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244A4">
      <w:pPr>
        <w:pStyle w:val="7"/>
        <w:jc w:val="both"/>
        <w:rPr>
          <w:rFonts w:ascii="Times New Roman" w:hAnsi="Times New Roman"/>
        </w:rPr>
      </w:pPr>
      <w:bookmarkStart w:id="0" w:name="_Toc15396475"/>
      <w:bookmarkStart w:id="1" w:name="_Toc15396597"/>
      <w:bookmarkStart w:id="2" w:name="_Toc15377425"/>
      <w:bookmarkStart w:id="3" w:name="_Toc15378441"/>
      <w:bookmarkStart w:id="4" w:name="_Toc15377193"/>
      <w:bookmarkStart w:id="5" w:name="_Toc15306267"/>
    </w:p>
    <w:p w14:paraId="4480E00C">
      <w:pPr>
        <w:pStyle w:val="7"/>
        <w:jc w:val="both"/>
        <w:rPr>
          <w:rFonts w:ascii="Times New Roman" w:hAnsi="Times New Roman"/>
        </w:rPr>
      </w:pPr>
    </w:p>
    <w:p w14:paraId="17519DB8">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12BC4A08">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2E4409F9">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4EC1905E">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07C6E0D7">
      <w:pPr>
        <w:pStyle w:val="7"/>
        <w:jc w:val="center"/>
        <w:rPr>
          <w:rFonts w:hint="eastAsia" w:ascii="Times New Roman" w:eastAsia="方正小标宋简体" w:cs="Times New Roman"/>
          <w:color w:val="auto"/>
          <w:kern w:val="2"/>
          <w:sz w:val="44"/>
          <w:szCs w:val="44"/>
          <w:highlight w:val="none"/>
          <w:lang w:val="en-US" w:eastAsia="zh-CN" w:bidi="ar-SA"/>
        </w:rPr>
      </w:pPr>
      <w:bookmarkStart w:id="6" w:name="_Toc15396476"/>
      <w:bookmarkStart w:id="7" w:name="_Toc15377426"/>
      <w:bookmarkStart w:id="8" w:name="_Toc15396598"/>
      <w:bookmarkStart w:id="9" w:name="_Toc15377194"/>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松潘县公用事业服务中心</w:t>
      </w:r>
    </w:p>
    <w:p w14:paraId="49389536">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r>
        <w:rPr>
          <w:rFonts w:hint="eastAsia" w:ascii="Times New Roman" w:eastAsia="方正小标宋简体" w:cs="Times New Roman"/>
          <w:color w:val="auto"/>
          <w:kern w:val="2"/>
          <w:sz w:val="44"/>
          <w:szCs w:val="44"/>
          <w:highlight w:val="none"/>
          <w:lang w:val="en-US" w:eastAsia="zh-CN" w:bidi="ar-SA"/>
        </w:rPr>
        <w:t>公开</w:t>
      </w:r>
    </w:p>
    <w:p w14:paraId="568CD56D">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2FAA6710">
      <w:pPr>
        <w:widowControl/>
        <w:jc w:val="center"/>
        <w:rPr>
          <w:rFonts w:ascii="Times New Roman" w:hAnsi="Times New Roman" w:eastAsia="黑体" w:cstheme="minorBidi"/>
          <w:color w:val="auto"/>
          <w:sz w:val="28"/>
          <w:szCs w:val="28"/>
          <w:highlight w:val="none"/>
        </w:rPr>
      </w:pPr>
    </w:p>
    <w:p w14:paraId="4BE57D2A">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17 </w:t>
      </w:r>
      <w:r>
        <w:rPr>
          <w:rFonts w:hint="eastAsia" w:ascii="Times New Roman" w:hAnsi="Times New Roman" w:eastAsia="仿宋_GB2312" w:cs="仿宋_GB2312"/>
          <w:color w:val="auto"/>
          <w:sz w:val="32"/>
          <w:szCs w:val="32"/>
          <w:highlight w:val="none"/>
        </w:rPr>
        <w:t>日</w:t>
      </w:r>
    </w:p>
    <w:p w14:paraId="345CB852">
      <w:pPr>
        <w:rPr>
          <w:rFonts w:ascii="Times New Roman" w:hAnsi="Times New Roman"/>
          <w:color w:val="auto"/>
          <w:highlight w:val="none"/>
        </w:rPr>
      </w:pPr>
    </w:p>
    <w:p w14:paraId="154246F4">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451314D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53D4534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2F4BC0DE">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6978102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04B84FA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6D74C79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196585C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6C217F1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6A257FA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46BD99B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31DEF16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03E72FF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11ECD1A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6A0753E9">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24C2C40C">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1B47F31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15D1725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16C3428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47F5E99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46223E9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5D0B7DB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35E8E68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3B7627A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0685CAF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5EC0885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7A31963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58CB965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0235E86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43889EE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6F9D3F2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154EDA18">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5CE6A410">
      <w:pPr>
        <w:pStyle w:val="4"/>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p>
    <w:p w14:paraId="42569E27">
      <w:pPr>
        <w:widowControl/>
        <w:jc w:val="left"/>
        <w:rPr>
          <w:rFonts w:ascii="Times New Roman" w:hAnsi="Times New Roman" w:eastAsia="黑体"/>
          <w:color w:val="auto"/>
          <w:sz w:val="32"/>
          <w:szCs w:val="32"/>
          <w:highlight w:val="none"/>
        </w:rPr>
      </w:pPr>
    </w:p>
    <w:p w14:paraId="6455938F">
      <w:pPr>
        <w:pStyle w:val="5"/>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27F2762F">
      <w:pPr>
        <w:pStyle w:val="2"/>
        <w:ind w:left="0" w:leftChars="0" w:firstLine="640" w:firstLineChars="200"/>
        <w:rPr>
          <w:rFonts w:hint="default"/>
          <w:lang w:val="en-US" w:eastAsia="zh-CN"/>
        </w:rPr>
      </w:pPr>
      <w:r>
        <w:rPr>
          <w:rFonts w:hint="eastAsia" w:ascii="仿宋_GB2312" w:hAnsi="仿宋" w:eastAsia="仿宋_GB2312" w:cs="Times New Roman"/>
          <w:kern w:val="2"/>
          <w:sz w:val="32"/>
          <w:szCs w:val="32"/>
          <w:lang w:val="en-US" w:eastAsia="zh-CN" w:bidi="ar-SA"/>
        </w:rPr>
        <w:t>负责城市市容市貌、城市环境卫生监督和管理；负责城市道路破道、负责城市污水、雨水处理；负责城市园林绿化市政设施的建设、维护和管理。</w:t>
      </w:r>
    </w:p>
    <w:p w14:paraId="553CF8D7">
      <w:pPr>
        <w:pStyle w:val="5"/>
        <w:numPr>
          <w:ilvl w:val="0"/>
          <w:numId w:val="1"/>
        </w:numPr>
        <w:ind w:left="0" w:leftChars="0" w:firstLine="0" w:firstLineChars="0"/>
        <w:rPr>
          <w:rStyle w:val="29"/>
          <w:rFonts w:hint="eastAsia" w:ascii="Times New Roman" w:hAnsi="Times New Roman" w:eastAsia="黑体"/>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机</w:t>
      </w:r>
      <w:r>
        <w:rPr>
          <w:rStyle w:val="29"/>
          <w:rFonts w:hint="eastAsia" w:ascii="Times New Roman" w:hAnsi="Times New Roman" w:eastAsia="黑体"/>
          <w:b w:val="0"/>
          <w:bCs w:val="0"/>
          <w:color w:val="auto"/>
          <w:highlight w:val="none"/>
        </w:rPr>
        <w:t>构设置</w:t>
      </w:r>
      <w:bookmarkEnd w:id="14"/>
      <w:bookmarkEnd w:id="15"/>
      <w:bookmarkStart w:id="16" w:name="_Toc15377204"/>
      <w:bookmarkStart w:id="17" w:name="_Toc15396602"/>
    </w:p>
    <w:p w14:paraId="7AC441BF">
      <w:pPr>
        <w:pStyle w:val="5"/>
        <w:numPr>
          <w:ilvl w:val="0"/>
          <w:numId w:val="0"/>
        </w:numPr>
        <w:ind w:leftChars="0" w:firstLine="640" w:firstLineChars="200"/>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松潘县公用事业服务中心属于松潘县综合行政执法局下属一级公益事业单位，独立编制机构数1个，独立核算机构数1个。</w:t>
      </w:r>
    </w:p>
    <w:p w14:paraId="293E57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根据上述职责，县</w:t>
      </w:r>
      <w:r>
        <w:rPr>
          <w:rFonts w:hint="eastAsia" w:ascii="仿宋_GB2312" w:hAnsi="仿宋_GB2312" w:eastAsia="仿宋_GB2312" w:cs="仿宋_GB2312"/>
          <w:sz w:val="32"/>
          <w:szCs w:val="32"/>
          <w:lang w:eastAsia="zh-CN"/>
        </w:rPr>
        <w:t>公用事业服务中心</w:t>
      </w:r>
      <w:r>
        <w:rPr>
          <w:rFonts w:hint="eastAsia" w:ascii="仿宋_GB2312" w:hAnsi="仿宋_GB2312" w:eastAsia="仿宋_GB2312" w:cs="仿宋_GB2312"/>
          <w:sz w:val="32"/>
          <w:szCs w:val="32"/>
        </w:rPr>
        <w:t>设</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个职能股室。</w:t>
      </w:r>
      <w:r>
        <w:rPr>
          <w:rFonts w:ascii="仿宋_GB2312" w:hAnsi="仿宋_GB2312" w:eastAsia="仿宋_GB2312" w:cs="仿宋_GB2312"/>
          <w:sz w:val="32"/>
          <w:szCs w:val="32"/>
        </w:rPr>
        <w:t xml:space="preserve"> </w:t>
      </w:r>
    </w:p>
    <w:p w14:paraId="7B467DC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（一）综合办公室</w:t>
      </w:r>
    </w:p>
    <w:p w14:paraId="19F255A0">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eastAsia="仿宋_GB2312" w:cs="Times New Roman"/>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职能职责：</w:t>
      </w:r>
      <w:r>
        <w:rPr>
          <w:rFonts w:hint="default" w:ascii="Times New Roman" w:hAnsi="Times New Roman" w:eastAsia="仿宋_GB2312" w:cs="Times New Roman"/>
          <w:b w:val="0"/>
          <w:bCs/>
          <w:color w:val="auto"/>
          <w:sz w:val="32"/>
          <w:szCs w:val="32"/>
        </w:rPr>
        <w:t>负责</w:t>
      </w:r>
      <w:r>
        <w:rPr>
          <w:rFonts w:hint="eastAsia" w:eastAsia="仿宋_GB2312" w:cs="Times New Roman"/>
          <w:b w:val="0"/>
          <w:bCs/>
          <w:color w:val="auto"/>
          <w:sz w:val="32"/>
          <w:szCs w:val="32"/>
          <w:lang w:val="en-US" w:eastAsia="zh-CN"/>
        </w:rPr>
        <w:t>文电、保密、联络衔接、来信来访、提案议案、会务、资产管理工作；综合管理机关目标督查工作；负责组织实施对职工的平时考核和年度考核；负责机关后勤保障工作</w:t>
      </w:r>
      <w:r>
        <w:rPr>
          <w:rFonts w:hint="default" w:ascii="Times New Roman" w:hAnsi="Times New Roman" w:eastAsia="仿宋_GB2312" w:cs="Times New Roman"/>
          <w:b w:val="0"/>
          <w:bCs/>
          <w:color w:val="auto"/>
          <w:sz w:val="32"/>
          <w:szCs w:val="32"/>
          <w:lang w:eastAsia="zh-CN"/>
        </w:rPr>
        <w:t>；负责拟订全县</w:t>
      </w:r>
      <w:r>
        <w:rPr>
          <w:rFonts w:hint="eastAsia" w:eastAsia="仿宋_GB2312" w:cs="Times New Roman"/>
          <w:color w:val="auto"/>
          <w:sz w:val="32"/>
          <w:szCs w:val="32"/>
          <w:lang w:val="en-US" w:eastAsia="zh-CN"/>
        </w:rPr>
        <w:t>城乡规划、城市管理等领域执法</w:t>
      </w:r>
      <w:r>
        <w:rPr>
          <w:rFonts w:hint="default" w:ascii="Times New Roman" w:hAnsi="Times New Roman" w:eastAsia="仿宋_GB2312" w:cs="Times New Roman"/>
          <w:b w:val="0"/>
          <w:bCs/>
          <w:color w:val="auto"/>
          <w:sz w:val="32"/>
          <w:szCs w:val="32"/>
          <w:lang w:eastAsia="zh-CN"/>
        </w:rPr>
        <w:t>信息、宣传和年度计划并组织实施；归口管理对外信息、宣传报道工作；承担重要文稿起草。</w:t>
      </w:r>
      <w:r>
        <w:rPr>
          <w:rFonts w:hint="eastAsia" w:ascii="Times New Roman" w:hAnsi="Times New Roman" w:eastAsia="仿宋_GB2312" w:cs="Times New Roman"/>
          <w:b w:val="0"/>
          <w:bCs/>
          <w:color w:val="auto"/>
          <w:sz w:val="32"/>
          <w:szCs w:val="32"/>
          <w:lang w:val="en-US" w:eastAsia="zh-CN"/>
        </w:rPr>
        <w:t>负责全局党员党费收缴管理、党员信息采集、整理和统计党员组织关系转接、整理等工作。负责全局党组织建设和</w:t>
      </w:r>
      <w:r>
        <w:rPr>
          <w:rFonts w:hint="eastAsia" w:eastAsia="仿宋_GB2312" w:cs="Times New Roman"/>
          <w:b w:val="0"/>
          <w:bCs/>
          <w:color w:val="auto"/>
          <w:sz w:val="32"/>
          <w:szCs w:val="32"/>
          <w:lang w:val="en-US" w:eastAsia="zh-CN"/>
        </w:rPr>
        <w:t>民主评议党员</w:t>
      </w:r>
      <w:r>
        <w:rPr>
          <w:rFonts w:hint="eastAsia" w:ascii="Times New Roman" w:hAnsi="Times New Roman" w:eastAsia="仿宋_GB2312" w:cs="Times New Roman"/>
          <w:b w:val="0"/>
          <w:bCs/>
          <w:color w:val="auto"/>
          <w:sz w:val="32"/>
          <w:szCs w:val="32"/>
          <w:lang w:val="en-US" w:eastAsia="zh-CN"/>
        </w:rPr>
        <w:t>工作。负责召开党建例会，落实会议通知、材料准备等工作。负责起草党建工作计划、总结。负责党风廉政建设工作。</w:t>
      </w:r>
      <w:r>
        <w:rPr>
          <w:rFonts w:hint="eastAsia" w:eastAsia="仿宋_GB2312" w:cs="Times New Roman"/>
          <w:b w:val="0"/>
          <w:bCs/>
          <w:color w:val="auto"/>
          <w:sz w:val="32"/>
          <w:szCs w:val="32"/>
          <w:lang w:val="en-US" w:eastAsia="zh-CN"/>
        </w:rPr>
        <w:t>完成领导交办的其他任务。</w:t>
      </w:r>
    </w:p>
    <w:p w14:paraId="46E6E96B">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（二）财务室</w:t>
      </w:r>
    </w:p>
    <w:p w14:paraId="56B751B8">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rPr>
          <w:rFonts w:hint="eastAsia"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职能职责：</w:t>
      </w:r>
      <w:r>
        <w:rPr>
          <w:rFonts w:hint="default" w:ascii="Times New Roman" w:hAnsi="Times New Roman" w:eastAsia="仿宋_GB2312" w:cs="Times New Roman"/>
          <w:b w:val="0"/>
          <w:bCs/>
          <w:color w:val="auto"/>
          <w:sz w:val="32"/>
          <w:szCs w:val="32"/>
          <w:lang w:eastAsia="zh-CN"/>
        </w:rPr>
        <w:t>负责机关经费、财政预决算以及固定资产管理；负责</w:t>
      </w:r>
      <w:r>
        <w:rPr>
          <w:rFonts w:hint="eastAsia" w:eastAsia="仿宋_GB2312" w:cs="Times New Roman"/>
          <w:b w:val="0"/>
          <w:bCs/>
          <w:color w:val="auto"/>
          <w:sz w:val="32"/>
          <w:szCs w:val="32"/>
          <w:lang w:val="en-US" w:eastAsia="zh-CN"/>
        </w:rPr>
        <w:t>机关</w:t>
      </w:r>
      <w:r>
        <w:rPr>
          <w:rFonts w:hint="default" w:ascii="Times New Roman" w:hAnsi="Times New Roman" w:eastAsia="仿宋_GB2312" w:cs="Times New Roman"/>
          <w:b w:val="0"/>
          <w:bCs/>
          <w:color w:val="auto"/>
          <w:sz w:val="32"/>
          <w:szCs w:val="32"/>
          <w:lang w:eastAsia="zh-CN"/>
        </w:rPr>
        <w:t>内经费安排和调剂工作；负责</w:t>
      </w:r>
      <w:r>
        <w:rPr>
          <w:rFonts w:hint="eastAsia" w:eastAsia="仿宋_GB2312" w:cs="Times New Roman"/>
          <w:b w:val="0"/>
          <w:bCs/>
          <w:color w:val="auto"/>
          <w:sz w:val="32"/>
          <w:szCs w:val="32"/>
          <w:lang w:val="en-US" w:eastAsia="zh-CN"/>
        </w:rPr>
        <w:t>机关</w:t>
      </w:r>
      <w:r>
        <w:rPr>
          <w:rFonts w:hint="default" w:ascii="Times New Roman" w:hAnsi="Times New Roman" w:eastAsia="仿宋_GB2312" w:cs="Times New Roman"/>
          <w:b w:val="0"/>
          <w:bCs/>
          <w:color w:val="auto"/>
          <w:sz w:val="32"/>
          <w:szCs w:val="32"/>
          <w:lang w:eastAsia="zh-CN"/>
        </w:rPr>
        <w:t>内依法征收的各种费用的监督和管理；负责对单位资金运转责任内部审计、统计工作；负责对离退休人员的服务管理工作。</w:t>
      </w:r>
      <w:r>
        <w:rPr>
          <w:rFonts w:hint="eastAsia" w:eastAsia="仿宋_GB2312" w:cs="Times New Roman"/>
          <w:b w:val="0"/>
          <w:bCs/>
          <w:color w:val="auto"/>
          <w:sz w:val="32"/>
          <w:szCs w:val="32"/>
          <w:lang w:val="en-US" w:eastAsia="zh-CN"/>
        </w:rPr>
        <w:t>完成领导交办的其他任务。</w:t>
      </w:r>
    </w:p>
    <w:p w14:paraId="3E02FF7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（三）环卫绿化股</w:t>
      </w:r>
    </w:p>
    <w:p w14:paraId="60CFA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eastAsia="仿宋_GB2312" w:cs="Times New Roman"/>
          <w:b w:val="0"/>
          <w:bCs/>
          <w:color w:val="auto"/>
          <w:sz w:val="32"/>
          <w:szCs w:val="32"/>
          <w:lang w:val="en-US" w:eastAsia="zh-CN"/>
        </w:rPr>
        <w:t>职能职责：</w:t>
      </w:r>
      <w:r>
        <w:rPr>
          <w:rFonts w:hint="eastAsia" w:ascii="仿宋_GB2312" w:hAnsi="仿宋_GB2312" w:eastAsia="仿宋_GB2312" w:cs="仿宋_GB2312"/>
          <w:sz w:val="32"/>
          <w:szCs w:val="32"/>
          <w:lang w:eastAsia="zh-CN"/>
        </w:rPr>
        <w:t>负责督促环卫公司开展清扫保洁、垃圾清运、河道管理、公厕管理、绿化管理；负责监管环卫公司对第一、第二垃圾填埋场运行管理、餐厨垃圾处理站（简称：两场一站）的运行管理及巡查和考核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按照考核结果拨付服务费。</w:t>
      </w:r>
      <w:r>
        <w:rPr>
          <w:rFonts w:hint="eastAsia" w:ascii="仿宋_GB2312" w:hAnsi="仿宋_GB2312" w:eastAsia="仿宋_GB2312" w:cs="仿宋_GB2312"/>
          <w:sz w:val="32"/>
          <w:szCs w:val="32"/>
        </w:rPr>
        <w:t>完成领导交办的其他工作</w:t>
      </w:r>
      <w:r>
        <w:rPr>
          <w:rFonts w:hint="eastAsia" w:ascii="仿宋_GB2312" w:hAnsi="仿宋_GB2312" w:eastAsia="仿宋_GB2312" w:cs="仿宋_GB2312"/>
          <w:sz w:val="32"/>
          <w:szCs w:val="32"/>
          <w:lang w:eastAsia="zh-CN"/>
        </w:rPr>
        <w:t>。</w:t>
      </w:r>
    </w:p>
    <w:p w14:paraId="647384F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rPr>
          <w:rFonts w:hint="eastAsia" w:eastAsia="仿宋_GB2312" w:cs="Times New Roman"/>
          <w:b w:val="0"/>
          <w:bCs/>
          <w:color w:val="auto"/>
          <w:sz w:val="32"/>
          <w:szCs w:val="32"/>
          <w:lang w:val="en-US" w:eastAsia="zh-CN"/>
        </w:rPr>
      </w:pPr>
      <w:r>
        <w:rPr>
          <w:rFonts w:hint="eastAsia" w:eastAsia="仿宋_GB2312" w:cs="Times New Roman"/>
          <w:b/>
          <w:bCs w:val="0"/>
          <w:color w:val="auto"/>
          <w:sz w:val="32"/>
          <w:szCs w:val="32"/>
          <w:lang w:val="en-US" w:eastAsia="zh-CN"/>
        </w:rPr>
        <w:t>（四）市政管理股</w:t>
      </w:r>
      <w:r>
        <w:rPr>
          <w:rFonts w:hint="eastAsia" w:eastAsia="仿宋_GB2312" w:cs="Times New Roman"/>
          <w:b w:val="0"/>
          <w:bCs/>
          <w:color w:val="auto"/>
          <w:sz w:val="32"/>
          <w:szCs w:val="32"/>
          <w:lang w:val="en-US" w:eastAsia="zh-CN"/>
        </w:rPr>
        <w:t xml:space="preserve"> </w:t>
      </w:r>
    </w:p>
    <w:p w14:paraId="48C94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eastAsia="仿宋_GB2312" w:cs="Times New Roman"/>
          <w:b w:val="0"/>
          <w:bCs/>
          <w:color w:val="auto"/>
          <w:sz w:val="32"/>
          <w:szCs w:val="32"/>
          <w:lang w:val="en-US" w:eastAsia="zh-CN"/>
        </w:rPr>
        <w:t>职能职责：负责编制年度管理、养护、维修计划；负责对</w:t>
      </w:r>
      <w:r>
        <w:rPr>
          <w:rFonts w:hint="eastAsia" w:ascii="仿宋_GB2312" w:hAnsi="仿宋_GB2312" w:eastAsia="仿宋_GB2312" w:cs="仿宋_GB2312"/>
          <w:sz w:val="32"/>
          <w:szCs w:val="32"/>
          <w:lang w:eastAsia="zh-CN"/>
        </w:rPr>
        <w:t>市政设施的</w:t>
      </w:r>
      <w:r>
        <w:rPr>
          <w:rFonts w:hint="eastAsia" w:ascii="仿宋_GB2312" w:hAnsi="仿宋_GB2312" w:eastAsia="仿宋_GB2312" w:cs="仿宋_GB2312"/>
          <w:sz w:val="32"/>
          <w:szCs w:val="32"/>
        </w:rPr>
        <w:t>巡查</w:t>
      </w:r>
      <w:r>
        <w:rPr>
          <w:rFonts w:hint="eastAsia" w:ascii="仿宋_GB2312" w:hAnsi="仿宋_GB2312" w:eastAsia="仿宋_GB2312" w:cs="仿宋_GB2312"/>
          <w:sz w:val="32"/>
          <w:szCs w:val="32"/>
          <w:lang w:eastAsia="zh-CN"/>
        </w:rPr>
        <w:t>；负责对路灯、市政道路等市政设施进行维护和管理。</w:t>
      </w:r>
      <w:r>
        <w:rPr>
          <w:rFonts w:hint="eastAsia" w:ascii="仿宋_GB2312" w:hAnsi="仿宋_GB2312" w:eastAsia="仿宋_GB2312" w:cs="仿宋_GB2312"/>
          <w:sz w:val="32"/>
          <w:szCs w:val="32"/>
        </w:rPr>
        <w:t>完成领导交办的其他工作</w:t>
      </w:r>
      <w:r>
        <w:rPr>
          <w:rFonts w:hint="eastAsia" w:ascii="仿宋_GB2312" w:hAnsi="仿宋_GB2312" w:eastAsia="仿宋_GB2312" w:cs="仿宋_GB2312"/>
          <w:sz w:val="32"/>
          <w:szCs w:val="32"/>
          <w:lang w:eastAsia="zh-CN"/>
        </w:rPr>
        <w:t>。</w:t>
      </w:r>
    </w:p>
    <w:p w14:paraId="09FE62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仿宋_GB2312" w:cs="Times New Roman"/>
          <w:b w:val="0"/>
          <w:bCs/>
          <w:color w:val="auto"/>
          <w:sz w:val="32"/>
          <w:szCs w:val="32"/>
          <w:lang w:val="en-US" w:eastAsia="zh-CN"/>
        </w:rPr>
      </w:pPr>
      <w:r>
        <w:rPr>
          <w:rFonts w:hint="eastAsia" w:ascii="仿宋_GB2312" w:hAnsi="仿宋_GB2312" w:eastAsia="仿宋_GB2312" w:cs="仿宋_GB2312"/>
          <w:b/>
          <w:bCs/>
          <w:sz w:val="32"/>
          <w:szCs w:val="32"/>
          <w:lang w:eastAsia="zh-CN"/>
        </w:rPr>
        <w:t>（五）城乡环境综合治理服务中心</w:t>
      </w:r>
    </w:p>
    <w:p w14:paraId="19A6619B">
      <w:pPr>
        <w:ind w:firstLine="640" w:firstLineChars="200"/>
        <w:rPr>
          <w:rFonts w:ascii="仿宋_GB2312" w:hAnsi="仿宋_GB2312" w:eastAsia="仿宋_GB2312" w:cs="仿宋_GB2312"/>
          <w:sz w:val="32"/>
          <w:szCs w:val="32"/>
        </w:rPr>
      </w:pPr>
      <w:r>
        <w:rPr>
          <w:rFonts w:hint="eastAsia" w:eastAsia="仿宋_GB2312" w:cs="Times New Roman"/>
          <w:b w:val="0"/>
          <w:bCs/>
          <w:color w:val="auto"/>
          <w:sz w:val="32"/>
          <w:szCs w:val="32"/>
          <w:lang w:val="en-US" w:eastAsia="zh-CN"/>
        </w:rPr>
        <w:t>职能职责：负责贯彻执行省、州、县有关城乡环境综合治理的方针、政策和法规。负责全县城乡环境综合治理专项工作的组织实施。负责制定全县城乡环境综合治理规划、年度工作计划和城乡环境综合治理标准，开展城乡环境综合治理调查研究并提出政策建议。负责组织开展全县城乡环境综合治理示范创建工作。负责督促检查全县城乡环境综合治理工作，组织考核和评价。负责全县完善城乡环境综合治理制度建设、宣传教育工作。负责指导协调全县城乡环境综合治理相关工作。负责组织每月城乡环境周巡查、月督查工作。负责每月全县环境卫生大扫除部署工作。</w:t>
      </w:r>
      <w:r>
        <w:rPr>
          <w:rFonts w:hint="eastAsia" w:ascii="仿宋_GB2312" w:hAnsi="仿宋_GB2312" w:eastAsia="仿宋_GB2312" w:cs="仿宋_GB2312"/>
          <w:sz w:val="32"/>
          <w:szCs w:val="32"/>
        </w:rPr>
        <w:t>完成领导交办的其他工作</w:t>
      </w:r>
      <w:r>
        <w:rPr>
          <w:rFonts w:hint="eastAsia" w:ascii="仿宋_GB2312" w:hAnsi="仿宋_GB2312" w:eastAsia="仿宋_GB2312" w:cs="仿宋_GB2312"/>
          <w:sz w:val="32"/>
          <w:szCs w:val="32"/>
          <w:lang w:eastAsia="zh-CN"/>
        </w:rPr>
        <w:t>。</w:t>
      </w:r>
    </w:p>
    <w:p w14:paraId="088E812B">
      <w:pPr>
        <w:rPr>
          <w:rFonts w:hint="eastAsia"/>
          <w:lang w:val="en-US" w:eastAsia="zh-CN"/>
        </w:rPr>
      </w:pPr>
    </w:p>
    <w:p w14:paraId="3ACFFA7D">
      <w:pPr>
        <w:pStyle w:val="4"/>
        <w:ind w:firstLine="420" w:firstLineChars="0"/>
        <w:jc w:val="both"/>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0B46BCFA">
      <w:pPr>
        <w:rPr>
          <w:rFonts w:ascii="Times New Roman" w:hAnsi="Times New Roman"/>
          <w:color w:val="auto"/>
          <w:highlight w:val="none"/>
        </w:rPr>
      </w:pPr>
    </w:p>
    <w:p w14:paraId="4F8C2CE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14:paraId="24E22B0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2126.94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64.79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3.14</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kern w:val="2"/>
          <w:sz w:val="32"/>
          <w:szCs w:val="32"/>
          <w:highlight w:val="none"/>
          <w:lang w:val="en-US" w:eastAsia="zh-CN" w:bidi="ar-SA"/>
        </w:rPr>
        <w:t>人员变动</w:t>
      </w:r>
      <w:r>
        <w:rPr>
          <w:rFonts w:hint="eastAsia" w:eastAsia="仿宋_GB2312" w:cs="仿宋_GB2312"/>
          <w:color w:val="auto"/>
          <w:sz w:val="32"/>
          <w:szCs w:val="32"/>
          <w:highlight w:val="none"/>
          <w:lang w:eastAsia="zh-CN"/>
        </w:rPr>
        <w:t>职能职责增加。</w:t>
      </w:r>
    </w:p>
    <w:p w14:paraId="0EC4119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52C0C00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2126.94万元，其中：一般公共预算财政拨款收入2126.94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27B6789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14:paraId="6603444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2126.94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354.02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16.64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1772.92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83.35</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14:paraId="781E6201">
      <w:pPr>
        <w:spacing w:line="600" w:lineRule="exact"/>
        <w:ind w:firstLine="640" w:firstLineChars="200"/>
        <w:outlineLvl w:val="1"/>
        <w:rPr>
          <w:rStyle w:val="29"/>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14:paraId="7F7FD5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2126.94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64.79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3.14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人员变动</w:t>
      </w:r>
      <w:r>
        <w:rPr>
          <w:rFonts w:hint="eastAsia" w:eastAsia="仿宋_GB2312" w:cs="仿宋_GB2312"/>
          <w:color w:val="auto"/>
          <w:sz w:val="32"/>
          <w:szCs w:val="32"/>
          <w:highlight w:val="none"/>
          <w:lang w:eastAsia="zh-CN"/>
        </w:rPr>
        <w:t>职能职责增加。</w:t>
      </w:r>
    </w:p>
    <w:p w14:paraId="52B5C669">
      <w:pPr>
        <w:spacing w:line="600" w:lineRule="exact"/>
        <w:ind w:firstLine="640" w:firstLineChars="200"/>
        <w:outlineLvl w:val="1"/>
        <w:rPr>
          <w:rStyle w:val="29"/>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14:paraId="4A8DD90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053299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2126.94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%。与2023年度相比，一般公共预算财政拨款支出增加64.79万元，增长3.14%。主要变动原因是</w:t>
      </w:r>
      <w:r>
        <w:rPr>
          <w:rFonts w:hint="eastAsia" w:eastAsia="仿宋_GB2312" w:cs="仿宋_GB2312"/>
          <w:color w:val="auto"/>
          <w:kern w:val="2"/>
          <w:sz w:val="32"/>
          <w:szCs w:val="32"/>
          <w:highlight w:val="none"/>
          <w:lang w:val="en-US" w:eastAsia="zh-CN" w:bidi="ar-SA"/>
        </w:rPr>
        <w:t>人员变动</w:t>
      </w:r>
      <w:r>
        <w:rPr>
          <w:rFonts w:hint="eastAsia" w:eastAsia="仿宋_GB2312" w:cs="仿宋_GB2312"/>
          <w:color w:val="auto"/>
          <w:sz w:val="32"/>
          <w:szCs w:val="32"/>
          <w:highlight w:val="none"/>
          <w:lang w:eastAsia="zh-CN"/>
        </w:rPr>
        <w:t>职能职责增加</w:t>
      </w:r>
    </w:p>
    <w:p w14:paraId="7D28E44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583F31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2126.94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898.02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42.22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城乡社区支出1070.59万元，占50.33%；节能环保支出64.79万元，占3.05%；</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51.29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2.41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18.18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0.86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24.07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1ADA19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0EA71B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2126.94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32B19B6E">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教育（类）</w:t>
      </w:r>
      <w:r>
        <w:rPr>
          <w:rFonts w:hint="eastAsia" w:eastAsia="仿宋_GB2312" w:cs="仿宋_GB2312"/>
          <w:color w:val="auto"/>
          <w:kern w:val="2"/>
          <w:sz w:val="32"/>
          <w:szCs w:val="32"/>
          <w:highlight w:val="none"/>
          <w:lang w:val="en-US" w:eastAsia="zh-CN" w:bidi="ar-SA"/>
        </w:rPr>
        <w:t>205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 支出决算为</w:t>
      </w:r>
      <w:r>
        <w:rPr>
          <w:rFonts w:hint="eastAsia" w:eastAsia="仿宋_GB2312" w:cs="仿宋_GB2312"/>
          <w:color w:val="auto"/>
          <w:kern w:val="2"/>
          <w:sz w:val="32"/>
          <w:szCs w:val="32"/>
          <w:highlight w:val="none"/>
          <w:lang w:val="en-US" w:eastAsia="zh-CN" w:bidi="ar-SA"/>
        </w:rPr>
        <w:t>898.02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FC74136">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2.节能环保</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211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64.79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230BE0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3.城乡社区支出</w:t>
      </w:r>
    </w:p>
    <w:p w14:paraId="26153CC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城乡社区管理事务</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212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367.76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461B3F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城乡社区规划与管理</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212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47.43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1D5F12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城乡社区公共设施</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212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A2B6FB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城乡社区环境卫生</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212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306.8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3F12721">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其他城乡社区支出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212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928D6B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4.社会保障和就业</w:t>
      </w:r>
    </w:p>
    <w:p w14:paraId="4CE4D6E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机关事业单位基本养老保险缴费支出（类）208（款）05（项）05：支出决算为29.26万元，完成预算100%。</w:t>
      </w:r>
    </w:p>
    <w:p w14:paraId="5C156331">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22.04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71658DA">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w:t>
      </w:r>
    </w:p>
    <w:p w14:paraId="19E1A1B2">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事业单位医疗210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14.25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8A8C2CF">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其他行政事业单位医疗支出210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DE72577">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221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 支出决算为</w:t>
      </w:r>
      <w:r>
        <w:rPr>
          <w:rFonts w:hint="eastAsia" w:eastAsia="仿宋_GB2312" w:cs="仿宋_GB2312"/>
          <w:color w:val="auto"/>
          <w:kern w:val="2"/>
          <w:sz w:val="32"/>
          <w:szCs w:val="32"/>
          <w:highlight w:val="none"/>
          <w:lang w:val="en-US" w:eastAsia="zh-CN" w:bidi="ar-SA"/>
        </w:rPr>
        <w:t>24.07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5FD521C">
      <w:pPr>
        <w:pStyle w:val="13"/>
        <w:rPr>
          <w:rFonts w:hint="eastAsia"/>
          <w:lang w:val="en-US" w:eastAsia="zh-CN"/>
        </w:rPr>
      </w:pPr>
    </w:p>
    <w:p w14:paraId="5982210F">
      <w:pPr>
        <w:pStyle w:val="13"/>
        <w:rPr>
          <w:rFonts w:hint="eastAsia"/>
          <w:lang w:val="en-US" w:eastAsia="zh-CN"/>
        </w:rPr>
      </w:pPr>
    </w:p>
    <w:p w14:paraId="320A378F">
      <w:pPr>
        <w:pStyle w:val="13"/>
        <w:rPr>
          <w:rFonts w:hint="eastAsia"/>
          <w:lang w:val="en-US" w:eastAsia="zh-CN"/>
        </w:rPr>
      </w:pPr>
    </w:p>
    <w:p w14:paraId="7129B3A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bookmarkStart w:id="66" w:name="_GoBack"/>
      <w:r>
        <w:rPr>
          <w:rFonts w:hint="eastAsia" w:eastAsia="仿宋_GB2312" w:cs="仿宋_GB2312"/>
          <w:b/>
          <w:bCs/>
          <w:color w:val="auto"/>
          <w:kern w:val="2"/>
          <w:sz w:val="32"/>
          <w:szCs w:val="32"/>
          <w:highlight w:val="none"/>
          <w:lang w:val="en-US" w:eastAsia="zh-CN" w:bidi="ar-SA"/>
        </w:rPr>
        <w:t>〉</w:t>
      </w:r>
      <w:bookmarkEnd w:id="66"/>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34A62C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7676371">
      <w:pPr>
        <w:tabs>
          <w:tab w:val="right" w:pos="8306"/>
        </w:tabs>
        <w:spacing w:line="600" w:lineRule="exact"/>
        <w:ind w:firstLine="640"/>
        <w:outlineLvl w:val="1"/>
        <w:rPr>
          <w:rStyle w:val="29"/>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14:paraId="78783B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354.02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31AB9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340.25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13.77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7D0D7DB">
      <w:pPr>
        <w:spacing w:line="600" w:lineRule="exact"/>
        <w:ind w:firstLine="640"/>
        <w:outlineLvl w:val="1"/>
        <w:rPr>
          <w:rStyle w:val="29"/>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14:paraId="049D107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32BD2D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43.38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40.1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1222.56</w:t>
      </w:r>
      <w:r>
        <w:rPr>
          <w:rFonts w:hint="eastAsia" w:ascii="Times New Roman" w:hAnsi="Times New Roman" w:eastAsia="仿宋_GB2312" w:cs="仿宋_GB2312"/>
          <w:color w:val="auto"/>
          <w:kern w:val="2"/>
          <w:sz w:val="32"/>
          <w:szCs w:val="32"/>
          <w:highlight w:val="none"/>
          <w:lang w:val="en-US" w:eastAsia="zh-CN" w:bidi="ar-SA"/>
        </w:rPr>
        <w:t>%。决算数小于预算数（或与预算数持平）的主要原因是</w:t>
      </w:r>
      <w:r>
        <w:rPr>
          <w:rFonts w:hint="eastAsia" w:eastAsia="仿宋_GB2312" w:cs="仿宋_GB2312"/>
          <w:color w:val="auto"/>
          <w:kern w:val="2"/>
          <w:sz w:val="32"/>
          <w:szCs w:val="32"/>
          <w:highlight w:val="none"/>
          <w:lang w:val="en-US" w:eastAsia="zh-CN" w:bidi="ar-SA"/>
        </w:rPr>
        <w:t>职能职权增加并购置了公务用车。</w:t>
      </w:r>
    </w:p>
    <w:p w14:paraId="1EFE113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1353AFC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43.38</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670704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未产生</w:t>
      </w:r>
      <w:r>
        <w:rPr>
          <w:rFonts w:hint="eastAsia" w:ascii="Times New Roman" w:hAnsi="Times New Roman" w:eastAsia="仿宋_GB2312" w:cs="仿宋_GB2312"/>
          <w:color w:val="auto"/>
          <w:kern w:val="2"/>
          <w:sz w:val="32"/>
          <w:szCs w:val="32"/>
          <w:highlight w:val="none"/>
          <w:lang w:val="en-US" w:eastAsia="zh-CN" w:bidi="ar-SA"/>
        </w:rPr>
        <w:t>因公出国（境）经费支出</w:t>
      </w:r>
      <w:r>
        <w:rPr>
          <w:rFonts w:hint="eastAsia" w:eastAsia="仿宋_GB2312" w:cs="仿宋_GB2312"/>
          <w:color w:val="auto"/>
          <w:kern w:val="2"/>
          <w:sz w:val="32"/>
          <w:szCs w:val="32"/>
          <w:highlight w:val="none"/>
          <w:lang w:val="en-US" w:eastAsia="zh-CN" w:bidi="ar-SA"/>
        </w:rPr>
        <w:t>。</w:t>
      </w:r>
    </w:p>
    <w:p w14:paraId="0CEF3D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43.38万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40.1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1222.56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职能职权增加并购置了公务用车。</w:t>
      </w:r>
    </w:p>
    <w:p w14:paraId="6FA75D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38.4</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38.4</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日常公务用车和城乡环境卫生下乡</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6B6B13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4.98</w:t>
      </w:r>
      <w:r>
        <w:rPr>
          <w:rFonts w:hint="eastAsia" w:ascii="Times New Roman" w:hAnsi="Times New Roman" w:eastAsia="仿宋_GB2312" w:cs="仿宋_GB2312"/>
          <w:color w:val="auto"/>
          <w:kern w:val="2"/>
          <w:sz w:val="32"/>
          <w:szCs w:val="32"/>
          <w:highlight w:val="none"/>
          <w:lang w:val="en-US" w:eastAsia="zh-CN" w:bidi="ar-SA"/>
        </w:rPr>
        <w:t>万元。主要用于公务用车燃料费、维修费、过路过桥费、保险费等支出。</w:t>
      </w:r>
    </w:p>
    <w:p w14:paraId="32CF436F">
      <w:pPr>
        <w:numPr>
          <w:ilvl w:val="0"/>
          <w:numId w:val="2"/>
        </w:numPr>
        <w:spacing w:line="600" w:lineRule="exact"/>
        <w:ind w:left="1152" w:leftChars="0" w:hanging="48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CDF1386">
      <w:pPr>
        <w:numPr>
          <w:ilvl w:val="0"/>
          <w:numId w:val="2"/>
        </w:numPr>
        <w:spacing w:line="600" w:lineRule="exact"/>
        <w:ind w:left="1152" w:leftChars="0" w:hanging="48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p>
    <w:p w14:paraId="641EC3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0" w:name="_Toc15396610"/>
      <w:bookmarkStart w:id="41" w:name="_Toc15377218"/>
    </w:p>
    <w:p w14:paraId="390B17B8">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14:paraId="079A26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F6439D5">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77219"/>
      <w:bookmarkStart w:id="43"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14:paraId="3B1FDB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1FDA658">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96612"/>
      <w:bookmarkStart w:id="45"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14:paraId="6B1966D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381713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松潘县公用事业服务中心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C64A7A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673E46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松潘县公用事业服务中心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284.6</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284.6</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万元。主要用于城乡环境设备。授予中小企业合同金额</w:t>
      </w:r>
      <w:r>
        <w:rPr>
          <w:rFonts w:hint="eastAsia" w:ascii="仿宋_GB2312" w:hAnsi="仿宋_GB2312" w:eastAsia="仿宋_GB2312" w:cs="仿宋_GB2312"/>
          <w:sz w:val="32"/>
          <w:szCs w:val="32"/>
        </w:rPr>
        <w:t>284.6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284.6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5A7BA71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4F2CEF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松潘县公用事业服务中心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22</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C63BB32">
      <w:pPr>
        <w:numPr>
          <w:ilvl w:val="0"/>
          <w:numId w:val="0"/>
        </w:numPr>
        <w:spacing w:line="600" w:lineRule="exact"/>
        <w:jc w:val="both"/>
        <w:outlineLvl w:val="0"/>
        <w:rPr>
          <w:rFonts w:hint="eastAsia" w:ascii="Times New Roman" w:hAnsi="Times New Roman" w:eastAsia="黑体"/>
          <w:color w:val="auto"/>
          <w:sz w:val="44"/>
          <w:szCs w:val="44"/>
          <w:highlight w:val="none"/>
        </w:rPr>
      </w:pPr>
      <w:bookmarkStart w:id="49" w:name="_Toc15377225"/>
      <w:bookmarkStart w:id="50" w:name="_Toc15396613"/>
    </w:p>
    <w:p w14:paraId="4F2DF92D">
      <w:pPr>
        <w:numPr>
          <w:ilvl w:val="0"/>
          <w:numId w:val="0"/>
        </w:numPr>
        <w:spacing w:line="600" w:lineRule="exact"/>
        <w:ind w:firstLine="2200" w:firstLineChars="500"/>
        <w:jc w:val="both"/>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1E013ABF">
      <w:pPr>
        <w:spacing w:line="600" w:lineRule="exact"/>
        <w:jc w:val="left"/>
        <w:rPr>
          <w:rFonts w:ascii="Times New Roman" w:hAnsi="Times New Roman"/>
          <w:b/>
          <w:color w:val="auto"/>
          <w:sz w:val="44"/>
          <w:szCs w:val="44"/>
          <w:highlight w:val="none"/>
        </w:rPr>
      </w:pPr>
    </w:p>
    <w:p w14:paraId="67D752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0A57E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3E39AD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21AC5F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24345D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ED391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2290C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18BC6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52176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6DF563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7BD90A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560C24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0F694F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14:paraId="01F7E8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14:paraId="3BD9C2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14:paraId="0E88FD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14:paraId="6B8658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5FCC31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638FA6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0EEDB6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04C871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7D5851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62D898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37CE84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4E6DAD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14:paraId="31ED90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6AF331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3C00A3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12195A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678701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0E0C40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270435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84320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6A6D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14:paraId="4306A36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5089868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8"/>
    </w:p>
    <w:p w14:paraId="25589B93">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四</w:t>
      </w:r>
      <w:r>
        <w:rPr>
          <w:rStyle w:val="28"/>
          <w:rFonts w:hint="eastAsia" w:ascii="Times New Roman" w:hAnsi="Times New Roman" w:eastAsia="黑体"/>
          <w:b w:val="0"/>
          <w:color w:val="auto"/>
          <w:highlight w:val="none"/>
        </w:rPr>
        <w:t>部分 附表</w:t>
      </w:r>
      <w:bookmarkEnd w:id="51"/>
      <w:bookmarkEnd w:id="52"/>
      <w:bookmarkStart w:id="53" w:name="_Toc15396619"/>
    </w:p>
    <w:p w14:paraId="39EEA87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8058FB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3"/>
    </w:p>
    <w:p w14:paraId="5A36F26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0"/>
      <w:r>
        <w:rPr>
          <w:rFonts w:hint="eastAsia" w:ascii="Times New Roman" w:hAnsi="Times New Roman" w:eastAsia="仿宋_GB2312" w:cs="仿宋_GB2312"/>
          <w:color w:val="auto"/>
          <w:sz w:val="32"/>
          <w:szCs w:val="32"/>
          <w:highlight w:val="none"/>
        </w:rPr>
        <w:t>二、收入决算表</w:t>
      </w:r>
      <w:bookmarkEnd w:id="54"/>
    </w:p>
    <w:p w14:paraId="7790D97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1"/>
      <w:r>
        <w:rPr>
          <w:rFonts w:hint="eastAsia" w:ascii="Times New Roman" w:hAnsi="Times New Roman" w:eastAsia="仿宋_GB2312" w:cs="仿宋_GB2312"/>
          <w:color w:val="auto"/>
          <w:sz w:val="32"/>
          <w:szCs w:val="32"/>
          <w:highlight w:val="none"/>
        </w:rPr>
        <w:t>三、支出决算表</w:t>
      </w:r>
      <w:bookmarkEnd w:id="55"/>
    </w:p>
    <w:p w14:paraId="47CAEDA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2"/>
      <w:r>
        <w:rPr>
          <w:rFonts w:hint="eastAsia" w:ascii="Times New Roman" w:hAnsi="Times New Roman" w:eastAsia="仿宋_GB2312" w:cs="仿宋_GB2312"/>
          <w:color w:val="auto"/>
          <w:sz w:val="32"/>
          <w:szCs w:val="32"/>
          <w:highlight w:val="none"/>
        </w:rPr>
        <w:t>四、财政拨款收入支出决算总表</w:t>
      </w:r>
      <w:bookmarkEnd w:id="56"/>
    </w:p>
    <w:p w14:paraId="029C1EF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3"/>
      <w:r>
        <w:rPr>
          <w:rFonts w:hint="eastAsia" w:ascii="Times New Roman" w:hAnsi="Times New Roman" w:eastAsia="仿宋_GB2312" w:cs="仿宋_GB2312"/>
          <w:color w:val="auto"/>
          <w:sz w:val="32"/>
          <w:szCs w:val="32"/>
          <w:highlight w:val="none"/>
        </w:rPr>
        <w:t>五、财政拨款支出决算明细表</w:t>
      </w:r>
      <w:bookmarkEnd w:id="57"/>
      <w:bookmarkStart w:id="58" w:name="_Toc15396624"/>
    </w:p>
    <w:p w14:paraId="05E5266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8"/>
    </w:p>
    <w:p w14:paraId="0DC6E7A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5"/>
      <w:r>
        <w:rPr>
          <w:rFonts w:hint="eastAsia" w:ascii="Times New Roman" w:hAnsi="Times New Roman" w:eastAsia="仿宋_GB2312" w:cs="仿宋_GB2312"/>
          <w:color w:val="auto"/>
          <w:sz w:val="32"/>
          <w:szCs w:val="32"/>
          <w:highlight w:val="none"/>
        </w:rPr>
        <w:t>七、一般公共预算财政拨款支出决算明细表</w:t>
      </w:r>
      <w:bookmarkEnd w:id="59"/>
    </w:p>
    <w:p w14:paraId="3813478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6"/>
      <w:r>
        <w:rPr>
          <w:rFonts w:hint="eastAsia" w:ascii="Times New Roman" w:hAnsi="Times New Roman" w:eastAsia="仿宋_GB2312" w:cs="仿宋_GB2312"/>
          <w:color w:val="auto"/>
          <w:sz w:val="32"/>
          <w:szCs w:val="32"/>
          <w:highlight w:val="none"/>
        </w:rPr>
        <w:t>八、一般公共预算财政拨款基本支出决算表</w:t>
      </w:r>
      <w:bookmarkEnd w:id="60"/>
    </w:p>
    <w:p w14:paraId="462BACF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7"/>
      <w:r>
        <w:rPr>
          <w:rFonts w:hint="eastAsia" w:ascii="Times New Roman" w:hAnsi="Times New Roman" w:eastAsia="仿宋_GB2312" w:cs="仿宋_GB2312"/>
          <w:color w:val="auto"/>
          <w:sz w:val="32"/>
          <w:szCs w:val="32"/>
          <w:highlight w:val="none"/>
        </w:rPr>
        <w:t>九、一般公共预算财政拨款项目支出决算表</w:t>
      </w:r>
      <w:bookmarkEnd w:id="61"/>
    </w:p>
    <w:p w14:paraId="1101CAB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8"/>
      <w:r>
        <w:rPr>
          <w:rFonts w:hint="eastAsia" w:ascii="Times New Roman" w:hAnsi="Times New Roman" w:eastAsia="仿宋_GB2312" w:cs="仿宋_GB2312"/>
          <w:color w:val="auto"/>
          <w:sz w:val="32"/>
          <w:szCs w:val="32"/>
          <w:highlight w:val="none"/>
        </w:rPr>
        <w:t>十、</w:t>
      </w:r>
      <w:bookmarkEnd w:id="62"/>
      <w:r>
        <w:rPr>
          <w:rFonts w:hint="eastAsia" w:ascii="Times New Roman" w:hAnsi="Times New Roman" w:eastAsia="仿宋_GB2312" w:cs="仿宋_GB2312"/>
          <w:color w:val="auto"/>
          <w:sz w:val="32"/>
          <w:szCs w:val="32"/>
          <w:highlight w:val="none"/>
        </w:rPr>
        <w:t>政府性基金预算财政拨款收入支出决算表</w:t>
      </w:r>
    </w:p>
    <w:p w14:paraId="2FEE882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9"/>
      <w:r>
        <w:rPr>
          <w:rFonts w:hint="eastAsia" w:ascii="Times New Roman" w:hAnsi="Times New Roman" w:eastAsia="仿宋_GB2312" w:cs="仿宋_GB2312"/>
          <w:color w:val="auto"/>
          <w:sz w:val="32"/>
          <w:szCs w:val="32"/>
          <w:highlight w:val="none"/>
        </w:rPr>
        <w:t>十一、</w:t>
      </w:r>
      <w:bookmarkEnd w:id="6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8A2FA1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30"/>
      <w:r>
        <w:rPr>
          <w:rFonts w:hint="eastAsia" w:ascii="Times New Roman" w:hAnsi="Times New Roman" w:eastAsia="仿宋_GB2312" w:cs="仿宋_GB2312"/>
          <w:color w:val="auto"/>
          <w:sz w:val="32"/>
          <w:szCs w:val="32"/>
          <w:highlight w:val="none"/>
        </w:rPr>
        <w:t>十二、</w:t>
      </w:r>
      <w:bookmarkEnd w:id="64"/>
      <w:r>
        <w:rPr>
          <w:rFonts w:hint="eastAsia" w:ascii="Times New Roman" w:hAnsi="Times New Roman" w:eastAsia="仿宋_GB2312" w:cs="仿宋_GB2312"/>
          <w:color w:val="auto"/>
          <w:sz w:val="32"/>
          <w:szCs w:val="32"/>
          <w:highlight w:val="none"/>
          <w:lang w:eastAsia="zh-CN"/>
        </w:rPr>
        <w:t>国有资本经营预算财政拨款支出决算表</w:t>
      </w:r>
    </w:p>
    <w:p w14:paraId="69546A1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5" w:name="_Toc15396631"/>
      <w:r>
        <w:rPr>
          <w:rFonts w:hint="eastAsia" w:ascii="Times New Roman" w:hAnsi="Times New Roman" w:eastAsia="仿宋_GB2312" w:cs="仿宋_GB2312"/>
          <w:color w:val="auto"/>
          <w:sz w:val="32"/>
          <w:szCs w:val="32"/>
          <w:highlight w:val="none"/>
        </w:rPr>
        <w:t>十三、</w:t>
      </w:r>
      <w:bookmarkEnd w:id="65"/>
      <w:r>
        <w:rPr>
          <w:rFonts w:hint="eastAsia" w:ascii="Times New Roman" w:hAnsi="Times New Roman" w:eastAsia="仿宋_GB2312" w:cs="仿宋_GB2312"/>
          <w:color w:val="auto"/>
          <w:sz w:val="32"/>
          <w:szCs w:val="32"/>
          <w:highlight w:val="none"/>
          <w:lang w:eastAsia="zh-CN"/>
        </w:rPr>
        <w:t>财政拨款“三公”经费支出决算表</w:t>
      </w:r>
    </w:p>
    <w:p w14:paraId="3321BDA9">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AEFFAC-6190-4ECA-8871-14D6D11CF8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73F96D5-D3D3-4FDD-ABF4-22C45045FA49}"/>
  </w:font>
  <w:font w:name="仿宋">
    <w:panose1 w:val="02010609060101010101"/>
    <w:charset w:val="86"/>
    <w:family w:val="modern"/>
    <w:pitch w:val="default"/>
    <w:sig w:usb0="800002BF" w:usb1="38CF7CFA" w:usb2="00000016" w:usb3="00000000" w:csb0="00040001" w:csb1="00000000"/>
    <w:embedRegular r:id="rId3" w:fontKey="{3F1F4079-E8E5-4363-92AE-770AFF733BFF}"/>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4" w:fontKey="{13A83125-B37A-4D97-A13F-6032673BD86E}"/>
  </w:font>
  <w:font w:name="楷体_GB2312">
    <w:panose1 w:val="02010609030101010101"/>
    <w:charset w:val="86"/>
    <w:family w:val="auto"/>
    <w:pitch w:val="default"/>
    <w:sig w:usb0="00000001" w:usb1="080E0000" w:usb2="00000000" w:usb3="00000000" w:csb0="00040000" w:csb1="00000000"/>
    <w:embedRegular r:id="rId5" w:fontKey="{6AABFEDC-3447-46EC-BAC7-744F134E02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AA0EB">
    <w:pPr>
      <w:pStyle w:val="10"/>
      <w:jc w:val="center"/>
    </w:pPr>
  </w:p>
  <w:p w14:paraId="697F133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108F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24A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80B4E8"/>
    <w:multiLevelType w:val="singleLevel"/>
    <w:tmpl w:val="2680B4E8"/>
    <w:lvl w:ilvl="0" w:tentative="0">
      <w:start w:val="1"/>
      <w:numFmt w:val="chineseCounting"/>
      <w:suff w:val="nothing"/>
      <w:lvlText w:val="%1、"/>
      <w:lvlJc w:val="left"/>
      <w:rPr>
        <w:rFonts w:hint="eastAsia"/>
      </w:rPr>
    </w:lvl>
  </w:abstractNum>
  <w:abstractNum w:abstractNumId="1">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943D1D"/>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6C15AA8"/>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7CA212F"/>
    <w:rsid w:val="5AF92295"/>
    <w:rsid w:val="5B250254"/>
    <w:rsid w:val="5BDD79E6"/>
    <w:rsid w:val="5BF561CA"/>
    <w:rsid w:val="5BFF5DFC"/>
    <w:rsid w:val="5CD71FC4"/>
    <w:rsid w:val="5D1F11B5"/>
    <w:rsid w:val="5D695134"/>
    <w:rsid w:val="5DAE1B18"/>
    <w:rsid w:val="5DE7D9E5"/>
    <w:rsid w:val="5E5C1DB0"/>
    <w:rsid w:val="5ECEC941"/>
    <w:rsid w:val="5FBF9FF3"/>
    <w:rsid w:val="5FCD4E2C"/>
    <w:rsid w:val="5FEF394A"/>
    <w:rsid w:val="5FF67715"/>
    <w:rsid w:val="61E168FB"/>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2"/>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4"/>
    <w:qFormat/>
    <w:uiPriority w:val="9"/>
    <w:rPr>
      <w:rFonts w:ascii="Times New Roman" w:hAnsi="Times New Roman"/>
      <w:b/>
      <w:bCs/>
      <w:kern w:val="44"/>
      <w:sz w:val="44"/>
      <w:szCs w:val="44"/>
    </w:rPr>
  </w:style>
  <w:style w:type="character" w:customStyle="1" w:styleId="29">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5883</Words>
  <Characters>6443</Characters>
  <Lines>61</Lines>
  <Paragraphs>17</Paragraphs>
  <TotalTime>10</TotalTime>
  <ScaleCrop>false</ScaleCrop>
  <LinksUpToDate>false</LinksUpToDate>
  <CharactersWithSpaces>6470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2025-10-17T07:25:59Z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