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78441"/>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8442"/>
      <w:bookmarkStart w:id="9" w:name="_Toc15396476"/>
      <w:bookmarkStart w:id="10" w:name="_Toc1537742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eastAsia="zh-CN"/>
        </w:rPr>
        <w:t>松潘县城管局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hint="eastAsia" w:ascii="仿宋_GB2312" w:hAnsi="仿宋_GB2312" w:eastAsia="仿宋_GB2312" w:cs="仿宋_GB2312"/>
          <w:color w:val="000000"/>
          <w:sz w:val="32"/>
          <w:szCs w:val="32"/>
        </w:rPr>
      </w:pPr>
      <w:r>
        <w:rPr>
          <w:rFonts w:ascii="方正小标宋简体" w:hAnsi="宋体" w:eastAsia="方正小标宋简体"/>
          <w:sz w:val="36"/>
          <w:szCs w:val="36"/>
        </w:rPr>
        <w:br w:type="page"/>
      </w:r>
      <w:r>
        <w:rPr>
          <w:rFonts w:hint="eastAsia" w:ascii="仿宋_GB2312" w:hAnsi="仿宋_GB2312" w:eastAsia="仿宋_GB2312" w:cs="仿宋_GB2312"/>
          <w:color w:val="000000"/>
          <w:sz w:val="32"/>
          <w:szCs w:val="32"/>
        </w:rPr>
        <w:t>目录</w:t>
      </w:r>
    </w:p>
    <w:p>
      <w:pPr>
        <w:widowControl/>
        <w:jc w:val="center"/>
        <w:rPr>
          <w:rFonts w:hint="eastAsia" w:ascii="仿宋_GB2312" w:hAnsi="仿宋_GB2312" w:eastAsia="仿宋_GB2312" w:cs="仿宋_GB2312"/>
          <w:sz w:val="32"/>
          <w:szCs w:val="32"/>
        </w:rPr>
      </w:pP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公开时间：2020年9月25日</w:t>
      </w:r>
    </w:p>
    <w:p>
      <w:pPr>
        <w:rPr>
          <w:rFonts w:hint="eastAsia" w:ascii="仿宋_GB2312" w:hAnsi="仿宋_GB2312" w:eastAsia="仿宋_GB2312" w:cs="仿宋_GB2312"/>
          <w:sz w:val="32"/>
          <w:szCs w:val="32"/>
        </w:rPr>
      </w:pPr>
    </w:p>
    <w:p>
      <w:pPr>
        <w:pStyle w:val="11"/>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440" w:lineRule="exact"/>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国有资本经营预算支出决算情况说明</w:t>
      </w:r>
    </w:p>
    <w:p>
      <w:pPr>
        <w:adjustRightInd w:val="0"/>
        <w:snapToGrid w:val="0"/>
        <w:spacing w:line="440" w:lineRule="exact"/>
        <w:ind w:firstLine="640" w:firstLineChars="20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1"/>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11"/>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p>
    <w:p>
      <w:pPr>
        <w:widowControl/>
        <w:spacing w:line="440" w:lineRule="exact"/>
        <w:jc w:val="left"/>
        <w:rPr>
          <w:rFonts w:hint="eastAsia"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pStyle w:val="3"/>
        <w:jc w:val="center"/>
        <w:rPr>
          <w:rStyle w:val="25"/>
          <w:rFonts w:hint="eastAsia" w:ascii="仿宋_GB2312" w:hAnsi="仿宋_GB2312" w:eastAsia="仿宋_GB2312" w:cs="仿宋_GB2312"/>
          <w:b/>
          <w:bCs w:val="0"/>
          <w:sz w:val="32"/>
          <w:szCs w:val="32"/>
        </w:rPr>
      </w:pPr>
      <w:r>
        <w:rPr>
          <w:rFonts w:hint="eastAsia" w:ascii="仿宋_GB2312" w:hAnsi="仿宋_GB2312" w:eastAsia="仿宋_GB2312" w:cs="仿宋_GB2312"/>
          <w:b w:val="0"/>
          <w:sz w:val="32"/>
          <w:szCs w:val="32"/>
        </w:rPr>
        <w:t xml:space="preserve">第一部分 </w:t>
      </w:r>
      <w:r>
        <w:rPr>
          <w:rStyle w:val="25"/>
          <w:rFonts w:hint="eastAsia" w:ascii="仿宋_GB2312" w:hAnsi="仿宋_GB2312" w:eastAsia="仿宋_GB2312" w:cs="仿宋_GB2312"/>
          <w:b w:val="0"/>
          <w:bCs w:val="0"/>
          <w:sz w:val="32"/>
          <w:szCs w:val="32"/>
        </w:rPr>
        <w:t>部门概况</w:t>
      </w:r>
      <w:bookmarkEnd w:id="12"/>
      <w:bookmarkEnd w:id="13"/>
    </w:p>
    <w:p>
      <w:pPr>
        <w:widowControl/>
        <w:jc w:val="left"/>
        <w:rPr>
          <w:rFonts w:hint="eastAsia" w:ascii="仿宋_GB2312" w:hAnsi="仿宋_GB2312" w:eastAsia="仿宋_GB2312" w:cs="仿宋_GB2312"/>
          <w:color w:val="000000"/>
          <w:sz w:val="32"/>
          <w:szCs w:val="32"/>
        </w:rPr>
      </w:pPr>
    </w:p>
    <w:p>
      <w:pPr>
        <w:pStyle w:val="4"/>
        <w:rPr>
          <w:rFonts w:hint="eastAsia" w:ascii="仿宋_GB2312" w:hAnsi="仿宋_GB2312" w:eastAsia="仿宋_GB2312" w:cs="仿宋_GB2312"/>
          <w:bCs/>
          <w:color w:val="000000"/>
          <w:sz w:val="32"/>
          <w:szCs w:val="32"/>
        </w:rPr>
      </w:pPr>
      <w:bookmarkStart w:id="14" w:name="_Toc15396600"/>
      <w:bookmarkStart w:id="15" w:name="_Toc15377197"/>
      <w:r>
        <w:rPr>
          <w:rFonts w:hint="eastAsia" w:ascii="仿宋_GB2312" w:hAnsi="仿宋_GB2312" w:eastAsia="仿宋_GB2312" w:cs="仿宋_GB2312"/>
          <w:b w:val="0"/>
          <w:color w:val="000000"/>
          <w:sz w:val="32"/>
          <w:szCs w:val="32"/>
        </w:rPr>
        <w:t>一、基</w:t>
      </w:r>
      <w:r>
        <w:rPr>
          <w:rStyle w:val="26"/>
          <w:rFonts w:hint="eastAsia" w:ascii="仿宋_GB2312" w:hAnsi="仿宋_GB2312" w:eastAsia="仿宋_GB2312" w:cs="仿宋_GB2312"/>
          <w:b w:val="0"/>
          <w:bCs w:val="0"/>
          <w:sz w:val="32"/>
          <w:szCs w:val="32"/>
        </w:rPr>
        <w:t>本职能及主要工作</w:t>
      </w:r>
      <w:bookmarkEnd w:id="14"/>
      <w:bookmarkEnd w:id="15"/>
    </w:p>
    <w:p>
      <w:pPr>
        <w:spacing w:line="360" w:lineRule="auto"/>
        <w:rPr>
          <w:rFonts w:hint="eastAsia" w:ascii="仿宋_GB2312" w:hAnsi="仿宋_GB2312" w:eastAsia="仿宋_GB2312" w:cs="仿宋_GB2312"/>
          <w:b/>
          <w:bCs/>
          <w:color w:val="4E4342"/>
          <w:sz w:val="32"/>
          <w:szCs w:val="32"/>
        </w:rPr>
      </w:pPr>
      <w:r>
        <w:rPr>
          <w:rFonts w:hint="eastAsia" w:ascii="仿宋_GB2312" w:hAnsi="仿宋_GB2312" w:eastAsia="仿宋_GB2312" w:cs="仿宋_GB2312"/>
          <w:color w:val="4E4342"/>
          <w:sz w:val="32"/>
          <w:szCs w:val="32"/>
        </w:rPr>
        <w:t>　</w:t>
      </w:r>
      <w:r>
        <w:rPr>
          <w:rFonts w:hint="eastAsia" w:ascii="仿宋_GB2312" w:hAnsi="仿宋_GB2312" w:eastAsia="仿宋_GB2312" w:cs="仿宋_GB2312"/>
          <w:b/>
          <w:bCs/>
          <w:color w:val="4E4342"/>
          <w:sz w:val="32"/>
          <w:szCs w:val="32"/>
        </w:rPr>
        <w:t>（一）主要职能</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1.贯彻执行国家、省和州有关市政、环卫、园林绿化、城市综合管理方面的法律、法规和方针、政策。结合本县实际，拟定城市管理规范性文件和行政措施，并组织实施。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2.负责编制全县城市管理工作的中、长期规划和年度计划，并组织实施；编报县城市管理、市政公用设施养护维修资金年度计划，并按批准计划实施；负责城市档案管理工作。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3.负责对全县的城市管理执行工作进行统一领导，综合协调和监督检查。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4.负责组织实施国家制定的城市市容和环境卫生标准定额和行业规范；结合我县实际拟定相应的实施办法报经批准后组织实施。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5.负责城市环境卫生的监督管理。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6.负责城市市容市貌管理，如临街外墙面、门店装饰及招牌、宣传牌、遮阳棚罩与灯饰、城市建筑垃圾等管理，城市户外广告设置的统一规划、建设和管理。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7.负责对城市道路的破道与占道的审批与管理，负责城市污水、雨水处理工作。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8.负责城市公交车、出租车等城市交通的发展与计划，经营资质管理，客运服务管理，执法检查与受理投诉。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9.负责城市园林绿化、市政设施的建设、维护和管理。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10.负责全县公共事业的规范管理。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11.会同国有资产管理部门管理城市市政资产。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12.参与城区市政、环卫基础设施、城市防洪及城市抗震建设等项目的论证、规划设计和竣工验收；参与新建住宅小区、城市道路、临街建筑物、构筑物、市场设置及建设的方案论证、竣工验收。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13.负责牵头组织城市管理联合执法，管理县城市监察执法大队。负责全县城市管理法制宣传教育工作。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14.指导各乡镇做好乡村管理工作。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15.承办县政府交办的其他事项。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16.负责做好城乡环境综合治理办相关资料的上报工作。 </w:t>
      </w:r>
    </w:p>
    <w:p>
      <w:pPr>
        <w:numPr>
          <w:ilvl w:val="0"/>
          <w:numId w:val="0"/>
        </w:numPr>
        <w:spacing w:line="576" w:lineRule="exact"/>
        <w:ind w:left="638" w:leftChars="304" w:firstLine="0" w:firstLineChars="0"/>
        <w:jc w:val="both"/>
        <w:rPr>
          <w:rFonts w:hint="eastAsia" w:ascii="楷体" w:hAnsi="楷体" w:eastAsia="楷体" w:cs="楷体"/>
          <w:sz w:val="32"/>
          <w:szCs w:val="32"/>
          <w:lang w:eastAsia="zh-CN"/>
        </w:rPr>
      </w:pPr>
      <w:r>
        <w:rPr>
          <w:rFonts w:hint="eastAsia" w:ascii="仿宋_GB2312" w:hAnsi="仿宋_GB2312" w:eastAsia="仿宋_GB2312" w:cs="仿宋_GB2312"/>
          <w:color w:val="4E4342"/>
          <w:sz w:val="32"/>
          <w:szCs w:val="32"/>
        </w:rPr>
        <w:t>（二）201</w:t>
      </w:r>
      <w:r>
        <w:rPr>
          <w:rFonts w:hint="eastAsia" w:ascii="仿宋_GB2312" w:hAnsi="仿宋_GB2312" w:eastAsia="仿宋_GB2312" w:cs="仿宋_GB2312"/>
          <w:color w:val="4E4342"/>
          <w:sz w:val="32"/>
          <w:szCs w:val="32"/>
          <w:lang w:val="en-US" w:eastAsia="zh-CN"/>
        </w:rPr>
        <w:t>9</w:t>
      </w:r>
      <w:r>
        <w:rPr>
          <w:rFonts w:hint="eastAsia" w:ascii="仿宋_GB2312" w:hAnsi="仿宋_GB2312" w:eastAsia="仿宋_GB2312" w:cs="仿宋_GB2312"/>
          <w:color w:val="4E4342"/>
          <w:sz w:val="32"/>
          <w:szCs w:val="32"/>
        </w:rPr>
        <w:t xml:space="preserve">年重点工作完成情况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color w:val="4E4342"/>
          <w:sz w:val="32"/>
          <w:szCs w:val="32"/>
          <w:lang w:val="en-US" w:eastAsia="zh-CN"/>
        </w:rPr>
        <w:t>1、</w:t>
      </w:r>
      <w:r>
        <w:rPr>
          <w:rFonts w:hint="eastAsia" w:ascii="楷体" w:hAnsi="楷体" w:eastAsia="楷体" w:cs="楷体"/>
          <w:sz w:val="32"/>
          <w:szCs w:val="32"/>
          <w:lang w:eastAsia="zh-CN"/>
        </w:rPr>
        <w:t>市政维修及迎检工作</w:t>
      </w:r>
    </w:p>
    <w:p>
      <w:pPr>
        <w:numPr>
          <w:ilvl w:val="0"/>
          <w:numId w:val="0"/>
        </w:numPr>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6月份我局接手市政维修工作以来，对新老城区市政设施设备进行了全面排查维修，修补街道路面、</w:t>
      </w:r>
      <w:r>
        <w:rPr>
          <w:rFonts w:hint="default" w:ascii="仿宋_GB2312" w:hAnsi="仿宋_GB2312" w:eastAsia="仿宋_GB2312" w:cs="仿宋_GB2312"/>
          <w:sz w:val="32"/>
          <w:szCs w:val="32"/>
          <w:lang w:val="en-US" w:eastAsia="zh-CN"/>
        </w:rPr>
        <w:t>更换石板</w:t>
      </w:r>
      <w:r>
        <w:rPr>
          <w:rFonts w:hint="eastAsia" w:ascii="仿宋_GB2312" w:hAnsi="仿宋_GB2312" w:eastAsia="仿宋_GB2312" w:cs="仿宋_GB2312"/>
          <w:sz w:val="32"/>
          <w:szCs w:val="32"/>
          <w:lang w:val="en-US" w:eastAsia="zh-CN"/>
        </w:rPr>
        <w:t>50余处，约</w:t>
      </w:r>
      <w:r>
        <w:rPr>
          <w:rFonts w:hint="default" w:ascii="仿宋_GB2312" w:hAnsi="仿宋_GB2312" w:eastAsia="仿宋_GB2312" w:cs="仿宋_GB2312"/>
          <w:sz w:val="32"/>
          <w:szCs w:val="32"/>
          <w:lang w:val="en-US" w:eastAsia="zh-CN"/>
        </w:rPr>
        <w:t>1500平方米，维修路沿石500</w:t>
      </w:r>
      <w:r>
        <w:rPr>
          <w:rFonts w:hint="eastAsia" w:ascii="仿宋_GB2312" w:hAnsi="仿宋_GB2312" w:eastAsia="仿宋_GB2312" w:cs="仿宋_GB2312"/>
          <w:sz w:val="32"/>
          <w:szCs w:val="32"/>
          <w:lang w:val="en-US" w:eastAsia="zh-CN"/>
        </w:rPr>
        <w:t>余</w:t>
      </w:r>
      <w:r>
        <w:rPr>
          <w:rFonts w:hint="default" w:ascii="仿宋_GB2312" w:hAnsi="仿宋_GB2312" w:eastAsia="仿宋_GB2312" w:cs="仿宋_GB2312"/>
          <w:sz w:val="32"/>
          <w:szCs w:val="32"/>
          <w:lang w:val="en-US" w:eastAsia="zh-CN"/>
        </w:rPr>
        <w:t>平方米，修复石栏杆370米，更换井圈井盖及雨篦子40余处，</w:t>
      </w:r>
      <w:r>
        <w:rPr>
          <w:rFonts w:hint="eastAsia" w:ascii="仿宋_GB2312" w:hAnsi="仿宋_GB2312" w:eastAsia="仿宋_GB2312" w:cs="仿宋_GB2312"/>
          <w:sz w:val="32"/>
          <w:szCs w:val="32"/>
          <w:lang w:val="en-US" w:eastAsia="zh-CN"/>
        </w:rPr>
        <w:t>疏通下水道及改道25处，修建垃圾池1个，维修维护路灯线路300余米，更换路灯泡500余盏，维修维护</w:t>
      </w:r>
      <w:r>
        <w:rPr>
          <w:rFonts w:hint="default" w:ascii="仿宋_GB2312" w:hAnsi="仿宋_GB2312" w:eastAsia="仿宋_GB2312" w:cs="仿宋_GB2312"/>
          <w:sz w:val="32"/>
          <w:szCs w:val="32"/>
          <w:lang w:val="en-US" w:eastAsia="zh-CN"/>
        </w:rPr>
        <w:t>屋檐数码管</w:t>
      </w:r>
      <w:r>
        <w:rPr>
          <w:rFonts w:hint="eastAsia" w:ascii="仿宋_GB2312" w:hAnsi="仿宋_GB2312" w:eastAsia="仿宋_GB2312" w:cs="仿宋_GB2312"/>
          <w:sz w:val="32"/>
          <w:szCs w:val="32"/>
          <w:lang w:val="en-US" w:eastAsia="zh-CN"/>
        </w:rPr>
        <w:t>、洗墙灯、平原灯</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70余盏。完成庆祝新</w:t>
      </w:r>
      <w:r>
        <w:rPr>
          <w:rFonts w:hint="default"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lang w:val="en-US" w:eastAsia="zh-CN"/>
        </w:rPr>
        <w:t>国成立</w:t>
      </w:r>
      <w:r>
        <w:rPr>
          <w:rFonts w:hint="default"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lang w:val="en-US" w:eastAsia="zh-CN"/>
        </w:rPr>
        <w:t>周年和第</w:t>
      </w: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届古城花灯</w:t>
      </w:r>
      <w:r>
        <w:rPr>
          <w:rFonts w:hint="default"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lang w:val="en-US" w:eastAsia="zh-CN"/>
        </w:rPr>
        <w:t>的氛围营造工作：</w:t>
      </w:r>
      <w:r>
        <w:rPr>
          <w:rFonts w:hint="default" w:ascii="仿宋_GB2312" w:hAnsi="仿宋_GB2312" w:eastAsia="仿宋_GB2312" w:cs="仿宋_GB2312"/>
          <w:sz w:val="32"/>
          <w:szCs w:val="32"/>
          <w:lang w:val="en-US" w:eastAsia="zh-CN"/>
        </w:rPr>
        <w:t>在国道沿线、城区主干道路灯杆设置国旗600余面，古城内主街道跨街悬挂小国旗15000余面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沿街悬挂红灯笼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冬瓜灯笼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花灯灯笼</w:t>
      </w:r>
      <w:r>
        <w:rPr>
          <w:rFonts w:hint="eastAsia" w:ascii="仿宋_GB2312" w:hAnsi="仿宋_GB2312" w:eastAsia="仿宋_GB2312" w:cs="仿宋_GB2312"/>
          <w:sz w:val="32"/>
          <w:szCs w:val="32"/>
          <w:lang w:val="en-US" w:eastAsia="zh-CN"/>
        </w:rPr>
        <w:t>、城门及牌坊大型灯笼</w:t>
      </w:r>
      <w:r>
        <w:rPr>
          <w:rFonts w:hint="default" w:ascii="仿宋_GB2312" w:hAnsi="仿宋_GB2312" w:eastAsia="仿宋_GB2312" w:cs="仿宋_GB2312"/>
          <w:sz w:val="32"/>
          <w:szCs w:val="32"/>
          <w:lang w:val="en-US" w:eastAsia="zh-CN"/>
        </w:rPr>
        <w:t>3100余个；跨街安装灯带1500米，满天星灯带2500米</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安装投光灯20余个</w:t>
      </w:r>
      <w:r>
        <w:rPr>
          <w:rFonts w:hint="eastAsia" w:ascii="仿宋_GB2312" w:hAnsi="仿宋_GB2312" w:eastAsia="仿宋_GB2312" w:cs="仿宋_GB2312"/>
          <w:sz w:val="32"/>
          <w:szCs w:val="32"/>
          <w:lang w:val="en-US" w:eastAsia="zh-CN"/>
        </w:rPr>
        <w:t>；更换</w:t>
      </w:r>
      <w:r>
        <w:rPr>
          <w:rFonts w:hint="default" w:ascii="仿宋_GB2312" w:hAnsi="仿宋_GB2312" w:eastAsia="仿宋_GB2312" w:cs="仿宋_GB2312"/>
          <w:sz w:val="32"/>
          <w:szCs w:val="32"/>
          <w:lang w:val="en-US" w:eastAsia="zh-CN"/>
        </w:rPr>
        <w:t>安装</w:t>
      </w:r>
      <w:r>
        <w:rPr>
          <w:rFonts w:hint="eastAsia" w:ascii="仿宋_GB2312" w:hAnsi="仿宋_GB2312" w:eastAsia="仿宋_GB2312" w:cs="仿宋_GB2312"/>
          <w:sz w:val="32"/>
          <w:szCs w:val="32"/>
          <w:lang w:val="en-US" w:eastAsia="zh-CN"/>
        </w:rPr>
        <w:t>休</w:t>
      </w:r>
      <w:r>
        <w:rPr>
          <w:rFonts w:hint="default" w:ascii="仿宋_GB2312" w:hAnsi="仿宋_GB2312" w:eastAsia="仿宋_GB2312" w:cs="仿宋_GB2312"/>
          <w:sz w:val="32"/>
          <w:szCs w:val="32"/>
          <w:lang w:val="en-US" w:eastAsia="zh-CN"/>
        </w:rPr>
        <w:t>闲龙头椅10</w:t>
      </w:r>
      <w:r>
        <w:rPr>
          <w:rFonts w:hint="eastAsia" w:ascii="仿宋_GB2312" w:hAnsi="仿宋_GB2312" w:eastAsia="仿宋_GB2312" w:cs="仿宋_GB2312"/>
          <w:sz w:val="32"/>
          <w:szCs w:val="32"/>
          <w:lang w:val="en-US" w:eastAsia="zh-CN"/>
        </w:rPr>
        <w:t>把；</w:t>
      </w:r>
      <w:r>
        <w:rPr>
          <w:rFonts w:hint="default" w:ascii="仿宋_GB2312" w:hAnsi="仿宋_GB2312" w:eastAsia="仿宋_GB2312" w:cs="仿宋_GB2312"/>
          <w:sz w:val="32"/>
          <w:szCs w:val="32"/>
          <w:lang w:val="en-US" w:eastAsia="zh-CN"/>
        </w:rPr>
        <w:t>购置移动公厕4组</w:t>
      </w:r>
      <w:r>
        <w:rPr>
          <w:rFonts w:hint="eastAsia" w:ascii="仿宋_GB2312" w:hAnsi="仿宋_GB2312" w:eastAsia="仿宋_GB2312" w:cs="仿宋_GB2312"/>
          <w:sz w:val="32"/>
          <w:szCs w:val="32"/>
          <w:lang w:val="en-US" w:eastAsia="zh-CN"/>
        </w:rPr>
        <w:t>；清理十里达沟沉淀池和茶马驿水景观池子，在水池周围摆放鲜花15000盆。</w:t>
      </w:r>
    </w:p>
    <w:p>
      <w:pPr>
        <w:pStyle w:val="6"/>
        <w:numPr>
          <w:numId w:val="0"/>
        </w:numPr>
        <w:ind w:firstLine="640" w:firstLineChars="2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2、规范运行垃圾填埋场</w:t>
      </w:r>
    </w:p>
    <w:p>
      <w:pPr>
        <w:pStyle w:val="6"/>
        <w:numPr>
          <w:ilvl w:val="0"/>
          <w:numId w:val="0"/>
        </w:numPr>
        <w:ind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垃圾填埋场覆土碾压12次，平整库区10余次，覆土600余车，除臭灭蚊48次，</w:t>
      </w:r>
      <w:r>
        <w:rPr>
          <w:rFonts w:hint="default" w:ascii="仿宋_GB2312" w:hAnsi="仿宋_GB2312" w:eastAsia="仿宋_GB2312" w:cs="仿宋_GB2312"/>
          <w:sz w:val="32"/>
          <w:szCs w:val="32"/>
          <w:lang w:val="en-US" w:eastAsia="zh-CN"/>
        </w:rPr>
        <w:t>清理两侧截洪沟2次，</w:t>
      </w:r>
      <w:r>
        <w:rPr>
          <w:rFonts w:hint="eastAsia" w:ascii="仿宋_GB2312" w:hAnsi="仿宋_GB2312" w:eastAsia="仿宋_GB2312" w:cs="仿宋_GB2312"/>
          <w:sz w:val="32"/>
          <w:szCs w:val="32"/>
          <w:lang w:val="en-US" w:eastAsia="zh-CN"/>
        </w:rPr>
        <w:t>全年填埋垃圾约16425吨，处理污水1800吨，对进场道路降尘50余次，填埋餐厨垃圾30余吨。</w:t>
      </w:r>
    </w:p>
    <w:p>
      <w:pPr>
        <w:pStyle w:val="6"/>
        <w:numPr>
          <w:numId w:val="0"/>
        </w:numPr>
        <w:ind w:leftChars="200"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3、环卫、绿化养护工作</w:t>
      </w:r>
    </w:p>
    <w:p>
      <w:pPr>
        <w:pStyle w:val="6"/>
        <w:keepNext w:val="0"/>
        <w:keepLines w:val="0"/>
        <w:pageBreakBefore w:val="0"/>
        <w:widowControl/>
        <w:numPr>
          <w:ilvl w:val="0"/>
          <w:numId w:val="0"/>
        </w:numPr>
        <w:kinsoku/>
        <w:wordWrap/>
        <w:overflowPunct/>
        <w:topLinePunct w:val="0"/>
        <w:autoSpaceDE/>
        <w:autoSpaceDN/>
        <w:bidi w:val="0"/>
        <w:adjustRightInd/>
        <w:snapToGrid/>
        <w:ind w:leftChars="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落实检查考核新标准，不断完善长效管理机制，提高环卫绿化精细化管理</w:t>
      </w:r>
      <w:r>
        <w:rPr>
          <w:rFonts w:hint="default" w:ascii="仿宋_GB2312" w:hAnsi="仿宋_GB2312" w:eastAsia="仿宋_GB2312" w:cs="仿宋_GB2312"/>
          <w:sz w:val="32"/>
          <w:szCs w:val="32"/>
          <w:lang w:val="en-US" w:eastAsia="zh-CN"/>
        </w:rPr>
        <w:t>水</w:t>
      </w:r>
      <w:r>
        <w:rPr>
          <w:rFonts w:hint="eastAsia" w:ascii="仿宋_GB2312" w:hAnsi="仿宋_GB2312" w:eastAsia="仿宋_GB2312" w:cs="仿宋_GB2312"/>
          <w:sz w:val="32"/>
          <w:szCs w:val="32"/>
          <w:lang w:val="en-US" w:eastAsia="zh-CN"/>
        </w:rPr>
        <w:t>平。</w:t>
      </w:r>
      <w:r>
        <w:rPr>
          <w:rFonts w:hint="default" w:ascii="仿宋_GB2312" w:hAnsi="仿宋_GB2312" w:eastAsia="仿宋_GB2312" w:cs="仿宋_GB2312"/>
          <w:sz w:val="32"/>
          <w:szCs w:val="32"/>
          <w:lang w:val="en-US" w:eastAsia="zh-CN"/>
        </w:rPr>
        <w:t>每日早中晚3次对定点垃圾点位进行清运</w:t>
      </w:r>
      <w:r>
        <w:rPr>
          <w:rFonts w:hint="eastAsia" w:ascii="仿宋_GB2312" w:hAnsi="仿宋_GB2312" w:eastAsia="仿宋_GB2312" w:cs="仿宋_GB2312"/>
          <w:sz w:val="32"/>
          <w:szCs w:val="32"/>
          <w:lang w:val="en-US" w:eastAsia="zh-CN"/>
        </w:rPr>
        <w:t>，做到日产日清，</w:t>
      </w:r>
      <w:r>
        <w:rPr>
          <w:rFonts w:hint="default" w:ascii="仿宋_GB2312" w:hAnsi="仿宋_GB2312" w:eastAsia="仿宋_GB2312" w:cs="仿宋_GB2312"/>
          <w:sz w:val="32"/>
          <w:szCs w:val="32"/>
          <w:lang w:val="en-US" w:eastAsia="zh-CN"/>
        </w:rPr>
        <w:t>全年清运垃圾达4500余吨</w:t>
      </w:r>
      <w:r>
        <w:rPr>
          <w:rFonts w:hint="eastAsia" w:ascii="仿宋_GB2312" w:hAnsi="仿宋_GB2312" w:eastAsia="仿宋_GB2312" w:cs="仿宋_GB2312"/>
          <w:sz w:val="32"/>
          <w:szCs w:val="32"/>
          <w:lang w:val="en-US" w:eastAsia="zh-CN"/>
        </w:rPr>
        <w:t>；加强全城区内主次干道的清扫保洁监督工作，确保城区内达到作业标准，对全城区内果皮箱、垃圾桶进行定期清洗、擦拭和消毒；及时清除</w:t>
      </w:r>
      <w:r>
        <w:rPr>
          <w:rFonts w:hint="default"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lang w:val="en-US" w:eastAsia="zh-CN"/>
        </w:rPr>
        <w:t>共市政设施等乱张贴的广告牛皮癣，及时清洗公共区域、城市道路、绿化带中的牲畜粪便，不定期对主次干道进行洒水降尘1</w:t>
      </w:r>
      <w:r>
        <w:rPr>
          <w:rFonts w:hint="default"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lang w:val="en-US" w:eastAsia="zh-CN"/>
        </w:rPr>
        <w:t>余车次；新增果皮箱</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个，垃圾桶100个；新增多功能保洁车5辆，电动扫地车1辆；加强绿化管理工作，修剪草皮12次，绿篱10次，绿化洒水</w:t>
      </w:r>
      <w:r>
        <w:rPr>
          <w:rFonts w:hint="default"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余次，不定期对花草树木进行施肥、杀虫、除草以及修枝等工作。</w:t>
      </w:r>
    </w:p>
    <w:p>
      <w:pPr>
        <w:pStyle w:val="6"/>
        <w:keepNext w:val="0"/>
        <w:keepLines w:val="0"/>
        <w:pageBreakBefore w:val="0"/>
        <w:widowControl/>
        <w:numPr>
          <w:numId w:val="0"/>
        </w:numPr>
        <w:kinsoku/>
        <w:wordWrap/>
        <w:overflowPunct/>
        <w:topLinePunct w:val="0"/>
        <w:autoSpaceDE/>
        <w:autoSpaceDN/>
        <w:bidi w:val="0"/>
        <w:adjustRightInd/>
        <w:snapToGrid/>
        <w:ind w:leftChars="200" w:firstLine="320" w:firstLineChars="1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4、</w:t>
      </w:r>
      <w:r>
        <w:rPr>
          <w:rFonts w:hint="eastAsia" w:ascii="楷体" w:hAnsi="楷体" w:eastAsia="楷体" w:cs="楷体"/>
          <w:b w:val="0"/>
          <w:bCs/>
          <w:sz w:val="32"/>
          <w:szCs w:val="32"/>
        </w:rPr>
        <w:t>县城市生活垃圾处理工程</w:t>
      </w:r>
    </w:p>
    <w:p>
      <w:pPr>
        <w:pStyle w:val="6"/>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eastAsia="仿宋_GB2312"/>
          <w:bCs/>
          <w:sz w:val="32"/>
          <w:szCs w:val="32"/>
        </w:rPr>
      </w:pPr>
      <w:r>
        <w:rPr>
          <w:rFonts w:hint="eastAsia" w:ascii="仿宋_GB2312" w:hAnsi="仿宋" w:eastAsia="仿宋_GB2312"/>
          <w:bCs/>
          <w:sz w:val="32"/>
          <w:szCs w:val="32"/>
        </w:rPr>
        <w:t>新建城市生活垃圾处理工程纳入了</w:t>
      </w:r>
      <w:r>
        <w:rPr>
          <w:rFonts w:hint="eastAsia" w:ascii="仿宋_GB2312" w:hAnsi="仿宋" w:eastAsia="仿宋_GB2312"/>
          <w:sz w:val="32"/>
          <w:szCs w:val="32"/>
        </w:rPr>
        <w:t>《四川省城乡垃圾处理设施建设三年推进方案》</w:t>
      </w:r>
      <w:r>
        <w:rPr>
          <w:rFonts w:hint="eastAsia" w:ascii="仿宋_GB2312" w:hAnsi="仿宋" w:eastAsia="仿宋_GB2312"/>
          <w:bCs/>
          <w:sz w:val="32"/>
          <w:szCs w:val="32"/>
        </w:rPr>
        <w:t>。项目</w:t>
      </w:r>
      <w:r>
        <w:rPr>
          <w:rFonts w:hint="eastAsia" w:ascii="仿宋_GB2312" w:hAnsi="仿宋" w:eastAsia="仿宋_GB2312"/>
          <w:sz w:val="32"/>
          <w:szCs w:val="32"/>
        </w:rPr>
        <w:t>采用</w:t>
      </w:r>
      <w:r>
        <w:rPr>
          <w:rFonts w:hint="eastAsia" w:ascii="仿宋_GB2312" w:eastAsia="仿宋_GB2312"/>
          <w:sz w:val="32"/>
          <w:szCs w:val="32"/>
        </w:rPr>
        <w:t>EPC</w:t>
      </w:r>
      <w:r>
        <w:rPr>
          <w:rFonts w:hint="eastAsia" w:ascii="仿宋_GB2312" w:hAnsi="仿宋" w:eastAsia="仿宋_GB2312"/>
          <w:sz w:val="32"/>
          <w:szCs w:val="32"/>
        </w:rPr>
        <w:t>模式（勘查设计施工总承包），建设内容为：新建生活垃圾填埋场一座及相关附属设施等，</w:t>
      </w:r>
      <w:r>
        <w:rPr>
          <w:rFonts w:hint="eastAsia" w:ascii="仿宋_GB2312" w:hAnsi="仿宋" w:eastAsia="仿宋_GB2312"/>
          <w:bCs/>
          <w:sz w:val="32"/>
          <w:szCs w:val="32"/>
        </w:rPr>
        <w:t>占地面积约</w:t>
      </w:r>
      <w:r>
        <w:rPr>
          <w:rFonts w:hint="eastAsia" w:ascii="仿宋_GB2312" w:eastAsia="仿宋_GB2312"/>
          <w:bCs/>
          <w:sz w:val="32"/>
          <w:szCs w:val="32"/>
        </w:rPr>
        <w:t>116</w:t>
      </w:r>
      <w:r>
        <w:rPr>
          <w:rFonts w:hint="eastAsia" w:ascii="仿宋_GB2312" w:hAnsi="仿宋" w:eastAsia="仿宋_GB2312"/>
          <w:bCs/>
          <w:sz w:val="32"/>
          <w:szCs w:val="32"/>
        </w:rPr>
        <w:t>亩，采用卫生填埋工艺，设计规模为</w:t>
      </w:r>
      <w:r>
        <w:rPr>
          <w:rFonts w:hint="eastAsia" w:ascii="仿宋_GB2312" w:eastAsia="仿宋_GB2312"/>
          <w:bCs/>
          <w:sz w:val="32"/>
          <w:szCs w:val="32"/>
        </w:rPr>
        <w:t>70t/d</w:t>
      </w:r>
      <w:r>
        <w:rPr>
          <w:rFonts w:hint="eastAsia" w:ascii="仿宋_GB2312" w:hAnsi="仿宋" w:eastAsia="仿宋_GB2312"/>
          <w:bCs/>
          <w:sz w:val="32"/>
          <w:szCs w:val="32"/>
        </w:rPr>
        <w:t>，总库容</w:t>
      </w:r>
      <w:r>
        <w:rPr>
          <w:rFonts w:hint="eastAsia" w:ascii="仿宋_GB2312" w:eastAsia="仿宋_GB2312"/>
          <w:bCs/>
          <w:sz w:val="32"/>
          <w:szCs w:val="32"/>
        </w:rPr>
        <w:t>64.14</w:t>
      </w:r>
      <w:r>
        <w:rPr>
          <w:rFonts w:hint="eastAsia" w:ascii="仿宋_GB2312" w:hAnsi="仿宋" w:eastAsia="仿宋_GB2312"/>
          <w:bCs/>
          <w:sz w:val="32"/>
          <w:szCs w:val="32"/>
        </w:rPr>
        <w:t>万</w:t>
      </w:r>
      <w:r>
        <w:rPr>
          <w:rFonts w:hint="eastAsia" w:ascii="仿宋_GB2312" w:eastAsia="仿宋_GB2312"/>
          <w:bCs/>
          <w:sz w:val="32"/>
          <w:szCs w:val="32"/>
        </w:rPr>
        <w:t>m</w:t>
      </w:r>
      <w:r>
        <w:rPr>
          <w:rFonts w:hint="eastAsia" w:ascii="仿宋_GB2312" w:eastAsia="仿宋_GB2312"/>
          <w:bCs/>
          <w:sz w:val="32"/>
          <w:szCs w:val="32"/>
          <w:vertAlign w:val="superscript"/>
        </w:rPr>
        <w:t>3</w:t>
      </w:r>
      <w:r>
        <w:rPr>
          <w:rFonts w:hint="eastAsia" w:ascii="仿宋_GB2312" w:hAnsi="仿宋" w:eastAsia="仿宋_GB2312"/>
          <w:bCs/>
          <w:sz w:val="32"/>
          <w:szCs w:val="32"/>
        </w:rPr>
        <w:t>，服务时间</w:t>
      </w:r>
      <w:r>
        <w:rPr>
          <w:rFonts w:hint="eastAsia" w:ascii="仿宋_GB2312" w:eastAsia="仿宋_GB2312"/>
          <w:bCs/>
          <w:sz w:val="32"/>
          <w:szCs w:val="32"/>
        </w:rPr>
        <w:t>2020</w:t>
      </w:r>
      <w:r>
        <w:rPr>
          <w:rFonts w:hint="eastAsia" w:ascii="仿宋_GB2312" w:hAnsi="仿宋" w:eastAsia="仿宋_GB2312"/>
          <w:bCs/>
          <w:sz w:val="32"/>
          <w:szCs w:val="32"/>
        </w:rPr>
        <w:t>～</w:t>
      </w:r>
      <w:r>
        <w:rPr>
          <w:rFonts w:hint="eastAsia" w:ascii="仿宋_GB2312" w:eastAsia="仿宋_GB2312"/>
          <w:bCs/>
          <w:sz w:val="32"/>
          <w:szCs w:val="32"/>
        </w:rPr>
        <w:t>2034</w:t>
      </w:r>
      <w:r>
        <w:rPr>
          <w:rFonts w:hint="eastAsia" w:ascii="仿宋_GB2312" w:hAnsi="仿宋" w:eastAsia="仿宋_GB2312"/>
          <w:bCs/>
          <w:sz w:val="32"/>
          <w:szCs w:val="32"/>
        </w:rPr>
        <w:t>年，运行年限</w:t>
      </w:r>
      <w:r>
        <w:rPr>
          <w:rFonts w:hint="eastAsia" w:ascii="仿宋_GB2312" w:eastAsia="仿宋_GB2312"/>
          <w:bCs/>
          <w:sz w:val="32"/>
          <w:szCs w:val="32"/>
        </w:rPr>
        <w:t>15</w:t>
      </w:r>
      <w:r>
        <w:rPr>
          <w:rFonts w:hint="eastAsia" w:ascii="仿宋_GB2312" w:hAnsi="仿宋" w:eastAsia="仿宋_GB2312"/>
          <w:bCs/>
          <w:sz w:val="32"/>
          <w:szCs w:val="32"/>
        </w:rPr>
        <w:t>年。选址位于县城岷江下游10km的安宏乡西宁村灯沟（属岷江的一级支沟），服务范围为松潘全县除小河片区以外的</w:t>
      </w:r>
      <w:r>
        <w:rPr>
          <w:rFonts w:hint="eastAsia" w:ascii="仿宋_GB2312" w:eastAsia="仿宋_GB2312"/>
          <w:bCs/>
          <w:sz w:val="32"/>
          <w:szCs w:val="32"/>
        </w:rPr>
        <w:t>21</w:t>
      </w:r>
      <w:r>
        <w:rPr>
          <w:rFonts w:hint="eastAsia" w:ascii="仿宋_GB2312" w:hAnsi="仿宋" w:eastAsia="仿宋_GB2312"/>
          <w:bCs/>
          <w:sz w:val="32"/>
          <w:szCs w:val="32"/>
        </w:rPr>
        <w:t>个乡镇。渗滤液采用</w:t>
      </w:r>
      <w:r>
        <w:rPr>
          <w:rFonts w:hint="eastAsia" w:ascii="仿宋_GB2312" w:hAnsi="仿宋" w:eastAsia="仿宋_GB2312"/>
          <w:kern w:val="0"/>
          <w:sz w:val="32"/>
          <w:szCs w:val="32"/>
        </w:rPr>
        <w:t>两级</w:t>
      </w:r>
      <w:r>
        <w:rPr>
          <w:rFonts w:hint="eastAsia" w:ascii="仿宋_GB2312" w:eastAsia="仿宋_GB2312"/>
          <w:kern w:val="0"/>
          <w:sz w:val="32"/>
          <w:szCs w:val="32"/>
        </w:rPr>
        <w:t>DTRO+</w:t>
      </w:r>
      <w:r>
        <w:rPr>
          <w:rFonts w:hint="eastAsia" w:ascii="仿宋_GB2312" w:hAnsi="仿宋" w:eastAsia="仿宋_GB2312"/>
          <w:kern w:val="0"/>
          <w:sz w:val="32"/>
          <w:szCs w:val="32"/>
        </w:rPr>
        <w:t>回喷（灌）模式作业处理，处理规模为</w:t>
      </w:r>
      <w:r>
        <w:rPr>
          <w:rFonts w:hint="eastAsia" w:ascii="仿宋_GB2312" w:eastAsia="仿宋_GB2312"/>
          <w:kern w:val="0"/>
          <w:sz w:val="32"/>
          <w:szCs w:val="32"/>
        </w:rPr>
        <w:t>35m</w:t>
      </w:r>
      <w:r>
        <w:rPr>
          <w:rFonts w:hint="eastAsia" w:eastAsia="仿宋_GB2312"/>
          <w:kern w:val="0"/>
          <w:sz w:val="32"/>
          <w:szCs w:val="32"/>
          <w:vertAlign w:val="superscript"/>
        </w:rPr>
        <w:t>3</w:t>
      </w:r>
      <w:r>
        <w:rPr>
          <w:rFonts w:hint="eastAsia" w:ascii="仿宋_GB2312" w:eastAsia="仿宋_GB2312"/>
          <w:kern w:val="0"/>
          <w:sz w:val="32"/>
          <w:szCs w:val="32"/>
        </w:rPr>
        <w:t>/d</w:t>
      </w:r>
      <w:r>
        <w:rPr>
          <w:rFonts w:hint="eastAsia" w:ascii="仿宋_GB2312" w:hAnsi="仿宋" w:eastAsia="仿宋_GB2312"/>
          <w:kern w:val="0"/>
          <w:sz w:val="32"/>
          <w:szCs w:val="32"/>
        </w:rPr>
        <w:t>。</w:t>
      </w:r>
    </w:p>
    <w:p>
      <w:pPr>
        <w:spacing w:line="240" w:lineRule="auto"/>
        <w:ind w:firstLine="640" w:firstLineChars="200"/>
        <w:jc w:val="both"/>
        <w:rPr>
          <w:rFonts w:hint="eastAsia" w:ascii="仿宋_GB2312" w:eastAsia="仿宋_GB2312"/>
          <w:bCs/>
          <w:sz w:val="32"/>
          <w:szCs w:val="32"/>
        </w:rPr>
      </w:pPr>
      <w:r>
        <w:rPr>
          <w:rFonts w:hint="eastAsia" w:ascii="仿宋_GB2312" w:hAnsi="仿宋" w:eastAsia="仿宋_GB2312"/>
          <w:bCs/>
          <w:sz w:val="32"/>
          <w:szCs w:val="32"/>
          <w:lang w:eastAsia="zh-CN"/>
        </w:rPr>
        <w:t>该</w:t>
      </w:r>
      <w:r>
        <w:rPr>
          <w:rFonts w:hint="eastAsia" w:ascii="仿宋_GB2312" w:hAnsi="仿宋" w:eastAsia="仿宋_GB2312"/>
          <w:bCs/>
          <w:sz w:val="32"/>
          <w:szCs w:val="32"/>
        </w:rPr>
        <w:t>项目业主单位为松潘县国有资产经营公司，代建单位为松潘县城管局，总投资</w:t>
      </w:r>
      <w:r>
        <w:rPr>
          <w:rFonts w:hint="eastAsia" w:ascii="仿宋_GB2312" w:eastAsia="仿宋_GB2312"/>
          <w:bCs/>
          <w:sz w:val="32"/>
          <w:szCs w:val="32"/>
        </w:rPr>
        <w:t>2429.63</w:t>
      </w:r>
      <w:r>
        <w:rPr>
          <w:rFonts w:hint="eastAsia" w:ascii="仿宋_GB2312" w:hAnsi="仿宋" w:eastAsia="仿宋_GB2312"/>
          <w:bCs/>
          <w:sz w:val="32"/>
          <w:szCs w:val="32"/>
        </w:rPr>
        <w:t>万元，由于项目未得到上级发改部门专项资金支持，松潘县暂从国债资金中解决2000万元，加上生态转移支付资金400万，作为建设费用。</w:t>
      </w:r>
    </w:p>
    <w:p>
      <w:pPr>
        <w:spacing w:line="240" w:lineRule="auto"/>
        <w:ind w:firstLineChars="200"/>
        <w:jc w:val="both"/>
        <w:rPr>
          <w:rFonts w:hint="eastAsia" w:ascii="仿宋_GB2312" w:hAnsi="仿宋" w:eastAsia="仿宋_GB2312"/>
          <w:sz w:val="32"/>
          <w:szCs w:val="32"/>
        </w:rPr>
      </w:pPr>
      <w:r>
        <w:rPr>
          <w:rFonts w:hint="eastAsia" w:ascii="仿宋_GB2312" w:hAnsi="仿宋" w:eastAsia="仿宋_GB2312"/>
          <w:sz w:val="32"/>
          <w:szCs w:val="32"/>
        </w:rPr>
        <w:t>2019.4.20，施工进场，目前正已完成“三通一平”、截洪沟、渗滤液调节池修建等工作，正在修建办公区、道路等。</w:t>
      </w:r>
    </w:p>
    <w:p>
      <w:pPr>
        <w:spacing w:line="240" w:lineRule="auto"/>
        <w:ind w:firstLineChars="200"/>
        <w:jc w:val="both"/>
        <w:rPr>
          <w:rFonts w:hint="eastAsia" w:ascii="仿宋_GB2312" w:hAnsi="仿宋" w:eastAsia="仿宋_GB2312"/>
          <w:sz w:val="32"/>
          <w:szCs w:val="32"/>
        </w:rPr>
      </w:pPr>
      <w:r>
        <w:rPr>
          <w:rFonts w:hint="eastAsia" w:ascii="仿宋_GB2312" w:hAnsi="仿宋" w:eastAsia="仿宋_GB2312"/>
          <w:sz w:val="32"/>
          <w:szCs w:val="32"/>
        </w:rPr>
        <w:t>松潘县新建垃圾填埋场项目将于2019年12月主体完工，年内具备试运行能力。</w:t>
      </w:r>
    </w:p>
    <w:p>
      <w:pPr>
        <w:spacing w:line="240" w:lineRule="auto"/>
        <w:ind w:firstLineChars="200"/>
        <w:jc w:val="both"/>
        <w:rPr>
          <w:rFonts w:hint="eastAsia" w:ascii="仿宋_GB2312" w:hAnsi="仿宋" w:eastAsia="仿宋_GB2312"/>
          <w:sz w:val="32"/>
          <w:szCs w:val="32"/>
        </w:rPr>
      </w:pPr>
      <w:r>
        <w:rPr>
          <w:rFonts w:hint="eastAsia" w:ascii="仿宋_GB2312" w:hAnsi="仿宋" w:eastAsia="仿宋_GB2312"/>
          <w:sz w:val="32"/>
          <w:szCs w:val="32"/>
        </w:rPr>
        <w:t>2020年，全面竣工并验收后正式投入使用。</w:t>
      </w:r>
    </w:p>
    <w:p>
      <w:pPr>
        <w:spacing w:line="240" w:lineRule="auto"/>
        <w:ind w:firstLineChars="200"/>
        <w:jc w:val="both"/>
        <w:rPr>
          <w:rFonts w:hint="eastAsia" w:ascii="楷体" w:hAnsi="楷体" w:eastAsia="楷体" w:cs="楷体"/>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县安宏乡西宁关村灯沟泥石流治理工程</w:t>
      </w:r>
    </w:p>
    <w:p>
      <w:pPr>
        <w:spacing w:line="240" w:lineRule="auto"/>
        <w:ind w:firstLineChars="200"/>
        <w:jc w:val="both"/>
        <w:rPr>
          <w:rFonts w:hint="eastAsia" w:ascii="仿宋_GB2312" w:hAnsi="仿宋" w:eastAsia="仿宋_GB2312"/>
          <w:sz w:val="32"/>
          <w:szCs w:val="32"/>
        </w:rPr>
      </w:pPr>
      <w:r>
        <w:rPr>
          <w:rFonts w:hint="eastAsia" w:ascii="仿宋_GB2312" w:hAnsi="仿宋" w:eastAsia="仿宋_GB2312"/>
          <w:sz w:val="32"/>
          <w:szCs w:val="32"/>
        </w:rPr>
        <w:t>松潘县安宏乡西宁关村灯沟泥石流治理工程总投资471.41万元，建设内容为：新建一座拦挡坝、一组拦石墙及排导槽长222米等。施工单位中标价：265.44万元。工程于2019年5月进场，目前已完工。待县自然资源局统一安排请省专家进行初验、终验。</w:t>
      </w:r>
    </w:p>
    <w:p>
      <w:pPr>
        <w:spacing w:line="240" w:lineRule="auto"/>
        <w:ind w:firstLineChars="2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6、城乡环境综合治理</w:t>
      </w:r>
    </w:p>
    <w:p>
      <w:pPr>
        <w:spacing w:line="578" w:lineRule="exact"/>
        <w:ind w:firstLine="640" w:firstLineChars="200"/>
        <w:rPr>
          <w:rFonts w:hint="eastAsia" w:ascii="Times New Roman" w:hAnsi="Times New Roman" w:eastAsia="仿宋_GB2312" w:cs="Times New Roman"/>
          <w:color w:val="00000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333333"/>
          <w:sz w:val="32"/>
        </w:rPr>
        <w:t>根据</w:t>
      </w:r>
      <w:r>
        <w:rPr>
          <w:rFonts w:hint="eastAsia" w:ascii="仿宋_GB2312" w:hAnsi="仿宋_GB2312" w:eastAsia="仿宋_GB2312" w:cs="仿宋_GB2312"/>
          <w:sz w:val="32"/>
          <w:szCs w:val="22"/>
        </w:rPr>
        <w:t>《实施意见》、《实施意见</w:t>
      </w:r>
      <w:r>
        <w:rPr>
          <w:rFonts w:hint="eastAsia" w:ascii="仿宋_GB2312" w:eastAsia="仿宋_GB2312"/>
          <w:sz w:val="32"/>
        </w:rPr>
        <w:t>的补充通知</w:t>
      </w:r>
      <w:r>
        <w:rPr>
          <w:rFonts w:hint="eastAsia" w:ascii="仿宋_GB2312" w:hAnsi="仿宋_GB2312" w:eastAsia="仿宋_GB2312" w:cs="仿宋_GB2312"/>
          <w:sz w:val="32"/>
          <w:szCs w:val="22"/>
        </w:rPr>
        <w:t>》</w:t>
      </w:r>
      <w:r>
        <w:rPr>
          <w:rFonts w:hint="eastAsia" w:ascii="仿宋_GB2312" w:hAnsi="仿宋_GB2312" w:eastAsia="仿宋_GB2312" w:cs="仿宋_GB2312"/>
          <w:color w:val="333333"/>
          <w:sz w:val="32"/>
        </w:rPr>
        <w:t>文件要求。</w:t>
      </w:r>
      <w:r>
        <w:rPr>
          <w:rFonts w:hint="eastAsia" w:eastAsia="仿宋_GB2312" w:cs="Times New Roman"/>
          <w:color w:val="000000"/>
          <w:sz w:val="32"/>
          <w:szCs w:val="32"/>
          <w:lang w:eastAsia="zh-CN"/>
        </w:rPr>
        <w:t>积极推进</w:t>
      </w:r>
      <w:r>
        <w:rPr>
          <w:rFonts w:hint="default" w:ascii="Times New Roman" w:hAnsi="Times New Roman" w:eastAsia="仿宋_GB2312" w:cs="Times New Roman"/>
          <w:color w:val="000000"/>
          <w:sz w:val="32"/>
          <w:szCs w:val="32"/>
          <w:lang w:eastAsia="zh-CN"/>
        </w:rPr>
        <w:t>“环境综合治理示范乡镇和村社”的创建工作</w:t>
      </w:r>
      <w:r>
        <w:rPr>
          <w:rFonts w:hint="eastAsia" w:eastAsia="仿宋_GB2312" w:cs="Times New Roman"/>
          <w:color w:val="000000"/>
          <w:sz w:val="32"/>
          <w:szCs w:val="32"/>
          <w:lang w:eastAsia="zh-CN"/>
        </w:rPr>
        <w:t>。</w:t>
      </w:r>
      <w:r>
        <w:rPr>
          <w:rFonts w:hint="eastAsia" w:ascii="仿宋_GB2312" w:hAnsi="仿宋_GB2312" w:eastAsia="仿宋_GB2312" w:cs="仿宋_GB2312"/>
          <w:color w:val="333333"/>
          <w:sz w:val="32"/>
        </w:rPr>
        <w:t>严格落实月检查评比制度，逗硬奖惩，</w:t>
      </w:r>
      <w:r>
        <w:rPr>
          <w:rFonts w:ascii="仿宋_GB2312" w:hAnsi="仿宋_GB2312" w:eastAsia="仿宋_GB2312" w:cs="仿宋_GB2312"/>
          <w:color w:val="333333"/>
          <w:sz w:val="32"/>
        </w:rPr>
        <w:t>确保工作质量</w:t>
      </w:r>
      <w:r>
        <w:rPr>
          <w:rFonts w:hint="eastAsia" w:ascii="仿宋_GB2312" w:hAnsi="仿宋_GB2312" w:eastAsia="仿宋_GB2312" w:cs="仿宋_GB2312"/>
          <w:color w:val="333333"/>
          <w:sz w:val="32"/>
        </w:rPr>
        <w:t>。</w:t>
      </w:r>
      <w:r>
        <w:rPr>
          <w:rFonts w:hint="eastAsia" w:ascii="仿宋_GB2312" w:hAnsi="宋体" w:eastAsia="仿宋_GB2312" w:cs="Times New Roman"/>
          <w:sz w:val="32"/>
          <w:szCs w:val="32"/>
          <w:lang w:val="en-US" w:eastAsia="zh-CN"/>
        </w:rPr>
        <w:t>截止目前，对全县24个乡镇督察18次，下发《督办通知单》388份，</w:t>
      </w:r>
      <w:r>
        <w:rPr>
          <w:rFonts w:hint="eastAsia" w:eastAsia="仿宋_GB2312" w:cs="Times New Roman"/>
          <w:color w:val="000000"/>
          <w:sz w:val="32"/>
          <w:szCs w:val="32"/>
          <w:lang w:eastAsia="zh-CN"/>
        </w:rPr>
        <w:t>创建</w:t>
      </w:r>
      <w:r>
        <w:rPr>
          <w:rFonts w:hint="default" w:ascii="Times New Roman" w:hAnsi="Times New Roman" w:eastAsia="仿宋_GB2312" w:cs="Times New Roman"/>
          <w:color w:val="000000"/>
          <w:sz w:val="32"/>
          <w:szCs w:val="32"/>
          <w:lang w:eastAsia="zh-CN"/>
        </w:rPr>
        <w:t>环境综合治理示范乡镇</w:t>
      </w:r>
      <w:r>
        <w:rPr>
          <w:rFonts w:hint="eastAsia" w:eastAsia="仿宋_GB2312"/>
          <w:sz w:val="32"/>
          <w:szCs w:val="22"/>
          <w:lang w:val="en-US" w:eastAsia="zh-CN"/>
        </w:rPr>
        <w:t>19个、</w:t>
      </w:r>
      <w:r>
        <w:rPr>
          <w:rFonts w:hint="default" w:ascii="Times New Roman" w:hAnsi="Times New Roman" w:eastAsia="仿宋_GB2312" w:cs="Times New Roman"/>
          <w:color w:val="000000"/>
          <w:sz w:val="32"/>
          <w:szCs w:val="32"/>
          <w:lang w:eastAsia="zh-CN"/>
        </w:rPr>
        <w:t>示范村社</w:t>
      </w:r>
      <w:r>
        <w:rPr>
          <w:rFonts w:hint="eastAsia" w:eastAsia="仿宋_GB2312" w:cs="Times New Roman"/>
          <w:color w:val="000000"/>
          <w:sz w:val="32"/>
          <w:szCs w:val="32"/>
          <w:lang w:val="en-US" w:eastAsia="zh-CN"/>
        </w:rPr>
        <w:t>119个；</w:t>
      </w:r>
      <w:r>
        <w:rPr>
          <w:rFonts w:hint="default" w:ascii="Times New Roman" w:hAnsi="Times New Roman" w:eastAsia="仿宋_GB2312" w:cs="Times New Roman"/>
          <w:color w:val="000000"/>
          <w:sz w:val="32"/>
          <w:szCs w:val="32"/>
          <w:lang w:eastAsia="zh-CN"/>
        </w:rPr>
        <w:t>坚持落实“环境整治”每周一曝光制度，</w:t>
      </w:r>
      <w:r>
        <w:rPr>
          <w:rFonts w:hint="eastAsia" w:ascii="Times New Roman" w:hAnsi="Times New Roman" w:eastAsia="仿宋_GB2312" w:cs="Times New Roman"/>
          <w:color w:val="000000"/>
          <w:sz w:val="32"/>
          <w:szCs w:val="32"/>
          <w:lang w:eastAsia="zh-CN"/>
        </w:rPr>
        <w:t>曝光</w:t>
      </w:r>
      <w:r>
        <w:rPr>
          <w:rFonts w:hint="eastAsia"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lang w:val="en-US" w:eastAsia="zh-CN"/>
        </w:rPr>
        <w:t>期</w:t>
      </w:r>
      <w:r>
        <w:rPr>
          <w:rFonts w:hint="eastAsia" w:ascii="Times New Roman" w:hAnsi="Times New Roman" w:eastAsia="仿宋_GB2312" w:cs="Times New Roman"/>
          <w:color w:val="000000"/>
          <w:sz w:val="32"/>
          <w:szCs w:val="32"/>
          <w:lang w:eastAsia="zh-CN"/>
        </w:rPr>
        <w:t>环境问题</w:t>
      </w:r>
      <w:r>
        <w:rPr>
          <w:rFonts w:hint="eastAsia" w:eastAsia="仿宋_GB2312" w:cs="Times New Roman"/>
          <w:color w:val="000000"/>
          <w:sz w:val="32"/>
          <w:szCs w:val="32"/>
          <w:lang w:eastAsia="zh-CN"/>
        </w:rPr>
        <w:t>；充分发挥机关干部的带头作用，</w:t>
      </w:r>
      <w:r>
        <w:rPr>
          <w:rFonts w:hint="eastAsia" w:ascii="Times New Roman" w:hAnsi="Times New Roman" w:eastAsia="仿宋_GB2312" w:cs="Times New Roman"/>
          <w:color w:val="000000"/>
          <w:sz w:val="32"/>
          <w:szCs w:val="32"/>
          <w:lang w:eastAsia="zh-CN"/>
        </w:rPr>
        <w:t>认真落实“环境综合治理日”制度，开展“环境综合治理日”活动</w:t>
      </w:r>
      <w:r>
        <w:rPr>
          <w:rFonts w:hint="eastAsia"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eastAsia="zh-CN"/>
        </w:rPr>
        <w:t>次；全县城乡环境面貌不断改观。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Times New Roman" w:eastAsia="仿宋_GB2312" w:cs="仿宋_GB2312"/>
          <w:sz w:val="32"/>
          <w:szCs w:val="32"/>
          <w:shd w:val="clear" w:color="auto" w:fill="FFFFFF"/>
          <w:lang w:eastAsia="zh-CN"/>
        </w:rPr>
      </w:pPr>
      <w:r>
        <w:rPr>
          <w:rFonts w:hint="eastAsia" w:ascii="仿宋_GB2312" w:hAnsi="仿宋_GB2312" w:eastAsia="仿宋_GB2312" w:cs="仿宋_GB2312"/>
          <w:color w:val="333333"/>
          <w:sz w:val="32"/>
          <w:lang w:eastAsia="zh-CN"/>
        </w:rPr>
        <w:t>（</w:t>
      </w:r>
      <w:r>
        <w:rPr>
          <w:rFonts w:hint="eastAsia" w:ascii="仿宋_GB2312" w:hAnsi="仿宋_GB2312" w:eastAsia="仿宋_GB2312" w:cs="仿宋_GB2312"/>
          <w:color w:val="333333"/>
          <w:sz w:val="32"/>
          <w:lang w:val="en-US" w:eastAsia="zh-CN"/>
        </w:rPr>
        <w:t>2</w:t>
      </w:r>
      <w:r>
        <w:rPr>
          <w:rFonts w:hint="eastAsia" w:ascii="仿宋_GB2312" w:hAnsi="仿宋_GB2312" w:eastAsia="仿宋_GB2312" w:cs="仿宋_GB2312"/>
          <w:color w:val="333333"/>
          <w:sz w:val="32"/>
          <w:lang w:eastAsia="zh-CN"/>
        </w:rPr>
        <w:t>）、</w:t>
      </w:r>
      <w:r>
        <w:rPr>
          <w:rFonts w:hint="eastAsia" w:ascii="仿宋_GB2312" w:hAnsi="仿宋_GB2312" w:eastAsia="仿宋_GB2312" w:cs="仿宋_GB2312"/>
          <w:sz w:val="32"/>
          <w:szCs w:val="32"/>
        </w:rPr>
        <w:t>根据《松潘县“三域一居”环境综合整治实施方案（试行）》文件要求，</w:t>
      </w:r>
      <w:r>
        <w:rPr>
          <w:rFonts w:hint="default" w:ascii="Times New Roman" w:hAnsi="Times New Roman" w:eastAsia="仿宋_GB2312" w:cs="Times New Roman"/>
          <w:color w:val="000000"/>
          <w:sz w:val="32"/>
          <w:szCs w:val="32"/>
          <w:lang w:eastAsia="zh-CN"/>
        </w:rPr>
        <w:t>结合“环境革命”“创文、创卫”“全域旅游”工作，持续深化“三域一居”环境综合整治工作。</w:t>
      </w: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lang w:val="en-US" w:eastAsia="zh-CN"/>
        </w:rPr>
        <w:t>规范公路沿线标识标牌，</w:t>
      </w:r>
      <w:r>
        <w:rPr>
          <w:rFonts w:hint="eastAsia" w:ascii="仿宋_GB2312" w:hAnsi="仿宋_GB2312" w:eastAsia="仿宋_GB2312" w:cs="仿宋_GB2312"/>
          <w:b w:val="0"/>
          <w:bCs w:val="0"/>
          <w:sz w:val="32"/>
          <w:lang w:val="en-US" w:eastAsia="zh-CN"/>
        </w:rPr>
        <w:t>清理公路可视范围内非公路标志标牌450个，横幅135个，挡墙上标语138幅共计7800余平方米，</w:t>
      </w:r>
      <w:r>
        <w:rPr>
          <w:rFonts w:hint="eastAsia" w:ascii="仿宋" w:hAnsi="仿宋" w:eastAsia="仿宋" w:cs="宋体"/>
          <w:sz w:val="32"/>
          <w:szCs w:val="32"/>
          <w:lang w:eastAsia="zh-CN"/>
        </w:rPr>
        <w:t>拆除旧公路标识</w:t>
      </w:r>
      <w:r>
        <w:rPr>
          <w:rFonts w:hint="eastAsia" w:ascii="仿宋" w:hAnsi="仿宋" w:eastAsia="仿宋" w:cs="宋体"/>
          <w:sz w:val="32"/>
          <w:szCs w:val="32"/>
          <w:lang w:val="en-US" w:eastAsia="zh-CN"/>
        </w:rPr>
        <w:t>70个，更换公路标识128个。</w:t>
      </w:r>
      <w:r>
        <w:rPr>
          <w:rFonts w:hint="eastAsia" w:ascii="Times New Roman" w:hAnsi="Times New Roman" w:eastAsia="仿宋_GB2312" w:cs="Times New Roman"/>
          <w:b/>
          <w:bCs/>
          <w:color w:val="000000"/>
          <w:sz w:val="32"/>
          <w:szCs w:val="32"/>
          <w:lang w:eastAsia="zh-CN"/>
        </w:rPr>
        <w:t>二是</w:t>
      </w:r>
      <w:r>
        <w:rPr>
          <w:rFonts w:hint="eastAsia" w:ascii="仿宋_GB2312" w:hAnsi="仿宋_GB2312" w:eastAsia="仿宋_GB2312" w:cs="仿宋_GB2312"/>
          <w:b w:val="0"/>
          <w:bCs w:val="0"/>
          <w:sz w:val="32"/>
          <w:szCs w:val="32"/>
          <w:lang w:val="en-US" w:eastAsia="zh-CN"/>
        </w:rPr>
        <w:t>提升公路绿化美化水平，</w:t>
      </w:r>
      <w:r>
        <w:rPr>
          <w:rFonts w:hint="eastAsia" w:ascii="Times New Roman" w:hAnsi="Times New Roman" w:eastAsia="仿宋_GB2312" w:cs="Times New Roman"/>
          <w:color w:val="000000"/>
          <w:sz w:val="32"/>
          <w:szCs w:val="32"/>
          <w:lang w:eastAsia="zh-CN"/>
        </w:rPr>
        <w:t>完成公路林网改造提升84公里，美化道路两旁堡坎8000余平方米</w:t>
      </w:r>
      <w:r>
        <w:rPr>
          <w:rFonts w:hint="eastAsia" w:eastAsia="仿宋_GB2312" w:cs="Times New Roman"/>
          <w:color w:val="000000"/>
          <w:sz w:val="32"/>
          <w:szCs w:val="32"/>
          <w:lang w:eastAsia="zh-CN"/>
        </w:rPr>
        <w:t>，</w:t>
      </w:r>
      <w:r>
        <w:rPr>
          <w:rFonts w:hint="eastAsia" w:ascii="仿宋_GB2312" w:hAnsi="仿宋_GB2312" w:eastAsia="仿宋_GB2312" w:cs="仿宋_GB2312"/>
          <w:sz w:val="32"/>
          <w:szCs w:val="32"/>
          <w:lang w:val="en-US" w:eastAsia="zh-CN"/>
        </w:rPr>
        <w:t>清理各类垃圾64余吨，</w:t>
      </w:r>
      <w:r>
        <w:rPr>
          <w:rFonts w:hint="eastAsia" w:ascii="仿宋" w:hAnsi="仿宋" w:eastAsia="仿宋"/>
          <w:sz w:val="32"/>
          <w:szCs w:val="32"/>
          <w:lang w:eastAsia="zh-CN"/>
        </w:rPr>
        <w:t>清理桥梁破旧经幡</w:t>
      </w:r>
      <w:r>
        <w:rPr>
          <w:rFonts w:hint="eastAsia" w:ascii="仿宋" w:hAnsi="仿宋" w:eastAsia="仿宋"/>
          <w:sz w:val="32"/>
          <w:szCs w:val="32"/>
          <w:lang w:val="en-US" w:eastAsia="zh-CN"/>
        </w:rPr>
        <w:t>30处，</w:t>
      </w:r>
      <w:r>
        <w:rPr>
          <w:rFonts w:hint="eastAsia" w:ascii="仿宋" w:hAnsi="仿宋" w:eastAsia="仿宋"/>
          <w:sz w:val="32"/>
          <w:szCs w:val="32"/>
        </w:rPr>
        <w:t>喷绘</w:t>
      </w:r>
      <w:r>
        <w:rPr>
          <w:rFonts w:hint="eastAsia" w:ascii="仿宋" w:hAnsi="仿宋" w:eastAsia="仿宋"/>
          <w:sz w:val="32"/>
          <w:szCs w:val="32"/>
          <w:lang w:eastAsia="zh-CN"/>
        </w:rPr>
        <w:t>美化桥梁</w:t>
      </w:r>
      <w:r>
        <w:rPr>
          <w:rFonts w:hint="eastAsia" w:ascii="仿宋" w:hAnsi="仿宋" w:eastAsia="仿宋"/>
          <w:sz w:val="32"/>
          <w:szCs w:val="32"/>
          <w:lang w:val="en-US" w:eastAsia="zh-CN"/>
        </w:rPr>
        <w:t>13座</w:t>
      </w:r>
      <w:r>
        <w:rPr>
          <w:rFonts w:hint="eastAsia" w:ascii="仿宋" w:hAnsi="仿宋" w:eastAsia="仿宋"/>
          <w:sz w:val="32"/>
          <w:szCs w:val="32"/>
        </w:rPr>
        <w:t>。</w:t>
      </w:r>
      <w:r>
        <w:rPr>
          <w:rFonts w:hint="eastAsia" w:ascii="Times New Roman" w:hAnsi="Times New Roman" w:eastAsia="仿宋_GB2312" w:cs="Times New Roman"/>
          <w:b/>
          <w:bCs/>
          <w:color w:val="000000"/>
          <w:sz w:val="32"/>
          <w:szCs w:val="32"/>
          <w:lang w:eastAsia="zh-CN"/>
        </w:rPr>
        <w:t>三是</w:t>
      </w:r>
      <w:r>
        <w:rPr>
          <w:rFonts w:hint="eastAsia" w:ascii="仿宋_GB2312" w:hAnsi="仿宋_GB2312" w:eastAsia="仿宋_GB2312" w:cs="仿宋_GB2312"/>
          <w:b w:val="0"/>
          <w:bCs w:val="0"/>
          <w:sz w:val="32"/>
          <w:szCs w:val="32"/>
          <w:lang w:val="en-US" w:eastAsia="zh-CN"/>
        </w:rPr>
        <w:t>提升公路养护管理质量，</w:t>
      </w:r>
      <w:r>
        <w:rPr>
          <w:rFonts w:hint="eastAsia" w:ascii="仿宋" w:hAnsi="仿宋" w:eastAsia="仿宋"/>
          <w:sz w:val="32"/>
          <w:szCs w:val="32"/>
        </w:rPr>
        <w:t>清理零星塌方</w:t>
      </w:r>
      <w:r>
        <w:rPr>
          <w:rFonts w:hint="eastAsia" w:ascii="仿宋" w:hAnsi="仿宋" w:eastAsia="仿宋"/>
          <w:sz w:val="32"/>
          <w:szCs w:val="32"/>
          <w:lang w:val="en-US" w:eastAsia="zh-CN"/>
        </w:rPr>
        <w:t>23处</w:t>
      </w:r>
      <w:r>
        <w:rPr>
          <w:rFonts w:hint="eastAsia" w:ascii="仿宋" w:hAnsi="仿宋" w:eastAsia="仿宋"/>
          <w:sz w:val="32"/>
          <w:szCs w:val="32"/>
        </w:rPr>
        <w:t>，清理</w:t>
      </w:r>
      <w:r>
        <w:rPr>
          <w:rFonts w:ascii="仿宋" w:hAnsi="仿宋" w:eastAsia="仿宋"/>
          <w:sz w:val="32"/>
          <w:szCs w:val="32"/>
        </w:rPr>
        <w:t>G213</w:t>
      </w:r>
      <w:r>
        <w:rPr>
          <w:rFonts w:hint="eastAsia" w:ascii="仿宋" w:hAnsi="仿宋" w:eastAsia="仿宋"/>
          <w:sz w:val="32"/>
          <w:szCs w:val="32"/>
        </w:rPr>
        <w:t>线</w:t>
      </w:r>
      <w:r>
        <w:rPr>
          <w:rFonts w:hint="eastAsia" w:ascii="仿宋" w:hAnsi="仿宋" w:eastAsia="仿宋"/>
          <w:sz w:val="32"/>
          <w:szCs w:val="32"/>
          <w:lang w:eastAsia="zh-CN"/>
        </w:rPr>
        <w:t>、安牟路、平松路</w:t>
      </w:r>
      <w:r>
        <w:rPr>
          <w:rFonts w:hint="eastAsia" w:ascii="仿宋" w:hAnsi="仿宋" w:eastAsia="仿宋"/>
          <w:sz w:val="32"/>
          <w:szCs w:val="32"/>
        </w:rPr>
        <w:t>坍方</w:t>
      </w:r>
      <w:r>
        <w:rPr>
          <w:rFonts w:hint="eastAsia" w:ascii="仿宋" w:hAnsi="仿宋" w:eastAsia="仿宋"/>
          <w:sz w:val="32"/>
          <w:szCs w:val="32"/>
          <w:lang w:eastAsia="zh-CN"/>
        </w:rPr>
        <w:t>、滑坡共计</w:t>
      </w:r>
      <w:r>
        <w:rPr>
          <w:rFonts w:hint="eastAsia" w:ascii="仿宋" w:hAnsi="仿宋" w:eastAsia="仿宋"/>
          <w:sz w:val="32"/>
          <w:szCs w:val="32"/>
          <w:lang w:val="en-US" w:eastAsia="zh-CN"/>
        </w:rPr>
        <w:t>20000</w:t>
      </w:r>
      <w:r>
        <w:rPr>
          <w:rFonts w:hint="eastAsia" w:ascii="仿宋" w:hAnsi="仿宋" w:eastAsia="仿宋"/>
          <w:sz w:val="32"/>
          <w:szCs w:val="32"/>
        </w:rPr>
        <w:t>余立方</w:t>
      </w:r>
      <w:r>
        <w:rPr>
          <w:rFonts w:hint="eastAsia" w:ascii="仿宋" w:hAnsi="仿宋" w:eastAsia="仿宋"/>
          <w:sz w:val="32"/>
          <w:szCs w:val="32"/>
          <w:lang w:eastAsia="zh-CN"/>
        </w:rPr>
        <w:t>，</w:t>
      </w:r>
      <w:r>
        <w:rPr>
          <w:rFonts w:hint="eastAsia" w:ascii="仿宋" w:hAnsi="仿宋" w:eastAsia="仿宋"/>
          <w:sz w:val="32"/>
          <w:szCs w:val="32"/>
        </w:rPr>
        <w:t>清理公路边沟盖板上浮石</w:t>
      </w:r>
      <w:r>
        <w:rPr>
          <w:rFonts w:hint="eastAsia" w:ascii="仿宋" w:hAnsi="仿宋" w:eastAsia="仿宋"/>
          <w:sz w:val="32"/>
          <w:szCs w:val="32"/>
          <w:lang w:val="en-US" w:eastAsia="zh-CN"/>
        </w:rPr>
        <w:t>36</w:t>
      </w:r>
      <w:r>
        <w:rPr>
          <w:rFonts w:hint="eastAsia" w:ascii="仿宋" w:hAnsi="仿宋" w:eastAsia="仿宋"/>
          <w:sz w:val="32"/>
          <w:szCs w:val="32"/>
        </w:rPr>
        <w:t>公里，清理路肩边坡和水沟盖板上杂草</w:t>
      </w:r>
      <w:r>
        <w:rPr>
          <w:rFonts w:hint="eastAsia" w:ascii="仿宋" w:hAnsi="仿宋" w:eastAsia="仿宋"/>
          <w:sz w:val="32"/>
          <w:szCs w:val="32"/>
          <w:lang w:val="en-US" w:eastAsia="zh-CN"/>
        </w:rPr>
        <w:t>216.5公里</w:t>
      </w:r>
      <w:r>
        <w:rPr>
          <w:rFonts w:hint="eastAsia" w:ascii="仿宋" w:hAnsi="仿宋" w:eastAsia="仿宋"/>
          <w:sz w:val="32"/>
          <w:szCs w:val="32"/>
        </w:rPr>
        <w:t>，排水沟</w:t>
      </w:r>
      <w:r>
        <w:rPr>
          <w:rFonts w:hint="eastAsia" w:ascii="仿宋" w:hAnsi="仿宋" w:eastAsia="仿宋"/>
          <w:sz w:val="32"/>
          <w:szCs w:val="32"/>
          <w:lang w:val="en-US" w:eastAsia="zh-CN"/>
        </w:rPr>
        <w:t>168.5</w:t>
      </w:r>
      <w:r>
        <w:rPr>
          <w:rFonts w:hint="eastAsia" w:ascii="仿宋" w:hAnsi="仿宋" w:eastAsia="仿宋"/>
          <w:sz w:val="32"/>
          <w:szCs w:val="32"/>
          <w:lang w:eastAsia="zh-CN"/>
        </w:rPr>
        <w:t>公里</w:t>
      </w:r>
      <w:r>
        <w:rPr>
          <w:rFonts w:hint="eastAsia" w:ascii="仿宋" w:hAnsi="仿宋" w:eastAsia="仿宋"/>
          <w:sz w:val="32"/>
          <w:szCs w:val="32"/>
        </w:rPr>
        <w:t>，清理涵洞</w:t>
      </w:r>
      <w:r>
        <w:rPr>
          <w:rFonts w:hint="eastAsia" w:ascii="仿宋" w:hAnsi="仿宋" w:eastAsia="仿宋"/>
          <w:sz w:val="32"/>
          <w:szCs w:val="32"/>
          <w:lang w:val="en-US" w:eastAsia="zh-CN"/>
        </w:rPr>
        <w:t>108</w:t>
      </w:r>
      <w:r>
        <w:rPr>
          <w:rFonts w:hint="eastAsia" w:ascii="仿宋" w:hAnsi="仿宋" w:eastAsia="仿宋"/>
          <w:sz w:val="32"/>
          <w:szCs w:val="32"/>
        </w:rPr>
        <w:t>道</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b/>
          <w:bCs/>
          <w:color w:val="000000"/>
          <w:sz w:val="32"/>
          <w:szCs w:val="32"/>
          <w:lang w:eastAsia="zh-CN"/>
        </w:rPr>
        <w:t>四是</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lang w:val="en-US" w:eastAsia="zh-CN"/>
        </w:rPr>
        <w:t>交通秩序、公路桥梁隧道安全整治行动”及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双超”治理行动，</w:t>
      </w:r>
      <w:r>
        <w:rPr>
          <w:rFonts w:hint="eastAsia" w:ascii="Times New Roman" w:hAnsi="Times New Roman" w:eastAsia="仿宋_GB2312" w:cs="Times New Roman"/>
          <w:color w:val="000000"/>
          <w:sz w:val="32"/>
          <w:szCs w:val="32"/>
          <w:lang w:eastAsia="zh-CN"/>
        </w:rPr>
        <w:t>查处各类交通违法行为</w:t>
      </w:r>
      <w:r>
        <w:rPr>
          <w:rFonts w:hint="eastAsia" w:ascii="仿宋" w:hAnsi="仿宋" w:eastAsia="仿宋" w:cs="仿宋"/>
          <w:sz w:val="32"/>
          <w:szCs w:val="32"/>
          <w:lang w:val="en-US" w:eastAsia="zh-CN"/>
        </w:rPr>
        <w:t>2799</w:t>
      </w:r>
      <w:r>
        <w:rPr>
          <w:rFonts w:hint="eastAsia" w:ascii="Times New Roman" w:hAnsi="Times New Roman" w:eastAsia="仿宋_GB2312" w:cs="Times New Roman"/>
          <w:color w:val="000000"/>
          <w:sz w:val="32"/>
          <w:szCs w:val="32"/>
          <w:lang w:eastAsia="zh-CN"/>
        </w:rPr>
        <w:t>起</w:t>
      </w:r>
      <w:r>
        <w:rPr>
          <w:rFonts w:hint="eastAsia" w:eastAsia="仿宋_GB2312" w:cs="Times New Roman"/>
          <w:color w:val="000000"/>
          <w:sz w:val="32"/>
          <w:szCs w:val="32"/>
          <w:lang w:eastAsia="zh-CN"/>
        </w:rPr>
        <w:t>，</w:t>
      </w:r>
      <w:r>
        <w:rPr>
          <w:rFonts w:hint="eastAsia" w:ascii="仿宋_GB2312" w:hAnsi="仿宋_GB2312" w:eastAsia="仿宋_GB2312" w:cs="仿宋_GB2312"/>
          <w:sz w:val="32"/>
          <w:szCs w:val="32"/>
          <w:lang w:val="en-US" w:eastAsia="zh-CN"/>
        </w:rPr>
        <w:t>排查桥梁54座，桥梁安全检测13座，隧道4座，</w:t>
      </w:r>
      <w:r>
        <w:rPr>
          <w:rFonts w:hint="default" w:ascii="Times New Roman" w:hAnsi="Times New Roman" w:eastAsia="仿宋_GB2312" w:cs="Times New Roman"/>
          <w:color w:val="auto"/>
          <w:sz w:val="32"/>
          <w:szCs w:val="32"/>
        </w:rPr>
        <w:t>强化成兰铁路</w:t>
      </w:r>
      <w:r>
        <w:rPr>
          <w:rFonts w:hint="default" w:ascii="Times New Roman" w:hAnsi="Times New Roman" w:eastAsia="仿宋_GB2312" w:cs="Times New Roman"/>
          <w:color w:val="auto"/>
          <w:sz w:val="32"/>
          <w:szCs w:val="32"/>
          <w:lang w:eastAsia="zh-CN"/>
        </w:rPr>
        <w:t>（松潘段）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川九路以及</w:t>
      </w:r>
      <w:r>
        <w:rPr>
          <w:rFonts w:hint="default" w:ascii="Times New Roman" w:hAnsi="Times New Roman" w:eastAsia="仿宋_GB2312" w:cs="Times New Roman"/>
          <w:color w:val="auto"/>
          <w:sz w:val="32"/>
          <w:szCs w:val="32"/>
        </w:rPr>
        <w:t>各类在建</w:t>
      </w:r>
      <w:r>
        <w:rPr>
          <w:rFonts w:hint="default" w:ascii="Times New Roman" w:hAnsi="Times New Roman" w:eastAsia="仿宋_GB2312" w:cs="Times New Roman"/>
          <w:color w:val="auto"/>
          <w:sz w:val="32"/>
          <w:szCs w:val="32"/>
          <w:lang w:eastAsia="zh-CN"/>
        </w:rPr>
        <w:t>交通项目</w:t>
      </w:r>
      <w:r>
        <w:rPr>
          <w:rFonts w:hint="default" w:ascii="Times New Roman" w:hAnsi="Times New Roman" w:eastAsia="仿宋_GB2312" w:cs="Times New Roman"/>
          <w:color w:val="auto"/>
          <w:sz w:val="32"/>
          <w:szCs w:val="32"/>
        </w:rPr>
        <w:t>规范管理，</w:t>
      </w:r>
      <w:r>
        <w:rPr>
          <w:rFonts w:hint="default" w:ascii="Times New Roman" w:hAnsi="Times New Roman" w:eastAsia="仿宋_GB2312" w:cs="Times New Roman"/>
          <w:color w:val="auto"/>
          <w:sz w:val="32"/>
        </w:rPr>
        <w:t>全面改善公路及沿线路域环境</w:t>
      </w:r>
      <w:r>
        <w:rPr>
          <w:rFonts w:hint="default" w:ascii="Times New Roman" w:hAnsi="Times New Roman" w:eastAsia="仿宋_GB2312" w:cs="Times New Roman"/>
          <w:color w:val="auto"/>
          <w:sz w:val="32"/>
          <w:lang w:eastAsia="zh-CN"/>
        </w:rPr>
        <w:t>。</w:t>
      </w:r>
      <w:r>
        <w:rPr>
          <w:rFonts w:hint="eastAsia" w:ascii="Times New Roman" w:hAnsi="Times New Roman" w:eastAsia="仿宋_GB2312" w:cs="Times New Roman"/>
          <w:b/>
          <w:bCs/>
          <w:color w:val="000000"/>
          <w:sz w:val="32"/>
          <w:szCs w:val="32"/>
          <w:lang w:eastAsia="zh-CN"/>
        </w:rPr>
        <w:t>五是</w:t>
      </w:r>
      <w:r>
        <w:rPr>
          <w:rFonts w:hint="eastAsia" w:ascii="仿宋_GB2312" w:hAnsi="仿宋_GB2312" w:eastAsia="仿宋_GB2312" w:cs="仿宋_GB2312"/>
          <w:b w:val="0"/>
          <w:bCs w:val="0"/>
          <w:sz w:val="32"/>
          <w:szCs w:val="32"/>
          <w:lang w:val="en-US" w:eastAsia="zh-CN"/>
        </w:rPr>
        <w:t>严格涉路施工管理，</w:t>
      </w:r>
      <w:r>
        <w:rPr>
          <w:rFonts w:hint="eastAsia" w:ascii="仿宋_GB2312" w:hAnsi="仿宋_GB2312" w:eastAsia="仿宋_GB2312" w:cs="仿宋_GB2312"/>
          <w:sz w:val="32"/>
          <w:szCs w:val="32"/>
          <w:lang w:val="en-US" w:eastAsia="zh-CN"/>
        </w:rPr>
        <w:t>规范工地围栏，更换、修复陈旧、破损及倾斜的施工标志标牌，大力整治运输车辆未采取密闭覆盖等有效措施造成的扬尘污染问题。</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强化平道交口治理，</w:t>
      </w:r>
      <w:r>
        <w:rPr>
          <w:rFonts w:hint="eastAsia" w:ascii="仿宋_GB2312" w:hAnsi="仿宋_GB2312" w:eastAsia="仿宋_GB2312" w:cs="仿宋_GB2312"/>
          <w:sz w:val="32"/>
          <w:szCs w:val="32"/>
          <w:lang w:val="en-US" w:eastAsia="zh-CN"/>
        </w:rPr>
        <w:t>增设道口安全警示牌26个。</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color w:val="000000"/>
          <w:sz w:val="32"/>
          <w:szCs w:val="32"/>
          <w:lang w:eastAsia="zh-CN"/>
        </w:rPr>
        <w:t>加大</w:t>
      </w:r>
      <w:r>
        <w:rPr>
          <w:rFonts w:hint="eastAsia" w:ascii="仿宋_GB2312" w:hAnsi="仿宋_GB2312" w:eastAsia="仿宋_GB2312" w:cs="仿宋_GB2312"/>
          <w:color w:val="000000"/>
          <w:sz w:val="32"/>
          <w:szCs w:val="32"/>
        </w:rPr>
        <w:t>县域内河流巡查力度</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sz w:val="32"/>
          <w:szCs w:val="32"/>
          <w:lang w:eastAsia="zh-CN"/>
        </w:rPr>
        <w:t>共计</w:t>
      </w:r>
      <w:r>
        <w:rPr>
          <w:rFonts w:hint="eastAsia"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lang w:eastAsia="zh-CN"/>
        </w:rPr>
        <w:t>巡河1035人次，清理河道内漂浮物以及沿河两岸白色</w:t>
      </w:r>
      <w:r>
        <w:rPr>
          <w:rFonts w:hint="default" w:ascii="仿宋_GB2312" w:hAnsi="Times New Roman" w:eastAsia="仿宋_GB2312" w:cs="仿宋_GB2312"/>
          <w:sz w:val="32"/>
          <w:szCs w:val="32"/>
          <w:shd w:val="clear" w:color="auto" w:fill="FFFFFF"/>
          <w:lang w:eastAsia="zh-CN"/>
        </w:rPr>
        <w:t>垃圾832处约18.81吨。整治“乱占、乱采、乱堆、乱建”等河湖管理突出问题，排查发现问题11处，处理并整改11起</w:t>
      </w:r>
      <w:r>
        <w:rPr>
          <w:rFonts w:hint="eastAsia" w:ascii="仿宋_GB2312" w:hAnsi="Times New Roman" w:eastAsia="仿宋_GB2312" w:cs="仿宋_GB2312"/>
          <w:sz w:val="32"/>
          <w:szCs w:val="32"/>
          <w:shd w:val="clear" w:color="auto" w:fill="FFFFFF"/>
          <w:lang w:eastAsia="zh-CN"/>
        </w:rPr>
        <w:t>。</w:t>
      </w:r>
      <w:r>
        <w:rPr>
          <w:rFonts w:hint="eastAsia" w:ascii="仿宋_GB2312" w:hAnsi="Times New Roman" w:eastAsia="仿宋_GB2312" w:cs="仿宋_GB2312"/>
          <w:b/>
          <w:bCs/>
          <w:sz w:val="32"/>
          <w:szCs w:val="32"/>
          <w:shd w:val="clear" w:color="auto" w:fill="FFFFFF"/>
          <w:lang w:eastAsia="zh-CN"/>
        </w:rPr>
        <w:t>八是</w:t>
      </w:r>
      <w:r>
        <w:rPr>
          <w:rFonts w:hint="eastAsia" w:ascii="仿宋_GB2312" w:hAnsi="Times New Roman" w:eastAsia="仿宋_GB2312" w:cs="仿宋_GB2312"/>
          <w:sz w:val="32"/>
          <w:szCs w:val="32"/>
          <w:shd w:val="clear" w:color="auto" w:fill="FFFFFF"/>
          <w:lang w:eastAsia="zh-CN"/>
        </w:rPr>
        <w:t>抓好地域环境的综合整治，结合非洲猪瘟等开展畜禽饲养环境卫生和粪便资源化利用检查，做到减污利用；重点对11户农资经营户</w:t>
      </w:r>
      <w:r>
        <w:rPr>
          <w:rFonts w:hint="default" w:ascii="仿宋_GB2312" w:hAnsi="Times New Roman" w:eastAsia="仿宋_GB2312" w:cs="仿宋_GB2312"/>
          <w:sz w:val="32"/>
          <w:szCs w:val="32"/>
          <w:shd w:val="clear" w:color="auto" w:fill="FFFFFF"/>
          <w:lang w:eastAsia="zh-CN"/>
        </w:rPr>
        <w:t>经营状况</w:t>
      </w:r>
      <w:r>
        <w:rPr>
          <w:rFonts w:hint="eastAsia" w:ascii="仿宋_GB2312" w:hAnsi="Times New Roman" w:eastAsia="仿宋_GB2312" w:cs="仿宋_GB2312"/>
          <w:sz w:val="32"/>
          <w:szCs w:val="32"/>
          <w:shd w:val="clear" w:color="auto" w:fill="FFFFFF"/>
          <w:lang w:eastAsia="zh-CN"/>
        </w:rPr>
        <w:t>进行进一步调查指导，并就面源污染相关知识进行了再普及。</w:t>
      </w:r>
    </w:p>
    <w:p>
      <w:pPr>
        <w:spacing w:line="560" w:lineRule="exact"/>
        <w:rPr>
          <w:rFonts w:hint="eastAsia" w:ascii="仿宋_GB2312" w:hAnsi="仿宋_GB2312" w:eastAsia="仿宋_GB2312" w:cs="仿宋_GB2312"/>
          <w:bCs/>
          <w:color w:val="000000"/>
          <w:sz w:val="32"/>
          <w:szCs w:val="32"/>
        </w:rPr>
      </w:pPr>
    </w:p>
    <w:p>
      <w:pPr>
        <w:pStyle w:val="4"/>
        <w:rPr>
          <w:rStyle w:val="26"/>
          <w:rFonts w:hint="eastAsia" w:ascii="仿宋_GB2312" w:hAnsi="仿宋_GB2312" w:eastAsia="仿宋_GB2312" w:cs="仿宋_GB2312"/>
          <w:b w:val="0"/>
          <w:bCs w:val="0"/>
          <w:sz w:val="32"/>
          <w:szCs w:val="32"/>
        </w:rPr>
      </w:pPr>
      <w:bookmarkStart w:id="16" w:name="_Toc15377200"/>
      <w:bookmarkStart w:id="17" w:name="_Toc15396601"/>
      <w:r>
        <w:rPr>
          <w:rFonts w:hint="eastAsia" w:ascii="仿宋_GB2312" w:hAnsi="仿宋_GB2312" w:eastAsia="仿宋_GB2312" w:cs="仿宋_GB2312"/>
          <w:b w:val="0"/>
          <w:color w:val="000000"/>
          <w:sz w:val="32"/>
          <w:szCs w:val="32"/>
        </w:rPr>
        <w:t>二、机</w:t>
      </w:r>
      <w:r>
        <w:rPr>
          <w:rStyle w:val="26"/>
          <w:rFonts w:hint="eastAsia" w:ascii="仿宋_GB2312" w:hAnsi="仿宋_GB2312" w:eastAsia="仿宋_GB2312" w:cs="仿宋_GB2312"/>
          <w:b w:val="0"/>
          <w:bCs w:val="0"/>
          <w:sz w:val="32"/>
          <w:szCs w:val="32"/>
        </w:rPr>
        <w:t>构设置</w:t>
      </w:r>
      <w:bookmarkEnd w:id="16"/>
      <w:bookmarkEnd w:id="17"/>
    </w:p>
    <w:p>
      <w:pPr>
        <w:rPr>
          <w:rFonts w:hint="eastAsia" w:ascii="仿宋_GB2312" w:hAnsi="仿宋_GB2312" w:eastAsia="仿宋_GB2312" w:cs="仿宋_GB2312"/>
          <w:color w:val="4E4342"/>
          <w:sz w:val="32"/>
          <w:szCs w:val="32"/>
        </w:rPr>
      </w:pPr>
      <w:bookmarkStart w:id="18" w:name="_Toc15377204"/>
      <w:bookmarkStart w:id="19" w:name="_Toc15396602"/>
      <w:r>
        <w:rPr>
          <w:rFonts w:hint="eastAsia" w:ascii="仿宋_GB2312" w:hAnsi="仿宋_GB2312" w:eastAsia="仿宋_GB2312" w:cs="仿宋_GB2312"/>
          <w:color w:val="4E4342"/>
          <w:sz w:val="32"/>
          <w:szCs w:val="32"/>
        </w:rPr>
        <w:t>　根据上述职责， 松潘县人力资源和社会保障局内设机构7个</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w:t>
      </w:r>
      <w:r>
        <w:rPr>
          <w:rFonts w:hint="eastAsia" w:ascii="仿宋_GB2312" w:hAnsi="仿宋_GB2312" w:eastAsia="仿宋_GB2312" w:cs="仿宋_GB2312"/>
          <w:b/>
          <w:bCs/>
          <w:color w:val="4E4342"/>
          <w:sz w:val="32"/>
          <w:szCs w:val="32"/>
        </w:rPr>
        <w:t>（一）内设机构</w:t>
      </w:r>
      <w:r>
        <w:rPr>
          <w:rFonts w:hint="eastAsia" w:ascii="仿宋_GB2312" w:hAnsi="仿宋_GB2312" w:eastAsia="仿宋_GB2312" w:cs="仿宋_GB2312"/>
          <w:color w:val="4E4342"/>
          <w:sz w:val="32"/>
          <w:szCs w:val="32"/>
        </w:rPr>
        <w:t xml:space="preserve"> </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1.办公室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局机关政务工作的组织协调、对外联络和接待工作；负责机关会议的组织安排，文稿的起草、审核及重大决定事项的督查督办；具体承担机关文秘、信息档案、机构编制、人事劳动、后勤服务等工作；负责离退休职工的管理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2.财务室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局机关经费的申报、调拨、监督和固定资产登记管理，编制财务报表，进行资金运行情况分析；编制城市维护费及其他城市管理资金的年度计划安排，并监督管理城市维护费的使用；负责有关统计工作和所属单位财务的审查报批；指导直属单位经济责任目标管理和经费管理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负责城市管理法规改革的宣传、教育和培训，起草有关城市管理实施办法；组织办理人大代表议案、建议，政协委员提案及群众来信来访处理的牵头协调、督办反馈工作。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3.市容环境管理股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制定和组织实施有关城市市容管理的环境卫生综合治理的中长期规划、行业标准和年度计划；制定有关规章制度、并组织实施；负责城市建筑弃土（固体、流体、建筑材料等）运输及倾到、和运载建筑废料废渣、砂石等散装物体以及液体货物沿街抛洒、撒落、泄漏管理;负责对占用城市道路、广场等公共场所举办社会文化、公益活动、庆典的审查管理工作；负责对城市建筑物、市政公共设施、城市雕塑、文物古迹等的管理工作;负责入城车辆车容车貌的管理，负责指导和监督城市生活垃圾等统一收集、清理、处理的工作；负责城市环境卫生设施、街道、桥梁、城乡结合部、广场等公共场所的清理、保洁、冲洒水和门前“三包”等责任制的实施工作；协调城市市容环境卫生的综合治理工作；负责城市市容环境卫生资料的收集、整理、档案管理工作。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4.市政公共设施管理股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负责机动车清洗及（点）设置的审查管理工作；负责制定车辆停放点建设规划；负责城市道路的破道与占道的审批和管理工作；负责监督管理城区架设空中和地下管线作业，负责城区路、街、橱柜、广告灯饰、店招、匾牌、标语牌、遮阳（雨）蓬的统一规划;负责城市地下水资源的开发、利用、保护和城市节约用水；负责拟定城区市政公用设施管理整体规划和年度目标，并组织实施；参与城市市政、环卫基础设施、城市防洪及城市抗震建设、项目论证、规划设计和竣工验收；参与新建住宅小区、城市道路临街建筑物、市场设置及建设的方案论证、竣工验收；负责市政设施的建设维护和管理；负责城市市政资料档案管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5.园林绿化管理股 负责管理城市规划区范围内的园林绿化；按照有关城市绿化方案，与有关部门配合，主持对绿化带的设计、施工和管理；参与审查工程建设项目的附属绿化工程设计方案，编制城市的公共绿地、居住区绿化、风景林地和干道绿化带等绿化工程的设计方案，并组织实施；负责城市公共绿地、行道树及干道绿化带的日常维护和管理，以及城市古树名木的管养工作；积极推广运用园林绿化先进技术，提高园林绿化科技、艺术水平和病虫害防</w:t>
      </w:r>
      <w:r>
        <w:rPr>
          <w:rFonts w:hint="eastAsia" w:ascii="仿宋_GB2312" w:hAnsi="仿宋_GB2312" w:eastAsia="仿宋_GB2312" w:cs="仿宋_GB2312"/>
          <w:sz w:val="32"/>
          <w:szCs w:val="32"/>
          <w:lang w:eastAsia="zh-CN"/>
        </w:rPr>
        <w:t>止</w:t>
      </w:r>
      <w:r>
        <w:rPr>
          <w:rFonts w:hint="eastAsia" w:ascii="仿宋_GB2312" w:hAnsi="仿宋_GB2312" w:eastAsia="仿宋_GB2312" w:cs="仿宋_GB2312"/>
          <w:sz w:val="32"/>
          <w:szCs w:val="32"/>
        </w:rPr>
        <w:t xml:space="preserve">能力，查处损害城市园林绿化的行为。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val="en-US" w:eastAsia="zh-CN"/>
        </w:rPr>
        <w:t xml:space="preserve">         </w:t>
      </w:r>
      <w:r>
        <w:rPr>
          <w:rFonts w:hint="eastAsia" w:ascii="仿宋_GB2312" w:hAnsi="仿宋_GB2312" w:eastAsia="仿宋_GB2312" w:cs="仿宋_GB2312"/>
          <w:b w:val="0"/>
          <w:color w:val="000000"/>
          <w:sz w:val="32"/>
          <w:szCs w:val="32"/>
        </w:rPr>
        <w:t>第二部分</w:t>
      </w:r>
      <w:r>
        <w:rPr>
          <w:rFonts w:hint="eastAsia" w:ascii="仿宋_GB2312" w:hAnsi="仿宋_GB2312" w:eastAsia="仿宋_GB2312" w:cs="仿宋_GB2312"/>
          <w:color w:val="000000"/>
          <w:sz w:val="32"/>
          <w:szCs w:val="32"/>
        </w:rPr>
        <w:t xml:space="preserve"> </w:t>
      </w:r>
      <w:r>
        <w:rPr>
          <w:rStyle w:val="25"/>
          <w:rFonts w:hint="eastAsia" w:ascii="仿宋_GB2312" w:hAnsi="仿宋_GB2312" w:eastAsia="仿宋_GB2312" w:cs="仿宋_GB2312"/>
          <w:b w:val="0"/>
          <w:bCs w:val="0"/>
          <w:sz w:val="32"/>
          <w:szCs w:val="32"/>
        </w:rPr>
        <w:t>2019年度部门决算情况说明</w:t>
      </w:r>
      <w:bookmarkEnd w:id="18"/>
      <w:bookmarkEnd w:id="19"/>
      <w:r>
        <w:rPr>
          <w:rStyle w:val="25"/>
          <w:rFonts w:hint="eastAsia" w:ascii="仿宋_GB2312" w:hAnsi="仿宋_GB2312" w:eastAsia="仿宋_GB2312" w:cs="仿宋_GB2312"/>
          <w:b w:val="0"/>
          <w:bCs w:val="0"/>
          <w:sz w:val="32"/>
          <w:szCs w:val="32"/>
          <w:lang w:val="en-US" w:eastAsia="zh-CN"/>
        </w:rPr>
        <w:t xml:space="preserve"> </w:t>
      </w:r>
      <w:bookmarkStart w:id="65" w:name="_GoBack"/>
      <w:bookmarkEnd w:id="65"/>
    </w:p>
    <w:p>
      <w:pPr>
        <w:pStyle w:val="24"/>
        <w:numPr>
          <w:ilvl w:val="0"/>
          <w:numId w:val="1"/>
        </w:numPr>
        <w:spacing w:line="600" w:lineRule="exact"/>
        <w:ind w:firstLineChars="0"/>
        <w:outlineLvl w:val="1"/>
        <w:rPr>
          <w:rStyle w:val="26"/>
          <w:rFonts w:hint="eastAsia" w:ascii="仿宋_GB2312" w:hAnsi="仿宋_GB2312" w:eastAsia="仿宋_GB2312" w:cs="仿宋_GB2312"/>
          <w:b w:val="0"/>
          <w:sz w:val="32"/>
          <w:szCs w:val="32"/>
        </w:rPr>
      </w:pPr>
      <w:bookmarkStart w:id="20" w:name="_Toc15377205"/>
      <w:bookmarkStart w:id="21" w:name="_Toc15396603"/>
      <w:r>
        <w:rPr>
          <w:rFonts w:hint="eastAsia" w:ascii="仿宋_GB2312" w:hAnsi="仿宋_GB2312" w:eastAsia="仿宋_GB2312" w:cs="仿宋_GB2312"/>
          <w:color w:val="000000"/>
          <w:sz w:val="32"/>
          <w:szCs w:val="32"/>
        </w:rPr>
        <w:t>收</w:t>
      </w:r>
      <w:r>
        <w:rPr>
          <w:rStyle w:val="26"/>
          <w:rFonts w:hint="eastAsia" w:ascii="仿宋_GB2312" w:hAnsi="仿宋_GB2312" w:eastAsia="仿宋_GB2312" w:cs="仿宋_GB2312"/>
          <w:b w:val="0"/>
          <w:sz w:val="32"/>
          <w:szCs w:val="32"/>
        </w:rPr>
        <w:t>入支出决算总体情况说明</w:t>
      </w:r>
      <w:bookmarkEnd w:id="20"/>
      <w:bookmarkEnd w:id="21"/>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4E4342"/>
          <w:sz w:val="32"/>
          <w:szCs w:val="32"/>
        </w:rPr>
        <w:t>　2019年松潘县城市管理局本年支出合计1262万元，其中：基本支出477万元，占36%；项目支出785万元，占51%，其中基金支出65万元：财返86万元。</w:t>
      </w:r>
    </w:p>
    <w:p>
      <w:pPr>
        <w:pStyle w:val="24"/>
        <w:numPr>
          <w:ilvl w:val="0"/>
          <w:numId w:val="1"/>
        </w:numPr>
        <w:spacing w:line="600" w:lineRule="exact"/>
        <w:ind w:firstLineChars="0"/>
        <w:outlineLvl w:val="1"/>
        <w:rPr>
          <w:rStyle w:val="26"/>
          <w:rFonts w:hint="eastAsia" w:ascii="仿宋_GB2312" w:hAnsi="仿宋_GB2312" w:eastAsia="仿宋_GB2312" w:cs="仿宋_GB2312"/>
          <w:b w:val="0"/>
          <w:sz w:val="32"/>
          <w:szCs w:val="32"/>
        </w:rPr>
      </w:pPr>
      <w:bookmarkStart w:id="22" w:name="_Toc15396604"/>
      <w:bookmarkStart w:id="23" w:name="_Toc15377206"/>
      <w:r>
        <w:rPr>
          <w:rFonts w:hint="eastAsia" w:ascii="仿宋_GB2312" w:hAnsi="仿宋_GB2312" w:eastAsia="仿宋_GB2312" w:cs="仿宋_GB2312"/>
          <w:color w:val="000000"/>
          <w:sz w:val="32"/>
          <w:szCs w:val="32"/>
        </w:rPr>
        <w:t>收</w:t>
      </w:r>
      <w:r>
        <w:rPr>
          <w:rStyle w:val="26"/>
          <w:rFonts w:hint="eastAsia" w:ascii="仿宋_GB2312" w:hAnsi="仿宋_GB2312" w:eastAsia="仿宋_GB2312" w:cs="仿宋_GB2312"/>
          <w:b w:val="0"/>
          <w:sz w:val="32"/>
          <w:szCs w:val="32"/>
        </w:rPr>
        <w:t>入决算情况说明</w:t>
      </w:r>
      <w:bookmarkEnd w:id="22"/>
      <w:bookmarkEnd w:id="23"/>
    </w:p>
    <w:p>
      <w:p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1262.62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1197.12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65.5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p>
    <w:p>
      <w:pPr>
        <w:pStyle w:val="24"/>
        <w:numPr>
          <w:ilvl w:val="0"/>
          <w:numId w:val="1"/>
        </w:numPr>
        <w:spacing w:line="600" w:lineRule="exact"/>
        <w:ind w:firstLineChars="0"/>
        <w:outlineLvl w:val="1"/>
        <w:rPr>
          <w:rStyle w:val="26"/>
          <w:rFonts w:hint="eastAsia" w:ascii="仿宋_GB2312" w:hAnsi="仿宋_GB2312" w:eastAsia="仿宋_GB2312" w:cs="仿宋_GB2312"/>
          <w:b w:val="0"/>
          <w:sz w:val="32"/>
          <w:szCs w:val="32"/>
        </w:rPr>
      </w:pPr>
      <w:bookmarkStart w:id="24" w:name="_Toc15377207"/>
      <w:bookmarkStart w:id="25" w:name="_Toc15396605"/>
      <w:r>
        <w:rPr>
          <w:rFonts w:hint="eastAsia" w:ascii="仿宋_GB2312" w:hAnsi="仿宋_GB2312" w:eastAsia="仿宋_GB2312" w:cs="仿宋_GB2312"/>
          <w:color w:val="000000"/>
          <w:sz w:val="32"/>
          <w:szCs w:val="32"/>
        </w:rPr>
        <w:t>支</w:t>
      </w:r>
      <w:r>
        <w:rPr>
          <w:rStyle w:val="26"/>
          <w:rFonts w:hint="eastAsia" w:ascii="仿宋_GB2312" w:hAnsi="仿宋_GB2312" w:eastAsia="仿宋_GB2312" w:cs="仿宋_GB2312"/>
          <w:b w:val="0"/>
          <w:sz w:val="32"/>
          <w:szCs w:val="32"/>
        </w:rPr>
        <w:t>出决算情况说明</w:t>
      </w:r>
      <w:bookmarkEnd w:id="24"/>
      <w:bookmarkEnd w:id="25"/>
    </w:p>
    <w:p>
      <w:p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1175.74</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447.12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698.62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640" w:firstLineChars="200"/>
        <w:outlineLvl w:val="1"/>
        <w:rPr>
          <w:rStyle w:val="26"/>
          <w:rFonts w:hint="eastAsia" w:ascii="仿宋_GB2312" w:hAnsi="仿宋_GB2312" w:eastAsia="仿宋_GB2312" w:cs="仿宋_GB2312"/>
          <w:b w:val="0"/>
          <w:sz w:val="32"/>
          <w:szCs w:val="32"/>
        </w:rPr>
      </w:pPr>
      <w:bookmarkStart w:id="26" w:name="_Toc15396606"/>
      <w:bookmarkStart w:id="27" w:name="_Toc15377208"/>
      <w:r>
        <w:rPr>
          <w:rFonts w:hint="eastAsia" w:ascii="仿宋_GB2312" w:hAnsi="仿宋_GB2312" w:eastAsia="仿宋_GB2312" w:cs="仿宋_GB2312"/>
          <w:color w:val="000000"/>
          <w:sz w:val="32"/>
          <w:szCs w:val="32"/>
        </w:rPr>
        <w:t>四、财</w:t>
      </w:r>
      <w:r>
        <w:rPr>
          <w:rStyle w:val="26"/>
          <w:rFonts w:hint="eastAsia" w:ascii="仿宋_GB2312" w:hAnsi="仿宋_GB2312" w:eastAsia="仿宋_GB2312" w:cs="仿宋_GB2312"/>
          <w:b w:val="0"/>
          <w:sz w:val="32"/>
          <w:szCs w:val="32"/>
        </w:rPr>
        <w:t>政拨款收入支出决算总体情况说明</w:t>
      </w:r>
      <w:bookmarkEnd w:id="26"/>
      <w:bookmarkEnd w:id="27"/>
    </w:p>
    <w:p>
      <w:pPr>
        <w:spacing w:line="600" w:lineRule="exact"/>
        <w:ind w:firstLine="640" w:firstLineChars="200"/>
        <w:rPr>
          <w:rFonts w:hint="eastAsia" w:ascii="仿宋_GB2312" w:hAnsi="仿宋_GB2312" w:eastAsia="仿宋_GB2312" w:cs="仿宋_GB2312"/>
          <w:b/>
          <w:color w:val="00B050"/>
          <w:sz w:val="32"/>
          <w:szCs w:val="32"/>
        </w:rPr>
      </w:pPr>
      <w:r>
        <w:rPr>
          <w:rFonts w:hint="eastAsia" w:ascii="仿宋_GB2312" w:hAnsi="仿宋_GB2312" w:eastAsia="仿宋_GB2312" w:cs="仿宋_GB2312"/>
          <w:color w:val="4E4342"/>
          <w:sz w:val="32"/>
          <w:szCs w:val="32"/>
        </w:rPr>
        <w:t>松潘县城市管理局2019年度财政拨款收入决算1262万元，2018年度财政拨款收入582万元，相比增加114%；2019年度财政拨款支出决算1175万元，2018年度财政拨款支出582万元，相比增加101%。 增加的主要原因是机构改革市政、绿化等股室回城管局。</w:t>
      </w:r>
      <w:r>
        <w:rPr>
          <w:rFonts w:hint="eastAsia" w:ascii="仿宋_GB2312" w:hAnsi="仿宋_GB2312" w:eastAsia="仿宋_GB2312" w:cs="仿宋_GB2312"/>
          <w:color w:val="4E4342"/>
          <w:sz w:val="32"/>
          <w:szCs w:val="32"/>
        </w:rPr>
        <w:br w:type="textWrapping"/>
      </w:r>
    </w:p>
    <w:p>
      <w:pPr>
        <w:spacing w:line="600" w:lineRule="exact"/>
        <w:ind w:firstLine="640" w:firstLineChars="200"/>
        <w:outlineLvl w:val="1"/>
        <w:rPr>
          <w:rStyle w:val="26"/>
          <w:rFonts w:hint="eastAsia" w:ascii="仿宋_GB2312" w:hAnsi="仿宋_GB2312" w:eastAsia="仿宋_GB2312" w:cs="仿宋_GB2312"/>
          <w:b w:val="0"/>
          <w:sz w:val="32"/>
          <w:szCs w:val="32"/>
        </w:rPr>
      </w:pPr>
      <w:bookmarkStart w:id="28" w:name="_Toc15396607"/>
      <w:bookmarkStart w:id="29" w:name="_Toc15377209"/>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color w:val="000000"/>
          <w:sz w:val="32"/>
          <w:szCs w:val="32"/>
        </w:rPr>
        <w:t>一</w:t>
      </w:r>
      <w:r>
        <w:rPr>
          <w:rStyle w:val="26"/>
          <w:rFonts w:hint="eastAsia" w:ascii="仿宋_GB2312" w:hAnsi="仿宋_GB2312" w:eastAsia="仿宋_GB2312" w:cs="仿宋_GB2312"/>
          <w:b w:val="0"/>
          <w:sz w:val="32"/>
          <w:szCs w:val="32"/>
        </w:rPr>
        <w:t>般公共预算财政拨款支出决算情况说明</w:t>
      </w:r>
      <w:bookmarkEnd w:id="28"/>
      <w:bookmarkEnd w:id="29"/>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0" w:name="_Toc15377210"/>
      <w:r>
        <w:rPr>
          <w:rFonts w:hint="eastAsia" w:ascii="仿宋_GB2312" w:hAnsi="仿宋_GB2312" w:eastAsia="仿宋_GB2312" w:cs="仿宋_GB2312"/>
          <w:b/>
          <w:color w:val="000000"/>
          <w:sz w:val="32"/>
          <w:szCs w:val="32"/>
        </w:rPr>
        <w:t>（一）一般公共预算财政拨款支出决算总体情况</w:t>
      </w:r>
      <w:bookmarkEnd w:id="30"/>
    </w:p>
    <w:p>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4E4342"/>
          <w:sz w:val="32"/>
          <w:szCs w:val="32"/>
        </w:rPr>
        <w:t xml:space="preserve">　2019年度一般公共预算财政拨款支出1175万元，占本年支出合计的100%。与2018年相比，一般公共预算财政拨款增加570.万元，增加101%。 </w:t>
      </w: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1" w:name="_Toc15377211"/>
      <w:r>
        <w:rPr>
          <w:rFonts w:hint="eastAsia" w:ascii="仿宋_GB2312" w:hAnsi="仿宋_GB2312" w:eastAsia="仿宋_GB2312" w:cs="仿宋_GB2312"/>
          <w:b/>
          <w:color w:val="000000"/>
          <w:sz w:val="32"/>
          <w:szCs w:val="32"/>
        </w:rPr>
        <w:t>（二）一般公共预算财政拨款支出决算结构情况</w:t>
      </w:r>
      <w:bookmarkEnd w:id="3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4E4342"/>
          <w:sz w:val="32"/>
          <w:szCs w:val="32"/>
        </w:rPr>
        <w:t>2019年一般公共预算财政拨款支出1175万元，主要用于以下方面:一般公共服务支出473万元，占39%；社会保障和就业支出29万元，占3%；节能环保支出633万元，占55%；住房保障支出</w:t>
      </w:r>
      <w:r>
        <w:rPr>
          <w:rFonts w:hint="eastAsia" w:ascii="仿宋_GB2312" w:hAnsi="仿宋_GB2312" w:eastAsia="仿宋_GB2312" w:cs="仿宋_GB2312"/>
          <w:sz w:val="32"/>
          <w:szCs w:val="32"/>
        </w:rPr>
        <w:t>23</w:t>
      </w:r>
      <w:r>
        <w:rPr>
          <w:rFonts w:hint="eastAsia" w:ascii="仿宋_GB2312" w:hAnsi="仿宋_GB2312" w:eastAsia="仿宋_GB2312" w:cs="仿宋_GB2312"/>
          <w:color w:val="4E4342"/>
          <w:sz w:val="32"/>
          <w:szCs w:val="32"/>
        </w:rPr>
        <w:t>万元，占2%。；卫生健康支出16万元，占1%。</w:t>
      </w: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2" w:name="_Toc15377212"/>
      <w:r>
        <w:rPr>
          <w:rFonts w:hint="eastAsia" w:ascii="仿宋_GB2312" w:hAnsi="仿宋_GB2312" w:eastAsia="仿宋_GB2312" w:cs="仿宋_GB2312"/>
          <w:b/>
          <w:color w:val="000000"/>
          <w:sz w:val="32"/>
          <w:szCs w:val="32"/>
        </w:rPr>
        <w:t>（三）一般公共预算财政拨款支出决算具体情况</w:t>
      </w:r>
      <w:bookmarkEnd w:id="32"/>
    </w:p>
    <w:p>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rPr>
        <w:t>　</w:t>
      </w:r>
      <w:r>
        <w:rPr>
          <w:rFonts w:hint="eastAsia" w:ascii="仿宋_GB2312" w:hAnsi="仿宋_GB2312" w:eastAsia="仿宋_GB2312" w:cs="仿宋_GB2312"/>
          <w:color w:val="4E4342"/>
          <w:sz w:val="32"/>
          <w:szCs w:val="32"/>
          <w:lang w:val="en-US" w:eastAsia="zh-CN"/>
        </w:rPr>
        <w:t xml:space="preserve">  </w:t>
      </w:r>
      <w:r>
        <w:rPr>
          <w:rFonts w:hint="eastAsia" w:ascii="仿宋_GB2312" w:hAnsi="仿宋_GB2312" w:eastAsia="仿宋_GB2312" w:cs="仿宋_GB2312"/>
          <w:color w:val="4E4342"/>
          <w:sz w:val="32"/>
          <w:szCs w:val="32"/>
        </w:rPr>
        <w:t xml:space="preserve">1.一般公共服务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2120399其他城乡社区公共设施支出2019年决算数为16万元，完成预算100%。2120501城乡社区环境卫生 2019年决算数为368.万元，完成预算100%。2121100农业土地开发资金安排的支出2019年决算数65万元，完成预算100%。21104011生态保护支出2019年决算数633万元，完成预算88%</w:t>
      </w:r>
    </w:p>
    <w:p>
      <w:pPr>
        <w:ind w:firstLine="570"/>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 xml:space="preserve">2.社会保障和就业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2080505机关事业单位基本养老保险缴费支出，2019年决算数为29万元，完成预算100%。</w:t>
      </w:r>
    </w:p>
    <w:p>
      <w:pPr>
        <w:spacing w:line="60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4E4342"/>
          <w:sz w:val="32"/>
          <w:szCs w:val="32"/>
        </w:rPr>
        <w:t xml:space="preserve">3.医疗卫生与计划生育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2101102事业单位医疗，2019年决算数为16万元，完成预算100%。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sz w:val="32"/>
          <w:szCs w:val="32"/>
        </w:rPr>
        <w:t xml:space="preserve">　　4.住房保障支出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2210201住房公积金，2019年决算数为23万元，完成预算100%。 </w:t>
      </w:r>
    </w:p>
    <w:p>
      <w:pPr>
        <w:tabs>
          <w:tab w:val="right" w:pos="8306"/>
        </w:tabs>
        <w:spacing w:line="600" w:lineRule="exact"/>
        <w:ind w:firstLine="640"/>
        <w:outlineLvl w:val="1"/>
        <w:rPr>
          <w:rStyle w:val="26"/>
          <w:rFonts w:hint="eastAsia" w:ascii="仿宋_GB2312" w:hAnsi="仿宋_GB2312" w:eastAsia="仿宋_GB2312" w:cs="仿宋_GB2312"/>
          <w:sz w:val="32"/>
          <w:szCs w:val="32"/>
        </w:rPr>
      </w:pPr>
      <w:bookmarkStart w:id="33" w:name="_Toc15377214"/>
      <w:bookmarkStart w:id="34" w:name="_Toc15396608"/>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color w:val="000000"/>
          <w:sz w:val="32"/>
          <w:szCs w:val="32"/>
        </w:rPr>
        <w:t>、一</w:t>
      </w:r>
      <w:r>
        <w:rPr>
          <w:rStyle w:val="26"/>
          <w:rFonts w:hint="eastAsia" w:ascii="仿宋_GB2312" w:hAnsi="仿宋_GB2312" w:eastAsia="仿宋_GB2312" w:cs="仿宋_GB2312"/>
          <w:b w:val="0"/>
          <w:sz w:val="32"/>
          <w:szCs w:val="32"/>
        </w:rPr>
        <w:t>般公共预算财政拨款基本支出决算情况说明</w:t>
      </w:r>
      <w:bookmarkEnd w:id="33"/>
      <w:bookmarkEnd w:id="34"/>
      <w:r>
        <w:rPr>
          <w:rStyle w:val="26"/>
          <w:rFonts w:hint="eastAsia" w:ascii="仿宋_GB2312" w:hAnsi="仿宋_GB2312" w:eastAsia="仿宋_GB2312" w:cs="仿宋_GB2312"/>
          <w:b w:val="0"/>
          <w:sz w:val="32"/>
          <w:szCs w:val="32"/>
        </w:rPr>
        <w:tab/>
      </w:r>
    </w:p>
    <w:p>
      <w:pPr>
        <w:spacing w:line="600" w:lineRule="exact"/>
        <w:ind w:firstLine="640"/>
        <w:outlineLvl w:val="1"/>
        <w:rPr>
          <w:rStyle w:val="26"/>
          <w:rFonts w:hint="eastAsia" w:ascii="仿宋_GB2312" w:hAnsi="仿宋_GB2312" w:eastAsia="仿宋_GB2312" w:cs="仿宋_GB2312"/>
          <w:b w:val="0"/>
          <w:sz w:val="32"/>
          <w:szCs w:val="32"/>
        </w:rPr>
      </w:pPr>
      <w:bookmarkStart w:id="35" w:name="_Toc15377215"/>
      <w:bookmarkStart w:id="36" w:name="_Toc15396609"/>
      <w:r>
        <w:rPr>
          <w:rFonts w:hint="eastAsia" w:ascii="仿宋_GB2312" w:hAnsi="仿宋_GB2312" w:eastAsia="仿宋_GB2312" w:cs="仿宋_GB2312"/>
          <w:color w:val="4E4342"/>
          <w:sz w:val="32"/>
          <w:szCs w:val="32"/>
        </w:rPr>
        <w:t>　人员经费250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公用经费227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000000"/>
          <w:sz w:val="32"/>
          <w:szCs w:val="32"/>
        </w:rPr>
        <w:t>七、</w:t>
      </w:r>
      <w:r>
        <w:rPr>
          <w:rStyle w:val="26"/>
          <w:rFonts w:hint="eastAsia" w:ascii="仿宋_GB2312" w:hAnsi="仿宋_GB2312" w:eastAsia="仿宋_GB2312" w:cs="仿宋_GB2312"/>
          <w:sz w:val="32"/>
          <w:szCs w:val="32"/>
        </w:rPr>
        <w:t>“</w:t>
      </w:r>
      <w:r>
        <w:rPr>
          <w:rStyle w:val="26"/>
          <w:rFonts w:hint="eastAsia" w:ascii="仿宋_GB2312" w:hAnsi="仿宋_GB2312" w:eastAsia="仿宋_GB2312" w:cs="仿宋_GB2312"/>
          <w:b w:val="0"/>
          <w:sz w:val="32"/>
          <w:szCs w:val="32"/>
        </w:rPr>
        <w:t>三公”经费财政拨款支出决算情况说明</w:t>
      </w:r>
      <w:bookmarkEnd w:id="35"/>
      <w:bookmarkEnd w:id="36"/>
    </w:p>
    <w:p>
      <w:pPr>
        <w:spacing w:line="600" w:lineRule="exact"/>
        <w:ind w:firstLine="640"/>
        <w:outlineLvl w:val="2"/>
        <w:rPr>
          <w:rFonts w:hint="eastAsia" w:ascii="仿宋_GB2312" w:hAnsi="仿宋_GB2312" w:eastAsia="仿宋_GB2312" w:cs="仿宋_GB2312"/>
          <w:b/>
          <w:color w:val="000000"/>
          <w:sz w:val="32"/>
          <w:szCs w:val="32"/>
        </w:rPr>
      </w:pPr>
      <w:bookmarkStart w:id="37" w:name="_Toc15377216"/>
      <w:r>
        <w:rPr>
          <w:rFonts w:hint="eastAsia" w:ascii="仿宋_GB2312" w:hAnsi="仿宋_GB2312" w:eastAsia="仿宋_GB2312" w:cs="仿宋_GB2312"/>
          <w:b/>
          <w:color w:val="000000"/>
          <w:sz w:val="32"/>
          <w:szCs w:val="32"/>
        </w:rPr>
        <w:t>（一）“三公”经费财政拨款支出决算总体情况说明</w:t>
      </w:r>
      <w:bookmarkEnd w:id="37"/>
    </w:p>
    <w:p>
      <w:pPr>
        <w:ind w:firstLine="320" w:firstLineChars="100"/>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 xml:space="preserve">　松潘县人力资源和社会保障局2019年度“三公”经费财政拨款支出决算为19万元，完成预算100%，其中：因公出国（境）费支出决算为0万元，完成预算0%；公务用车购置及运行维护费支出决算为19万元，完成预算100%；公务接待费支出决算为0万元，完成预算0%。2019年度“三公”经费支出决算数小于预算数（或与预算数持平）的主要原因是严格按照中央八项规定和行政单位会计制度执行。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2019年度“三公”经费财政拨款支出决算数比2018年减少了19.46万元，减少99%，其中：因公出国（境）费支出决算增加/减少0万元，增长/下降0%；公务用车购置及运行维护费支出决算减少了19万元，减少 99%；公务接待费支出决算较少0万元，增长/下降0%。公务用车购置及运行维护费支出减少主要原因是，严格按照中央八项规定和行政单位会计制度执行。 </w:t>
      </w:r>
    </w:p>
    <w:p>
      <w:pPr>
        <w:spacing w:line="600" w:lineRule="exact"/>
        <w:ind w:firstLine="640"/>
        <w:outlineLvl w:val="2"/>
        <w:rPr>
          <w:rFonts w:hint="eastAsia" w:ascii="仿宋_GB2312" w:hAnsi="仿宋_GB2312" w:eastAsia="仿宋_GB2312" w:cs="仿宋_GB2312"/>
          <w:b/>
          <w:color w:val="000000"/>
          <w:sz w:val="32"/>
          <w:szCs w:val="32"/>
        </w:rPr>
      </w:pPr>
      <w:bookmarkStart w:id="38" w:name="_Toc15377217"/>
      <w:r>
        <w:rPr>
          <w:rFonts w:hint="eastAsia" w:ascii="仿宋_GB2312" w:hAnsi="仿宋_GB2312" w:eastAsia="仿宋_GB2312" w:cs="仿宋_GB2312"/>
          <w:b/>
          <w:color w:val="000000"/>
          <w:sz w:val="32"/>
          <w:szCs w:val="32"/>
        </w:rPr>
        <w:t>（二）“三公”经费财政拨款支出决算具体情况说明</w:t>
      </w:r>
      <w:bookmarkEnd w:id="38"/>
    </w:p>
    <w:p>
      <w:pPr>
        <w:spacing w:line="600" w:lineRule="exact"/>
        <w:ind w:firstLine="640"/>
        <w:outlineLvl w:val="1"/>
        <w:rPr>
          <w:rFonts w:hint="eastAsia" w:ascii="仿宋_GB2312" w:hAnsi="仿宋_GB2312" w:eastAsia="仿宋_GB2312" w:cs="仿宋_GB2312"/>
          <w:color w:val="000000"/>
          <w:sz w:val="32"/>
          <w:szCs w:val="32"/>
        </w:rPr>
      </w:pPr>
      <w:bookmarkStart w:id="39" w:name="_Toc15377218"/>
      <w:bookmarkStart w:id="40" w:name="_Toc15396610"/>
      <w:r>
        <w:rPr>
          <w:rFonts w:hint="eastAsia" w:ascii="仿宋_GB2312" w:hAnsi="仿宋_GB2312" w:eastAsia="仿宋_GB2312" w:cs="仿宋_GB2312"/>
          <w:color w:val="4E4342"/>
          <w:sz w:val="32"/>
          <w:szCs w:val="32"/>
        </w:rPr>
        <w:t xml:space="preserve">　2019年度“三公”经费财政拨款支出决算中，因公出国（境）费支出决算0万元，占0%；公务用车购置及运行维护费支出决算19万元，占100%；公务接待费支出决算0万元，占0%。具体情况如下：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1.因公出国（境）经费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无开支内容。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2.公务用车购置及运行维护费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2019年公务用车购置及运行维护费19万元,其中：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公务用车购置支出0万元。截至2018年12月底，单位共有公务用车87辆，其中：一般公务用车8辆，其他公务用车79辆。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公务用车运行维护费支出19万元。主要用于业务所需的公务用车燃料费、维修费、过路过桥费、保险费等支出。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3.公务接待费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2019年未产生公务接待费。</w:t>
      </w:r>
    </w:p>
    <w:p>
      <w:pPr>
        <w:spacing w:line="600" w:lineRule="exact"/>
        <w:ind w:firstLine="640"/>
        <w:outlineLvl w:val="1"/>
        <w:rPr>
          <w:rStyle w:val="26"/>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w:t>
      </w:r>
      <w:r>
        <w:rPr>
          <w:rStyle w:val="26"/>
          <w:rFonts w:hint="eastAsia" w:ascii="仿宋_GB2312" w:hAnsi="仿宋_GB2312" w:eastAsia="仿宋_GB2312" w:cs="仿宋_GB2312"/>
          <w:b w:val="0"/>
          <w:sz w:val="32"/>
          <w:szCs w:val="32"/>
        </w:rPr>
        <w:t>政府性基金预算支出决算情况说明</w:t>
      </w:r>
      <w:bookmarkEnd w:id="39"/>
      <w:bookmarkEnd w:id="40"/>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w:t>
      </w:r>
      <w:r>
        <w:rPr>
          <w:rFonts w:hint="eastAsia" w:ascii="仿宋_GB2312" w:hAnsi="仿宋_GB2312" w:eastAsia="仿宋_GB2312" w:cs="仿宋_GB2312"/>
          <w:color w:val="000000"/>
          <w:sz w:val="32"/>
          <w:szCs w:val="32"/>
          <w:lang w:val="en-US" w:eastAsia="zh-CN"/>
        </w:rPr>
        <w:t>65.5</w:t>
      </w:r>
      <w:r>
        <w:rPr>
          <w:rFonts w:hint="eastAsia" w:ascii="仿宋_GB2312" w:hAnsi="仿宋_GB2312" w:eastAsia="仿宋_GB2312" w:cs="仿宋_GB2312"/>
          <w:color w:val="000000"/>
          <w:sz w:val="32"/>
          <w:szCs w:val="32"/>
        </w:rPr>
        <w:t>万元。</w:t>
      </w:r>
    </w:p>
    <w:p>
      <w:pPr>
        <w:numPr>
          <w:ilvl w:val="0"/>
          <w:numId w:val="2"/>
        </w:numPr>
        <w:spacing w:line="600" w:lineRule="exact"/>
        <w:ind w:firstLine="640"/>
        <w:outlineLvl w:val="1"/>
        <w:rPr>
          <w:rStyle w:val="26"/>
          <w:rFonts w:hint="eastAsia" w:ascii="仿宋_GB2312" w:hAnsi="仿宋_GB2312" w:eastAsia="仿宋_GB2312" w:cs="仿宋_GB2312"/>
          <w:b w:val="0"/>
          <w:sz w:val="32"/>
          <w:szCs w:val="32"/>
        </w:rPr>
      </w:pPr>
      <w:bookmarkStart w:id="41" w:name="_Toc15396611"/>
      <w:bookmarkStart w:id="42" w:name="_Toc15377219"/>
      <w:r>
        <w:rPr>
          <w:rStyle w:val="26"/>
          <w:rFonts w:hint="eastAsia" w:ascii="仿宋_GB2312" w:hAnsi="仿宋_GB2312" w:eastAsia="仿宋_GB2312" w:cs="仿宋_GB2312"/>
          <w:b w:val="0"/>
          <w:sz w:val="32"/>
          <w:szCs w:val="32"/>
        </w:rPr>
        <w:t>国有资本经营预算支出决算情况说明</w:t>
      </w:r>
      <w:bookmarkEnd w:id="41"/>
      <w:bookmarkEnd w:id="42"/>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2019年国有资本经营预算</w:t>
      </w:r>
      <w:r>
        <w:rPr>
          <w:rFonts w:hint="eastAsia" w:ascii="仿宋_GB2312" w:hAnsi="仿宋_GB2312" w:eastAsia="仿宋_GB2312" w:cs="仿宋_GB2312"/>
          <w:color w:val="000000"/>
          <w:sz w:val="32"/>
          <w:szCs w:val="32"/>
          <w:lang w:eastAsia="zh-CN"/>
        </w:rPr>
        <w:t>无支出</w:t>
      </w:r>
      <w:r>
        <w:rPr>
          <w:rFonts w:hint="eastAsia" w:ascii="仿宋_GB2312" w:hAnsi="仿宋_GB2312" w:eastAsia="仿宋_GB2312" w:cs="仿宋_GB2312"/>
          <w:color w:val="000000"/>
          <w:sz w:val="32"/>
          <w:szCs w:val="32"/>
        </w:rPr>
        <w:t>。</w:t>
      </w:r>
    </w:p>
    <w:p>
      <w:pPr>
        <w:spacing w:line="600" w:lineRule="exact"/>
        <w:ind w:firstLine="800" w:firstLineChars="250"/>
        <w:outlineLvl w:val="1"/>
        <w:rPr>
          <w:rStyle w:val="26"/>
          <w:rFonts w:hint="eastAsia" w:ascii="仿宋_GB2312" w:hAnsi="仿宋_GB2312" w:eastAsia="仿宋_GB2312" w:cs="仿宋_GB2312"/>
          <w:sz w:val="32"/>
          <w:szCs w:val="32"/>
        </w:rPr>
      </w:pPr>
      <w:bookmarkStart w:id="43" w:name="_Toc15396612"/>
      <w:bookmarkStart w:id="44" w:name="_Toc15377221"/>
      <w:r>
        <w:rPr>
          <w:rFonts w:hint="eastAsia" w:ascii="仿宋_GB2312" w:hAnsi="仿宋_GB2312" w:eastAsia="仿宋_GB2312" w:cs="仿宋_GB2312"/>
          <w:color w:val="000000"/>
          <w:sz w:val="32"/>
          <w:szCs w:val="32"/>
        </w:rPr>
        <w:t>十</w:t>
      </w:r>
      <w:r>
        <w:rPr>
          <w:rStyle w:val="26"/>
          <w:rFonts w:hint="eastAsia" w:ascii="仿宋_GB2312" w:hAnsi="仿宋_GB2312" w:eastAsia="仿宋_GB2312" w:cs="仿宋_GB2312"/>
          <w:sz w:val="32"/>
          <w:szCs w:val="32"/>
        </w:rPr>
        <w:t>、</w:t>
      </w:r>
      <w:r>
        <w:rPr>
          <w:rStyle w:val="26"/>
          <w:rFonts w:hint="eastAsia" w:ascii="仿宋_GB2312" w:hAnsi="仿宋_GB2312" w:eastAsia="仿宋_GB2312" w:cs="仿宋_GB2312"/>
          <w:b w:val="0"/>
          <w:sz w:val="32"/>
          <w:szCs w:val="32"/>
        </w:rPr>
        <w:t>其他重要事项的情况说明</w:t>
      </w:r>
      <w:bookmarkEnd w:id="43"/>
      <w:bookmarkEnd w:id="44"/>
    </w:p>
    <w:p>
      <w:pPr>
        <w:spacing w:line="600" w:lineRule="exact"/>
        <w:ind w:firstLine="643" w:firstLineChars="200"/>
        <w:outlineLvl w:val="2"/>
        <w:rPr>
          <w:rFonts w:hint="eastAsia" w:ascii="仿宋_GB2312" w:hAnsi="仿宋_GB2312" w:eastAsia="仿宋_GB2312" w:cs="仿宋_GB2312"/>
          <w:color w:val="000000"/>
          <w:sz w:val="32"/>
          <w:szCs w:val="32"/>
        </w:rPr>
      </w:pPr>
      <w:bookmarkStart w:id="45" w:name="_Toc15377222"/>
      <w:r>
        <w:rPr>
          <w:rFonts w:hint="eastAsia" w:ascii="仿宋_GB2312" w:hAnsi="仿宋_GB2312" w:eastAsia="仿宋_GB2312" w:cs="仿宋_GB2312"/>
          <w:b/>
          <w:color w:val="000000"/>
          <w:sz w:val="32"/>
          <w:szCs w:val="32"/>
        </w:rPr>
        <w:t>（一）机关运行经费支出情况</w:t>
      </w:r>
      <w:bookmarkEnd w:id="45"/>
    </w:p>
    <w:p>
      <w:pPr>
        <w:spacing w:line="600" w:lineRule="exact"/>
        <w:ind w:firstLine="640" w:firstLineChars="200"/>
        <w:rPr>
          <w:rFonts w:hint="eastAsia" w:ascii="仿宋_GB2312" w:hAnsi="仿宋_GB2312" w:eastAsia="仿宋_GB2312" w:cs="仿宋_GB2312"/>
          <w:b/>
          <w:color w:val="FF0000"/>
          <w:sz w:val="32"/>
          <w:szCs w:val="32"/>
          <w:lang w:val="en-US" w:eastAsia="zh-CN"/>
        </w:rPr>
      </w:pPr>
      <w:r>
        <w:rPr>
          <w:rFonts w:hint="eastAsia" w:ascii="仿宋_GB2312" w:hAnsi="仿宋_GB2312" w:eastAsia="仿宋_GB2312" w:cs="仿宋_GB2312"/>
          <w:color w:val="4E4342"/>
          <w:sz w:val="32"/>
          <w:szCs w:val="32"/>
        </w:rPr>
        <w:t xml:space="preserve">　2019年度，局机关运行经费支出227万元，比2018年增加104万元，增加了95%。增加的原因在于2019年机构改革业务变动。 </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46" w:name="_Toc15377223"/>
      <w:r>
        <w:rPr>
          <w:rFonts w:hint="eastAsia" w:ascii="仿宋_GB2312" w:hAnsi="仿宋_GB2312" w:eastAsia="仿宋_GB2312" w:cs="仿宋_GB2312"/>
          <w:b/>
          <w:color w:val="000000"/>
          <w:sz w:val="32"/>
          <w:szCs w:val="32"/>
        </w:rPr>
        <w:t>（二）政府采购支出情况</w:t>
      </w:r>
      <w:bookmarkEnd w:id="46"/>
    </w:p>
    <w:p>
      <w:pPr>
        <w:spacing w:line="600" w:lineRule="exact"/>
        <w:ind w:firstLine="960" w:firstLineChars="3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4E4342"/>
          <w:sz w:val="32"/>
          <w:szCs w:val="32"/>
        </w:rPr>
        <w:t>2019年度，政府采购支出总额0万元，其中：政府采购货物支出0万元。</w:t>
      </w:r>
      <w:r>
        <w:rPr>
          <w:rFonts w:hint="eastAsia" w:ascii="仿宋_GB2312" w:hAnsi="仿宋_GB2312" w:eastAsia="仿宋_GB2312" w:cs="仿宋_GB2312"/>
          <w:color w:val="4E4342"/>
          <w:sz w:val="32"/>
          <w:szCs w:val="32"/>
        </w:rPr>
        <w:br w:type="textWrapping"/>
      </w:r>
      <w:bookmarkStart w:id="47" w:name="_Toc15377224"/>
      <w:r>
        <w:rPr>
          <w:rFonts w:hint="eastAsia" w:ascii="仿宋_GB2312" w:hAnsi="仿宋_GB2312" w:eastAsia="仿宋_GB2312" w:cs="仿宋_GB2312"/>
          <w:color w:val="4E4342"/>
          <w:sz w:val="32"/>
          <w:szCs w:val="32"/>
          <w:lang w:val="en-US" w:eastAsia="zh-CN"/>
        </w:rPr>
        <w:t xml:space="preserve">    </w:t>
      </w:r>
      <w:r>
        <w:rPr>
          <w:rFonts w:hint="eastAsia" w:ascii="仿宋_GB2312" w:hAnsi="仿宋_GB2312" w:eastAsia="仿宋_GB2312" w:cs="仿宋_GB2312"/>
          <w:b/>
          <w:color w:val="000000"/>
          <w:sz w:val="32"/>
          <w:szCs w:val="32"/>
        </w:rPr>
        <w:t>（三）国有资产占有使用情况</w:t>
      </w:r>
      <w:bookmarkEnd w:id="47"/>
    </w:p>
    <w:p>
      <w:pPr>
        <w:ind w:firstLine="960" w:firstLineChars="300"/>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截至2019年12月31日，公有车辆86辆，其中：一般公务用车7辆；其他公务用车79辆</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widowControl/>
        <w:ind w:firstLine="960" w:firstLineChars="300"/>
        <w:jc w:val="left"/>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4E4342"/>
          <w:sz w:val="32"/>
          <w:szCs w:val="32"/>
        </w:rPr>
        <w:t xml:space="preserve">按照预算绩效管理要求，本部门对2019年一般公共预算项目支出开展了绩效目标管理，共编制绩效目标0个，涉及财政资金0万元。 </w:t>
      </w:r>
    </w:p>
    <w:p>
      <w:pPr>
        <w:numPr>
          <w:ilvl w:val="0"/>
          <w:numId w:val="3"/>
        </w:numPr>
        <w:spacing w:line="600" w:lineRule="exact"/>
        <w:ind w:firstLine="480" w:firstLineChars="150"/>
        <w:jc w:val="center"/>
        <w:outlineLvl w:val="0"/>
        <w:rPr>
          <w:rFonts w:hint="eastAsia" w:ascii="仿宋_GB2312" w:hAnsi="仿宋_GB2312" w:eastAsia="仿宋_GB2312" w:cs="仿宋_GB2312"/>
          <w:b/>
          <w:color w:val="000000"/>
          <w:sz w:val="32"/>
          <w:szCs w:val="32"/>
        </w:rPr>
      </w:pPr>
      <w:bookmarkStart w:id="48" w:name="_Toc15377225"/>
      <w:bookmarkStart w:id="49" w:name="_Toc15396613"/>
      <w:r>
        <w:rPr>
          <w:rFonts w:hint="eastAsia" w:ascii="仿宋_GB2312" w:hAnsi="仿宋_GB2312" w:eastAsia="仿宋_GB2312" w:cs="仿宋_GB2312"/>
          <w:color w:val="000000"/>
          <w:sz w:val="32"/>
          <w:szCs w:val="32"/>
        </w:rPr>
        <w:t>名</w:t>
      </w:r>
      <w:r>
        <w:rPr>
          <w:rStyle w:val="25"/>
          <w:rFonts w:hint="eastAsia" w:ascii="仿宋_GB2312" w:hAnsi="仿宋_GB2312" w:eastAsia="仿宋_GB2312" w:cs="仿宋_GB2312"/>
          <w:b w:val="0"/>
          <w:sz w:val="32"/>
          <w:szCs w:val="32"/>
        </w:rPr>
        <w:t>词解释</w:t>
      </w:r>
      <w:bookmarkEnd w:id="48"/>
      <w:bookmarkEnd w:id="49"/>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2.事业收入：指事业单位开展专业业务活动及辅助活动取得的收入。如…（二级预算单位事业收入情况）等。</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3.经营收入：指事业单位在专业业务活动及其辅助活动之外开展非独立核算经营活动取得的收入。如…（二级预算单位经营收入情况）等。</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4.其他收入：指单位取得的除上述收入以外的各项收入。主要是…（收入类型）等。 </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10.外交（类）…（款）…（项）：指……。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11.公共安全（类）…（款）…（项）：指……。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12.教育（类）…（款）…（项）：指……。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13.科学技术（类）…（款）…（项）：指……。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14.文化体育与传媒（类）…（款）…（项）：指……。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15.社会保障和就业（类）…（款）…（项）：指……。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16.医疗卫生与计划生育（类）…（款）…（项）：指……。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17.节能环保（类）…（款）…（项）：指……。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18.城乡社区（类）…（款）…（项）：指……。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19.农林水（类）…（款）…（项）：指……。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20.交通运输（类）…（款）…（项）：指……。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21.资源勘探信息等（类）…（款）…（项）：指……。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22.商业服务业（类）…（款）…（项）：指……。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23.金融（类）…（款）…（项）：指……。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24.国土海洋气象等（类）…（款）…（项）：指……。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25.住房保障（类）…（款）…（项）：指……。</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26.粮油物资储备（类）…（款）…（项）：指……。</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（解释本部门决算报表中全部功能分类科目至项级，请参照《2019年政府收支分类科目》增减内容。）</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28.项目支出：指在基本支出之外为完成特定行政任务和事业发展目标所发生的支出。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29.经营支出：指事业单位在专业业务活动及其辅助活动之外开展非独立核算经营活动发生的支出。</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32.……。</w:t>
      </w:r>
      <w:r>
        <w:rPr>
          <w:rFonts w:hint="eastAsia" w:ascii="仿宋_GB2312" w:hAnsi="仿宋_GB2312" w:eastAsia="仿宋_GB2312" w:cs="仿宋_GB2312"/>
          <w:b/>
          <w:color w:val="000000"/>
          <w:sz w:val="32"/>
          <w:szCs w:val="32"/>
        </w:rPr>
        <w:t>（名词解释部分请根据各部门实际列支情况罗列，并根据本部门职责职能增减名词解释内容。）</w:t>
      </w:r>
    </w:p>
    <w:p>
      <w:pPr>
        <w:widowControl/>
        <w:jc w:val="left"/>
        <w:rPr>
          <w:rFonts w:hint="eastAsia" w:ascii="仿宋_GB2312" w:hAnsi="仿宋_GB2312" w:eastAsia="仿宋_GB2312" w:cs="仿宋_GB2312"/>
          <w:color w:val="000000"/>
          <w:sz w:val="32"/>
          <w:szCs w:val="32"/>
        </w:rPr>
      </w:pPr>
      <w:bookmarkStart w:id="50" w:name="_Toc15377226"/>
      <w:r>
        <w:rPr>
          <w:rFonts w:hint="eastAsia" w:ascii="仿宋_GB2312" w:hAnsi="仿宋_GB2312" w:eastAsia="仿宋_GB2312" w:cs="仿宋_GB2312"/>
          <w:b/>
          <w:color w:val="000000"/>
          <w:sz w:val="32"/>
          <w:szCs w:val="32"/>
        </w:rPr>
        <w:br w:type="page"/>
      </w:r>
      <w:bookmarkStart w:id="51" w:name="_Toc15396618"/>
    </w:p>
    <w:p>
      <w:pPr>
        <w:widowControl/>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第</w:t>
      </w:r>
      <w:r>
        <w:rPr>
          <w:rStyle w:val="25"/>
          <w:rFonts w:hint="eastAsia" w:ascii="仿宋_GB2312" w:hAnsi="仿宋_GB2312" w:eastAsia="仿宋_GB2312" w:cs="仿宋_GB2312"/>
          <w:b w:val="0"/>
          <w:sz w:val="32"/>
          <w:szCs w:val="32"/>
        </w:rPr>
        <w:t>五部分 附表</w:t>
      </w:r>
      <w:bookmarkEnd w:id="50"/>
      <w:bookmarkEnd w:id="51"/>
    </w:p>
    <w:p>
      <w:pPr>
        <w:pStyle w:val="4"/>
        <w:rPr>
          <w:rFonts w:hint="eastAsia" w:ascii="仿宋_GB2312" w:hAnsi="仿宋_GB2312" w:eastAsia="仿宋_GB2312" w:cs="仿宋_GB2312"/>
          <w:color w:val="000000"/>
          <w:sz w:val="32"/>
          <w:szCs w:val="32"/>
        </w:rPr>
      </w:pPr>
      <w:bookmarkStart w:id="52" w:name="_Toc15396619"/>
      <w:r>
        <w:rPr>
          <w:rFonts w:hint="eastAsia" w:ascii="仿宋_GB2312" w:hAnsi="仿宋_GB2312" w:eastAsia="仿宋_GB2312" w:cs="仿宋_GB2312"/>
          <w:b w:val="0"/>
          <w:color w:val="000000"/>
          <w:sz w:val="32"/>
          <w:szCs w:val="32"/>
        </w:rPr>
        <w:t>一、收</w:t>
      </w:r>
      <w:r>
        <w:rPr>
          <w:rStyle w:val="26"/>
          <w:rFonts w:hint="eastAsia" w:ascii="仿宋_GB2312" w:hAnsi="仿宋_GB2312" w:eastAsia="仿宋_GB2312" w:cs="仿宋_GB2312"/>
          <w:b w:val="0"/>
          <w:bCs w:val="0"/>
          <w:sz w:val="32"/>
          <w:szCs w:val="32"/>
        </w:rPr>
        <w:t>入支出决算总表</w:t>
      </w:r>
      <w:bookmarkEnd w:id="52"/>
    </w:p>
    <w:p>
      <w:pPr>
        <w:pStyle w:val="4"/>
        <w:rPr>
          <w:rFonts w:hint="eastAsia" w:ascii="仿宋_GB2312" w:hAnsi="仿宋_GB2312" w:eastAsia="仿宋_GB2312" w:cs="仿宋_GB2312"/>
          <w:color w:val="000000"/>
          <w:sz w:val="32"/>
          <w:szCs w:val="32"/>
        </w:rPr>
      </w:pPr>
      <w:bookmarkStart w:id="53" w:name="_Toc15396620"/>
      <w:r>
        <w:rPr>
          <w:rFonts w:hint="eastAsia" w:ascii="仿宋_GB2312" w:hAnsi="仿宋_GB2312" w:eastAsia="仿宋_GB2312" w:cs="仿宋_GB2312"/>
          <w:b w:val="0"/>
          <w:color w:val="000000"/>
          <w:sz w:val="32"/>
          <w:szCs w:val="32"/>
        </w:rPr>
        <w:t>二、收</w:t>
      </w:r>
      <w:r>
        <w:rPr>
          <w:rStyle w:val="26"/>
          <w:rFonts w:hint="eastAsia" w:ascii="仿宋_GB2312" w:hAnsi="仿宋_GB2312" w:eastAsia="仿宋_GB2312" w:cs="仿宋_GB2312"/>
          <w:b w:val="0"/>
          <w:bCs w:val="0"/>
          <w:sz w:val="32"/>
          <w:szCs w:val="32"/>
        </w:rPr>
        <w:t>入决算表</w:t>
      </w:r>
      <w:bookmarkEnd w:id="53"/>
    </w:p>
    <w:p>
      <w:pPr>
        <w:pStyle w:val="4"/>
        <w:rPr>
          <w:rFonts w:hint="eastAsia" w:ascii="仿宋_GB2312" w:hAnsi="仿宋_GB2312" w:eastAsia="仿宋_GB2312" w:cs="仿宋_GB2312"/>
          <w:color w:val="000000"/>
          <w:sz w:val="32"/>
          <w:szCs w:val="32"/>
        </w:rPr>
      </w:pPr>
      <w:bookmarkStart w:id="54" w:name="_Toc15396621"/>
      <w:r>
        <w:rPr>
          <w:rStyle w:val="26"/>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6"/>
          <w:rFonts w:hint="eastAsia" w:ascii="仿宋_GB2312" w:hAnsi="仿宋_GB2312" w:eastAsia="仿宋_GB2312" w:cs="仿宋_GB2312"/>
          <w:b w:val="0"/>
          <w:bCs w:val="0"/>
          <w:sz w:val="32"/>
          <w:szCs w:val="32"/>
        </w:rPr>
        <w:t>出决算表</w:t>
      </w:r>
      <w:bookmarkEnd w:id="54"/>
    </w:p>
    <w:p>
      <w:pPr>
        <w:pStyle w:val="4"/>
        <w:rPr>
          <w:rFonts w:hint="eastAsia" w:ascii="仿宋_GB2312" w:hAnsi="仿宋_GB2312" w:eastAsia="仿宋_GB2312" w:cs="仿宋_GB2312"/>
          <w:b w:val="0"/>
          <w:color w:val="000000"/>
          <w:sz w:val="32"/>
          <w:szCs w:val="32"/>
        </w:rPr>
      </w:pPr>
      <w:bookmarkStart w:id="55" w:name="_Toc15396622"/>
      <w:r>
        <w:rPr>
          <w:rStyle w:val="26"/>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6"/>
          <w:rFonts w:hint="eastAsia" w:ascii="仿宋_GB2312" w:hAnsi="仿宋_GB2312" w:eastAsia="仿宋_GB2312" w:cs="仿宋_GB2312"/>
          <w:b w:val="0"/>
          <w:bCs w:val="0"/>
          <w:sz w:val="32"/>
          <w:szCs w:val="32"/>
        </w:rPr>
        <w:t>政拨款收入支出决算总表</w:t>
      </w:r>
      <w:bookmarkEnd w:id="55"/>
    </w:p>
    <w:p>
      <w:pPr>
        <w:pStyle w:val="4"/>
        <w:rPr>
          <w:rStyle w:val="26"/>
          <w:rFonts w:hint="eastAsia" w:ascii="仿宋_GB2312" w:hAnsi="仿宋_GB2312" w:eastAsia="仿宋_GB2312" w:cs="仿宋_GB2312"/>
          <w:b w:val="0"/>
          <w:bCs w:val="0"/>
          <w:sz w:val="32"/>
          <w:szCs w:val="32"/>
        </w:rPr>
      </w:pPr>
      <w:bookmarkStart w:id="56" w:name="_Toc15396623"/>
      <w:r>
        <w:rPr>
          <w:rStyle w:val="26"/>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6"/>
          <w:rFonts w:hint="eastAsia" w:ascii="仿宋_GB2312" w:hAnsi="仿宋_GB2312" w:eastAsia="仿宋_GB2312" w:cs="仿宋_GB2312"/>
          <w:b w:val="0"/>
          <w:bCs w:val="0"/>
          <w:sz w:val="32"/>
          <w:szCs w:val="32"/>
        </w:rPr>
        <w:t>政拨款支出决算明细表</w:t>
      </w:r>
      <w:bookmarkEnd w:id="56"/>
      <w:bookmarkStart w:id="57" w:name="_Toc15396624"/>
    </w:p>
    <w:p>
      <w:pPr>
        <w:pStyle w:val="4"/>
        <w:rPr>
          <w:rFonts w:hint="eastAsia" w:ascii="仿宋_GB2312" w:hAnsi="仿宋_GB2312" w:eastAsia="仿宋_GB2312" w:cs="仿宋_GB2312"/>
          <w:color w:val="000000"/>
          <w:sz w:val="32"/>
          <w:szCs w:val="32"/>
        </w:rPr>
      </w:pPr>
      <w:r>
        <w:rPr>
          <w:rStyle w:val="26"/>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6"/>
          <w:rFonts w:hint="eastAsia" w:ascii="仿宋_GB2312" w:hAnsi="仿宋_GB2312" w:eastAsia="仿宋_GB2312" w:cs="仿宋_GB2312"/>
          <w:b w:val="0"/>
          <w:bCs w:val="0"/>
          <w:sz w:val="32"/>
          <w:szCs w:val="32"/>
        </w:rPr>
        <w:t>般公共预算财政拨款支出决算表</w:t>
      </w:r>
      <w:bookmarkEnd w:id="57"/>
    </w:p>
    <w:p>
      <w:pPr>
        <w:pStyle w:val="4"/>
        <w:rPr>
          <w:rFonts w:hint="eastAsia" w:ascii="仿宋_GB2312" w:hAnsi="仿宋_GB2312" w:eastAsia="仿宋_GB2312" w:cs="仿宋_GB2312"/>
          <w:color w:val="000000"/>
          <w:sz w:val="32"/>
          <w:szCs w:val="32"/>
        </w:rPr>
      </w:pPr>
      <w:bookmarkStart w:id="58" w:name="_Toc15396625"/>
      <w:r>
        <w:rPr>
          <w:rStyle w:val="26"/>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6"/>
          <w:rFonts w:hint="eastAsia" w:ascii="仿宋_GB2312" w:hAnsi="仿宋_GB2312" w:eastAsia="仿宋_GB2312" w:cs="仿宋_GB2312"/>
          <w:b w:val="0"/>
          <w:bCs w:val="0"/>
          <w:sz w:val="32"/>
          <w:szCs w:val="32"/>
        </w:rPr>
        <w:t>般公共预算财政拨款支出决算明细表</w:t>
      </w:r>
      <w:bookmarkEnd w:id="58"/>
    </w:p>
    <w:p>
      <w:pPr>
        <w:pStyle w:val="4"/>
        <w:rPr>
          <w:rFonts w:hint="eastAsia" w:ascii="仿宋_GB2312" w:hAnsi="仿宋_GB2312" w:eastAsia="仿宋_GB2312" w:cs="仿宋_GB2312"/>
          <w:color w:val="000000"/>
          <w:sz w:val="32"/>
          <w:szCs w:val="32"/>
        </w:rPr>
      </w:pPr>
      <w:bookmarkStart w:id="59" w:name="_Toc15396626"/>
      <w:r>
        <w:rPr>
          <w:rStyle w:val="26"/>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6"/>
          <w:rFonts w:hint="eastAsia" w:ascii="仿宋_GB2312" w:hAnsi="仿宋_GB2312" w:eastAsia="仿宋_GB2312" w:cs="仿宋_GB2312"/>
          <w:b w:val="0"/>
          <w:bCs w:val="0"/>
          <w:sz w:val="32"/>
          <w:szCs w:val="32"/>
        </w:rPr>
        <w:t>般公共预算财政拨款基本支出决算表</w:t>
      </w:r>
      <w:bookmarkEnd w:id="59"/>
    </w:p>
    <w:p>
      <w:pPr>
        <w:pStyle w:val="4"/>
        <w:rPr>
          <w:rFonts w:hint="eastAsia" w:ascii="仿宋_GB2312" w:hAnsi="仿宋_GB2312" w:eastAsia="仿宋_GB2312" w:cs="仿宋_GB2312"/>
          <w:color w:val="000000"/>
          <w:sz w:val="32"/>
          <w:szCs w:val="32"/>
        </w:rPr>
      </w:pPr>
      <w:bookmarkStart w:id="60" w:name="_Toc15396627"/>
      <w:r>
        <w:rPr>
          <w:rStyle w:val="26"/>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6"/>
          <w:rFonts w:hint="eastAsia" w:ascii="仿宋_GB2312" w:hAnsi="仿宋_GB2312" w:eastAsia="仿宋_GB2312" w:cs="仿宋_GB2312"/>
          <w:b w:val="0"/>
          <w:bCs w:val="0"/>
          <w:sz w:val="32"/>
          <w:szCs w:val="32"/>
        </w:rPr>
        <w:t>般公共预算财政拨款项目支出决算表</w:t>
      </w:r>
      <w:bookmarkEnd w:id="60"/>
    </w:p>
    <w:p>
      <w:pPr>
        <w:pStyle w:val="4"/>
        <w:rPr>
          <w:rFonts w:hint="eastAsia" w:ascii="仿宋_GB2312" w:hAnsi="仿宋_GB2312" w:eastAsia="仿宋_GB2312" w:cs="仿宋_GB2312"/>
          <w:color w:val="000000"/>
          <w:sz w:val="32"/>
          <w:szCs w:val="32"/>
        </w:rPr>
      </w:pPr>
      <w:bookmarkStart w:id="61" w:name="_Toc15396628"/>
      <w:r>
        <w:rPr>
          <w:rStyle w:val="26"/>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6"/>
          <w:rFonts w:hint="eastAsia" w:ascii="仿宋_GB2312" w:hAnsi="仿宋_GB2312" w:eastAsia="仿宋_GB2312" w:cs="仿宋_GB2312"/>
          <w:b w:val="0"/>
          <w:bCs w:val="0"/>
          <w:sz w:val="32"/>
          <w:szCs w:val="32"/>
        </w:rPr>
        <w:t>般公共预算财政拨款“三公”经费支出决算表</w:t>
      </w:r>
      <w:bookmarkEnd w:id="61"/>
    </w:p>
    <w:p>
      <w:pPr>
        <w:pStyle w:val="4"/>
        <w:rPr>
          <w:rFonts w:hint="eastAsia" w:ascii="仿宋_GB2312" w:hAnsi="仿宋_GB2312" w:eastAsia="仿宋_GB2312" w:cs="仿宋_GB2312"/>
          <w:color w:val="000000"/>
          <w:sz w:val="32"/>
          <w:szCs w:val="32"/>
        </w:rPr>
      </w:pPr>
      <w:bookmarkStart w:id="62" w:name="_Toc15396629"/>
      <w:r>
        <w:rPr>
          <w:rStyle w:val="26"/>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6"/>
          <w:rFonts w:hint="eastAsia" w:ascii="仿宋_GB2312" w:hAnsi="仿宋_GB2312" w:eastAsia="仿宋_GB2312" w:cs="仿宋_GB2312"/>
          <w:b w:val="0"/>
          <w:bCs w:val="0"/>
          <w:sz w:val="32"/>
          <w:szCs w:val="32"/>
        </w:rPr>
        <w:t>府性基金预算财政拨款收入支出决算表</w:t>
      </w:r>
      <w:bookmarkEnd w:id="62"/>
    </w:p>
    <w:p>
      <w:pPr>
        <w:pStyle w:val="4"/>
        <w:rPr>
          <w:rFonts w:hint="eastAsia" w:ascii="仿宋_GB2312" w:hAnsi="仿宋_GB2312" w:eastAsia="仿宋_GB2312" w:cs="仿宋_GB2312"/>
          <w:color w:val="000000"/>
          <w:sz w:val="32"/>
          <w:szCs w:val="32"/>
        </w:rPr>
      </w:pPr>
      <w:bookmarkStart w:id="63" w:name="_Toc15396630"/>
      <w:r>
        <w:rPr>
          <w:rStyle w:val="26"/>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26"/>
          <w:rFonts w:hint="eastAsia" w:ascii="仿宋_GB2312" w:hAnsi="仿宋_GB2312" w:eastAsia="仿宋_GB2312" w:cs="仿宋_GB2312"/>
          <w:b w:val="0"/>
          <w:bCs w:val="0"/>
          <w:sz w:val="32"/>
          <w:szCs w:val="32"/>
        </w:rPr>
        <w:t>府性基金预算财政拨款“三公”经费支出决算表</w:t>
      </w:r>
      <w:bookmarkEnd w:id="63"/>
    </w:p>
    <w:p>
      <w:pPr>
        <w:pStyle w:val="4"/>
        <w:rPr>
          <w:rFonts w:hint="eastAsia" w:ascii="仿宋_GB2312" w:hAnsi="仿宋_GB2312" w:eastAsia="仿宋_GB2312" w:cs="仿宋_GB2312"/>
          <w:color w:val="000000" w:themeColor="text1"/>
          <w:sz w:val="32"/>
          <w:szCs w:val="32"/>
        </w:rPr>
      </w:pPr>
      <w:bookmarkStart w:id="64" w:name="_Toc15396631"/>
      <w:r>
        <w:rPr>
          <w:rStyle w:val="26"/>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color w:val="000000"/>
          <w:sz w:val="32"/>
          <w:szCs w:val="32"/>
        </w:rPr>
        <w:t>国</w:t>
      </w:r>
      <w:r>
        <w:rPr>
          <w:rStyle w:val="26"/>
          <w:rFonts w:hint="eastAsia" w:ascii="仿宋_GB2312" w:hAnsi="仿宋_GB2312" w:eastAsia="仿宋_GB2312" w:cs="仿宋_GB2312"/>
          <w:b w:val="0"/>
          <w:bCs w:val="0"/>
          <w:sz w:val="32"/>
          <w:szCs w:val="32"/>
        </w:rPr>
        <w:t>有资本经营预算支出决算表</w:t>
      </w:r>
      <w:bookmarkEnd w:id="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Palatino Linotype">
    <w:panose1 w:val="02040502050505030304"/>
    <w:charset w:val="00"/>
    <w:family w:val="auto"/>
    <w:pitch w:val="default"/>
    <w:sig w:usb0="E0000387" w:usb1="40000013" w:usb2="00000000" w:usb3="00000000" w:csb0="2000019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E6E6B75"/>
    <w:rsid w:val="10C055FF"/>
    <w:rsid w:val="16BB723D"/>
    <w:rsid w:val="240371BF"/>
    <w:rsid w:val="29FD04D3"/>
    <w:rsid w:val="2DBC32DC"/>
    <w:rsid w:val="308A56C0"/>
    <w:rsid w:val="319F7F4E"/>
    <w:rsid w:val="41310CB1"/>
    <w:rsid w:val="420360C6"/>
    <w:rsid w:val="4ECE2238"/>
    <w:rsid w:val="5CBC618C"/>
    <w:rsid w:val="72401656"/>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32</TotalTime>
  <ScaleCrop>false</ScaleCrop>
  <LinksUpToDate>false</LinksUpToDate>
  <CharactersWithSpaces>8587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2020-09-21T08:48:16Z</cp:lastPrinted>
  <dcterms:modified xsi:type="dcterms:W3CDTF">2020-09-21T09:12:25Z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