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DEAD7">
      <w:pPr>
        <w:spacing w:line="600" w:lineRule="exact"/>
        <w:jc w:val="both"/>
        <w:outlineLvl w:val="0"/>
        <w:rPr>
          <w:rFonts w:ascii="方正小标宋简体" w:hAnsi="宋体" w:eastAsia="方正小标宋简体"/>
          <w:color w:val="000000"/>
          <w:sz w:val="72"/>
          <w:szCs w:val="72"/>
        </w:rPr>
      </w:pPr>
      <w:bookmarkStart w:id="0" w:name="_Toc15306267"/>
    </w:p>
    <w:p w14:paraId="29B084C0">
      <w:pPr>
        <w:jc w:val="center"/>
        <w:rPr>
          <w:rFonts w:ascii="黑体" w:hAnsi="黑体" w:eastAsia="黑体"/>
          <w:sz w:val="72"/>
          <w:szCs w:val="72"/>
        </w:rPr>
      </w:pPr>
      <w:bookmarkStart w:id="1" w:name="_Toc15396597"/>
      <w:bookmarkStart w:id="2" w:name="_Toc15378441"/>
      <w:bookmarkStart w:id="3" w:name="_Toc15396475"/>
      <w:bookmarkStart w:id="4" w:name="_Toc15377193"/>
      <w:bookmarkStart w:id="5" w:name="_Toc15377425"/>
      <w:r>
        <w:rPr>
          <w:rFonts w:ascii="黑体" w:hAnsi="黑体" w:eastAsia="黑体"/>
          <w:sz w:val="72"/>
          <w:szCs w:val="72"/>
        </w:rPr>
        <w:t>202</w:t>
      </w:r>
      <w:r>
        <w:rPr>
          <w:rFonts w:hint="eastAsia" w:ascii="黑体" w:hAnsi="黑体" w:eastAsia="黑体"/>
          <w:sz w:val="72"/>
          <w:szCs w:val="72"/>
          <w:lang w:val="en-US" w:eastAsia="zh-CN"/>
        </w:rPr>
        <w:t>3</w:t>
      </w:r>
      <w:r>
        <w:rPr>
          <w:rFonts w:hint="eastAsia" w:ascii="黑体" w:hAnsi="黑体" w:eastAsia="黑体"/>
          <w:sz w:val="72"/>
          <w:szCs w:val="72"/>
        </w:rPr>
        <w:t>年度</w:t>
      </w:r>
      <w:bookmarkEnd w:id="1"/>
      <w:bookmarkEnd w:id="2"/>
      <w:bookmarkEnd w:id="3"/>
      <w:bookmarkEnd w:id="4"/>
      <w:bookmarkEnd w:id="5"/>
    </w:p>
    <w:p w14:paraId="1938FD35">
      <w:pPr>
        <w:jc w:val="center"/>
        <w:rPr>
          <w:rFonts w:hint="eastAsia" w:ascii="黑体" w:hAnsi="黑体" w:eastAsia="黑体"/>
          <w:sz w:val="72"/>
          <w:szCs w:val="72"/>
        </w:rPr>
      </w:pPr>
      <w:bookmarkStart w:id="6" w:name="_Toc15378442"/>
      <w:bookmarkStart w:id="7" w:name="_Toc15396476"/>
      <w:bookmarkStart w:id="8" w:name="_Toc15377426"/>
      <w:bookmarkStart w:id="9" w:name="_Toc15377194"/>
      <w:bookmarkStart w:id="10" w:name="_Toc15396598"/>
      <w:r>
        <w:rPr>
          <w:rFonts w:hint="eastAsia" w:ascii="黑体" w:hAnsi="黑体" w:eastAsia="黑体"/>
          <w:sz w:val="72"/>
          <w:szCs w:val="72"/>
        </w:rPr>
        <w:t>四川省阿坝州松潘县</w:t>
      </w:r>
      <w:bookmarkEnd w:id="0"/>
      <w:bookmarkStart w:id="11" w:name="_Toc15306268"/>
    </w:p>
    <w:p w14:paraId="202B6664">
      <w:pPr>
        <w:jc w:val="center"/>
        <w:rPr>
          <w:rFonts w:ascii="黑体" w:hAnsi="黑体" w:eastAsia="黑体"/>
          <w:sz w:val="72"/>
          <w:szCs w:val="72"/>
        </w:rPr>
      </w:pPr>
      <w:r>
        <w:rPr>
          <w:rFonts w:hint="eastAsia" w:ascii="黑体" w:hAnsi="黑体" w:eastAsia="黑体"/>
          <w:sz w:val="72"/>
          <w:szCs w:val="72"/>
          <w:lang w:eastAsia="zh-CN"/>
        </w:rPr>
        <w:t>残疾人联合会单位</w:t>
      </w:r>
      <w:r>
        <w:rPr>
          <w:rFonts w:hint="eastAsia" w:ascii="黑体" w:hAnsi="黑体" w:eastAsia="黑体"/>
          <w:sz w:val="72"/>
          <w:szCs w:val="72"/>
        </w:rPr>
        <w:t>决算</w:t>
      </w:r>
      <w:bookmarkEnd w:id="6"/>
      <w:bookmarkEnd w:id="7"/>
      <w:bookmarkEnd w:id="8"/>
      <w:bookmarkEnd w:id="9"/>
      <w:bookmarkEnd w:id="10"/>
      <w:bookmarkEnd w:id="11"/>
    </w:p>
    <w:p w14:paraId="362C0B80">
      <w:pPr>
        <w:widowControl/>
        <w:jc w:val="center"/>
        <w:rPr>
          <w:rFonts w:ascii="方正小标宋简体" w:hAnsi="宋体" w:eastAsia="方正小标宋简体"/>
          <w:color w:val="000000"/>
          <w:sz w:val="36"/>
          <w:szCs w:val="36"/>
        </w:rPr>
      </w:pPr>
    </w:p>
    <w:p w14:paraId="092798A4">
      <w:pPr>
        <w:rPr>
          <w:rFonts w:ascii="方正小标宋简体" w:hAnsi="宋体" w:eastAsia="方正小标宋简体"/>
          <w:sz w:val="36"/>
          <w:szCs w:val="36"/>
        </w:rPr>
      </w:pPr>
    </w:p>
    <w:p w14:paraId="4BE69663">
      <w:pPr>
        <w:rPr>
          <w:rFonts w:ascii="方正小标宋简体" w:hAnsi="宋体" w:eastAsia="方正小标宋简体"/>
          <w:sz w:val="36"/>
          <w:szCs w:val="36"/>
        </w:rPr>
      </w:pPr>
    </w:p>
    <w:p w14:paraId="0B24B950">
      <w:pPr>
        <w:rPr>
          <w:rFonts w:ascii="方正小标宋简体" w:hAnsi="宋体" w:eastAsia="方正小标宋简体"/>
          <w:sz w:val="36"/>
          <w:szCs w:val="36"/>
        </w:rPr>
      </w:pPr>
    </w:p>
    <w:p w14:paraId="1D07C7DE">
      <w:pPr>
        <w:rPr>
          <w:rFonts w:ascii="方正小标宋简体" w:hAnsi="宋体" w:eastAsia="方正小标宋简体"/>
          <w:sz w:val="36"/>
          <w:szCs w:val="36"/>
        </w:rPr>
      </w:pPr>
    </w:p>
    <w:p w14:paraId="17EB4532">
      <w:pPr>
        <w:rPr>
          <w:rFonts w:ascii="方正小标宋简体" w:hAnsi="宋体" w:eastAsia="方正小标宋简体"/>
          <w:sz w:val="36"/>
          <w:szCs w:val="36"/>
        </w:rPr>
      </w:pPr>
    </w:p>
    <w:p w14:paraId="5E592F16">
      <w:pPr>
        <w:rPr>
          <w:rFonts w:ascii="方正小标宋简体" w:hAnsi="宋体" w:eastAsia="方正小标宋简体"/>
          <w:sz w:val="36"/>
          <w:szCs w:val="36"/>
        </w:rPr>
      </w:pPr>
    </w:p>
    <w:p w14:paraId="64FFF412">
      <w:pPr>
        <w:rPr>
          <w:rFonts w:ascii="方正小标宋简体" w:hAnsi="宋体" w:eastAsia="方正小标宋简体"/>
          <w:sz w:val="36"/>
          <w:szCs w:val="36"/>
        </w:rPr>
      </w:pPr>
    </w:p>
    <w:p w14:paraId="5E920CD9">
      <w:pPr>
        <w:rPr>
          <w:rFonts w:ascii="方正小标宋简体" w:hAnsi="宋体" w:eastAsia="方正小标宋简体"/>
          <w:sz w:val="36"/>
          <w:szCs w:val="36"/>
        </w:rPr>
      </w:pPr>
    </w:p>
    <w:p w14:paraId="1F5B1F15">
      <w:pPr>
        <w:rPr>
          <w:rFonts w:ascii="方正小标宋简体" w:hAnsi="宋体" w:eastAsia="方正小标宋简体"/>
          <w:sz w:val="36"/>
          <w:szCs w:val="36"/>
        </w:rPr>
      </w:pPr>
    </w:p>
    <w:p w14:paraId="6B110425">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70EB8013">
      <w:pPr>
        <w:pStyle w:val="16"/>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3</w:t>
      </w:r>
      <w:r>
        <w:rPr>
          <w:rFonts w:hint="eastAsia" w:hAnsiTheme="minorHAnsi"/>
          <w:b w:val="0"/>
          <w:bCs w:val="0"/>
          <w:sz w:val="24"/>
          <w:szCs w:val="24"/>
        </w:rPr>
        <w:t xml:space="preserve">年 </w:t>
      </w:r>
      <w:r>
        <w:rPr>
          <w:rFonts w:hint="eastAsia" w:hAnsiTheme="minorHAnsi"/>
          <w:b w:val="0"/>
          <w:bCs w:val="0"/>
          <w:sz w:val="24"/>
          <w:szCs w:val="24"/>
          <w:lang w:val="en-US" w:eastAsia="zh-CN"/>
        </w:rPr>
        <w:t>9</w:t>
      </w:r>
      <w:r>
        <w:rPr>
          <w:rFonts w:hint="eastAsia" w:hAnsiTheme="minorHAnsi"/>
          <w:b w:val="0"/>
          <w:bCs w:val="0"/>
          <w:sz w:val="24"/>
          <w:szCs w:val="24"/>
        </w:rPr>
        <w:t>月</w:t>
      </w:r>
      <w:r>
        <w:rPr>
          <w:rFonts w:hint="eastAsia" w:hAnsiTheme="minorHAnsi"/>
          <w:b w:val="0"/>
          <w:bCs w:val="0"/>
          <w:sz w:val="24"/>
          <w:szCs w:val="24"/>
          <w:lang w:val="en-US" w:eastAsia="zh-CN"/>
        </w:rPr>
        <w:t>6</w:t>
      </w:r>
      <w:r>
        <w:rPr>
          <w:rFonts w:hint="eastAsia" w:hAnsiTheme="minorHAnsi"/>
          <w:b w:val="0"/>
          <w:bCs w:val="0"/>
          <w:sz w:val="24"/>
          <w:szCs w:val="24"/>
        </w:rPr>
        <w:t>日</w:t>
      </w:r>
    </w:p>
    <w:p w14:paraId="19FB5F1B">
      <w:pPr>
        <w:pStyle w:val="16"/>
        <w:tabs>
          <w:tab w:val="right" w:leader="dot" w:pos="8296"/>
        </w:tabs>
        <w:rPr>
          <w:rFonts w:hint="eastAsia" w:hAnsiTheme="minorHAnsi" w:eastAsiaTheme="minorHAnsi" w:cstheme="minorBidi"/>
          <w:b w:val="0"/>
          <w:bCs w:val="0"/>
          <w:caps w:val="0"/>
          <w:sz w:val="21"/>
          <w:szCs w:val="22"/>
          <w:lang w:eastAsia="zh-CN"/>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第一部分</w:t>
      </w:r>
      <w:r>
        <w:rPr>
          <w:rFonts w:hint="eastAsia" w:ascii="黑体" w:hAnsi="黑体" w:eastAsia="黑体"/>
          <w:b w:val="0"/>
          <w:lang w:eastAsia="zh-CN"/>
        </w:rPr>
        <w:t>单位</w:t>
      </w:r>
      <w:r>
        <w:rPr>
          <w:rFonts w:ascii="黑体" w:hAnsi="黑体" w:eastAsia="黑体"/>
          <w:b w:val="0"/>
          <w:bCs w:val="0"/>
        </w:rPr>
        <w:t>概况</w:t>
      </w:r>
      <w:r>
        <w:tab/>
      </w:r>
      <w:r>
        <w:rPr>
          <w:rFonts w:hint="eastAsia"/>
          <w:lang w:val="en-US" w:eastAsia="zh-CN"/>
        </w:rPr>
        <w:t>5</w:t>
      </w:r>
    </w:p>
    <w:p w14:paraId="2BC4528B">
      <w:pPr>
        <w:pStyle w:val="19"/>
        <w:tabs>
          <w:tab w:val="right" w:leader="dot" w:pos="8296"/>
        </w:tabs>
        <w:rPr>
          <w:rFonts w:hint="eastAsia" w:hAnsiTheme="minorHAnsi" w:eastAsiaTheme="minorHAnsi" w:cstheme="minorBidi"/>
          <w:smallCaps w:val="0"/>
          <w:sz w:val="21"/>
          <w:szCs w:val="22"/>
          <w:lang w:eastAsia="zh-CN"/>
        </w:rPr>
      </w:pPr>
      <w:r>
        <w:rPr>
          <w:rFonts w:ascii="黑体" w:hAnsi="黑体" w:eastAsia="黑体"/>
          <w:color w:val="000000"/>
        </w:rPr>
        <w:t>一、</w:t>
      </w:r>
      <w:r>
        <w:rPr>
          <w:rFonts w:hint="eastAsia" w:ascii="黑体" w:hAnsi="黑体" w:eastAsia="黑体"/>
          <w:color w:val="000000"/>
          <w:lang w:eastAsia="zh-CN"/>
        </w:rPr>
        <w:t>主要职责</w:t>
      </w:r>
      <w:r>
        <w:tab/>
      </w:r>
      <w:r>
        <w:rPr>
          <w:rFonts w:hint="eastAsia"/>
          <w:lang w:val="en-US" w:eastAsia="zh-CN"/>
        </w:rPr>
        <w:t>5</w:t>
      </w:r>
    </w:p>
    <w:p w14:paraId="30E96C64">
      <w:pPr>
        <w:pStyle w:val="10"/>
        <w:tabs>
          <w:tab w:val="right" w:leader="dot" w:pos="8296"/>
        </w:tabs>
        <w:rPr>
          <w:rFonts w:hint="eastAsia" w:hAnsiTheme="minorHAnsi" w:eastAsiaTheme="minorHAnsi" w:cstheme="minorBidi"/>
          <w:i w:val="0"/>
          <w:iCs w:val="0"/>
          <w:sz w:val="21"/>
          <w:szCs w:val="22"/>
          <w:lang w:val="en-US" w:eastAsia="zh-CN"/>
        </w:rPr>
      </w:pPr>
      <w:r>
        <w:rPr>
          <w:rFonts w:ascii="仿宋" w:hAnsi="仿宋" w:eastAsia="仿宋"/>
          <w:bCs/>
          <w:color w:val="000000"/>
        </w:rPr>
        <w:t>（一）主要职能。</w:t>
      </w:r>
      <w:r>
        <w:tab/>
      </w:r>
      <w:r>
        <w:rPr>
          <w:rFonts w:hint="eastAsia"/>
          <w:lang w:val="en-US" w:eastAsia="zh-CN"/>
        </w:rPr>
        <w:t>5</w:t>
      </w:r>
    </w:p>
    <w:p w14:paraId="0B417D5E">
      <w:pPr>
        <w:pStyle w:val="10"/>
        <w:tabs>
          <w:tab w:val="right" w:leader="dot" w:pos="8296"/>
        </w:tabs>
        <w:rPr>
          <w:rFonts w:hint="eastAsia" w:hAnsiTheme="minorHAnsi" w:eastAsiaTheme="minorHAnsi" w:cstheme="minorBidi"/>
          <w:i w:val="0"/>
          <w:iCs w:val="0"/>
          <w:sz w:val="21"/>
          <w:szCs w:val="22"/>
          <w:lang w:val="en-US" w:eastAsia="zh-CN"/>
        </w:rPr>
      </w:pPr>
      <w:r>
        <w:rPr>
          <w:rFonts w:ascii="仿宋" w:hAnsi="仿宋" w:eastAsia="仿宋"/>
          <w:bCs/>
          <w:color w:val="000000"/>
        </w:rPr>
        <w:t>（二）202</w:t>
      </w:r>
      <w:r>
        <w:rPr>
          <w:rFonts w:hint="eastAsia" w:ascii="仿宋" w:hAnsi="仿宋" w:eastAsia="仿宋"/>
          <w:bCs/>
          <w:color w:val="000000"/>
          <w:lang w:val="en-US" w:eastAsia="zh-CN"/>
        </w:rPr>
        <w:t>3</w:t>
      </w:r>
      <w:r>
        <w:rPr>
          <w:rFonts w:ascii="仿宋" w:hAnsi="仿宋" w:eastAsia="仿宋"/>
          <w:bCs/>
          <w:color w:val="000000"/>
        </w:rPr>
        <w:t>年重点工作完成情况。</w:t>
      </w:r>
      <w:r>
        <w:tab/>
      </w:r>
      <w:r>
        <w:rPr>
          <w:rFonts w:hint="eastAsia"/>
          <w:lang w:val="en-US" w:eastAsia="zh-CN"/>
        </w:rPr>
        <w:t>6</w:t>
      </w:r>
    </w:p>
    <w:p w14:paraId="35459118">
      <w:pPr>
        <w:pStyle w:val="19"/>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11</w:t>
      </w:r>
    </w:p>
    <w:p w14:paraId="552F6E24">
      <w:pPr>
        <w:pStyle w:val="16"/>
        <w:tabs>
          <w:tab w:val="right" w:leader="dot" w:pos="8296"/>
        </w:tabs>
        <w:ind w:firstLine="200" w:firstLineChars="100"/>
        <w:rPr>
          <w:rFonts w:hint="default" w:hAnsiTheme="minorHAnsi" w:eastAsiaTheme="minorHAnsi" w:cstheme="minorBidi"/>
          <w:b w:val="0"/>
          <w:bCs w:val="0"/>
          <w:caps w:val="0"/>
          <w:sz w:val="21"/>
          <w:szCs w:val="22"/>
          <w:lang w:val="en-US"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lang w:val="en-US" w:eastAsia="zh-CN"/>
        </w:rPr>
        <w:t>3</w:t>
      </w:r>
      <w:r>
        <w:rPr>
          <w:rFonts w:ascii="黑体" w:hAnsi="黑体" w:eastAsia="黑体"/>
          <w:b w:val="0"/>
          <w:bCs w:val="0"/>
        </w:rPr>
        <w:t>年度</w:t>
      </w:r>
      <w:r>
        <w:rPr>
          <w:rFonts w:hint="eastAsia" w:ascii="黑体" w:hAnsi="黑体" w:eastAsia="黑体"/>
          <w:b w:val="0"/>
          <w:bCs w:val="0"/>
          <w:lang w:eastAsia="zh-CN"/>
        </w:rPr>
        <w:t>单位</w:t>
      </w:r>
      <w:r>
        <w:rPr>
          <w:rFonts w:ascii="黑体" w:hAnsi="黑体" w:eastAsia="黑体"/>
          <w:b w:val="0"/>
          <w:bCs w:val="0"/>
        </w:rPr>
        <w:t>决算情况说明</w:t>
      </w:r>
      <w:r>
        <w:tab/>
      </w:r>
      <w:r>
        <w:rPr>
          <w:rFonts w:hint="eastAsia"/>
          <w:lang w:val="en-US" w:eastAsia="zh-CN"/>
        </w:rPr>
        <w:t>12</w:t>
      </w:r>
    </w:p>
    <w:p w14:paraId="05D8F0DE">
      <w:pPr>
        <w:pStyle w:val="19"/>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12</w:t>
      </w:r>
      <w:r>
        <w:fldChar w:fldCharType="end"/>
      </w:r>
    </w:p>
    <w:p w14:paraId="449465AA">
      <w:pPr>
        <w:pStyle w:val="19"/>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12</w:t>
      </w:r>
      <w:r>
        <w:fldChar w:fldCharType="end"/>
      </w:r>
    </w:p>
    <w:p w14:paraId="35B13921">
      <w:pPr>
        <w:pStyle w:val="19"/>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13</w:t>
      </w:r>
      <w:r>
        <w:fldChar w:fldCharType="end"/>
      </w:r>
    </w:p>
    <w:p w14:paraId="0409BFFB">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13</w:t>
      </w:r>
      <w:r>
        <w:fldChar w:fldCharType="end"/>
      </w:r>
    </w:p>
    <w:p w14:paraId="6E7291D0">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14</w:t>
      </w:r>
      <w:r>
        <w:fldChar w:fldCharType="end"/>
      </w:r>
    </w:p>
    <w:p w14:paraId="45D43D33">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14</w:t>
      </w:r>
      <w:r>
        <w:fldChar w:fldCharType="end"/>
      </w:r>
    </w:p>
    <w:p w14:paraId="4BBB277A">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15</w:t>
      </w:r>
      <w:r>
        <w:fldChar w:fldCharType="end"/>
      </w:r>
    </w:p>
    <w:p w14:paraId="0489F48C">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15</w:t>
      </w:r>
      <w:r>
        <w:fldChar w:fldCharType="end"/>
      </w:r>
    </w:p>
    <w:p w14:paraId="4047F299">
      <w:pPr>
        <w:pStyle w:val="19"/>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16</w:t>
      </w:r>
      <w:r>
        <w:fldChar w:fldCharType="end"/>
      </w:r>
    </w:p>
    <w:p w14:paraId="6FE88B51">
      <w:pPr>
        <w:pStyle w:val="19"/>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17</w:t>
      </w:r>
      <w:r>
        <w:fldChar w:fldCharType="end"/>
      </w:r>
    </w:p>
    <w:p w14:paraId="2260927A">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17</w:t>
      </w:r>
      <w:r>
        <w:fldChar w:fldCharType="end"/>
      </w:r>
    </w:p>
    <w:p w14:paraId="27467E90">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17</w:t>
      </w:r>
      <w:r>
        <w:fldChar w:fldCharType="end"/>
      </w:r>
    </w:p>
    <w:p w14:paraId="257119C8">
      <w:pPr>
        <w:pStyle w:val="19"/>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18</w:t>
      </w:r>
      <w:r>
        <w:fldChar w:fldCharType="end"/>
      </w:r>
    </w:p>
    <w:p w14:paraId="10373E80">
      <w:pPr>
        <w:pStyle w:val="19"/>
        <w:tabs>
          <w:tab w:val="right" w:leader="dot" w:pos="8296"/>
        </w:tabs>
        <w:rPr>
          <w:rFonts w:hAnsiTheme="minorHAnsi" w:eastAsiaTheme="minorEastAsia" w:cstheme="minorBidi"/>
          <w:smallCaps w:val="0"/>
          <w:sz w:val="21"/>
          <w:szCs w:val="22"/>
        </w:rPr>
      </w:pPr>
      <w:r>
        <w:rPr>
          <w:rFonts w:ascii="黑体" w:hAnsi="黑体" w:eastAsia="黑体"/>
          <w:bCs/>
        </w:rPr>
        <w:t>九、国有资本经营预算支出决算情况说明</w:t>
      </w:r>
      <w:r>
        <w:tab/>
      </w:r>
      <w:r>
        <w:fldChar w:fldCharType="begin"/>
      </w:r>
      <w:r>
        <w:instrText xml:space="preserve"> PAGEREF _Toc79163873 \h </w:instrText>
      </w:r>
      <w:r>
        <w:fldChar w:fldCharType="separate"/>
      </w:r>
      <w:r>
        <w:t>18</w:t>
      </w:r>
      <w:r>
        <w:fldChar w:fldCharType="end"/>
      </w:r>
    </w:p>
    <w:p w14:paraId="7C81EA3E">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18</w:t>
      </w:r>
      <w:r>
        <w:fldChar w:fldCharType="end"/>
      </w:r>
    </w:p>
    <w:p w14:paraId="43211825">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18</w:t>
      </w:r>
      <w:r>
        <w:fldChar w:fldCharType="end"/>
      </w:r>
    </w:p>
    <w:p w14:paraId="41721106">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18</w:t>
      </w:r>
      <w:r>
        <w:fldChar w:fldCharType="end"/>
      </w:r>
    </w:p>
    <w:p w14:paraId="23D6D538">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19</w:t>
      </w:r>
      <w:r>
        <w:fldChar w:fldCharType="end"/>
      </w:r>
    </w:p>
    <w:p w14:paraId="65AFD5B7">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19</w:t>
      </w:r>
      <w:r>
        <w:fldChar w:fldCharType="end"/>
      </w:r>
    </w:p>
    <w:p w14:paraId="1197FBBC">
      <w:pPr>
        <w:pStyle w:val="16"/>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27</w:t>
      </w:r>
      <w:r>
        <w:fldChar w:fldCharType="end"/>
      </w:r>
    </w:p>
    <w:p w14:paraId="2C63014C">
      <w:pPr>
        <w:pStyle w:val="16"/>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29</w:t>
      </w:r>
      <w:r>
        <w:fldChar w:fldCharType="end"/>
      </w:r>
    </w:p>
    <w:p w14:paraId="4A68BB3F">
      <w:pPr>
        <w:pStyle w:val="16"/>
        <w:tabs>
          <w:tab w:val="right" w:leader="dot" w:pos="8296"/>
        </w:tabs>
        <w:rPr>
          <w:rFonts w:hAnsiTheme="minorHAnsi" w:eastAsiaTheme="minorEastAsia" w:cstheme="minorBidi"/>
          <w:b w:val="0"/>
          <w:bCs w:val="0"/>
          <w:caps w:val="0"/>
          <w:sz w:val="21"/>
          <w:szCs w:val="22"/>
        </w:rPr>
      </w:pPr>
      <w:r>
        <w:rPr>
          <w:rFonts w:ascii="黑体" w:hAnsi="黑体" w:eastAsia="黑体" w:cs="黑体"/>
        </w:rPr>
        <w:t>附件1</w:t>
      </w:r>
      <w:r>
        <w:tab/>
      </w:r>
      <w:r>
        <w:fldChar w:fldCharType="begin"/>
      </w:r>
      <w:r>
        <w:instrText xml:space="preserve"> PAGEREF _Toc79163881 \h </w:instrText>
      </w:r>
      <w:r>
        <w:fldChar w:fldCharType="separate"/>
      </w:r>
      <w:r>
        <w:t>29</w:t>
      </w:r>
      <w:r>
        <w:fldChar w:fldCharType="end"/>
      </w:r>
    </w:p>
    <w:p w14:paraId="506BA5DB">
      <w:pPr>
        <w:pStyle w:val="16"/>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38</w:t>
      </w:r>
      <w:r>
        <w:fldChar w:fldCharType="end"/>
      </w:r>
    </w:p>
    <w:p w14:paraId="509E0F70">
      <w:pPr>
        <w:pStyle w:val="19"/>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38</w:t>
      </w:r>
      <w:r>
        <w:fldChar w:fldCharType="end"/>
      </w:r>
    </w:p>
    <w:p w14:paraId="3C6D704B">
      <w:pPr>
        <w:pStyle w:val="19"/>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38</w:t>
      </w:r>
      <w:r>
        <w:fldChar w:fldCharType="end"/>
      </w:r>
    </w:p>
    <w:p w14:paraId="4FFA5176">
      <w:pPr>
        <w:pStyle w:val="19"/>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38</w:t>
      </w:r>
      <w:r>
        <w:fldChar w:fldCharType="end"/>
      </w:r>
    </w:p>
    <w:p w14:paraId="5F8F3242">
      <w:pPr>
        <w:pStyle w:val="19"/>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38</w:t>
      </w:r>
      <w:r>
        <w:fldChar w:fldCharType="end"/>
      </w:r>
    </w:p>
    <w:p w14:paraId="477CB7CF">
      <w:pPr>
        <w:pStyle w:val="19"/>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38</w:t>
      </w:r>
      <w:r>
        <w:fldChar w:fldCharType="end"/>
      </w:r>
    </w:p>
    <w:p w14:paraId="622F0857">
      <w:pPr>
        <w:pStyle w:val="19"/>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38</w:t>
      </w:r>
      <w:r>
        <w:fldChar w:fldCharType="end"/>
      </w:r>
    </w:p>
    <w:p w14:paraId="2054B621">
      <w:pPr>
        <w:pStyle w:val="19"/>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38</w:t>
      </w:r>
      <w:r>
        <w:fldChar w:fldCharType="end"/>
      </w:r>
    </w:p>
    <w:p w14:paraId="3C01AF9B">
      <w:pPr>
        <w:pStyle w:val="19"/>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38</w:t>
      </w:r>
      <w:r>
        <w:fldChar w:fldCharType="end"/>
      </w:r>
    </w:p>
    <w:p w14:paraId="040F00E2">
      <w:pPr>
        <w:pStyle w:val="19"/>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38</w:t>
      </w:r>
      <w:r>
        <w:fldChar w:fldCharType="end"/>
      </w:r>
    </w:p>
    <w:p w14:paraId="72C62D96">
      <w:pPr>
        <w:pStyle w:val="19"/>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38</w:t>
      </w:r>
      <w:r>
        <w:fldChar w:fldCharType="end"/>
      </w:r>
    </w:p>
    <w:p w14:paraId="38E1F65A">
      <w:pPr>
        <w:pStyle w:val="19"/>
        <w:tabs>
          <w:tab w:val="right" w:leader="dot" w:pos="8296"/>
        </w:tabs>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38</w:t>
      </w:r>
      <w:r>
        <w:fldChar w:fldCharType="end"/>
      </w:r>
    </w:p>
    <w:p w14:paraId="42B0A48D">
      <w:pPr>
        <w:pStyle w:val="19"/>
        <w:tabs>
          <w:tab w:val="right" w:leader="dot" w:pos="8296"/>
        </w:tabs>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38</w:t>
      </w:r>
      <w:r>
        <w:fldChar w:fldCharType="end"/>
      </w:r>
    </w:p>
    <w:p w14:paraId="5256F646">
      <w:pPr>
        <w:pStyle w:val="19"/>
        <w:tabs>
          <w:tab w:val="right" w:leader="dot" w:pos="8296"/>
        </w:tabs>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fldChar w:fldCharType="begin"/>
      </w:r>
      <w:r>
        <w:instrText xml:space="preserve"> PAGEREF _Toc79163898 \h </w:instrText>
      </w:r>
      <w:r>
        <w:fldChar w:fldCharType="separate"/>
      </w:r>
      <w:r>
        <w:t>38</w:t>
      </w:r>
      <w:r>
        <w:fldChar w:fldCharType="end"/>
      </w:r>
    </w:p>
    <w:p w14:paraId="0081EBFB">
      <w:pPr>
        <w:pStyle w:val="19"/>
        <w:tabs>
          <w:tab w:val="right" w:leader="dot" w:pos="8296"/>
        </w:tabs>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38</w:t>
      </w:r>
      <w:r>
        <w:fldChar w:fldCharType="end"/>
      </w:r>
    </w:p>
    <w:p w14:paraId="47EF117C">
      <w:r>
        <w:rPr>
          <w:rFonts w:asciiTheme="minorHAnsi" w:eastAsiaTheme="minorHAnsi"/>
          <w:b/>
          <w:bCs/>
          <w:caps/>
          <w:sz w:val="20"/>
          <w:szCs w:val="20"/>
        </w:rPr>
        <w:fldChar w:fldCharType="end"/>
      </w:r>
    </w:p>
    <w:p w14:paraId="4765B9E9">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61E94C67">
      <w:pPr>
        <w:pStyle w:val="4"/>
        <w:jc w:val="center"/>
        <w:rPr>
          <w:rStyle w:val="26"/>
          <w:rFonts w:ascii="黑体" w:hAnsi="黑体" w:eastAsia="黑体"/>
          <w:b/>
          <w:bCs w:val="0"/>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6"/>
          <w:rFonts w:hint="eastAsia" w:ascii="黑体" w:hAnsi="黑体" w:eastAsia="黑体"/>
          <w:b w:val="0"/>
          <w:bCs w:val="0"/>
        </w:rPr>
        <w:t>部门概况</w:t>
      </w:r>
      <w:bookmarkEnd w:id="12"/>
      <w:bookmarkEnd w:id="13"/>
      <w:bookmarkEnd w:id="14"/>
      <w:bookmarkEnd w:id="15"/>
    </w:p>
    <w:p w14:paraId="74B7C9E4">
      <w:pPr>
        <w:widowControl/>
        <w:jc w:val="left"/>
        <w:rPr>
          <w:rFonts w:ascii="黑体" w:eastAsia="黑体"/>
          <w:color w:val="000000"/>
          <w:sz w:val="32"/>
          <w:szCs w:val="32"/>
        </w:rPr>
      </w:pPr>
    </w:p>
    <w:p w14:paraId="52A988F1">
      <w:pPr>
        <w:pStyle w:val="21"/>
        <w:shd w:val="clear" w:color="auto" w:fill="FFFFFF"/>
        <w:spacing w:before="0" w:beforeAutospacing="0" w:after="0" w:afterAutospacing="0" w:line="576" w:lineRule="exact"/>
        <w:ind w:firstLine="640" w:firstLineChars="200"/>
        <w:rPr>
          <w:rFonts w:hint="default" w:ascii="仿宋" w:hAnsi="仿宋" w:eastAsia="仿宋" w:cs="仿宋"/>
          <w:b/>
          <w:bCs/>
          <w:color w:val="000000"/>
          <w:sz w:val="32"/>
          <w:szCs w:val="32"/>
          <w:lang w:val="en-US" w:eastAsia="zh-CN"/>
        </w:rPr>
      </w:pPr>
      <w:bookmarkStart w:id="16" w:name="_Toc79163602"/>
      <w:bookmarkStart w:id="17" w:name="_Toc79163852"/>
      <w:bookmarkStart w:id="18" w:name="_Toc15377197"/>
      <w:bookmarkStart w:id="19" w:name="_Toc15396600"/>
      <w:r>
        <w:rPr>
          <w:rFonts w:hint="eastAsia" w:ascii="黑体" w:hAnsi="黑体" w:eastAsia="黑体" w:cs="Times New Roman"/>
          <w:b w:val="0"/>
          <w:bCs/>
          <w:color w:val="000000"/>
          <w:kern w:val="2"/>
          <w:sz w:val="32"/>
          <w:szCs w:val="32"/>
          <w:lang w:val="en-US" w:eastAsia="zh-CN" w:bidi="ar-SA"/>
        </w:rPr>
        <w:t>一、基本职能及主要工作</w:t>
      </w:r>
      <w:bookmarkEnd w:id="16"/>
      <w:bookmarkEnd w:id="17"/>
      <w:bookmarkEnd w:id="18"/>
      <w:bookmarkEnd w:id="19"/>
    </w:p>
    <w:p w14:paraId="7EAF1B2C">
      <w:pPr>
        <w:pStyle w:val="21"/>
        <w:shd w:val="clear" w:color="auto" w:fill="FFFFFF"/>
        <w:spacing w:before="0" w:beforeAutospacing="0" w:after="0" w:afterAutospacing="0" w:line="576" w:lineRule="exact"/>
        <w:ind w:firstLine="640" w:firstLineChars="200"/>
        <w:rPr>
          <w:rFonts w:hint="eastAsia" w:ascii="仿宋" w:hAnsi="仿宋" w:eastAsia="仿宋" w:cs="仿宋"/>
          <w:color w:val="000000"/>
          <w:sz w:val="32"/>
          <w:szCs w:val="32"/>
        </w:rPr>
      </w:pPr>
      <w:bookmarkStart w:id="20" w:name="_Toc15377199"/>
      <w:bookmarkStart w:id="21" w:name="_Toc79163604"/>
      <w:bookmarkStart w:id="22" w:name="_Toc79163854"/>
      <w:bookmarkStart w:id="23" w:name="_Toc15378446"/>
      <w:r>
        <w:rPr>
          <w:rFonts w:hint="eastAsia" w:ascii="仿宋" w:hAnsi="仿宋" w:eastAsia="仿宋" w:cs="仿宋"/>
          <w:color w:val="000000"/>
          <w:sz w:val="32"/>
          <w:szCs w:val="32"/>
        </w:rPr>
        <w:t>（一）主要职能。松潘县残联是中国残联的地方组织，是将 "</w:t>
      </w:r>
      <w:bookmarkStart w:id="177" w:name="_GoBack"/>
      <w:bookmarkEnd w:id="177"/>
      <w:r>
        <w:rPr>
          <w:rFonts w:hint="eastAsia" w:ascii="仿宋" w:hAnsi="仿宋" w:eastAsia="仿宋" w:cs="仿宋"/>
          <w:color w:val="000000"/>
          <w:sz w:val="32"/>
          <w:szCs w:val="32"/>
        </w:rPr>
        <w:t>代表、服务、管理"三大职能融为一体的残疾人群众团体，是县委、县政府联系全县残疾人的桥梁和纽带。代表残疾人共同利益，维护残疾人合法权益；开展各项业务和活动，直接为残疾人服务；承担政府委托的部分行政职能，发展和管理残疾人事业。其主要职责是：</w:t>
      </w:r>
    </w:p>
    <w:p w14:paraId="71A57014">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承担县政府残疾人工作委员会的日常工作。</w:t>
      </w:r>
    </w:p>
    <w:p w14:paraId="0F440F10">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团结、教育残疾人遵纪守法，履行应尽的义务，发扬乐观进取精神，自尊、自信、自强、自立，为社会主义建设贡献力量。</w:t>
      </w:r>
    </w:p>
    <w:p w14:paraId="45C081FD">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3.</w:t>
      </w:r>
      <w:r>
        <w:rPr>
          <w:rFonts w:hint="eastAsia" w:ascii="仿宋" w:hAnsi="仿宋" w:eastAsia="仿宋" w:cs="仿宋"/>
          <w:color w:val="000000"/>
          <w:sz w:val="32"/>
          <w:szCs w:val="32"/>
        </w:rPr>
        <w:t>弘扬人道主义，宣传残疾人事业，沟通政府、社会与残疾人之间的联系，推动社会理解、尊重、关心、帮助残疾人。</w:t>
      </w:r>
    </w:p>
    <w:p w14:paraId="7193D46D">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4.</w:t>
      </w:r>
      <w:r>
        <w:rPr>
          <w:rFonts w:hint="eastAsia" w:ascii="仿宋" w:hAnsi="仿宋" w:eastAsia="仿宋" w:cs="仿宋"/>
          <w:color w:val="000000"/>
          <w:sz w:val="32"/>
          <w:szCs w:val="32"/>
        </w:rPr>
        <w:t>开展残疾人康复、教育、劳动就业、扶贫解困、福利、社会服务、无障碍设施和残疾预防等工作，创造良好的环境和条件，扶助残疾人平等参与社会生活。</w:t>
      </w:r>
    </w:p>
    <w:p w14:paraId="5A8F08FE">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5.</w:t>
      </w:r>
      <w:r>
        <w:rPr>
          <w:rFonts w:hint="eastAsia" w:ascii="仿宋" w:hAnsi="仿宋" w:eastAsia="仿宋" w:cs="仿宋"/>
          <w:color w:val="000000"/>
          <w:sz w:val="32"/>
          <w:szCs w:val="32"/>
        </w:rPr>
        <w:t>协助政府研究、制定和实施残疾人事业的法规、政策规划和计划，对有关业务领域进行指导与管理。</w:t>
      </w:r>
    </w:p>
    <w:p w14:paraId="2D412A3A">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6.</w:t>
      </w:r>
      <w:r>
        <w:rPr>
          <w:rFonts w:hint="eastAsia" w:ascii="仿宋" w:hAnsi="仿宋" w:eastAsia="仿宋" w:cs="仿宋"/>
          <w:color w:val="000000"/>
          <w:sz w:val="32"/>
          <w:szCs w:val="32"/>
        </w:rPr>
        <w:t>听取残疾人的意见，反映残疾人的需求，维护残疾人的合法权益，为残疾人服务。</w:t>
      </w:r>
    </w:p>
    <w:p w14:paraId="0AF0DDC7">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7.</w:t>
      </w:r>
      <w:r>
        <w:rPr>
          <w:rFonts w:hint="eastAsia" w:ascii="仿宋" w:hAnsi="仿宋" w:eastAsia="仿宋" w:cs="仿宋"/>
          <w:color w:val="000000"/>
          <w:sz w:val="32"/>
          <w:szCs w:val="32"/>
        </w:rPr>
        <w:t>指导乡镇残疾人联合会的工作。</w:t>
      </w:r>
    </w:p>
    <w:p w14:paraId="575FA408">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8.</w:t>
      </w:r>
      <w:r>
        <w:rPr>
          <w:rFonts w:hint="eastAsia" w:ascii="仿宋" w:hAnsi="仿宋" w:eastAsia="仿宋" w:cs="仿宋"/>
          <w:color w:val="000000"/>
          <w:sz w:val="32"/>
          <w:szCs w:val="32"/>
        </w:rPr>
        <w:t>承办县委、县政府和省、市残联交办的其他工作。</w:t>
      </w:r>
    </w:p>
    <w:p w14:paraId="5BEB2079">
      <w:pPr>
        <w:pStyle w:val="21"/>
        <w:shd w:val="clear" w:color="auto" w:fill="FFFFFF"/>
        <w:spacing w:before="0" w:beforeAutospacing="0" w:after="0" w:afterAutospacing="0" w:line="576" w:lineRule="exact"/>
        <w:ind w:firstLine="420"/>
        <w:rPr>
          <w:rFonts w:hint="eastAsia" w:ascii="仿宋" w:hAnsi="仿宋" w:eastAsia="仿宋" w:cs="仿宋"/>
          <w:color w:val="000000"/>
          <w:sz w:val="32"/>
          <w:szCs w:val="32"/>
        </w:rPr>
      </w:pPr>
      <w:r>
        <w:rPr>
          <w:rFonts w:ascii="仿宋" w:hAnsi="仿宋" w:eastAsia="仿宋" w:cs="仿宋"/>
          <w:color w:val="000000"/>
          <w:sz w:val="32"/>
          <w:szCs w:val="32"/>
        </w:rPr>
        <w:t>9.</w:t>
      </w:r>
      <w:r>
        <w:rPr>
          <w:rFonts w:hint="eastAsia" w:ascii="仿宋" w:hAnsi="仿宋" w:eastAsia="仿宋" w:cs="仿宋"/>
          <w:color w:val="000000"/>
          <w:sz w:val="32"/>
          <w:szCs w:val="32"/>
        </w:rPr>
        <w:t>管理和发放《中华人民共和国残疾人证》。</w:t>
      </w:r>
    </w:p>
    <w:p w14:paraId="2E8EE993">
      <w:pPr>
        <w:pStyle w:val="21"/>
        <w:shd w:val="clear" w:color="auto" w:fill="FFFFFF"/>
        <w:spacing w:before="0" w:beforeAutospacing="0" w:after="0" w:afterAutospacing="0" w:line="576" w:lineRule="exact"/>
        <w:ind w:firstLine="640" w:firstLineChars="200"/>
        <w:rPr>
          <w:rFonts w:hint="eastAsia" w:ascii="黑体" w:hAnsi="黑体" w:eastAsia="黑体" w:cs="Times New Roman"/>
          <w:b w:val="0"/>
          <w:bCs/>
          <w:color w:val="000000"/>
          <w:kern w:val="2"/>
          <w:sz w:val="32"/>
          <w:szCs w:val="32"/>
          <w:lang w:val="en-US" w:eastAsia="zh-CN" w:bidi="ar-SA"/>
        </w:rPr>
      </w:pPr>
      <w:r>
        <w:rPr>
          <w:rFonts w:hint="eastAsia" w:ascii="黑体" w:hAnsi="黑体" w:eastAsia="黑体" w:cs="Times New Roman"/>
          <w:b w:val="0"/>
          <w:bCs/>
          <w:color w:val="000000"/>
          <w:kern w:val="2"/>
          <w:sz w:val="32"/>
          <w:szCs w:val="32"/>
          <w:lang w:val="en-US" w:eastAsia="zh-CN" w:bidi="ar-SA"/>
        </w:rPr>
        <w:t>（二）2023年重点工作完成情况</w:t>
      </w:r>
    </w:p>
    <w:p w14:paraId="0817FD15">
      <w:pPr>
        <w:keepNext w:val="0"/>
        <w:keepLines w:val="0"/>
        <w:pageBreakBefore w:val="0"/>
        <w:widowControl/>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kern w:val="0"/>
          <w:sz w:val="32"/>
          <w:szCs w:val="32"/>
          <w:lang w:eastAsia="zh-CN"/>
        </w:rPr>
      </w:pPr>
      <w:bookmarkStart w:id="24" w:name="OLE_LINK13"/>
      <w:r>
        <w:rPr>
          <w:rFonts w:hint="eastAsia" w:ascii="仿宋_GB2312" w:hAnsi="仿宋_GB2312" w:eastAsia="仿宋_GB2312" w:cs="仿宋_GB2312"/>
          <w:b/>
          <w:color w:val="000000"/>
          <w:kern w:val="0"/>
          <w:sz w:val="32"/>
          <w:szCs w:val="32"/>
        </w:rPr>
        <w:t>一是</w:t>
      </w:r>
      <w:r>
        <w:rPr>
          <w:rFonts w:hint="eastAsia" w:ascii="仿宋_GB2312" w:hAnsi="仿宋_GB2312" w:eastAsia="仿宋_GB2312" w:cs="仿宋_GB2312"/>
          <w:b/>
          <w:bCs w:val="0"/>
          <w:color w:val="000000"/>
          <w:kern w:val="0"/>
          <w:sz w:val="32"/>
          <w:szCs w:val="32"/>
        </w:rPr>
        <w:t>切实落实</w:t>
      </w:r>
      <w:r>
        <w:rPr>
          <w:rFonts w:hint="eastAsia" w:ascii="仿宋_GB2312" w:hAnsi="仿宋_GB2312" w:eastAsia="仿宋_GB2312" w:cs="仿宋_GB2312"/>
          <w:b/>
          <w:bCs w:val="0"/>
          <w:color w:val="000000"/>
          <w:kern w:val="0"/>
          <w:sz w:val="32"/>
          <w:szCs w:val="32"/>
          <w:lang w:eastAsia="zh-CN"/>
        </w:rPr>
        <w:t>残疾人</w:t>
      </w:r>
      <w:r>
        <w:rPr>
          <w:rFonts w:hint="eastAsia" w:ascii="仿宋_GB2312" w:hAnsi="仿宋_GB2312" w:eastAsia="仿宋_GB2312" w:cs="仿宋_GB2312"/>
          <w:b/>
          <w:bCs w:val="0"/>
          <w:color w:val="000000"/>
          <w:kern w:val="0"/>
          <w:sz w:val="32"/>
          <w:szCs w:val="32"/>
        </w:rPr>
        <w:t>温暖万家行</w:t>
      </w:r>
      <w:r>
        <w:rPr>
          <w:rFonts w:hint="eastAsia" w:ascii="仿宋_GB2312" w:hAnsi="仿宋_GB2312" w:eastAsia="仿宋_GB2312" w:cs="仿宋_GB2312"/>
          <w:b/>
          <w:bCs w:val="0"/>
          <w:color w:val="000000"/>
          <w:kern w:val="0"/>
          <w:sz w:val="32"/>
          <w:szCs w:val="32"/>
          <w:lang w:eastAsia="zh-CN"/>
        </w:rPr>
        <w:t>慰问</w:t>
      </w:r>
      <w:r>
        <w:rPr>
          <w:rFonts w:hint="eastAsia" w:ascii="仿宋_GB2312" w:hAnsi="仿宋_GB2312" w:eastAsia="仿宋_GB2312" w:cs="仿宋_GB2312"/>
          <w:b/>
          <w:bCs w:val="0"/>
          <w:color w:val="000000"/>
          <w:kern w:val="0"/>
          <w:sz w:val="32"/>
          <w:szCs w:val="32"/>
        </w:rPr>
        <w:t>活动。</w:t>
      </w:r>
      <w:r>
        <w:rPr>
          <w:rFonts w:hint="eastAsia" w:ascii="仿宋_GB2312" w:hAnsi="仿宋_GB2312" w:eastAsia="仿宋_GB2312" w:cs="仿宋_GB2312"/>
          <w:bCs/>
          <w:color w:val="000000"/>
          <w:kern w:val="0"/>
          <w:sz w:val="32"/>
          <w:szCs w:val="32"/>
          <w:lang w:eastAsia="zh-CN"/>
        </w:rPr>
        <w:t>在今年春节前后</w:t>
      </w:r>
      <w:r>
        <w:rPr>
          <w:rFonts w:hint="eastAsia" w:ascii="仿宋_GB2312" w:hAnsi="仿宋_GB2312" w:eastAsia="仿宋_GB2312" w:cs="仿宋_GB2312"/>
          <w:color w:val="000000"/>
          <w:kern w:val="0"/>
          <w:sz w:val="32"/>
          <w:szCs w:val="32"/>
        </w:rPr>
        <w:t>关心慰问贫困残疾人</w:t>
      </w:r>
      <w:r>
        <w:rPr>
          <w:rFonts w:hint="eastAsia" w:ascii="仿宋_GB2312" w:hAnsi="仿宋_GB2312" w:eastAsia="仿宋_GB2312" w:cs="仿宋_GB2312"/>
          <w:color w:val="000000"/>
          <w:kern w:val="0"/>
          <w:sz w:val="32"/>
          <w:szCs w:val="32"/>
          <w:lang w:val="en-US" w:eastAsia="zh-CN"/>
        </w:rPr>
        <w:t>275</w:t>
      </w:r>
      <w:r>
        <w:rPr>
          <w:rFonts w:hint="eastAsia" w:ascii="仿宋_GB2312" w:hAnsi="仿宋_GB2312" w:eastAsia="仿宋_GB2312" w:cs="仿宋_GB2312"/>
          <w:color w:val="000000"/>
          <w:kern w:val="0"/>
          <w:sz w:val="32"/>
          <w:szCs w:val="32"/>
        </w:rPr>
        <w:t>人，发放慰问金</w:t>
      </w:r>
      <w:r>
        <w:rPr>
          <w:rFonts w:hint="eastAsia" w:ascii="仿宋_GB2312" w:hAnsi="仿宋_GB2312" w:eastAsia="仿宋_GB2312" w:cs="仿宋_GB2312"/>
          <w:color w:val="000000"/>
          <w:kern w:val="0"/>
          <w:sz w:val="32"/>
          <w:szCs w:val="32"/>
          <w:lang w:val="en-US" w:eastAsia="zh-CN"/>
        </w:rPr>
        <w:t>5.5</w:t>
      </w:r>
      <w:r>
        <w:rPr>
          <w:rFonts w:hint="eastAsia" w:ascii="仿宋_GB2312" w:hAnsi="仿宋_GB2312" w:eastAsia="仿宋_GB2312" w:cs="仿宋_GB2312"/>
          <w:color w:val="000000"/>
          <w:kern w:val="0"/>
          <w:sz w:val="32"/>
          <w:szCs w:val="32"/>
        </w:rPr>
        <w:t>万元。</w:t>
      </w:r>
    </w:p>
    <w:p w14:paraId="5C814F51">
      <w:pPr>
        <w:pStyle w:val="14"/>
        <w:keepNext w:val="0"/>
        <w:keepLines w:val="0"/>
        <w:pageBreakBefore w:val="0"/>
        <w:widowControl w:val="0"/>
        <w:kinsoku/>
        <w:wordWrap/>
        <w:overflowPunct/>
        <w:topLinePunct w:val="0"/>
        <w:autoSpaceDE/>
        <w:autoSpaceDN/>
        <w:bidi w:val="0"/>
        <w:adjustRightInd/>
        <w:snapToGrid w:val="0"/>
        <w:spacing w:line="578" w:lineRule="exact"/>
        <w:ind w:left="0" w:leftChars="0" w:right="0" w:firstLine="643"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仿宋_GB2312" w:hAnsi="仿宋_GB2312" w:eastAsia="仿宋_GB2312" w:cs="仿宋_GB2312"/>
          <w:b/>
          <w:bCs/>
          <w:color w:val="000000"/>
          <w:kern w:val="0"/>
          <w:sz w:val="32"/>
          <w:szCs w:val="32"/>
          <w:lang w:eastAsia="zh-CN"/>
        </w:rPr>
        <w:t>二是扎实开展宣传活动。</w:t>
      </w:r>
      <w:r>
        <w:rPr>
          <w:rFonts w:hint="eastAsia" w:ascii="仿宋_GB2312" w:hAnsi="仿宋_GB2312" w:eastAsia="仿宋_GB2312" w:cs="仿宋_GB2312"/>
          <w:kern w:val="0"/>
          <w:sz w:val="32"/>
          <w:szCs w:val="32"/>
          <w:lang w:val="en-US" w:eastAsia="zh-CN"/>
        </w:rPr>
        <w:t>县残联通过第24个“全国爱耳日”、第33个“全国助残日”等重要宣传日，组织残工委成员开展了以</w:t>
      </w:r>
      <w:r>
        <w:rPr>
          <w:rFonts w:hint="eastAsia" w:ascii="仿宋_GB2312" w:hAnsi="仿宋_GB2312" w:eastAsia="仿宋_GB2312" w:cs="仿宋_GB2312"/>
          <w:i w:val="0"/>
          <w:caps w:val="0"/>
          <w:smallCaps w:val="0"/>
          <w:color w:val="000000"/>
          <w:spacing w:val="8"/>
          <w:sz w:val="32"/>
          <w:szCs w:val="32"/>
          <w:shd w:val="clear" w:color="auto" w:fill="FFFFFF"/>
        </w:rPr>
        <w:t>“</w:t>
      </w:r>
      <w:r>
        <w:rPr>
          <w:rFonts w:hint="eastAsia" w:ascii="仿宋_GB2312" w:hAnsi="仿宋_GB2312" w:eastAsia="仿宋_GB2312" w:cs="仿宋_GB2312"/>
          <w:i w:val="0"/>
          <w:caps w:val="0"/>
          <w:smallCaps w:val="0"/>
          <w:color w:val="000000"/>
          <w:spacing w:val="8"/>
          <w:sz w:val="32"/>
          <w:szCs w:val="32"/>
          <w:shd w:val="clear" w:color="auto" w:fill="FFFFFF"/>
          <w:lang w:eastAsia="zh-CN"/>
        </w:rPr>
        <w:t>关爱听力健康，建设健康松潘</w:t>
      </w:r>
      <w:r>
        <w:rPr>
          <w:rFonts w:hint="eastAsia" w:ascii="仿宋_GB2312" w:hAnsi="仿宋_GB2312" w:eastAsia="仿宋_GB2312" w:cs="仿宋_GB2312"/>
          <w:i w:val="0"/>
          <w:caps w:val="0"/>
          <w:smallCaps w:val="0"/>
          <w:color w:val="000000"/>
          <w:spacing w:val="8"/>
          <w:sz w:val="32"/>
          <w:szCs w:val="32"/>
          <w:shd w:val="clear" w:color="auto" w:fill="FFFFFF"/>
        </w:rPr>
        <w:t>”</w:t>
      </w:r>
      <w:r>
        <w:rPr>
          <w:rFonts w:hint="eastAsia" w:ascii="仿宋_GB2312" w:hAnsi="仿宋_GB2312" w:eastAsia="仿宋_GB2312" w:cs="仿宋_GB2312"/>
          <w:sz w:val="32"/>
          <w:szCs w:val="32"/>
        </w:rPr>
        <w:t>“</w:t>
      </w:r>
      <w:r>
        <w:rPr>
          <w:rFonts w:hint="eastAsia" w:ascii="仿宋_GB2312" w:hAnsi="仿宋_GB2312" w:eastAsia="仿宋_GB2312" w:cs="仿宋_GB2312"/>
          <w:i w:val="0"/>
          <w:iCs w:val="0"/>
          <w:caps w:val="0"/>
          <w:smallCaps w:val="0"/>
          <w:color w:val="000000"/>
          <w:spacing w:val="0"/>
          <w:sz w:val="32"/>
          <w:szCs w:val="32"/>
          <w:shd w:val="clear" w:color="auto" w:fill="FFFFFF"/>
        </w:rPr>
        <w:t>完善残疾人社会保障制度和关爱服务体系，促进残疾人事业全面发展</w:t>
      </w:r>
      <w:r>
        <w:rPr>
          <w:rFonts w:hint="eastAsia" w:ascii="仿宋_GB2312" w:hAnsi="仿宋_GB2312" w:eastAsia="仿宋_GB2312" w:cs="仿宋_GB2312"/>
          <w:sz w:val="32"/>
          <w:szCs w:val="32"/>
        </w:rPr>
        <w:t>”主题的活动，活动主要以对预防残疾的讲解、健康筛查、惠残助残政策宣传、困难残疾群众走访调查、慰问等方式进行，活动中</w:t>
      </w:r>
      <w:r>
        <w:rPr>
          <w:rFonts w:hint="eastAsia" w:ascii="仿宋_GB2312" w:hAnsi="仿宋_GB2312" w:eastAsia="仿宋_GB2312" w:cs="仿宋_GB2312"/>
          <w:i w:val="0"/>
          <w:caps w:val="0"/>
          <w:smallCaps w:val="0"/>
          <w:color w:val="000000"/>
          <w:spacing w:val="8"/>
          <w:sz w:val="32"/>
          <w:szCs w:val="32"/>
          <w:shd w:val="clear" w:color="auto" w:fill="FFFFFF"/>
        </w:rPr>
        <w:t>共发放</w:t>
      </w:r>
      <w:r>
        <w:rPr>
          <w:rFonts w:hint="eastAsia" w:ascii="仿宋_GB2312" w:hAnsi="仿宋_GB2312" w:eastAsia="仿宋_GB2312" w:cs="仿宋_GB2312"/>
          <w:i w:val="0"/>
          <w:caps w:val="0"/>
          <w:smallCaps w:val="0"/>
          <w:color w:val="000000"/>
          <w:spacing w:val="8"/>
          <w:sz w:val="32"/>
          <w:szCs w:val="32"/>
          <w:shd w:val="clear" w:color="auto" w:fill="FFFFFF"/>
          <w:lang w:eastAsia="zh-CN"/>
        </w:rPr>
        <w:t>惠残助残各类</w:t>
      </w:r>
      <w:r>
        <w:rPr>
          <w:rFonts w:hint="eastAsia" w:ascii="仿宋_GB2312" w:hAnsi="仿宋_GB2312" w:eastAsia="仿宋_GB2312" w:cs="仿宋_GB2312"/>
          <w:i w:val="0"/>
          <w:caps w:val="0"/>
          <w:smallCaps w:val="0"/>
          <w:color w:val="000000"/>
          <w:spacing w:val="8"/>
          <w:sz w:val="32"/>
          <w:szCs w:val="32"/>
          <w:shd w:val="clear" w:color="auto" w:fill="FFFFFF"/>
        </w:rPr>
        <w:t>宣传资料1</w:t>
      </w:r>
      <w:r>
        <w:rPr>
          <w:rFonts w:hint="eastAsia" w:ascii="仿宋_GB2312" w:hAnsi="仿宋_GB2312" w:eastAsia="仿宋_GB2312" w:cs="仿宋_GB2312"/>
          <w:i w:val="0"/>
          <w:caps w:val="0"/>
          <w:smallCaps w:val="0"/>
          <w:color w:val="000000"/>
          <w:spacing w:val="8"/>
          <w:sz w:val="32"/>
          <w:szCs w:val="32"/>
          <w:shd w:val="clear" w:color="auto" w:fill="FFFFFF"/>
          <w:lang w:val="en-US" w:eastAsia="zh-CN"/>
        </w:rPr>
        <w:t>900</w:t>
      </w:r>
      <w:r>
        <w:rPr>
          <w:rFonts w:hint="eastAsia" w:ascii="仿宋_GB2312" w:hAnsi="仿宋_GB2312" w:eastAsia="仿宋_GB2312" w:cs="仿宋_GB2312"/>
          <w:i w:val="0"/>
          <w:caps w:val="0"/>
          <w:smallCaps w:val="0"/>
          <w:color w:val="000000"/>
          <w:spacing w:val="8"/>
          <w:sz w:val="32"/>
          <w:szCs w:val="32"/>
          <w:shd w:val="clear" w:color="auto" w:fill="FFFFFF"/>
        </w:rPr>
        <w:t>余份，倡议书150</w:t>
      </w:r>
      <w:r>
        <w:rPr>
          <w:rFonts w:hint="eastAsia" w:ascii="仿宋_GB2312" w:hAnsi="仿宋_GB2312" w:eastAsia="仿宋_GB2312" w:cs="仿宋_GB2312"/>
          <w:i w:val="0"/>
          <w:caps w:val="0"/>
          <w:smallCaps w:val="0"/>
          <w:color w:val="000000"/>
          <w:spacing w:val="8"/>
          <w:sz w:val="32"/>
          <w:szCs w:val="32"/>
          <w:shd w:val="clear" w:color="auto" w:fill="FFFFFF"/>
          <w:lang w:val="en-US" w:eastAsia="zh-CN"/>
        </w:rPr>
        <w:t>0</w:t>
      </w:r>
      <w:r>
        <w:rPr>
          <w:rFonts w:hint="eastAsia" w:ascii="仿宋_GB2312" w:hAnsi="仿宋_GB2312" w:eastAsia="仿宋_GB2312" w:cs="仿宋_GB2312"/>
          <w:i w:val="0"/>
          <w:caps w:val="0"/>
          <w:smallCaps w:val="0"/>
          <w:color w:val="000000"/>
          <w:spacing w:val="8"/>
          <w:sz w:val="32"/>
          <w:szCs w:val="32"/>
          <w:shd w:val="clear" w:color="auto" w:fill="FFFFFF"/>
        </w:rPr>
        <w:t>余份，接待健康咨询群众100余人次，走访慰问困难残疾群众8户，</w:t>
      </w:r>
      <w:r>
        <w:rPr>
          <w:rFonts w:hint="eastAsia" w:ascii="仿宋_GB2312" w:hAnsi="仿宋_GB2312" w:eastAsia="仿宋_GB2312" w:cs="仿宋_GB2312"/>
          <w:b w:val="0"/>
          <w:bCs/>
          <w:i w:val="0"/>
          <w:caps w:val="0"/>
          <w:smallCaps w:val="0"/>
          <w:color w:val="000000"/>
          <w:spacing w:val="8"/>
          <w:sz w:val="32"/>
          <w:szCs w:val="32"/>
          <w:shd w:val="clear" w:color="auto" w:fill="FFFFFF"/>
          <w:lang w:eastAsia="zh-CN"/>
        </w:rPr>
        <w:t>并</w:t>
      </w:r>
      <w:r>
        <w:rPr>
          <w:rFonts w:hint="eastAsia" w:ascii="仿宋_GB2312" w:hAnsi="仿宋_GB2312" w:eastAsia="仿宋_GB2312" w:cs="仿宋_GB2312"/>
          <w:b w:val="0"/>
          <w:bCs/>
          <w:i w:val="0"/>
          <w:caps w:val="0"/>
          <w:smallCaps w:val="0"/>
          <w:color w:val="000000"/>
          <w:spacing w:val="8"/>
          <w:sz w:val="32"/>
          <w:szCs w:val="32"/>
          <w:shd w:val="clear" w:color="auto" w:fill="FFFFFF"/>
        </w:rPr>
        <w:t>大力宣传和普及保护群众健康的科学知识，激励广大残疾人</w:t>
      </w:r>
      <w:r>
        <w:rPr>
          <w:rFonts w:hint="eastAsia" w:ascii="仿宋_GB2312" w:hAnsi="仿宋_GB2312" w:eastAsia="仿宋_GB2312" w:cs="仿宋_GB2312"/>
          <w:b w:val="0"/>
          <w:bCs/>
          <w:i w:val="0"/>
          <w:caps w:val="0"/>
          <w:smallCaps w:val="0"/>
          <w:color w:val="000000"/>
          <w:spacing w:val="8"/>
          <w:sz w:val="32"/>
          <w:szCs w:val="32"/>
          <w:shd w:val="clear" w:color="auto" w:fill="FFFFFF"/>
          <w:lang w:eastAsia="zh-CN"/>
        </w:rPr>
        <w:t>自立自强</w:t>
      </w:r>
      <w:r>
        <w:rPr>
          <w:rFonts w:hint="eastAsia" w:ascii="仿宋_GB2312" w:hAnsi="仿宋_GB2312" w:eastAsia="仿宋_GB2312" w:cs="仿宋_GB2312"/>
          <w:b w:val="0"/>
          <w:bCs/>
          <w:i w:val="0"/>
          <w:caps w:val="0"/>
          <w:smallCaps w:val="0"/>
          <w:color w:val="000000"/>
          <w:spacing w:val="8"/>
          <w:sz w:val="32"/>
          <w:szCs w:val="32"/>
          <w:shd w:val="clear" w:color="auto" w:fill="FFFFFF"/>
        </w:rPr>
        <w:t>，弘扬扶残助残精神，营造尊重、帮助、关心关爱残疾人的浓厚氛围。</w:t>
      </w:r>
    </w:p>
    <w:p w14:paraId="57FDCDF2">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kern w:val="0"/>
          <w:sz w:val="32"/>
          <w:szCs w:val="32"/>
          <w:lang w:eastAsia="zh-CN"/>
        </w:rPr>
        <w:t>三</w:t>
      </w:r>
      <w:r>
        <w:rPr>
          <w:rFonts w:hint="eastAsia" w:ascii="仿宋_GB2312" w:hAnsi="仿宋_GB2312" w:eastAsia="仿宋_GB2312" w:cs="仿宋_GB2312"/>
          <w:b/>
          <w:bCs/>
          <w:color w:val="000000"/>
          <w:kern w:val="0"/>
          <w:sz w:val="32"/>
          <w:szCs w:val="32"/>
        </w:rPr>
        <w:t>是</w:t>
      </w:r>
      <w:r>
        <w:rPr>
          <w:rFonts w:hint="eastAsia" w:ascii="仿宋_GB2312" w:hAnsi="仿宋_GB2312" w:eastAsia="仿宋_GB2312" w:cs="仿宋_GB2312"/>
          <w:b/>
          <w:bCs/>
          <w:color w:val="000000"/>
          <w:kern w:val="0"/>
          <w:sz w:val="32"/>
          <w:szCs w:val="32"/>
          <w:lang w:eastAsia="zh-CN"/>
        </w:rPr>
        <w:t>切实开展上门摸底和</w:t>
      </w:r>
      <w:r>
        <w:rPr>
          <w:rFonts w:hint="eastAsia" w:ascii="仿宋_GB2312" w:hAnsi="仿宋_GB2312" w:eastAsia="仿宋_GB2312" w:cs="仿宋_GB2312"/>
          <w:b/>
          <w:bCs/>
          <w:color w:val="000000"/>
          <w:sz w:val="32"/>
          <w:szCs w:val="32"/>
        </w:rPr>
        <w:t>发放辅助器具</w:t>
      </w:r>
      <w:r>
        <w:rPr>
          <w:rFonts w:hint="eastAsia" w:ascii="仿宋_GB2312" w:hAnsi="仿宋_GB2312" w:eastAsia="仿宋_GB2312" w:cs="仿宋_GB2312"/>
          <w:b/>
          <w:bCs/>
          <w:color w:val="000000"/>
          <w:sz w:val="32"/>
          <w:szCs w:val="32"/>
          <w:lang w:eastAsia="zh-CN"/>
        </w:rPr>
        <w:t>工作。</w:t>
      </w:r>
      <w:r>
        <w:rPr>
          <w:rFonts w:hint="eastAsia" w:ascii="仿宋_GB2312" w:hAnsi="仿宋_GB2312" w:eastAsia="仿宋_GB2312" w:cs="仿宋_GB2312"/>
          <w:color w:val="000000"/>
          <w:sz w:val="32"/>
          <w:szCs w:val="32"/>
          <w:lang w:eastAsia="zh-CN"/>
        </w:rPr>
        <w:t>为了精准掌握我县生活不能自理残疾人及成年重度无业残疾人基本情况，分组下乡走村入户摸底核查；根据残疾人需求</w:t>
      </w:r>
      <w:r>
        <w:rPr>
          <w:rFonts w:hint="eastAsia" w:ascii="仿宋_GB2312" w:hAnsi="仿宋_GB2312" w:eastAsia="仿宋_GB2312" w:cs="仿宋_GB2312"/>
          <w:color w:val="000000"/>
          <w:sz w:val="32"/>
          <w:szCs w:val="32"/>
        </w:rPr>
        <w:t>免费发放辅助器具，</w:t>
      </w:r>
      <w:r>
        <w:rPr>
          <w:rFonts w:hint="eastAsia" w:ascii="仿宋_GB2312" w:hAnsi="仿宋_GB2312" w:eastAsia="仿宋_GB2312" w:cs="仿宋_GB2312"/>
          <w:color w:val="000000"/>
          <w:sz w:val="32"/>
          <w:szCs w:val="32"/>
          <w:lang w:eastAsia="zh-CN"/>
        </w:rPr>
        <w:t>上门为</w:t>
      </w:r>
      <w:r>
        <w:rPr>
          <w:rFonts w:hint="eastAsia" w:ascii="仿宋_GB2312" w:hAnsi="仿宋_GB2312" w:eastAsia="仿宋_GB2312" w:cs="仿宋_GB2312"/>
          <w:color w:val="000000"/>
          <w:sz w:val="32"/>
          <w:szCs w:val="32"/>
          <w:lang w:val="en-US" w:eastAsia="zh-CN"/>
        </w:rPr>
        <w:t>60余人次残疾人发放轮椅、坐便器、各种拐杖；一年来共发放轮椅、坐便器、各种拐杖、助听器等</w:t>
      </w:r>
      <w:r>
        <w:rPr>
          <w:rFonts w:hint="eastAsia" w:ascii="仿宋_GB2312" w:hAnsi="仿宋_GB2312" w:eastAsia="仿宋_GB2312" w:cs="仿宋_GB2312"/>
          <w:color w:val="000000"/>
          <w:sz w:val="32"/>
          <w:szCs w:val="32"/>
        </w:rPr>
        <w:t>辅助器具</w:t>
      </w:r>
      <w:r>
        <w:rPr>
          <w:rFonts w:hint="eastAsia" w:ascii="仿宋_GB2312" w:hAnsi="仿宋_GB2312" w:eastAsia="仿宋_GB2312" w:cs="仿宋_GB2312"/>
          <w:color w:val="000000"/>
          <w:sz w:val="32"/>
          <w:szCs w:val="32"/>
          <w:lang w:val="en-US" w:eastAsia="zh-CN"/>
        </w:rPr>
        <w:t>200余件，</w:t>
      </w:r>
      <w:r>
        <w:rPr>
          <w:rFonts w:hint="eastAsia" w:ascii="仿宋_GB2312" w:hAnsi="仿宋_GB2312" w:eastAsia="仿宋_GB2312" w:cs="仿宋_GB2312"/>
          <w:color w:val="000000"/>
          <w:sz w:val="32"/>
          <w:szCs w:val="32"/>
        </w:rPr>
        <w:t>让残疾人朋友们真切感受到了党和政府的关心关怀</w:t>
      </w:r>
      <w:r>
        <w:rPr>
          <w:rFonts w:hint="eastAsia" w:ascii="仿宋_GB2312" w:hAnsi="仿宋_GB2312" w:eastAsia="仿宋_GB2312" w:cs="仿宋_GB2312"/>
          <w:color w:val="000000"/>
          <w:sz w:val="32"/>
          <w:szCs w:val="32"/>
          <w:lang w:eastAsia="zh-CN"/>
        </w:rPr>
        <w:t>。</w:t>
      </w:r>
    </w:p>
    <w:p w14:paraId="0C244F75">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eastAsia="zh-CN"/>
        </w:rPr>
        <w:t>四</w:t>
      </w:r>
      <w:r>
        <w:rPr>
          <w:rFonts w:hint="eastAsia" w:ascii="仿宋_GB2312" w:hAnsi="仿宋_GB2312" w:eastAsia="仿宋_GB2312" w:cs="仿宋_GB2312"/>
          <w:b/>
          <w:bCs/>
          <w:color w:val="000000"/>
          <w:sz w:val="32"/>
          <w:szCs w:val="32"/>
        </w:rPr>
        <w:t>是扎实深入开展贫困残疾人</w:t>
      </w:r>
      <w:r>
        <w:rPr>
          <w:rFonts w:hint="eastAsia" w:ascii="仿宋_GB2312" w:hAnsi="仿宋_GB2312" w:eastAsia="仿宋_GB2312" w:cs="仿宋_GB2312"/>
          <w:b/>
          <w:bCs/>
          <w:color w:val="000000"/>
          <w:sz w:val="32"/>
          <w:szCs w:val="32"/>
          <w:lang w:eastAsia="zh-CN"/>
        </w:rPr>
        <w:t>家庭</w:t>
      </w:r>
      <w:r>
        <w:rPr>
          <w:rFonts w:hint="eastAsia" w:ascii="仿宋_GB2312" w:hAnsi="仿宋_GB2312" w:eastAsia="仿宋_GB2312" w:cs="仿宋_GB2312"/>
          <w:b/>
          <w:bCs/>
          <w:color w:val="000000"/>
          <w:sz w:val="32"/>
          <w:szCs w:val="32"/>
        </w:rPr>
        <w:t>无障碍改造工作。</w:t>
      </w:r>
      <w:r>
        <w:rPr>
          <w:rFonts w:hint="eastAsia" w:ascii="仿宋_GB2312" w:hAnsi="仿宋_GB2312" w:eastAsia="仿宋_GB2312" w:cs="仿宋_GB2312"/>
          <w:color w:val="000000"/>
          <w:sz w:val="32"/>
          <w:szCs w:val="32"/>
        </w:rPr>
        <w:t>为了改善残疾人生存和生活状况，提高残疾人生活质量，县残联</w:t>
      </w:r>
      <w:r>
        <w:rPr>
          <w:rFonts w:hint="eastAsia" w:ascii="仿宋_GB2312" w:hAnsi="仿宋_GB2312" w:eastAsia="仿宋_GB2312" w:cs="仿宋_GB2312"/>
          <w:color w:val="000000"/>
          <w:sz w:val="32"/>
          <w:szCs w:val="32"/>
          <w:lang w:eastAsia="zh-CN"/>
        </w:rPr>
        <w:t>安排专人和乡、村成立了项目实施小组，</w:t>
      </w:r>
      <w:r>
        <w:rPr>
          <w:rFonts w:hint="eastAsia" w:ascii="仿宋_GB2312" w:hAnsi="仿宋_GB2312" w:eastAsia="仿宋_GB2312" w:cs="仿宋_GB2312"/>
          <w:color w:val="000000"/>
          <w:sz w:val="32"/>
          <w:szCs w:val="32"/>
        </w:rPr>
        <w:t>深入到</w:t>
      </w: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个乡镇</w:t>
      </w:r>
      <w:r>
        <w:rPr>
          <w:rFonts w:hint="eastAsia" w:ascii="仿宋_GB2312" w:hAnsi="仿宋_GB2312" w:eastAsia="仿宋_GB2312" w:cs="仿宋_GB2312"/>
          <w:color w:val="000000"/>
          <w:sz w:val="32"/>
          <w:szCs w:val="32"/>
          <w:lang w:val="en-US" w:eastAsia="zh-CN"/>
        </w:rPr>
        <w:t>34</w:t>
      </w:r>
      <w:r>
        <w:rPr>
          <w:rFonts w:hint="eastAsia" w:ascii="仿宋_GB2312" w:hAnsi="仿宋_GB2312" w:eastAsia="仿宋_GB2312" w:cs="仿宋_GB2312"/>
          <w:color w:val="000000"/>
          <w:sz w:val="32"/>
          <w:szCs w:val="32"/>
        </w:rPr>
        <w:t>户残疾人家庭，按照“一户一策”的个性化原则</w:t>
      </w:r>
      <w:r>
        <w:rPr>
          <w:rFonts w:hint="eastAsia" w:ascii="仿宋_GB2312" w:hAnsi="仿宋_GB2312" w:eastAsia="仿宋_GB2312" w:cs="仿宋_GB2312"/>
          <w:color w:val="000000"/>
          <w:sz w:val="32"/>
          <w:szCs w:val="32"/>
          <w:lang w:eastAsia="zh-CN"/>
        </w:rPr>
        <w:t>开展摸底工作，督促残疾人按要求实施，</w:t>
      </w:r>
      <w:r>
        <w:rPr>
          <w:rFonts w:hint="eastAsia" w:ascii="仿宋_GB2312" w:hAnsi="仿宋_GB2312" w:eastAsia="仿宋_GB2312" w:cs="仿宋_GB2312"/>
          <w:color w:val="000000"/>
          <w:sz w:val="32"/>
          <w:szCs w:val="32"/>
          <w:lang w:val="en-US" w:eastAsia="zh-CN"/>
        </w:rPr>
        <w:t>并及时每户6000元的补助发放到残疾人一卡通，补助资金共计20.8万元。</w:t>
      </w:r>
    </w:p>
    <w:p w14:paraId="2412D704">
      <w:pPr>
        <w:keepNext w:val="0"/>
        <w:keepLines w:val="0"/>
        <w:pageBreakBefore w:val="0"/>
        <w:widowControl/>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eastAsia="zh-CN"/>
        </w:rPr>
        <w:t>五是做好残疾人各项补助发放工作。</w:t>
      </w:r>
      <w:r>
        <w:rPr>
          <w:rFonts w:hint="eastAsia" w:ascii="仿宋_GB2312" w:hAnsi="仿宋_GB2312" w:eastAsia="仿宋_GB2312" w:cs="仿宋_GB2312"/>
          <w:b w:val="0"/>
          <w:bCs w:val="0"/>
          <w:color w:val="000000"/>
          <w:sz w:val="32"/>
          <w:szCs w:val="32"/>
          <w:lang w:eastAsia="zh-CN"/>
        </w:rPr>
        <w:t>年初县残联细化了各项补助方案，明确了目标任务，现已发放残疾人居家灵活就业直补</w:t>
      </w:r>
      <w:r>
        <w:rPr>
          <w:rFonts w:hint="eastAsia" w:ascii="仿宋_GB2312" w:hAnsi="仿宋_GB2312" w:eastAsia="仿宋_GB2312" w:cs="仿宋_GB2312"/>
          <w:b w:val="0"/>
          <w:bCs w:val="0"/>
          <w:color w:val="000000"/>
          <w:sz w:val="32"/>
          <w:szCs w:val="32"/>
          <w:lang w:val="en-US" w:eastAsia="zh-CN"/>
        </w:rPr>
        <w:t>80人、8万元</w:t>
      </w:r>
      <w:r>
        <w:rPr>
          <w:rFonts w:hint="eastAsia" w:ascii="仿宋_GB2312" w:hAnsi="仿宋_GB2312" w:eastAsia="仿宋_GB2312" w:cs="仿宋_GB2312"/>
          <w:b w:val="0"/>
          <w:bCs w:val="0"/>
          <w:color w:val="000000"/>
          <w:sz w:val="32"/>
          <w:szCs w:val="32"/>
          <w:lang w:eastAsia="zh-CN"/>
        </w:rPr>
        <w:t>，扶持生产补助资金</w:t>
      </w:r>
      <w:r>
        <w:rPr>
          <w:rFonts w:hint="eastAsia" w:ascii="仿宋_GB2312" w:hAnsi="仿宋_GB2312" w:eastAsia="仿宋_GB2312" w:cs="仿宋_GB2312"/>
          <w:b w:val="0"/>
          <w:bCs w:val="0"/>
          <w:color w:val="000000"/>
          <w:sz w:val="32"/>
          <w:szCs w:val="32"/>
          <w:lang w:val="en-US" w:eastAsia="zh-CN"/>
        </w:rPr>
        <w:t>11万元</w:t>
      </w:r>
      <w:r>
        <w:rPr>
          <w:rFonts w:hint="eastAsia" w:ascii="仿宋_GB2312" w:hAnsi="仿宋_GB2312" w:eastAsia="仿宋_GB2312" w:cs="仿宋_GB2312"/>
          <w:b w:val="0"/>
          <w:bCs w:val="0"/>
          <w:color w:val="000000"/>
          <w:sz w:val="32"/>
          <w:szCs w:val="32"/>
          <w:lang w:eastAsia="zh-CN"/>
        </w:rPr>
        <w:t>，残疾人居家托养</w:t>
      </w:r>
      <w:r>
        <w:rPr>
          <w:rFonts w:hint="eastAsia" w:ascii="仿宋_GB2312" w:hAnsi="仿宋_GB2312" w:eastAsia="仿宋_GB2312" w:cs="仿宋_GB2312"/>
          <w:b w:val="0"/>
          <w:bCs w:val="0"/>
          <w:color w:val="000000"/>
          <w:sz w:val="32"/>
          <w:szCs w:val="32"/>
          <w:lang w:val="en-US" w:eastAsia="zh-CN"/>
        </w:rPr>
        <w:t>100人、6万元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实施7岁以上残疾人康复16人、6.4万元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残疾人机动车燃油补贴10人、0.365万元，残疾学生助学资金2.3万元，实施公共场所无障碍环境建设督导经费0.9万元，残疾人辅具适配采购中央直补资金7万元，现已全面完成各项补助资金的拨付。</w:t>
      </w:r>
    </w:p>
    <w:p w14:paraId="07B3206A">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六是扎实开展残疾人和残疾儿童康复救助慰问等工作。</w:t>
      </w:r>
      <w:r>
        <w:rPr>
          <w:rFonts w:hint="eastAsia" w:ascii="仿宋_GB2312" w:hAnsi="仿宋_GB2312" w:eastAsia="仿宋_GB2312" w:cs="仿宋_GB2312"/>
          <w:b w:val="0"/>
          <w:bCs w:val="0"/>
          <w:color w:val="000000"/>
          <w:sz w:val="32"/>
          <w:szCs w:val="32"/>
          <w:lang w:val="en-US" w:eastAsia="zh-CN"/>
        </w:rPr>
        <w:t>积极动员适龄残疾儿童到州康复中心和其他康复机构进行康复，宣传动员残疾儿童到汶川特校就读，以便更好地康复和学习，积极动员肢体残疾人到马尔康康复中心免费安装假肢。六一儿童节期间</w:t>
      </w:r>
      <w:r>
        <w:rPr>
          <w:rStyle w:val="24"/>
          <w:rFonts w:hint="eastAsia" w:ascii="仿宋_GB2312" w:hAnsi="仿宋_GB2312" w:eastAsia="仿宋_GB2312" w:cs="仿宋_GB2312"/>
          <w:b w:val="0"/>
          <w:bCs/>
          <w:sz w:val="32"/>
          <w:szCs w:val="32"/>
          <w:lang w:eastAsia="zh-CN"/>
        </w:rPr>
        <w:t>共计慰问</w:t>
      </w:r>
      <w:r>
        <w:rPr>
          <w:rStyle w:val="24"/>
          <w:rFonts w:hint="eastAsia" w:ascii="仿宋_GB2312" w:hAnsi="仿宋_GB2312" w:eastAsia="仿宋_GB2312" w:cs="仿宋_GB2312"/>
          <w:b w:val="0"/>
          <w:bCs/>
          <w:sz w:val="32"/>
          <w:szCs w:val="32"/>
          <w:lang w:val="en-US" w:eastAsia="zh-CN"/>
        </w:rPr>
        <w:t>34名</w:t>
      </w:r>
      <w:r>
        <w:rPr>
          <w:rStyle w:val="24"/>
          <w:rFonts w:hint="eastAsia" w:ascii="仿宋_GB2312" w:hAnsi="仿宋_GB2312" w:eastAsia="仿宋_GB2312" w:cs="仿宋_GB2312"/>
          <w:b w:val="0"/>
          <w:bCs/>
          <w:sz w:val="32"/>
          <w:szCs w:val="32"/>
          <w:lang w:eastAsia="zh-CN"/>
        </w:rPr>
        <w:t>残疾儿童</w:t>
      </w:r>
      <w:r>
        <w:rPr>
          <w:rStyle w:val="24"/>
          <w:rFonts w:hint="eastAsia" w:ascii="仿宋_GB2312" w:hAnsi="仿宋_GB2312" w:eastAsia="仿宋_GB2312" w:cs="仿宋_GB2312"/>
          <w:b w:val="0"/>
          <w:bCs/>
          <w:sz w:val="32"/>
          <w:szCs w:val="32"/>
          <w:lang w:val="en-US" w:eastAsia="zh-CN" w:bidi="ar-SA"/>
        </w:rPr>
        <w:t>，涉及17个乡镇学校及汶川特殊学校，共发放慰问金1.8万元，发放0.2万元的慰问品</w:t>
      </w:r>
      <w:r>
        <w:rPr>
          <w:rFonts w:hint="eastAsia" w:ascii="仿宋_GB2312" w:hAnsi="仿宋_GB2312" w:eastAsia="仿宋_GB2312" w:cs="仿宋_GB2312"/>
          <w:b w:val="0"/>
          <w:bCs w:val="0"/>
          <w:color w:val="000000"/>
          <w:sz w:val="32"/>
          <w:szCs w:val="32"/>
          <w:lang w:val="en-US" w:eastAsia="zh-CN"/>
        </w:rPr>
        <w:t>；动员了2名残疾儿童到成都的康复机构进行康复。</w:t>
      </w:r>
    </w:p>
    <w:p w14:paraId="4A4CCC23">
      <w:pPr>
        <w:pStyle w:val="14"/>
        <w:keepNext w:val="0"/>
        <w:keepLines w:val="0"/>
        <w:pageBreakBefore w:val="0"/>
        <w:widowControl w:val="0"/>
        <w:numPr>
          <w:ilvl w:val="0"/>
          <w:numId w:val="0"/>
        </w:numPr>
        <w:suppressLineNumbers w:val="0"/>
        <w:tabs>
          <w:tab w:val="left" w:pos="0"/>
          <w:tab w:val="clear" w:pos="4153"/>
          <w:tab w:val="clear" w:pos="8306"/>
        </w:tabs>
        <w:suppressAutoHyphens w:val="0"/>
        <w:kinsoku/>
        <w:wordWrap/>
        <w:overflowPunct/>
        <w:topLinePunct w:val="0"/>
        <w:autoSpaceDE/>
        <w:autoSpaceDN/>
        <w:bidi w:val="0"/>
        <w:adjustRightInd/>
        <w:snapToGrid w:val="0"/>
        <w:spacing w:line="578" w:lineRule="exact"/>
        <w:ind w:left="0" w:leftChars="0" w:right="0" w:rightChars="0" w:firstLine="643" w:firstLineChars="200"/>
        <w:jc w:val="both"/>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bCs/>
          <w:color w:val="000000"/>
          <w:sz w:val="32"/>
          <w:szCs w:val="32"/>
          <w:lang w:eastAsia="zh-CN"/>
        </w:rPr>
        <w:t>七是切实开展对口支援工作。</w:t>
      </w:r>
      <w:r>
        <w:rPr>
          <w:rFonts w:hint="eastAsia" w:ascii="仿宋_GB2312" w:eastAsia="仿宋_GB2312" w:cs="仿宋_GB2312"/>
          <w:b w:val="0"/>
          <w:bCs w:val="0"/>
          <w:sz w:val="32"/>
          <w:szCs w:val="32"/>
          <w:lang w:val="en-US" w:eastAsia="zh-CN"/>
        </w:rPr>
        <w:t>今年浙江桐乡市</w:t>
      </w:r>
      <w:r>
        <w:rPr>
          <w:rFonts w:ascii="Times New Roman" w:hAnsi="Times New Roman" w:eastAsia="仿宋_GB2312" w:cs="Times New Roman"/>
          <w:b w:val="0"/>
          <w:bCs w:val="0"/>
          <w:sz w:val="32"/>
          <w:szCs w:val="32"/>
          <w:lang w:val="en-US" w:eastAsia="zh-CN"/>
        </w:rPr>
        <w:t>继续</w:t>
      </w:r>
      <w:r>
        <w:rPr>
          <w:rFonts w:hint="eastAsia" w:ascii="Times New Roman" w:hAnsi="Times New Roman" w:eastAsia="仿宋_GB2312" w:cs="Times New Roman"/>
          <w:b w:val="0"/>
          <w:bCs w:val="0"/>
          <w:sz w:val="32"/>
          <w:szCs w:val="32"/>
          <w:lang w:val="en-US" w:eastAsia="zh-CN"/>
        </w:rPr>
        <w:t>扶持松潘残疾人发展产业和居家灵活就业</w:t>
      </w:r>
      <w:r>
        <w:rPr>
          <w:rFonts w:ascii="Times New Roman" w:hAnsi="Times New Roman" w:eastAsia="仿宋_GB2312" w:cs="Times New Roman"/>
          <w:b w:val="0"/>
          <w:bCs w:val="0"/>
          <w:sz w:val="32"/>
          <w:szCs w:val="32"/>
          <w:lang w:val="en-US" w:eastAsia="zh-CN"/>
        </w:rPr>
        <w:t>项目资金</w:t>
      </w:r>
      <w:r>
        <w:rPr>
          <w:rFonts w:hint="eastAsia" w:ascii="Times New Roman" w:hAnsi="Times New Roman" w:eastAsia="仿宋_GB2312" w:cs="Times New Roman"/>
          <w:b w:val="0"/>
          <w:bCs w:val="0"/>
          <w:sz w:val="32"/>
          <w:szCs w:val="32"/>
          <w:lang w:val="en-US" w:eastAsia="zh-CN"/>
        </w:rPr>
        <w:t>共计</w:t>
      </w:r>
      <w:r>
        <w:rPr>
          <w:rFonts w:ascii="Times New Roman" w:hAnsi="Times New Roman" w:eastAsia="仿宋_GB2312" w:cs="Times New Roman"/>
          <w:b w:val="0"/>
          <w:bCs w:val="0"/>
          <w:sz w:val="32"/>
          <w:szCs w:val="32"/>
          <w:lang w:val="en-US" w:eastAsia="zh-CN"/>
        </w:rPr>
        <w:t>40万元，</w:t>
      </w:r>
      <w:r>
        <w:rPr>
          <w:rFonts w:hint="eastAsia" w:ascii="Times New Roman" w:hAnsi="Times New Roman" w:eastAsia="仿宋_GB2312" w:cs="Times New Roman"/>
          <w:b w:val="0"/>
          <w:bCs w:val="0"/>
          <w:sz w:val="32"/>
          <w:szCs w:val="32"/>
          <w:lang w:val="en-US" w:eastAsia="zh-CN"/>
        </w:rPr>
        <w:t>其中</w:t>
      </w:r>
      <w:r>
        <w:rPr>
          <w:rFonts w:ascii="Times New Roman" w:hAnsi="Times New Roman" w:eastAsia="仿宋_GB2312" w:cs="Times New Roman"/>
          <w:b w:val="0"/>
          <w:bCs w:val="0"/>
          <w:sz w:val="32"/>
          <w:szCs w:val="32"/>
          <w:lang w:val="en-US" w:eastAsia="zh-CN"/>
        </w:rPr>
        <w:t>扶持发展生产</w:t>
      </w:r>
      <w:r>
        <w:rPr>
          <w:rFonts w:hint="eastAsia" w:ascii="Times New Roman" w:hAnsi="Times New Roman" w:eastAsia="仿宋_GB2312" w:cs="Times New Roman"/>
          <w:b w:val="0"/>
          <w:bCs w:val="0"/>
          <w:sz w:val="32"/>
          <w:szCs w:val="32"/>
          <w:lang w:val="en-US" w:eastAsia="zh-CN"/>
        </w:rPr>
        <w:t>涉及17乡镇</w:t>
      </w:r>
      <w:r>
        <w:rPr>
          <w:rFonts w:ascii="Times New Roman" w:hAnsi="Times New Roman" w:eastAsia="仿宋_GB2312" w:cs="Times New Roman"/>
          <w:b w:val="0"/>
          <w:bCs w:val="0"/>
          <w:sz w:val="32"/>
          <w:szCs w:val="32"/>
          <w:lang w:val="en-US" w:eastAsia="zh-CN"/>
        </w:rPr>
        <w:t>20万元，</w:t>
      </w:r>
      <w:r>
        <w:rPr>
          <w:rFonts w:hint="eastAsia" w:ascii="Times New Roman" w:hAnsi="Times New Roman" w:eastAsia="仿宋_GB2312" w:cs="Times New Roman"/>
          <w:b w:val="0"/>
          <w:bCs w:val="0"/>
          <w:sz w:val="32"/>
          <w:szCs w:val="32"/>
          <w:lang w:val="en-US" w:eastAsia="zh-CN"/>
        </w:rPr>
        <w:t>扶持</w:t>
      </w:r>
      <w:r>
        <w:rPr>
          <w:rFonts w:ascii="Times New Roman" w:hAnsi="Times New Roman" w:eastAsia="仿宋_GB2312" w:cs="Times New Roman"/>
          <w:b w:val="0"/>
          <w:bCs w:val="0"/>
          <w:sz w:val="32"/>
          <w:szCs w:val="32"/>
          <w:lang w:val="en-US" w:eastAsia="zh-CN"/>
        </w:rPr>
        <w:t>残疾人灵活就业</w:t>
      </w:r>
      <w:r>
        <w:rPr>
          <w:rFonts w:hint="eastAsia" w:ascii="Times New Roman" w:hAnsi="Times New Roman" w:eastAsia="仿宋_GB2312" w:cs="Times New Roman"/>
          <w:b w:val="0"/>
          <w:bCs w:val="0"/>
          <w:sz w:val="32"/>
          <w:szCs w:val="32"/>
          <w:lang w:val="en-US" w:eastAsia="zh-CN"/>
        </w:rPr>
        <w:t>200人20万元，完成率达100%；浙江桐乡市残联捐赠普通轮椅15辆。</w:t>
      </w:r>
    </w:p>
    <w:p w14:paraId="760F7833">
      <w:pPr>
        <w:keepNext w:val="0"/>
        <w:keepLines w:val="0"/>
        <w:pageBreakBefore w:val="0"/>
        <w:widowControl/>
        <w:kinsoku/>
        <w:wordWrap/>
        <w:overflowPunct/>
        <w:topLinePunct w:val="0"/>
        <w:autoSpaceDE/>
        <w:autoSpaceDN/>
        <w:bidi w:val="0"/>
        <w:adjustRightInd/>
        <w:snapToGrid/>
        <w:spacing w:line="578" w:lineRule="exact"/>
        <w:ind w:firstLine="643" w:firstLineChars="20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b/>
          <w:bCs/>
          <w:sz w:val="32"/>
          <w:szCs w:val="32"/>
          <w:lang w:val="en-US" w:eastAsia="zh-CN"/>
        </w:rPr>
        <w:t>八是</w:t>
      </w:r>
      <w:r>
        <w:rPr>
          <w:rFonts w:hint="eastAsia" w:ascii="仿宋_GB2312" w:hAnsi="仿宋_GB2312" w:eastAsia="仿宋_GB2312" w:cs="仿宋_GB2312"/>
          <w:b/>
          <w:bCs/>
          <w:color w:val="000000"/>
          <w:sz w:val="32"/>
          <w:szCs w:val="32"/>
          <w:shd w:val="clear" w:color="auto" w:fill="FFFFFF"/>
          <w:lang w:eastAsia="zh-CN"/>
        </w:rPr>
        <w:t>做好残疾证办证工作。</w:t>
      </w:r>
      <w:r>
        <w:rPr>
          <w:rFonts w:hint="eastAsia" w:ascii="仿宋_GB2312" w:hAnsi="仿宋_GB2312" w:eastAsia="仿宋_GB2312" w:cs="仿宋_GB2312"/>
          <w:color w:val="000000"/>
          <w:spacing w:val="8"/>
          <w:kern w:val="0"/>
          <w:sz w:val="32"/>
          <w:szCs w:val="32"/>
        </w:rPr>
        <w:t>严格办证程序，杜绝人情证、关系证等虚假信息证件的发生。</w:t>
      </w:r>
      <w:r>
        <w:rPr>
          <w:rFonts w:hint="eastAsia" w:ascii="仿宋_GB2312" w:hAnsi="仿宋" w:eastAsia="仿宋_GB2312"/>
          <w:color w:val="auto"/>
          <w:spacing w:val="0"/>
          <w:sz w:val="32"/>
          <w:szCs w:val="32"/>
          <w:lang w:val="en-US" w:eastAsia="zh-CN"/>
        </w:rPr>
        <w:t>今年开展新办证148件（</w:t>
      </w:r>
      <w:r>
        <w:rPr>
          <w:rFonts w:hint="eastAsia" w:ascii="仿宋_GB2312" w:eastAsia="仿宋_GB2312"/>
          <w:sz w:val="32"/>
          <w:szCs w:val="32"/>
        </w:rPr>
        <w:t>协同州残疾联康开展了“关心关爱残疾人 康复服务零距离”服务工作，为全县17个乡镇124名存在听力障碍群众做了听力监测鉴定，县</w:t>
      </w:r>
      <w:r>
        <w:rPr>
          <w:rFonts w:hint="eastAsia" w:ascii="仿宋_GB2312" w:eastAsia="仿宋_GB2312"/>
          <w:sz w:val="32"/>
          <w:szCs w:val="32"/>
          <w:lang w:eastAsia="zh-CN"/>
        </w:rPr>
        <w:t>残联</w:t>
      </w:r>
      <w:r>
        <w:rPr>
          <w:rFonts w:hint="eastAsia" w:ascii="仿宋_GB2312" w:eastAsia="仿宋_GB2312"/>
          <w:sz w:val="32"/>
          <w:szCs w:val="32"/>
        </w:rPr>
        <w:t>办理残疾证103</w:t>
      </w:r>
      <w:r>
        <w:rPr>
          <w:rFonts w:hint="eastAsia" w:ascii="仿宋_GB2312" w:eastAsia="仿宋_GB2312"/>
          <w:sz w:val="32"/>
          <w:szCs w:val="32"/>
          <w:lang w:val="en-US" w:eastAsia="zh-CN"/>
        </w:rPr>
        <w:t>件）、办理换证99件，办理残疾等级变更7件。</w:t>
      </w:r>
    </w:p>
    <w:p w14:paraId="1BF48E55">
      <w:pPr>
        <w:pStyle w:val="2"/>
        <w:keepLines w:val="0"/>
        <w:pageBreakBefore w:val="0"/>
        <w:widowControl w:val="0"/>
        <w:kinsoku/>
        <w:wordWrap/>
        <w:overflowPunct/>
        <w:topLinePunct w:val="0"/>
        <w:autoSpaceDE/>
        <w:autoSpaceDN/>
        <w:bidi w:val="0"/>
        <w:adjustRightInd/>
        <w:spacing w:after="0" w:line="578" w:lineRule="exact"/>
        <w:ind w:left="0" w:leftChars="0" w:righ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color w:val="000000"/>
          <w:kern w:val="0"/>
          <w:sz w:val="32"/>
          <w:szCs w:val="32"/>
          <w:lang w:val="en-US" w:eastAsia="zh-CN"/>
        </w:rPr>
        <w:t>九是</w:t>
      </w:r>
      <w:r>
        <w:rPr>
          <w:rFonts w:hint="eastAsia" w:ascii="仿宋_GB2312" w:hAnsi="仿宋_GB2312" w:eastAsia="仿宋_GB2312" w:cs="仿宋_GB2312"/>
          <w:b/>
          <w:bCs w:val="0"/>
          <w:color w:val="000000"/>
          <w:kern w:val="0"/>
          <w:sz w:val="32"/>
          <w:szCs w:val="32"/>
          <w:lang w:eastAsia="zh-CN"/>
        </w:rPr>
        <w:t>切实做好两联一进工作。</w:t>
      </w:r>
      <w:r>
        <w:rPr>
          <w:rFonts w:hint="default" w:ascii="Times New Roman" w:hAnsi="Times New Roman" w:eastAsia="仿宋_GB2312" w:cs="Times New Roman"/>
          <w:color w:val="000000"/>
          <w:sz w:val="32"/>
          <w:szCs w:val="32"/>
          <w:shd w:val="clear" w:color="auto" w:fill="FFFFFF"/>
        </w:rPr>
        <w:t>县残联充分发挥残联组织的作用，</w:t>
      </w:r>
      <w:r>
        <w:rPr>
          <w:rFonts w:hint="default" w:ascii="Times New Roman" w:hAnsi="Times New Roman" w:eastAsia="仿宋_GB2312" w:cs="Times New Roman"/>
          <w:color w:val="0D0D0D"/>
          <w:sz w:val="32"/>
          <w:szCs w:val="32"/>
          <w:shd w:val="clear" w:color="auto" w:fill="FFFFFF"/>
        </w:rPr>
        <w:t>深入</w:t>
      </w:r>
      <w:r>
        <w:rPr>
          <w:rFonts w:hint="default" w:ascii="Times New Roman" w:hAnsi="Times New Roman" w:eastAsia="仿宋_GB2312" w:cs="Times New Roman"/>
          <w:color w:val="0D0D0D"/>
          <w:sz w:val="32"/>
          <w:szCs w:val="32"/>
          <w:shd w:val="clear" w:color="auto" w:fill="FFFFFF"/>
          <w:lang w:eastAsia="zh-CN"/>
        </w:rPr>
        <w:t>肖包村</w:t>
      </w:r>
      <w:r>
        <w:rPr>
          <w:rFonts w:hint="default" w:ascii="Times New Roman" w:hAnsi="Times New Roman" w:eastAsia="仿宋_GB2312" w:cs="Times New Roman"/>
          <w:color w:val="000000"/>
          <w:sz w:val="32"/>
          <w:szCs w:val="32"/>
          <w:shd w:val="clear" w:color="auto" w:fill="FFFFFF"/>
          <w:lang w:eastAsia="zh-CN"/>
        </w:rPr>
        <w:t>开展政策法规宣传、</w:t>
      </w:r>
      <w:r>
        <w:rPr>
          <w:rFonts w:hint="default" w:ascii="Times New Roman" w:hAnsi="Times New Roman" w:eastAsia="仿宋_GB2312" w:cs="Times New Roman"/>
          <w:sz w:val="32"/>
          <w:szCs w:val="32"/>
          <w:lang w:bidi="ar-SA"/>
        </w:rPr>
        <w:t>森林草原防灭火、矛盾纠纷排查化解、社会治理、“三防一安全”、安全生产</w:t>
      </w:r>
      <w:r>
        <w:rPr>
          <w:rFonts w:hint="default" w:ascii="Times New Roman" w:hAnsi="Times New Roman" w:eastAsia="仿宋_GB2312" w:cs="Times New Roman"/>
          <w:sz w:val="32"/>
          <w:szCs w:val="32"/>
          <w:lang w:eastAsia="zh-CN" w:bidi="ar-SA"/>
        </w:rPr>
        <w:t>、乡村振兴</w:t>
      </w:r>
      <w:r>
        <w:rPr>
          <w:rFonts w:hint="default" w:ascii="Times New Roman" w:hAnsi="Times New Roman" w:eastAsia="仿宋_GB2312" w:cs="Times New Roman"/>
          <w:sz w:val="32"/>
          <w:szCs w:val="32"/>
          <w:lang w:bidi="ar-SA"/>
        </w:rPr>
        <w:t>等联户联情工作，走访慰问困难残疾群众6户，解决困难残疾群众诉求4件。</w:t>
      </w:r>
      <w:r>
        <w:rPr>
          <w:rFonts w:hint="eastAsia" w:ascii="仿宋_GB2312" w:hAnsi="Cambria" w:eastAsia="仿宋_GB2312" w:cs="Arial"/>
          <w:b w:val="0"/>
          <w:bCs w:val="0"/>
          <w:color w:val="000000"/>
          <w:kern w:val="0"/>
          <w:sz w:val="32"/>
          <w:szCs w:val="32"/>
          <w:lang w:eastAsia="zh-CN"/>
        </w:rPr>
        <w:t>深入到</w:t>
      </w:r>
      <w:r>
        <w:rPr>
          <w:rFonts w:hint="eastAsia" w:ascii="仿宋_GB2312" w:hAnsi="仿宋_GB2312" w:eastAsia="仿宋_GB2312" w:cs="仿宋_GB2312"/>
          <w:sz w:val="32"/>
          <w:szCs w:val="32"/>
          <w:lang w:val="en-US" w:eastAsia="zh-CN"/>
        </w:rPr>
        <w:t>川主寺镇元坝寺开展“联寺联僧”工作。加强与元坝寺宗教教职人员的沟通交流，了解寺庙近期开展的事务、维稳安保、残疾人情况以及僧人的思想动态、困难诉求、生活现状等情况，并宣传法律政策。</w:t>
      </w:r>
    </w:p>
    <w:p w14:paraId="73BCF370">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jc w:val="both"/>
        <w:textAlignment w:val="auto"/>
        <w:rPr>
          <w:rFonts w:ascii="Times New Roman" w:hAnsi="Times New Roman" w:eastAsia="仿宋_GB2312" w:cs="Times New Roman"/>
          <w:spacing w:val="0"/>
          <w:kern w:val="0"/>
          <w:sz w:val="32"/>
          <w:szCs w:val="32"/>
        </w:rPr>
      </w:pPr>
      <w:r>
        <w:rPr>
          <w:rFonts w:hint="eastAsia" w:ascii="仿宋_GB2312" w:hAnsi="仿宋_GB2312" w:eastAsia="仿宋_GB2312" w:cs="仿宋_GB2312"/>
          <w:b/>
          <w:bCs/>
          <w:sz w:val="32"/>
          <w:szCs w:val="32"/>
          <w:lang w:val="en-US" w:eastAsia="zh-CN"/>
        </w:rPr>
        <w:t>十是</w:t>
      </w:r>
      <w:r>
        <w:rPr>
          <w:rFonts w:hint="eastAsia" w:ascii="仿宋_GB2312" w:eastAsia="仿宋_GB2312" w:cs="仿宋_GB2312"/>
          <w:b/>
          <w:bCs/>
          <w:spacing w:val="0"/>
          <w:sz w:val="32"/>
          <w:szCs w:val="32"/>
        </w:rPr>
        <w:t>切实做好残疾人信访维权工作</w:t>
      </w:r>
      <w:r>
        <w:rPr>
          <w:rFonts w:hint="eastAsia" w:ascii="仿宋_GB2312" w:eastAsia="仿宋_GB2312" w:cs="仿宋_GB2312"/>
          <w:b/>
          <w:bCs/>
          <w:spacing w:val="0"/>
          <w:sz w:val="32"/>
          <w:szCs w:val="32"/>
          <w:lang w:eastAsia="zh-CN"/>
        </w:rPr>
        <w:t>。</w:t>
      </w:r>
      <w:r>
        <w:rPr>
          <w:rFonts w:ascii="Times New Roman" w:hAnsi="Times New Roman" w:eastAsia="仿宋" w:cs="Times New Roman"/>
          <w:spacing w:val="0"/>
          <w:sz w:val="32"/>
          <w:szCs w:val="32"/>
        </w:rPr>
        <w:t>热情接待来信来访，</w:t>
      </w:r>
      <w:r>
        <w:rPr>
          <w:rFonts w:ascii="Times New Roman" w:hAnsi="Times New Roman" w:eastAsia="仿宋_GB2312" w:cs="Times New Roman"/>
          <w:spacing w:val="0"/>
          <w:kern w:val="0"/>
          <w:sz w:val="32"/>
          <w:szCs w:val="32"/>
        </w:rPr>
        <w:t>能够办理的及时办理，不能办理的</w:t>
      </w:r>
      <w:r>
        <w:rPr>
          <w:rFonts w:hint="eastAsia" w:eastAsia="仿宋_GB2312" w:cs="Times New Roman"/>
          <w:spacing w:val="0"/>
          <w:kern w:val="0"/>
          <w:sz w:val="32"/>
          <w:szCs w:val="32"/>
          <w:lang w:eastAsia="zh-CN"/>
        </w:rPr>
        <w:t>做好</w:t>
      </w:r>
      <w:r>
        <w:rPr>
          <w:rFonts w:ascii="Times New Roman" w:hAnsi="Times New Roman" w:eastAsia="仿宋_GB2312" w:cs="Times New Roman"/>
          <w:spacing w:val="0"/>
          <w:kern w:val="0"/>
          <w:sz w:val="32"/>
          <w:szCs w:val="32"/>
        </w:rPr>
        <w:t>了解释。</w:t>
      </w:r>
      <w:r>
        <w:rPr>
          <w:rFonts w:ascii="Times New Roman" w:hAnsi="Times New Roman" w:eastAsia="仿宋" w:cs="Times New Roman"/>
          <w:spacing w:val="0"/>
          <w:kern w:val="0"/>
          <w:sz w:val="32"/>
          <w:szCs w:val="32"/>
        </w:rPr>
        <w:t>协同县司法局建立了</w:t>
      </w:r>
      <w:r>
        <w:rPr>
          <w:rFonts w:ascii="Times New Roman" w:hAnsi="Times New Roman" w:eastAsia="仿宋_GB2312" w:cs="Times New Roman"/>
          <w:spacing w:val="0"/>
          <w:kern w:val="0"/>
          <w:sz w:val="32"/>
          <w:szCs w:val="32"/>
        </w:rPr>
        <w:t>残疾人法律援助工作站，及时解答残疾人法律政策咨询，协调多部门解决残疾人反映的问题和困难，确保残疾人合法权益。</w:t>
      </w:r>
    </w:p>
    <w:p w14:paraId="0A143A18">
      <w:pPr>
        <w:keepNext w:val="0"/>
        <w:keepLines w:val="0"/>
        <w:pageBreakBefore w:val="0"/>
        <w:widowControl/>
        <w:numPr>
          <w:ilvl w:val="0"/>
          <w:numId w:val="0"/>
        </w:numP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Cambria" w:eastAsia="仿宋_GB2312" w:cs="Arial"/>
          <w:color w:val="000000"/>
          <w:kern w:val="0"/>
          <w:sz w:val="32"/>
          <w:szCs w:val="32"/>
          <w:lang w:eastAsia="zh-CN"/>
        </w:rPr>
      </w:pPr>
      <w:r>
        <w:rPr>
          <w:rFonts w:hint="eastAsia" w:ascii="仿宋_GB2312" w:hAnsi="仿宋_GB2312" w:eastAsia="仿宋_GB2312" w:cs="仿宋_GB2312"/>
          <w:b/>
          <w:bCs/>
          <w:color w:val="000000"/>
          <w:sz w:val="32"/>
          <w:szCs w:val="32"/>
          <w:shd w:val="clear" w:color="auto" w:fill="FFFFFF"/>
          <w:lang w:val="en-US" w:eastAsia="zh-CN"/>
        </w:rPr>
        <w:t>十一是加强协作形成合力。</w:t>
      </w:r>
      <w:r>
        <w:rPr>
          <w:rFonts w:hint="eastAsia" w:ascii="仿宋_GB2312" w:hAnsi="Cambria" w:eastAsia="仿宋_GB2312" w:cs="Arial"/>
          <w:color w:val="000000"/>
          <w:kern w:val="0"/>
          <w:sz w:val="32"/>
          <w:szCs w:val="32"/>
          <w:lang w:eastAsia="zh-CN"/>
        </w:rPr>
        <w:t>协同县建设局做好残疾人危房统计工作；</w:t>
      </w:r>
      <w:r>
        <w:rPr>
          <w:rFonts w:hint="eastAsia" w:ascii="仿宋_GB2312" w:hAnsi="Cambria" w:eastAsia="仿宋_GB2312" w:cs="Arial"/>
          <w:color w:val="000000"/>
          <w:kern w:val="0"/>
          <w:sz w:val="32"/>
          <w:szCs w:val="32"/>
        </w:rPr>
        <w:t>协同县教育部门认真抓好残疾儿童的统计调查</w:t>
      </w:r>
      <w:r>
        <w:rPr>
          <w:rFonts w:hint="eastAsia" w:ascii="仿宋_GB2312" w:hAnsi="Cambria" w:eastAsia="仿宋_GB2312" w:cs="Arial"/>
          <w:color w:val="000000"/>
          <w:kern w:val="0"/>
          <w:sz w:val="32"/>
          <w:szCs w:val="32"/>
          <w:lang w:eastAsia="zh-CN"/>
        </w:rPr>
        <w:t>、</w:t>
      </w:r>
      <w:r>
        <w:rPr>
          <w:rFonts w:hint="eastAsia" w:ascii="仿宋_GB2312" w:hAnsi="Cambria" w:eastAsia="仿宋_GB2312" w:cs="Arial"/>
          <w:color w:val="000000"/>
          <w:kern w:val="0"/>
          <w:sz w:val="32"/>
          <w:szCs w:val="32"/>
        </w:rPr>
        <w:t>义务教育的入学工作和教育资助</w:t>
      </w:r>
      <w:r>
        <w:rPr>
          <w:rFonts w:hint="eastAsia" w:ascii="仿宋_GB2312" w:hAnsi="Cambria" w:eastAsia="仿宋_GB2312" w:cs="Arial"/>
          <w:color w:val="000000"/>
          <w:kern w:val="0"/>
          <w:sz w:val="32"/>
          <w:szCs w:val="32"/>
          <w:lang w:eastAsia="zh-CN"/>
        </w:rPr>
        <w:t>工作；协同松潘县税务局做好</w:t>
      </w:r>
      <w:r>
        <w:rPr>
          <w:rFonts w:hint="eastAsia" w:ascii="仿宋_GB2312" w:hAnsi="Cambria" w:eastAsia="仿宋_GB2312" w:cs="Arial"/>
          <w:color w:val="000000"/>
          <w:kern w:val="0"/>
          <w:sz w:val="32"/>
          <w:szCs w:val="32"/>
        </w:rPr>
        <w:t>年度残疾人就业保障金</w:t>
      </w:r>
      <w:r>
        <w:rPr>
          <w:rFonts w:hint="eastAsia" w:ascii="仿宋_GB2312" w:hAnsi="Cambria" w:eastAsia="仿宋_GB2312" w:cs="Arial"/>
          <w:color w:val="000000"/>
          <w:kern w:val="0"/>
          <w:sz w:val="32"/>
          <w:szCs w:val="32"/>
          <w:lang w:eastAsia="zh-CN"/>
        </w:rPr>
        <w:t>征收工作；积极协同县民政局、县扶贫移民局做好残疾人两项补贴发放和残疾人扶贫对象生活补贴发放工作。</w:t>
      </w:r>
    </w:p>
    <w:p w14:paraId="669D730E">
      <w:pPr>
        <w:pStyle w:val="2"/>
        <w:keepNext w:val="0"/>
        <w:keepLines w:val="0"/>
        <w:pageBreakBefore w:val="0"/>
        <w:widowControl w:val="0"/>
        <w:kinsoku/>
        <w:wordWrap/>
        <w:overflowPunct/>
        <w:topLinePunct w:val="0"/>
        <w:autoSpaceDE/>
        <w:autoSpaceDN/>
        <w:bidi w:val="0"/>
        <w:adjustRightInd/>
        <w:snapToGrid/>
        <w:spacing w:after="0" w:line="578" w:lineRule="exact"/>
        <w:ind w:left="0" w:leftChars="0" w:firstLine="643" w:firstLineChars="200"/>
        <w:jc w:val="both"/>
        <w:rPr>
          <w:rFonts w:hint="eastAsia" w:eastAsia="仿宋_GB2312" w:cs="Times New Roman"/>
          <w:color w:val="000000"/>
          <w:spacing w:val="0"/>
          <w:kern w:val="0"/>
          <w:sz w:val="32"/>
          <w:szCs w:val="32"/>
          <w:lang w:val="en-US" w:eastAsia="zh-CN"/>
        </w:rPr>
      </w:pPr>
      <w:r>
        <w:rPr>
          <w:rFonts w:hint="eastAsia" w:ascii="Times New Roman" w:hAnsi="Times New Roman" w:eastAsia="仿宋_GB2312" w:cs="Times New Roman"/>
          <w:b/>
          <w:bCs/>
          <w:spacing w:val="0"/>
          <w:kern w:val="0"/>
          <w:sz w:val="32"/>
          <w:szCs w:val="32"/>
          <w:lang w:eastAsia="zh-CN"/>
        </w:rPr>
        <w:t>十二是</w:t>
      </w:r>
      <w:r>
        <w:rPr>
          <w:rFonts w:hint="eastAsia" w:ascii="Times New Roman" w:hAnsi="Times New Roman" w:eastAsia="仿宋_GB2312" w:cs="Times New Roman"/>
          <w:b/>
          <w:bCs/>
          <w:spacing w:val="0"/>
          <w:kern w:val="0"/>
          <w:sz w:val="32"/>
          <w:szCs w:val="32"/>
          <w:lang w:val="en-US" w:eastAsia="zh-CN"/>
        </w:rPr>
        <w:t>积极组织参加2023年</w:t>
      </w:r>
      <w:r>
        <w:rPr>
          <w:rFonts w:hint="eastAsia" w:eastAsia="仿宋_GB2312" w:cs="Times New Roman"/>
          <w:b/>
          <w:bCs/>
          <w:color w:val="000000"/>
          <w:spacing w:val="0"/>
          <w:kern w:val="0"/>
          <w:sz w:val="32"/>
          <w:szCs w:val="32"/>
          <w:lang w:val="en-US" w:eastAsia="zh-CN"/>
        </w:rPr>
        <w:t>第四届州级残疾人运动</w:t>
      </w:r>
      <w:r>
        <w:rPr>
          <w:rFonts w:eastAsia="仿宋_GB2312" w:cs="Times New Roman"/>
          <w:b/>
          <w:bCs/>
          <w:color w:val="000000"/>
          <w:spacing w:val="0"/>
          <w:kern w:val="0"/>
          <w:sz w:val="32"/>
          <w:szCs w:val="32"/>
          <w:lang w:val="en-US" w:eastAsia="zh-CN"/>
        </w:rPr>
        <w:t>会</w:t>
      </w:r>
      <w:r>
        <w:rPr>
          <w:rFonts w:hint="eastAsia" w:eastAsia="仿宋_GB2312" w:cs="Times New Roman"/>
          <w:b/>
          <w:bCs/>
          <w:color w:val="000000"/>
          <w:spacing w:val="0"/>
          <w:kern w:val="0"/>
          <w:sz w:val="32"/>
          <w:szCs w:val="32"/>
          <w:lang w:val="en-US" w:eastAsia="zh-CN"/>
        </w:rPr>
        <w:t>。</w:t>
      </w:r>
      <w:r>
        <w:rPr>
          <w:rFonts w:hint="eastAsia" w:eastAsia="仿宋_GB2312" w:cs="Times New Roman"/>
          <w:color w:val="000000"/>
          <w:spacing w:val="0"/>
          <w:kern w:val="0"/>
          <w:sz w:val="32"/>
          <w:szCs w:val="32"/>
          <w:lang w:val="en-US" w:eastAsia="zh-CN"/>
        </w:rPr>
        <w:t>运动会上12名健儿拼搏向上，荣获24枚奖牌，目前我县已兑现完成运动员的各项补助资金。</w:t>
      </w:r>
    </w:p>
    <w:p w14:paraId="45497AB0">
      <w:pPr>
        <w:keepNext/>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textAlignment w:val="auto"/>
        <w:rPr>
          <w:rFonts w:hint="eastAsia" w:ascii="仿宋" w:hAnsi="仿宋" w:eastAsia="仿宋" w:cs="仿宋"/>
          <w:color w:val="000000"/>
          <w:sz w:val="32"/>
          <w:szCs w:val="32"/>
        </w:rPr>
      </w:pPr>
      <w:r>
        <w:rPr>
          <w:rFonts w:hint="eastAsia" w:ascii="Times New Roman" w:hAnsi="Times New Roman" w:eastAsia="仿宋_GB2312" w:cs="Times New Roman"/>
          <w:b/>
          <w:bCs/>
          <w:kern w:val="0"/>
          <w:sz w:val="32"/>
          <w:szCs w:val="32"/>
          <w:lang w:eastAsia="zh-CN"/>
        </w:rPr>
        <w:t>十三是</w:t>
      </w:r>
      <w:r>
        <w:rPr>
          <w:rFonts w:hint="default" w:ascii="Times New Roman" w:hAnsi="Times New Roman" w:eastAsia="仿宋_GB2312" w:cs="Times New Roman"/>
          <w:b/>
          <w:bCs/>
          <w:kern w:val="0"/>
          <w:sz w:val="32"/>
          <w:szCs w:val="32"/>
        </w:rPr>
        <w:t>认真落实党风廉政建设各项工作</w:t>
      </w:r>
      <w:r>
        <w:rPr>
          <w:rFonts w:hint="default" w:ascii="Times New Roman" w:hAnsi="Times New Roman" w:eastAsia="仿宋_GB2312" w:cs="Times New Roman"/>
          <w:b/>
          <w:bCs/>
          <w:kern w:val="0"/>
          <w:sz w:val="32"/>
          <w:szCs w:val="32"/>
          <w:lang w:eastAsia="zh-CN"/>
        </w:rPr>
        <w:t>，加强干部管理工作</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sz w:val="32"/>
          <w:szCs w:val="32"/>
        </w:rPr>
        <w:t>严格落实</w:t>
      </w:r>
      <w:r>
        <w:rPr>
          <w:rFonts w:hint="default" w:ascii="Times New Roman" w:hAnsi="Times New Roman" w:eastAsia="仿宋_GB2312" w:cs="Times New Roman"/>
          <w:kern w:val="0"/>
          <w:sz w:val="32"/>
          <w:szCs w:val="32"/>
        </w:rPr>
        <w:t>“一岗双责”</w:t>
      </w:r>
      <w:r>
        <w:rPr>
          <w:rFonts w:hint="default" w:ascii="Times New Roman" w:hAnsi="Times New Roman" w:eastAsia="仿宋_GB2312" w:cs="Times New Roman"/>
          <w:kern w:val="0"/>
          <w:sz w:val="32"/>
          <w:szCs w:val="32"/>
          <w:lang w:eastAsia="zh-CN"/>
        </w:rPr>
        <w:t>和</w:t>
      </w:r>
      <w:r>
        <w:rPr>
          <w:rFonts w:hint="default" w:ascii="Times New Roman" w:hAnsi="Times New Roman" w:eastAsia="仿宋_GB2312" w:cs="Times New Roman"/>
          <w:sz w:val="32"/>
          <w:szCs w:val="32"/>
        </w:rPr>
        <w:t>“三重一大”</w:t>
      </w:r>
      <w:r>
        <w:rPr>
          <w:rFonts w:hint="eastAsia" w:eastAsia="仿宋_GB2312" w:cs="Times New Roman"/>
          <w:sz w:val="32"/>
          <w:szCs w:val="32"/>
          <w:lang w:eastAsia="zh-CN"/>
        </w:rPr>
        <w:t>制度</w:t>
      </w:r>
      <w:r>
        <w:rPr>
          <w:rFonts w:hint="default" w:ascii="Times New Roman" w:hAnsi="Times New Roman" w:eastAsia="仿宋_GB2312" w:cs="Times New Roman"/>
          <w:kern w:val="0"/>
          <w:sz w:val="32"/>
          <w:szCs w:val="32"/>
        </w:rPr>
        <w:t>，加强“三公经费”、会议费、各项惠残助残资金的管理。</w:t>
      </w:r>
      <w:r>
        <w:rPr>
          <w:rFonts w:hint="default" w:ascii="Times New Roman" w:hAnsi="Times New Roman" w:eastAsia="仿宋_GB2312" w:cs="Times New Roman"/>
          <w:sz w:val="32"/>
          <w:szCs w:val="32"/>
        </w:rPr>
        <w:t>强化干部日常监管，</w:t>
      </w:r>
      <w:r>
        <w:rPr>
          <w:rFonts w:hint="default" w:ascii="Times New Roman" w:hAnsi="Times New Roman" w:eastAsia="仿宋_GB2312" w:cs="Times New Roman"/>
          <w:kern w:val="0"/>
          <w:sz w:val="32"/>
          <w:szCs w:val="32"/>
        </w:rPr>
        <w:t>严肃机关工作纪律，提升机关行政效能，开展警示教育，严格做好</w:t>
      </w:r>
      <w:r>
        <w:rPr>
          <w:rFonts w:hint="default" w:ascii="Times New Roman" w:hAnsi="Times New Roman" w:eastAsia="仿宋_GB2312" w:cs="Times New Roman"/>
          <w:bCs/>
          <w:sz w:val="32"/>
          <w:szCs w:val="32"/>
        </w:rPr>
        <w:t>廉政风险防控各项工作</w:t>
      </w:r>
      <w:r>
        <w:rPr>
          <w:rFonts w:hint="default" w:ascii="Times New Roman" w:hAnsi="Times New Roman" w:eastAsia="仿宋_GB2312" w:cs="Times New Roman"/>
          <w:bCs/>
          <w:sz w:val="32"/>
          <w:szCs w:val="32"/>
          <w:lang w:eastAsia="zh-CN"/>
        </w:rPr>
        <w:t>，严格落实请销假制度、干部外出报备制度、首问责任制、限时办结制等制度，坚决整治庸、懒、散、浮、拖。</w:t>
      </w:r>
    </w:p>
    <w:bookmarkEnd w:id="20"/>
    <w:bookmarkEnd w:id="21"/>
    <w:bookmarkEnd w:id="22"/>
    <w:bookmarkEnd w:id="23"/>
    <w:bookmarkEnd w:id="24"/>
    <w:p w14:paraId="3A0E05B0">
      <w:pPr>
        <w:pStyle w:val="2"/>
        <w:keepNext w:val="0"/>
        <w:keepLines w:val="0"/>
        <w:pageBreakBefore w:val="0"/>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eastAsia" w:ascii="方正楷体_GBK" w:hAnsi="方正楷体_GBK" w:eastAsia="方正楷体_GBK" w:cs="方正楷体_GBK"/>
          <w:b/>
          <w:bCs/>
          <w:kern w:val="0"/>
          <w:sz w:val="32"/>
          <w:szCs w:val="32"/>
          <w:lang w:eastAsia="zh-CN"/>
        </w:rPr>
      </w:pPr>
      <w:bookmarkStart w:id="25" w:name="_Toc15377200"/>
      <w:bookmarkStart w:id="26" w:name="_Toc15396601"/>
      <w:bookmarkStart w:id="27" w:name="_Toc79163855"/>
      <w:bookmarkStart w:id="28" w:name="_Toc79163605"/>
      <w:r>
        <w:rPr>
          <w:rFonts w:hint="eastAsia" w:ascii="方正楷体_GBK" w:hAnsi="方正楷体_GBK" w:eastAsia="方正楷体_GBK" w:cs="方正楷体_GBK"/>
          <w:b/>
          <w:bCs/>
          <w:kern w:val="0"/>
          <w:sz w:val="32"/>
          <w:szCs w:val="32"/>
          <w:lang w:eastAsia="zh-CN"/>
        </w:rPr>
        <w:t>二、机构设置</w:t>
      </w:r>
      <w:bookmarkEnd w:id="25"/>
      <w:bookmarkEnd w:id="26"/>
      <w:bookmarkEnd w:id="27"/>
      <w:bookmarkEnd w:id="28"/>
    </w:p>
    <w:p w14:paraId="5F71A934">
      <w:pPr>
        <w:pStyle w:val="2"/>
        <w:keepNext w:val="0"/>
        <w:keepLines w:val="0"/>
        <w:pageBreakBefore w:val="0"/>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eastAsia" w:ascii="方正楷体_GBK" w:hAnsi="方正楷体_GBK" w:eastAsia="方正楷体_GBK" w:cs="方正楷体_GBK"/>
          <w:b/>
          <w:bCs/>
          <w:kern w:val="0"/>
          <w:sz w:val="32"/>
          <w:szCs w:val="32"/>
          <w:lang w:eastAsia="zh-CN"/>
        </w:rPr>
      </w:pPr>
      <w:r>
        <w:rPr>
          <w:rFonts w:hint="eastAsia" w:ascii="仿宋_GB2312" w:hAnsi="仿宋_GB2312" w:eastAsia="仿宋_GB2312" w:cs="仿宋_GB2312"/>
          <w:color w:val="000000"/>
          <w:kern w:val="2"/>
          <w:sz w:val="32"/>
          <w:szCs w:val="32"/>
          <w:lang w:val="en-US" w:eastAsia="zh-CN" w:bidi="ar-SA"/>
        </w:rPr>
        <w:t>松潘县残疾人联合会设1个内设机构：残疾人服务中心职责：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w:t>
      </w:r>
      <w:r>
        <w:rPr>
          <w:rFonts w:hint="eastAsia" w:ascii="方正楷体_GBK" w:hAnsi="方正楷体_GBK" w:eastAsia="方正楷体_GBK" w:cs="方正楷体_GBK"/>
          <w:b/>
          <w:bCs/>
          <w:kern w:val="0"/>
          <w:sz w:val="32"/>
          <w:szCs w:val="32"/>
          <w:lang w:eastAsia="zh-CN"/>
        </w:rPr>
        <w:br w:type="page"/>
      </w:r>
    </w:p>
    <w:p w14:paraId="71BEBC63">
      <w:pPr>
        <w:pStyle w:val="4"/>
        <w:ind w:right="440"/>
        <w:jc w:val="right"/>
      </w:pPr>
      <w:bookmarkStart w:id="29" w:name="_Toc15396602"/>
      <w:bookmarkStart w:id="30" w:name="_Toc15377204"/>
      <w:bookmarkStart w:id="31" w:name="_Toc79163859"/>
      <w:bookmarkStart w:id="32" w:name="_Toc79163609"/>
      <w:r>
        <w:rPr>
          <w:rFonts w:hint="eastAsia" w:ascii="黑体" w:hAnsi="黑体" w:eastAsia="黑体"/>
          <w:b w:val="0"/>
          <w:color w:val="000000"/>
        </w:rPr>
        <w:t>第二部分</w:t>
      </w:r>
      <w:r>
        <w:rPr>
          <w:rFonts w:ascii="黑体" w:hAnsi="黑体" w:eastAsia="黑体"/>
          <w:color w:val="000000"/>
        </w:rPr>
        <w:t xml:space="preserve"> </w:t>
      </w:r>
      <w:r>
        <w:rPr>
          <w:rStyle w:val="26"/>
          <w:rFonts w:ascii="黑体" w:hAnsi="黑体" w:eastAsia="黑体"/>
          <w:b w:val="0"/>
          <w:bCs w:val="0"/>
        </w:rPr>
        <w:t>202</w:t>
      </w:r>
      <w:r>
        <w:rPr>
          <w:rStyle w:val="26"/>
          <w:rFonts w:hint="eastAsia" w:ascii="黑体" w:hAnsi="黑体" w:eastAsia="黑体"/>
          <w:b w:val="0"/>
          <w:bCs w:val="0"/>
          <w:lang w:val="en-US" w:eastAsia="zh-CN"/>
        </w:rPr>
        <w:t>3</w:t>
      </w:r>
      <w:r>
        <w:rPr>
          <w:rStyle w:val="26"/>
          <w:rFonts w:hint="eastAsia" w:ascii="黑体" w:hAnsi="黑体" w:eastAsia="黑体"/>
          <w:b w:val="0"/>
          <w:bCs w:val="0"/>
        </w:rPr>
        <w:t>年度部门决算情况说明</w:t>
      </w:r>
      <w:bookmarkEnd w:id="29"/>
      <w:bookmarkEnd w:id="30"/>
      <w:bookmarkEnd w:id="31"/>
      <w:bookmarkEnd w:id="32"/>
    </w:p>
    <w:p w14:paraId="6BF9E630">
      <w:pPr>
        <w:pStyle w:val="37"/>
        <w:numPr>
          <w:ilvl w:val="0"/>
          <w:numId w:val="1"/>
        </w:numPr>
        <w:spacing w:line="600" w:lineRule="exact"/>
        <w:ind w:firstLineChars="0"/>
        <w:outlineLvl w:val="1"/>
        <w:rPr>
          <w:rStyle w:val="27"/>
          <w:rFonts w:ascii="黑体" w:hAnsi="黑体" w:eastAsia="黑体"/>
          <w:b w:val="0"/>
        </w:rPr>
      </w:pPr>
      <w:bookmarkStart w:id="33" w:name="_Toc79163860"/>
      <w:bookmarkStart w:id="34" w:name="_Toc15396603"/>
      <w:bookmarkStart w:id="35" w:name="_Toc15377205"/>
      <w:bookmarkStart w:id="36" w:name="_Toc79163610"/>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3"/>
      <w:bookmarkEnd w:id="34"/>
      <w:bookmarkEnd w:id="35"/>
      <w:bookmarkEnd w:id="36"/>
    </w:p>
    <w:p w14:paraId="52C226F6">
      <w:pPr>
        <w:spacing w:line="600" w:lineRule="exact"/>
        <w:ind w:firstLine="640" w:firstLineChars="200"/>
        <w:rPr>
          <w:rFonts w:hint="eastAsia" w:ascii="仿宋" w:hAnsi="仿宋" w:eastAsia="仿宋"/>
          <w:color w:val="000000"/>
          <w:sz w:val="32"/>
          <w:szCs w:val="32"/>
        </w:rPr>
      </w:pPr>
      <w:bookmarkStart w:id="37" w:name="OLE_LINK14"/>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240.91万元，</w:t>
      </w:r>
      <w:bookmarkStart w:id="38" w:name="OLE_LINK2"/>
      <w:r>
        <w:rPr>
          <w:rFonts w:hint="eastAsia" w:ascii="仿宋" w:hAnsi="仿宋" w:eastAsia="仿宋"/>
          <w:color w:val="000000"/>
          <w:sz w:val="32"/>
          <w:szCs w:val="32"/>
          <w:lang w:val="en-US" w:eastAsia="zh-CN"/>
        </w:rPr>
        <w:t>存量资金79.13万元</w:t>
      </w:r>
      <w:bookmarkEnd w:id="38"/>
      <w:r>
        <w:rPr>
          <w:rFonts w:hint="eastAsia" w:ascii="仿宋" w:hAnsi="仿宋" w:eastAsia="仿宋"/>
          <w:color w:val="000000"/>
          <w:sz w:val="32"/>
          <w:szCs w:val="32"/>
          <w:lang w:val="en-US" w:eastAsia="zh-CN"/>
        </w:rPr>
        <w:t>，</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320.04</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w:t>
      </w:r>
      <w:r>
        <w:rPr>
          <w:rFonts w:hint="eastAsia" w:ascii="仿宋" w:hAnsi="仿宋" w:eastAsia="仿宋"/>
          <w:color w:val="000000"/>
          <w:sz w:val="32"/>
          <w:szCs w:val="32"/>
          <w:lang w:eastAsia="zh-CN"/>
        </w:rPr>
        <w:t>收支总计</w:t>
      </w:r>
      <w:r>
        <w:rPr>
          <w:rFonts w:hint="eastAsia" w:ascii="仿宋" w:hAnsi="仿宋" w:eastAsia="仿宋"/>
          <w:color w:val="000000"/>
          <w:sz w:val="32"/>
          <w:szCs w:val="32"/>
          <w:lang w:val="en-US" w:eastAsia="zh-CN"/>
        </w:rPr>
        <w:t>196.97</w:t>
      </w:r>
      <w:r>
        <w:rPr>
          <w:rFonts w:hint="eastAsia" w:ascii="仿宋" w:hAnsi="仿宋" w:eastAsia="仿宋"/>
          <w:color w:val="000000"/>
          <w:sz w:val="32"/>
          <w:szCs w:val="32"/>
        </w:rPr>
        <w:t>万元相比，收支</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123.07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上升</w:t>
      </w:r>
      <w:r>
        <w:rPr>
          <w:rFonts w:hint="eastAsia" w:ascii="仿宋" w:hAnsi="仿宋" w:eastAsia="仿宋"/>
          <w:color w:val="000000"/>
          <w:sz w:val="32"/>
          <w:szCs w:val="32"/>
          <w:lang w:val="en-US" w:eastAsia="zh-CN"/>
        </w:rPr>
        <w:t>38</w:t>
      </w:r>
      <w:r>
        <w:rPr>
          <w:rFonts w:ascii="仿宋" w:hAnsi="仿宋" w:eastAsia="仿宋"/>
          <w:color w:val="000000"/>
          <w:sz w:val="32"/>
          <w:szCs w:val="32"/>
        </w:rPr>
        <w:t>%</w:t>
      </w:r>
      <w:r>
        <w:rPr>
          <w:rFonts w:hint="eastAsia" w:ascii="仿宋" w:hAnsi="仿宋" w:eastAsia="仿宋"/>
          <w:color w:val="000000"/>
          <w:sz w:val="32"/>
          <w:szCs w:val="32"/>
        </w:rPr>
        <w:t>。主要变动原因是项目</w:t>
      </w:r>
      <w:r>
        <w:rPr>
          <w:rFonts w:hint="eastAsia" w:ascii="仿宋" w:hAnsi="仿宋" w:eastAsia="仿宋"/>
          <w:color w:val="000000"/>
          <w:sz w:val="32"/>
          <w:szCs w:val="32"/>
          <w:lang w:eastAsia="zh-CN"/>
        </w:rPr>
        <w:t>增加。</w:t>
      </w:r>
    </w:p>
    <w:bookmarkEnd w:id="37"/>
    <w:p w14:paraId="4D6855E6">
      <w:pPr>
        <w:pStyle w:val="14"/>
        <w:rPr>
          <w:rFonts w:hint="eastAsia" w:ascii="仿宋" w:hAnsi="仿宋" w:eastAsia="仿宋"/>
          <w:color w:val="000000"/>
          <w:sz w:val="32"/>
          <w:szCs w:val="32"/>
        </w:rPr>
      </w:pPr>
      <w:r>
        <w:drawing>
          <wp:inline distT="0" distB="0" distL="114300" distR="114300">
            <wp:extent cx="4735195" cy="2552065"/>
            <wp:effectExtent l="4445" t="4445" r="22860" b="15240"/>
            <wp:docPr id="103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F305A19">
      <w:pPr>
        <w:spacing w:line="600" w:lineRule="exact"/>
        <w:rPr>
          <w:rFonts w:ascii="仿宋_GB2312" w:eastAsia="仿宋_GB2312"/>
          <w:color w:val="000000"/>
          <w:sz w:val="32"/>
          <w:szCs w:val="32"/>
        </w:rPr>
      </w:pPr>
      <w:bookmarkStart w:id="39" w:name="OLE_LINK15"/>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bookmarkEnd w:id="39"/>
    </w:p>
    <w:p w14:paraId="5D759B2D">
      <w:pPr>
        <w:pStyle w:val="37"/>
        <w:numPr>
          <w:ilvl w:val="0"/>
          <w:numId w:val="1"/>
        </w:numPr>
        <w:spacing w:line="600" w:lineRule="exact"/>
        <w:ind w:firstLineChars="0"/>
        <w:outlineLvl w:val="1"/>
        <w:rPr>
          <w:rStyle w:val="27"/>
          <w:rFonts w:ascii="黑体" w:hAnsi="黑体" w:eastAsia="黑体"/>
          <w:b w:val="0"/>
        </w:rPr>
      </w:pPr>
      <w:bookmarkStart w:id="40" w:name="_Toc79163861"/>
      <w:bookmarkStart w:id="41" w:name="_Toc15377206"/>
      <w:bookmarkStart w:id="42" w:name="_Toc15396604"/>
      <w:bookmarkStart w:id="43" w:name="_Toc79163611"/>
      <w:r>
        <w:rPr>
          <w:rFonts w:hint="eastAsia" w:ascii="黑体" w:hAnsi="黑体" w:eastAsia="黑体"/>
          <w:color w:val="000000"/>
          <w:sz w:val="32"/>
          <w:szCs w:val="32"/>
        </w:rPr>
        <w:t>收</w:t>
      </w:r>
      <w:r>
        <w:rPr>
          <w:rStyle w:val="27"/>
          <w:rFonts w:hint="eastAsia" w:ascii="黑体" w:hAnsi="黑体" w:eastAsia="黑体"/>
          <w:b w:val="0"/>
        </w:rPr>
        <w:t>入决算情况说明</w:t>
      </w:r>
      <w:bookmarkEnd w:id="40"/>
      <w:bookmarkEnd w:id="41"/>
      <w:bookmarkEnd w:id="42"/>
      <w:bookmarkEnd w:id="43"/>
    </w:p>
    <w:p w14:paraId="3781D1A9">
      <w:pPr>
        <w:spacing w:line="600" w:lineRule="exact"/>
        <w:ind w:firstLine="640" w:firstLineChars="200"/>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240.91</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存量资金79.13万元，</w:t>
      </w:r>
      <w:r>
        <w:rPr>
          <w:rFonts w:hint="eastAsia" w:ascii="仿宋" w:hAnsi="仿宋" w:eastAsia="仿宋"/>
          <w:color w:val="000000"/>
          <w:sz w:val="32"/>
          <w:szCs w:val="32"/>
        </w:rPr>
        <w:t>其中：</w:t>
      </w:r>
      <w:bookmarkStart w:id="44" w:name="OLE_LINK1"/>
      <w:r>
        <w:rPr>
          <w:rFonts w:hint="eastAsia" w:ascii="仿宋" w:hAnsi="仿宋" w:eastAsia="仿宋"/>
          <w:color w:val="000000"/>
          <w:sz w:val="32"/>
          <w:szCs w:val="32"/>
        </w:rPr>
        <w:t>一般公共预算财政拨款收入</w:t>
      </w:r>
      <w:bookmarkEnd w:id="44"/>
      <w:r>
        <w:rPr>
          <w:rFonts w:hint="eastAsia" w:ascii="仿宋" w:hAnsi="仿宋" w:eastAsia="仿宋"/>
          <w:color w:val="000000"/>
          <w:sz w:val="32"/>
          <w:szCs w:val="32"/>
          <w:lang w:val="en-US" w:eastAsia="zh-CN"/>
        </w:rPr>
        <w:t>308.11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w:t>
      </w:r>
      <w:r>
        <w:rPr>
          <w:rFonts w:ascii="仿宋" w:hAnsi="仿宋" w:eastAsia="仿宋"/>
          <w:color w:val="000000"/>
          <w:sz w:val="32"/>
          <w:szCs w:val="32"/>
        </w:rPr>
        <w:t>%</w:t>
      </w:r>
      <w:r>
        <w:rPr>
          <w:rFonts w:hint="eastAsia" w:ascii="仿宋" w:hAnsi="仿宋" w:eastAsia="仿宋"/>
          <w:color w:val="000000"/>
          <w:sz w:val="32"/>
          <w:szCs w:val="32"/>
        </w:rPr>
        <w:t>；</w:t>
      </w:r>
      <w:bookmarkStart w:id="45" w:name="OLE_LINK3"/>
      <w:r>
        <w:rPr>
          <w:rFonts w:hint="eastAsia" w:ascii="仿宋" w:hAnsi="仿宋" w:eastAsia="仿宋"/>
          <w:color w:val="000000"/>
          <w:sz w:val="32"/>
          <w:szCs w:val="32"/>
        </w:rPr>
        <w:t>政府性基金预算财政拨款收入</w:t>
      </w:r>
      <w:bookmarkEnd w:id="45"/>
      <w:r>
        <w:rPr>
          <w:rFonts w:hint="eastAsia" w:ascii="仿宋" w:hAnsi="仿宋" w:eastAsia="仿宋"/>
          <w:color w:val="000000"/>
          <w:sz w:val="32"/>
          <w:szCs w:val="32"/>
          <w:lang w:val="en-US" w:eastAsia="zh-CN"/>
        </w:rPr>
        <w:t>11.93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2ACFA9F0">
      <w:pPr>
        <w:spacing w:line="600" w:lineRule="exact"/>
        <w:rPr>
          <w:rFonts w:ascii="仿宋_GB2312" w:eastAsia="仿宋_GB2312"/>
          <w:color w:val="FF0000"/>
          <w:sz w:val="32"/>
          <w:szCs w:val="32"/>
        </w:rPr>
      </w:pPr>
    </w:p>
    <w:p w14:paraId="35A75BD9">
      <w:pPr>
        <w:pStyle w:val="14"/>
        <w:rPr>
          <w:rFonts w:ascii="仿宋_GB2312" w:eastAsia="仿宋_GB2312"/>
          <w:color w:val="FF0000"/>
          <w:sz w:val="32"/>
          <w:szCs w:val="32"/>
        </w:rPr>
      </w:pPr>
      <w:r>
        <w:rPr>
          <w:rFonts w:hint="eastAsia"/>
          <w:lang w:val="en-US" w:eastAsia="zh-CN"/>
        </w:rPr>
        <w:t xml:space="preserve">    </w:t>
      </w:r>
      <w:r>
        <w:drawing>
          <wp:inline distT="0" distB="0" distL="114300" distR="114300">
            <wp:extent cx="4010660" cy="1915160"/>
            <wp:effectExtent l="4445" t="4445" r="23495" b="23495"/>
            <wp:docPr id="1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19DCA44">
      <w:pPr>
        <w:pStyle w:val="14"/>
        <w:rPr>
          <w:rFonts w:ascii="仿宋_GB2312" w:eastAsia="仿宋_GB2312"/>
          <w:color w:val="FF0000"/>
          <w:sz w:val="32"/>
          <w:szCs w:val="32"/>
        </w:rPr>
      </w:pPr>
    </w:p>
    <w:p w14:paraId="59ACC1B0">
      <w:pPr>
        <w:pStyle w:val="14"/>
        <w:rPr>
          <w:rFonts w:ascii="仿宋_GB2312" w:eastAsia="仿宋_GB2312"/>
          <w:color w:val="FF0000"/>
          <w:sz w:val="32"/>
          <w:szCs w:val="32"/>
        </w:rPr>
      </w:pPr>
      <w:r>
        <w:rPr>
          <w:rFonts w:hint="eastAsia"/>
          <w:lang w:val="en-US" w:eastAsia="zh-CN"/>
        </w:rPr>
        <w:t xml:space="preserve">   </w:t>
      </w: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14:paraId="238C5954">
      <w:pPr>
        <w:pStyle w:val="37"/>
        <w:numPr>
          <w:ilvl w:val="0"/>
          <w:numId w:val="1"/>
        </w:numPr>
        <w:spacing w:line="600" w:lineRule="exact"/>
        <w:ind w:firstLineChars="0"/>
        <w:outlineLvl w:val="1"/>
        <w:rPr>
          <w:rStyle w:val="27"/>
          <w:rFonts w:ascii="黑体" w:hAnsi="黑体" w:eastAsia="黑体"/>
          <w:b w:val="0"/>
        </w:rPr>
      </w:pPr>
      <w:bookmarkStart w:id="46" w:name="_Toc79163612"/>
      <w:bookmarkStart w:id="47" w:name="_Toc15377207"/>
      <w:bookmarkStart w:id="48" w:name="_Toc15396605"/>
      <w:bookmarkStart w:id="49" w:name="_Toc79163862"/>
      <w:r>
        <w:rPr>
          <w:rFonts w:hint="eastAsia" w:ascii="黑体" w:hAnsi="黑体" w:eastAsia="黑体"/>
          <w:color w:val="000000"/>
          <w:sz w:val="32"/>
          <w:szCs w:val="32"/>
        </w:rPr>
        <w:t>支</w:t>
      </w:r>
      <w:r>
        <w:rPr>
          <w:rStyle w:val="27"/>
          <w:rFonts w:hint="eastAsia" w:ascii="黑体" w:hAnsi="黑体" w:eastAsia="黑体"/>
          <w:b w:val="0"/>
        </w:rPr>
        <w:t>出决算情况说明</w:t>
      </w:r>
      <w:bookmarkEnd w:id="46"/>
      <w:bookmarkEnd w:id="47"/>
      <w:bookmarkEnd w:id="48"/>
      <w:bookmarkEnd w:id="49"/>
    </w:p>
    <w:p w14:paraId="5C02BF12">
      <w:pPr>
        <w:spacing w:line="600" w:lineRule="exact"/>
        <w:ind w:firstLine="640" w:firstLineChars="200"/>
        <w:rPr>
          <w:rFonts w:hint="eastAsia"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年本年支出合计</w:t>
      </w:r>
      <w:r>
        <w:rPr>
          <w:rFonts w:hint="eastAsia" w:ascii="仿宋_GB2312" w:eastAsia="仿宋_GB2312"/>
          <w:sz w:val="32"/>
          <w:szCs w:val="32"/>
          <w:lang w:val="en-US" w:eastAsia="zh-CN"/>
        </w:rPr>
        <w:t>320.04</w:t>
      </w:r>
      <w:r>
        <w:rPr>
          <w:rFonts w:hint="eastAsia" w:ascii="仿宋_GB2312" w:eastAsia="仿宋_GB2312"/>
          <w:sz w:val="32"/>
          <w:szCs w:val="32"/>
        </w:rPr>
        <w:t>万元，其中：基本支出</w:t>
      </w:r>
      <w:r>
        <w:rPr>
          <w:rFonts w:hint="eastAsia" w:ascii="仿宋_GB2312" w:eastAsia="仿宋_GB2312"/>
          <w:sz w:val="32"/>
          <w:szCs w:val="32"/>
          <w:lang w:val="en-US" w:eastAsia="zh-CN"/>
        </w:rPr>
        <w:t>93.69</w:t>
      </w:r>
      <w:r>
        <w:rPr>
          <w:rFonts w:hint="eastAsia" w:ascii="仿宋_GB2312" w:eastAsia="仿宋_GB2312"/>
          <w:sz w:val="32"/>
          <w:szCs w:val="32"/>
        </w:rPr>
        <w:t>万元，占</w:t>
      </w:r>
      <w:r>
        <w:rPr>
          <w:rFonts w:hint="eastAsia" w:ascii="仿宋_GB2312" w:eastAsia="仿宋_GB2312"/>
          <w:sz w:val="32"/>
          <w:szCs w:val="32"/>
          <w:lang w:val="en-US" w:eastAsia="zh-CN"/>
        </w:rPr>
        <w:t>29</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226.35</w:t>
      </w:r>
      <w:r>
        <w:rPr>
          <w:rFonts w:hint="eastAsia" w:ascii="仿宋_GB2312" w:eastAsia="仿宋_GB2312"/>
          <w:sz w:val="32"/>
          <w:szCs w:val="32"/>
        </w:rPr>
        <w:t>万元，占</w:t>
      </w:r>
      <w:r>
        <w:rPr>
          <w:rFonts w:hint="eastAsia" w:ascii="仿宋_GB2312" w:eastAsia="仿宋_GB2312"/>
          <w:sz w:val="32"/>
          <w:szCs w:val="32"/>
          <w:lang w:val="en-US" w:eastAsia="zh-CN"/>
        </w:rPr>
        <w:t>71</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7F837A0B">
      <w:pPr>
        <w:pStyle w:val="14"/>
        <w:rPr>
          <w:rFonts w:hint="eastAsia"/>
          <w:lang w:val="en-US" w:eastAsia="zh-CN"/>
        </w:rPr>
      </w:pPr>
      <w:r>
        <w:rPr>
          <w:rFonts w:hint="eastAsia"/>
          <w:lang w:val="en-US" w:eastAsia="zh-CN"/>
        </w:rPr>
        <w:t xml:space="preserve">        </w:t>
      </w:r>
      <w:r>
        <w:drawing>
          <wp:inline distT="0" distB="0" distL="114300" distR="114300">
            <wp:extent cx="4010660" cy="1915160"/>
            <wp:effectExtent l="4445" t="4445" r="23495" b="23495"/>
            <wp:docPr id="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30F33F">
      <w:pPr>
        <w:spacing w:line="600" w:lineRule="exact"/>
        <w:ind w:firstLine="640" w:firstLineChars="2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385013F6">
      <w:pPr>
        <w:spacing w:line="600" w:lineRule="exact"/>
        <w:ind w:firstLine="640" w:firstLineChars="200"/>
        <w:outlineLvl w:val="1"/>
        <w:rPr>
          <w:rStyle w:val="27"/>
          <w:rFonts w:ascii="黑体" w:hAnsi="黑体" w:eastAsia="黑体"/>
          <w:b w:val="0"/>
        </w:rPr>
      </w:pPr>
      <w:bookmarkStart w:id="50" w:name="_Toc15396606"/>
      <w:bookmarkStart w:id="51" w:name="_Toc79163613"/>
      <w:bookmarkStart w:id="52" w:name="_Toc15377208"/>
      <w:bookmarkStart w:id="53" w:name="_Toc79163863"/>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50"/>
      <w:bookmarkEnd w:id="51"/>
      <w:bookmarkEnd w:id="52"/>
      <w:bookmarkEnd w:id="53"/>
    </w:p>
    <w:p w14:paraId="75E7C5C4">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320.04</w:t>
      </w:r>
      <w:r>
        <w:rPr>
          <w:rFonts w:hint="eastAsia" w:ascii="仿宋" w:hAnsi="仿宋" w:eastAsia="仿宋"/>
          <w:color w:val="000000"/>
          <w:sz w:val="32"/>
          <w:szCs w:val="32"/>
        </w:rPr>
        <w:t>万元。</w:t>
      </w:r>
      <w:bookmarkStart w:id="54" w:name="OLE_LINK16"/>
      <w:r>
        <w:rPr>
          <w:rFonts w:hint="eastAsia" w:ascii="仿宋" w:hAnsi="仿宋" w:eastAsia="仿宋"/>
          <w:color w:val="000000"/>
          <w:sz w:val="32"/>
          <w:szCs w:val="32"/>
        </w:rPr>
        <w:t>与</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196.97</w:t>
      </w:r>
      <w:r>
        <w:rPr>
          <w:rFonts w:hint="eastAsia" w:ascii="仿宋" w:hAnsi="仿宋" w:eastAsia="仿宋"/>
          <w:color w:val="000000"/>
          <w:sz w:val="32"/>
          <w:szCs w:val="32"/>
        </w:rPr>
        <w:t>万元相比，财政拨款收、支总计各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123.07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上升</w:t>
      </w:r>
      <w:r>
        <w:rPr>
          <w:rFonts w:hint="eastAsia" w:ascii="仿宋" w:hAnsi="仿宋" w:eastAsia="仿宋"/>
          <w:color w:val="000000"/>
          <w:sz w:val="32"/>
          <w:szCs w:val="32"/>
          <w:lang w:val="en-US" w:eastAsia="zh-CN"/>
        </w:rPr>
        <w:t>62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项目增加。</w:t>
      </w:r>
    </w:p>
    <w:bookmarkEnd w:id="54"/>
    <w:p w14:paraId="5BA6427A">
      <w:pPr>
        <w:spacing w:line="600" w:lineRule="exact"/>
        <w:ind w:firstLine="640"/>
        <w:rPr>
          <w:rFonts w:hint="eastAsia" w:ascii="仿宋" w:hAnsi="仿宋" w:eastAsia="仿宋"/>
          <w:color w:val="000000"/>
          <w:sz w:val="32"/>
          <w:szCs w:val="32"/>
        </w:rPr>
      </w:pPr>
    </w:p>
    <w:p w14:paraId="22CD7B03">
      <w:pPr>
        <w:spacing w:line="600" w:lineRule="exact"/>
        <w:ind w:firstLine="640"/>
        <w:rPr>
          <w:rFonts w:hint="eastAsia" w:ascii="仿宋" w:hAnsi="仿宋" w:eastAsia="仿宋"/>
          <w:color w:val="000000"/>
          <w:sz w:val="32"/>
          <w:szCs w:val="32"/>
        </w:rPr>
      </w:pPr>
      <w:r>
        <w:drawing>
          <wp:anchor distT="0" distB="0" distL="114300" distR="114300" simplePos="0" relativeHeight="251659264" behindDoc="1" locked="0" layoutInCell="1" allowOverlap="1">
            <wp:simplePos x="0" y="0"/>
            <wp:positionH relativeFrom="column">
              <wp:posOffset>239395</wp:posOffset>
            </wp:positionH>
            <wp:positionV relativeFrom="paragraph">
              <wp:posOffset>-643255</wp:posOffset>
            </wp:positionV>
            <wp:extent cx="4735195" cy="2552065"/>
            <wp:effectExtent l="4445" t="4445" r="22860" b="15240"/>
            <wp:wrapTight wrapText="bothSides">
              <wp:wrapPolygon>
                <wp:start x="-20" y="-38"/>
                <wp:lineTo x="-20" y="21407"/>
                <wp:lineTo x="21530" y="21407"/>
                <wp:lineTo x="21530" y="-38"/>
                <wp:lineTo x="-20" y="-38"/>
              </wp:wrapPolygon>
            </wp:wrapTight>
            <wp:docPr id="1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8441DF7">
      <w:pPr>
        <w:spacing w:line="600" w:lineRule="exact"/>
        <w:ind w:firstLine="640"/>
        <w:rPr>
          <w:rFonts w:hint="eastAsia" w:ascii="仿宋" w:hAnsi="仿宋" w:eastAsia="仿宋"/>
          <w:color w:val="000000"/>
          <w:sz w:val="32"/>
          <w:szCs w:val="32"/>
        </w:rPr>
      </w:pPr>
    </w:p>
    <w:p w14:paraId="6E6FA054">
      <w:pPr>
        <w:spacing w:line="600" w:lineRule="exact"/>
        <w:ind w:firstLine="640"/>
        <w:rPr>
          <w:rFonts w:hint="eastAsia" w:ascii="仿宋" w:hAnsi="仿宋" w:eastAsia="仿宋"/>
          <w:color w:val="000000"/>
          <w:sz w:val="32"/>
          <w:szCs w:val="32"/>
        </w:rPr>
      </w:pPr>
    </w:p>
    <w:p w14:paraId="2802AFC9">
      <w:pPr>
        <w:spacing w:line="600" w:lineRule="exact"/>
        <w:ind w:firstLine="640"/>
        <w:rPr>
          <w:rFonts w:hint="eastAsia" w:ascii="仿宋" w:hAnsi="仿宋" w:eastAsia="仿宋"/>
          <w:color w:val="000000"/>
          <w:sz w:val="32"/>
          <w:szCs w:val="32"/>
        </w:rPr>
      </w:pPr>
    </w:p>
    <w:p w14:paraId="41BAECD9">
      <w:pPr>
        <w:spacing w:line="600" w:lineRule="exact"/>
        <w:ind w:firstLine="640"/>
        <w:rPr>
          <w:rFonts w:hint="eastAsia" w:ascii="仿宋" w:hAnsi="仿宋" w:eastAsia="仿宋"/>
          <w:color w:val="000000"/>
          <w:sz w:val="32"/>
          <w:szCs w:val="32"/>
        </w:rPr>
      </w:pPr>
    </w:p>
    <w:p w14:paraId="08626721">
      <w:pPr>
        <w:spacing w:line="600" w:lineRule="exact"/>
        <w:ind w:firstLine="640"/>
        <w:rPr>
          <w:rFonts w:ascii="仿宋" w:hAnsi="仿宋" w:eastAsia="仿宋"/>
          <w:b/>
          <w:color w:val="00B050"/>
          <w:sz w:val="32"/>
          <w:szCs w:val="32"/>
        </w:rPr>
      </w:pPr>
      <w:bookmarkStart w:id="55" w:name="OLE_LINK17"/>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bookmarkEnd w:id="55"/>
    <w:p w14:paraId="035A236E">
      <w:pPr>
        <w:spacing w:line="600" w:lineRule="exact"/>
        <w:ind w:firstLine="640" w:firstLineChars="200"/>
        <w:outlineLvl w:val="1"/>
        <w:rPr>
          <w:rStyle w:val="27"/>
          <w:rFonts w:ascii="黑体" w:hAnsi="黑体" w:eastAsia="黑体"/>
          <w:b w:val="0"/>
        </w:rPr>
      </w:pPr>
      <w:bookmarkStart w:id="56" w:name="_Toc15396607"/>
      <w:bookmarkStart w:id="57" w:name="_Toc15377209"/>
      <w:bookmarkStart w:id="58" w:name="_Toc79163864"/>
      <w:bookmarkStart w:id="59"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56"/>
      <w:bookmarkEnd w:id="57"/>
      <w:bookmarkEnd w:id="58"/>
      <w:bookmarkEnd w:id="59"/>
    </w:p>
    <w:p w14:paraId="22D5E971">
      <w:pPr>
        <w:spacing w:line="600" w:lineRule="exact"/>
        <w:ind w:firstLine="643" w:firstLineChars="200"/>
        <w:outlineLvl w:val="2"/>
        <w:rPr>
          <w:rFonts w:ascii="仿宋" w:hAnsi="仿宋" w:eastAsia="仿宋"/>
          <w:b/>
          <w:color w:val="000000"/>
          <w:sz w:val="32"/>
          <w:szCs w:val="32"/>
        </w:rPr>
      </w:pPr>
      <w:bookmarkStart w:id="60" w:name="_Toc79163865"/>
      <w:bookmarkStart w:id="61" w:name="_Toc15377210"/>
      <w:bookmarkStart w:id="62" w:name="_Toc79163615"/>
      <w:r>
        <w:rPr>
          <w:rFonts w:hint="eastAsia" w:ascii="仿宋" w:hAnsi="仿宋" w:eastAsia="仿宋"/>
          <w:b/>
          <w:color w:val="000000"/>
          <w:sz w:val="32"/>
          <w:szCs w:val="32"/>
        </w:rPr>
        <w:t>（一）一般公共预算财政拨款支出决算总体情况</w:t>
      </w:r>
      <w:bookmarkEnd w:id="60"/>
      <w:bookmarkEnd w:id="61"/>
      <w:bookmarkEnd w:id="62"/>
    </w:p>
    <w:p w14:paraId="4A767FA5">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308.11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96</w:t>
      </w:r>
      <w:r>
        <w:rPr>
          <w:rFonts w:ascii="仿宋" w:hAnsi="仿宋" w:eastAsia="仿宋"/>
          <w:color w:val="000000"/>
          <w:sz w:val="32"/>
          <w:szCs w:val="32"/>
        </w:rPr>
        <w:t>%</w:t>
      </w:r>
      <w:r>
        <w:rPr>
          <w:rFonts w:hint="eastAsia" w:ascii="仿宋" w:hAnsi="仿宋" w:eastAsia="仿宋"/>
          <w:color w:val="000000"/>
          <w:sz w:val="32"/>
          <w:szCs w:val="32"/>
        </w:rPr>
        <w:t>。</w:t>
      </w:r>
      <w:bookmarkStart w:id="63" w:name="OLE_LINK18"/>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188.97</w:t>
      </w:r>
      <w:r>
        <w:rPr>
          <w:rFonts w:hint="eastAsia" w:ascii="仿宋" w:hAnsi="仿宋" w:eastAsia="仿宋"/>
          <w:color w:val="000000"/>
          <w:sz w:val="32"/>
          <w:szCs w:val="32"/>
        </w:rPr>
        <w:t>万元相比，一般公共预算财政拨款</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119.14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上升</w:t>
      </w:r>
      <w:r>
        <w:rPr>
          <w:rFonts w:hint="eastAsia" w:ascii="仿宋" w:hAnsi="仿宋" w:eastAsia="仿宋"/>
          <w:color w:val="000000"/>
          <w:sz w:val="32"/>
          <w:szCs w:val="32"/>
          <w:lang w:val="en-US" w:eastAsia="zh-CN"/>
        </w:rPr>
        <w:t>38</w:t>
      </w:r>
      <w:r>
        <w:rPr>
          <w:rFonts w:ascii="仿宋" w:hAnsi="仿宋" w:eastAsia="仿宋"/>
          <w:color w:val="000000"/>
          <w:sz w:val="32"/>
          <w:szCs w:val="32"/>
        </w:rPr>
        <w:t>%</w:t>
      </w:r>
      <w:r>
        <w:rPr>
          <w:rFonts w:hint="eastAsia" w:ascii="仿宋" w:hAnsi="仿宋" w:eastAsia="仿宋"/>
          <w:color w:val="000000"/>
          <w:sz w:val="32"/>
          <w:szCs w:val="32"/>
        </w:rPr>
        <w:t>。主要变动原因是项目</w:t>
      </w:r>
      <w:r>
        <w:rPr>
          <w:rFonts w:hint="eastAsia" w:ascii="仿宋" w:hAnsi="仿宋" w:eastAsia="仿宋"/>
          <w:color w:val="000000"/>
          <w:sz w:val="32"/>
          <w:szCs w:val="32"/>
          <w:lang w:eastAsia="zh-CN"/>
        </w:rPr>
        <w:t>减少。</w:t>
      </w:r>
    </w:p>
    <w:bookmarkEnd w:id="63"/>
    <w:p w14:paraId="05482302">
      <w:pPr>
        <w:spacing w:line="600" w:lineRule="exact"/>
        <w:jc w:val="left"/>
        <w:rPr>
          <w:rFonts w:hint="eastAsia" w:ascii="仿宋" w:hAnsi="仿宋" w:eastAsia="仿宋"/>
          <w:color w:val="000000"/>
          <w:sz w:val="32"/>
          <w:szCs w:val="32"/>
        </w:rPr>
      </w:pPr>
      <w:r>
        <w:drawing>
          <wp:anchor distT="0" distB="0" distL="114300" distR="114300" simplePos="0" relativeHeight="251660288" behindDoc="1" locked="0" layoutInCell="1" allowOverlap="1">
            <wp:simplePos x="0" y="0"/>
            <wp:positionH relativeFrom="column">
              <wp:posOffset>585470</wp:posOffset>
            </wp:positionH>
            <wp:positionV relativeFrom="paragraph">
              <wp:posOffset>4445</wp:posOffset>
            </wp:positionV>
            <wp:extent cx="4010660" cy="1915160"/>
            <wp:effectExtent l="4445" t="4445" r="23495" b="23495"/>
            <wp:wrapTight wrapText="bothSides">
              <wp:wrapPolygon>
                <wp:start x="-24" y="-50"/>
                <wp:lineTo x="-24" y="21435"/>
                <wp:lineTo x="21521" y="21435"/>
                <wp:lineTo x="21521" y="-50"/>
                <wp:lineTo x="-24" y="-50"/>
              </wp:wrapPolygon>
            </wp:wrapTight>
            <wp:docPr id="1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91CCDAE">
      <w:pPr>
        <w:spacing w:line="600" w:lineRule="exact"/>
        <w:jc w:val="left"/>
        <w:rPr>
          <w:rFonts w:hint="eastAsia" w:ascii="仿宋" w:hAnsi="仿宋" w:eastAsia="仿宋"/>
          <w:color w:val="000000"/>
          <w:sz w:val="32"/>
          <w:szCs w:val="32"/>
        </w:rPr>
      </w:pPr>
    </w:p>
    <w:p w14:paraId="2AD3BAE9">
      <w:pPr>
        <w:spacing w:line="600" w:lineRule="exact"/>
        <w:jc w:val="left"/>
        <w:rPr>
          <w:rFonts w:hint="eastAsia" w:ascii="仿宋" w:hAnsi="仿宋" w:eastAsia="仿宋"/>
          <w:color w:val="000000"/>
          <w:sz w:val="32"/>
          <w:szCs w:val="32"/>
        </w:rPr>
      </w:pPr>
    </w:p>
    <w:p w14:paraId="7AB50DF1">
      <w:pPr>
        <w:spacing w:line="600" w:lineRule="exact"/>
        <w:jc w:val="left"/>
        <w:rPr>
          <w:rFonts w:hint="eastAsia" w:ascii="仿宋" w:hAnsi="仿宋" w:eastAsia="仿宋"/>
          <w:color w:val="000000"/>
          <w:sz w:val="32"/>
          <w:szCs w:val="32"/>
        </w:rPr>
      </w:pPr>
    </w:p>
    <w:p w14:paraId="78E8C1BB">
      <w:pPr>
        <w:spacing w:line="600" w:lineRule="exact"/>
        <w:jc w:val="left"/>
        <w:rPr>
          <w:rFonts w:hint="eastAsia" w:ascii="仿宋" w:hAnsi="仿宋" w:eastAsia="仿宋"/>
          <w:color w:val="000000"/>
          <w:sz w:val="32"/>
          <w:szCs w:val="32"/>
        </w:rPr>
      </w:pPr>
    </w:p>
    <w:p w14:paraId="2909B466">
      <w:pPr>
        <w:spacing w:line="600" w:lineRule="exact"/>
        <w:jc w:val="left"/>
        <w:rPr>
          <w:rFonts w:ascii="仿宋" w:hAnsi="仿宋" w:eastAsia="仿宋"/>
          <w:color w:val="000000"/>
          <w:sz w:val="32"/>
          <w:szCs w:val="32"/>
        </w:rPr>
      </w:pPr>
      <w:bookmarkStart w:id="64" w:name="OLE_LINK19"/>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bookmarkEnd w:id="64"/>
    <w:p w14:paraId="2797A50B">
      <w:pPr>
        <w:spacing w:line="600" w:lineRule="exact"/>
        <w:ind w:firstLine="643" w:firstLineChars="200"/>
        <w:rPr>
          <w:rFonts w:ascii="仿宋" w:hAnsi="仿宋" w:eastAsia="仿宋"/>
          <w:b/>
          <w:color w:val="000000"/>
          <w:sz w:val="32"/>
          <w:szCs w:val="32"/>
        </w:rPr>
      </w:pPr>
      <w:bookmarkStart w:id="65" w:name="_Toc15377211"/>
      <w:bookmarkStart w:id="66" w:name="_Toc79163616"/>
      <w:bookmarkStart w:id="67" w:name="_Toc79163866"/>
      <w:r>
        <w:rPr>
          <w:rFonts w:hint="eastAsia" w:ascii="仿宋" w:hAnsi="仿宋" w:eastAsia="仿宋"/>
          <w:b/>
          <w:color w:val="000000"/>
          <w:sz w:val="32"/>
          <w:szCs w:val="32"/>
        </w:rPr>
        <w:t>（二）一般公共预算财政拨款支出决算结构情况</w:t>
      </w:r>
      <w:bookmarkEnd w:id="65"/>
      <w:bookmarkEnd w:id="66"/>
      <w:bookmarkEnd w:id="67"/>
    </w:p>
    <w:p w14:paraId="4A873236">
      <w:pPr>
        <w:spacing w:line="600" w:lineRule="exact"/>
        <w:ind w:firstLine="640" w:firstLineChars="200"/>
        <w:rPr>
          <w:rFonts w:ascii="仿宋" w:hAnsi="仿宋" w:eastAsia="仿宋"/>
          <w:color w:val="000000"/>
          <w:sz w:val="32"/>
          <w:szCs w:val="32"/>
        </w:rPr>
      </w:pPr>
      <w:r>
        <w:rPr>
          <w:rFonts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308.11</w:t>
      </w:r>
      <w:r>
        <w:rPr>
          <w:rFonts w:hint="eastAsia" w:ascii="仿宋" w:hAnsi="仿宋" w:eastAsia="仿宋"/>
          <w:color w:val="auto"/>
          <w:sz w:val="32"/>
          <w:szCs w:val="32"/>
        </w:rPr>
        <w:t>万元</w:t>
      </w:r>
      <w:r>
        <w:rPr>
          <w:rFonts w:hint="eastAsia" w:ascii="仿宋" w:hAnsi="仿宋" w:eastAsia="仿宋"/>
          <w:color w:val="000000"/>
          <w:sz w:val="32"/>
          <w:szCs w:val="32"/>
        </w:rPr>
        <w:t>，主要用于以下方面</w:t>
      </w:r>
      <w:r>
        <w:rPr>
          <w:rFonts w:hint="eastAsia" w:ascii="仿宋" w:hAnsi="仿宋" w:eastAsia="仿宋"/>
          <w:color w:val="000000"/>
          <w:sz w:val="32"/>
          <w:szCs w:val="32"/>
          <w:lang w:eastAsia="zh-CN"/>
        </w:rPr>
        <w:t>：</w:t>
      </w:r>
      <w:bookmarkStart w:id="68" w:name="OLE_LINK4"/>
      <w:r>
        <w:rPr>
          <w:rFonts w:hint="eastAsia" w:ascii="仿宋" w:hAnsi="仿宋" w:eastAsia="仿宋"/>
          <w:b/>
          <w:color w:val="000000" w:themeColor="text1"/>
          <w:sz w:val="32"/>
          <w:szCs w:val="32"/>
        </w:rPr>
        <w:t>社会保障和就业</w:t>
      </w:r>
      <w:bookmarkEnd w:id="68"/>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208</w:t>
      </w:r>
      <w:r>
        <w:rPr>
          <w:rFonts w:hint="eastAsia" w:ascii="仿宋" w:hAnsi="仿宋" w:eastAsia="仿宋"/>
          <w:b/>
          <w:color w:val="000000" w:themeColor="text1"/>
          <w:sz w:val="32"/>
          <w:szCs w:val="32"/>
        </w:rPr>
        <w:t>）</w:t>
      </w:r>
      <w:r>
        <w:rPr>
          <w:rFonts w:hint="eastAsia" w:ascii="仿宋" w:hAnsi="仿宋" w:eastAsia="仿宋"/>
          <w:b/>
          <w:bCs/>
          <w:color w:val="000000" w:themeColor="text1"/>
          <w:sz w:val="32"/>
          <w:szCs w:val="32"/>
        </w:rPr>
        <w:t>支出</w:t>
      </w:r>
      <w:r>
        <w:rPr>
          <w:rFonts w:hint="eastAsia" w:ascii="仿宋" w:hAnsi="仿宋" w:eastAsia="仿宋"/>
          <w:color w:val="000000" w:themeColor="text1"/>
          <w:sz w:val="32"/>
          <w:szCs w:val="32"/>
          <w:lang w:val="en-US" w:eastAsia="zh-CN"/>
        </w:rPr>
        <w:t>296.47</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75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bookmarkStart w:id="69" w:name="OLE_LINK5"/>
      <w:r>
        <w:rPr>
          <w:rFonts w:hint="eastAsia" w:ascii="仿宋" w:hAnsi="仿宋" w:eastAsia="仿宋"/>
          <w:b/>
          <w:bCs/>
          <w:color w:val="000000" w:themeColor="text1"/>
          <w:sz w:val="32"/>
          <w:szCs w:val="32"/>
        </w:rPr>
        <w:t>卫生健康支出</w:t>
      </w:r>
      <w:bookmarkEnd w:id="69"/>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210</w:t>
      </w:r>
      <w:r>
        <w:rPr>
          <w:rFonts w:hint="eastAsia" w:ascii="仿宋" w:hAnsi="仿宋" w:eastAsia="仿宋"/>
          <w:b/>
          <w:color w:val="000000" w:themeColor="text1"/>
          <w:sz w:val="32"/>
          <w:szCs w:val="32"/>
        </w:rPr>
        <w:t>）</w:t>
      </w:r>
      <w:r>
        <w:rPr>
          <w:rFonts w:hint="eastAsia" w:ascii="仿宋" w:hAnsi="仿宋" w:eastAsia="仿宋"/>
          <w:color w:val="000000" w:themeColor="text1"/>
          <w:sz w:val="32"/>
          <w:szCs w:val="32"/>
          <w:lang w:val="en-US" w:eastAsia="zh-CN"/>
        </w:rPr>
        <w:t>4.9</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bookmarkStart w:id="70" w:name="OLE_LINK6"/>
      <w:r>
        <w:rPr>
          <w:rFonts w:hint="eastAsia" w:ascii="仿宋" w:hAnsi="仿宋" w:eastAsia="仿宋"/>
          <w:b/>
          <w:bCs/>
          <w:color w:val="000000" w:themeColor="text1"/>
          <w:sz w:val="32"/>
          <w:szCs w:val="32"/>
        </w:rPr>
        <w:t>住房保障支出</w:t>
      </w:r>
      <w:bookmarkEnd w:id="70"/>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221</w:t>
      </w:r>
      <w:r>
        <w:rPr>
          <w:rFonts w:hint="eastAsia" w:ascii="仿宋" w:hAnsi="仿宋" w:eastAsia="仿宋"/>
          <w:b/>
          <w:color w:val="000000" w:themeColor="text1"/>
          <w:sz w:val="32"/>
          <w:szCs w:val="32"/>
        </w:rPr>
        <w:t>）</w:t>
      </w:r>
      <w:r>
        <w:rPr>
          <w:rFonts w:hint="eastAsia" w:ascii="仿宋" w:hAnsi="仿宋" w:eastAsia="仿宋"/>
          <w:color w:val="000000" w:themeColor="text1"/>
          <w:sz w:val="32"/>
          <w:szCs w:val="32"/>
          <w:lang w:val="en-US" w:eastAsia="zh-CN"/>
        </w:rPr>
        <w:t>6.73</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14:paraId="18EC07F3">
      <w:pPr>
        <w:spacing w:line="600" w:lineRule="exact"/>
        <w:jc w:val="left"/>
        <w:rPr>
          <w:rFonts w:hint="eastAsia" w:ascii="仿宋" w:hAnsi="仿宋" w:eastAsia="仿宋"/>
          <w:color w:val="000000"/>
          <w:sz w:val="32"/>
          <w:szCs w:val="32"/>
        </w:rPr>
      </w:pPr>
      <w:r>
        <w:drawing>
          <wp:anchor distT="0" distB="0" distL="114300" distR="114300" simplePos="0" relativeHeight="251661312" behindDoc="1" locked="0" layoutInCell="1" allowOverlap="1">
            <wp:simplePos x="0" y="0"/>
            <wp:positionH relativeFrom="column">
              <wp:posOffset>194945</wp:posOffset>
            </wp:positionH>
            <wp:positionV relativeFrom="paragraph">
              <wp:posOffset>42545</wp:posOffset>
            </wp:positionV>
            <wp:extent cx="4791710" cy="2010410"/>
            <wp:effectExtent l="5080" t="4445" r="22860" b="23495"/>
            <wp:wrapTight wrapText="bothSides">
              <wp:wrapPolygon>
                <wp:start x="-23" y="-48"/>
                <wp:lineTo x="-23" y="21443"/>
                <wp:lineTo x="21531" y="21443"/>
                <wp:lineTo x="21531" y="-48"/>
                <wp:lineTo x="-23" y="-48"/>
              </wp:wrapPolygon>
            </wp:wrapTight>
            <wp:docPr id="1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6DF2022">
      <w:pPr>
        <w:spacing w:line="600" w:lineRule="exact"/>
        <w:jc w:val="left"/>
        <w:rPr>
          <w:rFonts w:hint="eastAsia" w:ascii="仿宋" w:hAnsi="仿宋" w:eastAsia="仿宋"/>
          <w:color w:val="000000"/>
          <w:sz w:val="32"/>
          <w:szCs w:val="32"/>
        </w:rPr>
      </w:pPr>
    </w:p>
    <w:p w14:paraId="177F8133">
      <w:pPr>
        <w:spacing w:line="600" w:lineRule="exact"/>
        <w:jc w:val="left"/>
        <w:rPr>
          <w:rFonts w:hint="eastAsia" w:ascii="仿宋" w:hAnsi="仿宋" w:eastAsia="仿宋"/>
          <w:color w:val="000000"/>
          <w:sz w:val="32"/>
          <w:szCs w:val="32"/>
        </w:rPr>
      </w:pPr>
    </w:p>
    <w:p w14:paraId="06F5278B">
      <w:pPr>
        <w:spacing w:line="600" w:lineRule="exact"/>
        <w:jc w:val="left"/>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bookmarkStart w:id="71" w:name="_Toc79163617"/>
      <w:bookmarkStart w:id="72" w:name="_Toc15377212"/>
      <w:bookmarkStart w:id="73" w:name="_Toc79163867"/>
    </w:p>
    <w:p w14:paraId="0405070C">
      <w:pPr>
        <w:spacing w:line="600" w:lineRule="exact"/>
        <w:jc w:val="left"/>
        <w:rPr>
          <w:rFonts w:ascii="仿宋_GB2312" w:eastAsia="仿宋_GB2312"/>
          <w:b/>
          <w:bCs/>
          <w:color w:val="auto"/>
          <w:sz w:val="32"/>
          <w:szCs w:val="32"/>
        </w:rPr>
      </w:pPr>
      <w:r>
        <w:rPr>
          <w:rFonts w:hint="eastAsia" w:ascii="仿宋_GB2312" w:eastAsia="仿宋_GB2312"/>
          <w:b/>
          <w:bCs/>
          <w:color w:val="auto"/>
          <w:sz w:val="32"/>
          <w:szCs w:val="32"/>
          <w:lang w:val="en-US" w:eastAsia="zh-CN"/>
        </w:rPr>
        <w:t>（</w:t>
      </w:r>
      <w:r>
        <w:rPr>
          <w:rFonts w:hint="eastAsia" w:ascii="仿宋_GB2312" w:eastAsia="仿宋_GB2312"/>
          <w:b/>
          <w:bCs/>
          <w:color w:val="auto"/>
          <w:sz w:val="32"/>
          <w:szCs w:val="32"/>
        </w:rPr>
        <w:t>三）一般公共预算财政拨款支出决算具体情况</w:t>
      </w:r>
      <w:bookmarkEnd w:id="71"/>
      <w:bookmarkEnd w:id="72"/>
      <w:bookmarkEnd w:id="73"/>
    </w:p>
    <w:p w14:paraId="12FA55BA">
      <w:pPr>
        <w:spacing w:line="600" w:lineRule="exact"/>
        <w:ind w:firstLine="643" w:firstLineChars="200"/>
        <w:rPr>
          <w:rFonts w:ascii="仿宋_GB2312" w:eastAsia="仿宋_GB2312"/>
          <w:b/>
          <w:bCs/>
          <w:sz w:val="32"/>
          <w:szCs w:val="32"/>
        </w:rPr>
      </w:pPr>
      <w:bookmarkStart w:id="74" w:name="_Toc15378460"/>
      <w:bookmarkStart w:id="75" w:name="_Toc15377213"/>
      <w:bookmarkStart w:id="76" w:name="_Toc15377444"/>
      <w:r>
        <w:rPr>
          <w:rFonts w:ascii="仿宋_GB2312" w:eastAsia="仿宋_GB2312"/>
          <w:b/>
          <w:bCs/>
          <w:sz w:val="32"/>
          <w:szCs w:val="32"/>
        </w:rPr>
        <w:t>202</w:t>
      </w:r>
      <w:r>
        <w:rPr>
          <w:rFonts w:hint="eastAsia" w:ascii="仿宋_GB2312" w:eastAsia="仿宋_GB2312"/>
          <w:b/>
          <w:bCs/>
          <w:sz w:val="32"/>
          <w:szCs w:val="32"/>
          <w:lang w:val="en-US" w:eastAsia="zh-CN"/>
        </w:rPr>
        <w:t>3</w:t>
      </w:r>
      <w:r>
        <w:rPr>
          <w:rFonts w:hint="eastAsia" w:ascii="仿宋_GB2312" w:eastAsia="仿宋_GB2312"/>
          <w:b/>
          <w:bCs/>
          <w:sz w:val="32"/>
          <w:szCs w:val="32"/>
        </w:rPr>
        <w:t>年一般公共预算支出决算数为</w:t>
      </w:r>
      <w:r>
        <w:rPr>
          <w:rFonts w:hint="eastAsia" w:ascii="仿宋" w:hAnsi="仿宋" w:eastAsia="仿宋"/>
          <w:color w:val="000000"/>
          <w:sz w:val="32"/>
          <w:szCs w:val="32"/>
          <w:lang w:val="en-US" w:eastAsia="zh-CN"/>
        </w:rPr>
        <w:t>308.11万元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74"/>
      <w:bookmarkEnd w:id="75"/>
      <w:bookmarkEnd w:id="76"/>
    </w:p>
    <w:p w14:paraId="261BE5C6">
      <w:pPr>
        <w:spacing w:line="600" w:lineRule="exact"/>
        <w:ind w:firstLine="643" w:firstLineChars="200"/>
        <w:rPr>
          <w:rFonts w:ascii="仿宋" w:hAnsi="仿宋" w:eastAsia="仿宋"/>
          <w:sz w:val="32"/>
          <w:szCs w:val="32"/>
        </w:rPr>
      </w:pPr>
      <w:r>
        <w:rPr>
          <w:rStyle w:val="24"/>
          <w:rFonts w:hint="eastAsia" w:ascii="仿宋" w:hAnsi="仿宋" w:eastAsia="仿宋"/>
          <w:bCs/>
          <w:color w:val="000000"/>
          <w:sz w:val="32"/>
          <w:szCs w:val="32"/>
          <w:lang w:val="en-US" w:eastAsia="zh-CN"/>
        </w:rPr>
        <w:t>1.</w:t>
      </w:r>
      <w:r>
        <w:rPr>
          <w:rStyle w:val="24"/>
          <w:rFonts w:hint="eastAsia" w:ascii="仿宋" w:hAnsi="仿宋" w:eastAsia="仿宋"/>
          <w:bCs/>
          <w:color w:val="000000"/>
          <w:sz w:val="32"/>
          <w:szCs w:val="32"/>
        </w:rPr>
        <w:t>社会保障和就业</w:t>
      </w:r>
      <w:r>
        <w:rPr>
          <w:rStyle w:val="24"/>
          <w:rFonts w:hint="eastAsia" w:ascii="仿宋" w:hAnsi="仿宋" w:eastAsia="仿宋"/>
          <w:bCs/>
          <w:color w:val="000000"/>
          <w:sz w:val="32"/>
          <w:szCs w:val="32"/>
          <w:lang w:eastAsia="zh-CN"/>
        </w:rPr>
        <w:t>：</w:t>
      </w:r>
      <w:r>
        <w:rPr>
          <w:rFonts w:ascii="仿宋" w:hAnsi="仿宋" w:eastAsia="仿宋" w:cs="仿宋"/>
          <w:sz w:val="32"/>
          <w:szCs w:val="32"/>
        </w:rPr>
        <w:t>2080505</w:t>
      </w:r>
      <w:r>
        <w:rPr>
          <w:rFonts w:hint="eastAsia" w:ascii="仿宋" w:hAnsi="仿宋" w:eastAsia="仿宋" w:cs="仿宋"/>
          <w:sz w:val="32"/>
          <w:szCs w:val="32"/>
        </w:rPr>
        <w:t>机关事业单位基本养老保险缴费支出决算数为</w:t>
      </w:r>
      <w:r>
        <w:rPr>
          <w:rFonts w:hint="eastAsia" w:ascii="仿宋" w:hAnsi="仿宋" w:eastAsia="仿宋" w:cs="仿宋"/>
          <w:sz w:val="32"/>
          <w:szCs w:val="32"/>
          <w:lang w:val="en-US" w:eastAsia="zh-CN"/>
        </w:rPr>
        <w:t>8.77</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完成预算</w:t>
      </w:r>
      <w:r>
        <w:rPr>
          <w:rFonts w:ascii="仿宋" w:hAnsi="仿宋" w:eastAsia="仿宋" w:cs="仿宋"/>
          <w:sz w:val="32"/>
          <w:szCs w:val="32"/>
        </w:rPr>
        <w:t>100%</w:t>
      </w:r>
      <w:r>
        <w:rPr>
          <w:rStyle w:val="24"/>
          <w:rFonts w:hint="eastAsia" w:ascii="仿宋" w:hAnsi="仿宋" w:eastAsia="仿宋"/>
          <w:b w:val="0"/>
          <w:bCs/>
          <w:color w:val="000000"/>
          <w:sz w:val="32"/>
          <w:szCs w:val="32"/>
        </w:rPr>
        <w:t>。</w:t>
      </w:r>
      <w:r>
        <w:rPr>
          <w:rFonts w:ascii="仿宋" w:hAnsi="仿宋" w:eastAsia="仿宋" w:cs="仿宋"/>
          <w:sz w:val="32"/>
          <w:szCs w:val="32"/>
        </w:rPr>
        <w:t>208</w:t>
      </w:r>
      <w:r>
        <w:rPr>
          <w:rFonts w:hint="eastAsia" w:ascii="仿宋" w:hAnsi="仿宋" w:eastAsia="仿宋" w:cs="仿宋"/>
          <w:sz w:val="32"/>
          <w:szCs w:val="32"/>
          <w:lang w:val="en-US" w:eastAsia="zh-CN"/>
        </w:rPr>
        <w:t>0506</w:t>
      </w:r>
      <w:r>
        <w:rPr>
          <w:rFonts w:hint="eastAsia" w:ascii="仿宋" w:hAnsi="仿宋" w:eastAsia="仿宋" w:cs="仿宋"/>
          <w:sz w:val="32"/>
          <w:szCs w:val="32"/>
        </w:rPr>
        <w:t>机关事业单位</w:t>
      </w:r>
      <w:r>
        <w:rPr>
          <w:rFonts w:hint="eastAsia" w:ascii="仿宋" w:hAnsi="仿宋" w:eastAsia="仿宋" w:cs="仿宋"/>
          <w:sz w:val="32"/>
          <w:szCs w:val="32"/>
          <w:lang w:eastAsia="zh-CN"/>
        </w:rPr>
        <w:t>职业年金缴费</w:t>
      </w:r>
      <w:r>
        <w:rPr>
          <w:rFonts w:hint="eastAsia" w:ascii="仿宋" w:hAnsi="仿宋" w:eastAsia="仿宋" w:cs="仿宋"/>
          <w:sz w:val="32"/>
          <w:szCs w:val="32"/>
        </w:rPr>
        <w:t>支出决算数为</w:t>
      </w:r>
      <w:r>
        <w:rPr>
          <w:rFonts w:hint="eastAsia" w:ascii="仿宋" w:hAnsi="仿宋" w:eastAsia="仿宋" w:cs="仿宋"/>
          <w:sz w:val="32"/>
          <w:szCs w:val="32"/>
          <w:lang w:val="en-US" w:eastAsia="zh-CN"/>
        </w:rPr>
        <w:t>4.39</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r>
        <w:rPr>
          <w:rFonts w:ascii="仿宋" w:hAnsi="仿宋" w:eastAsia="仿宋" w:cs="仿宋"/>
          <w:sz w:val="32"/>
          <w:szCs w:val="32"/>
        </w:rPr>
        <w:t>208110</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行政运行</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68.9</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Fonts w:ascii="仿宋" w:hAnsi="仿宋" w:eastAsia="仿宋" w:cs="仿宋"/>
          <w:sz w:val="32"/>
          <w:szCs w:val="32"/>
        </w:rPr>
        <w:t>20811</w:t>
      </w:r>
      <w:r>
        <w:rPr>
          <w:rFonts w:hint="eastAsia" w:ascii="仿宋" w:hAnsi="仿宋" w:eastAsia="仿宋" w:cs="仿宋"/>
          <w:sz w:val="32"/>
          <w:szCs w:val="32"/>
          <w:lang w:val="en-US" w:eastAsia="zh-CN"/>
        </w:rPr>
        <w:t>04</w:t>
      </w:r>
      <w:r>
        <w:rPr>
          <w:rFonts w:hint="eastAsia" w:ascii="仿宋" w:hAnsi="仿宋" w:eastAsia="仿宋" w:cs="仿宋"/>
          <w:sz w:val="32"/>
          <w:szCs w:val="32"/>
          <w:lang w:eastAsia="zh-CN"/>
        </w:rPr>
        <w:t>残疾人康复</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4</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r>
        <w:rPr>
          <w:rFonts w:ascii="仿宋" w:hAnsi="仿宋" w:eastAsia="仿宋" w:cs="仿宋"/>
          <w:sz w:val="32"/>
          <w:szCs w:val="32"/>
        </w:rPr>
        <w:t>20811</w:t>
      </w:r>
      <w:r>
        <w:rPr>
          <w:rFonts w:hint="eastAsia" w:ascii="仿宋" w:hAnsi="仿宋" w:eastAsia="仿宋" w:cs="仿宋"/>
          <w:sz w:val="32"/>
          <w:szCs w:val="32"/>
          <w:lang w:val="en-US" w:eastAsia="zh-CN"/>
        </w:rPr>
        <w:t>05</w:t>
      </w:r>
      <w:r>
        <w:rPr>
          <w:rFonts w:hint="eastAsia" w:ascii="仿宋" w:hAnsi="仿宋" w:eastAsia="仿宋" w:cs="仿宋"/>
          <w:sz w:val="32"/>
          <w:szCs w:val="32"/>
          <w:lang w:eastAsia="zh-CN"/>
        </w:rPr>
        <w:t>残疾人就业</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33.22</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r>
        <w:rPr>
          <w:rFonts w:ascii="仿宋" w:hAnsi="仿宋" w:eastAsia="仿宋" w:cs="仿宋"/>
          <w:sz w:val="32"/>
          <w:szCs w:val="32"/>
        </w:rPr>
        <w:t>20811</w:t>
      </w:r>
      <w:r>
        <w:rPr>
          <w:rFonts w:hint="eastAsia" w:ascii="仿宋" w:hAnsi="仿宋" w:eastAsia="仿宋" w:cs="仿宋"/>
          <w:sz w:val="32"/>
          <w:szCs w:val="32"/>
          <w:lang w:val="en-US" w:eastAsia="zh-CN"/>
        </w:rPr>
        <w:t>06</w:t>
      </w:r>
      <w:r>
        <w:rPr>
          <w:rFonts w:hint="eastAsia" w:ascii="仿宋" w:hAnsi="仿宋" w:eastAsia="仿宋" w:cs="仿宋"/>
          <w:sz w:val="32"/>
          <w:szCs w:val="32"/>
        </w:rPr>
        <w:t>残疾人</w:t>
      </w:r>
      <w:r>
        <w:rPr>
          <w:rFonts w:hint="eastAsia" w:ascii="仿宋" w:hAnsi="仿宋" w:eastAsia="仿宋" w:cs="仿宋"/>
          <w:sz w:val="32"/>
          <w:szCs w:val="32"/>
          <w:lang w:eastAsia="zh-CN"/>
        </w:rPr>
        <w:t>体育</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2.1</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bookmarkStart w:id="77" w:name="OLE_LINK8"/>
      <w:r>
        <w:rPr>
          <w:rStyle w:val="24"/>
          <w:rFonts w:hint="eastAsia" w:ascii="仿宋" w:hAnsi="仿宋" w:eastAsia="仿宋"/>
          <w:b w:val="0"/>
          <w:bCs/>
          <w:color w:val="000000"/>
          <w:sz w:val="32"/>
          <w:szCs w:val="32"/>
        </w:rPr>
        <w:t>决算数等于预算数</w:t>
      </w:r>
      <w:bookmarkEnd w:id="77"/>
      <w:bookmarkStart w:id="78" w:name="OLE_LINK7"/>
      <w:r>
        <w:rPr>
          <w:rStyle w:val="24"/>
          <w:rFonts w:hint="eastAsia" w:ascii="仿宋" w:hAnsi="仿宋" w:eastAsia="仿宋"/>
          <w:b w:val="0"/>
          <w:bCs/>
          <w:color w:val="000000"/>
          <w:sz w:val="32"/>
          <w:szCs w:val="32"/>
          <w:lang w:eastAsia="zh-CN"/>
        </w:rPr>
        <w:t>。</w:t>
      </w:r>
      <w:r>
        <w:rPr>
          <w:rFonts w:ascii="仿宋" w:hAnsi="仿宋" w:eastAsia="仿宋" w:cs="仿宋"/>
          <w:sz w:val="32"/>
          <w:szCs w:val="32"/>
        </w:rPr>
        <w:t>2081199</w:t>
      </w:r>
      <w:r>
        <w:rPr>
          <w:rFonts w:hint="eastAsia" w:ascii="仿宋" w:hAnsi="仿宋" w:eastAsia="仿宋" w:cs="仿宋"/>
          <w:sz w:val="32"/>
          <w:szCs w:val="32"/>
        </w:rPr>
        <w:t>其他残疾人事业支出决算数</w:t>
      </w:r>
      <w:r>
        <w:rPr>
          <w:rFonts w:hint="eastAsia" w:ascii="仿宋" w:hAnsi="仿宋" w:eastAsia="仿宋" w:cs="仿宋"/>
          <w:sz w:val="32"/>
          <w:szCs w:val="32"/>
          <w:lang w:val="en-US" w:eastAsia="zh-CN"/>
        </w:rPr>
        <w:t>175.09</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bookmarkEnd w:id="78"/>
      <w:r>
        <w:rPr>
          <w:rStyle w:val="24"/>
          <w:rFonts w:hint="eastAsia" w:ascii="仿宋" w:hAnsi="仿宋" w:eastAsia="仿宋"/>
          <w:b w:val="0"/>
          <w:bCs/>
          <w:color w:val="000000"/>
          <w:sz w:val="32"/>
          <w:szCs w:val="32"/>
          <w:lang w:eastAsia="zh-CN"/>
        </w:rPr>
        <w:t>。</w:t>
      </w:r>
    </w:p>
    <w:p w14:paraId="3EBB7F54">
      <w:pPr>
        <w:spacing w:line="576" w:lineRule="exact"/>
        <w:ind w:firstLine="643" w:firstLineChars="200"/>
        <w:rPr>
          <w:rStyle w:val="24"/>
          <w:rFonts w:hint="eastAsia" w:ascii="仿宋" w:hAnsi="仿宋" w:eastAsia="仿宋"/>
          <w:b w:val="0"/>
          <w:bCs/>
          <w:color w:val="000000"/>
          <w:sz w:val="32"/>
          <w:szCs w:val="32"/>
        </w:rPr>
      </w:pPr>
      <w:r>
        <w:rPr>
          <w:rStyle w:val="24"/>
          <w:rFonts w:hint="eastAsia" w:ascii="仿宋" w:hAnsi="仿宋" w:eastAsia="仿宋"/>
          <w:bCs/>
          <w:color w:val="000000"/>
          <w:sz w:val="32"/>
          <w:szCs w:val="32"/>
          <w:lang w:val="en-US" w:eastAsia="zh-CN"/>
        </w:rPr>
        <w:t>2</w:t>
      </w:r>
      <w:r>
        <w:rPr>
          <w:rStyle w:val="2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支出：</w:t>
      </w:r>
      <w:r>
        <w:rPr>
          <w:rFonts w:ascii="仿宋" w:hAnsi="仿宋" w:eastAsia="仿宋" w:cs="仿宋"/>
          <w:sz w:val="32"/>
          <w:szCs w:val="32"/>
        </w:rPr>
        <w:t>2101101</w:t>
      </w:r>
      <w:r>
        <w:rPr>
          <w:rFonts w:hint="eastAsia" w:ascii="仿宋" w:hAnsi="仿宋" w:eastAsia="仿宋" w:cs="仿宋"/>
          <w:sz w:val="32"/>
          <w:szCs w:val="32"/>
        </w:rPr>
        <w:t>行政单位医疗</w:t>
      </w:r>
      <w:r>
        <w:rPr>
          <w:rFonts w:hint="eastAsia" w:ascii="仿宋" w:hAnsi="仿宋" w:eastAsia="仿宋" w:cs="仿宋"/>
          <w:sz w:val="32"/>
          <w:szCs w:val="32"/>
          <w:lang w:eastAsia="zh-CN"/>
        </w:rPr>
        <w:t>支出</w:t>
      </w:r>
      <w:r>
        <w:rPr>
          <w:rFonts w:hint="eastAsia" w:ascii="仿宋" w:hAnsi="仿宋" w:eastAsia="仿宋" w:cs="仿宋"/>
          <w:sz w:val="32"/>
          <w:szCs w:val="32"/>
        </w:rPr>
        <w:t>决算数为</w:t>
      </w:r>
      <w:r>
        <w:rPr>
          <w:rFonts w:hint="eastAsia" w:ascii="仿宋" w:hAnsi="仿宋" w:eastAsia="仿宋" w:cs="仿宋"/>
          <w:sz w:val="32"/>
          <w:szCs w:val="32"/>
          <w:lang w:val="en-US" w:eastAsia="zh-CN"/>
        </w:rPr>
        <w:t>4.04</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Fonts w:ascii="仿宋" w:hAnsi="仿宋" w:eastAsia="仿宋" w:cs="仿宋"/>
          <w:sz w:val="32"/>
          <w:szCs w:val="32"/>
        </w:rPr>
        <w:t>210110</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公务员</w:t>
      </w:r>
      <w:r>
        <w:rPr>
          <w:rFonts w:hint="eastAsia" w:ascii="仿宋" w:hAnsi="仿宋" w:eastAsia="仿宋" w:cs="仿宋"/>
          <w:sz w:val="32"/>
          <w:szCs w:val="32"/>
        </w:rPr>
        <w:t>医疗</w:t>
      </w:r>
      <w:r>
        <w:rPr>
          <w:rFonts w:hint="eastAsia" w:ascii="仿宋" w:hAnsi="仿宋" w:eastAsia="仿宋" w:cs="仿宋"/>
          <w:sz w:val="32"/>
          <w:szCs w:val="32"/>
          <w:lang w:eastAsia="zh-CN"/>
        </w:rPr>
        <w:t>补助支出</w:t>
      </w:r>
      <w:r>
        <w:rPr>
          <w:rFonts w:hint="eastAsia" w:ascii="仿宋" w:hAnsi="仿宋" w:eastAsia="仿宋" w:cs="仿宋"/>
          <w:sz w:val="32"/>
          <w:szCs w:val="32"/>
        </w:rPr>
        <w:t>决算数为</w:t>
      </w:r>
      <w:r>
        <w:rPr>
          <w:rFonts w:hint="eastAsia" w:ascii="仿宋" w:hAnsi="仿宋" w:eastAsia="仿宋" w:cs="仿宋"/>
          <w:sz w:val="32"/>
          <w:szCs w:val="32"/>
          <w:lang w:val="en-US" w:eastAsia="zh-CN"/>
        </w:rPr>
        <w:t>0.87</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p>
    <w:p w14:paraId="3FCE76F2">
      <w:pPr>
        <w:spacing w:line="576" w:lineRule="exact"/>
        <w:ind w:firstLine="320" w:firstLineChars="100"/>
        <w:rPr>
          <w:rFonts w:ascii="仿宋" w:hAnsi="仿宋" w:eastAsia="仿宋"/>
          <w:b/>
          <w:color w:val="000000"/>
          <w:sz w:val="32"/>
          <w:szCs w:val="32"/>
        </w:rPr>
      </w:pPr>
      <w:r>
        <w:rPr>
          <w:rStyle w:val="24"/>
          <w:rFonts w:hint="eastAsia" w:ascii="仿宋" w:hAnsi="仿宋" w:eastAsia="仿宋"/>
          <w:b w:val="0"/>
          <w:bCs/>
          <w:color w:val="000000"/>
          <w:sz w:val="32"/>
          <w:szCs w:val="32"/>
          <w:lang w:val="en-US" w:eastAsia="zh-CN"/>
        </w:rPr>
        <w:t>3.</w:t>
      </w:r>
      <w:r>
        <w:rPr>
          <w:rStyle w:val="24"/>
          <w:rFonts w:hint="eastAsia" w:ascii="仿宋" w:hAnsi="仿宋" w:eastAsia="仿宋"/>
          <w:b/>
          <w:bCs w:val="0"/>
          <w:color w:val="000000"/>
          <w:sz w:val="32"/>
          <w:szCs w:val="32"/>
          <w:lang w:val="en-US" w:eastAsia="zh-CN"/>
        </w:rPr>
        <w:t>住房保障支出</w:t>
      </w:r>
      <w:r>
        <w:rPr>
          <w:rStyle w:val="24"/>
          <w:rFonts w:hint="eastAsia" w:ascii="仿宋" w:hAnsi="仿宋" w:eastAsia="仿宋"/>
          <w:b w:val="0"/>
          <w:bCs/>
          <w:color w:val="000000"/>
          <w:sz w:val="32"/>
          <w:szCs w:val="32"/>
          <w:lang w:val="en-US" w:eastAsia="zh-CN"/>
        </w:rPr>
        <w:t>：2210201住房公积金支出决算数为6.73万元，</w:t>
      </w:r>
      <w:r>
        <w:rPr>
          <w:rFonts w:hint="eastAsia" w:ascii="仿宋" w:hAnsi="仿宋" w:eastAsia="仿宋" w:cs="仿宋"/>
          <w:sz w:val="32"/>
          <w:szCs w:val="32"/>
        </w:rPr>
        <w:t>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p>
    <w:p w14:paraId="3D98AC48">
      <w:pPr>
        <w:tabs>
          <w:tab w:val="right" w:pos="8306"/>
        </w:tabs>
        <w:spacing w:line="600" w:lineRule="exact"/>
        <w:ind w:firstLine="640"/>
        <w:outlineLvl w:val="1"/>
        <w:rPr>
          <w:rStyle w:val="27"/>
        </w:rPr>
      </w:pPr>
      <w:bookmarkStart w:id="79" w:name="_Toc79163618"/>
      <w:bookmarkStart w:id="80" w:name="_Toc15377214"/>
      <w:bookmarkStart w:id="81" w:name="_Toc79163868"/>
      <w:bookmarkStart w:id="82"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79"/>
      <w:bookmarkEnd w:id="80"/>
      <w:bookmarkEnd w:id="81"/>
      <w:bookmarkEnd w:id="82"/>
      <w:r>
        <w:rPr>
          <w:rStyle w:val="27"/>
          <w:rFonts w:ascii="黑体" w:hAnsi="黑体" w:eastAsia="黑体"/>
          <w:b w:val="0"/>
        </w:rPr>
        <w:tab/>
      </w:r>
    </w:p>
    <w:p w14:paraId="5968FDC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93.69</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88.05</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olor w:val="000000"/>
          <w:sz w:val="32"/>
          <w:szCs w:val="32"/>
          <w:lang w:eastAsia="zh-CN"/>
        </w:rPr>
        <w:t>。</w:t>
      </w:r>
    </w:p>
    <w:p w14:paraId="2EAF70D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 w:hAnsi="仿宋" w:eastAsia="仿宋"/>
          <w:b/>
          <w:color w:val="FF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5.64</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E7AD63B">
      <w:pPr>
        <w:spacing w:line="600" w:lineRule="exact"/>
        <w:ind w:firstLine="640"/>
        <w:outlineLvl w:val="1"/>
        <w:rPr>
          <w:rStyle w:val="27"/>
          <w:rFonts w:ascii="黑体" w:hAnsi="黑体" w:eastAsia="黑体"/>
          <w:b w:val="0"/>
        </w:rPr>
      </w:pPr>
      <w:bookmarkStart w:id="83" w:name="_Toc79163869"/>
      <w:bookmarkStart w:id="84" w:name="_Toc15396609"/>
      <w:bookmarkStart w:id="85" w:name="_Toc79163619"/>
      <w:bookmarkStart w:id="86"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83"/>
      <w:bookmarkEnd w:id="84"/>
      <w:bookmarkEnd w:id="85"/>
      <w:bookmarkEnd w:id="86"/>
    </w:p>
    <w:p w14:paraId="2484D3A6">
      <w:pPr>
        <w:spacing w:line="600" w:lineRule="exact"/>
        <w:ind w:firstLine="640"/>
        <w:outlineLvl w:val="2"/>
        <w:rPr>
          <w:rFonts w:ascii="仿宋" w:hAnsi="仿宋" w:eastAsia="仿宋"/>
          <w:b/>
          <w:color w:val="000000"/>
          <w:sz w:val="32"/>
          <w:szCs w:val="32"/>
        </w:rPr>
      </w:pPr>
      <w:bookmarkStart w:id="87" w:name="_Toc79163620"/>
      <w:bookmarkStart w:id="88" w:name="_Toc79163870"/>
      <w:bookmarkStart w:id="89" w:name="_Toc15377216"/>
      <w:r>
        <w:rPr>
          <w:rFonts w:hint="eastAsia" w:ascii="仿宋" w:hAnsi="仿宋" w:eastAsia="仿宋"/>
          <w:b/>
          <w:color w:val="000000"/>
          <w:sz w:val="32"/>
          <w:szCs w:val="32"/>
        </w:rPr>
        <w:t>（一）“三公”经费财政拨款支出决算总体情况说明</w:t>
      </w:r>
      <w:bookmarkEnd w:id="87"/>
      <w:bookmarkEnd w:id="88"/>
      <w:bookmarkEnd w:id="89"/>
    </w:p>
    <w:p w14:paraId="406548F1">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0.56</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bookmarkStart w:id="90" w:name="OLE_LINK10"/>
      <w:r>
        <w:rPr>
          <w:rFonts w:hint="eastAsia" w:ascii="仿宋" w:hAnsi="仿宋" w:eastAsia="仿宋"/>
          <w:color w:val="000000"/>
          <w:sz w:val="32"/>
          <w:szCs w:val="32"/>
        </w:rPr>
        <w:t>决算数与预算数持平</w:t>
      </w:r>
      <w:bookmarkEnd w:id="90"/>
      <w:r>
        <w:rPr>
          <w:rFonts w:hint="eastAsia" w:ascii="仿宋" w:hAnsi="仿宋" w:eastAsia="仿宋"/>
          <w:color w:val="000000"/>
          <w:sz w:val="32"/>
          <w:szCs w:val="32"/>
        </w:rPr>
        <w:t>。</w:t>
      </w:r>
    </w:p>
    <w:p w14:paraId="48FA2CF2">
      <w:pPr>
        <w:spacing w:line="600" w:lineRule="exact"/>
        <w:ind w:firstLine="640"/>
        <w:outlineLvl w:val="2"/>
        <w:rPr>
          <w:rFonts w:ascii="仿宋" w:hAnsi="仿宋" w:eastAsia="仿宋"/>
          <w:b/>
          <w:color w:val="000000"/>
          <w:sz w:val="32"/>
          <w:szCs w:val="32"/>
        </w:rPr>
      </w:pPr>
      <w:bookmarkStart w:id="91" w:name="_Toc79163871"/>
      <w:bookmarkStart w:id="92" w:name="_Toc79163621"/>
      <w:bookmarkStart w:id="93" w:name="_Toc15377217"/>
      <w:r>
        <w:rPr>
          <w:rFonts w:hint="eastAsia" w:ascii="仿宋" w:hAnsi="仿宋" w:eastAsia="仿宋"/>
          <w:b/>
          <w:color w:val="000000"/>
          <w:sz w:val="32"/>
          <w:szCs w:val="32"/>
        </w:rPr>
        <w:t>（二）“三公”经费财政拨款支出决算具体情况说明</w:t>
      </w:r>
      <w:bookmarkEnd w:id="91"/>
      <w:bookmarkEnd w:id="92"/>
      <w:bookmarkEnd w:id="93"/>
    </w:p>
    <w:p w14:paraId="5812BAFE">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0.06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42444F5E">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14:paraId="427386E9">
      <w:pPr>
        <w:spacing w:line="600" w:lineRule="exact"/>
        <w:ind w:firstLine="640"/>
        <w:rPr>
          <w:rFonts w:ascii="仿宋" w:hAnsi="仿宋" w:eastAsia="仿宋"/>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val="0"/>
          <w:bCs/>
          <w:color w:val="000000"/>
          <w:sz w:val="32"/>
          <w:szCs w:val="32"/>
          <w:lang w:val="en-US" w:eastAsia="zh-CN"/>
        </w:rPr>
        <w:t>0.5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bookmarkStart w:id="94" w:name="OLE_LINK9"/>
      <w:bookmarkStart w:id="95" w:name="OLE_LINK20"/>
      <w:r>
        <w:rPr>
          <w:rFonts w:hint="eastAsia" w:ascii="仿宋" w:hAnsi="仿宋" w:eastAsia="仿宋"/>
          <w:color w:val="000000"/>
          <w:sz w:val="32"/>
          <w:szCs w:val="32"/>
        </w:rPr>
        <w:t>公务用车购置及运行维护费支出决算</w:t>
      </w:r>
      <w:bookmarkEnd w:id="94"/>
      <w:r>
        <w:rPr>
          <w:rFonts w:hint="eastAsia" w:ascii="仿宋" w:hAnsi="仿宋" w:eastAsia="仿宋"/>
          <w:color w:val="000000"/>
          <w:sz w:val="32"/>
          <w:szCs w:val="32"/>
          <w:lang w:eastAsia="zh-CN"/>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年公务用车购置及运行维护费支出决算</w:t>
      </w:r>
      <w:r>
        <w:rPr>
          <w:rFonts w:hint="eastAsia" w:ascii="仿宋_GB2312" w:eastAsia="仿宋_GB2312"/>
          <w:color w:val="000000"/>
          <w:sz w:val="32"/>
          <w:szCs w:val="32"/>
          <w:lang w:val="en-US" w:eastAsia="zh-CN"/>
        </w:rPr>
        <w:t>1.43万元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0.93万元</w:t>
      </w:r>
      <w:r>
        <w:rPr>
          <w:rFonts w:hint="eastAsia" w:ascii="仿宋" w:hAnsi="仿宋" w:eastAsia="仿宋"/>
          <w:color w:val="000000"/>
          <w:sz w:val="32"/>
          <w:szCs w:val="32"/>
        </w:rPr>
        <w:t>，下降</w:t>
      </w:r>
      <w:r>
        <w:rPr>
          <w:rFonts w:hint="eastAsia" w:ascii="仿宋" w:hAnsi="仿宋" w:eastAsia="仿宋"/>
          <w:color w:val="000000"/>
          <w:sz w:val="32"/>
          <w:szCs w:val="32"/>
          <w:lang w:val="en-US" w:eastAsia="zh-CN"/>
        </w:rPr>
        <w:t>65</w:t>
      </w:r>
      <w:r>
        <w:rPr>
          <w:rFonts w:ascii="仿宋" w:hAnsi="仿宋" w:eastAsia="仿宋"/>
          <w:color w:val="000000"/>
          <w:sz w:val="32"/>
          <w:szCs w:val="32"/>
        </w:rPr>
        <w:t>%</w:t>
      </w:r>
      <w:r>
        <w:rPr>
          <w:rFonts w:hint="eastAsia" w:ascii="仿宋" w:hAnsi="仿宋" w:eastAsia="仿宋"/>
          <w:color w:val="000000"/>
          <w:sz w:val="32"/>
          <w:szCs w:val="32"/>
        </w:rPr>
        <w:t>。主要原因是</w:t>
      </w:r>
      <w:r>
        <w:rPr>
          <w:rFonts w:hint="eastAsia" w:ascii="仿宋" w:hAnsi="仿宋" w:eastAsia="仿宋"/>
          <w:color w:val="000000"/>
          <w:sz w:val="32"/>
          <w:szCs w:val="32"/>
          <w:lang w:eastAsia="zh-CN"/>
        </w:rPr>
        <w:t>厉行节约</w:t>
      </w:r>
      <w:r>
        <w:rPr>
          <w:rFonts w:hint="eastAsia" w:ascii="仿宋" w:hAnsi="仿宋" w:eastAsia="仿宋"/>
          <w:color w:val="000000"/>
          <w:sz w:val="32"/>
          <w:szCs w:val="32"/>
        </w:rPr>
        <w:t>。</w:t>
      </w:r>
    </w:p>
    <w:bookmarkEnd w:id="95"/>
    <w:p w14:paraId="3C876B4B">
      <w:pPr>
        <w:spacing w:line="600" w:lineRule="exact"/>
        <w:ind w:firstLine="640" w:firstLineChars="200"/>
        <w:rPr>
          <w:rFonts w:hint="eastAsia" w:ascii="仿宋" w:hAnsi="仿宋" w:eastAsia="仿宋" w:cs="仿宋"/>
          <w:b/>
          <w:color w:val="000000"/>
          <w:sz w:val="32"/>
          <w:szCs w:val="32"/>
        </w:rPr>
      </w:pPr>
      <w:r>
        <w:rPr>
          <w:rFonts w:hint="eastAsia" w:ascii="仿宋" w:hAnsi="仿宋" w:eastAsia="仿宋" w:cs="仿宋"/>
          <w:color w:val="000000"/>
          <w:sz w:val="32"/>
          <w:szCs w:val="32"/>
        </w:rPr>
        <w:t>其中：</w:t>
      </w:r>
      <w:r>
        <w:rPr>
          <w:rFonts w:hint="eastAsia" w:ascii="仿宋" w:hAnsi="仿宋" w:eastAsia="仿宋" w:cs="仿宋"/>
          <w:b/>
          <w:color w:val="000000"/>
          <w:sz w:val="32"/>
          <w:szCs w:val="32"/>
        </w:rPr>
        <w:t>公务用车购置支出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万元。全年按规定更新购置公务用车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辆，其中：轿车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万元，越野车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万元，载客汽车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万元。截至202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年12月底，单位共有公务用车</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辆，其中：越野车</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w:t>
      </w:r>
    </w:p>
    <w:p w14:paraId="0C6AFB43">
      <w:pPr>
        <w:spacing w:line="576" w:lineRule="exact"/>
        <w:ind w:firstLine="643" w:firstLineChars="200"/>
        <w:rPr>
          <w:rFonts w:hint="eastAsia" w:ascii="仿宋" w:hAnsi="仿宋" w:eastAsia="仿宋" w:cs="仿宋"/>
          <w:sz w:val="32"/>
          <w:szCs w:val="32"/>
        </w:rPr>
      </w:pPr>
      <w:r>
        <w:rPr>
          <w:rFonts w:hint="eastAsia" w:ascii="仿宋" w:hAnsi="仿宋" w:eastAsia="仿宋" w:cs="仿宋"/>
          <w:b/>
          <w:color w:val="000000"/>
          <w:sz w:val="32"/>
          <w:szCs w:val="32"/>
        </w:rPr>
        <w:t>公务用车运行维护费支出</w:t>
      </w:r>
      <w:r>
        <w:rPr>
          <w:rFonts w:hint="eastAsia" w:ascii="仿宋" w:hAnsi="仿宋" w:eastAsia="仿宋" w:cs="仿宋"/>
          <w:color w:val="000000"/>
          <w:sz w:val="32"/>
          <w:szCs w:val="32"/>
          <w:lang w:val="en-US" w:eastAsia="zh-CN"/>
        </w:rPr>
        <w:t>0.5</w:t>
      </w:r>
      <w:r>
        <w:rPr>
          <w:rFonts w:hint="eastAsia" w:ascii="仿宋" w:hAnsi="仿宋" w:eastAsia="仿宋" w:cs="仿宋"/>
          <w:color w:val="000000"/>
          <w:sz w:val="32"/>
          <w:szCs w:val="32"/>
        </w:rPr>
        <w:t>万元。主要用于</w:t>
      </w:r>
      <w:r>
        <w:rPr>
          <w:rFonts w:hint="eastAsia" w:ascii="仿宋" w:hAnsi="仿宋" w:eastAsia="仿宋" w:cs="仿宋"/>
          <w:sz w:val="32"/>
          <w:szCs w:val="32"/>
        </w:rPr>
        <w:t>残疾人“量体裁衣式”服务的入户调查、残疾人就业创业调查、慰问残疾人、联乡包村等所需的公务用车燃料费、维修费、过路过桥费、保险费等支出。</w:t>
      </w:r>
    </w:p>
    <w:p w14:paraId="0F9900FE">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3.公务接待费支出</w:t>
      </w:r>
      <w:r>
        <w:rPr>
          <w:rFonts w:hint="eastAsia" w:ascii="仿宋" w:hAnsi="仿宋" w:eastAsia="仿宋" w:cs="仿宋"/>
          <w:color w:val="000000"/>
          <w:sz w:val="32"/>
          <w:szCs w:val="32"/>
          <w:lang w:val="en-US" w:eastAsia="zh-CN"/>
        </w:rPr>
        <w:t>0.06</w:t>
      </w:r>
      <w:r>
        <w:rPr>
          <w:rFonts w:hint="eastAsia" w:ascii="仿宋" w:hAnsi="仿宋" w:eastAsia="仿宋" w:cs="仿宋"/>
          <w:color w:val="000000"/>
          <w:sz w:val="32"/>
          <w:szCs w:val="32"/>
        </w:rPr>
        <w:t>万元，</w:t>
      </w:r>
      <w:r>
        <w:rPr>
          <w:rStyle w:val="24"/>
          <w:rFonts w:hint="eastAsia" w:ascii="仿宋" w:hAnsi="仿宋" w:eastAsia="仿宋" w:cs="仿宋"/>
          <w:b w:val="0"/>
          <w:bCs/>
          <w:color w:val="000000"/>
          <w:sz w:val="32"/>
          <w:szCs w:val="32"/>
        </w:rPr>
        <w:t>完成预算</w:t>
      </w:r>
      <w:r>
        <w:rPr>
          <w:rStyle w:val="24"/>
          <w:rFonts w:hint="eastAsia" w:ascii="仿宋" w:hAnsi="仿宋" w:eastAsia="仿宋" w:cs="仿宋"/>
          <w:b w:val="0"/>
          <w:bCs/>
          <w:color w:val="000000"/>
          <w:sz w:val="32"/>
          <w:szCs w:val="32"/>
          <w:lang w:val="en-US" w:eastAsia="zh-CN"/>
        </w:rPr>
        <w:t>100</w:t>
      </w:r>
      <w:r>
        <w:rPr>
          <w:rStyle w:val="24"/>
          <w:rFonts w:hint="eastAsia" w:ascii="仿宋" w:hAnsi="仿宋" w:eastAsia="仿宋" w:cs="仿宋"/>
          <w:b w:val="0"/>
          <w:bCs/>
          <w:color w:val="000000"/>
          <w:sz w:val="32"/>
          <w:szCs w:val="32"/>
        </w:rPr>
        <w:t>%。</w:t>
      </w:r>
      <w:r>
        <w:rPr>
          <w:rFonts w:hint="eastAsia" w:ascii="仿宋" w:hAnsi="仿宋" w:eastAsia="仿宋" w:cs="仿宋"/>
          <w:color w:val="000000"/>
          <w:sz w:val="32"/>
          <w:szCs w:val="32"/>
        </w:rPr>
        <w:t>公务接待费支出决算比202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增加</w:t>
      </w:r>
      <w:r>
        <w:rPr>
          <w:rFonts w:hint="eastAsia" w:ascii="仿宋" w:hAnsi="仿宋" w:eastAsia="仿宋" w:cs="仿宋"/>
          <w:color w:val="000000"/>
          <w:sz w:val="32"/>
          <w:szCs w:val="32"/>
          <w:lang w:val="en-US" w:eastAsia="zh-CN"/>
        </w:rPr>
        <w:t>0.06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增加</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%。主要原因是</w:t>
      </w:r>
      <w:r>
        <w:rPr>
          <w:rFonts w:hint="eastAsia" w:ascii="仿宋" w:hAnsi="仿宋" w:eastAsia="仿宋" w:cs="仿宋"/>
          <w:sz w:val="32"/>
          <w:szCs w:val="32"/>
        </w:rPr>
        <w:t>用于开展业务工作零星接待及上级业务主管部门检查指导工作</w:t>
      </w:r>
      <w:r>
        <w:rPr>
          <w:rFonts w:hint="eastAsia" w:ascii="仿宋" w:hAnsi="仿宋" w:eastAsia="仿宋" w:cs="仿宋"/>
          <w:sz w:val="32"/>
          <w:szCs w:val="32"/>
          <w:lang w:eastAsia="zh-CN"/>
        </w:rPr>
        <w:t>，</w:t>
      </w:r>
      <w:r>
        <w:rPr>
          <w:rFonts w:hint="eastAsia" w:ascii="仿宋" w:hAnsi="仿宋" w:eastAsia="仿宋" w:cs="仿宋"/>
          <w:sz w:val="32"/>
          <w:szCs w:val="32"/>
        </w:rPr>
        <w:t>属于正常业务接待</w:t>
      </w:r>
      <w:r>
        <w:rPr>
          <w:rFonts w:hint="eastAsia" w:ascii="仿宋" w:hAnsi="仿宋" w:eastAsia="仿宋" w:cs="仿宋"/>
          <w:color w:val="000000"/>
          <w:sz w:val="32"/>
          <w:szCs w:val="32"/>
        </w:rPr>
        <w:t>。其中：</w:t>
      </w:r>
    </w:p>
    <w:p w14:paraId="55120F51">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国内公务接待支出</w:t>
      </w:r>
      <w:r>
        <w:rPr>
          <w:rFonts w:hint="eastAsia" w:ascii="仿宋" w:hAnsi="仿宋" w:eastAsia="仿宋" w:cs="仿宋"/>
          <w:color w:val="000000"/>
          <w:sz w:val="32"/>
          <w:szCs w:val="32"/>
          <w:lang w:val="en-US" w:eastAsia="zh-CN"/>
        </w:rPr>
        <w:t>0.06</w:t>
      </w:r>
      <w:r>
        <w:rPr>
          <w:rFonts w:hint="eastAsia" w:ascii="仿宋" w:hAnsi="仿宋" w:eastAsia="仿宋" w:cs="仿宋"/>
          <w:color w:val="000000"/>
          <w:sz w:val="32"/>
          <w:szCs w:val="32"/>
        </w:rPr>
        <w:t>万元，主要</w:t>
      </w:r>
      <w:r>
        <w:rPr>
          <w:rFonts w:hint="eastAsia" w:ascii="仿宋" w:hAnsi="仿宋" w:eastAsia="仿宋" w:cs="仿宋"/>
          <w:sz w:val="32"/>
          <w:szCs w:val="32"/>
        </w:rPr>
        <w:t>用于开展业务工作零星接待及上级业务主管部门检查指导工作</w:t>
      </w:r>
      <w:r>
        <w:rPr>
          <w:rFonts w:hint="eastAsia" w:ascii="仿宋" w:hAnsi="仿宋" w:eastAsia="仿宋" w:cs="仿宋"/>
          <w:sz w:val="32"/>
          <w:szCs w:val="32"/>
          <w:lang w:eastAsia="zh-CN"/>
        </w:rPr>
        <w:t>，</w:t>
      </w:r>
      <w:r>
        <w:rPr>
          <w:rFonts w:hint="eastAsia" w:ascii="仿宋" w:hAnsi="仿宋" w:eastAsia="仿宋" w:cs="仿宋"/>
          <w:sz w:val="32"/>
          <w:szCs w:val="32"/>
        </w:rPr>
        <w:t>属于正常业务接待。</w:t>
      </w:r>
      <w:r>
        <w:rPr>
          <w:rFonts w:hint="eastAsia" w:ascii="仿宋" w:hAnsi="仿宋" w:eastAsia="仿宋" w:cs="仿宋"/>
          <w:sz w:val="32"/>
          <w:szCs w:val="32"/>
          <w:lang w:eastAsia="zh-CN"/>
        </w:rPr>
        <w:t>（</w:t>
      </w:r>
      <w:r>
        <w:rPr>
          <w:rFonts w:hint="eastAsia" w:ascii="仿宋" w:hAnsi="仿宋" w:eastAsia="仿宋" w:cs="仿宋"/>
          <w:color w:val="000000"/>
          <w:sz w:val="32"/>
          <w:szCs w:val="32"/>
        </w:rPr>
        <w:t>执行公务、开展业务活动开支的交通费、住宿费、用餐费等</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。国内公务接待</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批次，</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人次（不包括陪同人员），共计支出</w:t>
      </w:r>
      <w:r>
        <w:rPr>
          <w:rFonts w:hint="eastAsia" w:ascii="仿宋" w:hAnsi="仿宋" w:eastAsia="仿宋" w:cs="仿宋"/>
          <w:color w:val="000000"/>
          <w:sz w:val="32"/>
          <w:szCs w:val="32"/>
          <w:lang w:val="en-US" w:eastAsia="zh-CN"/>
        </w:rPr>
        <w:t>0.06</w:t>
      </w:r>
      <w:r>
        <w:rPr>
          <w:rFonts w:hint="eastAsia" w:ascii="仿宋" w:hAnsi="仿宋" w:eastAsia="仿宋" w:cs="仿宋"/>
          <w:color w:val="000000"/>
          <w:sz w:val="32"/>
          <w:szCs w:val="32"/>
        </w:rPr>
        <w:t>万元，具体内容包括：</w:t>
      </w:r>
      <w:r>
        <w:rPr>
          <w:rFonts w:hint="eastAsia" w:ascii="仿宋" w:hAnsi="仿宋" w:eastAsia="仿宋" w:cs="仿宋"/>
          <w:color w:val="000000"/>
          <w:sz w:val="32"/>
          <w:szCs w:val="32"/>
          <w:lang w:eastAsia="zh-CN"/>
        </w:rPr>
        <w:t>餐费</w:t>
      </w:r>
      <w:r>
        <w:rPr>
          <w:rFonts w:hint="eastAsia" w:ascii="仿宋" w:hAnsi="仿宋" w:eastAsia="仿宋" w:cs="仿宋"/>
          <w:color w:val="000000"/>
          <w:sz w:val="32"/>
          <w:szCs w:val="32"/>
          <w:lang w:val="en-US" w:eastAsia="zh-CN"/>
        </w:rPr>
        <w:t>0.06万元</w:t>
      </w:r>
      <w:r>
        <w:rPr>
          <w:rFonts w:hint="eastAsia" w:ascii="仿宋" w:hAnsi="仿宋" w:eastAsia="仿宋" w:cs="仿宋"/>
          <w:color w:val="000000"/>
          <w:sz w:val="32"/>
          <w:szCs w:val="32"/>
        </w:rPr>
        <w:t>（接待具体项目、金额）。</w:t>
      </w:r>
    </w:p>
    <w:p w14:paraId="074724B7">
      <w:pPr>
        <w:spacing w:line="600" w:lineRule="exact"/>
        <w:ind w:firstLine="640"/>
        <w:outlineLvl w:val="1"/>
        <w:rPr>
          <w:rStyle w:val="27"/>
          <w:rFonts w:hint="eastAsia" w:ascii="仿宋" w:hAnsi="仿宋" w:eastAsia="仿宋" w:cs="仿宋"/>
          <w:sz w:val="32"/>
          <w:szCs w:val="32"/>
        </w:rPr>
      </w:pPr>
      <w:bookmarkStart w:id="96" w:name="_Toc15377218"/>
      <w:bookmarkStart w:id="97" w:name="_Toc79163872"/>
      <w:bookmarkStart w:id="98" w:name="_Toc15396610"/>
      <w:bookmarkStart w:id="99" w:name="_Toc79163622"/>
      <w:r>
        <w:rPr>
          <w:rFonts w:hint="eastAsia" w:ascii="仿宋" w:hAnsi="仿宋" w:eastAsia="仿宋" w:cs="仿宋"/>
          <w:color w:val="000000"/>
          <w:sz w:val="32"/>
          <w:szCs w:val="32"/>
        </w:rPr>
        <w:t>八、</w:t>
      </w:r>
      <w:r>
        <w:rPr>
          <w:rStyle w:val="27"/>
          <w:rFonts w:hint="eastAsia" w:ascii="仿宋" w:hAnsi="仿宋" w:eastAsia="仿宋" w:cs="仿宋"/>
          <w:b w:val="0"/>
          <w:sz w:val="32"/>
          <w:szCs w:val="32"/>
        </w:rPr>
        <w:t>政府性基金预算支出决算情况说明</w:t>
      </w:r>
      <w:bookmarkEnd w:id="96"/>
      <w:bookmarkEnd w:id="97"/>
      <w:bookmarkEnd w:id="98"/>
      <w:bookmarkEnd w:id="99"/>
    </w:p>
    <w:p w14:paraId="634F9A03">
      <w:pPr>
        <w:spacing w:line="600" w:lineRule="exact"/>
        <w:ind w:firstLine="640"/>
        <w:rPr>
          <w:rFonts w:hint="eastAsia" w:ascii="仿宋" w:hAnsi="仿宋" w:eastAsia="仿宋" w:cs="仿宋"/>
          <w:color w:val="000000"/>
          <w:sz w:val="32"/>
          <w:szCs w:val="32"/>
        </w:rPr>
      </w:pPr>
      <w:bookmarkStart w:id="100" w:name="_Toc15377219"/>
      <w:bookmarkStart w:id="101" w:name="_Toc79163623"/>
      <w:bookmarkStart w:id="102" w:name="_Toc15396611"/>
      <w:bookmarkStart w:id="103" w:name="_Toc79163873"/>
      <w:r>
        <w:rPr>
          <w:rFonts w:hint="eastAsia" w:ascii="仿宋" w:hAnsi="仿宋" w:eastAsia="仿宋" w:cs="仿宋"/>
          <w:color w:val="000000"/>
          <w:sz w:val="32"/>
          <w:szCs w:val="32"/>
        </w:rPr>
        <w:t>松潘县残疾人联合会</w:t>
      </w:r>
      <w:r>
        <w:rPr>
          <w:rFonts w:hint="eastAsia" w:ascii="仿宋" w:hAnsi="仿宋" w:eastAsia="仿宋" w:cs="仿宋"/>
          <w:color w:val="000000"/>
          <w:sz w:val="32"/>
          <w:szCs w:val="32"/>
          <w:lang w:eastAsia="zh-CN"/>
        </w:rPr>
        <w:t>20</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年政府性基金预算财政拨款收入</w:t>
      </w:r>
      <w:r>
        <w:rPr>
          <w:rFonts w:hint="eastAsia" w:ascii="仿宋" w:hAnsi="仿宋" w:eastAsia="仿宋" w:cs="仿宋"/>
          <w:color w:val="000000"/>
          <w:sz w:val="32"/>
          <w:szCs w:val="32"/>
          <w:lang w:val="en-US" w:eastAsia="zh-CN"/>
        </w:rPr>
        <w:t>11.93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20</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年政府性基金预算支出</w:t>
      </w:r>
      <w:r>
        <w:rPr>
          <w:rFonts w:hint="eastAsia" w:ascii="仿宋" w:hAnsi="仿宋" w:eastAsia="仿宋" w:cs="仿宋"/>
          <w:color w:val="000000"/>
          <w:sz w:val="32"/>
          <w:szCs w:val="32"/>
          <w:lang w:val="en-US" w:eastAsia="zh-CN"/>
        </w:rPr>
        <w:t>11.93</w:t>
      </w:r>
      <w:r>
        <w:rPr>
          <w:rFonts w:hint="eastAsia" w:ascii="仿宋" w:hAnsi="仿宋" w:eastAsia="仿宋" w:cs="仿宋"/>
          <w:color w:val="000000"/>
          <w:sz w:val="32"/>
          <w:szCs w:val="32"/>
        </w:rPr>
        <w:t>万元，其中用于</w:t>
      </w:r>
      <w:r>
        <w:rPr>
          <w:rFonts w:hint="eastAsia" w:ascii="仿宋" w:hAnsi="仿宋" w:eastAsia="仿宋" w:cs="仿宋"/>
          <w:color w:val="000000"/>
          <w:sz w:val="32"/>
          <w:szCs w:val="32"/>
          <w:lang w:eastAsia="zh-CN"/>
        </w:rPr>
        <w:t>体育事业</w:t>
      </w:r>
      <w:r>
        <w:rPr>
          <w:rFonts w:hint="eastAsia" w:ascii="仿宋" w:hAnsi="仿宋" w:eastAsia="仿宋" w:cs="仿宋"/>
          <w:color w:val="000000"/>
          <w:sz w:val="32"/>
          <w:szCs w:val="32"/>
        </w:rPr>
        <w:t>的彩票公益金支出</w:t>
      </w:r>
      <w:r>
        <w:rPr>
          <w:rFonts w:hint="eastAsia" w:ascii="仿宋" w:hAnsi="仿宋" w:eastAsia="仿宋" w:cs="仿宋"/>
          <w:color w:val="000000"/>
          <w:sz w:val="32"/>
          <w:szCs w:val="32"/>
          <w:lang w:val="en-US" w:eastAsia="zh-CN"/>
        </w:rPr>
        <w:t>0.73</w:t>
      </w:r>
      <w:r>
        <w:rPr>
          <w:rFonts w:hint="eastAsia" w:ascii="仿宋" w:hAnsi="仿宋" w:eastAsia="仿宋" w:cs="仿宋"/>
          <w:color w:val="000000"/>
          <w:sz w:val="32"/>
          <w:szCs w:val="32"/>
        </w:rPr>
        <w:t>万元，完成预算</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olor w:val="000000"/>
          <w:sz w:val="32"/>
          <w:szCs w:val="32"/>
        </w:rPr>
        <w:t>决算数与预算数持平</w:t>
      </w:r>
      <w:r>
        <w:rPr>
          <w:rFonts w:hint="eastAsia" w:ascii="仿宋" w:hAnsi="仿宋" w:eastAsia="仿宋" w:cs="仿宋"/>
          <w:color w:val="000000"/>
          <w:sz w:val="32"/>
          <w:szCs w:val="32"/>
        </w:rPr>
        <w:t>、用于残疾人事业的彩票公益金支出</w:t>
      </w:r>
      <w:r>
        <w:rPr>
          <w:rFonts w:hint="eastAsia" w:ascii="仿宋" w:hAnsi="仿宋" w:eastAsia="仿宋" w:cs="仿宋"/>
          <w:color w:val="000000"/>
          <w:sz w:val="32"/>
          <w:szCs w:val="32"/>
          <w:lang w:val="en-US" w:eastAsia="zh-CN"/>
        </w:rPr>
        <w:t>11.2</w:t>
      </w:r>
      <w:r>
        <w:rPr>
          <w:rFonts w:hint="eastAsia" w:ascii="仿宋" w:hAnsi="仿宋" w:eastAsia="仿宋" w:cs="仿宋"/>
          <w:color w:val="000000"/>
          <w:sz w:val="32"/>
          <w:szCs w:val="32"/>
        </w:rPr>
        <w:t>万元，完成预算</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olor w:val="000000"/>
          <w:sz w:val="32"/>
          <w:szCs w:val="32"/>
        </w:rPr>
        <w:t>决算数与预算数持平</w:t>
      </w:r>
      <w:r>
        <w:rPr>
          <w:rFonts w:hint="eastAsia" w:ascii="仿宋" w:hAnsi="仿宋" w:eastAsia="仿宋" w:cs="仿宋"/>
          <w:color w:val="000000"/>
          <w:sz w:val="32"/>
          <w:szCs w:val="32"/>
          <w:lang w:eastAsia="zh-CN"/>
        </w:rPr>
        <w:t>。</w:t>
      </w:r>
    </w:p>
    <w:p w14:paraId="71C8B0AC">
      <w:pPr>
        <w:numPr>
          <w:ilvl w:val="0"/>
          <w:numId w:val="2"/>
        </w:numPr>
        <w:spacing w:line="600" w:lineRule="exact"/>
        <w:ind w:firstLine="640"/>
        <w:outlineLvl w:val="1"/>
        <w:rPr>
          <w:rStyle w:val="27"/>
          <w:rFonts w:hint="eastAsia" w:ascii="仿宋" w:hAnsi="仿宋" w:eastAsia="仿宋" w:cs="仿宋"/>
          <w:b w:val="0"/>
          <w:sz w:val="32"/>
          <w:szCs w:val="32"/>
        </w:rPr>
      </w:pPr>
      <w:r>
        <w:rPr>
          <w:rStyle w:val="27"/>
          <w:rFonts w:hint="eastAsia" w:ascii="仿宋" w:hAnsi="仿宋" w:eastAsia="仿宋" w:cs="仿宋"/>
          <w:b w:val="0"/>
          <w:sz w:val="32"/>
          <w:szCs w:val="32"/>
        </w:rPr>
        <w:t>国有资本经营预算支出决算情况说明</w:t>
      </w:r>
      <w:bookmarkEnd w:id="100"/>
      <w:bookmarkEnd w:id="101"/>
      <w:bookmarkEnd w:id="102"/>
      <w:bookmarkEnd w:id="103"/>
    </w:p>
    <w:p w14:paraId="54991B5E">
      <w:pPr>
        <w:spacing w:line="600" w:lineRule="exact"/>
        <w:ind w:firstLine="640"/>
        <w:rPr>
          <w:rFonts w:hint="eastAsia" w:ascii="仿宋" w:hAnsi="仿宋" w:eastAsia="仿宋" w:cs="仿宋"/>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年国有资本经营预算拨款支出</w:t>
      </w:r>
      <w:r>
        <w:rPr>
          <w:rFonts w:hint="eastAsia" w:ascii="仿宋" w:hAnsi="仿宋" w:eastAsia="仿宋" w:cs="仿宋"/>
          <w:color w:val="000000"/>
          <w:sz w:val="32"/>
          <w:szCs w:val="32"/>
          <w:lang w:val="en-US" w:eastAsia="zh-CN"/>
        </w:rPr>
        <w:t>0万</w:t>
      </w:r>
      <w:r>
        <w:rPr>
          <w:rFonts w:hint="eastAsia" w:ascii="仿宋" w:hAnsi="仿宋" w:eastAsia="仿宋" w:cs="仿宋"/>
          <w:color w:val="000000"/>
          <w:sz w:val="32"/>
          <w:szCs w:val="32"/>
        </w:rPr>
        <w:t>元。</w:t>
      </w:r>
    </w:p>
    <w:p w14:paraId="722474EA">
      <w:pPr>
        <w:spacing w:line="600" w:lineRule="exact"/>
        <w:ind w:firstLine="800" w:firstLineChars="250"/>
        <w:outlineLvl w:val="1"/>
        <w:rPr>
          <w:rStyle w:val="27"/>
          <w:rFonts w:hint="eastAsia" w:ascii="仿宋" w:hAnsi="仿宋" w:eastAsia="仿宋" w:cs="仿宋"/>
          <w:sz w:val="32"/>
          <w:szCs w:val="32"/>
        </w:rPr>
      </w:pPr>
      <w:bookmarkStart w:id="104" w:name="_Toc79163624"/>
      <w:bookmarkStart w:id="105" w:name="_Toc15396612"/>
      <w:bookmarkStart w:id="106" w:name="_Toc79163874"/>
      <w:bookmarkStart w:id="107" w:name="_Toc15377221"/>
      <w:r>
        <w:rPr>
          <w:rFonts w:hint="eastAsia" w:ascii="仿宋" w:hAnsi="仿宋" w:eastAsia="仿宋" w:cs="仿宋"/>
          <w:color w:val="000000"/>
          <w:sz w:val="32"/>
          <w:szCs w:val="32"/>
        </w:rPr>
        <w:t>十</w:t>
      </w:r>
      <w:r>
        <w:rPr>
          <w:rStyle w:val="27"/>
          <w:rFonts w:hint="eastAsia" w:ascii="仿宋" w:hAnsi="仿宋" w:eastAsia="仿宋" w:cs="仿宋"/>
          <w:sz w:val="32"/>
          <w:szCs w:val="32"/>
        </w:rPr>
        <w:t>、</w:t>
      </w:r>
      <w:r>
        <w:rPr>
          <w:rStyle w:val="27"/>
          <w:rFonts w:hint="eastAsia" w:ascii="仿宋" w:hAnsi="仿宋" w:eastAsia="仿宋" w:cs="仿宋"/>
          <w:b w:val="0"/>
          <w:sz w:val="32"/>
          <w:szCs w:val="32"/>
        </w:rPr>
        <w:t>其他重要事项的情况说明</w:t>
      </w:r>
      <w:bookmarkEnd w:id="104"/>
      <w:bookmarkEnd w:id="105"/>
      <w:bookmarkEnd w:id="106"/>
      <w:bookmarkEnd w:id="107"/>
    </w:p>
    <w:p w14:paraId="254196A9">
      <w:pPr>
        <w:spacing w:line="600" w:lineRule="exact"/>
        <w:ind w:firstLine="643" w:firstLineChars="200"/>
        <w:outlineLvl w:val="2"/>
        <w:rPr>
          <w:rFonts w:hint="eastAsia" w:ascii="仿宋" w:hAnsi="仿宋" w:eastAsia="仿宋" w:cs="仿宋"/>
          <w:color w:val="000000"/>
          <w:sz w:val="32"/>
          <w:szCs w:val="32"/>
        </w:rPr>
      </w:pPr>
      <w:bookmarkStart w:id="108" w:name="_Toc15377222"/>
      <w:bookmarkStart w:id="109" w:name="_Toc79163875"/>
      <w:bookmarkStart w:id="110" w:name="_Toc79163625"/>
      <w:r>
        <w:rPr>
          <w:rFonts w:hint="eastAsia" w:ascii="仿宋" w:hAnsi="仿宋" w:eastAsia="仿宋" w:cs="仿宋"/>
          <w:b/>
          <w:color w:val="000000"/>
          <w:sz w:val="32"/>
          <w:szCs w:val="32"/>
        </w:rPr>
        <w:t>（一）机关运行经费支出情况</w:t>
      </w:r>
      <w:bookmarkEnd w:id="108"/>
      <w:bookmarkEnd w:id="109"/>
      <w:bookmarkEnd w:id="110"/>
    </w:p>
    <w:p w14:paraId="5A356FD0">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残疾人联合会</w:t>
      </w:r>
      <w:r>
        <w:rPr>
          <w:rFonts w:hint="eastAsia" w:ascii="仿宋" w:hAnsi="仿宋" w:eastAsia="仿宋" w:cs="仿宋"/>
          <w:color w:val="000000"/>
          <w:sz w:val="32"/>
          <w:szCs w:val="32"/>
        </w:rPr>
        <w:t>机关运行经费支出</w:t>
      </w:r>
      <w:r>
        <w:rPr>
          <w:rFonts w:hint="eastAsia" w:ascii="仿宋" w:hAnsi="仿宋" w:eastAsia="仿宋" w:cs="仿宋"/>
          <w:color w:val="000000"/>
          <w:sz w:val="32"/>
          <w:szCs w:val="32"/>
          <w:lang w:val="en-US" w:eastAsia="zh-CN"/>
        </w:rPr>
        <w:t>2.87万元</w:t>
      </w:r>
      <w:r>
        <w:rPr>
          <w:rFonts w:hint="eastAsia" w:ascii="仿宋" w:hAnsi="仿宋" w:eastAsia="仿宋" w:cs="仿宋"/>
          <w:color w:val="000000"/>
          <w:sz w:val="32"/>
          <w:szCs w:val="32"/>
        </w:rPr>
        <w:t>，</w:t>
      </w:r>
      <w:bookmarkStart w:id="111" w:name="OLE_LINK21"/>
      <w:r>
        <w:rPr>
          <w:rFonts w:hint="eastAsia" w:ascii="仿宋" w:hAnsi="仿宋" w:eastAsia="仿宋" w:cs="仿宋"/>
          <w:color w:val="000000"/>
          <w:sz w:val="32"/>
          <w:szCs w:val="32"/>
        </w:rPr>
        <w:t>比202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2.42</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增加</w:t>
      </w:r>
      <w:r>
        <w:rPr>
          <w:rFonts w:hint="eastAsia" w:ascii="仿宋" w:hAnsi="仿宋" w:eastAsia="仿宋" w:cs="仿宋"/>
          <w:color w:val="000000"/>
          <w:sz w:val="32"/>
          <w:szCs w:val="32"/>
          <w:lang w:val="en-US" w:eastAsia="zh-CN"/>
        </w:rPr>
        <w:t>0.45万元</w:t>
      </w:r>
      <w:r>
        <w:rPr>
          <w:rFonts w:hint="eastAsia" w:ascii="仿宋" w:hAnsi="仿宋" w:eastAsia="仿宋" w:cs="仿宋"/>
          <w:color w:val="000000"/>
          <w:sz w:val="32"/>
          <w:szCs w:val="32"/>
        </w:rPr>
        <w:t>，增长</w:t>
      </w: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%。主要原因是</w:t>
      </w:r>
      <w:r>
        <w:rPr>
          <w:rFonts w:hint="eastAsia" w:ascii="仿宋" w:hAnsi="仿宋" w:eastAsia="仿宋" w:cs="仿宋"/>
          <w:sz w:val="32"/>
          <w:szCs w:val="32"/>
          <w:lang w:eastAsia="zh-CN"/>
        </w:rPr>
        <w:t>人员经费增加。</w:t>
      </w:r>
      <w:bookmarkEnd w:id="111"/>
    </w:p>
    <w:p w14:paraId="62A548D0">
      <w:pPr>
        <w:autoSpaceDE w:val="0"/>
        <w:autoSpaceDN w:val="0"/>
        <w:adjustRightInd w:val="0"/>
        <w:spacing w:line="600" w:lineRule="exact"/>
        <w:ind w:firstLine="643" w:firstLineChars="200"/>
        <w:jc w:val="left"/>
        <w:outlineLvl w:val="2"/>
        <w:rPr>
          <w:rFonts w:hint="eastAsia" w:ascii="仿宋" w:hAnsi="仿宋" w:eastAsia="仿宋" w:cs="仿宋"/>
          <w:b/>
          <w:color w:val="000000"/>
          <w:sz w:val="32"/>
          <w:szCs w:val="32"/>
        </w:rPr>
      </w:pPr>
      <w:bookmarkStart w:id="112" w:name="_Toc79163626"/>
      <w:bookmarkStart w:id="113" w:name="_Toc79163876"/>
      <w:bookmarkStart w:id="114" w:name="_Toc15377223"/>
      <w:r>
        <w:rPr>
          <w:rFonts w:hint="eastAsia" w:ascii="仿宋" w:hAnsi="仿宋" w:eastAsia="仿宋" w:cs="仿宋"/>
          <w:b/>
          <w:color w:val="000000"/>
          <w:sz w:val="32"/>
          <w:szCs w:val="32"/>
        </w:rPr>
        <w:t>（二）政府采购支出情况</w:t>
      </w:r>
      <w:bookmarkEnd w:id="112"/>
      <w:bookmarkEnd w:id="113"/>
      <w:bookmarkEnd w:id="114"/>
    </w:p>
    <w:p w14:paraId="4FA251CA">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残疾人联合会</w:t>
      </w:r>
      <w:r>
        <w:rPr>
          <w:rFonts w:hint="eastAsia" w:ascii="仿宋" w:hAnsi="仿宋" w:eastAsia="仿宋" w:cs="仿宋"/>
          <w:color w:val="000000"/>
          <w:sz w:val="32"/>
          <w:szCs w:val="32"/>
        </w:rPr>
        <w:t>政府采购支出总额</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万元，其中：政府采购货物支出</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万元、政府采购工程支出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万元、政府采购服务支出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万元。主要用于</w:t>
      </w:r>
      <w:r>
        <w:rPr>
          <w:rFonts w:hint="eastAsia" w:ascii="仿宋" w:hAnsi="仿宋" w:eastAsia="仿宋" w:cs="仿宋"/>
          <w:sz w:val="32"/>
          <w:szCs w:val="32"/>
        </w:rPr>
        <w:t>购置残疾人辅助器具</w:t>
      </w:r>
      <w:r>
        <w:rPr>
          <w:rFonts w:hint="eastAsia" w:ascii="仿宋" w:hAnsi="仿宋" w:eastAsia="仿宋" w:cs="仿宋"/>
          <w:color w:val="000000"/>
          <w:sz w:val="32"/>
          <w:szCs w:val="32"/>
        </w:rPr>
        <w:t>。</w:t>
      </w:r>
    </w:p>
    <w:p w14:paraId="64D7AB95">
      <w:pPr>
        <w:autoSpaceDE w:val="0"/>
        <w:autoSpaceDN w:val="0"/>
        <w:adjustRightInd w:val="0"/>
        <w:spacing w:line="600" w:lineRule="exact"/>
        <w:ind w:firstLine="643" w:firstLineChars="200"/>
        <w:jc w:val="left"/>
        <w:outlineLvl w:val="2"/>
        <w:rPr>
          <w:rFonts w:hint="eastAsia" w:ascii="仿宋" w:hAnsi="仿宋" w:eastAsia="仿宋" w:cs="仿宋"/>
          <w:b/>
          <w:color w:val="000000"/>
          <w:sz w:val="32"/>
          <w:szCs w:val="32"/>
        </w:rPr>
      </w:pPr>
      <w:bookmarkStart w:id="115" w:name="_Toc15377224"/>
      <w:bookmarkStart w:id="116" w:name="_Toc79163877"/>
      <w:bookmarkStart w:id="117" w:name="_Toc79163627"/>
      <w:r>
        <w:rPr>
          <w:rFonts w:hint="eastAsia" w:ascii="仿宋" w:hAnsi="仿宋" w:eastAsia="仿宋" w:cs="仿宋"/>
          <w:b/>
          <w:color w:val="000000"/>
          <w:sz w:val="32"/>
          <w:szCs w:val="32"/>
        </w:rPr>
        <w:t>（三）国有资产占有使用情况</w:t>
      </w:r>
      <w:bookmarkEnd w:id="115"/>
      <w:bookmarkEnd w:id="116"/>
      <w:bookmarkEnd w:id="117"/>
    </w:p>
    <w:p w14:paraId="1EE020A1">
      <w:pPr>
        <w:autoSpaceDE w:val="0"/>
        <w:autoSpaceDN w:val="0"/>
        <w:adjustRightInd w:val="0"/>
        <w:spacing w:line="600" w:lineRule="exact"/>
        <w:ind w:firstLine="640" w:firstLineChars="200"/>
        <w:jc w:val="left"/>
        <w:rPr>
          <w:rFonts w:hint="eastAsia" w:ascii="仿宋" w:hAnsi="仿宋" w:eastAsia="仿宋" w:cs="仿宋"/>
          <w:b/>
          <w:color w:val="FF0000"/>
          <w:sz w:val="32"/>
          <w:szCs w:val="32"/>
        </w:rPr>
      </w:pPr>
      <w:r>
        <w:rPr>
          <w:rFonts w:hint="eastAsia" w:ascii="仿宋" w:hAnsi="仿宋" w:eastAsia="仿宋" w:cs="仿宋"/>
          <w:color w:val="000000"/>
          <w:sz w:val="32"/>
          <w:szCs w:val="32"/>
        </w:rPr>
        <w:t>截至202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年12月31日，</w:t>
      </w:r>
      <w:r>
        <w:rPr>
          <w:rFonts w:hint="eastAsia" w:ascii="仿宋" w:hAnsi="仿宋" w:eastAsia="仿宋" w:cs="仿宋"/>
          <w:color w:val="000000"/>
          <w:sz w:val="32"/>
          <w:szCs w:val="32"/>
          <w:lang w:eastAsia="zh-CN"/>
        </w:rPr>
        <w:t>残疾人联合会</w:t>
      </w:r>
      <w:r>
        <w:rPr>
          <w:rFonts w:hint="eastAsia" w:ascii="仿宋" w:hAnsi="仿宋" w:eastAsia="仿宋" w:cs="仿宋"/>
          <w:color w:val="000000"/>
          <w:sz w:val="32"/>
          <w:szCs w:val="32"/>
        </w:rPr>
        <w:t>共有车辆</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辆，其中：主要其他用车</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w:t>
      </w:r>
      <w:r>
        <w:rPr>
          <w:rFonts w:hint="eastAsia" w:ascii="仿宋" w:hAnsi="仿宋" w:eastAsia="仿宋" w:cs="仿宋"/>
          <w:color w:val="000000"/>
          <w:sz w:val="32"/>
          <w:szCs w:val="32"/>
          <w:lang w:eastAsia="zh-CN"/>
        </w:rPr>
        <w:t>，</w:t>
      </w:r>
      <w:r>
        <w:rPr>
          <w:rFonts w:hint="eastAsia" w:ascii="仿宋" w:hAnsi="仿宋" w:eastAsia="仿宋" w:cs="仿宋"/>
          <w:color w:val="000000" w:themeColor="text1"/>
          <w:sz w:val="32"/>
          <w:szCs w:val="32"/>
        </w:rPr>
        <w:t>其他用车主要</w:t>
      </w:r>
      <w:r>
        <w:rPr>
          <w:rFonts w:hint="eastAsia" w:ascii="仿宋" w:hAnsi="仿宋" w:eastAsia="仿宋" w:cs="仿宋"/>
          <w:color w:val="000000" w:themeColor="text1"/>
          <w:sz w:val="32"/>
          <w:szCs w:val="32"/>
          <w:lang w:eastAsia="zh-CN"/>
        </w:rPr>
        <w:t>适用</w:t>
      </w:r>
      <w:r>
        <w:rPr>
          <w:rFonts w:hint="eastAsia" w:ascii="仿宋" w:hAnsi="仿宋" w:eastAsia="仿宋" w:cs="仿宋"/>
          <w:color w:val="000000" w:themeColor="text1"/>
          <w:sz w:val="32"/>
          <w:szCs w:val="32"/>
        </w:rPr>
        <w:t>于</w:t>
      </w:r>
      <w:r>
        <w:rPr>
          <w:rFonts w:hint="eastAsia" w:ascii="仿宋" w:hAnsi="仿宋" w:eastAsia="仿宋" w:cs="仿宋"/>
          <w:sz w:val="32"/>
          <w:szCs w:val="32"/>
        </w:rPr>
        <w:t>一般残疾人流动服务车</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rPr>
        <w:t>单价50万元以上通用设备</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themeColor="text1"/>
          <w:sz w:val="32"/>
          <w:szCs w:val="32"/>
        </w:rPr>
        <w:t>台（套），单价100</w:t>
      </w:r>
      <w:r>
        <w:rPr>
          <w:rFonts w:hint="eastAsia" w:ascii="仿宋" w:hAnsi="仿宋" w:eastAsia="仿宋" w:cs="仿宋"/>
          <w:color w:val="000000"/>
          <w:sz w:val="32"/>
          <w:szCs w:val="32"/>
        </w:rPr>
        <w:t>万元以上专用设备</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台（套）。</w:t>
      </w:r>
    </w:p>
    <w:p w14:paraId="15BFCF69">
      <w:pPr>
        <w:autoSpaceDE w:val="0"/>
        <w:autoSpaceDN w:val="0"/>
        <w:adjustRightInd w:val="0"/>
        <w:spacing w:line="600" w:lineRule="exact"/>
        <w:ind w:firstLine="643" w:firstLineChars="200"/>
        <w:jc w:val="left"/>
        <w:outlineLvl w:val="2"/>
        <w:rPr>
          <w:rFonts w:hint="eastAsia" w:ascii="仿宋" w:hAnsi="仿宋" w:eastAsia="仿宋" w:cs="仿宋"/>
          <w:b/>
          <w:color w:val="000000"/>
          <w:sz w:val="32"/>
          <w:szCs w:val="32"/>
        </w:rPr>
      </w:pPr>
      <w:bookmarkStart w:id="118" w:name="_Toc79163878"/>
      <w:bookmarkStart w:id="119" w:name="_Toc79163628"/>
      <w:r>
        <w:rPr>
          <w:rFonts w:hint="eastAsia" w:ascii="仿宋" w:hAnsi="仿宋" w:eastAsia="仿宋" w:cs="仿宋"/>
          <w:b/>
          <w:color w:val="000000"/>
          <w:sz w:val="32"/>
          <w:szCs w:val="32"/>
        </w:rPr>
        <w:t>（四）预算绩效管理情况。</w:t>
      </w:r>
      <w:bookmarkEnd w:id="118"/>
      <w:bookmarkEnd w:id="119"/>
    </w:p>
    <w:p w14:paraId="194CAD66">
      <w:pPr>
        <w:numPr>
          <w:ilvl w:val="0"/>
          <w:numId w:val="0"/>
        </w:numPr>
        <w:spacing w:line="540" w:lineRule="exact"/>
        <w:jc w:val="left"/>
        <w:rPr>
          <w:rFonts w:hint="eastAsia" w:ascii="仿宋" w:hAnsi="仿宋" w:eastAsia="仿宋" w:cs="仿宋"/>
          <w:sz w:val="32"/>
          <w:szCs w:val="32"/>
        </w:rPr>
      </w:pPr>
      <w:r>
        <w:rPr>
          <w:rFonts w:hint="eastAsia" w:ascii="仿宋" w:hAnsi="仿宋" w:eastAsia="仿宋" w:cs="仿宋"/>
          <w:sz w:val="32"/>
          <w:szCs w:val="32"/>
        </w:rPr>
        <w:t>根据预算绩效管理要求，本部门（单位）在年初预算编制阶段，组织对</w:t>
      </w:r>
      <w:r>
        <w:rPr>
          <w:rFonts w:hint="eastAsia" w:ascii="仿宋" w:hAnsi="仿宋" w:eastAsia="仿宋" w:cs="仿宋"/>
          <w:sz w:val="32"/>
          <w:szCs w:val="32"/>
          <w:lang w:eastAsia="zh-CN"/>
        </w:rPr>
        <w:t>残疾人事业发展资金</w:t>
      </w:r>
      <w:r>
        <w:rPr>
          <w:rFonts w:hint="eastAsia" w:ascii="仿宋" w:hAnsi="仿宋" w:eastAsia="仿宋" w:cs="仿宋"/>
          <w:sz w:val="32"/>
          <w:szCs w:val="32"/>
        </w:rPr>
        <w:t>项目（项目名称）开展了预算事前绩效评估，对</w:t>
      </w:r>
      <w:r>
        <w:rPr>
          <w:rFonts w:hint="eastAsia" w:ascii="仿宋" w:hAnsi="仿宋" w:eastAsia="仿宋" w:cs="仿宋"/>
          <w:sz w:val="32"/>
          <w:szCs w:val="32"/>
          <w:lang w:eastAsia="zh-CN"/>
        </w:rPr>
        <w:t>残疾人事业发展资金</w:t>
      </w:r>
      <w:r>
        <w:rPr>
          <w:rFonts w:hint="eastAsia" w:ascii="仿宋" w:hAnsi="仿宋" w:eastAsia="仿宋" w:cs="仿宋"/>
          <w:sz w:val="32"/>
          <w:szCs w:val="32"/>
          <w:lang w:val="en-US" w:eastAsia="zh-CN"/>
        </w:rPr>
        <w:t>0</w:t>
      </w:r>
      <w:r>
        <w:rPr>
          <w:rFonts w:hint="eastAsia" w:ascii="仿宋" w:hAnsi="仿宋" w:eastAsia="仿宋" w:cs="仿宋"/>
          <w:sz w:val="32"/>
          <w:szCs w:val="32"/>
        </w:rPr>
        <w:t>个项目编制了绩效目标，预算执行过程中，选取</w:t>
      </w:r>
      <w:r>
        <w:rPr>
          <w:rFonts w:hint="eastAsia" w:ascii="仿宋" w:hAnsi="仿宋" w:eastAsia="仿宋" w:cs="仿宋"/>
          <w:sz w:val="32"/>
          <w:szCs w:val="32"/>
          <w:lang w:val="en-US" w:eastAsia="zh-CN"/>
        </w:rPr>
        <w:t>0</w:t>
      </w:r>
      <w:r>
        <w:rPr>
          <w:rFonts w:hint="eastAsia" w:ascii="仿宋" w:hAnsi="仿宋" w:eastAsia="仿宋" w:cs="仿宋"/>
          <w:sz w:val="32"/>
          <w:szCs w:val="32"/>
        </w:rPr>
        <w:t>个项目开展绩效监控，年终执行完毕后，对</w:t>
      </w:r>
      <w:r>
        <w:rPr>
          <w:rFonts w:hint="eastAsia" w:ascii="仿宋" w:hAnsi="仿宋" w:eastAsia="仿宋" w:cs="仿宋"/>
          <w:sz w:val="32"/>
          <w:szCs w:val="32"/>
          <w:lang w:val="en-US" w:eastAsia="zh-CN"/>
        </w:rPr>
        <w:t>0</w:t>
      </w:r>
      <w:r>
        <w:rPr>
          <w:rFonts w:hint="eastAsia" w:ascii="仿宋" w:hAnsi="仿宋" w:eastAsia="仿宋" w:cs="仿宋"/>
          <w:sz w:val="32"/>
          <w:szCs w:val="32"/>
        </w:rPr>
        <w:t>个项目开展了绩效目标完成情况自评</w:t>
      </w:r>
      <w:r>
        <w:rPr>
          <w:rFonts w:hint="eastAsia" w:ascii="仿宋" w:hAnsi="仿宋" w:eastAsia="仿宋" w:cs="仿宋"/>
          <w:sz w:val="32"/>
          <w:szCs w:val="32"/>
          <w:lang w:eastAsia="zh-CN"/>
        </w:rPr>
        <w:t>，</w:t>
      </w:r>
      <w:r>
        <w:rPr>
          <w:rFonts w:hint="eastAsia" w:ascii="仿宋_GB2312" w:hAnsi="Times New Roman" w:eastAsia="仿宋_GB2312" w:cs="Times New Roman"/>
          <w:color w:val="auto"/>
          <w:sz w:val="32"/>
          <w:szCs w:val="32"/>
          <w:highlight w:val="none"/>
          <w:lang w:val="en-US" w:eastAsia="zh-CN"/>
        </w:rPr>
        <w:t>绩效自评表详见第四部分附件。</w:t>
      </w:r>
    </w:p>
    <w:p w14:paraId="6C80CCAA">
      <w:pPr>
        <w:spacing w:before="0" w:beforeAutospacing="0" w:after="0" w:line="560" w:lineRule="exact"/>
        <w:ind w:right="0" w:firstLine="640" w:firstLineChars="200"/>
        <w:rPr>
          <w:rFonts w:ascii="仿宋_GB2312" w:hAnsi="仿宋_GB2312" w:eastAsia="仿宋_GB2312" w:cs="仿宋_GB2312"/>
          <w:sz w:val="32"/>
          <w:szCs w:val="32"/>
        </w:rPr>
      </w:pPr>
      <w:r>
        <w:rPr>
          <w:rFonts w:hint="eastAsia" w:ascii="仿宋" w:hAnsi="仿宋" w:eastAsia="仿宋" w:cs="仿宋"/>
          <w:sz w:val="32"/>
          <w:szCs w:val="32"/>
        </w:rPr>
        <w:t>本部门按要求对20</w:t>
      </w:r>
      <w:r>
        <w:rPr>
          <w:rFonts w:hint="eastAsia" w:ascii="仿宋" w:hAnsi="仿宋" w:eastAsia="仿宋" w:cs="仿宋"/>
          <w:sz w:val="32"/>
          <w:szCs w:val="32"/>
          <w:lang w:val="en-US" w:eastAsia="zh-CN"/>
        </w:rPr>
        <w:t>23</w:t>
      </w:r>
      <w:r>
        <w:rPr>
          <w:rFonts w:hint="eastAsia" w:ascii="仿宋" w:hAnsi="仿宋" w:eastAsia="仿宋" w:cs="仿宋"/>
          <w:sz w:val="32"/>
          <w:szCs w:val="32"/>
        </w:rPr>
        <w:t>年部门整体支出开展绩效自评，从评价情况来看</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23年</w:t>
      </w:r>
      <w:r>
        <w:rPr>
          <w:rFonts w:hint="eastAsia" w:ascii="仿宋" w:hAnsi="仿宋" w:eastAsia="仿宋" w:cs="仿宋"/>
          <w:color w:val="000000"/>
          <w:sz w:val="32"/>
          <w:szCs w:val="32"/>
        </w:rPr>
        <w:t>我单位</w:t>
      </w:r>
      <w:r>
        <w:rPr>
          <w:rFonts w:hint="eastAsia" w:ascii="仿宋" w:hAnsi="仿宋" w:eastAsia="仿宋" w:cs="仿宋"/>
          <w:spacing w:val="15"/>
          <w:sz w:val="32"/>
          <w:szCs w:val="32"/>
        </w:rPr>
        <w:t>在</w:t>
      </w:r>
      <w:r>
        <w:rPr>
          <w:rFonts w:hint="eastAsia" w:ascii="仿宋" w:hAnsi="仿宋" w:eastAsia="仿宋" w:cs="仿宋"/>
          <w:spacing w:val="15"/>
          <w:sz w:val="32"/>
          <w:szCs w:val="32"/>
          <w:lang w:eastAsia="zh-CN"/>
        </w:rPr>
        <w:t>县委、县政府</w:t>
      </w:r>
      <w:r>
        <w:rPr>
          <w:rFonts w:hint="eastAsia" w:ascii="仿宋" w:hAnsi="仿宋" w:eastAsia="仿宋" w:cs="仿宋"/>
          <w:spacing w:val="15"/>
          <w:sz w:val="32"/>
          <w:szCs w:val="32"/>
        </w:rPr>
        <w:t>的领导下、</w:t>
      </w:r>
      <w:r>
        <w:rPr>
          <w:rFonts w:hint="eastAsia" w:ascii="仿宋" w:hAnsi="仿宋" w:eastAsia="仿宋"/>
          <w:spacing w:val="15"/>
          <w:sz w:val="32"/>
          <w:szCs w:val="32"/>
        </w:rPr>
        <w:t>州残疾人联合会的指导下，深入贯彻党的十九大、十九届二中、三中全会、习总书记来川视察重要讲话精神、习近平新时代中国特色社会主义思想为指导，紧紧围绕县委、县政府中心工作和构建和谐社会的总体目标，</w:t>
      </w:r>
      <w:r>
        <w:rPr>
          <w:rFonts w:hint="eastAsia" w:ascii="仿宋" w:hAnsi="仿宋" w:eastAsia="仿宋"/>
          <w:sz w:val="32"/>
          <w:szCs w:val="32"/>
        </w:rPr>
        <w:t>按照为残疾人服务的要求，认真实践</w:t>
      </w:r>
      <w:r>
        <w:rPr>
          <w:rFonts w:hint="eastAsia" w:ascii="仿宋" w:hAnsi="仿宋" w:eastAsia="仿宋" w:cs="仿宋"/>
          <w:color w:val="000000"/>
          <w:sz w:val="32"/>
          <w:szCs w:val="32"/>
        </w:rPr>
        <w:t>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w:t>
      </w:r>
      <w:r>
        <w:rPr>
          <w:rFonts w:hint="eastAsia" w:ascii="仿宋" w:hAnsi="仿宋" w:eastAsia="仿宋"/>
          <w:sz w:val="32"/>
          <w:szCs w:val="32"/>
        </w:rPr>
        <w:t>的思想，切实改进工作作风，做到观念上有新转变，思想上有新飞跃，思路上有新调整，工作上有新突破，提升干部形象上有新发展，更好地为我县经济发展和社会和谐稳定提供优质、高效、便捷的服务。</w:t>
      </w:r>
    </w:p>
    <w:p w14:paraId="7E3C3427">
      <w:pPr>
        <w:spacing w:line="580" w:lineRule="exact"/>
        <w:ind w:firstLine="640" w:firstLineChars="200"/>
        <w:rPr>
          <w:rFonts w:hint="eastAsia" w:ascii="楷体_GB2312" w:hAnsi="楷体_GB2312" w:eastAsia="楷体_GB2312" w:cs="楷体_GB2312"/>
          <w:sz w:val="32"/>
          <w:szCs w:val="32"/>
          <w:lang w:eastAsia="zh-CN"/>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14:paraId="3E1ED5A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本部门在202</w:t>
      </w:r>
      <w:r>
        <w:rPr>
          <w:rFonts w:hint="eastAsia" w:ascii="仿宋" w:hAnsi="仿宋" w:eastAsia="仿宋" w:cs="仿宋"/>
          <w:sz w:val="32"/>
          <w:szCs w:val="32"/>
          <w:lang w:val="en-US" w:eastAsia="zh-CN"/>
        </w:rPr>
        <w:t>3</w:t>
      </w:r>
      <w:r>
        <w:rPr>
          <w:rFonts w:hint="eastAsia" w:ascii="仿宋" w:hAnsi="仿宋" w:eastAsia="仿宋" w:cs="仿宋"/>
          <w:sz w:val="32"/>
          <w:szCs w:val="32"/>
        </w:rPr>
        <w:t>年度部门决算中反映</w:t>
      </w:r>
      <w:r>
        <w:rPr>
          <w:rFonts w:hint="eastAsia" w:ascii="仿宋" w:hAnsi="仿宋" w:eastAsia="仿宋" w:cs="仿宋"/>
          <w:sz w:val="32"/>
          <w:szCs w:val="32"/>
          <w:lang w:eastAsia="zh-CN"/>
        </w:rPr>
        <w:t>“残疾人康复”“残疾人体育”“残疾人就业”</w:t>
      </w:r>
      <w:r>
        <w:rPr>
          <w:rFonts w:hint="eastAsia" w:ascii="仿宋" w:hAnsi="仿宋" w:eastAsia="仿宋" w:cs="仿宋"/>
          <w:sz w:val="32"/>
          <w:szCs w:val="32"/>
        </w:rPr>
        <w:t>“</w:t>
      </w:r>
      <w:r>
        <w:rPr>
          <w:rFonts w:hint="eastAsia" w:ascii="仿宋" w:hAnsi="仿宋" w:eastAsia="仿宋" w:cs="仿宋"/>
          <w:sz w:val="32"/>
          <w:szCs w:val="32"/>
          <w:lang w:eastAsia="zh-CN"/>
        </w:rPr>
        <w:t>其他残疾人事业支出</w:t>
      </w:r>
      <w:r>
        <w:rPr>
          <w:rFonts w:hint="eastAsia" w:ascii="仿宋" w:hAnsi="仿宋" w:eastAsia="仿宋" w:cs="仿宋"/>
          <w:sz w:val="32"/>
          <w:szCs w:val="32"/>
        </w:rPr>
        <w:t>”</w:t>
      </w:r>
      <w:r>
        <w:rPr>
          <w:rFonts w:hint="eastAsia" w:ascii="仿宋" w:hAnsi="仿宋" w:eastAsia="仿宋" w:cs="仿宋"/>
          <w:sz w:val="32"/>
          <w:szCs w:val="32"/>
          <w:lang w:eastAsia="zh-CN"/>
        </w:rPr>
        <w:t>“用于体育事业的彩票公益金支出”</w:t>
      </w:r>
      <w:r>
        <w:rPr>
          <w:rFonts w:hint="eastAsia" w:ascii="仿宋" w:hAnsi="仿宋" w:eastAsia="仿宋" w:cs="仿宋"/>
          <w:sz w:val="32"/>
          <w:szCs w:val="32"/>
        </w:rPr>
        <w:t>“用于残疾人事业的彩票公益金支出”等</w:t>
      </w:r>
      <w:r>
        <w:rPr>
          <w:rFonts w:hint="eastAsia" w:ascii="仿宋" w:hAnsi="仿宋" w:eastAsia="仿宋" w:cs="仿宋"/>
          <w:sz w:val="32"/>
          <w:szCs w:val="32"/>
          <w:lang w:val="en-US" w:eastAsia="zh-CN"/>
        </w:rPr>
        <w:t>6</w:t>
      </w:r>
      <w:r>
        <w:rPr>
          <w:rFonts w:hint="eastAsia" w:ascii="仿宋" w:hAnsi="仿宋" w:eastAsia="仿宋" w:cs="仿宋"/>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14:paraId="54CDD285">
      <w:pPr>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）残疾人康复支出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4</w:t>
      </w:r>
      <w:r>
        <w:rPr>
          <w:rFonts w:hint="eastAsia" w:ascii="仿宋" w:hAnsi="仿宋" w:eastAsia="仿宋" w:cs="仿宋"/>
          <w:sz w:val="32"/>
          <w:szCs w:val="32"/>
        </w:rPr>
        <w:t>万元，</w:t>
      </w:r>
      <w:r>
        <w:rPr>
          <w:rFonts w:hint="eastAsia" w:ascii="仿宋" w:hAnsi="仿宋" w:eastAsia="仿宋" w:cs="仿宋"/>
          <w:sz w:val="32"/>
          <w:szCs w:val="32"/>
          <w:lang w:eastAsia="zh-CN"/>
        </w:rPr>
        <w:t>上年结转</w:t>
      </w:r>
      <w:r>
        <w:rPr>
          <w:rFonts w:hint="eastAsia" w:ascii="仿宋" w:hAnsi="仿宋" w:eastAsia="仿宋" w:cs="仿宋"/>
          <w:sz w:val="32"/>
          <w:szCs w:val="32"/>
          <w:lang w:val="en-US" w:eastAsia="zh-CN"/>
        </w:rPr>
        <w:t>0万元，</w:t>
      </w:r>
      <w:r>
        <w:rPr>
          <w:rFonts w:hint="eastAsia" w:ascii="仿宋" w:hAnsi="仿宋" w:eastAsia="仿宋" w:cs="仿宋"/>
          <w:sz w:val="32"/>
          <w:szCs w:val="32"/>
        </w:rPr>
        <w:t>执行数为</w:t>
      </w:r>
      <w:r>
        <w:rPr>
          <w:rFonts w:hint="eastAsia" w:ascii="仿宋" w:hAnsi="仿宋" w:eastAsia="仿宋" w:cs="仿宋"/>
          <w:sz w:val="32"/>
          <w:szCs w:val="32"/>
          <w:lang w:val="en-US" w:eastAsia="zh-CN"/>
        </w:rPr>
        <w:t>4</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w:t>
      </w:r>
      <w:r>
        <w:rPr>
          <w:rFonts w:hint="eastAsia" w:ascii="仿宋_GB2312" w:eastAsia="仿宋_GB2312"/>
          <w:sz w:val="32"/>
          <w:szCs w:val="32"/>
          <w:lang w:eastAsia="zh-CN"/>
        </w:rPr>
        <w:t>为符合条件的0-6岁残疾儿童提供人工耳蜗及助听器验配、肢体矫治手术、功能训练等基本康复服务，改善残疾儿童功能状况不断提高残疾儿童生活自理能力，增强社会参与；为早期干预试点地区有需求的小龄听力、肢体等残疾儿童提供亲子同训、家长培训等以家庭为中心的早期干预康复服务，改善残疾儿童功能状况，不断提高残疾儿童生活自理能力，增强社会参与。</w:t>
      </w:r>
    </w:p>
    <w:p w14:paraId="3B6D3AD8">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jc w:val="both"/>
        <w:textAlignment w:val="auto"/>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6F9050A9">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0D6F290C">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）残疾人就业支出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33.22</w:t>
      </w:r>
      <w:r>
        <w:rPr>
          <w:rFonts w:hint="eastAsia" w:ascii="仿宋" w:hAnsi="仿宋" w:eastAsia="仿宋" w:cs="仿宋"/>
          <w:sz w:val="32"/>
          <w:szCs w:val="32"/>
        </w:rPr>
        <w:t>万元，</w:t>
      </w:r>
      <w:r>
        <w:rPr>
          <w:rFonts w:hint="eastAsia" w:ascii="仿宋" w:hAnsi="仿宋" w:eastAsia="仿宋" w:cs="仿宋"/>
          <w:sz w:val="32"/>
          <w:szCs w:val="32"/>
          <w:lang w:eastAsia="zh-CN"/>
        </w:rPr>
        <w:t>上年结转</w:t>
      </w:r>
      <w:r>
        <w:rPr>
          <w:rFonts w:hint="eastAsia" w:ascii="仿宋" w:hAnsi="仿宋" w:eastAsia="仿宋" w:cs="仿宋"/>
          <w:sz w:val="32"/>
          <w:szCs w:val="32"/>
          <w:lang w:val="en-US" w:eastAsia="zh-CN"/>
        </w:rPr>
        <w:t>0万元，</w:t>
      </w:r>
      <w:r>
        <w:rPr>
          <w:rFonts w:hint="eastAsia" w:ascii="仿宋" w:hAnsi="仿宋" w:eastAsia="仿宋" w:cs="仿宋"/>
          <w:sz w:val="32"/>
          <w:szCs w:val="32"/>
        </w:rPr>
        <w:t>执行数为</w:t>
      </w:r>
      <w:r>
        <w:rPr>
          <w:rFonts w:hint="eastAsia" w:ascii="仿宋" w:hAnsi="仿宋" w:eastAsia="仿宋" w:cs="仿宋"/>
          <w:sz w:val="32"/>
          <w:szCs w:val="32"/>
          <w:lang w:val="en-US" w:eastAsia="zh-CN"/>
        </w:rPr>
        <w:t>33.22</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%。通过项目实施，保障</w:t>
      </w:r>
      <w:r>
        <w:rPr>
          <w:rFonts w:hint="eastAsia" w:ascii="仿宋" w:hAnsi="仿宋" w:eastAsia="仿宋" w:cs="仿宋"/>
          <w:sz w:val="32"/>
          <w:szCs w:val="32"/>
          <w:lang w:eastAsia="zh-CN"/>
        </w:rPr>
        <w:t>全面支持落实好残疾人就业等扶持政策，健全残疾人权益保障制度和扶残助残服务体系，提升残疾人基本公共服务保障水平。目标1：通过开展残疾人居家灵活就业项目帮助残疾人实现居家灵活就业，鼓励、扶持、带动更多残疾人更好地实现就业（创业），提高残疾人就业保障金使用绩效。</w:t>
      </w:r>
    </w:p>
    <w:p w14:paraId="5BE1CA6A">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jc w:val="both"/>
        <w:textAlignment w:val="auto"/>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198F5588">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4BA56DB5">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）残疾人体育支出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2.10</w:t>
      </w:r>
      <w:r>
        <w:rPr>
          <w:rFonts w:hint="eastAsia" w:ascii="仿宋" w:hAnsi="仿宋" w:eastAsia="仿宋" w:cs="仿宋"/>
          <w:sz w:val="32"/>
          <w:szCs w:val="32"/>
        </w:rPr>
        <w:t>万元，</w:t>
      </w:r>
      <w:r>
        <w:rPr>
          <w:rFonts w:hint="eastAsia" w:ascii="仿宋" w:hAnsi="仿宋" w:eastAsia="仿宋" w:cs="仿宋"/>
          <w:sz w:val="32"/>
          <w:szCs w:val="32"/>
          <w:lang w:eastAsia="zh-CN"/>
        </w:rPr>
        <w:t>上年结转</w:t>
      </w:r>
      <w:r>
        <w:rPr>
          <w:rFonts w:hint="eastAsia" w:ascii="仿宋" w:hAnsi="仿宋" w:eastAsia="仿宋" w:cs="仿宋"/>
          <w:sz w:val="32"/>
          <w:szCs w:val="32"/>
          <w:lang w:val="en-US" w:eastAsia="zh-CN"/>
        </w:rPr>
        <w:t>0万元，</w:t>
      </w:r>
      <w:r>
        <w:rPr>
          <w:rFonts w:hint="eastAsia" w:ascii="仿宋" w:hAnsi="仿宋" w:eastAsia="仿宋" w:cs="仿宋"/>
          <w:sz w:val="32"/>
          <w:szCs w:val="32"/>
        </w:rPr>
        <w:t>执行数为</w:t>
      </w:r>
      <w:r>
        <w:rPr>
          <w:rFonts w:hint="eastAsia" w:ascii="仿宋" w:hAnsi="仿宋" w:eastAsia="仿宋" w:cs="仿宋"/>
          <w:sz w:val="32"/>
          <w:szCs w:val="32"/>
          <w:lang w:val="en-US" w:eastAsia="zh-CN"/>
        </w:rPr>
        <w:t>2.10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w:t>
      </w:r>
      <w:bookmarkStart w:id="120" w:name="OLE_LINK12"/>
      <w:r>
        <w:rPr>
          <w:rFonts w:hint="eastAsia" w:ascii="仿宋" w:hAnsi="仿宋" w:eastAsia="仿宋" w:cs="仿宋"/>
          <w:sz w:val="32"/>
          <w:szCs w:val="32"/>
        </w:rPr>
        <w:t>保障</w:t>
      </w:r>
      <w:r>
        <w:rPr>
          <w:rFonts w:hint="eastAsia" w:ascii="仿宋" w:hAnsi="仿宋" w:eastAsia="仿宋" w:cs="仿宋"/>
          <w:sz w:val="32"/>
          <w:szCs w:val="32"/>
          <w:lang w:eastAsia="zh-CN"/>
        </w:rPr>
        <w:t>全面支持落实好残疾人体育等扶持政策，健全残疾人权益保障制度和扶残助残服务体系，提升残疾人体育事业。目标1：通过开展残疾人体育项目帮助残疾人实现增强体质、康复身心、参与社会、实现全面发展的有效途径。</w:t>
      </w:r>
    </w:p>
    <w:bookmarkEnd w:id="120"/>
    <w:p w14:paraId="4862AEFC">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jc w:val="both"/>
        <w:textAlignment w:val="auto"/>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38E25041">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0E2D8BD2">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bookmarkStart w:id="121" w:name="OLE_LINK11"/>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）其他残疾人事业支出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175.09</w:t>
      </w:r>
      <w:r>
        <w:rPr>
          <w:rFonts w:hint="eastAsia" w:ascii="仿宋" w:hAnsi="仿宋" w:eastAsia="仿宋" w:cs="仿宋"/>
          <w:sz w:val="32"/>
          <w:szCs w:val="32"/>
        </w:rPr>
        <w:t>万元，</w:t>
      </w:r>
      <w:r>
        <w:rPr>
          <w:rFonts w:hint="eastAsia" w:ascii="仿宋" w:hAnsi="仿宋" w:eastAsia="仿宋" w:cs="仿宋"/>
          <w:sz w:val="32"/>
          <w:szCs w:val="32"/>
          <w:lang w:eastAsia="zh-CN"/>
        </w:rPr>
        <w:t>上年结转</w:t>
      </w:r>
      <w:r>
        <w:rPr>
          <w:rFonts w:hint="eastAsia" w:ascii="仿宋" w:hAnsi="仿宋" w:eastAsia="仿宋" w:cs="仿宋"/>
          <w:sz w:val="32"/>
          <w:szCs w:val="32"/>
          <w:lang w:val="en-US" w:eastAsia="zh-CN"/>
        </w:rPr>
        <w:t>0万元，</w:t>
      </w:r>
      <w:r>
        <w:rPr>
          <w:rFonts w:hint="eastAsia" w:ascii="仿宋" w:hAnsi="仿宋" w:eastAsia="仿宋" w:cs="仿宋"/>
          <w:sz w:val="32"/>
          <w:szCs w:val="32"/>
        </w:rPr>
        <w:t>执行数为</w:t>
      </w:r>
      <w:r>
        <w:rPr>
          <w:rFonts w:hint="eastAsia" w:ascii="仿宋" w:hAnsi="仿宋" w:eastAsia="仿宋" w:cs="仿宋"/>
          <w:sz w:val="32"/>
          <w:szCs w:val="32"/>
          <w:lang w:val="en-US" w:eastAsia="zh-CN"/>
        </w:rPr>
        <w:t>175.09</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%。通过项目实施，保障</w:t>
      </w:r>
      <w:r>
        <w:rPr>
          <w:rFonts w:hint="eastAsia" w:ascii="仿宋" w:hAnsi="仿宋" w:eastAsia="仿宋" w:cs="仿宋"/>
          <w:sz w:val="32"/>
          <w:szCs w:val="32"/>
          <w:lang w:eastAsia="zh-CN"/>
        </w:rPr>
        <w:t>全面支持落实好残疾人就业、医疗康复、社会保障等扶持政策，健全残疾人权益保障制度和扶残助残服务体系，提升残疾人基本公共服务保障水平。目标1：通过开展残疾人居家灵活就业项目帮助残疾人实现居家灵活就业，鼓励、扶持、带动更多残疾人更好地实现就业（创业），提高残疾人就业保障金使用绩效。目标</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：通过“阳光家园计划”项目年度工作的实施，帮助残疾人得到托养照料；目标</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：为残疾人机动轮椅车车主发放燃油补贴，弥补残疾人出行成本。</w:t>
      </w:r>
    </w:p>
    <w:p w14:paraId="6A82A00A">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jc w:val="both"/>
        <w:textAlignment w:val="auto"/>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71926124">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bookmarkEnd w:id="121"/>
    <w:p w14:paraId="73E5BCC1">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用于体育事业的彩票公益金支出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0.73</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0.73</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通过开展残疾人体育事业项目支出全面支持落实好残疾人体育等扶持政策，健全残疾人权益保障制度和扶残助残服务体系，提升残疾人体育事业。目标1：通过开展残疾人体育项目帮助残疾人实现增强体质、康复身心、参与社会、实现全面发展的有效途径。</w:t>
      </w:r>
    </w:p>
    <w:p w14:paraId="54C1F164">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59CD33F4">
      <w:pPr>
        <w:spacing w:line="58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7002AB06">
      <w:pPr>
        <w:numPr>
          <w:ilvl w:val="0"/>
          <w:numId w:val="3"/>
        </w:numPr>
        <w:spacing w:line="5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用于残疾人事业的彩票公益金支出项目绩效目标完成情况综述。项目全年预算数</w:t>
      </w:r>
      <w:r>
        <w:rPr>
          <w:rFonts w:hint="eastAsia" w:ascii="仿宋" w:hAnsi="仿宋" w:eastAsia="仿宋" w:cs="仿宋"/>
          <w:sz w:val="32"/>
          <w:szCs w:val="32"/>
          <w:lang w:val="en-US" w:eastAsia="zh-CN"/>
        </w:rPr>
        <w:t>11.2</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11.2</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%。通过项目实施，保障</w:t>
      </w:r>
      <w:r>
        <w:rPr>
          <w:rFonts w:hint="eastAsia" w:ascii="仿宋" w:hAnsi="仿宋" w:eastAsia="仿宋" w:cs="仿宋"/>
          <w:sz w:val="32"/>
          <w:szCs w:val="32"/>
          <w:lang w:eastAsia="zh-CN"/>
        </w:rPr>
        <w:t>：1.为符合条件的0-6岁残疾儿童提供人工耳蜗及助听器验配、肢体矫治手术、功能训练等基本康复服务，改善残疾儿童功能状况不断提高残疾儿童生活自理能力，增强社会参与；为早期干预试点地区有需求的小龄听力、肢体等残疾儿童提供亲子同训、家长培训等以家庭为中心的早期干预康复服务，改善残疾儿童功能状况，不断提高残疾儿童生活自理能力，增强社会参与。2.支持困难重度残疾人实施家庭无障碍改造，改善残疾人居家环境。</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.为困难智力、精神和重度残疾人提供残疾评定补贴，减轻残疾人经济负担。</w:t>
      </w:r>
      <w:r>
        <w:rPr>
          <w:rFonts w:hint="eastAsia" w:ascii="仿宋" w:hAnsi="仿宋" w:eastAsia="仿宋" w:cs="仿宋"/>
          <w:sz w:val="32"/>
          <w:szCs w:val="32"/>
          <w:lang w:val="en-US" w:eastAsia="zh-CN"/>
        </w:rPr>
        <w:t>4.通过实施残疾人文化进家庭“五个一”，残疾人参与文化活动需要得到满足。</w:t>
      </w:r>
    </w:p>
    <w:p w14:paraId="02CA90AC">
      <w:pPr>
        <w:numPr>
          <w:ilvl w:val="0"/>
          <w:numId w:val="0"/>
        </w:numPr>
        <w:spacing w:line="540" w:lineRule="exact"/>
        <w:jc w:val="left"/>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7E4F7083">
      <w:pPr>
        <w:numPr>
          <w:ilvl w:val="0"/>
          <w:numId w:val="0"/>
        </w:numPr>
        <w:spacing w:line="540" w:lineRule="exact"/>
        <w:jc w:val="left"/>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65922BA5">
      <w:pPr>
        <w:spacing w:line="58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14:paraId="4A92BC0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本部门按要求对202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年部门整体支出绩效评价情况开展自评，《</w:t>
      </w:r>
      <w:r>
        <w:rPr>
          <w:rFonts w:hint="eastAsia" w:ascii="仿宋" w:hAnsi="仿宋" w:eastAsia="仿宋" w:cs="仿宋"/>
          <w:sz w:val="32"/>
          <w:szCs w:val="32"/>
          <w:lang w:eastAsia="zh-CN"/>
        </w:rPr>
        <w:t>松潘县残疾人联合会</w:t>
      </w:r>
      <w:r>
        <w:rPr>
          <w:rFonts w:hint="eastAsia" w:ascii="仿宋" w:hAnsi="仿宋" w:eastAsia="仿宋" w:cs="仿宋"/>
          <w:sz w:val="32"/>
          <w:szCs w:val="32"/>
        </w:rPr>
        <w:t>部门202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w:t>
      </w:r>
      <w:r>
        <w:rPr>
          <w:rFonts w:hint="eastAsia" w:ascii="仿宋" w:hAnsi="仿宋" w:eastAsia="仿宋" w:cs="仿宋"/>
          <w:sz w:val="32"/>
          <w:szCs w:val="32"/>
          <w:lang w:eastAsia="zh-CN"/>
        </w:rPr>
        <w:t>预算</w:t>
      </w:r>
      <w:r>
        <w:rPr>
          <w:rFonts w:hint="eastAsia" w:ascii="仿宋" w:hAnsi="仿宋" w:eastAsia="仿宋" w:cs="仿宋"/>
          <w:sz w:val="32"/>
          <w:szCs w:val="32"/>
        </w:rPr>
        <w:t>绩效评价报告》见附件（附件1）。</w:t>
      </w:r>
    </w:p>
    <w:p w14:paraId="635C8A43">
      <w:pPr>
        <w:spacing w:line="580" w:lineRule="exact"/>
        <w:ind w:firstLine="640" w:firstLineChars="200"/>
        <w:rPr>
          <w:rFonts w:hint="eastAsia" w:ascii="仿宋" w:hAnsi="仿宋" w:eastAsia="仿宋" w:cs="仿宋"/>
          <w:b/>
          <w:color w:val="000000"/>
          <w:sz w:val="32"/>
          <w:szCs w:val="32"/>
        </w:rPr>
      </w:pPr>
      <w:r>
        <w:rPr>
          <w:rFonts w:hint="eastAsia" w:ascii="仿宋" w:hAnsi="仿宋" w:eastAsia="仿宋" w:cs="仿宋"/>
          <w:sz w:val="32"/>
          <w:szCs w:val="32"/>
        </w:rPr>
        <w:t>本部门自行组织对</w:t>
      </w:r>
      <w:r>
        <w:rPr>
          <w:rFonts w:hint="eastAsia" w:ascii="仿宋" w:hAnsi="仿宋" w:eastAsia="仿宋" w:cs="仿宋"/>
          <w:sz w:val="32"/>
          <w:szCs w:val="32"/>
          <w:lang w:val="en-US" w:eastAsia="zh-CN"/>
        </w:rPr>
        <w:t>0</w:t>
      </w:r>
      <w:r>
        <w:rPr>
          <w:rFonts w:hint="eastAsia" w:ascii="仿宋" w:hAnsi="仿宋" w:eastAsia="仿宋" w:cs="仿宋"/>
          <w:sz w:val="32"/>
          <w:szCs w:val="32"/>
        </w:rPr>
        <w:t>项目、</w:t>
      </w:r>
      <w:r>
        <w:rPr>
          <w:rFonts w:hint="eastAsia" w:ascii="仿宋" w:hAnsi="仿宋" w:eastAsia="仿宋" w:cs="仿宋"/>
          <w:sz w:val="32"/>
          <w:szCs w:val="32"/>
          <w:lang w:val="en-US" w:eastAsia="zh-CN"/>
        </w:rPr>
        <w:t>0</w:t>
      </w:r>
      <w:r>
        <w:rPr>
          <w:rFonts w:hint="eastAsia" w:ascii="仿宋" w:hAnsi="仿宋" w:eastAsia="仿宋" w:cs="仿宋"/>
          <w:sz w:val="32"/>
          <w:szCs w:val="32"/>
        </w:rPr>
        <w:t>项目开展了绩效评价，《XXX项目202</w:t>
      </w:r>
      <w:r>
        <w:rPr>
          <w:rFonts w:hint="eastAsia" w:ascii="仿宋" w:hAnsi="仿宋" w:eastAsia="仿宋" w:cs="仿宋"/>
          <w:sz w:val="32"/>
          <w:szCs w:val="32"/>
          <w:lang w:val="en-US" w:eastAsia="zh-CN"/>
        </w:rPr>
        <w:t>3</w:t>
      </w:r>
      <w:r>
        <w:rPr>
          <w:rFonts w:hint="eastAsia" w:ascii="仿宋" w:hAnsi="仿宋" w:eastAsia="仿宋" w:cs="仿宋"/>
          <w:sz w:val="32"/>
          <w:szCs w:val="32"/>
        </w:rPr>
        <w:t>年绩效评价报告》见附件（附件2）。（非涉密部门均需公开部门整体支出评价报告，部门自行组织的绩效评价情况根据部门实际公开，若未组织项目绩效评价，则只需说明部门整体支出绩效评价情况）</w:t>
      </w:r>
    </w:p>
    <w:p w14:paraId="1CE637D6">
      <w:pPr>
        <w:pStyle w:val="2"/>
      </w:pPr>
    </w:p>
    <w:p w14:paraId="4191586D"/>
    <w:p w14:paraId="0ED6E3F5"/>
    <w:p w14:paraId="64B8BAB1"/>
    <w:p w14:paraId="7802A3C5"/>
    <w:p w14:paraId="57C76EF1"/>
    <w:p w14:paraId="618B78E0"/>
    <w:p w14:paraId="75D24688"/>
    <w:p w14:paraId="0308E8AF"/>
    <w:p w14:paraId="7D619F3C"/>
    <w:p w14:paraId="1422C31F"/>
    <w:p w14:paraId="588A206E"/>
    <w:p w14:paraId="383743A0"/>
    <w:p w14:paraId="6593BF09"/>
    <w:p w14:paraId="55675608"/>
    <w:p w14:paraId="039BD4A6">
      <w:pPr>
        <w:pStyle w:val="14"/>
      </w:pPr>
    </w:p>
    <w:p w14:paraId="041ABACE">
      <w:pPr>
        <w:pStyle w:val="14"/>
      </w:pPr>
    </w:p>
    <w:p w14:paraId="46AD2690">
      <w:pPr>
        <w:pStyle w:val="14"/>
      </w:pPr>
    </w:p>
    <w:p w14:paraId="26F30B09">
      <w:pPr>
        <w:pStyle w:val="14"/>
      </w:pPr>
    </w:p>
    <w:p w14:paraId="19D0D52F">
      <w:pPr>
        <w:pStyle w:val="14"/>
      </w:pPr>
    </w:p>
    <w:p w14:paraId="572FC9B0">
      <w:pPr>
        <w:pStyle w:val="14"/>
      </w:pPr>
    </w:p>
    <w:p w14:paraId="745AFA25">
      <w:pPr>
        <w:numPr>
          <w:ilvl w:val="0"/>
          <w:numId w:val="4"/>
        </w:numPr>
        <w:spacing w:line="600" w:lineRule="exact"/>
        <w:ind w:firstLine="660" w:firstLineChars="150"/>
        <w:jc w:val="center"/>
        <w:outlineLvl w:val="0"/>
        <w:rPr>
          <w:rFonts w:ascii="宋体"/>
          <w:b/>
          <w:color w:val="000000"/>
          <w:sz w:val="44"/>
          <w:szCs w:val="44"/>
        </w:rPr>
      </w:pPr>
      <w:bookmarkStart w:id="122" w:name="_Toc15396613"/>
      <w:bookmarkStart w:id="123" w:name="_Toc15377225"/>
      <w:bookmarkStart w:id="124" w:name="_Toc79163879"/>
      <w:bookmarkStart w:id="125" w:name="_Toc79163629"/>
      <w:r>
        <w:rPr>
          <w:rFonts w:hint="eastAsia" w:ascii="黑体" w:hAnsi="黑体" w:eastAsia="黑体"/>
          <w:color w:val="000000"/>
          <w:sz w:val="44"/>
          <w:szCs w:val="44"/>
        </w:rPr>
        <w:t>名</w:t>
      </w:r>
      <w:r>
        <w:rPr>
          <w:rStyle w:val="26"/>
          <w:rFonts w:hint="eastAsia" w:ascii="黑体" w:hAnsi="黑体" w:eastAsia="黑体"/>
          <w:b w:val="0"/>
        </w:rPr>
        <w:t>词解释</w:t>
      </w:r>
      <w:bookmarkEnd w:id="122"/>
      <w:bookmarkEnd w:id="123"/>
      <w:bookmarkEnd w:id="124"/>
      <w:bookmarkEnd w:id="125"/>
    </w:p>
    <w:p w14:paraId="0E6582F1">
      <w:pPr>
        <w:spacing w:line="576" w:lineRule="exact"/>
        <w:rPr>
          <w:rFonts w:ascii="仿宋" w:hAnsi="仿宋" w:eastAsia="仿宋" w:cs="仿宋"/>
          <w:b w:val="0"/>
          <w:bCs w:val="0"/>
          <w:sz w:val="32"/>
          <w:szCs w:val="32"/>
        </w:rPr>
      </w:pPr>
      <w:r>
        <w:rPr>
          <w:rFonts w:ascii="仿宋" w:hAnsi="仿宋" w:eastAsia="仿宋" w:cs="仿宋"/>
          <w:b w:val="0"/>
          <w:bCs w:val="0"/>
          <w:sz w:val="32"/>
          <w:szCs w:val="32"/>
        </w:rPr>
        <w:t>1.</w:t>
      </w:r>
      <w:r>
        <w:rPr>
          <w:rFonts w:hint="eastAsia" w:ascii="仿宋" w:hAnsi="仿宋" w:eastAsia="仿宋" w:cs="仿宋"/>
          <w:b w:val="0"/>
          <w:bCs w:val="0"/>
          <w:sz w:val="32"/>
          <w:szCs w:val="32"/>
        </w:rPr>
        <w:t>财政拨款收入：指县级财政当年拨付的资金。</w:t>
      </w:r>
    </w:p>
    <w:p w14:paraId="77F57B47">
      <w:pPr>
        <w:spacing w:line="576" w:lineRule="exact"/>
        <w:rPr>
          <w:rFonts w:ascii="仿宋" w:hAnsi="仿宋" w:eastAsia="仿宋" w:cs="仿宋"/>
          <w:b w:val="0"/>
          <w:bCs w:val="0"/>
          <w:sz w:val="32"/>
          <w:szCs w:val="32"/>
        </w:rPr>
      </w:pPr>
      <w:r>
        <w:rPr>
          <w:rFonts w:ascii="仿宋" w:hAnsi="仿宋" w:eastAsia="仿宋" w:cs="仿宋"/>
          <w:b w:val="0"/>
          <w:bCs w:val="0"/>
          <w:sz w:val="32"/>
          <w:szCs w:val="32"/>
        </w:rPr>
        <w:t>2.</w:t>
      </w:r>
      <w:r>
        <w:rPr>
          <w:rFonts w:hint="eastAsia" w:ascii="仿宋" w:hAnsi="仿宋" w:eastAsia="仿宋" w:cs="仿宋"/>
          <w:b w:val="0"/>
          <w:bCs w:val="0"/>
          <w:sz w:val="32"/>
          <w:szCs w:val="32"/>
        </w:rPr>
        <w:t>年初结转和结余：指以前年度尚未完成、结转到本年按有关规定继续使用的资金。</w:t>
      </w:r>
      <w:r>
        <w:rPr>
          <w:rFonts w:ascii="仿宋" w:hAnsi="仿宋" w:eastAsia="仿宋" w:cs="仿宋"/>
          <w:b w:val="0"/>
          <w:bCs w:val="0"/>
          <w:sz w:val="32"/>
          <w:szCs w:val="32"/>
        </w:rPr>
        <w:t xml:space="preserve"> </w:t>
      </w:r>
    </w:p>
    <w:p w14:paraId="17334451">
      <w:pPr>
        <w:spacing w:line="576" w:lineRule="exact"/>
        <w:rPr>
          <w:rFonts w:ascii="仿宋" w:hAnsi="仿宋" w:eastAsia="仿宋" w:cs="Times New Roman"/>
          <w:b w:val="0"/>
          <w:bCs w:val="0"/>
          <w:sz w:val="32"/>
          <w:szCs w:val="32"/>
        </w:rPr>
      </w:pPr>
      <w:r>
        <w:rPr>
          <w:rFonts w:ascii="仿宋" w:hAnsi="仿宋" w:eastAsia="仿宋" w:cs="仿宋"/>
          <w:b w:val="0"/>
          <w:bCs w:val="0"/>
          <w:sz w:val="32"/>
          <w:szCs w:val="32"/>
        </w:rPr>
        <w:t>3.</w:t>
      </w:r>
      <w:r>
        <w:rPr>
          <w:rFonts w:hint="eastAsia" w:ascii="仿宋" w:hAnsi="仿宋" w:eastAsia="仿宋" w:cs="仿宋"/>
          <w:b w:val="0"/>
          <w:bCs w:val="0"/>
          <w:sz w:val="32"/>
          <w:szCs w:val="32"/>
        </w:rPr>
        <w:t>社会保障和就业</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民政管理事务行政运行，</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05</w:t>
      </w:r>
      <w:r>
        <w:rPr>
          <w:rFonts w:hint="eastAsia" w:ascii="仿宋" w:hAnsi="仿宋" w:eastAsia="仿宋" w:cs="仿宋"/>
          <w:b w:val="0"/>
          <w:bCs w:val="0"/>
          <w:sz w:val="32"/>
          <w:szCs w:val="32"/>
        </w:rPr>
        <w:t>（项）</w:t>
      </w:r>
      <w:r>
        <w:rPr>
          <w:rFonts w:ascii="仿宋" w:hAnsi="仿宋" w:eastAsia="仿宋" w:cs="仿宋"/>
          <w:b w:val="0"/>
          <w:bCs w:val="0"/>
          <w:sz w:val="32"/>
          <w:szCs w:val="32"/>
        </w:rPr>
        <w:t>05</w:t>
      </w:r>
      <w:r>
        <w:rPr>
          <w:rFonts w:hint="eastAsia" w:ascii="仿宋" w:hAnsi="仿宋" w:eastAsia="仿宋" w:cs="仿宋"/>
          <w:b w:val="0"/>
          <w:bCs w:val="0"/>
          <w:sz w:val="32"/>
          <w:szCs w:val="32"/>
        </w:rPr>
        <w:t>指机关事业单位基本养老保险</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01</w:t>
      </w:r>
      <w:r>
        <w:rPr>
          <w:rFonts w:hint="eastAsia" w:ascii="仿宋" w:hAnsi="仿宋" w:eastAsia="仿宋" w:cs="仿宋"/>
          <w:b w:val="0"/>
          <w:bCs w:val="0"/>
          <w:sz w:val="32"/>
          <w:szCs w:val="32"/>
        </w:rPr>
        <w:t>指行政运行。（类）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一般行政管理事务，</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04</w:t>
      </w:r>
      <w:r>
        <w:rPr>
          <w:rFonts w:hint="eastAsia" w:ascii="仿宋" w:hAnsi="仿宋" w:eastAsia="仿宋" w:cs="仿宋"/>
          <w:b w:val="0"/>
          <w:bCs w:val="0"/>
          <w:sz w:val="32"/>
          <w:szCs w:val="32"/>
        </w:rPr>
        <w:t>指残疾人康复</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05</w:t>
      </w:r>
      <w:r>
        <w:rPr>
          <w:rFonts w:hint="eastAsia" w:ascii="仿宋" w:hAnsi="仿宋" w:eastAsia="仿宋" w:cs="仿宋"/>
          <w:b w:val="0"/>
          <w:bCs w:val="0"/>
          <w:sz w:val="32"/>
          <w:szCs w:val="32"/>
        </w:rPr>
        <w:t>指残疾人就业和扶贫</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指残疾人体育</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指残疾人生活和护理补贴</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99</w:t>
      </w:r>
      <w:r>
        <w:rPr>
          <w:rFonts w:hint="eastAsia" w:ascii="仿宋" w:hAnsi="仿宋" w:eastAsia="仿宋" w:cs="仿宋"/>
          <w:b w:val="0"/>
          <w:bCs w:val="0"/>
          <w:sz w:val="32"/>
          <w:szCs w:val="32"/>
        </w:rPr>
        <w:t>指其他残疾人事业支出。</w:t>
      </w:r>
    </w:p>
    <w:p w14:paraId="1F5BBABF">
      <w:pPr>
        <w:spacing w:line="576" w:lineRule="exact"/>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ascii="仿宋" w:hAnsi="仿宋" w:eastAsia="仿宋" w:cs="仿宋"/>
          <w:b w:val="0"/>
          <w:bCs w:val="0"/>
          <w:sz w:val="32"/>
          <w:szCs w:val="32"/>
        </w:rPr>
        <w:t>.</w:t>
      </w:r>
      <w:r>
        <w:rPr>
          <w:rFonts w:hint="eastAsia" w:ascii="仿宋" w:hAnsi="仿宋" w:eastAsia="仿宋" w:cs="仿宋"/>
          <w:b w:val="0"/>
          <w:bCs w:val="0"/>
          <w:sz w:val="32"/>
          <w:szCs w:val="32"/>
          <w:lang w:eastAsia="zh-CN"/>
        </w:rPr>
        <w:t>卫生健康</w:t>
      </w:r>
      <w:r>
        <w:rPr>
          <w:rFonts w:hint="eastAsia" w:ascii="仿宋" w:hAnsi="仿宋" w:eastAsia="仿宋" w:cs="仿宋"/>
          <w:b w:val="0"/>
          <w:bCs w:val="0"/>
          <w:sz w:val="32"/>
          <w:szCs w:val="32"/>
        </w:rPr>
        <w:t>（类）</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210</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val="en-US" w:eastAsia="zh-CN"/>
        </w:rPr>
        <w:t>01</w:t>
      </w:r>
      <w:r>
        <w:rPr>
          <w:rFonts w:hint="eastAsia" w:ascii="仿宋" w:hAnsi="仿宋" w:eastAsia="仿宋" w:cs="仿宋"/>
          <w:b w:val="0"/>
          <w:bCs w:val="0"/>
          <w:sz w:val="32"/>
          <w:szCs w:val="32"/>
        </w:rPr>
        <w:t>（项）</w:t>
      </w:r>
      <w:r>
        <w:rPr>
          <w:rFonts w:ascii="仿宋" w:hAnsi="仿宋" w:eastAsia="仿宋" w:cs="仿宋"/>
          <w:b w:val="0"/>
          <w:bCs w:val="0"/>
          <w:sz w:val="32"/>
          <w:szCs w:val="32"/>
        </w:rPr>
        <w:t>01</w:t>
      </w:r>
      <w:r>
        <w:rPr>
          <w:rFonts w:hint="eastAsia" w:ascii="仿宋" w:hAnsi="仿宋" w:eastAsia="仿宋" w:cs="仿宋"/>
          <w:b w:val="0"/>
          <w:bCs w:val="0"/>
          <w:sz w:val="32"/>
          <w:szCs w:val="32"/>
        </w:rPr>
        <w:t>指行政单位医疗</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210</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val="en-US" w:eastAsia="zh-CN"/>
        </w:rPr>
        <w:t>01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事业</w:t>
      </w:r>
      <w:r>
        <w:rPr>
          <w:rFonts w:hint="eastAsia" w:ascii="仿宋" w:hAnsi="仿宋" w:eastAsia="仿宋" w:cs="仿宋"/>
          <w:b w:val="0"/>
          <w:bCs w:val="0"/>
          <w:sz w:val="32"/>
          <w:szCs w:val="32"/>
        </w:rPr>
        <w:t>单位医疗</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210</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val="en-US" w:eastAsia="zh-CN"/>
        </w:rPr>
        <w:t>01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公务员</w:t>
      </w:r>
      <w:r>
        <w:rPr>
          <w:rFonts w:hint="eastAsia" w:ascii="仿宋" w:hAnsi="仿宋" w:eastAsia="仿宋" w:cs="仿宋"/>
          <w:b w:val="0"/>
          <w:bCs w:val="0"/>
          <w:sz w:val="32"/>
          <w:szCs w:val="32"/>
        </w:rPr>
        <w:t>医疗</w:t>
      </w:r>
      <w:r>
        <w:rPr>
          <w:rFonts w:hint="eastAsia" w:ascii="仿宋" w:hAnsi="仿宋" w:eastAsia="仿宋" w:cs="仿宋"/>
          <w:b w:val="0"/>
          <w:bCs w:val="0"/>
          <w:sz w:val="32"/>
          <w:szCs w:val="32"/>
          <w:lang w:eastAsia="zh-CN"/>
        </w:rPr>
        <w:t>补助。</w:t>
      </w:r>
    </w:p>
    <w:p w14:paraId="218DF8DB">
      <w:pPr>
        <w:spacing w:line="576" w:lineRule="exac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ascii="仿宋" w:hAnsi="仿宋" w:eastAsia="仿宋" w:cs="仿宋"/>
          <w:b w:val="0"/>
          <w:bCs w:val="0"/>
          <w:sz w:val="32"/>
          <w:szCs w:val="32"/>
        </w:rPr>
        <w:t>.</w:t>
      </w:r>
      <w:r>
        <w:rPr>
          <w:rFonts w:hint="eastAsia" w:ascii="仿宋" w:hAnsi="仿宋" w:eastAsia="仿宋" w:cs="仿宋"/>
          <w:b w:val="0"/>
          <w:bCs w:val="0"/>
          <w:sz w:val="32"/>
          <w:szCs w:val="32"/>
        </w:rPr>
        <w:t>住房保障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221</w:t>
      </w:r>
      <w:r>
        <w:rPr>
          <w:rFonts w:hint="eastAsia" w:ascii="仿宋" w:hAnsi="仿宋" w:eastAsia="仿宋" w:cs="仿宋"/>
          <w:b w:val="0"/>
          <w:bCs w:val="0"/>
          <w:sz w:val="32"/>
          <w:szCs w:val="32"/>
        </w:rPr>
        <w:t>（款）</w:t>
      </w:r>
      <w:r>
        <w:rPr>
          <w:rFonts w:ascii="仿宋" w:hAnsi="仿宋" w:eastAsia="仿宋" w:cs="仿宋"/>
          <w:b w:val="0"/>
          <w:bCs w:val="0"/>
          <w:sz w:val="32"/>
          <w:szCs w:val="32"/>
        </w:rPr>
        <w:t>02</w:t>
      </w:r>
      <w:r>
        <w:rPr>
          <w:rFonts w:hint="eastAsia" w:ascii="仿宋" w:hAnsi="仿宋" w:eastAsia="仿宋" w:cs="仿宋"/>
          <w:b w:val="0"/>
          <w:bCs w:val="0"/>
          <w:sz w:val="32"/>
          <w:szCs w:val="32"/>
        </w:rPr>
        <w:t>（项）</w:t>
      </w:r>
      <w:r>
        <w:rPr>
          <w:rFonts w:ascii="仿宋" w:hAnsi="仿宋" w:eastAsia="仿宋" w:cs="仿宋"/>
          <w:b w:val="0"/>
          <w:bCs w:val="0"/>
          <w:sz w:val="32"/>
          <w:szCs w:val="32"/>
        </w:rPr>
        <w:t>01</w:t>
      </w:r>
      <w:r>
        <w:rPr>
          <w:rFonts w:hint="eastAsia" w:ascii="仿宋" w:hAnsi="仿宋" w:eastAsia="仿宋" w:cs="仿宋"/>
          <w:b w:val="0"/>
          <w:bCs w:val="0"/>
          <w:sz w:val="32"/>
          <w:szCs w:val="32"/>
        </w:rPr>
        <w:t>指住房公积金。</w:t>
      </w:r>
    </w:p>
    <w:p w14:paraId="0D5AB86D">
      <w:pPr>
        <w:spacing w:line="576" w:lineRule="exac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6.农林水支出扶贫：</w:t>
      </w:r>
      <w:r>
        <w:rPr>
          <w:rFonts w:hint="eastAsia" w:ascii="仿宋" w:hAnsi="仿宋" w:eastAsia="仿宋" w:cs="仿宋"/>
          <w:b w:val="0"/>
          <w:bCs w:val="0"/>
          <w:sz w:val="32"/>
          <w:szCs w:val="32"/>
        </w:rPr>
        <w:t>（类）</w:t>
      </w:r>
      <w:r>
        <w:rPr>
          <w:rFonts w:ascii="仿宋" w:hAnsi="仿宋" w:eastAsia="仿宋" w:cs="仿宋"/>
          <w:b w:val="0"/>
          <w:bCs w:val="0"/>
          <w:sz w:val="32"/>
          <w:szCs w:val="32"/>
        </w:rPr>
        <w:t>2</w:t>
      </w:r>
      <w:r>
        <w:rPr>
          <w:rFonts w:hint="eastAsia" w:ascii="仿宋" w:hAnsi="仿宋" w:eastAsia="仿宋" w:cs="仿宋"/>
          <w:b w:val="0"/>
          <w:bCs w:val="0"/>
          <w:sz w:val="32"/>
          <w:szCs w:val="32"/>
          <w:lang w:val="en-US" w:eastAsia="zh-CN"/>
        </w:rPr>
        <w:t>13</w:t>
      </w:r>
      <w:r>
        <w:rPr>
          <w:rFonts w:hint="eastAsia" w:ascii="仿宋" w:hAnsi="仿宋" w:eastAsia="仿宋" w:cs="仿宋"/>
          <w:b w:val="0"/>
          <w:bCs w:val="0"/>
          <w:sz w:val="32"/>
          <w:szCs w:val="32"/>
        </w:rPr>
        <w:t>（款）</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（项）</w:t>
      </w:r>
      <w:r>
        <w:rPr>
          <w:rFonts w:hint="eastAsia" w:ascii="仿宋" w:hAnsi="仿宋" w:eastAsia="仿宋" w:cs="仿宋"/>
          <w:b w:val="0"/>
          <w:bCs w:val="0"/>
          <w:sz w:val="32"/>
          <w:szCs w:val="32"/>
          <w:lang w:val="en-US" w:eastAsia="zh-CN"/>
        </w:rPr>
        <w:t>99指其他扶贫支出</w:t>
      </w:r>
    </w:p>
    <w:p w14:paraId="5F5DFBD3">
      <w:pPr>
        <w:spacing w:line="576" w:lineRule="exact"/>
        <w:rPr>
          <w:rFonts w:hint="eastAsia" w:ascii="仿宋" w:hAnsi="仿宋" w:eastAsia="仿宋" w:cs="仿宋"/>
          <w:b w:val="0"/>
          <w:bCs w:val="0"/>
          <w:sz w:val="32"/>
          <w:szCs w:val="32"/>
          <w:lang w:val="en-US" w:eastAsia="zh-CN"/>
        </w:rPr>
      </w:pPr>
      <w:r>
        <w:rPr>
          <w:rFonts w:ascii="仿宋" w:hAnsi="仿宋" w:eastAsia="仿宋" w:cs="仿宋"/>
          <w:b w:val="0"/>
          <w:bCs w:val="0"/>
          <w:sz w:val="32"/>
          <w:szCs w:val="32"/>
        </w:rPr>
        <w:t>7.</w:t>
      </w:r>
      <w:r>
        <w:rPr>
          <w:rFonts w:hint="eastAsia" w:ascii="仿宋" w:hAnsi="仿宋" w:eastAsia="仿宋" w:cs="仿宋"/>
          <w:b w:val="0"/>
          <w:bCs w:val="0"/>
          <w:sz w:val="32"/>
          <w:szCs w:val="32"/>
        </w:rPr>
        <w:t>用于残疾人事业的彩票公益金支出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229</w:t>
      </w:r>
      <w:r>
        <w:rPr>
          <w:rFonts w:hint="eastAsia" w:ascii="仿宋" w:hAnsi="仿宋" w:eastAsia="仿宋" w:cs="仿宋"/>
          <w:b w:val="0"/>
          <w:bCs w:val="0"/>
          <w:sz w:val="32"/>
          <w:szCs w:val="32"/>
        </w:rPr>
        <w:t>（款）</w:t>
      </w:r>
      <w:r>
        <w:rPr>
          <w:rFonts w:ascii="仿宋" w:hAnsi="仿宋" w:eastAsia="仿宋" w:cs="仿宋"/>
          <w:b w:val="0"/>
          <w:bCs w:val="0"/>
          <w:sz w:val="32"/>
          <w:szCs w:val="32"/>
        </w:rPr>
        <w:t>60</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指用于社会福利的彩票公益金支出</w:t>
      </w:r>
      <w:r>
        <w:rPr>
          <w:rFonts w:hint="eastAsia" w:ascii="仿宋" w:hAnsi="仿宋" w:eastAsia="仿宋" w:cs="仿宋"/>
          <w:b w:val="0"/>
          <w:bCs w:val="0"/>
          <w:sz w:val="32"/>
          <w:szCs w:val="32"/>
          <w:lang w:eastAsia="zh-CN"/>
        </w:rPr>
        <w:t>。</w:t>
      </w:r>
    </w:p>
    <w:p w14:paraId="71E3F464">
      <w:pPr>
        <w:spacing w:line="576" w:lineRule="exac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w:t>
      </w:r>
      <w:r>
        <w:rPr>
          <w:rFonts w:ascii="仿宋" w:hAnsi="仿宋" w:eastAsia="仿宋" w:cs="仿宋"/>
          <w:b w:val="0"/>
          <w:bCs w:val="0"/>
          <w:sz w:val="32"/>
          <w:szCs w:val="32"/>
        </w:rPr>
        <w:t>.</w:t>
      </w:r>
      <w:r>
        <w:rPr>
          <w:rFonts w:hint="eastAsia" w:ascii="仿宋" w:hAnsi="仿宋" w:eastAsia="仿宋" w:cs="仿宋"/>
          <w:b w:val="0"/>
          <w:bCs w:val="0"/>
          <w:sz w:val="32"/>
          <w:szCs w:val="32"/>
        </w:rPr>
        <w:t>用于残疾人事业的彩票公益金支出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229</w:t>
      </w:r>
      <w:r>
        <w:rPr>
          <w:rFonts w:hint="eastAsia" w:ascii="仿宋" w:hAnsi="仿宋" w:eastAsia="仿宋" w:cs="仿宋"/>
          <w:b w:val="0"/>
          <w:bCs w:val="0"/>
          <w:sz w:val="32"/>
          <w:szCs w:val="32"/>
        </w:rPr>
        <w:t>（款）</w:t>
      </w:r>
      <w:r>
        <w:rPr>
          <w:rFonts w:ascii="仿宋" w:hAnsi="仿宋" w:eastAsia="仿宋" w:cs="仿宋"/>
          <w:b w:val="0"/>
          <w:bCs w:val="0"/>
          <w:sz w:val="32"/>
          <w:szCs w:val="32"/>
        </w:rPr>
        <w:t>60</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指用于体育事业的彩票公益金支出</w:t>
      </w:r>
      <w:r>
        <w:rPr>
          <w:rFonts w:ascii="仿宋" w:hAnsi="仿宋" w:eastAsia="仿宋" w:cs="仿宋"/>
          <w:b w:val="0"/>
          <w:bCs w:val="0"/>
          <w:sz w:val="32"/>
          <w:szCs w:val="32"/>
        </w:rPr>
        <w:t xml:space="preserve"> </w:t>
      </w:r>
      <w:r>
        <w:rPr>
          <w:rFonts w:hint="eastAsia" w:ascii="仿宋" w:hAnsi="仿宋" w:eastAsia="仿宋" w:cs="仿宋"/>
          <w:b w:val="0"/>
          <w:bCs w:val="0"/>
          <w:sz w:val="32"/>
          <w:szCs w:val="32"/>
        </w:rPr>
        <w:t>。</w:t>
      </w:r>
    </w:p>
    <w:p w14:paraId="086B1EC3">
      <w:pPr>
        <w:spacing w:line="576" w:lineRule="exact"/>
        <w:rPr>
          <w:rFonts w:ascii="仿宋" w:hAnsi="仿宋" w:eastAsia="仿宋" w:cs="Times New Roman"/>
          <w:b w:val="0"/>
          <w:bCs w:val="0"/>
          <w:sz w:val="32"/>
          <w:szCs w:val="32"/>
        </w:rPr>
      </w:pPr>
      <w:r>
        <w:rPr>
          <w:rFonts w:hint="eastAsia" w:ascii="仿宋" w:hAnsi="仿宋" w:eastAsia="仿宋" w:cs="仿宋"/>
          <w:b w:val="0"/>
          <w:bCs w:val="0"/>
          <w:sz w:val="32"/>
          <w:szCs w:val="32"/>
          <w:lang w:val="en-US" w:eastAsia="zh-CN"/>
        </w:rPr>
        <w:t>9</w:t>
      </w:r>
      <w:r>
        <w:rPr>
          <w:rFonts w:ascii="仿宋" w:hAnsi="仿宋" w:eastAsia="仿宋" w:cs="仿宋"/>
          <w:b w:val="0"/>
          <w:bCs w:val="0"/>
          <w:sz w:val="32"/>
          <w:szCs w:val="32"/>
        </w:rPr>
        <w:t>.</w:t>
      </w:r>
      <w:r>
        <w:rPr>
          <w:rFonts w:hint="eastAsia" w:ascii="仿宋" w:hAnsi="仿宋" w:eastAsia="仿宋" w:cs="仿宋"/>
          <w:b w:val="0"/>
          <w:bCs w:val="0"/>
          <w:sz w:val="32"/>
          <w:szCs w:val="32"/>
        </w:rPr>
        <w:t>用于残疾人事业的彩票公益金支出（类）</w:t>
      </w:r>
      <w:r>
        <w:rPr>
          <w:rFonts w:ascii="仿宋" w:hAnsi="仿宋" w:eastAsia="仿宋" w:cs="仿宋"/>
          <w:b w:val="0"/>
          <w:bCs w:val="0"/>
          <w:sz w:val="32"/>
          <w:szCs w:val="32"/>
        </w:rPr>
        <w:t>229</w:t>
      </w:r>
      <w:r>
        <w:rPr>
          <w:rFonts w:hint="eastAsia" w:ascii="仿宋" w:hAnsi="仿宋" w:eastAsia="仿宋" w:cs="仿宋"/>
          <w:b w:val="0"/>
          <w:bCs w:val="0"/>
          <w:sz w:val="32"/>
          <w:szCs w:val="32"/>
        </w:rPr>
        <w:t>（款）</w:t>
      </w:r>
      <w:r>
        <w:rPr>
          <w:rFonts w:ascii="仿宋" w:hAnsi="仿宋" w:eastAsia="仿宋" w:cs="仿宋"/>
          <w:b w:val="0"/>
          <w:bCs w:val="0"/>
          <w:sz w:val="32"/>
          <w:szCs w:val="32"/>
        </w:rPr>
        <w:t>60</w:t>
      </w:r>
      <w:r>
        <w:rPr>
          <w:rFonts w:hint="eastAsia" w:ascii="仿宋" w:hAnsi="仿宋" w:eastAsia="仿宋" w:cs="仿宋"/>
          <w:b w:val="0"/>
          <w:bCs w:val="0"/>
          <w:sz w:val="32"/>
          <w:szCs w:val="32"/>
        </w:rPr>
        <w:t>（项）</w:t>
      </w:r>
      <w:r>
        <w:rPr>
          <w:rFonts w:ascii="仿宋" w:hAnsi="仿宋" w:eastAsia="仿宋" w:cs="仿宋"/>
          <w:b w:val="0"/>
          <w:bCs w:val="0"/>
          <w:sz w:val="32"/>
          <w:szCs w:val="32"/>
        </w:rPr>
        <w:t>06</w:t>
      </w:r>
      <w:r>
        <w:rPr>
          <w:rFonts w:hint="eastAsia" w:ascii="仿宋" w:hAnsi="仿宋" w:eastAsia="仿宋" w:cs="仿宋"/>
          <w:b w:val="0"/>
          <w:bCs w:val="0"/>
          <w:sz w:val="32"/>
          <w:szCs w:val="32"/>
        </w:rPr>
        <w:t>：指用于残疾人事业的彩票公益金支出</w:t>
      </w:r>
      <w:r>
        <w:rPr>
          <w:rFonts w:ascii="仿宋" w:hAnsi="仿宋" w:eastAsia="仿宋" w:cs="仿宋"/>
          <w:b w:val="0"/>
          <w:bCs w:val="0"/>
          <w:sz w:val="32"/>
          <w:szCs w:val="32"/>
        </w:rPr>
        <w:t xml:space="preserve"> </w:t>
      </w:r>
      <w:r>
        <w:rPr>
          <w:rFonts w:hint="eastAsia" w:ascii="仿宋" w:hAnsi="仿宋" w:eastAsia="仿宋" w:cs="仿宋"/>
          <w:b w:val="0"/>
          <w:bCs w:val="0"/>
          <w:sz w:val="32"/>
          <w:szCs w:val="32"/>
        </w:rPr>
        <w:t>。</w:t>
      </w:r>
    </w:p>
    <w:p w14:paraId="76B8F210">
      <w:pPr>
        <w:spacing w:line="576" w:lineRule="exact"/>
        <w:rPr>
          <w:rFonts w:ascii="仿宋" w:hAnsi="仿宋" w:eastAsia="仿宋" w:cs="仿宋"/>
          <w:b w:val="0"/>
          <w:bCs w:val="0"/>
          <w:sz w:val="32"/>
          <w:szCs w:val="32"/>
        </w:rPr>
      </w:pPr>
      <w:r>
        <w:rPr>
          <w:rFonts w:ascii="仿宋" w:hAnsi="仿宋" w:eastAsia="仿宋" w:cs="仿宋"/>
          <w:b w:val="0"/>
          <w:bCs w:val="0"/>
          <w:sz w:val="32"/>
          <w:szCs w:val="32"/>
        </w:rPr>
        <w:t>8.</w:t>
      </w:r>
      <w:r>
        <w:rPr>
          <w:rFonts w:hint="eastAsia" w:ascii="仿宋" w:hAnsi="仿宋" w:eastAsia="仿宋" w:cs="仿宋"/>
          <w:b w:val="0"/>
          <w:bCs w:val="0"/>
          <w:sz w:val="32"/>
          <w:szCs w:val="32"/>
        </w:rPr>
        <w:t>年末结转和结余：指本年度或以前年度预算安排、因客观条件发生变化无法按原计划实施，需延迟到以后年度按有关规定继续使用的资金。</w:t>
      </w:r>
      <w:r>
        <w:rPr>
          <w:rFonts w:ascii="仿宋" w:hAnsi="仿宋" w:eastAsia="仿宋" w:cs="仿宋"/>
          <w:b w:val="0"/>
          <w:bCs w:val="0"/>
          <w:sz w:val="32"/>
          <w:szCs w:val="32"/>
        </w:rPr>
        <w:t xml:space="preserve"> </w:t>
      </w:r>
    </w:p>
    <w:p w14:paraId="17D44255">
      <w:pPr>
        <w:spacing w:line="576" w:lineRule="exact"/>
        <w:rPr>
          <w:rFonts w:ascii="仿宋" w:hAnsi="仿宋" w:eastAsia="仿宋" w:cs="仿宋"/>
          <w:b w:val="0"/>
          <w:bCs w:val="0"/>
          <w:sz w:val="32"/>
          <w:szCs w:val="32"/>
        </w:rPr>
      </w:pPr>
      <w:r>
        <w:rPr>
          <w:rFonts w:ascii="仿宋" w:hAnsi="仿宋" w:eastAsia="仿宋" w:cs="仿宋"/>
          <w:b w:val="0"/>
          <w:bCs w:val="0"/>
          <w:sz w:val="32"/>
          <w:szCs w:val="32"/>
        </w:rPr>
        <w:t>9.</w:t>
      </w:r>
      <w:r>
        <w:rPr>
          <w:rFonts w:hint="eastAsia" w:ascii="仿宋" w:hAnsi="仿宋" w:eastAsia="仿宋" w:cs="仿宋"/>
          <w:b w:val="0"/>
          <w:bCs w:val="0"/>
          <w:sz w:val="32"/>
          <w:szCs w:val="32"/>
        </w:rPr>
        <w:t>基本支出：指为保障机构正常运转、完成日常工作任务而发生的人员支出和公用支出。</w:t>
      </w:r>
      <w:r>
        <w:rPr>
          <w:rFonts w:ascii="仿宋" w:hAnsi="仿宋" w:eastAsia="仿宋" w:cs="仿宋"/>
          <w:b w:val="0"/>
          <w:bCs w:val="0"/>
          <w:sz w:val="32"/>
          <w:szCs w:val="32"/>
        </w:rPr>
        <w:t xml:space="preserve"> </w:t>
      </w:r>
    </w:p>
    <w:p w14:paraId="458057D2">
      <w:pPr>
        <w:spacing w:line="576" w:lineRule="exact"/>
        <w:rPr>
          <w:rFonts w:ascii="仿宋" w:hAnsi="仿宋" w:eastAsia="仿宋" w:cs="仿宋"/>
          <w:b w:val="0"/>
          <w:bCs w:val="0"/>
          <w:sz w:val="32"/>
          <w:szCs w:val="32"/>
        </w:rPr>
      </w:pPr>
      <w:r>
        <w:rPr>
          <w:rFonts w:ascii="仿宋" w:hAnsi="仿宋" w:eastAsia="仿宋" w:cs="仿宋"/>
          <w:b w:val="0"/>
          <w:bCs w:val="0"/>
          <w:sz w:val="32"/>
          <w:szCs w:val="32"/>
        </w:rPr>
        <w:t>10.</w:t>
      </w:r>
      <w:r>
        <w:rPr>
          <w:rFonts w:hint="eastAsia" w:ascii="仿宋" w:hAnsi="仿宋" w:eastAsia="仿宋" w:cs="仿宋"/>
          <w:b w:val="0"/>
          <w:bCs w:val="0"/>
          <w:sz w:val="32"/>
          <w:szCs w:val="32"/>
        </w:rPr>
        <w:t>项目支出：指在基本支出之外为完成特定行政任务和事业发展目标所发生的支出。</w:t>
      </w:r>
      <w:r>
        <w:rPr>
          <w:rFonts w:ascii="仿宋" w:hAnsi="仿宋" w:eastAsia="仿宋" w:cs="仿宋"/>
          <w:b w:val="0"/>
          <w:bCs w:val="0"/>
          <w:sz w:val="32"/>
          <w:szCs w:val="32"/>
        </w:rPr>
        <w:t xml:space="preserve"> </w:t>
      </w:r>
    </w:p>
    <w:p w14:paraId="7BE3FFF1">
      <w:pPr>
        <w:spacing w:line="576" w:lineRule="exact"/>
        <w:rPr>
          <w:rFonts w:ascii="仿宋" w:hAnsi="仿宋" w:eastAsia="仿宋" w:cs="仿宋"/>
          <w:b w:val="0"/>
          <w:bCs w:val="0"/>
          <w:sz w:val="32"/>
          <w:szCs w:val="32"/>
        </w:rPr>
      </w:pPr>
      <w:r>
        <w:rPr>
          <w:rFonts w:ascii="仿宋" w:hAnsi="仿宋" w:eastAsia="仿宋" w:cs="仿宋"/>
          <w:b w:val="0"/>
          <w:bCs w:val="0"/>
          <w:sz w:val="32"/>
          <w:szCs w:val="32"/>
        </w:rPr>
        <w:t>11.</w:t>
      </w:r>
      <w:r>
        <w:rPr>
          <w:rFonts w:hint="eastAsia" w:ascii="仿宋" w:hAnsi="仿宋" w:eastAsia="仿宋" w:cs="仿宋"/>
          <w:b w:val="0"/>
          <w:bCs w:val="0"/>
          <w:sz w:val="32"/>
          <w:szCs w:val="32"/>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B4FF6E6">
      <w:pPr>
        <w:spacing w:line="576" w:lineRule="exact"/>
        <w:rPr>
          <w:rFonts w:ascii="仿宋_GB2312" w:eastAsia="仿宋_GB2312" w:cs="黑体"/>
          <w:b w:val="0"/>
          <w:bCs w:val="0"/>
          <w:sz w:val="32"/>
          <w:szCs w:val="32"/>
        </w:rPr>
      </w:pPr>
      <w:r>
        <w:rPr>
          <w:rFonts w:ascii="仿宋" w:hAnsi="仿宋" w:eastAsia="仿宋" w:cs="仿宋"/>
          <w:b w:val="0"/>
          <w:bCs w:val="0"/>
          <w:sz w:val="32"/>
          <w:szCs w:val="32"/>
        </w:rPr>
        <w:t>12.</w:t>
      </w:r>
      <w:r>
        <w:rPr>
          <w:rFonts w:hint="eastAsia" w:ascii="仿宋" w:hAnsi="仿宋" w:eastAsia="仿宋" w:cs="仿宋"/>
          <w:b w:val="0"/>
          <w:bCs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E1231C7">
      <w:pPr>
        <w:ind w:firstLine="643" w:firstLineChars="200"/>
        <w:rPr>
          <w:rFonts w:ascii="仿宋" w:hAnsi="仿宋" w:eastAsia="仿宋"/>
          <w:b/>
          <w:color w:val="000000"/>
          <w:sz w:val="32"/>
          <w:szCs w:val="32"/>
        </w:rPr>
      </w:pPr>
    </w:p>
    <w:p w14:paraId="37A158DF">
      <w:pPr>
        <w:spacing w:line="600" w:lineRule="exact"/>
        <w:jc w:val="center"/>
        <w:outlineLvl w:val="0"/>
        <w:rPr>
          <w:rFonts w:ascii="宋体"/>
          <w:b/>
          <w:color w:val="000000"/>
          <w:sz w:val="44"/>
          <w:szCs w:val="44"/>
        </w:rPr>
      </w:pPr>
      <w:bookmarkStart w:id="126" w:name="_Toc15377226"/>
      <w:r>
        <w:rPr>
          <w:rFonts w:ascii="宋体"/>
          <w:b/>
          <w:color w:val="000000"/>
          <w:sz w:val="44"/>
          <w:szCs w:val="44"/>
        </w:rPr>
        <w:br w:type="page"/>
      </w:r>
      <w:bookmarkStart w:id="127" w:name="_Toc79163630"/>
      <w:bookmarkStart w:id="128" w:name="_Toc79163880"/>
      <w:bookmarkStart w:id="129" w:name="_Toc15396614"/>
    </w:p>
    <w:p w14:paraId="4B6AB73E">
      <w:pPr>
        <w:spacing w:line="600" w:lineRule="exact"/>
        <w:jc w:val="left"/>
        <w:outlineLvl w:val="0"/>
        <w:rPr>
          <w:rFonts w:ascii="方正小标宋简体" w:hAnsi="方正小标宋简体" w:eastAsia="方正小标宋简体" w:cs="方正小标宋简体"/>
          <w:sz w:val="32"/>
          <w:szCs w:val="32"/>
        </w:rPr>
      </w:pPr>
      <w:bookmarkStart w:id="130" w:name="_Toc79163631"/>
      <w:bookmarkStart w:id="131" w:name="_Toc79163881"/>
      <w:r>
        <w:rPr>
          <w:rFonts w:hint="eastAsia" w:ascii="黑体" w:hAnsi="黑体" w:eastAsia="黑体" w:cs="黑体"/>
          <w:sz w:val="32"/>
          <w:szCs w:val="32"/>
        </w:rPr>
        <w:t>附件</w:t>
      </w:r>
      <w:r>
        <w:rPr>
          <w:rFonts w:ascii="黑体" w:hAnsi="黑体" w:eastAsia="黑体" w:cs="黑体"/>
          <w:sz w:val="32"/>
          <w:szCs w:val="32"/>
        </w:rPr>
        <w:t>1</w:t>
      </w:r>
      <w:bookmarkEnd w:id="130"/>
      <w:bookmarkEnd w:id="131"/>
    </w:p>
    <w:bookmarkEnd w:id="127"/>
    <w:bookmarkEnd w:id="128"/>
    <w:bookmarkEnd w:id="129"/>
    <w:p w14:paraId="350B2523">
      <w:pPr>
        <w:keepNext w:val="0"/>
        <w:keepLines w:val="0"/>
        <w:pageBreakBefore w:val="0"/>
        <w:widowControl/>
        <w:kinsoku/>
        <w:wordWrap/>
        <w:overflowPunct/>
        <w:topLinePunct w:val="0"/>
        <w:autoSpaceDE/>
        <w:autoSpaceDN/>
        <w:bidi w:val="0"/>
        <w:spacing w:line="578" w:lineRule="exact"/>
        <w:ind w:left="0" w:firstLine="880" w:firstLineChars="200"/>
        <w:contextualSpacing/>
        <w:jc w:val="center"/>
        <w:textAlignment w:val="auto"/>
        <w:outlineLvl w:val="9"/>
        <w:rPr>
          <w:rFonts w:hint="eastAsia" w:ascii="方正小标宋简体" w:hAnsi="方正小标宋简体" w:eastAsia="方正小标宋简体" w:cs="方正小标宋简体"/>
          <w:b w:val="0"/>
          <w:bCs/>
          <w:sz w:val="44"/>
          <w:szCs w:val="44"/>
          <w:highlight w:val="none"/>
          <w:shd w:val="clear" w:color="auto" w:fill="FFFFFF"/>
        </w:rPr>
      </w:pPr>
      <w:bookmarkStart w:id="132" w:name="_Toc79163885"/>
      <w:bookmarkStart w:id="133" w:name="_Toc79163635"/>
      <w:bookmarkStart w:id="134" w:name="_Toc15396618"/>
      <w:r>
        <w:rPr>
          <w:rFonts w:hint="eastAsia" w:ascii="方正小标宋简体" w:hAnsi="方正小标宋简体" w:eastAsia="方正小标宋简体" w:cs="方正小标宋简体"/>
          <w:b w:val="0"/>
          <w:bCs/>
          <w:sz w:val="44"/>
          <w:szCs w:val="44"/>
          <w:highlight w:val="none"/>
          <w:shd w:val="clear" w:color="auto" w:fill="FFFFFF"/>
        </w:rPr>
        <w:t>部门</w:t>
      </w:r>
      <w:r>
        <w:rPr>
          <w:rFonts w:hint="eastAsia" w:ascii="方正小标宋简体" w:hAnsi="方正小标宋简体" w:eastAsia="方正小标宋简体" w:cs="方正小标宋简体"/>
          <w:b w:val="0"/>
          <w:bCs/>
          <w:sz w:val="44"/>
          <w:szCs w:val="44"/>
          <w:highlight w:val="none"/>
          <w:shd w:val="clear" w:color="auto" w:fill="FFFFFF"/>
          <w:lang w:eastAsia="zh-CN"/>
        </w:rPr>
        <w:t>预算</w:t>
      </w:r>
      <w:r>
        <w:rPr>
          <w:rFonts w:hint="eastAsia" w:ascii="方正小标宋简体" w:hAnsi="方正小标宋简体" w:eastAsia="方正小标宋简体" w:cs="方正小标宋简体"/>
          <w:b w:val="0"/>
          <w:bCs/>
          <w:sz w:val="44"/>
          <w:szCs w:val="44"/>
          <w:highlight w:val="none"/>
          <w:shd w:val="clear" w:color="auto" w:fill="FFFFFF"/>
        </w:rPr>
        <w:t>绩效</w:t>
      </w:r>
      <w:r>
        <w:rPr>
          <w:rFonts w:hint="eastAsia" w:ascii="方正小标宋简体" w:hAnsi="方正小标宋简体" w:eastAsia="方正小标宋简体" w:cs="方正小标宋简体"/>
          <w:b w:val="0"/>
          <w:bCs/>
          <w:sz w:val="44"/>
          <w:szCs w:val="44"/>
          <w:highlight w:val="none"/>
          <w:shd w:val="clear" w:color="auto" w:fill="FFFFFF"/>
          <w:lang w:eastAsia="zh-CN"/>
        </w:rPr>
        <w:t>评价</w:t>
      </w:r>
      <w:r>
        <w:rPr>
          <w:rFonts w:hint="eastAsia" w:ascii="方正小标宋简体" w:hAnsi="方正小标宋简体" w:eastAsia="方正小标宋简体" w:cs="方正小标宋简体"/>
          <w:b w:val="0"/>
          <w:bCs/>
          <w:sz w:val="44"/>
          <w:szCs w:val="44"/>
          <w:highlight w:val="none"/>
          <w:shd w:val="clear" w:color="auto" w:fill="FFFFFF"/>
        </w:rPr>
        <w:t>报告</w:t>
      </w:r>
    </w:p>
    <w:p w14:paraId="50AC279F">
      <w:pPr>
        <w:keepNext w:val="0"/>
        <w:keepLines w:val="0"/>
        <w:pageBreakBefore w:val="0"/>
        <w:widowControl/>
        <w:kinsoku/>
        <w:wordWrap/>
        <w:overflowPunct/>
        <w:topLinePunct w:val="0"/>
        <w:autoSpaceDE/>
        <w:autoSpaceDN/>
        <w:bidi w:val="0"/>
        <w:spacing w:line="578" w:lineRule="exact"/>
        <w:ind w:left="0" w:firstLine="640" w:firstLineChars="200"/>
        <w:contextualSpacing/>
        <w:jc w:val="center"/>
        <w:textAlignment w:val="auto"/>
        <w:outlineLvl w:val="9"/>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（报告范围包括机关和下属单位）</w:t>
      </w:r>
    </w:p>
    <w:p w14:paraId="693C71E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firstLine="640" w:firstLineChars="200"/>
        <w:contextualSpacing/>
        <w:jc w:val="center"/>
        <w:textAlignment w:val="auto"/>
        <w:outlineLvl w:val="9"/>
        <w:rPr>
          <w:rFonts w:hint="eastAsia" w:ascii="黑体" w:hAnsi="黑体" w:eastAsia="黑体" w:cs="黑体"/>
          <w:color w:val="000000"/>
          <w:kern w:val="0"/>
          <w:sz w:val="32"/>
          <w:szCs w:val="32"/>
          <w:highlight w:val="none"/>
          <w:shd w:val="clear" w:color="auto" w:fill="FFFFFF"/>
          <w:lang w:val="zh-CN"/>
        </w:rPr>
      </w:pPr>
    </w:p>
    <w:p w14:paraId="77452BC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firstLine="640" w:firstLineChars="200"/>
        <w:contextualSpacing/>
        <w:jc w:val="both"/>
        <w:textAlignment w:val="auto"/>
        <w:outlineLvl w:val="9"/>
        <w:rPr>
          <w:rFonts w:hint="eastAsia" w:ascii="黑体" w:hAnsi="黑体" w:eastAsia="黑体" w:cs="黑体"/>
          <w:sz w:val="32"/>
          <w:szCs w:val="32"/>
        </w:rPr>
      </w:pPr>
      <w:r>
        <w:rPr>
          <w:rFonts w:hint="eastAsia" w:ascii="黑体" w:hAnsi="黑体" w:eastAsia="黑体" w:cs="黑体"/>
          <w:color w:val="000000"/>
          <w:kern w:val="0"/>
          <w:sz w:val="32"/>
          <w:szCs w:val="32"/>
          <w:highlight w:val="none"/>
          <w:shd w:val="clear" w:color="auto" w:fill="FFFFFF"/>
          <w:lang w:val="zh-CN"/>
        </w:rPr>
        <w:t>一、部门（单位）基本情况</w:t>
      </w:r>
    </w:p>
    <w:p w14:paraId="62BFF509">
      <w:pPr>
        <w:pStyle w:val="3"/>
        <w:keepNext w:val="0"/>
        <w:keepLines w:val="0"/>
        <w:pageBreakBefore w:val="0"/>
        <w:kinsoku/>
        <w:wordWrap/>
        <w:overflowPunct/>
        <w:topLinePunct w:val="0"/>
        <w:autoSpaceDE/>
        <w:autoSpaceDN/>
        <w:bidi w:val="0"/>
        <w:spacing w:line="578" w:lineRule="exact"/>
        <w:ind w:left="0" w:leftChars="0" w:firstLine="643" w:firstLineChars="200"/>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（一）机构组成。</w:t>
      </w:r>
    </w:p>
    <w:p w14:paraId="61AEAA8F">
      <w:pPr>
        <w:pStyle w:val="21"/>
        <w:keepNext w:val="0"/>
        <w:keepLines w:val="0"/>
        <w:pageBreakBefore w:val="0"/>
        <w:numPr>
          <w:ilvl w:val="0"/>
          <w:numId w:val="0"/>
        </w:numPr>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松潘县残疾人联合会设1个内设机构：</w:t>
      </w:r>
    </w:p>
    <w:p w14:paraId="033276AC">
      <w:pPr>
        <w:pStyle w:val="21"/>
        <w:keepNext w:val="0"/>
        <w:keepLines w:val="0"/>
        <w:pageBreakBefore w:val="0"/>
        <w:numPr>
          <w:ilvl w:val="0"/>
          <w:numId w:val="0"/>
        </w:numPr>
        <w:shd w:val="clear" w:color="auto" w:fill="FFFFFF"/>
        <w:kinsoku/>
        <w:wordWrap/>
        <w:overflowPunct/>
        <w:topLinePunct w:val="0"/>
        <w:autoSpaceDE/>
        <w:autoSpaceDN/>
        <w:bidi w:val="0"/>
        <w:spacing w:before="0" w:beforeAutospacing="0" w:after="0" w:afterAutospacing="0" w:line="578" w:lineRule="exact"/>
        <w:ind w:left="0" w:firstLine="643" w:firstLineChars="200"/>
        <w:jc w:val="both"/>
        <w:textAlignment w:val="auto"/>
        <w:rPr>
          <w:rFonts w:hint="eastAsia" w:ascii="仿宋" w:hAnsi="仿宋" w:eastAsia="仿宋" w:cs="仿宋"/>
          <w:b/>
          <w:bCs/>
          <w:color w:val="000000"/>
          <w:kern w:val="0"/>
          <w:sz w:val="32"/>
          <w:szCs w:val="32"/>
          <w:highlight w:val="none"/>
          <w:shd w:val="clear" w:color="auto" w:fill="FFFFFF"/>
          <w:lang w:val="en-US"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1.残疾人服务中心</w:t>
      </w:r>
    </w:p>
    <w:p w14:paraId="12234747">
      <w:pPr>
        <w:pStyle w:val="21"/>
        <w:keepNext w:val="0"/>
        <w:keepLines w:val="0"/>
        <w:pageBreakBefore w:val="0"/>
        <w:numPr>
          <w:ilvl w:val="0"/>
          <w:numId w:val="0"/>
        </w:numPr>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残疾人服务中心职责：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w:t>
      </w:r>
    </w:p>
    <w:p w14:paraId="756E65C7">
      <w:pPr>
        <w:pStyle w:val="21"/>
        <w:keepNext w:val="0"/>
        <w:keepLines w:val="0"/>
        <w:pageBreakBefore w:val="0"/>
        <w:numPr>
          <w:ilvl w:val="0"/>
          <w:numId w:val="5"/>
        </w:numPr>
        <w:shd w:val="clear" w:color="auto" w:fill="FFFFFF"/>
        <w:kinsoku/>
        <w:wordWrap/>
        <w:overflowPunct/>
        <w:topLinePunct w:val="0"/>
        <w:autoSpaceDE/>
        <w:autoSpaceDN/>
        <w:bidi w:val="0"/>
        <w:spacing w:before="0" w:beforeAutospacing="0" w:after="0" w:afterAutospacing="0" w:line="578" w:lineRule="exact"/>
        <w:ind w:left="0" w:firstLine="643" w:firstLineChars="200"/>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eastAsia="zh-CN" w:bidi="ar-SA"/>
        </w:rPr>
      </w:pPr>
      <w:r>
        <w:rPr>
          <w:rFonts w:hint="eastAsia" w:ascii="楷体_GB2312" w:hAnsi="楷体_GB2312" w:eastAsia="楷体_GB2312" w:cs="楷体_GB2312"/>
          <w:b/>
          <w:bCs/>
          <w:color w:val="000000"/>
          <w:kern w:val="0"/>
          <w:sz w:val="32"/>
          <w:szCs w:val="32"/>
          <w:highlight w:val="none"/>
          <w:shd w:val="clear" w:color="auto" w:fill="FFFFFF"/>
          <w:lang w:val="zh-CN" w:eastAsia="zh-CN" w:bidi="ar-SA"/>
        </w:rPr>
        <w:t>机构职能。</w:t>
      </w:r>
    </w:p>
    <w:p w14:paraId="0C8316F0">
      <w:pPr>
        <w:pStyle w:val="21"/>
        <w:keepNext w:val="0"/>
        <w:keepLines w:val="0"/>
        <w:pageBreakBefore w:val="0"/>
        <w:numPr>
          <w:ilvl w:val="0"/>
          <w:numId w:val="0"/>
        </w:numPr>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松潘县残联是中国残联的地方组织，是将 "代表、服务、管理"三大职能融为一体的残疾人群众团体，是县委、县政府联系全县残疾人的桥梁和纽带。代表残疾人共同利益，维护残疾人合法权益；开展各项业务和活动，直接为残疾人服务；承担政府委托的部分行政职能，发展和管理残疾人事业。其主要职责是：</w:t>
      </w:r>
    </w:p>
    <w:p w14:paraId="7BFED4B5">
      <w:pPr>
        <w:pStyle w:val="21"/>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1.承担县政府残疾人工作委员会的日常工作。</w:t>
      </w:r>
    </w:p>
    <w:p w14:paraId="719EDF1A">
      <w:pPr>
        <w:pStyle w:val="21"/>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2.团结、教育残疾人遵纪守法，履行应尽的义务，发扬乐观进取精神，自尊、自信、自强、自立，为社会主义建设贡献力量。</w:t>
      </w:r>
    </w:p>
    <w:p w14:paraId="0A40D618">
      <w:pPr>
        <w:pStyle w:val="21"/>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3.弘扬人道主义，宣传残疾人事业，沟通政府、社会与残疾人之间的联系，推动社会理解、尊重、关心、帮助残疾人。</w:t>
      </w:r>
    </w:p>
    <w:p w14:paraId="13C73C7E">
      <w:pPr>
        <w:pStyle w:val="21"/>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4.开展残疾人康复、教育、劳动就业、扶贫解困、福利、社会服务、无障碍设施和残疾预防等工作，创造良好的环境和条件，扶助残疾人平等参与社会生活。</w:t>
      </w:r>
    </w:p>
    <w:p w14:paraId="5C7C6BEC">
      <w:pPr>
        <w:pStyle w:val="21"/>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5.协助政府研究、制定和实施残疾人事业的法规、政策规划和计划，对有关业务领域进行指导与管理。</w:t>
      </w:r>
    </w:p>
    <w:p w14:paraId="032FF3ED">
      <w:pPr>
        <w:pStyle w:val="21"/>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6.听取残疾人的意见，反映残疾人的需求，维护残疾人的合法权益，为残疾人服务。</w:t>
      </w:r>
    </w:p>
    <w:p w14:paraId="7CC1D7D7">
      <w:pPr>
        <w:pStyle w:val="21"/>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7.指导乡镇残疾人联合会的工作。</w:t>
      </w:r>
    </w:p>
    <w:p w14:paraId="2153291D">
      <w:pPr>
        <w:pStyle w:val="21"/>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8.承办县委、县政府和省、市残联交办的其他工作。</w:t>
      </w:r>
    </w:p>
    <w:p w14:paraId="3AED6D91">
      <w:pPr>
        <w:pStyle w:val="21"/>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9.管理和发放《中华人民共和国残疾人证》。</w:t>
      </w:r>
    </w:p>
    <w:p w14:paraId="2E11287F">
      <w:pPr>
        <w:keepNext w:val="0"/>
        <w:keepLines w:val="0"/>
        <w:pageBreakBefore w:val="0"/>
        <w:tabs>
          <w:tab w:val="left" w:pos="750"/>
        </w:tabs>
        <w:kinsoku/>
        <w:wordWrap/>
        <w:overflowPunct/>
        <w:topLinePunct w:val="0"/>
        <w:autoSpaceDE/>
        <w:autoSpaceDN/>
        <w:bidi w:val="0"/>
        <w:spacing w:line="578" w:lineRule="exact"/>
        <w:ind w:left="0" w:firstLine="643" w:firstLineChars="200"/>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eastAsia="zh-CN" w:bidi="ar-SA"/>
        </w:rPr>
      </w:pPr>
      <w:r>
        <w:rPr>
          <w:rFonts w:hint="eastAsia" w:ascii="楷体_GB2312" w:hAnsi="楷体_GB2312" w:eastAsia="楷体_GB2312" w:cs="楷体_GB2312"/>
          <w:b/>
          <w:bCs/>
          <w:color w:val="000000"/>
          <w:kern w:val="0"/>
          <w:sz w:val="32"/>
          <w:szCs w:val="32"/>
          <w:highlight w:val="none"/>
          <w:shd w:val="clear" w:color="auto" w:fill="FFFFFF"/>
          <w:lang w:val="zh-CN" w:eastAsia="zh-CN" w:bidi="ar-SA"/>
        </w:rPr>
        <w:t>（三）人员概况。</w:t>
      </w:r>
    </w:p>
    <w:p w14:paraId="6F948670">
      <w:pPr>
        <w:keepNext w:val="0"/>
        <w:keepLines w:val="0"/>
        <w:pageBreakBefore w:val="0"/>
        <w:tabs>
          <w:tab w:val="left" w:pos="750"/>
        </w:tabs>
        <w:kinsoku/>
        <w:wordWrap/>
        <w:overflowPunct/>
        <w:topLinePunct w:val="0"/>
        <w:autoSpaceDE/>
        <w:autoSpaceDN/>
        <w:bidi w:val="0"/>
        <w:spacing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截至2023年末，松潘县残疾人联合会行政专项编制为2名，其中：理事长1名、副理事长1名，机关工勤人员编制数1名，残疾人服务中心事业编制4名。</w:t>
      </w:r>
    </w:p>
    <w:p w14:paraId="527B5FD9">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contextualSpacing/>
        <w:jc w:val="both"/>
        <w:textAlignment w:val="auto"/>
        <w:outlineLvl w:val="9"/>
        <w:rPr>
          <w:rFonts w:hint="eastAsia" w:ascii="黑体" w:hAnsi="黑体" w:eastAsia="黑体" w:cs="黑体"/>
          <w:color w:val="000000"/>
          <w:kern w:val="0"/>
          <w:sz w:val="32"/>
          <w:szCs w:val="32"/>
          <w:highlight w:val="none"/>
          <w:shd w:val="clear" w:color="auto" w:fill="FFFFFF"/>
          <w:lang w:val="en-US" w:eastAsia="zh-CN" w:bidi="ar-SA"/>
        </w:rPr>
      </w:pPr>
      <w:r>
        <w:rPr>
          <w:rFonts w:hint="eastAsia" w:ascii="黑体" w:hAnsi="黑体" w:eastAsia="黑体" w:cs="黑体"/>
          <w:color w:val="000000"/>
          <w:kern w:val="0"/>
          <w:sz w:val="32"/>
          <w:szCs w:val="32"/>
          <w:highlight w:val="none"/>
          <w:shd w:val="clear" w:color="auto" w:fill="FFFFFF"/>
          <w:lang w:val="en-US" w:eastAsia="zh-CN" w:bidi="ar-SA"/>
        </w:rPr>
        <w:t>二、</w:t>
      </w:r>
      <w:r>
        <w:rPr>
          <w:rFonts w:hint="eastAsia" w:ascii="黑体" w:hAnsi="黑体" w:eastAsia="黑体" w:cs="黑体"/>
          <w:b/>
          <w:bCs/>
          <w:color w:val="000000"/>
          <w:kern w:val="0"/>
          <w:sz w:val="32"/>
          <w:szCs w:val="32"/>
          <w:highlight w:val="none"/>
          <w:shd w:val="clear" w:color="auto" w:fill="FFFFFF"/>
          <w:lang w:val="en-US" w:eastAsia="zh-CN" w:bidi="ar-SA"/>
        </w:rPr>
        <w:t>部门资金收支情况</w:t>
      </w:r>
    </w:p>
    <w:p w14:paraId="19E9C1A4">
      <w:pPr>
        <w:keepNext w:val="0"/>
        <w:keepLines w:val="0"/>
        <w:pageBreakBefore w:val="0"/>
        <w:kinsoku/>
        <w:wordWrap/>
        <w:overflowPunct/>
        <w:topLinePunct w:val="0"/>
        <w:autoSpaceDE/>
        <w:autoSpaceDN/>
        <w:bidi w:val="0"/>
        <w:spacing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（一）</w:t>
      </w:r>
      <w:r>
        <w:rPr>
          <w:rFonts w:hint="eastAsia" w:ascii="仿宋" w:hAnsi="仿宋" w:eastAsia="仿宋" w:cs="仿宋"/>
          <w:b/>
          <w:bCs/>
          <w:color w:val="000000"/>
          <w:kern w:val="0"/>
          <w:sz w:val="32"/>
          <w:szCs w:val="32"/>
          <w:highlight w:val="none"/>
          <w:shd w:val="clear" w:color="auto" w:fill="FFFFFF"/>
          <w:lang w:val="zh-CN" w:eastAsia="zh-CN" w:bidi="ar-SA"/>
        </w:rPr>
        <w:t>收入情况</w:t>
      </w:r>
      <w:r>
        <w:rPr>
          <w:rFonts w:hint="eastAsia" w:ascii="仿宋" w:hAnsi="仿宋" w:eastAsia="仿宋" w:cs="仿宋"/>
          <w:color w:val="000000"/>
          <w:kern w:val="0"/>
          <w:sz w:val="32"/>
          <w:szCs w:val="32"/>
          <w:highlight w:val="none"/>
          <w:shd w:val="clear" w:color="auto" w:fill="FFFFFF"/>
          <w:lang w:val="zh-CN" w:eastAsia="zh-CN" w:bidi="ar-SA"/>
        </w:rPr>
        <w:t>。</w:t>
      </w:r>
    </w:p>
    <w:p w14:paraId="05825C70">
      <w:pPr>
        <w:keepNext w:val="0"/>
        <w:keepLines w:val="0"/>
        <w:pageBreakBefore w:val="0"/>
        <w:kinsoku/>
        <w:wordWrap/>
        <w:overflowPunct/>
        <w:topLinePunct w:val="0"/>
        <w:autoSpaceDE/>
        <w:autoSpaceDN/>
        <w:bidi w:val="0"/>
        <w:spacing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2023年年初预算收入情况：2023年残疾人联合会财政资金收入139.49万元（一般公共预算财政拨款收入139.49万元、政府性基金预算财政拨款收入0万元），其中残疾人服务中心财政资金收入74.62万元（一般公共预算财政拨款收入74.62万元、政府性基金预算财政拨款收入0万元）。</w:t>
      </w:r>
    </w:p>
    <w:p w14:paraId="5456DA21">
      <w:pPr>
        <w:keepNext w:val="0"/>
        <w:keepLines w:val="0"/>
        <w:pageBreakBefore w:val="0"/>
        <w:kinsoku/>
        <w:wordWrap/>
        <w:overflowPunct/>
        <w:topLinePunct w:val="0"/>
        <w:autoSpaceDE/>
        <w:autoSpaceDN/>
        <w:bidi w:val="0"/>
        <w:spacing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2023年决算报表收入情况：2023年年初结转和结余79.13万元，2023年残疾人联合会财政资金收入325.39万元（一般公共预算财政拨款收入313.46万元、政府性基金预算财政拨款收入11.93万元），其中残疾人服务中心财政资金收入84.48万元（一般公共预算财政拨款收入84.48万元、政府性基金预算财政拨款收入0万元）</w:t>
      </w:r>
    </w:p>
    <w:p w14:paraId="3E283A11">
      <w:pPr>
        <w:keepNext w:val="0"/>
        <w:keepLines w:val="0"/>
        <w:pageBreakBefore w:val="0"/>
        <w:kinsoku/>
        <w:wordWrap/>
        <w:overflowPunct/>
        <w:topLinePunct w:val="0"/>
        <w:autoSpaceDE/>
        <w:autoSpaceDN/>
        <w:bidi w:val="0"/>
        <w:spacing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zh-CN" w:eastAsia="zh-CN" w:bidi="ar-SA"/>
        </w:rPr>
        <w:t>（二）</w:t>
      </w:r>
      <w:r>
        <w:rPr>
          <w:rFonts w:hint="eastAsia" w:ascii="仿宋" w:hAnsi="仿宋" w:eastAsia="仿宋" w:cs="仿宋"/>
          <w:b/>
          <w:bCs/>
          <w:color w:val="000000"/>
          <w:kern w:val="0"/>
          <w:sz w:val="32"/>
          <w:szCs w:val="32"/>
          <w:highlight w:val="none"/>
          <w:shd w:val="clear" w:color="auto" w:fill="FFFFFF"/>
          <w:lang w:val="zh-CN" w:eastAsia="zh-CN" w:bidi="ar-SA"/>
        </w:rPr>
        <w:t>支出情况</w:t>
      </w:r>
      <w:r>
        <w:rPr>
          <w:rFonts w:hint="eastAsia" w:ascii="仿宋" w:hAnsi="仿宋" w:eastAsia="仿宋" w:cs="仿宋"/>
          <w:color w:val="000000"/>
          <w:kern w:val="0"/>
          <w:sz w:val="32"/>
          <w:szCs w:val="32"/>
          <w:highlight w:val="none"/>
          <w:shd w:val="clear" w:color="auto" w:fill="FFFFFF"/>
          <w:lang w:val="zh-CN" w:eastAsia="zh-CN" w:bidi="ar-SA"/>
        </w:rPr>
        <w:t>。</w:t>
      </w:r>
      <w:r>
        <w:rPr>
          <w:rFonts w:hint="eastAsia" w:ascii="仿宋" w:hAnsi="仿宋" w:eastAsia="仿宋" w:cs="仿宋"/>
          <w:color w:val="000000"/>
          <w:kern w:val="0"/>
          <w:sz w:val="32"/>
          <w:szCs w:val="32"/>
          <w:highlight w:val="none"/>
          <w:shd w:val="clear" w:color="auto" w:fill="FFFFFF"/>
          <w:lang w:val="en-US" w:eastAsia="zh-CN" w:bidi="ar-SA"/>
        </w:rPr>
        <w:t>松潘县残疾人联合会2023年年初预算支出情况：2023年松潘县残疾人联合会本年支出合计139.49万元，其中：基本支出139.49万元，占100%；项目支出0万元，占0%、决算报表支出情况：2023年松潘县残疾人联合会本年支出合计：404.51万元，其中：基本支出178.17万元，占44%；项目支出226.34万元，占56%。</w:t>
      </w:r>
    </w:p>
    <w:p w14:paraId="743862B3">
      <w:pPr>
        <w:keepNext w:val="0"/>
        <w:keepLines w:val="0"/>
        <w:pageBreakBefore w:val="0"/>
        <w:kinsoku/>
        <w:wordWrap/>
        <w:overflowPunct/>
        <w:topLinePunct w:val="0"/>
        <w:autoSpaceDE/>
        <w:autoSpaceDN/>
        <w:bidi w:val="0"/>
        <w:spacing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行政运行2023年决算数为68.90万元，完成预算100%； 机关服务支出2023年决算数为63.01万元，完成预算100%；其他残疾人事业支出决算数为175.09万元，完成预算100%；机关事业单位基本养老保险缴费2023年支出决算数为16.36万元，完成预算100%；机关事业单位职业年金缴费2023年支出决算数为8.18万元，完成预算100%；行政单位医疗2023年决算数为4.04万元，完成预算100%；事业单位医疗2023年决算数为3.32万元，完成预算100%；公务员医疗补助2023年决算数为0.86万元，完成预算100%；其他行政事业单位医疗支出2023年决算数为0.86万元，完成预算100%；住房公积金2023年决算数为12.64万元，完成预算100%；用于残疾人康复4万元，完成预算100%，用于残疾人就业33.22万元，完成预算100%，用于残疾人体育2.10万元，完成预算100%， 用于残疾人事业的彩票公益金支出11.93万元， 完成预算100%。</w:t>
      </w:r>
    </w:p>
    <w:p w14:paraId="7F6388EA">
      <w:pPr>
        <w:keepNext w:val="0"/>
        <w:keepLines w:val="0"/>
        <w:pageBreakBefore w:val="0"/>
        <w:widowControl/>
        <w:numPr>
          <w:ilvl w:val="0"/>
          <w:numId w:val="5"/>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结余分配和结转结余情况</w:t>
      </w:r>
      <w:r>
        <w:rPr>
          <w:rFonts w:hint="eastAsia" w:ascii="仿宋" w:hAnsi="仿宋" w:eastAsia="仿宋" w:cs="仿宋"/>
          <w:color w:val="000000"/>
          <w:kern w:val="0"/>
          <w:sz w:val="32"/>
          <w:szCs w:val="32"/>
          <w:highlight w:val="none"/>
          <w:shd w:val="clear" w:color="auto" w:fill="FFFFFF"/>
          <w:lang w:val="en-US" w:eastAsia="zh-CN" w:bidi="ar-SA"/>
        </w:rPr>
        <w:t>。</w:t>
      </w:r>
    </w:p>
    <w:p w14:paraId="7EDCF09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松潘县残疾人联合会2023年决算报表结转结余为0。</w:t>
      </w:r>
    </w:p>
    <w:p w14:paraId="7E5D3E71">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contextualSpacing/>
        <w:jc w:val="both"/>
        <w:textAlignment w:val="auto"/>
        <w:outlineLvl w:val="9"/>
        <w:rPr>
          <w:rFonts w:hint="eastAsia" w:ascii="黑体" w:hAnsi="黑体" w:eastAsia="黑体" w:cs="黑体"/>
          <w:color w:val="000000"/>
          <w:kern w:val="0"/>
          <w:sz w:val="32"/>
          <w:szCs w:val="32"/>
          <w:highlight w:val="none"/>
          <w:shd w:val="clear" w:color="auto" w:fill="FFFFFF"/>
          <w:lang w:val="en-US" w:eastAsia="zh-CN" w:bidi="ar-SA"/>
        </w:rPr>
      </w:pPr>
      <w:r>
        <w:rPr>
          <w:rFonts w:hint="eastAsia" w:ascii="黑体" w:hAnsi="黑体" w:eastAsia="黑体" w:cs="黑体"/>
          <w:color w:val="000000"/>
          <w:kern w:val="0"/>
          <w:sz w:val="32"/>
          <w:szCs w:val="32"/>
          <w:highlight w:val="none"/>
          <w:shd w:val="clear" w:color="auto" w:fill="FFFFFF"/>
          <w:lang w:val="en-US" w:eastAsia="zh-CN" w:bidi="ar-SA"/>
        </w:rPr>
        <w:t>三、</w:t>
      </w:r>
      <w:r>
        <w:rPr>
          <w:rFonts w:hint="eastAsia" w:ascii="黑体" w:hAnsi="黑体" w:eastAsia="黑体" w:cs="黑体"/>
          <w:b/>
          <w:bCs/>
          <w:color w:val="000000"/>
          <w:kern w:val="0"/>
          <w:sz w:val="32"/>
          <w:szCs w:val="32"/>
          <w:highlight w:val="none"/>
          <w:shd w:val="clear" w:color="auto" w:fill="FFFFFF"/>
          <w:lang w:val="en-US" w:eastAsia="zh-CN" w:bidi="ar-SA"/>
        </w:rPr>
        <w:t>部门预算绩效分析</w:t>
      </w:r>
    </w:p>
    <w:p w14:paraId="7FF9258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楷体_GB2312" w:hAnsi="楷体_GB2312" w:eastAsia="楷体_GB2312" w:cs="楷体_GB2312"/>
          <w:b/>
          <w:bCs/>
          <w:color w:val="000000"/>
          <w:kern w:val="0"/>
          <w:sz w:val="32"/>
          <w:szCs w:val="32"/>
          <w:highlight w:val="none"/>
          <w:shd w:val="clear" w:color="auto" w:fill="FFFFFF"/>
          <w:lang w:val="zh-CN" w:eastAsia="zh-CN" w:bidi="ar-SA"/>
        </w:rPr>
        <w:t>（一）部门预算总体绩效分析。</w:t>
      </w:r>
      <w:r>
        <w:rPr>
          <w:rFonts w:hint="eastAsia" w:ascii="仿宋" w:hAnsi="仿宋" w:eastAsia="仿宋" w:cs="仿宋"/>
          <w:color w:val="000000"/>
          <w:kern w:val="0"/>
          <w:sz w:val="32"/>
          <w:szCs w:val="32"/>
          <w:highlight w:val="none"/>
          <w:shd w:val="clear" w:color="auto" w:fill="FFFFFF"/>
          <w:lang w:val="en-US" w:eastAsia="zh-CN" w:bidi="ar-SA"/>
        </w:rPr>
        <w:t>单位每年按照上年度决算数据，按照“收支平衡、留有结余”的原则，依照“二上”“二下”的程序，合理编制单位经费预算。对每年度支出、收入进行绩效目标填报，对所有专项预算都进行了提前的细化并严格按照细化目标执行，所有的结余结转资金严格按照用途进行管理并支出。</w:t>
      </w:r>
    </w:p>
    <w:p w14:paraId="30EE7C3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b/>
          <w:bCs/>
          <w:color w:val="000000"/>
          <w:kern w:val="0"/>
          <w:sz w:val="32"/>
          <w:szCs w:val="32"/>
          <w:highlight w:val="none"/>
          <w:shd w:val="clear" w:color="auto" w:fill="FFFFFF"/>
          <w:lang w:val="zh-CN"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1.</w:t>
      </w:r>
      <w:r>
        <w:rPr>
          <w:rFonts w:hint="eastAsia" w:ascii="仿宋" w:hAnsi="仿宋" w:eastAsia="仿宋" w:cs="仿宋"/>
          <w:b/>
          <w:bCs/>
          <w:color w:val="000000"/>
          <w:kern w:val="0"/>
          <w:sz w:val="32"/>
          <w:szCs w:val="32"/>
          <w:highlight w:val="none"/>
          <w:shd w:val="clear" w:color="auto" w:fill="FFFFFF"/>
          <w:lang w:val="zh-CN" w:eastAsia="zh-CN" w:bidi="ar-SA"/>
        </w:rPr>
        <w:t>履职效能。</w:t>
      </w:r>
    </w:p>
    <w:p w14:paraId="0B8F54E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2023年年初结转和结余79.13万元，</w:t>
      </w:r>
      <w:r>
        <w:rPr>
          <w:rFonts w:hint="eastAsia" w:ascii="仿宋" w:hAnsi="仿宋" w:eastAsia="仿宋" w:cs="仿宋"/>
          <w:color w:val="000000"/>
          <w:kern w:val="0"/>
          <w:sz w:val="32"/>
          <w:szCs w:val="32"/>
          <w:highlight w:val="none"/>
          <w:shd w:val="clear" w:color="auto" w:fill="FFFFFF"/>
          <w:lang w:val="zh-CN" w:eastAsia="zh-CN" w:bidi="ar-SA"/>
        </w:rPr>
        <w:t>2023年本单位财政拨款收入为</w:t>
      </w:r>
      <w:r>
        <w:rPr>
          <w:rFonts w:hint="eastAsia" w:ascii="仿宋" w:hAnsi="仿宋" w:eastAsia="仿宋" w:cs="仿宋"/>
          <w:color w:val="000000"/>
          <w:kern w:val="0"/>
          <w:sz w:val="32"/>
          <w:szCs w:val="32"/>
          <w:highlight w:val="none"/>
          <w:shd w:val="clear" w:color="auto" w:fill="FFFFFF"/>
          <w:lang w:val="en-US" w:eastAsia="zh-CN" w:bidi="ar-SA"/>
        </w:rPr>
        <w:t>325.39</w:t>
      </w:r>
      <w:r>
        <w:rPr>
          <w:rFonts w:hint="eastAsia" w:ascii="仿宋" w:hAnsi="仿宋" w:eastAsia="仿宋" w:cs="仿宋"/>
          <w:color w:val="000000"/>
          <w:kern w:val="0"/>
          <w:sz w:val="32"/>
          <w:szCs w:val="32"/>
          <w:highlight w:val="none"/>
          <w:shd w:val="clear" w:color="auto" w:fill="FFFFFF"/>
          <w:lang w:val="zh-CN" w:eastAsia="zh-CN" w:bidi="ar-SA"/>
        </w:rPr>
        <w:t>万元，财政拨款支出为</w:t>
      </w:r>
      <w:r>
        <w:rPr>
          <w:rFonts w:hint="eastAsia" w:ascii="仿宋" w:hAnsi="仿宋" w:eastAsia="仿宋" w:cs="仿宋"/>
          <w:color w:val="000000"/>
          <w:kern w:val="0"/>
          <w:sz w:val="32"/>
          <w:szCs w:val="32"/>
          <w:highlight w:val="none"/>
          <w:shd w:val="clear" w:color="auto" w:fill="FFFFFF"/>
          <w:lang w:val="en-US" w:eastAsia="zh-CN" w:bidi="ar-SA"/>
        </w:rPr>
        <w:t>404.51</w:t>
      </w:r>
      <w:r>
        <w:rPr>
          <w:rFonts w:hint="eastAsia" w:ascii="仿宋" w:hAnsi="仿宋" w:eastAsia="仿宋" w:cs="仿宋"/>
          <w:color w:val="000000"/>
          <w:kern w:val="0"/>
          <w:sz w:val="32"/>
          <w:szCs w:val="32"/>
          <w:highlight w:val="none"/>
          <w:shd w:val="clear" w:color="auto" w:fill="FFFFFF"/>
          <w:lang w:val="zh-CN" w:eastAsia="zh-CN" w:bidi="ar-SA"/>
        </w:rPr>
        <w:t>万元，其中：基本支出中人员经费支出为</w:t>
      </w:r>
      <w:r>
        <w:rPr>
          <w:rFonts w:hint="eastAsia" w:ascii="仿宋" w:hAnsi="仿宋" w:eastAsia="仿宋" w:cs="仿宋"/>
          <w:color w:val="000000"/>
          <w:kern w:val="0"/>
          <w:sz w:val="32"/>
          <w:szCs w:val="32"/>
          <w:highlight w:val="none"/>
          <w:shd w:val="clear" w:color="auto" w:fill="FFFFFF"/>
          <w:lang w:val="en-US" w:eastAsia="zh-CN" w:bidi="ar-SA"/>
        </w:rPr>
        <w:t>169.04</w:t>
      </w:r>
      <w:r>
        <w:rPr>
          <w:rFonts w:hint="eastAsia" w:ascii="仿宋" w:hAnsi="仿宋" w:eastAsia="仿宋" w:cs="仿宋"/>
          <w:color w:val="000000"/>
          <w:kern w:val="0"/>
          <w:sz w:val="32"/>
          <w:szCs w:val="32"/>
          <w:highlight w:val="none"/>
          <w:shd w:val="clear" w:color="auto" w:fill="FFFFFF"/>
          <w:lang w:val="zh-CN" w:eastAsia="zh-CN" w:bidi="ar-SA"/>
        </w:rPr>
        <w:t>万元，公用经费支出为</w:t>
      </w:r>
      <w:r>
        <w:rPr>
          <w:rFonts w:hint="eastAsia" w:ascii="仿宋" w:hAnsi="仿宋" w:eastAsia="仿宋" w:cs="仿宋"/>
          <w:color w:val="000000"/>
          <w:kern w:val="0"/>
          <w:sz w:val="32"/>
          <w:szCs w:val="32"/>
          <w:highlight w:val="none"/>
          <w:shd w:val="clear" w:color="auto" w:fill="FFFFFF"/>
          <w:lang w:val="en-US" w:eastAsia="zh-CN" w:bidi="ar-SA"/>
        </w:rPr>
        <w:t>9.13</w:t>
      </w:r>
      <w:r>
        <w:rPr>
          <w:rFonts w:hint="eastAsia" w:ascii="仿宋" w:hAnsi="仿宋" w:eastAsia="仿宋" w:cs="仿宋"/>
          <w:color w:val="000000"/>
          <w:kern w:val="0"/>
          <w:sz w:val="32"/>
          <w:szCs w:val="32"/>
          <w:highlight w:val="none"/>
          <w:shd w:val="clear" w:color="auto" w:fill="FFFFFF"/>
          <w:lang w:val="zh-CN" w:eastAsia="zh-CN" w:bidi="ar-SA"/>
        </w:rPr>
        <w:t>万元，项目支出</w:t>
      </w:r>
      <w:r>
        <w:rPr>
          <w:rFonts w:hint="eastAsia" w:ascii="仿宋" w:hAnsi="仿宋" w:eastAsia="仿宋" w:cs="仿宋"/>
          <w:color w:val="000000"/>
          <w:kern w:val="0"/>
          <w:sz w:val="32"/>
          <w:szCs w:val="32"/>
          <w:highlight w:val="none"/>
          <w:shd w:val="clear" w:color="auto" w:fill="FFFFFF"/>
          <w:lang w:val="en-US" w:eastAsia="zh-CN" w:bidi="ar-SA"/>
        </w:rPr>
        <w:t>226.34万元</w:t>
      </w:r>
      <w:r>
        <w:rPr>
          <w:rFonts w:hint="eastAsia" w:ascii="仿宋" w:hAnsi="仿宋" w:eastAsia="仿宋" w:cs="仿宋"/>
          <w:color w:val="000000"/>
          <w:kern w:val="0"/>
          <w:sz w:val="32"/>
          <w:szCs w:val="32"/>
          <w:highlight w:val="none"/>
          <w:shd w:val="clear" w:color="auto" w:fill="FFFFFF"/>
          <w:lang w:val="zh-CN" w:eastAsia="zh-CN" w:bidi="ar-SA"/>
        </w:rPr>
        <w:t>。</w:t>
      </w:r>
    </w:p>
    <w:p w14:paraId="7F36441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松潘县残疾人联合会预算安排主要用于保障该部门机构正常运转、完成日常工作任务及承担相关事业发展相关工作。主要包括：</w:t>
      </w:r>
    </w:p>
    <w:p w14:paraId="2AB87CB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基本支出是用于保障县残疾人联合会行政机构的正常运转的日常支出，包括基本工资、津贴补贴、基本养老保险、医疗保险等人员经费以及办公费、印刷费、水电费等日常公用经费。20</w:t>
      </w:r>
      <w:r>
        <w:rPr>
          <w:rFonts w:hint="eastAsia" w:ascii="仿宋" w:hAnsi="仿宋" w:eastAsia="仿宋" w:cs="仿宋"/>
          <w:color w:val="000000"/>
          <w:kern w:val="0"/>
          <w:sz w:val="32"/>
          <w:szCs w:val="32"/>
          <w:highlight w:val="none"/>
          <w:shd w:val="clear" w:color="auto" w:fill="FFFFFF"/>
          <w:lang w:val="en-US" w:eastAsia="zh-CN" w:bidi="ar-SA"/>
        </w:rPr>
        <w:t>23</w:t>
      </w:r>
      <w:r>
        <w:rPr>
          <w:rFonts w:hint="eastAsia" w:ascii="仿宋" w:hAnsi="仿宋" w:eastAsia="仿宋" w:cs="仿宋"/>
          <w:color w:val="000000"/>
          <w:kern w:val="0"/>
          <w:sz w:val="32"/>
          <w:szCs w:val="32"/>
          <w:highlight w:val="none"/>
          <w:shd w:val="clear" w:color="auto" w:fill="FFFFFF"/>
          <w:lang w:val="zh-CN" w:eastAsia="zh-CN" w:bidi="ar-SA"/>
        </w:rPr>
        <w:t>年基本支出收入数</w:t>
      </w:r>
      <w:r>
        <w:rPr>
          <w:rFonts w:hint="eastAsia" w:ascii="仿宋" w:hAnsi="仿宋" w:eastAsia="仿宋" w:cs="仿宋"/>
          <w:color w:val="000000"/>
          <w:kern w:val="0"/>
          <w:sz w:val="32"/>
          <w:szCs w:val="32"/>
          <w:highlight w:val="none"/>
          <w:shd w:val="clear" w:color="auto" w:fill="FFFFFF"/>
          <w:lang w:val="en-US" w:eastAsia="zh-CN" w:bidi="ar-SA"/>
        </w:rPr>
        <w:t>178.17万元，</w:t>
      </w:r>
      <w:r>
        <w:rPr>
          <w:rFonts w:hint="eastAsia" w:ascii="仿宋" w:hAnsi="仿宋" w:eastAsia="仿宋" w:cs="仿宋"/>
          <w:color w:val="000000"/>
          <w:kern w:val="0"/>
          <w:sz w:val="32"/>
          <w:szCs w:val="32"/>
          <w:highlight w:val="none"/>
          <w:shd w:val="clear" w:color="auto" w:fill="FFFFFF"/>
          <w:lang w:val="zh-CN" w:eastAsia="zh-CN" w:bidi="ar-SA"/>
        </w:rPr>
        <w:t>其中：行政运行</w:t>
      </w:r>
      <w:r>
        <w:rPr>
          <w:rFonts w:hint="eastAsia" w:ascii="仿宋" w:hAnsi="仿宋" w:eastAsia="仿宋" w:cs="仿宋"/>
          <w:color w:val="000000"/>
          <w:kern w:val="0"/>
          <w:sz w:val="32"/>
          <w:szCs w:val="32"/>
          <w:highlight w:val="none"/>
          <w:shd w:val="clear" w:color="auto" w:fill="FFFFFF"/>
          <w:lang w:val="en-US" w:eastAsia="zh-CN" w:bidi="ar-SA"/>
        </w:rPr>
        <w:t>68.90万元，机关服务支出63.01万元，</w:t>
      </w:r>
      <w:r>
        <w:rPr>
          <w:rFonts w:hint="eastAsia" w:ascii="仿宋" w:hAnsi="仿宋" w:eastAsia="仿宋" w:cs="仿宋"/>
          <w:color w:val="000000"/>
          <w:kern w:val="0"/>
          <w:sz w:val="32"/>
          <w:szCs w:val="32"/>
          <w:highlight w:val="none"/>
          <w:shd w:val="clear" w:color="auto" w:fill="FFFFFF"/>
          <w:lang w:val="zh-CN" w:eastAsia="zh-CN" w:bidi="ar-SA"/>
        </w:rPr>
        <w:t>机关事业单位基本养老保险缴费支出</w:t>
      </w:r>
      <w:r>
        <w:rPr>
          <w:rFonts w:hint="eastAsia" w:ascii="仿宋" w:hAnsi="仿宋" w:eastAsia="仿宋" w:cs="仿宋"/>
          <w:color w:val="000000"/>
          <w:kern w:val="0"/>
          <w:sz w:val="32"/>
          <w:szCs w:val="32"/>
          <w:highlight w:val="none"/>
          <w:shd w:val="clear" w:color="auto" w:fill="FFFFFF"/>
          <w:lang w:val="en-US" w:eastAsia="zh-CN" w:bidi="ar-SA"/>
        </w:rPr>
        <w:t>16.36</w:t>
      </w:r>
      <w:r>
        <w:rPr>
          <w:rFonts w:hint="eastAsia" w:ascii="仿宋" w:hAnsi="仿宋" w:eastAsia="仿宋" w:cs="仿宋"/>
          <w:color w:val="000000"/>
          <w:kern w:val="0"/>
          <w:sz w:val="32"/>
          <w:szCs w:val="32"/>
          <w:highlight w:val="none"/>
          <w:shd w:val="clear" w:color="auto" w:fill="FFFFFF"/>
          <w:lang w:val="zh-CN" w:eastAsia="zh-CN" w:bidi="ar-SA"/>
        </w:rPr>
        <w:t>万元，机关事业单位职业年金缴费支出</w:t>
      </w:r>
      <w:r>
        <w:rPr>
          <w:rFonts w:hint="eastAsia" w:ascii="仿宋" w:hAnsi="仿宋" w:eastAsia="仿宋" w:cs="仿宋"/>
          <w:color w:val="000000"/>
          <w:kern w:val="0"/>
          <w:sz w:val="32"/>
          <w:szCs w:val="32"/>
          <w:highlight w:val="none"/>
          <w:shd w:val="clear" w:color="auto" w:fill="FFFFFF"/>
          <w:lang w:val="en-US" w:eastAsia="zh-CN" w:bidi="ar-SA"/>
        </w:rPr>
        <w:t>8.18万元，</w:t>
      </w:r>
      <w:r>
        <w:rPr>
          <w:rFonts w:hint="eastAsia" w:ascii="仿宋" w:hAnsi="仿宋" w:eastAsia="仿宋" w:cs="仿宋"/>
          <w:color w:val="000000"/>
          <w:kern w:val="0"/>
          <w:sz w:val="32"/>
          <w:szCs w:val="32"/>
          <w:highlight w:val="none"/>
          <w:shd w:val="clear" w:color="auto" w:fill="FFFFFF"/>
          <w:lang w:val="zh-CN" w:eastAsia="zh-CN" w:bidi="ar-SA"/>
        </w:rPr>
        <w:t>公务员医疗补助</w:t>
      </w:r>
      <w:r>
        <w:rPr>
          <w:rFonts w:hint="eastAsia" w:ascii="仿宋" w:hAnsi="仿宋" w:eastAsia="仿宋" w:cs="仿宋"/>
          <w:color w:val="000000"/>
          <w:kern w:val="0"/>
          <w:sz w:val="32"/>
          <w:szCs w:val="32"/>
          <w:highlight w:val="none"/>
          <w:shd w:val="clear" w:color="auto" w:fill="FFFFFF"/>
          <w:lang w:val="en-US" w:eastAsia="zh-CN" w:bidi="ar-SA"/>
        </w:rPr>
        <w:t>0.86</w:t>
      </w:r>
      <w:r>
        <w:rPr>
          <w:rFonts w:hint="eastAsia" w:ascii="仿宋" w:hAnsi="仿宋" w:eastAsia="仿宋" w:cs="仿宋"/>
          <w:color w:val="000000"/>
          <w:kern w:val="0"/>
          <w:sz w:val="32"/>
          <w:szCs w:val="32"/>
          <w:highlight w:val="none"/>
          <w:shd w:val="clear" w:color="auto" w:fill="FFFFFF"/>
          <w:lang w:val="zh-CN" w:eastAsia="zh-CN" w:bidi="ar-SA"/>
        </w:rPr>
        <w:t>万元，行政单位医疗</w:t>
      </w:r>
      <w:r>
        <w:rPr>
          <w:rFonts w:hint="eastAsia" w:ascii="仿宋" w:hAnsi="仿宋" w:eastAsia="仿宋" w:cs="仿宋"/>
          <w:color w:val="000000"/>
          <w:kern w:val="0"/>
          <w:sz w:val="32"/>
          <w:szCs w:val="32"/>
          <w:highlight w:val="none"/>
          <w:shd w:val="clear" w:color="auto" w:fill="FFFFFF"/>
          <w:lang w:val="en-US" w:eastAsia="zh-CN" w:bidi="ar-SA"/>
        </w:rPr>
        <w:t>4.04</w:t>
      </w:r>
      <w:r>
        <w:rPr>
          <w:rFonts w:hint="eastAsia" w:ascii="仿宋" w:hAnsi="仿宋" w:eastAsia="仿宋" w:cs="仿宋"/>
          <w:color w:val="000000"/>
          <w:kern w:val="0"/>
          <w:sz w:val="32"/>
          <w:szCs w:val="32"/>
          <w:highlight w:val="none"/>
          <w:shd w:val="clear" w:color="auto" w:fill="FFFFFF"/>
          <w:lang w:val="zh-CN" w:eastAsia="zh-CN" w:bidi="ar-SA"/>
        </w:rPr>
        <w:t>万元，事业单位医疗</w:t>
      </w:r>
      <w:r>
        <w:rPr>
          <w:rFonts w:hint="eastAsia" w:ascii="仿宋" w:hAnsi="仿宋" w:eastAsia="仿宋" w:cs="仿宋"/>
          <w:color w:val="000000"/>
          <w:kern w:val="0"/>
          <w:sz w:val="32"/>
          <w:szCs w:val="32"/>
          <w:highlight w:val="none"/>
          <w:shd w:val="clear" w:color="auto" w:fill="FFFFFF"/>
          <w:lang w:val="en-US" w:eastAsia="zh-CN" w:bidi="ar-SA"/>
        </w:rPr>
        <w:t>3.32</w:t>
      </w:r>
      <w:r>
        <w:rPr>
          <w:rFonts w:hint="eastAsia" w:ascii="仿宋" w:hAnsi="仿宋" w:eastAsia="仿宋" w:cs="仿宋"/>
          <w:color w:val="000000"/>
          <w:kern w:val="0"/>
          <w:sz w:val="32"/>
          <w:szCs w:val="32"/>
          <w:highlight w:val="none"/>
          <w:shd w:val="clear" w:color="auto" w:fill="FFFFFF"/>
          <w:lang w:val="zh-CN" w:eastAsia="zh-CN" w:bidi="ar-SA"/>
        </w:rPr>
        <w:t>万元，其他行政事业单位医疗</w:t>
      </w:r>
      <w:r>
        <w:rPr>
          <w:rFonts w:hint="eastAsia" w:ascii="仿宋" w:hAnsi="仿宋" w:eastAsia="仿宋" w:cs="仿宋"/>
          <w:color w:val="000000"/>
          <w:kern w:val="0"/>
          <w:sz w:val="32"/>
          <w:szCs w:val="32"/>
          <w:highlight w:val="none"/>
          <w:shd w:val="clear" w:color="auto" w:fill="FFFFFF"/>
          <w:lang w:val="en-US" w:eastAsia="zh-CN" w:bidi="ar-SA"/>
        </w:rPr>
        <w:t>0.86</w:t>
      </w:r>
      <w:r>
        <w:rPr>
          <w:rFonts w:hint="eastAsia" w:ascii="仿宋" w:hAnsi="仿宋" w:eastAsia="仿宋" w:cs="仿宋"/>
          <w:color w:val="000000"/>
          <w:kern w:val="0"/>
          <w:sz w:val="32"/>
          <w:szCs w:val="32"/>
          <w:highlight w:val="none"/>
          <w:shd w:val="clear" w:color="auto" w:fill="FFFFFF"/>
          <w:lang w:val="zh-CN" w:eastAsia="zh-CN" w:bidi="ar-SA"/>
        </w:rPr>
        <w:t>万元，住房公积金</w:t>
      </w:r>
      <w:r>
        <w:rPr>
          <w:rFonts w:hint="eastAsia" w:ascii="仿宋" w:hAnsi="仿宋" w:eastAsia="仿宋" w:cs="仿宋"/>
          <w:color w:val="000000"/>
          <w:kern w:val="0"/>
          <w:sz w:val="32"/>
          <w:szCs w:val="32"/>
          <w:highlight w:val="none"/>
          <w:shd w:val="clear" w:color="auto" w:fill="FFFFFF"/>
          <w:lang w:val="en-US" w:eastAsia="zh-CN" w:bidi="ar-SA"/>
        </w:rPr>
        <w:t>12.64</w:t>
      </w:r>
      <w:r>
        <w:rPr>
          <w:rFonts w:hint="eastAsia" w:ascii="仿宋" w:hAnsi="仿宋" w:eastAsia="仿宋" w:cs="仿宋"/>
          <w:color w:val="000000"/>
          <w:kern w:val="0"/>
          <w:sz w:val="32"/>
          <w:szCs w:val="32"/>
          <w:highlight w:val="none"/>
          <w:shd w:val="clear" w:color="auto" w:fill="FFFFFF"/>
          <w:lang w:val="zh-CN" w:eastAsia="zh-CN" w:bidi="ar-SA"/>
        </w:rPr>
        <w:t>万元。</w:t>
      </w:r>
    </w:p>
    <w:p w14:paraId="4F86872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项目支出是用于保障县残疾人联合会行政机构为完成特定的行政工作任务或事业发展目标，用于专项业务工作的经费支出。20</w:t>
      </w:r>
      <w:r>
        <w:rPr>
          <w:rFonts w:hint="eastAsia" w:ascii="仿宋" w:hAnsi="仿宋" w:eastAsia="仿宋" w:cs="仿宋"/>
          <w:color w:val="000000"/>
          <w:kern w:val="0"/>
          <w:sz w:val="32"/>
          <w:szCs w:val="32"/>
          <w:highlight w:val="none"/>
          <w:shd w:val="clear" w:color="auto" w:fill="FFFFFF"/>
          <w:lang w:val="en-US" w:eastAsia="zh-CN" w:bidi="ar-SA"/>
        </w:rPr>
        <w:t>23</w:t>
      </w:r>
      <w:r>
        <w:rPr>
          <w:rFonts w:hint="eastAsia" w:ascii="仿宋" w:hAnsi="仿宋" w:eastAsia="仿宋" w:cs="仿宋"/>
          <w:color w:val="000000"/>
          <w:kern w:val="0"/>
          <w:sz w:val="32"/>
          <w:szCs w:val="32"/>
          <w:highlight w:val="none"/>
          <w:shd w:val="clear" w:color="auto" w:fill="FFFFFF"/>
          <w:lang w:val="zh-CN" w:eastAsia="zh-CN" w:bidi="ar-SA"/>
        </w:rPr>
        <w:t>年项目支出收入数</w:t>
      </w:r>
      <w:r>
        <w:rPr>
          <w:rFonts w:hint="eastAsia" w:ascii="仿宋" w:hAnsi="仿宋" w:eastAsia="仿宋" w:cs="仿宋"/>
          <w:color w:val="000000"/>
          <w:kern w:val="0"/>
          <w:sz w:val="32"/>
          <w:szCs w:val="32"/>
          <w:highlight w:val="none"/>
          <w:shd w:val="clear" w:color="auto" w:fill="FFFFFF"/>
          <w:lang w:val="en-US" w:eastAsia="zh-CN" w:bidi="ar-SA"/>
        </w:rPr>
        <w:t>226.34</w:t>
      </w:r>
      <w:r>
        <w:rPr>
          <w:rFonts w:hint="eastAsia" w:ascii="仿宋" w:hAnsi="仿宋" w:eastAsia="仿宋" w:cs="仿宋"/>
          <w:color w:val="000000"/>
          <w:kern w:val="0"/>
          <w:sz w:val="32"/>
          <w:szCs w:val="32"/>
          <w:highlight w:val="none"/>
          <w:shd w:val="clear" w:color="auto" w:fill="FFFFFF"/>
          <w:lang w:val="zh-CN" w:eastAsia="zh-CN" w:bidi="ar-SA"/>
        </w:rPr>
        <w:t>万元，其中：残疾人康复</w:t>
      </w:r>
      <w:r>
        <w:rPr>
          <w:rFonts w:hint="eastAsia" w:ascii="仿宋" w:hAnsi="仿宋" w:eastAsia="仿宋" w:cs="仿宋"/>
          <w:color w:val="000000"/>
          <w:kern w:val="0"/>
          <w:sz w:val="32"/>
          <w:szCs w:val="32"/>
          <w:highlight w:val="none"/>
          <w:shd w:val="clear" w:color="auto" w:fill="FFFFFF"/>
          <w:lang w:val="en-US" w:eastAsia="zh-CN" w:bidi="ar-SA"/>
        </w:rPr>
        <w:t>4万元，</w:t>
      </w:r>
      <w:r>
        <w:rPr>
          <w:rFonts w:hint="eastAsia" w:ascii="仿宋" w:hAnsi="仿宋" w:eastAsia="仿宋" w:cs="仿宋"/>
          <w:color w:val="000000"/>
          <w:kern w:val="0"/>
          <w:sz w:val="32"/>
          <w:szCs w:val="32"/>
          <w:highlight w:val="none"/>
          <w:shd w:val="clear" w:color="auto" w:fill="FFFFFF"/>
          <w:lang w:val="zh-CN" w:eastAsia="zh-CN" w:bidi="ar-SA"/>
        </w:rPr>
        <w:t>残疾人就业</w:t>
      </w:r>
      <w:r>
        <w:rPr>
          <w:rFonts w:hint="eastAsia" w:ascii="仿宋" w:hAnsi="仿宋" w:eastAsia="仿宋" w:cs="仿宋"/>
          <w:color w:val="000000"/>
          <w:kern w:val="0"/>
          <w:sz w:val="32"/>
          <w:szCs w:val="32"/>
          <w:highlight w:val="none"/>
          <w:shd w:val="clear" w:color="auto" w:fill="FFFFFF"/>
          <w:lang w:val="en-US" w:eastAsia="zh-CN" w:bidi="ar-SA"/>
        </w:rPr>
        <w:t>33.22万元，残疾人体育2.10万元，</w:t>
      </w:r>
      <w:r>
        <w:rPr>
          <w:rFonts w:hint="eastAsia" w:ascii="仿宋" w:hAnsi="仿宋" w:eastAsia="仿宋" w:cs="仿宋"/>
          <w:color w:val="000000"/>
          <w:kern w:val="0"/>
          <w:sz w:val="32"/>
          <w:szCs w:val="32"/>
          <w:highlight w:val="none"/>
          <w:shd w:val="clear" w:color="auto" w:fill="FFFFFF"/>
          <w:lang w:val="zh-CN" w:eastAsia="zh-CN" w:bidi="ar-SA"/>
        </w:rPr>
        <w:t>其他残疾人事业支出</w:t>
      </w:r>
      <w:r>
        <w:rPr>
          <w:rFonts w:hint="eastAsia" w:ascii="仿宋" w:hAnsi="仿宋" w:eastAsia="仿宋" w:cs="仿宋"/>
          <w:color w:val="000000"/>
          <w:kern w:val="0"/>
          <w:sz w:val="32"/>
          <w:szCs w:val="32"/>
          <w:highlight w:val="none"/>
          <w:shd w:val="clear" w:color="auto" w:fill="FFFFFF"/>
          <w:lang w:val="en-US" w:eastAsia="zh-CN" w:bidi="ar-SA"/>
        </w:rPr>
        <w:t>175.09</w:t>
      </w:r>
      <w:r>
        <w:rPr>
          <w:rFonts w:hint="eastAsia" w:ascii="仿宋" w:hAnsi="仿宋" w:eastAsia="仿宋" w:cs="仿宋"/>
          <w:color w:val="000000"/>
          <w:kern w:val="0"/>
          <w:sz w:val="32"/>
          <w:szCs w:val="32"/>
          <w:highlight w:val="none"/>
          <w:shd w:val="clear" w:color="auto" w:fill="FFFFFF"/>
          <w:lang w:val="zh-CN" w:eastAsia="zh-CN" w:bidi="ar-SA"/>
        </w:rPr>
        <w:t>万元，用于彩票公益金安排的支出</w:t>
      </w:r>
      <w:r>
        <w:rPr>
          <w:rFonts w:hint="eastAsia" w:ascii="仿宋" w:hAnsi="仿宋" w:eastAsia="仿宋" w:cs="仿宋"/>
          <w:color w:val="000000"/>
          <w:kern w:val="0"/>
          <w:sz w:val="32"/>
          <w:szCs w:val="32"/>
          <w:highlight w:val="none"/>
          <w:shd w:val="clear" w:color="auto" w:fill="FFFFFF"/>
          <w:lang w:val="en-US" w:eastAsia="zh-CN" w:bidi="ar-SA"/>
        </w:rPr>
        <w:t>11.93</w:t>
      </w:r>
      <w:r>
        <w:rPr>
          <w:rFonts w:hint="eastAsia" w:ascii="仿宋" w:hAnsi="仿宋" w:eastAsia="仿宋" w:cs="仿宋"/>
          <w:color w:val="000000"/>
          <w:kern w:val="0"/>
          <w:sz w:val="32"/>
          <w:szCs w:val="32"/>
          <w:highlight w:val="none"/>
          <w:shd w:val="clear" w:color="auto" w:fill="FFFFFF"/>
          <w:lang w:val="zh-CN" w:eastAsia="zh-CN" w:bidi="ar-SA"/>
        </w:rPr>
        <w:t>万元。</w:t>
      </w:r>
    </w:p>
    <w:p w14:paraId="6AB13C9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2.</w:t>
      </w:r>
      <w:r>
        <w:rPr>
          <w:rFonts w:hint="eastAsia" w:ascii="仿宋" w:hAnsi="仿宋" w:eastAsia="仿宋" w:cs="仿宋"/>
          <w:b/>
          <w:bCs/>
          <w:color w:val="000000"/>
          <w:kern w:val="0"/>
          <w:sz w:val="32"/>
          <w:szCs w:val="32"/>
          <w:highlight w:val="none"/>
          <w:shd w:val="clear" w:color="auto" w:fill="FFFFFF"/>
          <w:lang w:val="zh-CN" w:eastAsia="zh-CN" w:bidi="ar-SA"/>
        </w:rPr>
        <w:t>预算管理。</w:t>
      </w:r>
    </w:p>
    <w:p w14:paraId="1AD6DC4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为切实做好本单位预算编制工作，提高年初预算到位率，全面提升预算的完整性、科学性、准确性，根据《预算法》及其实施条例，制定预算编制和批复制度。</w:t>
      </w:r>
    </w:p>
    <w:p w14:paraId="5CC97BF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（1）预算的组成</w:t>
      </w:r>
    </w:p>
    <w:p w14:paraId="3345FA8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预算由预算收入和预算支出组成。预算实行全口径预算，即政府的全部收入和支出都应当纳入预算。</w:t>
      </w:r>
    </w:p>
    <w:p w14:paraId="3F6302B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（2）预算的类型</w:t>
      </w:r>
    </w:p>
    <w:p w14:paraId="0D33B28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本单位预算包括一般公共预算。</w:t>
      </w:r>
    </w:p>
    <w:p w14:paraId="6E66D99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（3）预算编制的原则</w:t>
      </w:r>
    </w:p>
    <w:p w14:paraId="68A59BE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编制预算应当遵循统筹兼顾、勤俭节约、量力而行、讲求绩效和收支平衡的原则。</w:t>
      </w:r>
    </w:p>
    <w:p w14:paraId="24B4A63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（4）预算编制的要求</w:t>
      </w:r>
    </w:p>
    <w:p w14:paraId="2E0013A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预算应当根据年度经济社会发展目标、国家宏观调控总体要求和跨年度预算平衡的需要，参考上一年预算执行情况、有关支出绩效评价结果和本年度收支预测，按照规定程序进行编制，不得隐瞒、少列，并按照县财政局制定的预算支出标准和要求，以及绩效目标管理等预算编制规定，统筹安排当年财政资金、历年结转结余等各类资金。根据本单位履行职能和事业发展的需要以及存量资产情况，区分轻重缓急，合理地编制本单位预算草案。编制预算时要细化到支出功能分类的项级科目和经济分类的款级科目。</w:t>
      </w:r>
    </w:p>
    <w:p w14:paraId="084B96B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（5）预算的编制程序</w:t>
      </w:r>
    </w:p>
    <w:p w14:paraId="4EB02A6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预算编制实行“二上二下”的程序。</w:t>
      </w:r>
    </w:p>
    <w:p w14:paraId="37B2C25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本单位根据县财政局下发的《关于编制松潘县20XX年部门预算的通知》要求编制部门预算，于每年的10月1日前“一上”报至财政局预算股室和分管股室。</w:t>
      </w:r>
    </w:p>
    <w:p w14:paraId="55B0AEB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业务股室对本单位上报的预算进行初审，并于11月15日前将部门预算控制数“一下”至本单位。</w:t>
      </w:r>
    </w:p>
    <w:p w14:paraId="7E2DD8C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本单位根据县财政局下达的预算控制数，核实各项收支项目，补充、完善部门预算并提出书面意见，于12月15日前“二上”报至财政局业务股室复审。</w:t>
      </w:r>
    </w:p>
    <w:p w14:paraId="032D4C6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预算股审核汇总部门预算，并根据财力进行综合平衡，将当年县级预算（草案）报县政府审批后，提交人代会审议。</w:t>
      </w:r>
    </w:p>
    <w:p w14:paraId="2B90DC7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预算股在县人民代表大会批准预算草案后</w:t>
      </w:r>
      <w:r>
        <w:rPr>
          <w:rFonts w:hint="eastAsia" w:ascii="仿宋" w:hAnsi="仿宋" w:eastAsia="仿宋" w:cs="仿宋"/>
          <w:color w:val="000000"/>
          <w:kern w:val="0"/>
          <w:sz w:val="32"/>
          <w:szCs w:val="32"/>
          <w:highlight w:val="none"/>
          <w:shd w:val="clear" w:color="auto" w:fill="FFFFFF"/>
          <w:lang w:val="en-US" w:eastAsia="zh-CN" w:bidi="ar-SA"/>
        </w:rPr>
        <w:t>20</w:t>
      </w:r>
      <w:r>
        <w:rPr>
          <w:rFonts w:hint="eastAsia" w:ascii="仿宋" w:hAnsi="仿宋" w:eastAsia="仿宋" w:cs="仿宋"/>
          <w:color w:val="000000"/>
          <w:kern w:val="0"/>
          <w:sz w:val="32"/>
          <w:szCs w:val="32"/>
          <w:highlight w:val="none"/>
          <w:shd w:val="clear" w:color="auto" w:fill="FFFFFF"/>
          <w:lang w:val="zh-CN" w:eastAsia="zh-CN" w:bidi="ar-SA"/>
        </w:rPr>
        <w:t>日内，将当年部门预算“二下”批复至各部门。各部门应当在接到财政部门批复的本部门预算后十五日内向所属单位批复预算。</w:t>
      </w:r>
    </w:p>
    <w:p w14:paraId="705316F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b/>
          <w:bCs/>
          <w:color w:val="000000"/>
          <w:kern w:val="0"/>
          <w:sz w:val="32"/>
          <w:szCs w:val="32"/>
          <w:highlight w:val="none"/>
          <w:shd w:val="clear" w:color="auto" w:fill="FFFFFF"/>
          <w:lang w:val="zh-CN"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3.</w:t>
      </w:r>
      <w:r>
        <w:rPr>
          <w:rFonts w:hint="eastAsia" w:ascii="仿宋" w:hAnsi="仿宋" w:eastAsia="仿宋" w:cs="仿宋"/>
          <w:b/>
          <w:bCs/>
          <w:color w:val="000000"/>
          <w:kern w:val="0"/>
          <w:sz w:val="32"/>
          <w:szCs w:val="32"/>
          <w:highlight w:val="none"/>
          <w:shd w:val="clear" w:color="auto" w:fill="FFFFFF"/>
          <w:lang w:val="zh-CN" w:eastAsia="zh-CN" w:bidi="ar-SA"/>
        </w:rPr>
        <w:t>财务管理。</w:t>
      </w:r>
    </w:p>
    <w:p w14:paraId="4925B9B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完善和健全了各类规章制度和内控制度，严格按财政部门监管要求规范预算执行；规范财政资金支付管理，逐月逐笔核对银行存款收支明细信息，确保账户资金明确清晰；完善会计管理制度，建立岗位分离制度，同时按规定建立会计账册、设置会计科目，依法依规进行会计核算，确保会计信息合法性、真实性和完整性，做到账证、账账、账表和账实相符；同时加强内控管清理，开展内控自我评价工作</w:t>
      </w:r>
      <w:r>
        <w:rPr>
          <w:rFonts w:hint="eastAsia" w:ascii="仿宋" w:hAnsi="仿宋" w:eastAsia="仿宋" w:cs="仿宋"/>
          <w:color w:val="000000"/>
          <w:kern w:val="0"/>
          <w:sz w:val="32"/>
          <w:szCs w:val="32"/>
          <w:highlight w:val="none"/>
          <w:shd w:val="clear" w:color="auto" w:fill="FFFFFF"/>
          <w:lang w:val="en-US" w:eastAsia="zh-CN" w:bidi="ar-SA"/>
        </w:rPr>
        <w:t>.</w:t>
      </w:r>
      <w:r>
        <w:rPr>
          <w:rFonts w:hint="eastAsia" w:ascii="仿宋" w:hAnsi="仿宋" w:eastAsia="仿宋" w:cs="仿宋"/>
          <w:color w:val="000000"/>
          <w:kern w:val="0"/>
          <w:sz w:val="32"/>
          <w:szCs w:val="32"/>
          <w:highlight w:val="none"/>
          <w:shd w:val="clear" w:color="auto" w:fill="FFFFFF"/>
          <w:lang w:val="zh-CN" w:eastAsia="zh-CN" w:bidi="ar-SA"/>
        </w:rPr>
        <w:t>同时加大账户和存量资金的清理，决算管理返部门决算编制要求将单位所有收支和结余结转情况进行全面反映。</w:t>
      </w:r>
    </w:p>
    <w:p w14:paraId="5AE7D4D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b/>
          <w:bCs/>
          <w:color w:val="000000"/>
          <w:kern w:val="0"/>
          <w:sz w:val="32"/>
          <w:szCs w:val="32"/>
          <w:highlight w:val="none"/>
          <w:shd w:val="clear" w:color="auto" w:fill="FFFFFF"/>
          <w:lang w:val="zh-CN"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4.</w:t>
      </w:r>
      <w:r>
        <w:rPr>
          <w:rFonts w:hint="eastAsia" w:ascii="仿宋" w:hAnsi="仿宋" w:eastAsia="仿宋" w:cs="仿宋"/>
          <w:b/>
          <w:bCs/>
          <w:color w:val="000000"/>
          <w:kern w:val="0"/>
          <w:sz w:val="32"/>
          <w:szCs w:val="32"/>
          <w:highlight w:val="none"/>
          <w:shd w:val="clear" w:color="auto" w:fill="FFFFFF"/>
          <w:lang w:val="zh-CN" w:eastAsia="zh-CN" w:bidi="ar-SA"/>
        </w:rPr>
        <w:t>资产管理。</w:t>
      </w:r>
    </w:p>
    <w:p w14:paraId="1DB4B5D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zh-CN" w:eastAsia="zh-CN" w:bidi="ar-SA"/>
        </w:rPr>
        <w:t>2023年年底，我单位配置固定资产</w:t>
      </w:r>
      <w:r>
        <w:rPr>
          <w:rFonts w:hint="eastAsia" w:ascii="仿宋" w:hAnsi="仿宋" w:eastAsia="仿宋" w:cs="仿宋"/>
          <w:color w:val="000000"/>
          <w:kern w:val="0"/>
          <w:sz w:val="32"/>
          <w:szCs w:val="32"/>
          <w:highlight w:val="none"/>
          <w:shd w:val="clear" w:color="auto" w:fill="FFFFFF"/>
          <w:lang w:val="en-US" w:eastAsia="zh-CN" w:bidi="ar-SA"/>
        </w:rPr>
        <w:t>31.17</w:t>
      </w:r>
      <w:r>
        <w:rPr>
          <w:rFonts w:hint="eastAsia" w:ascii="仿宋" w:hAnsi="仿宋" w:eastAsia="仿宋" w:cs="仿宋"/>
          <w:color w:val="000000"/>
          <w:kern w:val="0"/>
          <w:sz w:val="32"/>
          <w:szCs w:val="32"/>
          <w:highlight w:val="none"/>
          <w:shd w:val="clear" w:color="auto" w:fill="FFFFFF"/>
          <w:lang w:val="zh-CN" w:eastAsia="zh-CN" w:bidi="ar-SA"/>
        </w:rPr>
        <w:t>万元（账面原值，下同）。从资产类别分析，配置设备</w:t>
      </w:r>
      <w:r>
        <w:rPr>
          <w:rFonts w:hint="eastAsia" w:ascii="仿宋" w:hAnsi="仿宋" w:eastAsia="仿宋" w:cs="仿宋"/>
          <w:color w:val="000000"/>
          <w:kern w:val="0"/>
          <w:sz w:val="32"/>
          <w:szCs w:val="32"/>
          <w:highlight w:val="none"/>
          <w:shd w:val="clear" w:color="auto" w:fill="FFFFFF"/>
          <w:lang w:val="en-US" w:eastAsia="zh-CN" w:bidi="ar-SA"/>
        </w:rPr>
        <w:t>29.35</w:t>
      </w:r>
      <w:r>
        <w:rPr>
          <w:rFonts w:hint="eastAsia" w:ascii="仿宋" w:hAnsi="仿宋" w:eastAsia="仿宋" w:cs="仿宋"/>
          <w:color w:val="000000"/>
          <w:kern w:val="0"/>
          <w:sz w:val="32"/>
          <w:szCs w:val="32"/>
          <w:highlight w:val="none"/>
          <w:shd w:val="clear" w:color="auto" w:fill="FFFFFF"/>
          <w:lang w:val="zh-CN" w:eastAsia="zh-CN" w:bidi="ar-SA"/>
        </w:rPr>
        <w:t>万元，占</w:t>
      </w:r>
      <w:r>
        <w:rPr>
          <w:rFonts w:hint="eastAsia" w:ascii="仿宋" w:hAnsi="仿宋" w:eastAsia="仿宋" w:cs="仿宋"/>
          <w:color w:val="000000"/>
          <w:kern w:val="0"/>
          <w:sz w:val="32"/>
          <w:szCs w:val="32"/>
          <w:highlight w:val="none"/>
          <w:shd w:val="clear" w:color="auto" w:fill="FFFFFF"/>
          <w:lang w:val="en-US" w:eastAsia="zh-CN" w:bidi="ar-SA"/>
        </w:rPr>
        <w:t>94.16</w:t>
      </w:r>
      <w:r>
        <w:rPr>
          <w:rFonts w:hint="eastAsia" w:ascii="仿宋" w:hAnsi="仿宋" w:eastAsia="仿宋" w:cs="仿宋"/>
          <w:color w:val="000000"/>
          <w:kern w:val="0"/>
          <w:sz w:val="32"/>
          <w:szCs w:val="32"/>
          <w:highlight w:val="none"/>
          <w:shd w:val="clear" w:color="auto" w:fill="FFFFFF"/>
          <w:lang w:val="zh-CN" w:eastAsia="zh-CN" w:bidi="ar-SA"/>
        </w:rPr>
        <w:t>%；配置家具和用具</w:t>
      </w:r>
      <w:r>
        <w:rPr>
          <w:rFonts w:hint="eastAsia" w:ascii="仿宋" w:hAnsi="仿宋" w:eastAsia="仿宋" w:cs="仿宋"/>
          <w:color w:val="000000"/>
          <w:kern w:val="0"/>
          <w:sz w:val="32"/>
          <w:szCs w:val="32"/>
          <w:highlight w:val="none"/>
          <w:shd w:val="clear" w:color="auto" w:fill="FFFFFF"/>
          <w:lang w:val="en-US" w:eastAsia="zh-CN" w:bidi="ar-SA"/>
        </w:rPr>
        <w:t>1.82</w:t>
      </w:r>
      <w:r>
        <w:rPr>
          <w:rFonts w:hint="eastAsia" w:ascii="仿宋" w:hAnsi="仿宋" w:eastAsia="仿宋" w:cs="仿宋"/>
          <w:color w:val="000000"/>
          <w:kern w:val="0"/>
          <w:sz w:val="32"/>
          <w:szCs w:val="32"/>
          <w:highlight w:val="none"/>
          <w:shd w:val="clear" w:color="auto" w:fill="FFFFFF"/>
          <w:lang w:val="zh-CN" w:eastAsia="zh-CN" w:bidi="ar-SA"/>
        </w:rPr>
        <w:t>万元，占</w:t>
      </w:r>
      <w:r>
        <w:rPr>
          <w:rFonts w:hint="eastAsia" w:ascii="仿宋" w:hAnsi="仿宋" w:eastAsia="仿宋" w:cs="仿宋"/>
          <w:color w:val="000000"/>
          <w:kern w:val="0"/>
          <w:sz w:val="32"/>
          <w:szCs w:val="32"/>
          <w:highlight w:val="none"/>
          <w:shd w:val="clear" w:color="auto" w:fill="FFFFFF"/>
          <w:lang w:val="en-US" w:eastAsia="zh-CN" w:bidi="ar-SA"/>
        </w:rPr>
        <w:t>5.84</w:t>
      </w:r>
      <w:r>
        <w:rPr>
          <w:rFonts w:hint="eastAsia" w:ascii="仿宋" w:hAnsi="仿宋" w:eastAsia="仿宋" w:cs="仿宋"/>
          <w:color w:val="000000"/>
          <w:kern w:val="0"/>
          <w:sz w:val="32"/>
          <w:szCs w:val="32"/>
          <w:highlight w:val="none"/>
          <w:shd w:val="clear" w:color="auto" w:fill="FFFFFF"/>
          <w:lang w:val="zh-CN" w:eastAsia="zh-CN" w:bidi="ar-SA"/>
        </w:rPr>
        <w:t>%；截至2023年12月31日，我单位自用固定资产</w:t>
      </w:r>
      <w:r>
        <w:rPr>
          <w:rFonts w:hint="eastAsia" w:ascii="仿宋" w:hAnsi="仿宋" w:eastAsia="仿宋" w:cs="仿宋"/>
          <w:color w:val="000000"/>
          <w:kern w:val="0"/>
          <w:sz w:val="32"/>
          <w:szCs w:val="32"/>
          <w:highlight w:val="none"/>
          <w:shd w:val="clear" w:color="auto" w:fill="FFFFFF"/>
          <w:lang w:val="en-US" w:eastAsia="zh-CN" w:bidi="ar-SA"/>
        </w:rPr>
        <w:t>31.17</w:t>
      </w:r>
      <w:r>
        <w:rPr>
          <w:rFonts w:hint="eastAsia" w:ascii="仿宋" w:hAnsi="仿宋" w:eastAsia="仿宋" w:cs="仿宋"/>
          <w:color w:val="000000"/>
          <w:kern w:val="0"/>
          <w:sz w:val="32"/>
          <w:szCs w:val="32"/>
          <w:highlight w:val="none"/>
          <w:shd w:val="clear" w:color="auto" w:fill="FFFFFF"/>
          <w:lang w:val="zh-CN" w:eastAsia="zh-CN" w:bidi="ar-SA"/>
        </w:rPr>
        <w:t>万元，占账面固定资产总额的100.00%，其中：在用</w:t>
      </w:r>
      <w:r>
        <w:rPr>
          <w:rFonts w:hint="eastAsia" w:ascii="仿宋" w:hAnsi="仿宋" w:eastAsia="仿宋" w:cs="仿宋"/>
          <w:color w:val="000000"/>
          <w:kern w:val="0"/>
          <w:sz w:val="32"/>
          <w:szCs w:val="32"/>
          <w:highlight w:val="none"/>
          <w:shd w:val="clear" w:color="auto" w:fill="FFFFFF"/>
          <w:lang w:val="en-US" w:eastAsia="zh-CN" w:bidi="ar-SA"/>
        </w:rPr>
        <w:t>31.17</w:t>
      </w:r>
      <w:r>
        <w:rPr>
          <w:rFonts w:hint="eastAsia" w:ascii="仿宋" w:hAnsi="仿宋" w:eastAsia="仿宋" w:cs="仿宋"/>
          <w:color w:val="000000"/>
          <w:kern w:val="0"/>
          <w:sz w:val="32"/>
          <w:szCs w:val="32"/>
          <w:highlight w:val="none"/>
          <w:shd w:val="clear" w:color="auto" w:fill="FFFFFF"/>
          <w:lang w:val="zh-CN" w:eastAsia="zh-CN" w:bidi="ar-SA"/>
        </w:rPr>
        <w:t>万元，占账面固定资产总额的100.00%；人均资产</w:t>
      </w:r>
      <w:r>
        <w:rPr>
          <w:rFonts w:hint="eastAsia" w:ascii="仿宋" w:hAnsi="仿宋" w:eastAsia="仿宋" w:cs="仿宋"/>
          <w:color w:val="000000"/>
          <w:kern w:val="0"/>
          <w:sz w:val="32"/>
          <w:szCs w:val="32"/>
          <w:highlight w:val="none"/>
          <w:shd w:val="clear" w:color="auto" w:fill="FFFFFF"/>
          <w:lang w:val="en-US" w:eastAsia="zh-CN" w:bidi="ar-SA"/>
        </w:rPr>
        <w:t>为3.90万元；人均</w:t>
      </w:r>
      <w:r>
        <w:rPr>
          <w:rFonts w:hint="eastAsia" w:ascii="仿宋" w:hAnsi="仿宋" w:eastAsia="仿宋" w:cs="仿宋"/>
          <w:color w:val="000000"/>
          <w:kern w:val="0"/>
          <w:sz w:val="32"/>
          <w:szCs w:val="32"/>
          <w:highlight w:val="none"/>
          <w:shd w:val="clear" w:color="auto" w:fill="FFFFFF"/>
          <w:lang w:val="zh-CN" w:eastAsia="zh-CN" w:bidi="ar-SA"/>
        </w:rPr>
        <w:t>变化率</w:t>
      </w:r>
      <w:r>
        <w:rPr>
          <w:rFonts w:hint="eastAsia" w:ascii="仿宋" w:hAnsi="仿宋" w:eastAsia="仿宋" w:cs="仿宋"/>
          <w:color w:val="000000"/>
          <w:kern w:val="0"/>
          <w:sz w:val="32"/>
          <w:szCs w:val="32"/>
          <w:highlight w:val="none"/>
          <w:shd w:val="clear" w:color="auto" w:fill="FFFFFF"/>
          <w:lang w:val="en-US" w:eastAsia="zh-CN" w:bidi="ar-SA"/>
        </w:rPr>
        <w:t>为-6.32%。</w:t>
      </w:r>
      <w:r>
        <w:rPr>
          <w:rFonts w:hint="eastAsia" w:ascii="仿宋" w:hAnsi="仿宋" w:eastAsia="仿宋" w:cs="仿宋"/>
          <w:color w:val="000000"/>
          <w:kern w:val="0"/>
          <w:sz w:val="32"/>
          <w:szCs w:val="32"/>
          <w:highlight w:val="none"/>
          <w:shd w:val="clear" w:color="auto" w:fill="FFFFFF"/>
          <w:lang w:val="zh-CN" w:eastAsia="zh-CN" w:bidi="ar-SA"/>
        </w:rPr>
        <w:t>资产利用率</w:t>
      </w:r>
      <w:r>
        <w:rPr>
          <w:rFonts w:hint="eastAsia" w:ascii="仿宋" w:hAnsi="仿宋" w:eastAsia="仿宋" w:cs="仿宋"/>
          <w:color w:val="000000"/>
          <w:kern w:val="0"/>
          <w:sz w:val="32"/>
          <w:szCs w:val="32"/>
          <w:highlight w:val="none"/>
          <w:shd w:val="clear" w:color="auto" w:fill="FFFFFF"/>
          <w:lang w:val="en-US" w:eastAsia="zh-CN" w:bidi="ar-SA"/>
        </w:rPr>
        <w:t>为100%，2023年3月固定资产清查资产价值为31.61万元，较账面资产原值清查损失1.67万元，损失净值为0.4万元。其中：通用设备清查损失1.08万元（均为报废损失），损失净值为0.11万元；家具、用具及装具清查损失 0.59万元（均为盘亏损失），损失净值为0.29万元；盘盈的账外资产3项（通用设备类型1项，家具、用具及装具类型2项），盘盈资产按照6成新率以财务估价的方式确定现在价值为0.11万元。</w:t>
      </w:r>
    </w:p>
    <w:p w14:paraId="3F1FEF0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zh-CN" w:eastAsia="zh-CN" w:bidi="ar-SA"/>
        </w:rPr>
        <w:t>我单位认真贯彻落实《行政事业性国有资产管理条例》，建立健全资产管理制度，合理配备并节约、有效使用资产提高资产使用效率，保障资产的安全和完整。管理和使用中坚持应物尽其用原则，坚持统一政策、统一领导、分级管理、职责到人的原则。</w:t>
      </w:r>
    </w:p>
    <w:p w14:paraId="6CE31A6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一是加强会计核算工作。严格执行现行固定资产管理制度，对已完工的基建工程、购入的固定资产、收到的捐赠资产等及时入账，并按照数量、金额登记明细账，编制固定资产卡片，确保账面上能真实、完整地反映单位的固定资产情况，并结合本单位的实际情况，完善固定资产管理制度。二是加强程序管理。对纳入政府采购目录范围内的资产采购，必须报政府采购中心进行政府采购；未纳入政府采购目录范围内的资产采购，采用其他形式采购。未纳入预算的固定资产，不得随意采购，确需急用，必须经相关部门批准。三是加强内部监督。定期或不定期地对固定资产进行抽查。检查固定资产的购置、领用、处置等程序是否合规，账实是否相符等，防止国有资产的流失。</w:t>
      </w:r>
    </w:p>
    <w:p w14:paraId="6F931C4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b/>
          <w:bCs/>
          <w:color w:val="000000"/>
          <w:kern w:val="0"/>
          <w:sz w:val="32"/>
          <w:szCs w:val="32"/>
          <w:highlight w:val="none"/>
          <w:shd w:val="clear" w:color="auto" w:fill="FFFFFF"/>
          <w:lang w:val="zh-CN"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5.</w:t>
      </w:r>
      <w:r>
        <w:rPr>
          <w:rFonts w:hint="eastAsia" w:ascii="仿宋" w:hAnsi="仿宋" w:eastAsia="仿宋" w:cs="仿宋"/>
          <w:b/>
          <w:bCs/>
          <w:color w:val="000000"/>
          <w:kern w:val="0"/>
          <w:sz w:val="32"/>
          <w:szCs w:val="32"/>
          <w:highlight w:val="none"/>
          <w:shd w:val="clear" w:color="auto" w:fill="FFFFFF"/>
          <w:lang w:val="zh-CN" w:eastAsia="zh-CN" w:bidi="ar-SA"/>
        </w:rPr>
        <w:t>采购管理。</w:t>
      </w:r>
    </w:p>
    <w:p w14:paraId="31F6783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我单位采购内部控制制度健全，采购程序均按要求进行，合同签订、公告、备案等均按采购法要求时限完成，采购项目按要求编目入库，管理规范，不存在不规范政府采购行为。</w:t>
      </w:r>
      <w:r>
        <w:rPr>
          <w:rFonts w:hint="eastAsia" w:ascii="仿宋" w:hAnsi="仿宋" w:eastAsia="仿宋" w:cs="仿宋"/>
          <w:color w:val="000000"/>
          <w:kern w:val="0"/>
          <w:sz w:val="32"/>
          <w:szCs w:val="32"/>
          <w:highlight w:val="none"/>
          <w:shd w:val="clear" w:color="auto" w:fill="FFFFFF"/>
          <w:lang w:val="zh-CN" w:eastAsia="zh-CN" w:bidi="ar-SA"/>
        </w:rPr>
        <w:t>支持中小企业发展，</w:t>
      </w:r>
      <w:r>
        <w:rPr>
          <w:rFonts w:hint="eastAsia" w:ascii="仿宋" w:hAnsi="仿宋" w:eastAsia="仿宋" w:cs="仿宋"/>
          <w:color w:val="000000"/>
          <w:kern w:val="0"/>
          <w:sz w:val="32"/>
          <w:szCs w:val="32"/>
          <w:highlight w:val="none"/>
          <w:shd w:val="clear" w:color="auto" w:fill="FFFFFF"/>
          <w:lang w:val="en-US" w:eastAsia="zh-CN" w:bidi="ar-SA"/>
        </w:rPr>
        <w:t>不存在对供应商实施差别待遇、设置或者变相设置供应商进入政府采购市场障碍等现象。</w:t>
      </w:r>
      <w:r>
        <w:rPr>
          <w:rFonts w:hint="eastAsia" w:ascii="仿宋" w:hAnsi="仿宋" w:eastAsia="仿宋" w:cs="仿宋"/>
          <w:color w:val="000000"/>
          <w:kern w:val="0"/>
          <w:sz w:val="32"/>
          <w:szCs w:val="32"/>
          <w:highlight w:val="none"/>
          <w:shd w:val="clear" w:color="auto" w:fill="FFFFFF"/>
          <w:lang w:val="zh-CN" w:eastAsia="zh-CN" w:bidi="ar-SA"/>
        </w:rPr>
        <w:t>采购执行率</w:t>
      </w:r>
      <w:r>
        <w:rPr>
          <w:rFonts w:hint="eastAsia" w:ascii="仿宋" w:hAnsi="仿宋" w:eastAsia="仿宋" w:cs="仿宋"/>
          <w:color w:val="000000"/>
          <w:kern w:val="0"/>
          <w:sz w:val="32"/>
          <w:szCs w:val="32"/>
          <w:highlight w:val="none"/>
          <w:shd w:val="clear" w:color="auto" w:fill="FFFFFF"/>
          <w:lang w:val="en-US" w:eastAsia="zh-CN" w:bidi="ar-SA"/>
        </w:rPr>
        <w:t>达100%</w:t>
      </w:r>
      <w:r>
        <w:rPr>
          <w:rFonts w:hint="eastAsia" w:ascii="仿宋" w:hAnsi="仿宋" w:eastAsia="仿宋" w:cs="仿宋"/>
          <w:color w:val="000000"/>
          <w:kern w:val="0"/>
          <w:sz w:val="32"/>
          <w:szCs w:val="32"/>
          <w:highlight w:val="none"/>
          <w:shd w:val="clear" w:color="auto" w:fill="FFFFFF"/>
          <w:lang w:val="zh-CN" w:eastAsia="zh-CN" w:bidi="ar-SA"/>
        </w:rPr>
        <w:t>。</w:t>
      </w:r>
    </w:p>
    <w:p w14:paraId="3A96346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eastAsia" w:ascii="仿宋" w:hAnsi="仿宋" w:eastAsia="仿宋" w:cs="仿宋"/>
          <w:b/>
          <w:bCs/>
          <w:color w:val="000000"/>
          <w:kern w:val="0"/>
          <w:sz w:val="32"/>
          <w:szCs w:val="32"/>
          <w:highlight w:val="none"/>
          <w:shd w:val="clear" w:color="auto" w:fill="FFFFFF"/>
          <w:lang w:val="en-US" w:eastAsia="zh-CN" w:bidi="ar-SA"/>
        </w:rPr>
      </w:pPr>
      <w:r>
        <w:rPr>
          <w:rFonts w:hint="eastAsia" w:ascii="仿宋" w:hAnsi="仿宋" w:eastAsia="仿宋" w:cs="仿宋"/>
          <w:b/>
          <w:bCs/>
          <w:color w:val="000000"/>
          <w:kern w:val="0"/>
          <w:sz w:val="32"/>
          <w:szCs w:val="32"/>
          <w:highlight w:val="none"/>
          <w:shd w:val="clear" w:color="auto" w:fill="FFFFFF"/>
          <w:lang w:val="zh-CN" w:eastAsia="zh-CN" w:bidi="ar-SA"/>
        </w:rPr>
        <w:t>部门预算项目绩效分析。</w:t>
      </w:r>
    </w:p>
    <w:p w14:paraId="07F58F0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常年项目绩效分析。</w:t>
      </w:r>
      <w:r>
        <w:rPr>
          <w:rFonts w:hint="eastAsia" w:ascii="仿宋" w:hAnsi="仿宋" w:eastAsia="仿宋" w:cs="仿宋"/>
          <w:color w:val="000000"/>
          <w:kern w:val="0"/>
          <w:sz w:val="32"/>
          <w:szCs w:val="32"/>
          <w:highlight w:val="none"/>
          <w:shd w:val="clear" w:color="auto" w:fill="FFFFFF"/>
          <w:lang w:val="zh-CN" w:eastAsia="zh-CN" w:bidi="ar-SA"/>
        </w:rPr>
        <w:t>该类项目总数</w:t>
      </w:r>
      <w:r>
        <w:rPr>
          <w:rFonts w:hint="eastAsia" w:ascii="仿宋" w:hAnsi="仿宋" w:eastAsia="仿宋" w:cs="仿宋"/>
          <w:color w:val="000000"/>
          <w:kern w:val="0"/>
          <w:sz w:val="32"/>
          <w:szCs w:val="32"/>
          <w:highlight w:val="none"/>
          <w:shd w:val="clear" w:color="auto" w:fill="FFFFFF"/>
          <w:lang w:val="en-US" w:eastAsia="zh-CN" w:bidi="ar-SA"/>
        </w:rPr>
        <w:t>8</w:t>
      </w:r>
      <w:r>
        <w:rPr>
          <w:rFonts w:hint="eastAsia" w:ascii="仿宋" w:hAnsi="仿宋" w:eastAsia="仿宋" w:cs="仿宋"/>
          <w:color w:val="000000"/>
          <w:kern w:val="0"/>
          <w:sz w:val="32"/>
          <w:szCs w:val="32"/>
          <w:highlight w:val="none"/>
          <w:shd w:val="clear" w:color="auto" w:fill="FFFFFF"/>
          <w:lang w:val="zh-CN" w:eastAsia="zh-CN" w:bidi="ar-SA"/>
        </w:rPr>
        <w:t>个，其中县级项目</w:t>
      </w:r>
      <w:r>
        <w:rPr>
          <w:rFonts w:hint="eastAsia" w:ascii="仿宋" w:hAnsi="仿宋" w:eastAsia="仿宋" w:cs="仿宋"/>
          <w:color w:val="000000"/>
          <w:kern w:val="0"/>
          <w:sz w:val="32"/>
          <w:szCs w:val="32"/>
          <w:highlight w:val="none"/>
          <w:shd w:val="clear" w:color="auto" w:fill="FFFFFF"/>
          <w:lang w:val="en-US" w:eastAsia="zh-CN" w:bidi="ar-SA"/>
        </w:rPr>
        <w:t>1个</w:t>
      </w:r>
      <w:r>
        <w:rPr>
          <w:rFonts w:hint="eastAsia" w:ascii="仿宋" w:hAnsi="仿宋" w:eastAsia="仿宋" w:cs="仿宋"/>
          <w:color w:val="000000"/>
          <w:kern w:val="0"/>
          <w:sz w:val="32"/>
          <w:szCs w:val="32"/>
          <w:highlight w:val="none"/>
          <w:shd w:val="clear" w:color="auto" w:fill="FFFFFF"/>
          <w:lang w:val="zh-CN" w:eastAsia="zh-CN" w:bidi="ar-SA"/>
        </w:rPr>
        <w:t>（残疾人事业工作经费），涉及预算总金额</w:t>
      </w:r>
      <w:r>
        <w:rPr>
          <w:rFonts w:hint="eastAsia" w:ascii="仿宋" w:hAnsi="仿宋" w:eastAsia="仿宋" w:cs="仿宋"/>
          <w:color w:val="000000"/>
          <w:kern w:val="0"/>
          <w:sz w:val="32"/>
          <w:szCs w:val="32"/>
          <w:highlight w:val="none"/>
          <w:shd w:val="clear" w:color="auto" w:fill="FFFFFF"/>
          <w:lang w:val="en-US" w:eastAsia="zh-CN" w:bidi="ar-SA"/>
        </w:rPr>
        <w:t>200.48</w:t>
      </w:r>
      <w:r>
        <w:rPr>
          <w:rFonts w:hint="eastAsia" w:ascii="仿宋" w:hAnsi="仿宋" w:eastAsia="仿宋" w:cs="仿宋"/>
          <w:color w:val="000000"/>
          <w:kern w:val="0"/>
          <w:sz w:val="32"/>
          <w:szCs w:val="32"/>
          <w:highlight w:val="none"/>
          <w:shd w:val="clear" w:color="auto" w:fill="FFFFFF"/>
          <w:lang w:val="zh-CN" w:eastAsia="zh-CN" w:bidi="ar-SA"/>
        </w:rPr>
        <w:t>万元，1—1</w:t>
      </w:r>
      <w:r>
        <w:rPr>
          <w:rFonts w:hint="eastAsia" w:ascii="仿宋" w:hAnsi="仿宋" w:eastAsia="仿宋" w:cs="仿宋"/>
          <w:color w:val="000000"/>
          <w:kern w:val="0"/>
          <w:sz w:val="32"/>
          <w:szCs w:val="32"/>
          <w:highlight w:val="none"/>
          <w:shd w:val="clear" w:color="auto" w:fill="FFFFFF"/>
          <w:lang w:val="en-US" w:eastAsia="zh-CN" w:bidi="ar-SA"/>
        </w:rPr>
        <w:t>2</w:t>
      </w:r>
      <w:r>
        <w:rPr>
          <w:rFonts w:hint="eastAsia" w:ascii="仿宋" w:hAnsi="仿宋" w:eastAsia="仿宋" w:cs="仿宋"/>
          <w:color w:val="000000"/>
          <w:kern w:val="0"/>
          <w:sz w:val="32"/>
          <w:szCs w:val="32"/>
          <w:highlight w:val="none"/>
          <w:shd w:val="clear" w:color="auto" w:fill="FFFFFF"/>
          <w:lang w:val="zh-CN" w:eastAsia="zh-CN" w:bidi="ar-SA"/>
        </w:rPr>
        <w:t>月预算执行总体进度为</w:t>
      </w:r>
      <w:r>
        <w:rPr>
          <w:rFonts w:hint="eastAsia" w:ascii="仿宋" w:hAnsi="仿宋" w:eastAsia="仿宋" w:cs="仿宋"/>
          <w:color w:val="000000"/>
          <w:kern w:val="0"/>
          <w:sz w:val="32"/>
          <w:szCs w:val="32"/>
          <w:highlight w:val="none"/>
          <w:shd w:val="clear" w:color="auto" w:fill="FFFFFF"/>
          <w:lang w:val="en-US" w:eastAsia="zh-CN" w:bidi="ar-SA"/>
        </w:rPr>
        <w:t>100</w:t>
      </w:r>
      <w:r>
        <w:rPr>
          <w:rFonts w:hint="eastAsia" w:ascii="仿宋" w:hAnsi="仿宋" w:eastAsia="仿宋" w:cs="仿宋"/>
          <w:color w:val="000000"/>
          <w:kern w:val="0"/>
          <w:sz w:val="32"/>
          <w:szCs w:val="32"/>
          <w:highlight w:val="none"/>
          <w:shd w:val="clear" w:color="auto" w:fill="FFFFFF"/>
          <w:lang w:val="zh-CN" w:eastAsia="zh-CN" w:bidi="ar-SA"/>
        </w:rPr>
        <w:t>%，其中：残疾人事业工作经费项目绩效目标完成情况，顺利实施了各项惠残政策，切实解决了残疾人最关心、最直接、最现实的利益问题。</w:t>
      </w:r>
    </w:p>
    <w:p w14:paraId="1C99AE2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阶段（一次性）项目绩效分析。</w:t>
      </w:r>
      <w:r>
        <w:rPr>
          <w:rFonts w:hint="eastAsia" w:ascii="仿宋" w:hAnsi="仿宋" w:eastAsia="仿宋" w:cs="仿宋"/>
          <w:color w:val="000000"/>
          <w:kern w:val="0"/>
          <w:sz w:val="32"/>
          <w:szCs w:val="32"/>
          <w:highlight w:val="none"/>
          <w:shd w:val="clear" w:color="auto" w:fill="FFFFFF"/>
          <w:lang w:val="zh-CN" w:eastAsia="zh-CN" w:bidi="ar-SA"/>
        </w:rPr>
        <w:t>该类项目总数</w:t>
      </w:r>
      <w:r>
        <w:rPr>
          <w:rFonts w:hint="eastAsia" w:ascii="仿宋" w:hAnsi="仿宋" w:eastAsia="仿宋" w:cs="仿宋"/>
          <w:color w:val="000000"/>
          <w:kern w:val="0"/>
          <w:sz w:val="32"/>
          <w:szCs w:val="32"/>
          <w:highlight w:val="none"/>
          <w:shd w:val="clear" w:color="auto" w:fill="FFFFFF"/>
          <w:lang w:val="en-US" w:eastAsia="zh-CN" w:bidi="ar-SA"/>
        </w:rPr>
        <w:t>2</w:t>
      </w:r>
      <w:r>
        <w:rPr>
          <w:rFonts w:hint="eastAsia" w:ascii="仿宋" w:hAnsi="仿宋" w:eastAsia="仿宋" w:cs="仿宋"/>
          <w:color w:val="000000"/>
          <w:kern w:val="0"/>
          <w:sz w:val="32"/>
          <w:szCs w:val="32"/>
          <w:highlight w:val="none"/>
          <w:shd w:val="clear" w:color="auto" w:fill="FFFFFF"/>
          <w:lang w:val="zh-CN" w:eastAsia="zh-CN" w:bidi="ar-SA"/>
        </w:rPr>
        <w:t>个（残疾人代表大会会议经费、</w:t>
      </w:r>
      <w:r>
        <w:rPr>
          <w:rFonts w:hint="eastAsia" w:ascii="仿宋" w:hAnsi="仿宋" w:eastAsia="仿宋" w:cs="仿宋"/>
          <w:color w:val="000000"/>
          <w:kern w:val="0"/>
          <w:sz w:val="32"/>
          <w:szCs w:val="32"/>
          <w:highlight w:val="none"/>
          <w:shd w:val="clear" w:color="auto" w:fill="FFFFFF"/>
          <w:lang w:val="en-US" w:eastAsia="zh-CN" w:bidi="ar-SA"/>
        </w:rPr>
        <w:t>残疾人运动会项目资金</w:t>
      </w:r>
      <w:r>
        <w:rPr>
          <w:rFonts w:hint="eastAsia" w:ascii="仿宋" w:hAnsi="仿宋" w:eastAsia="仿宋" w:cs="仿宋"/>
          <w:color w:val="000000"/>
          <w:kern w:val="0"/>
          <w:sz w:val="32"/>
          <w:szCs w:val="32"/>
          <w:highlight w:val="none"/>
          <w:shd w:val="clear" w:color="auto" w:fill="FFFFFF"/>
          <w:lang w:val="zh-CN" w:eastAsia="zh-CN" w:bidi="ar-SA"/>
        </w:rPr>
        <w:t>），涉及预算总金额</w:t>
      </w:r>
      <w:r>
        <w:rPr>
          <w:rFonts w:hint="eastAsia" w:ascii="仿宋" w:hAnsi="仿宋" w:eastAsia="仿宋" w:cs="仿宋"/>
          <w:color w:val="000000"/>
          <w:kern w:val="0"/>
          <w:sz w:val="32"/>
          <w:szCs w:val="32"/>
          <w:highlight w:val="none"/>
          <w:shd w:val="clear" w:color="auto" w:fill="FFFFFF"/>
          <w:lang w:val="en-US" w:eastAsia="zh-CN" w:bidi="ar-SA"/>
        </w:rPr>
        <w:t>28.63</w:t>
      </w:r>
      <w:r>
        <w:rPr>
          <w:rFonts w:hint="eastAsia" w:ascii="仿宋" w:hAnsi="仿宋" w:eastAsia="仿宋" w:cs="仿宋"/>
          <w:color w:val="000000"/>
          <w:kern w:val="0"/>
          <w:sz w:val="32"/>
          <w:szCs w:val="32"/>
          <w:highlight w:val="none"/>
          <w:shd w:val="clear" w:color="auto" w:fill="FFFFFF"/>
          <w:lang w:val="zh-CN" w:eastAsia="zh-CN" w:bidi="ar-SA"/>
        </w:rPr>
        <w:t>万元，1—1</w:t>
      </w:r>
      <w:r>
        <w:rPr>
          <w:rFonts w:hint="eastAsia" w:ascii="仿宋" w:hAnsi="仿宋" w:eastAsia="仿宋" w:cs="仿宋"/>
          <w:color w:val="000000"/>
          <w:kern w:val="0"/>
          <w:sz w:val="32"/>
          <w:szCs w:val="32"/>
          <w:highlight w:val="none"/>
          <w:shd w:val="clear" w:color="auto" w:fill="FFFFFF"/>
          <w:lang w:val="en-US" w:eastAsia="zh-CN" w:bidi="ar-SA"/>
        </w:rPr>
        <w:t>2</w:t>
      </w:r>
      <w:r>
        <w:rPr>
          <w:rFonts w:hint="eastAsia" w:ascii="仿宋" w:hAnsi="仿宋" w:eastAsia="仿宋" w:cs="仿宋"/>
          <w:color w:val="000000"/>
          <w:kern w:val="0"/>
          <w:sz w:val="32"/>
          <w:szCs w:val="32"/>
          <w:highlight w:val="none"/>
          <w:shd w:val="clear" w:color="auto" w:fill="FFFFFF"/>
          <w:lang w:val="zh-CN" w:eastAsia="zh-CN" w:bidi="ar-SA"/>
        </w:rPr>
        <w:t>月预算执行总体进度为</w:t>
      </w:r>
      <w:r>
        <w:rPr>
          <w:rFonts w:hint="eastAsia" w:ascii="仿宋" w:hAnsi="仿宋" w:eastAsia="仿宋" w:cs="仿宋"/>
          <w:color w:val="000000"/>
          <w:kern w:val="0"/>
          <w:sz w:val="32"/>
          <w:szCs w:val="32"/>
          <w:highlight w:val="none"/>
          <w:shd w:val="clear" w:color="auto" w:fill="FFFFFF"/>
          <w:lang w:val="en-US" w:eastAsia="zh-CN" w:bidi="ar-SA"/>
        </w:rPr>
        <w:t>100</w:t>
      </w:r>
      <w:r>
        <w:rPr>
          <w:rFonts w:hint="eastAsia" w:ascii="仿宋" w:hAnsi="仿宋" w:eastAsia="仿宋" w:cs="仿宋"/>
          <w:color w:val="000000"/>
          <w:kern w:val="0"/>
          <w:sz w:val="32"/>
          <w:szCs w:val="32"/>
          <w:highlight w:val="none"/>
          <w:shd w:val="clear" w:color="auto" w:fill="FFFFFF"/>
          <w:lang w:val="zh-CN" w:eastAsia="zh-CN" w:bidi="ar-SA"/>
        </w:rPr>
        <w:t>%，其中：</w:t>
      </w:r>
      <w:r>
        <w:rPr>
          <w:rFonts w:hint="eastAsia" w:ascii="仿宋" w:hAnsi="仿宋" w:eastAsia="仿宋" w:cs="仿宋"/>
          <w:color w:val="000000"/>
          <w:kern w:val="0"/>
          <w:sz w:val="32"/>
          <w:szCs w:val="32"/>
          <w:highlight w:val="none"/>
          <w:shd w:val="clear" w:color="auto" w:fill="FFFFFF"/>
          <w:lang w:val="en-US" w:eastAsia="zh-CN" w:bidi="ar-SA"/>
        </w:rPr>
        <w:t>1.</w:t>
      </w:r>
      <w:r>
        <w:rPr>
          <w:rFonts w:hint="eastAsia" w:ascii="仿宋" w:hAnsi="仿宋" w:eastAsia="仿宋" w:cs="仿宋"/>
          <w:color w:val="000000"/>
          <w:kern w:val="0"/>
          <w:sz w:val="32"/>
          <w:szCs w:val="32"/>
          <w:highlight w:val="none"/>
          <w:shd w:val="clear" w:color="auto" w:fill="FFFFFF"/>
          <w:lang w:val="zh-CN" w:eastAsia="zh-CN" w:bidi="ar-SA"/>
        </w:rPr>
        <w:t>残疾人代表大会会议经费项目绩效目标完成情况，召开了松潘县县乡残疾人代表大会，听取和审议主席团（乡镇残联理事长）工作报告，确定了今后一个时期残疾人事业发展战略、工作方针和主要任务；选举产生新一届主席团（乡镇通过残联理事长、专干）；选举产生出席下一级残联代表大会的代表；提出《章程》修改意见；通过其他重大事项。</w:t>
      </w:r>
      <w:r>
        <w:rPr>
          <w:rFonts w:hint="eastAsia" w:ascii="仿宋" w:hAnsi="仿宋" w:eastAsia="仿宋" w:cs="仿宋"/>
          <w:color w:val="000000"/>
          <w:kern w:val="0"/>
          <w:sz w:val="32"/>
          <w:szCs w:val="32"/>
          <w:highlight w:val="none"/>
          <w:shd w:val="clear" w:color="auto" w:fill="FFFFFF"/>
          <w:lang w:val="en-US" w:eastAsia="zh-CN" w:bidi="ar-SA"/>
        </w:rPr>
        <w:t>2.残疾人运动会项目资金</w:t>
      </w:r>
      <w:r>
        <w:rPr>
          <w:rFonts w:hint="eastAsia" w:ascii="仿宋" w:hAnsi="仿宋" w:eastAsia="仿宋" w:cs="仿宋"/>
          <w:color w:val="000000"/>
          <w:kern w:val="0"/>
          <w:sz w:val="32"/>
          <w:szCs w:val="32"/>
          <w:highlight w:val="none"/>
          <w:shd w:val="clear" w:color="auto" w:fill="FFFFFF"/>
          <w:lang w:val="zh-CN" w:eastAsia="zh-CN" w:bidi="ar-SA"/>
        </w:rPr>
        <w:t>绩效目标完成情况，认真贯彻落实了《关于加快推进残疾人事业发展的实施意见》，弘扬了残疾人自强不息、顽强拼搏的精神，遵循“欢聚 感恩 同行”的宗旨，根据阿坝州残疾人联合会 阿坝州文化体育和旅游局关于印发《阿坝州第四届残疾人运动会竞赛规程总则及项目竞赛规程》的通知（阿州残办〔2023〕18号）文件精神，努力提高我县残疾人体育运动水平，增强残疾人的健身意识，不断推动我县残疾人事业发展。</w:t>
      </w:r>
    </w:p>
    <w:p w14:paraId="010193E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b/>
          <w:bCs/>
          <w:color w:val="000000"/>
          <w:kern w:val="0"/>
          <w:sz w:val="32"/>
          <w:szCs w:val="32"/>
          <w:highlight w:val="none"/>
          <w:shd w:val="clear" w:color="auto" w:fill="FFFFFF"/>
          <w:lang w:val="zh-CN"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1.</w:t>
      </w:r>
      <w:r>
        <w:rPr>
          <w:rFonts w:hint="eastAsia" w:ascii="仿宋" w:hAnsi="仿宋" w:eastAsia="仿宋" w:cs="仿宋"/>
          <w:b/>
          <w:bCs/>
          <w:color w:val="000000"/>
          <w:kern w:val="0"/>
          <w:sz w:val="32"/>
          <w:szCs w:val="32"/>
          <w:highlight w:val="none"/>
          <w:shd w:val="clear" w:color="auto" w:fill="FFFFFF"/>
          <w:lang w:val="zh-CN" w:eastAsia="zh-CN" w:bidi="ar-SA"/>
        </w:rPr>
        <w:t>项目决策。</w:t>
      </w:r>
    </w:p>
    <w:p w14:paraId="51F72D7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按照决策程序，对项目投入经济性的评估是在项目事前绩效评估、预算测算的基础上，按照厉行节约的要求，结合项目</w:t>
      </w:r>
      <w:r>
        <w:rPr>
          <w:rFonts w:hint="eastAsia" w:ascii="仿宋" w:hAnsi="仿宋" w:eastAsia="仿宋" w:cs="仿宋"/>
          <w:color w:val="000000"/>
          <w:kern w:val="0"/>
          <w:sz w:val="32"/>
          <w:szCs w:val="32"/>
          <w:highlight w:val="none"/>
          <w:shd w:val="clear" w:color="auto" w:fill="FFFFFF"/>
          <w:lang w:val="en-US" w:eastAsia="zh-CN" w:bidi="ar-SA"/>
        </w:rPr>
        <w:t>2022</w:t>
      </w:r>
      <w:r>
        <w:rPr>
          <w:rFonts w:hint="eastAsia" w:ascii="仿宋" w:hAnsi="仿宋" w:eastAsia="仿宋" w:cs="仿宋"/>
          <w:color w:val="000000"/>
          <w:kern w:val="0"/>
          <w:sz w:val="32"/>
          <w:szCs w:val="32"/>
          <w:highlight w:val="none"/>
          <w:shd w:val="clear" w:color="auto" w:fill="FFFFFF"/>
          <w:lang w:val="zh-CN" w:eastAsia="zh-CN" w:bidi="ar-SA"/>
        </w:rPr>
        <w:t xml:space="preserve">年开支情况，结合 </w:t>
      </w:r>
      <w:r>
        <w:rPr>
          <w:rFonts w:hint="eastAsia" w:ascii="仿宋" w:hAnsi="仿宋" w:eastAsia="仿宋" w:cs="仿宋"/>
          <w:color w:val="000000"/>
          <w:kern w:val="0"/>
          <w:sz w:val="32"/>
          <w:szCs w:val="32"/>
          <w:highlight w:val="none"/>
          <w:shd w:val="clear" w:color="auto" w:fill="FFFFFF"/>
          <w:lang w:val="en-US" w:eastAsia="zh-CN" w:bidi="ar-SA"/>
        </w:rPr>
        <w:t>2023</w:t>
      </w:r>
      <w:r>
        <w:rPr>
          <w:rFonts w:hint="eastAsia" w:ascii="仿宋" w:hAnsi="仿宋" w:eastAsia="仿宋" w:cs="仿宋"/>
          <w:color w:val="000000"/>
          <w:kern w:val="0"/>
          <w:sz w:val="32"/>
          <w:szCs w:val="32"/>
          <w:highlight w:val="none"/>
          <w:shd w:val="clear" w:color="auto" w:fill="FFFFFF"/>
          <w:lang w:val="zh-CN" w:eastAsia="zh-CN" w:bidi="ar-SA"/>
        </w:rPr>
        <w:t>年实际需求、相关费用标准及市场价格水平，重点对数量是否合理、投入是否经济、预算测算是否准确、测算过程是否详细、测算依据是否充分等方面进行了评估。评估认为，项目任务数量基本合理、预算测算过程较为详细、测算依据基本充分、有一定的经济性。项目的实施按照流程进入项目入库。</w:t>
      </w:r>
    </w:p>
    <w:p w14:paraId="0D99667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b/>
          <w:bCs/>
          <w:color w:val="000000"/>
          <w:kern w:val="0"/>
          <w:sz w:val="32"/>
          <w:szCs w:val="32"/>
          <w:highlight w:val="none"/>
          <w:shd w:val="clear" w:color="auto" w:fill="FFFFFF"/>
          <w:lang w:val="zh-CN"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2.项目执行</w:t>
      </w:r>
      <w:r>
        <w:rPr>
          <w:rFonts w:hint="eastAsia" w:ascii="仿宋" w:hAnsi="仿宋" w:eastAsia="仿宋" w:cs="仿宋"/>
          <w:b/>
          <w:bCs/>
          <w:color w:val="000000"/>
          <w:kern w:val="0"/>
          <w:sz w:val="32"/>
          <w:szCs w:val="32"/>
          <w:highlight w:val="none"/>
          <w:shd w:val="clear" w:color="auto" w:fill="FFFFFF"/>
          <w:lang w:val="zh-CN" w:eastAsia="zh-CN" w:bidi="ar-SA"/>
        </w:rPr>
        <w:t>。</w:t>
      </w:r>
    </w:p>
    <w:p w14:paraId="7314A65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项目立项必要性和依据充分，绩效目标明确，具备实施条件，具有公共性，符合财政资金支持方向，预期产出和效果能满足实志工作需要，绩效目标设置按照实际情况，设置了一、二、三级指标，绩效目标和绩效指标量化可考核，相匹配，全面完整，契合政策，与部门的长期规划目标、年度工作目标相一致，产出和效果相关联，各项绩效指标值的设定依据和参考标准，满意度指标预测均按要求设置。</w:t>
      </w:r>
    </w:p>
    <w:p w14:paraId="1DA25C8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3.</w:t>
      </w:r>
      <w:r>
        <w:rPr>
          <w:rFonts w:hint="eastAsia" w:ascii="仿宋" w:hAnsi="仿宋" w:eastAsia="仿宋" w:cs="仿宋"/>
          <w:b/>
          <w:bCs/>
          <w:color w:val="000000"/>
          <w:kern w:val="0"/>
          <w:sz w:val="32"/>
          <w:szCs w:val="32"/>
          <w:highlight w:val="none"/>
          <w:shd w:val="clear" w:color="auto" w:fill="FFFFFF"/>
          <w:lang w:val="zh-CN" w:eastAsia="zh-CN" w:bidi="ar-SA"/>
        </w:rPr>
        <w:t>目标实现。</w:t>
      </w:r>
    </w:p>
    <w:p w14:paraId="5F99174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项目的实施推进了残疾人联合会业务工作的正常开展。项目决策正确，管理规范，绩效完成率非常好。其制定实施方案或计划，组织机构健全，职责分工明确，有具体的实施时间，有明确的工作程序，基础设施条件能够有效保障，资金能足额保证，具有相应的质量检查、验收等必要的控制措施或手段，有针对突发事件或未知风险的应急措施。</w:t>
      </w:r>
    </w:p>
    <w:p w14:paraId="0E2834B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b/>
          <w:bCs/>
          <w:color w:val="000000"/>
          <w:kern w:val="0"/>
          <w:sz w:val="32"/>
          <w:szCs w:val="32"/>
          <w:highlight w:val="none"/>
          <w:shd w:val="clear" w:color="auto" w:fill="FFFFFF"/>
          <w:lang w:val="zh-CN" w:eastAsia="zh-CN" w:bidi="ar-SA"/>
        </w:rPr>
        <w:t>重点领域绩效分析。</w:t>
      </w:r>
      <w:r>
        <w:rPr>
          <w:rFonts w:hint="eastAsia" w:ascii="仿宋" w:hAnsi="仿宋" w:eastAsia="仿宋" w:cs="仿宋"/>
          <w:color w:val="000000"/>
          <w:kern w:val="0"/>
          <w:sz w:val="32"/>
          <w:szCs w:val="32"/>
          <w:highlight w:val="none"/>
          <w:shd w:val="clear" w:color="auto" w:fill="FFFFFF"/>
          <w:lang w:val="zh-CN" w:eastAsia="zh-CN" w:bidi="ar-SA"/>
        </w:rPr>
        <w:t>无</w:t>
      </w:r>
    </w:p>
    <w:p w14:paraId="2DE2172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绩效结果应用情况。</w:t>
      </w:r>
    </w:p>
    <w:p w14:paraId="4BE2CAF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整体绩效评价促使了</w:t>
      </w:r>
      <w:r>
        <w:rPr>
          <w:rFonts w:hint="eastAsia" w:ascii="仿宋" w:hAnsi="仿宋" w:eastAsia="仿宋" w:cs="仿宋"/>
          <w:color w:val="000000"/>
          <w:kern w:val="0"/>
          <w:sz w:val="32"/>
          <w:szCs w:val="32"/>
          <w:highlight w:val="none"/>
          <w:shd w:val="clear" w:color="auto" w:fill="FFFFFF"/>
          <w:lang w:val="zh-CN" w:eastAsia="zh-CN" w:bidi="ar-SA"/>
        </w:rPr>
        <w:t>各项工作有序开展，财政资金收支情况同时也按进度执行</w:t>
      </w:r>
      <w:r>
        <w:rPr>
          <w:rFonts w:hint="eastAsia" w:ascii="仿宋" w:hAnsi="仿宋" w:eastAsia="仿宋" w:cs="仿宋"/>
          <w:color w:val="000000"/>
          <w:kern w:val="0"/>
          <w:sz w:val="32"/>
          <w:szCs w:val="32"/>
          <w:highlight w:val="none"/>
          <w:shd w:val="clear" w:color="auto" w:fill="FFFFFF"/>
          <w:lang w:val="en-US" w:eastAsia="zh-CN" w:bidi="ar-SA"/>
        </w:rPr>
        <w:t>并及时进行了信息公开。</w:t>
      </w:r>
      <w:r>
        <w:rPr>
          <w:rFonts w:hint="eastAsia" w:ascii="仿宋" w:hAnsi="仿宋" w:eastAsia="仿宋" w:cs="仿宋"/>
          <w:color w:val="000000"/>
          <w:kern w:val="0"/>
          <w:sz w:val="32"/>
          <w:szCs w:val="32"/>
          <w:highlight w:val="none"/>
          <w:shd w:val="clear" w:color="auto" w:fill="FFFFFF"/>
          <w:lang w:val="zh-CN" w:eastAsia="zh-CN" w:bidi="ar-SA"/>
        </w:rPr>
        <w:t>部门自评质量、绩效目标等报告按时按质予以完成并及时向社会公布，并针对自评表中查找出的问题，给予针对性地整改。</w:t>
      </w:r>
    </w:p>
    <w:p w14:paraId="3CFCC0A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黑体" w:hAnsi="黑体" w:eastAsia="黑体" w:cs="黑体"/>
          <w:color w:val="000000"/>
          <w:kern w:val="0"/>
          <w:sz w:val="32"/>
          <w:szCs w:val="32"/>
          <w:highlight w:val="none"/>
          <w:shd w:val="clear" w:color="auto" w:fill="FFFFFF"/>
          <w:lang w:val="en-US" w:eastAsia="zh-CN" w:bidi="ar-SA"/>
        </w:rPr>
      </w:pPr>
      <w:r>
        <w:rPr>
          <w:rFonts w:hint="eastAsia" w:ascii="黑体" w:hAnsi="黑体" w:eastAsia="黑体" w:cs="黑体"/>
          <w:color w:val="000000"/>
          <w:kern w:val="0"/>
          <w:sz w:val="32"/>
          <w:szCs w:val="32"/>
          <w:highlight w:val="none"/>
          <w:shd w:val="clear" w:color="auto" w:fill="FFFFFF"/>
          <w:lang w:val="en-US" w:eastAsia="zh-CN" w:bidi="ar-SA"/>
        </w:rPr>
        <w:t>四、评价结论及建议</w:t>
      </w:r>
    </w:p>
    <w:p w14:paraId="0B2B06D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（一）评价结论。</w:t>
      </w:r>
    </w:p>
    <w:p w14:paraId="7689FBB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根据财政绩效评价的工作要求，我单位每年都会开展绩效自评工作，对自评进行认真地研究和部署，使自评工作顺利开展、并针对问题找出解决方法。做到了时间过半，资金使用量过半。同时完成用于保障残疾人联合会机构的正常运转的日常支出。整体绩效评价工作规范了财政资金的管理，强化财政支出绩效理念，提升责任意识，提高资金使用效益。经过自评，我单位2023年整体目标绩效自评得分100分.</w:t>
      </w:r>
    </w:p>
    <w:p w14:paraId="3386A2B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b w:val="0"/>
          <w:bCs w:val="0"/>
          <w:color w:val="000000"/>
          <w:kern w:val="0"/>
          <w:sz w:val="32"/>
          <w:szCs w:val="32"/>
          <w:highlight w:val="none"/>
          <w:shd w:val="clear" w:color="auto" w:fill="FFFFFF"/>
          <w:lang w:val="zh-CN" w:eastAsia="zh-CN" w:bidi="ar-SA"/>
        </w:rPr>
      </w:pPr>
      <w:r>
        <w:rPr>
          <w:rFonts w:hint="eastAsia" w:ascii="仿宋" w:hAnsi="仿宋" w:eastAsia="仿宋" w:cs="仿宋"/>
          <w:b w:val="0"/>
          <w:bCs w:val="0"/>
          <w:color w:val="000000"/>
          <w:kern w:val="0"/>
          <w:sz w:val="32"/>
          <w:szCs w:val="32"/>
          <w:highlight w:val="none"/>
          <w:shd w:val="clear" w:color="auto" w:fill="FFFFFF"/>
          <w:lang w:val="en-US" w:eastAsia="zh-CN" w:bidi="ar-SA"/>
        </w:rPr>
        <w:t>（二）</w:t>
      </w:r>
      <w:r>
        <w:rPr>
          <w:rFonts w:hint="eastAsia" w:ascii="仿宋" w:hAnsi="仿宋" w:eastAsia="仿宋" w:cs="仿宋"/>
          <w:b w:val="0"/>
          <w:bCs w:val="0"/>
          <w:color w:val="000000"/>
          <w:kern w:val="0"/>
          <w:sz w:val="32"/>
          <w:szCs w:val="32"/>
          <w:highlight w:val="none"/>
          <w:shd w:val="clear" w:color="auto" w:fill="FFFFFF"/>
          <w:lang w:val="zh-CN" w:eastAsia="zh-CN" w:bidi="ar-SA"/>
        </w:rPr>
        <w:t>存在问题。</w:t>
      </w:r>
    </w:p>
    <w:p w14:paraId="6E0BD4A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1.评价内容较宏观，不能全面具体地对本部门的绩效进行评价。</w:t>
      </w:r>
    </w:p>
    <w:p w14:paraId="2EAFC87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2.资金使用效益有待进一步提高。</w:t>
      </w:r>
    </w:p>
    <w:p w14:paraId="10EE789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（三）改进建议。</w:t>
      </w:r>
      <w:bookmarkStart w:id="135" w:name="_Hlk110546638"/>
    </w:p>
    <w:p w14:paraId="0E7E92F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1.在来年的财政支出绩效评价工作中根据定性指标内容设置一些具体明细的指标体系进行评价，使财政支出绩效评价更客观和更具有参考价值。</w:t>
      </w:r>
    </w:p>
    <w:p w14:paraId="22F82A8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2、进一步加强资金使用管理提高使用效益。</w:t>
      </w:r>
      <w:bookmarkEnd w:id="135"/>
    </w:p>
    <w:p w14:paraId="124E422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kern w:val="2"/>
          <w:sz w:val="32"/>
          <w:szCs w:val="24"/>
          <w:highlight w:val="none"/>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附表：部门整体支出绩效目标完成情况自评表</w:t>
      </w:r>
      <w:r>
        <w:rPr>
          <w:rFonts w:hint="eastAsia" w:ascii="仿宋" w:hAnsi="仿宋" w:eastAsia="仿宋" w:cs="仿宋"/>
          <w:color w:val="000000"/>
          <w:kern w:val="0"/>
          <w:sz w:val="32"/>
          <w:szCs w:val="32"/>
          <w:highlight w:val="none"/>
          <w:shd w:val="clear" w:color="auto" w:fill="FFFFFF"/>
          <w:lang w:val="en-US" w:eastAsia="zh-CN" w:bidi="ar-SA"/>
        </w:rPr>
        <w:br w:type="page"/>
      </w:r>
      <w:r>
        <w:rPr>
          <w:rFonts w:hint="eastAsia" w:ascii="仿宋" w:hAnsi="仿宋" w:eastAsia="仿宋" w:cs="仿宋"/>
          <w:kern w:val="2"/>
          <w:sz w:val="32"/>
          <w:szCs w:val="24"/>
          <w:highlight w:val="none"/>
          <w:lang w:val="en-US" w:eastAsia="zh-CN" w:bidi="ar-SA"/>
        </w:rPr>
        <w:t>附表</w:t>
      </w:r>
    </w:p>
    <w:tbl>
      <w:tblPr>
        <w:tblStyle w:val="22"/>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110"/>
        <w:gridCol w:w="1510"/>
        <w:gridCol w:w="1850"/>
        <w:gridCol w:w="394"/>
        <w:gridCol w:w="1"/>
        <w:gridCol w:w="1289"/>
        <w:gridCol w:w="1058"/>
        <w:gridCol w:w="926"/>
        <w:gridCol w:w="1113"/>
      </w:tblGrid>
      <w:tr w14:paraId="41DE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10560" w:type="dxa"/>
            <w:gridSpan w:val="10"/>
            <w:shd w:val="clear" w:color="auto" w:fill="auto"/>
            <w:vAlign w:val="center"/>
          </w:tcPr>
          <w:p w14:paraId="0FF601B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44"/>
                <w:szCs w:val="44"/>
                <w:u w:val="none"/>
                <w:lang w:val="en-US" w:eastAsia="zh-CN" w:bidi="ar"/>
              </w:rPr>
              <w:t>部门整体支出绩效目标完成情况自评表</w:t>
            </w:r>
          </w:p>
        </w:tc>
      </w:tr>
      <w:tr w14:paraId="41FD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shd w:val="clear" w:color="auto" w:fill="auto"/>
            <w:vAlign w:val="center"/>
          </w:tcPr>
          <w:p w14:paraId="1FB021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（2023年度）</w:t>
            </w:r>
          </w:p>
        </w:tc>
      </w:tr>
      <w:tr w14:paraId="5080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shd w:val="clear" w:color="auto" w:fill="auto"/>
            <w:vAlign w:val="center"/>
          </w:tcPr>
          <w:p w14:paraId="4DB86F8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单位：万元</w:t>
            </w:r>
          </w:p>
        </w:tc>
      </w:tr>
      <w:tr w14:paraId="0AE9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70E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部门名称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A59B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松潘县残疾人联合会</w:t>
            </w:r>
          </w:p>
        </w:tc>
      </w:tr>
      <w:tr w14:paraId="76C5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9D2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3C7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69F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FC0D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其他资金</w:t>
            </w:r>
          </w:p>
        </w:tc>
      </w:tr>
      <w:tr w14:paraId="5520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C5C9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EC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404.51</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0CF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404.51</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2D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r>
      <w:tr w14:paraId="6578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9B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年度总体</w:t>
            </w:r>
          </w:p>
          <w:p w14:paraId="3DA38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目标</w:t>
            </w:r>
          </w:p>
        </w:tc>
        <w:tc>
          <w:tcPr>
            <w:tcW w:w="92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8C1F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为残疾人服务，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w:t>
            </w:r>
          </w:p>
        </w:tc>
      </w:tr>
      <w:tr w14:paraId="686A6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47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年度主要</w:t>
            </w:r>
          </w:p>
          <w:p w14:paraId="531C7E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127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任务名称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365B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主要内容</w:t>
            </w:r>
          </w:p>
        </w:tc>
      </w:tr>
      <w:tr w14:paraId="67A9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DA88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3B8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围绕残疾人事业发展服务</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D996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按照为残疾人服务的要求，认真实践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的思想，切实改进工作作风，做到观念上有新转变，思想上有新飞跃，思路上有新调整，工作上有新突破，提升干部形象上有新发展，更好地为我县经济发展和社会和谐稳定提供优质、高效、便捷的服务。</w:t>
            </w:r>
          </w:p>
        </w:tc>
      </w:tr>
      <w:tr w14:paraId="0F14D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90A7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5BBF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rPr>
            </w:pP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8F0AD4">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rPr>
            </w:pPr>
          </w:p>
        </w:tc>
      </w:tr>
      <w:tr w14:paraId="07B2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06A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年度绩效</w:t>
            </w:r>
          </w:p>
          <w:p w14:paraId="56E472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5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一级指标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BE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二级指标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8E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三级指标</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2B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绩效指标</w:t>
            </w:r>
          </w:p>
          <w:p w14:paraId="30E8F1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63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8A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0DD9C5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2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实际完成</w:t>
            </w:r>
          </w:p>
          <w:p w14:paraId="277CA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指标值</w:t>
            </w:r>
          </w:p>
        </w:tc>
      </w:tr>
      <w:tr w14:paraId="7285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E21A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EE2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产出指标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A9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数量指标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A4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保障单位8人工资发放及重点工作任务的完成</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961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9A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44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人</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E3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1113" w:type="dxa"/>
            <w:tcBorders>
              <w:left w:val="single" w:color="000000" w:sz="4" w:space="0"/>
              <w:bottom w:val="single" w:color="000000" w:sz="4" w:space="0"/>
              <w:right w:val="single" w:color="000000" w:sz="4" w:space="0"/>
            </w:tcBorders>
            <w:shd w:val="clear" w:color="auto" w:fill="auto"/>
            <w:vAlign w:val="center"/>
          </w:tcPr>
          <w:p w14:paraId="656662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r>
      <w:tr w14:paraId="2824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FE14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E7AF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DA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质量指标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3A51">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保障各项工作顺利完成的成功率</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6010F">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4A4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0E5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76B4">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57A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100</w:t>
            </w:r>
          </w:p>
        </w:tc>
      </w:tr>
      <w:tr w14:paraId="64AD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8D2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142D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B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时效指标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EE5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2023年底前完成</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16226">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E31B">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2023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01F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A514">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F18A">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2023年底</w:t>
            </w:r>
          </w:p>
        </w:tc>
      </w:tr>
      <w:tr w14:paraId="0F8A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A3AC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5B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效益指标</w:t>
            </w:r>
          </w:p>
        </w:tc>
        <w:tc>
          <w:tcPr>
            <w:tcW w:w="1510" w:type="dxa"/>
            <w:tcBorders>
              <w:top w:val="single" w:color="000000" w:sz="4" w:space="0"/>
              <w:left w:val="single" w:color="000000" w:sz="4" w:space="0"/>
              <w:right w:val="single" w:color="000000" w:sz="4" w:space="0"/>
            </w:tcBorders>
            <w:shd w:val="clear" w:color="auto" w:fill="auto"/>
            <w:vAlign w:val="center"/>
          </w:tcPr>
          <w:p w14:paraId="779BF4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社会效益</w:t>
            </w:r>
          </w:p>
          <w:p w14:paraId="210BB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07F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保障残疾人事业发展顺利完成</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462B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743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显著提高</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318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048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89C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显著提高</w:t>
            </w:r>
          </w:p>
        </w:tc>
      </w:tr>
      <w:tr w14:paraId="63D1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23B7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7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满意度指标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A4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满意度指标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1A1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全单位职工满意度</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14E6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372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C97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B5B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2A92">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90</w:t>
            </w:r>
          </w:p>
        </w:tc>
      </w:tr>
    </w:tbl>
    <w:p w14:paraId="597B7612">
      <w:pPr>
        <w:spacing w:line="600" w:lineRule="exact"/>
        <w:jc w:val="center"/>
        <w:outlineLvl w:val="0"/>
        <w:rPr>
          <w:rFonts w:hint="eastAsia" w:ascii="黑体" w:hAnsi="黑体" w:eastAsia="黑体"/>
          <w:color w:val="000000"/>
          <w:sz w:val="44"/>
          <w:szCs w:val="44"/>
        </w:rPr>
      </w:pPr>
    </w:p>
    <w:p w14:paraId="1802EA06">
      <w:pPr>
        <w:spacing w:line="600" w:lineRule="exact"/>
        <w:jc w:val="center"/>
        <w:outlineLvl w:val="0"/>
        <w:rPr>
          <w:rFonts w:hint="eastAsia" w:ascii="黑体" w:hAnsi="黑体" w:eastAsia="黑体"/>
          <w:color w:val="000000"/>
          <w:sz w:val="44"/>
          <w:szCs w:val="44"/>
        </w:rPr>
      </w:pPr>
    </w:p>
    <w:p w14:paraId="381A1EB3">
      <w:pPr>
        <w:spacing w:line="600" w:lineRule="exact"/>
        <w:jc w:val="center"/>
        <w:outlineLvl w:val="0"/>
        <w:rPr>
          <w:rFonts w:hint="eastAsia" w:ascii="黑体" w:hAnsi="黑体" w:eastAsia="黑体"/>
          <w:color w:val="000000"/>
          <w:sz w:val="44"/>
          <w:szCs w:val="44"/>
        </w:rPr>
      </w:pPr>
    </w:p>
    <w:p w14:paraId="33007E5E">
      <w:pPr>
        <w:spacing w:line="600" w:lineRule="exact"/>
        <w:jc w:val="center"/>
        <w:outlineLvl w:val="0"/>
        <w:rPr>
          <w:rFonts w:hint="eastAsia" w:ascii="黑体" w:hAnsi="黑体" w:eastAsia="黑体"/>
          <w:color w:val="000000"/>
          <w:sz w:val="44"/>
          <w:szCs w:val="44"/>
        </w:rPr>
      </w:pPr>
    </w:p>
    <w:p w14:paraId="3F6949A1">
      <w:pPr>
        <w:spacing w:line="600" w:lineRule="exact"/>
        <w:jc w:val="center"/>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五部分</w:t>
      </w:r>
      <w:r>
        <w:rPr>
          <w:rStyle w:val="26"/>
          <w:rFonts w:ascii="黑体" w:hAnsi="黑体" w:eastAsia="黑体"/>
          <w:b w:val="0"/>
        </w:rPr>
        <w:t xml:space="preserve"> </w:t>
      </w:r>
      <w:r>
        <w:rPr>
          <w:rStyle w:val="26"/>
          <w:rFonts w:hint="eastAsia" w:ascii="黑体" w:hAnsi="黑体" w:eastAsia="黑体"/>
          <w:b w:val="0"/>
        </w:rPr>
        <w:t>附表</w:t>
      </w:r>
      <w:bookmarkEnd w:id="126"/>
      <w:bookmarkEnd w:id="132"/>
      <w:bookmarkEnd w:id="133"/>
      <w:bookmarkEnd w:id="134"/>
    </w:p>
    <w:p w14:paraId="26D86303">
      <w:pPr>
        <w:pStyle w:val="5"/>
        <w:rPr>
          <w:rFonts w:ascii="仿宋" w:hAnsi="仿宋" w:eastAsia="仿宋"/>
          <w:color w:val="000000"/>
        </w:rPr>
      </w:pPr>
      <w:bookmarkStart w:id="136" w:name="_Toc79163636"/>
      <w:bookmarkStart w:id="137" w:name="_Toc79163886"/>
      <w:bookmarkStart w:id="138"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136"/>
      <w:bookmarkEnd w:id="137"/>
      <w:bookmarkEnd w:id="138"/>
    </w:p>
    <w:p w14:paraId="39562F13">
      <w:pPr>
        <w:pStyle w:val="5"/>
        <w:rPr>
          <w:rFonts w:ascii="仿宋" w:hAnsi="仿宋" w:eastAsia="仿宋"/>
          <w:color w:val="000000"/>
        </w:rPr>
      </w:pPr>
      <w:bookmarkStart w:id="139" w:name="_Toc79163887"/>
      <w:bookmarkStart w:id="140" w:name="_Toc79163637"/>
      <w:bookmarkStart w:id="141"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139"/>
      <w:bookmarkEnd w:id="140"/>
      <w:bookmarkEnd w:id="141"/>
    </w:p>
    <w:p w14:paraId="7A5D9BEE">
      <w:pPr>
        <w:pStyle w:val="5"/>
        <w:rPr>
          <w:rFonts w:ascii="仿宋" w:hAnsi="仿宋" w:eastAsia="仿宋"/>
          <w:color w:val="000000"/>
        </w:rPr>
      </w:pPr>
      <w:bookmarkStart w:id="142" w:name="_Toc79163638"/>
      <w:bookmarkStart w:id="143" w:name="_Toc79163888"/>
      <w:bookmarkStart w:id="144"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42"/>
      <w:bookmarkEnd w:id="143"/>
      <w:bookmarkEnd w:id="144"/>
    </w:p>
    <w:p w14:paraId="2449B407">
      <w:pPr>
        <w:pStyle w:val="5"/>
        <w:rPr>
          <w:rFonts w:ascii="仿宋" w:hAnsi="仿宋" w:eastAsia="仿宋"/>
          <w:b w:val="0"/>
          <w:color w:val="000000"/>
        </w:rPr>
      </w:pPr>
      <w:bookmarkStart w:id="145" w:name="_Toc79163889"/>
      <w:bookmarkStart w:id="146" w:name="_Toc15396622"/>
      <w:bookmarkStart w:id="147" w:name="_Toc79163639"/>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45"/>
      <w:bookmarkEnd w:id="146"/>
      <w:bookmarkEnd w:id="147"/>
    </w:p>
    <w:p w14:paraId="5717CD8B">
      <w:pPr>
        <w:pStyle w:val="5"/>
        <w:rPr>
          <w:rStyle w:val="27"/>
          <w:rFonts w:ascii="仿宋" w:hAnsi="仿宋" w:eastAsia="仿宋"/>
          <w:b w:val="0"/>
          <w:bCs w:val="0"/>
        </w:rPr>
      </w:pPr>
      <w:bookmarkStart w:id="148" w:name="_Toc79163640"/>
      <w:bookmarkStart w:id="149" w:name="_Toc79163890"/>
      <w:bookmarkStart w:id="150"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48"/>
      <w:bookmarkEnd w:id="149"/>
      <w:bookmarkEnd w:id="150"/>
      <w:bookmarkStart w:id="151" w:name="_Toc15396624"/>
    </w:p>
    <w:p w14:paraId="4FDD8C75">
      <w:pPr>
        <w:pStyle w:val="5"/>
        <w:rPr>
          <w:rFonts w:ascii="仿宋" w:hAnsi="仿宋" w:eastAsia="仿宋"/>
          <w:color w:val="000000"/>
        </w:rPr>
      </w:pPr>
      <w:bookmarkStart w:id="152" w:name="_Toc79163891"/>
      <w:bookmarkStart w:id="153" w:name="_Toc79163641"/>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51"/>
      <w:bookmarkEnd w:id="152"/>
      <w:bookmarkEnd w:id="153"/>
    </w:p>
    <w:p w14:paraId="5F371C1E">
      <w:pPr>
        <w:pStyle w:val="5"/>
        <w:rPr>
          <w:rFonts w:ascii="仿宋" w:hAnsi="仿宋" w:eastAsia="仿宋"/>
          <w:color w:val="000000"/>
        </w:rPr>
      </w:pPr>
      <w:bookmarkStart w:id="154" w:name="_Toc79163642"/>
      <w:bookmarkStart w:id="155" w:name="_Toc79163892"/>
      <w:bookmarkStart w:id="156"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54"/>
      <w:bookmarkEnd w:id="155"/>
      <w:bookmarkEnd w:id="156"/>
    </w:p>
    <w:p w14:paraId="509B6A57">
      <w:pPr>
        <w:pStyle w:val="5"/>
        <w:rPr>
          <w:rFonts w:ascii="仿宋" w:hAnsi="仿宋" w:eastAsia="仿宋"/>
          <w:color w:val="000000"/>
        </w:rPr>
      </w:pPr>
      <w:bookmarkStart w:id="157" w:name="_Toc79163893"/>
      <w:bookmarkStart w:id="158" w:name="_Toc79163643"/>
      <w:bookmarkStart w:id="159"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57"/>
      <w:bookmarkEnd w:id="158"/>
      <w:bookmarkEnd w:id="159"/>
    </w:p>
    <w:p w14:paraId="1A3CA196">
      <w:pPr>
        <w:pStyle w:val="5"/>
        <w:rPr>
          <w:rFonts w:ascii="仿宋" w:hAnsi="仿宋" w:eastAsia="仿宋"/>
          <w:color w:val="000000"/>
        </w:rPr>
      </w:pPr>
      <w:bookmarkStart w:id="160" w:name="_Toc79163894"/>
      <w:bookmarkStart w:id="161" w:name="_Toc79163644"/>
      <w:bookmarkStart w:id="162"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60"/>
      <w:bookmarkEnd w:id="161"/>
      <w:bookmarkEnd w:id="162"/>
    </w:p>
    <w:p w14:paraId="71B04107">
      <w:pPr>
        <w:pStyle w:val="5"/>
        <w:rPr>
          <w:rFonts w:ascii="仿宋" w:hAnsi="仿宋" w:eastAsia="仿宋"/>
          <w:color w:val="000000"/>
        </w:rPr>
      </w:pPr>
      <w:bookmarkStart w:id="163" w:name="_Toc15396628"/>
      <w:bookmarkStart w:id="164" w:name="_Toc79163645"/>
      <w:bookmarkStart w:id="165" w:name="_Toc79163895"/>
      <w:r>
        <w:rPr>
          <w:rStyle w:val="27"/>
          <w:rFonts w:hint="eastAsia" w:ascii="仿宋" w:hAnsi="仿宋" w:eastAsia="仿宋"/>
          <w:b w:val="0"/>
          <w:bCs w:val="0"/>
        </w:rPr>
        <w:t>十、</w:t>
      </w:r>
      <w:bookmarkEnd w:id="163"/>
      <w:bookmarkEnd w:id="164"/>
      <w:bookmarkEnd w:id="165"/>
      <w:bookmarkStart w:id="166" w:name="_Toc79163896"/>
      <w:bookmarkStart w:id="167" w:name="_Toc79163646"/>
      <w:bookmarkStart w:id="168" w:name="_Toc15396629"/>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66"/>
      <w:bookmarkEnd w:id="167"/>
      <w:bookmarkEnd w:id="168"/>
    </w:p>
    <w:p w14:paraId="51233345">
      <w:pPr>
        <w:pStyle w:val="5"/>
        <w:rPr>
          <w:rStyle w:val="27"/>
          <w:rFonts w:ascii="仿宋" w:hAnsi="仿宋" w:eastAsia="仿宋"/>
          <w:b w:val="0"/>
          <w:bCs w:val="0"/>
        </w:rPr>
      </w:pPr>
      <w:bookmarkStart w:id="169" w:name="_Toc15396630"/>
      <w:bookmarkStart w:id="170" w:name="_Toc79163897"/>
      <w:bookmarkStart w:id="171" w:name="_Toc79163647"/>
      <w:r>
        <w:rPr>
          <w:rStyle w:val="27"/>
          <w:rFonts w:hint="eastAsia" w:ascii="仿宋" w:hAnsi="仿宋" w:eastAsia="仿宋"/>
          <w:b w:val="0"/>
          <w:bCs w:val="0"/>
        </w:rPr>
        <w:t>十一、</w:t>
      </w:r>
      <w:bookmarkEnd w:id="169"/>
      <w:bookmarkEnd w:id="170"/>
      <w:bookmarkEnd w:id="171"/>
      <w:bookmarkStart w:id="172" w:name="_Toc15396631"/>
      <w:bookmarkStart w:id="173" w:name="_Toc79163898"/>
      <w:bookmarkStart w:id="174" w:name="_Toc79163648"/>
      <w:r>
        <w:rPr>
          <w:rFonts w:hint="eastAsia" w:ascii="仿宋" w:hAnsi="仿宋" w:eastAsia="仿宋"/>
          <w:b w:val="0"/>
          <w:color w:val="000000"/>
        </w:rPr>
        <w:t>国</w:t>
      </w:r>
      <w:r>
        <w:rPr>
          <w:rStyle w:val="27"/>
          <w:rFonts w:hint="eastAsia" w:ascii="仿宋" w:hAnsi="仿宋" w:eastAsia="仿宋"/>
          <w:b w:val="0"/>
          <w:bCs w:val="0"/>
        </w:rPr>
        <w:t>有资本经营预算财政拨款</w:t>
      </w:r>
      <w:r>
        <w:rPr>
          <w:rStyle w:val="27"/>
          <w:rFonts w:hint="eastAsia" w:ascii="仿宋" w:hAnsi="仿宋" w:eastAsia="仿宋"/>
          <w:b w:val="0"/>
          <w:bCs w:val="0"/>
          <w:lang w:eastAsia="zh-CN"/>
        </w:rPr>
        <w:t>收入</w:t>
      </w:r>
      <w:r>
        <w:rPr>
          <w:rStyle w:val="27"/>
          <w:rFonts w:hint="eastAsia" w:ascii="仿宋" w:hAnsi="仿宋" w:eastAsia="仿宋"/>
          <w:b w:val="0"/>
          <w:bCs w:val="0"/>
        </w:rPr>
        <w:t>支出决算表</w:t>
      </w:r>
      <w:bookmarkEnd w:id="172"/>
      <w:bookmarkEnd w:id="173"/>
      <w:bookmarkEnd w:id="174"/>
    </w:p>
    <w:p w14:paraId="7A14A778">
      <w:pPr>
        <w:pStyle w:val="5"/>
        <w:rPr>
          <w:rStyle w:val="27"/>
          <w:rFonts w:hint="eastAsia" w:ascii="仿宋" w:hAnsi="仿宋" w:eastAsia="仿宋"/>
          <w:b w:val="0"/>
          <w:bCs w:val="0"/>
        </w:rPr>
      </w:pPr>
      <w:bookmarkStart w:id="175" w:name="_Toc79163899"/>
      <w:bookmarkStart w:id="176" w:name="_Toc79163649"/>
      <w:r>
        <w:rPr>
          <w:rStyle w:val="27"/>
          <w:rFonts w:hint="eastAsia" w:ascii="仿宋" w:hAnsi="仿宋" w:eastAsia="仿宋"/>
          <w:b w:val="0"/>
          <w:bCs w:val="0"/>
        </w:rPr>
        <w:t>十</w:t>
      </w:r>
      <w:r>
        <w:rPr>
          <w:rStyle w:val="27"/>
          <w:rFonts w:hint="eastAsia" w:ascii="仿宋" w:hAnsi="仿宋" w:eastAsia="仿宋"/>
          <w:b w:val="0"/>
          <w:bCs w:val="0"/>
          <w:lang w:eastAsia="zh-CN"/>
        </w:rPr>
        <w:t>二</w:t>
      </w:r>
      <w:r>
        <w:rPr>
          <w:rStyle w:val="27"/>
          <w:rFonts w:hint="eastAsia" w:ascii="仿宋" w:hAnsi="仿宋" w:eastAsia="仿宋"/>
          <w:b w:val="0"/>
          <w:bCs w:val="0"/>
        </w:rPr>
        <w:t>、国有资本经营预算财政拨款支出决算表</w:t>
      </w:r>
      <w:bookmarkEnd w:id="175"/>
      <w:bookmarkEnd w:id="176"/>
    </w:p>
    <w:p w14:paraId="7D449216">
      <w:pPr>
        <w:pStyle w:val="5"/>
        <w:rPr>
          <w:rFonts w:ascii="仿宋" w:hAnsi="仿宋" w:eastAsia="仿宋"/>
          <w:color w:val="000000"/>
        </w:rPr>
      </w:pPr>
      <w:r>
        <w:rPr>
          <w:rFonts w:hint="eastAsia" w:ascii="仿宋" w:hAnsi="仿宋" w:eastAsia="仿宋"/>
          <w:b w:val="0"/>
          <w:color w:val="000000"/>
          <w:lang w:eastAsia="zh-CN"/>
        </w:rPr>
        <w:t>十三、</w:t>
      </w:r>
      <w:r>
        <w:rPr>
          <w:rStyle w:val="27"/>
          <w:rFonts w:hint="eastAsia" w:ascii="仿宋" w:hAnsi="仿宋" w:eastAsia="仿宋"/>
          <w:b w:val="0"/>
          <w:bCs w:val="0"/>
        </w:rPr>
        <w:t>财政拨款“三公”经费支出决算表</w:t>
      </w:r>
    </w:p>
    <w:p w14:paraId="1A28D5FC"/>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altName w:val="微软雅黑"/>
    <w:panose1 w:val="00000000000000000000"/>
    <w:charset w:val="86"/>
    <w:family w:val="auto"/>
    <w:pitch w:val="default"/>
    <w:sig w:usb0="00000000" w:usb1="00000000" w:usb2="00000016" w:usb3="00000000" w:csb0="0004000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01C60">
    <w:pPr>
      <w:pStyle w:val="14"/>
      <w:jc w:val="center"/>
    </w:pPr>
    <w:r>
      <w:fldChar w:fldCharType="begin"/>
    </w:r>
    <w:r>
      <w:instrText xml:space="preserve">PAGE   \* MERGEFORMAT</w:instrText>
    </w:r>
    <w:r>
      <w:fldChar w:fldCharType="separate"/>
    </w:r>
    <w:r>
      <w:rPr>
        <w:lang w:val="zh-CN"/>
      </w:rPr>
      <w:t>24</w:t>
    </w:r>
    <w:r>
      <w:fldChar w:fldCharType="end"/>
    </w:r>
  </w:p>
  <w:p w14:paraId="280DB41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843D2">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3B531BE9"/>
    <w:multiLevelType w:val="singleLevel"/>
    <w:tmpl w:val="3B531BE9"/>
    <w:lvl w:ilvl="0" w:tentative="0">
      <w:start w:val="2"/>
      <w:numFmt w:val="chineseCounting"/>
      <w:suff w:val="nothing"/>
      <w:lvlText w:val="（%1）"/>
      <w:lvlJc w:val="left"/>
      <w:rPr>
        <w:rFonts w:hint="eastAsia"/>
      </w:rPr>
    </w:lvl>
  </w:abstractNum>
  <w:abstractNum w:abstractNumId="4">
    <w:nsid w:val="4E5468E6"/>
    <w:multiLevelType w:val="singleLevel"/>
    <w:tmpl w:val="4E5468E6"/>
    <w:lvl w:ilvl="0" w:tentative="0">
      <w:start w:val="6"/>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MzMDFjNDRiNDI1ZjdjOWYyNTYzY2ViNmU5OWEwMm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757"/>
    <w:rsid w:val="00220536"/>
    <w:rsid w:val="002216A5"/>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1493"/>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0FD5"/>
    <w:rsid w:val="00443880"/>
    <w:rsid w:val="00445607"/>
    <w:rsid w:val="004464F4"/>
    <w:rsid w:val="00471401"/>
    <w:rsid w:val="00473F31"/>
    <w:rsid w:val="0048263A"/>
    <w:rsid w:val="004826DF"/>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5D6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11A24F4"/>
    <w:rsid w:val="01557C86"/>
    <w:rsid w:val="017F7C28"/>
    <w:rsid w:val="01D767F9"/>
    <w:rsid w:val="025A744B"/>
    <w:rsid w:val="02672D95"/>
    <w:rsid w:val="029F67CB"/>
    <w:rsid w:val="02F6117F"/>
    <w:rsid w:val="02FA082F"/>
    <w:rsid w:val="034675D0"/>
    <w:rsid w:val="03C9121D"/>
    <w:rsid w:val="045C354F"/>
    <w:rsid w:val="0462668B"/>
    <w:rsid w:val="04903021"/>
    <w:rsid w:val="04CC2C82"/>
    <w:rsid w:val="053E7D66"/>
    <w:rsid w:val="062907FE"/>
    <w:rsid w:val="064B5B68"/>
    <w:rsid w:val="06A74078"/>
    <w:rsid w:val="06F048FE"/>
    <w:rsid w:val="06FC4FE7"/>
    <w:rsid w:val="07893F2F"/>
    <w:rsid w:val="078B7CA7"/>
    <w:rsid w:val="07E77B7B"/>
    <w:rsid w:val="07F4584C"/>
    <w:rsid w:val="08D57872"/>
    <w:rsid w:val="09201533"/>
    <w:rsid w:val="092C0E55"/>
    <w:rsid w:val="09B334C6"/>
    <w:rsid w:val="09B7427B"/>
    <w:rsid w:val="09D059F8"/>
    <w:rsid w:val="0A2032A3"/>
    <w:rsid w:val="0A4E1819"/>
    <w:rsid w:val="0ACC2AB1"/>
    <w:rsid w:val="0B0009AC"/>
    <w:rsid w:val="0B201BB0"/>
    <w:rsid w:val="0B57160F"/>
    <w:rsid w:val="0B8A0B46"/>
    <w:rsid w:val="0C0F688B"/>
    <w:rsid w:val="0C6C2DD7"/>
    <w:rsid w:val="0C840D85"/>
    <w:rsid w:val="0D005DAC"/>
    <w:rsid w:val="0D913B3D"/>
    <w:rsid w:val="0DE25817"/>
    <w:rsid w:val="0E432912"/>
    <w:rsid w:val="0E5354B1"/>
    <w:rsid w:val="0E547045"/>
    <w:rsid w:val="0EB9334C"/>
    <w:rsid w:val="0F517484"/>
    <w:rsid w:val="0F5B292A"/>
    <w:rsid w:val="0F707EAE"/>
    <w:rsid w:val="0F931DEF"/>
    <w:rsid w:val="0FAB0EE6"/>
    <w:rsid w:val="0FB573D4"/>
    <w:rsid w:val="0FE4264A"/>
    <w:rsid w:val="103D0055"/>
    <w:rsid w:val="10625293"/>
    <w:rsid w:val="10C055FF"/>
    <w:rsid w:val="118107EC"/>
    <w:rsid w:val="11E93F48"/>
    <w:rsid w:val="12632CF8"/>
    <w:rsid w:val="12777955"/>
    <w:rsid w:val="12B91B6C"/>
    <w:rsid w:val="13644CE0"/>
    <w:rsid w:val="13653AA2"/>
    <w:rsid w:val="137837D5"/>
    <w:rsid w:val="14531B4D"/>
    <w:rsid w:val="14573B50"/>
    <w:rsid w:val="14BE1C56"/>
    <w:rsid w:val="153D61E9"/>
    <w:rsid w:val="159E355E"/>
    <w:rsid w:val="15A46B04"/>
    <w:rsid w:val="15AA4F76"/>
    <w:rsid w:val="16186C75"/>
    <w:rsid w:val="163D2EC8"/>
    <w:rsid w:val="16BB723D"/>
    <w:rsid w:val="16CD5BE6"/>
    <w:rsid w:val="16E6621B"/>
    <w:rsid w:val="175C51BC"/>
    <w:rsid w:val="17C214C3"/>
    <w:rsid w:val="17CE2358"/>
    <w:rsid w:val="17E22640"/>
    <w:rsid w:val="18880A38"/>
    <w:rsid w:val="191F0F3B"/>
    <w:rsid w:val="19EF21CA"/>
    <w:rsid w:val="1A176D41"/>
    <w:rsid w:val="1A200662"/>
    <w:rsid w:val="1A454F4F"/>
    <w:rsid w:val="1A525A56"/>
    <w:rsid w:val="1B012302"/>
    <w:rsid w:val="1B4A5220"/>
    <w:rsid w:val="1B5C44FF"/>
    <w:rsid w:val="1B741078"/>
    <w:rsid w:val="1B7E3953"/>
    <w:rsid w:val="1CF87587"/>
    <w:rsid w:val="1D155CEE"/>
    <w:rsid w:val="1D321AB3"/>
    <w:rsid w:val="1D641A3B"/>
    <w:rsid w:val="1DCF0F79"/>
    <w:rsid w:val="1DEA3522"/>
    <w:rsid w:val="1DFB26F8"/>
    <w:rsid w:val="1E075E82"/>
    <w:rsid w:val="1E71779F"/>
    <w:rsid w:val="1EAA2CB1"/>
    <w:rsid w:val="1EB3600A"/>
    <w:rsid w:val="1ECA767A"/>
    <w:rsid w:val="1F130856"/>
    <w:rsid w:val="1F1A3993"/>
    <w:rsid w:val="1F36100F"/>
    <w:rsid w:val="1F3709E9"/>
    <w:rsid w:val="1F393F29"/>
    <w:rsid w:val="1F5C7960"/>
    <w:rsid w:val="1FAB693C"/>
    <w:rsid w:val="1FD925DC"/>
    <w:rsid w:val="1FF95C9E"/>
    <w:rsid w:val="200054D9"/>
    <w:rsid w:val="2000702C"/>
    <w:rsid w:val="200A67BC"/>
    <w:rsid w:val="20D46DA3"/>
    <w:rsid w:val="20D924A7"/>
    <w:rsid w:val="20DC724C"/>
    <w:rsid w:val="211C60E8"/>
    <w:rsid w:val="218E0668"/>
    <w:rsid w:val="219A1071"/>
    <w:rsid w:val="219C2C5A"/>
    <w:rsid w:val="21F00CFC"/>
    <w:rsid w:val="22407BB4"/>
    <w:rsid w:val="228B7B4C"/>
    <w:rsid w:val="22F57F5F"/>
    <w:rsid w:val="23082C00"/>
    <w:rsid w:val="232013C0"/>
    <w:rsid w:val="23B60B3C"/>
    <w:rsid w:val="240371BF"/>
    <w:rsid w:val="240E633C"/>
    <w:rsid w:val="243D55F7"/>
    <w:rsid w:val="244D480A"/>
    <w:rsid w:val="247F25C4"/>
    <w:rsid w:val="24992D39"/>
    <w:rsid w:val="25186BC6"/>
    <w:rsid w:val="25211BFB"/>
    <w:rsid w:val="257162C9"/>
    <w:rsid w:val="25C62619"/>
    <w:rsid w:val="25DA6FFE"/>
    <w:rsid w:val="26146FEE"/>
    <w:rsid w:val="26395046"/>
    <w:rsid w:val="275218B7"/>
    <w:rsid w:val="287F66F0"/>
    <w:rsid w:val="28904CC6"/>
    <w:rsid w:val="28C57065"/>
    <w:rsid w:val="28CD2CD7"/>
    <w:rsid w:val="294A1318"/>
    <w:rsid w:val="29785E86"/>
    <w:rsid w:val="29DE708C"/>
    <w:rsid w:val="29FD04D3"/>
    <w:rsid w:val="2A4C2E6E"/>
    <w:rsid w:val="2B674404"/>
    <w:rsid w:val="2B730E92"/>
    <w:rsid w:val="2BBD2276"/>
    <w:rsid w:val="2C18054F"/>
    <w:rsid w:val="2C2C73FB"/>
    <w:rsid w:val="2CD76D6A"/>
    <w:rsid w:val="2CFC458D"/>
    <w:rsid w:val="2D5B0462"/>
    <w:rsid w:val="2D74105A"/>
    <w:rsid w:val="2DBD2AFF"/>
    <w:rsid w:val="2E472D80"/>
    <w:rsid w:val="2ED00512"/>
    <w:rsid w:val="2EDF4901"/>
    <w:rsid w:val="2F03408D"/>
    <w:rsid w:val="2F1C1962"/>
    <w:rsid w:val="2F340AA1"/>
    <w:rsid w:val="2F535AFE"/>
    <w:rsid w:val="2FB7522E"/>
    <w:rsid w:val="30516956"/>
    <w:rsid w:val="307418A8"/>
    <w:rsid w:val="3095556F"/>
    <w:rsid w:val="30AA4E09"/>
    <w:rsid w:val="310426F5"/>
    <w:rsid w:val="31532D34"/>
    <w:rsid w:val="318A2BFA"/>
    <w:rsid w:val="319F7F4E"/>
    <w:rsid w:val="324E152F"/>
    <w:rsid w:val="32C1557F"/>
    <w:rsid w:val="32FD73FC"/>
    <w:rsid w:val="336E20A7"/>
    <w:rsid w:val="338418CB"/>
    <w:rsid w:val="338A0A46"/>
    <w:rsid w:val="33C4138D"/>
    <w:rsid w:val="33F00D0E"/>
    <w:rsid w:val="34591F09"/>
    <w:rsid w:val="34595CE3"/>
    <w:rsid w:val="34A67003"/>
    <w:rsid w:val="34A96EF5"/>
    <w:rsid w:val="34D12110"/>
    <w:rsid w:val="35076310"/>
    <w:rsid w:val="354912F6"/>
    <w:rsid w:val="356B4A69"/>
    <w:rsid w:val="35F1149A"/>
    <w:rsid w:val="35F22391"/>
    <w:rsid w:val="36172963"/>
    <w:rsid w:val="36386FC7"/>
    <w:rsid w:val="36FB1EA4"/>
    <w:rsid w:val="37175D10"/>
    <w:rsid w:val="374B2E2B"/>
    <w:rsid w:val="375F7C86"/>
    <w:rsid w:val="380120BE"/>
    <w:rsid w:val="381646D1"/>
    <w:rsid w:val="381D303F"/>
    <w:rsid w:val="38957B7A"/>
    <w:rsid w:val="38963F5A"/>
    <w:rsid w:val="38EA3900"/>
    <w:rsid w:val="399C2409"/>
    <w:rsid w:val="39A86313"/>
    <w:rsid w:val="39C42B6E"/>
    <w:rsid w:val="39C75CA8"/>
    <w:rsid w:val="39FC7DA9"/>
    <w:rsid w:val="3A0D43C8"/>
    <w:rsid w:val="3A2B2AA0"/>
    <w:rsid w:val="3A5267A9"/>
    <w:rsid w:val="3B4C0F20"/>
    <w:rsid w:val="3B9D352A"/>
    <w:rsid w:val="3BC136BC"/>
    <w:rsid w:val="3C025A83"/>
    <w:rsid w:val="3C7C75E3"/>
    <w:rsid w:val="3CB23005"/>
    <w:rsid w:val="3CBE5E4E"/>
    <w:rsid w:val="3CCC799D"/>
    <w:rsid w:val="3CE90892"/>
    <w:rsid w:val="3CF74EBC"/>
    <w:rsid w:val="3D22018A"/>
    <w:rsid w:val="3D2560F1"/>
    <w:rsid w:val="3DBA6615"/>
    <w:rsid w:val="3DDE046E"/>
    <w:rsid w:val="3E404FBC"/>
    <w:rsid w:val="3E496766"/>
    <w:rsid w:val="3E5E1696"/>
    <w:rsid w:val="3EA31171"/>
    <w:rsid w:val="3F1955BD"/>
    <w:rsid w:val="3F420C31"/>
    <w:rsid w:val="3F4D5C14"/>
    <w:rsid w:val="3F5E32FA"/>
    <w:rsid w:val="3FEA3008"/>
    <w:rsid w:val="40703903"/>
    <w:rsid w:val="40EB6A7A"/>
    <w:rsid w:val="41377F7D"/>
    <w:rsid w:val="413F69E8"/>
    <w:rsid w:val="419C0E9D"/>
    <w:rsid w:val="41A27AEC"/>
    <w:rsid w:val="41A70DCB"/>
    <w:rsid w:val="41E4693C"/>
    <w:rsid w:val="42660337"/>
    <w:rsid w:val="428E32D4"/>
    <w:rsid w:val="42C62075"/>
    <w:rsid w:val="4364540B"/>
    <w:rsid w:val="43836A7D"/>
    <w:rsid w:val="43993170"/>
    <w:rsid w:val="443F7874"/>
    <w:rsid w:val="44C22253"/>
    <w:rsid w:val="44D9323B"/>
    <w:rsid w:val="44DE672E"/>
    <w:rsid w:val="44F52B38"/>
    <w:rsid w:val="451B0C14"/>
    <w:rsid w:val="452B1BA6"/>
    <w:rsid w:val="45464C32"/>
    <w:rsid w:val="46AB56B9"/>
    <w:rsid w:val="46BF4086"/>
    <w:rsid w:val="46C04E4C"/>
    <w:rsid w:val="46D02155"/>
    <w:rsid w:val="46D324F5"/>
    <w:rsid w:val="472A5965"/>
    <w:rsid w:val="47BB774D"/>
    <w:rsid w:val="489E012A"/>
    <w:rsid w:val="48D228E2"/>
    <w:rsid w:val="48FD385A"/>
    <w:rsid w:val="48FD584B"/>
    <w:rsid w:val="4960068B"/>
    <w:rsid w:val="4A0836C9"/>
    <w:rsid w:val="4A496D4D"/>
    <w:rsid w:val="4AD64ECA"/>
    <w:rsid w:val="4BAB0C88"/>
    <w:rsid w:val="4BBE7E3D"/>
    <w:rsid w:val="4C862103"/>
    <w:rsid w:val="4CA30BBC"/>
    <w:rsid w:val="4D2A060B"/>
    <w:rsid w:val="4D4E0A83"/>
    <w:rsid w:val="4D9A5B1B"/>
    <w:rsid w:val="4E2B74E2"/>
    <w:rsid w:val="4E50267E"/>
    <w:rsid w:val="4E5C4DA6"/>
    <w:rsid w:val="4E6A7BE3"/>
    <w:rsid w:val="4E9B1B4B"/>
    <w:rsid w:val="4EA60DCD"/>
    <w:rsid w:val="4EC065E3"/>
    <w:rsid w:val="4ECE2238"/>
    <w:rsid w:val="4ECF5C98"/>
    <w:rsid w:val="4ED66DF1"/>
    <w:rsid w:val="4F7F2836"/>
    <w:rsid w:val="4F813A17"/>
    <w:rsid w:val="4F952A3E"/>
    <w:rsid w:val="4FC130CA"/>
    <w:rsid w:val="50084550"/>
    <w:rsid w:val="50650662"/>
    <w:rsid w:val="506A211C"/>
    <w:rsid w:val="50D932E2"/>
    <w:rsid w:val="50F351DB"/>
    <w:rsid w:val="512A365A"/>
    <w:rsid w:val="51337CB9"/>
    <w:rsid w:val="51533C6F"/>
    <w:rsid w:val="519C27F3"/>
    <w:rsid w:val="51AC6718"/>
    <w:rsid w:val="51F779E0"/>
    <w:rsid w:val="51F974A8"/>
    <w:rsid w:val="52227C3C"/>
    <w:rsid w:val="5256588A"/>
    <w:rsid w:val="525E35BB"/>
    <w:rsid w:val="52802FA6"/>
    <w:rsid w:val="52854EE7"/>
    <w:rsid w:val="52CB3325"/>
    <w:rsid w:val="53041DA0"/>
    <w:rsid w:val="531F786D"/>
    <w:rsid w:val="53812EBF"/>
    <w:rsid w:val="53EA4849"/>
    <w:rsid w:val="544E765F"/>
    <w:rsid w:val="5450652C"/>
    <w:rsid w:val="54C33BA9"/>
    <w:rsid w:val="54E33989"/>
    <w:rsid w:val="5528757E"/>
    <w:rsid w:val="557B26D6"/>
    <w:rsid w:val="557E4224"/>
    <w:rsid w:val="5589597B"/>
    <w:rsid w:val="55C0458D"/>
    <w:rsid w:val="55DC5B3A"/>
    <w:rsid w:val="56036ACC"/>
    <w:rsid w:val="5723363E"/>
    <w:rsid w:val="578A05D1"/>
    <w:rsid w:val="57923690"/>
    <w:rsid w:val="57A20B70"/>
    <w:rsid w:val="57F549C2"/>
    <w:rsid w:val="58523B82"/>
    <w:rsid w:val="58AD704A"/>
    <w:rsid w:val="58BB7D16"/>
    <w:rsid w:val="58BD6086"/>
    <w:rsid w:val="58CF26AC"/>
    <w:rsid w:val="59475512"/>
    <w:rsid w:val="594D7C43"/>
    <w:rsid w:val="597C07CB"/>
    <w:rsid w:val="59F91681"/>
    <w:rsid w:val="5A1B6236"/>
    <w:rsid w:val="5A6004CF"/>
    <w:rsid w:val="5AE96334"/>
    <w:rsid w:val="5AF97D15"/>
    <w:rsid w:val="5C0F6D7A"/>
    <w:rsid w:val="5C515F3F"/>
    <w:rsid w:val="5C615D76"/>
    <w:rsid w:val="5C7560D1"/>
    <w:rsid w:val="5CB14BAA"/>
    <w:rsid w:val="5CB84A65"/>
    <w:rsid w:val="5D10314B"/>
    <w:rsid w:val="5D1A6C78"/>
    <w:rsid w:val="5D2A02D5"/>
    <w:rsid w:val="5D487240"/>
    <w:rsid w:val="5D6972B8"/>
    <w:rsid w:val="5D747BFB"/>
    <w:rsid w:val="5DC23615"/>
    <w:rsid w:val="5E430883"/>
    <w:rsid w:val="5E946971"/>
    <w:rsid w:val="5E9A07AA"/>
    <w:rsid w:val="5EE040CD"/>
    <w:rsid w:val="5F285CA4"/>
    <w:rsid w:val="5F5C0E82"/>
    <w:rsid w:val="5FC6607D"/>
    <w:rsid w:val="603E024B"/>
    <w:rsid w:val="604162CA"/>
    <w:rsid w:val="60613E8B"/>
    <w:rsid w:val="60686EDF"/>
    <w:rsid w:val="60806DF2"/>
    <w:rsid w:val="60F93A70"/>
    <w:rsid w:val="61D218D0"/>
    <w:rsid w:val="623B6062"/>
    <w:rsid w:val="63337B7C"/>
    <w:rsid w:val="654C1D69"/>
    <w:rsid w:val="655373A1"/>
    <w:rsid w:val="655B74C6"/>
    <w:rsid w:val="65766A16"/>
    <w:rsid w:val="65B54EF0"/>
    <w:rsid w:val="65EB2979"/>
    <w:rsid w:val="660F53AE"/>
    <w:rsid w:val="66184EFE"/>
    <w:rsid w:val="668D1157"/>
    <w:rsid w:val="669022CB"/>
    <w:rsid w:val="66DA0769"/>
    <w:rsid w:val="670053AC"/>
    <w:rsid w:val="677D4646"/>
    <w:rsid w:val="68147C65"/>
    <w:rsid w:val="68220B94"/>
    <w:rsid w:val="685A617B"/>
    <w:rsid w:val="69185BC4"/>
    <w:rsid w:val="69244ABC"/>
    <w:rsid w:val="692A3D9F"/>
    <w:rsid w:val="6961173B"/>
    <w:rsid w:val="69DF4B8A"/>
    <w:rsid w:val="6A4B0DB5"/>
    <w:rsid w:val="6A5F3081"/>
    <w:rsid w:val="6AA2076B"/>
    <w:rsid w:val="6B1111A4"/>
    <w:rsid w:val="6B45527B"/>
    <w:rsid w:val="6B7D28AC"/>
    <w:rsid w:val="6B9644E1"/>
    <w:rsid w:val="6B9B71D6"/>
    <w:rsid w:val="6BA518C1"/>
    <w:rsid w:val="6BA65F73"/>
    <w:rsid w:val="6BDA5F51"/>
    <w:rsid w:val="6C4A05C8"/>
    <w:rsid w:val="6CB40823"/>
    <w:rsid w:val="6CB53FD6"/>
    <w:rsid w:val="6D3A2BDC"/>
    <w:rsid w:val="6D97577B"/>
    <w:rsid w:val="6DB62EDE"/>
    <w:rsid w:val="6DE54A49"/>
    <w:rsid w:val="6E854219"/>
    <w:rsid w:val="6ECD58F9"/>
    <w:rsid w:val="6ED8429D"/>
    <w:rsid w:val="700417EE"/>
    <w:rsid w:val="708F70FB"/>
    <w:rsid w:val="70BD6717"/>
    <w:rsid w:val="70F51A83"/>
    <w:rsid w:val="71236462"/>
    <w:rsid w:val="71343871"/>
    <w:rsid w:val="71750F69"/>
    <w:rsid w:val="71796D0C"/>
    <w:rsid w:val="719D7894"/>
    <w:rsid w:val="71A212BE"/>
    <w:rsid w:val="71D4481E"/>
    <w:rsid w:val="71FE4E91"/>
    <w:rsid w:val="72734D90"/>
    <w:rsid w:val="72C33676"/>
    <w:rsid w:val="731302F5"/>
    <w:rsid w:val="73165F64"/>
    <w:rsid w:val="738B5D82"/>
    <w:rsid w:val="73B54BAD"/>
    <w:rsid w:val="74214BCF"/>
    <w:rsid w:val="74B5492C"/>
    <w:rsid w:val="74D55507"/>
    <w:rsid w:val="74FD05BA"/>
    <w:rsid w:val="7532658D"/>
    <w:rsid w:val="75AD1FE0"/>
    <w:rsid w:val="75BC0475"/>
    <w:rsid w:val="75E654F2"/>
    <w:rsid w:val="77905D1A"/>
    <w:rsid w:val="77BE184B"/>
    <w:rsid w:val="77D86CAD"/>
    <w:rsid w:val="784E5805"/>
    <w:rsid w:val="78676109"/>
    <w:rsid w:val="79AE7492"/>
    <w:rsid w:val="79BE763A"/>
    <w:rsid w:val="79D51B05"/>
    <w:rsid w:val="7A0F58EC"/>
    <w:rsid w:val="7A682FE2"/>
    <w:rsid w:val="7A7B2ED5"/>
    <w:rsid w:val="7A8F76C3"/>
    <w:rsid w:val="7ADA489D"/>
    <w:rsid w:val="7AEF309B"/>
    <w:rsid w:val="7B8D0C6B"/>
    <w:rsid w:val="7C1F7CDC"/>
    <w:rsid w:val="7CFA3FE1"/>
    <w:rsid w:val="7D0D024F"/>
    <w:rsid w:val="7D80447E"/>
    <w:rsid w:val="7DA0242A"/>
    <w:rsid w:val="7DD95881"/>
    <w:rsid w:val="7E9539DA"/>
    <w:rsid w:val="7EE6756C"/>
    <w:rsid w:val="7F853FCE"/>
    <w:rsid w:val="7FDF6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40" w:lineRule="exact"/>
      <w:ind w:firstLine="640" w:firstLineChars="200"/>
    </w:pPr>
    <w:rPr>
      <w:rFonts w:ascii="仿宋_GB2312"/>
      <w:kern w:val="0"/>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5"/>
    <w:qFormat/>
    <w:uiPriority w:val="99"/>
    <w:pPr>
      <w:spacing w:beforeLines="30"/>
    </w:pPr>
    <w:rPr>
      <w:rFonts w:ascii="仿宋_GB2312" w:eastAsia="仿宋_GB2312"/>
      <w:kern w:val="0"/>
      <w:sz w:val="24"/>
      <w:szCs w:val="20"/>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ody Text Indent 2"/>
    <w:basedOn w:val="1"/>
    <w:qFormat/>
    <w:uiPriority w:val="99"/>
    <w:pPr>
      <w:ind w:firstLine="570"/>
    </w:pPr>
    <w:rPr>
      <w:sz w:val="28"/>
      <w:szCs w:val="20"/>
    </w:rPr>
  </w:style>
  <w:style w:type="paragraph" w:styleId="13">
    <w:name w:val="Balloon Text"/>
    <w:basedOn w:val="1"/>
    <w:link w:val="30"/>
    <w:unhideWhenUsed/>
    <w:qFormat/>
    <w:uiPriority w:val="99"/>
    <w:rPr>
      <w:sz w:val="18"/>
      <w:szCs w:val="18"/>
    </w:rPr>
  </w:style>
  <w:style w:type="paragraph" w:styleId="14">
    <w:name w:val="footer"/>
    <w:basedOn w:val="1"/>
    <w:link w:val="34"/>
    <w:qFormat/>
    <w:uiPriority w:val="99"/>
    <w:pPr>
      <w:tabs>
        <w:tab w:val="center" w:pos="4153"/>
        <w:tab w:val="right" w:pos="8306"/>
      </w:tabs>
      <w:snapToGrid w:val="0"/>
      <w:jc w:val="left"/>
    </w:pPr>
    <w:rPr>
      <w:rFonts w:ascii="Calibri" w:hAnsi="Calibri"/>
      <w:kern w:val="0"/>
      <w:sz w:val="18"/>
      <w:szCs w:val="20"/>
    </w:rPr>
  </w:style>
  <w:style w:type="paragraph" w:styleId="15">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oc 2"/>
    <w:basedOn w:val="1"/>
    <w:next w:val="1"/>
    <w:unhideWhenUsed/>
    <w:qFormat/>
    <w:uiPriority w:val="39"/>
    <w:pPr>
      <w:ind w:left="210"/>
      <w:jc w:val="left"/>
    </w:pPr>
    <w:rPr>
      <w:rFonts w:asciiTheme="minorHAnsi" w:eastAsiaTheme="minorHAnsi"/>
      <w:smallCaps/>
      <w:sz w:val="20"/>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character" w:customStyle="1" w:styleId="26">
    <w:name w:val="标题 1 Char"/>
    <w:basedOn w:val="23"/>
    <w:link w:val="4"/>
    <w:qFormat/>
    <w:locked/>
    <w:uiPriority w:val="9"/>
    <w:rPr>
      <w:rFonts w:ascii="Times New Roman" w:hAnsi="Times New Roman" w:cs="Times New Roman"/>
      <w:b/>
      <w:bCs/>
      <w:kern w:val="44"/>
      <w:sz w:val="44"/>
      <w:szCs w:val="44"/>
    </w:rPr>
  </w:style>
  <w:style w:type="character" w:customStyle="1" w:styleId="27">
    <w:name w:val="标题 2 Char"/>
    <w:basedOn w:val="23"/>
    <w:link w:val="5"/>
    <w:qFormat/>
    <w:locked/>
    <w:uiPriority w:val="9"/>
    <w:rPr>
      <w:rFonts w:ascii="Cambria" w:hAnsi="Cambria" w:eastAsia="宋体" w:cs="Times New Roman"/>
      <w:b/>
      <w:bCs/>
      <w:kern w:val="2"/>
      <w:sz w:val="32"/>
      <w:szCs w:val="32"/>
    </w:rPr>
  </w:style>
  <w:style w:type="character" w:customStyle="1" w:styleId="28">
    <w:name w:val="标题 3 Char"/>
    <w:basedOn w:val="23"/>
    <w:link w:val="6"/>
    <w:qFormat/>
    <w:locked/>
    <w:uiPriority w:val="9"/>
    <w:rPr>
      <w:rFonts w:ascii="Times New Roman" w:hAnsi="Times New Roman" w:cs="Times New Roman"/>
      <w:b/>
      <w:bCs/>
      <w:kern w:val="2"/>
      <w:sz w:val="32"/>
      <w:szCs w:val="32"/>
    </w:rPr>
  </w:style>
  <w:style w:type="character" w:customStyle="1" w:styleId="29">
    <w:name w:val="Body Text Char"/>
    <w:basedOn w:val="23"/>
    <w:semiHidden/>
    <w:qFormat/>
    <w:uiPriority w:val="99"/>
    <w:rPr>
      <w:rFonts w:ascii="Times New Roman" w:hAnsi="Times New Roman" w:cs="Times New Roman"/>
      <w:sz w:val="24"/>
      <w:szCs w:val="24"/>
    </w:rPr>
  </w:style>
  <w:style w:type="character" w:customStyle="1" w:styleId="30">
    <w:name w:val="批注框文本 Char"/>
    <w:basedOn w:val="23"/>
    <w:link w:val="13"/>
    <w:semiHidden/>
    <w:qFormat/>
    <w:locked/>
    <w:uiPriority w:val="99"/>
    <w:rPr>
      <w:rFonts w:ascii="Times New Roman" w:hAnsi="Times New Roman" w:cs="Times New Roman"/>
      <w:kern w:val="2"/>
      <w:sz w:val="18"/>
      <w:szCs w:val="18"/>
    </w:rPr>
  </w:style>
  <w:style w:type="character" w:customStyle="1" w:styleId="31">
    <w:name w:val="Footer Char"/>
    <w:basedOn w:val="23"/>
    <w:semiHidden/>
    <w:qFormat/>
    <w:uiPriority w:val="99"/>
    <w:rPr>
      <w:rFonts w:ascii="Times New Roman" w:hAnsi="Times New Roman" w:cs="Times New Roman"/>
      <w:sz w:val="18"/>
      <w:szCs w:val="18"/>
    </w:rPr>
  </w:style>
  <w:style w:type="character" w:customStyle="1" w:styleId="32">
    <w:name w:val="Header Char"/>
    <w:basedOn w:val="23"/>
    <w:semiHidden/>
    <w:qFormat/>
    <w:uiPriority w:val="99"/>
    <w:rPr>
      <w:rFonts w:ascii="Times New Roman" w:hAnsi="Times New Roman" w:cs="Times New Roman"/>
      <w:sz w:val="18"/>
      <w:szCs w:val="18"/>
    </w:rPr>
  </w:style>
  <w:style w:type="character" w:customStyle="1" w:styleId="33">
    <w:name w:val="页眉 Char"/>
    <w:link w:val="15"/>
    <w:semiHidden/>
    <w:qFormat/>
    <w:locked/>
    <w:uiPriority w:val="99"/>
    <w:rPr>
      <w:sz w:val="18"/>
    </w:rPr>
  </w:style>
  <w:style w:type="character" w:customStyle="1" w:styleId="34">
    <w:name w:val="页脚 Char"/>
    <w:link w:val="14"/>
    <w:qFormat/>
    <w:locked/>
    <w:uiPriority w:val="99"/>
    <w:rPr>
      <w:sz w:val="18"/>
    </w:rPr>
  </w:style>
  <w:style w:type="character" w:customStyle="1" w:styleId="35">
    <w:name w:val="正文文本 Char"/>
    <w:link w:val="8"/>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customStyle="1" w:styleId="41">
    <w:name w:val="常用样式（方正仿宋简）"/>
    <w:basedOn w:val="1"/>
    <w:qFormat/>
    <w:uiPriority w:val="99"/>
    <w:pPr>
      <w:spacing w:line="560" w:lineRule="exact"/>
      <w:ind w:firstLine="640" w:firstLineChars="200"/>
    </w:pPr>
    <w:rPr>
      <w:rFonts w:ascii="Times New Roman" w:hAnsi="Times New Roman" w:eastAsia="方正仿宋简体"/>
      <w:sz w:val="32"/>
    </w:rPr>
  </w:style>
  <w:style w:type="character" w:customStyle="1" w:styleId="42">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502402196"/>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barChart>
        <c:barDir val="col"/>
        <c:grouping val="clustered"/>
        <c:varyColors val="0"/>
        <c:ser>
          <c:idx val="0"/>
          <c:order val="0"/>
          <c:tx>
            <c:strRef>
              <c:f>[财务报告图标操作.xls]Sheet1!$B$1</c:f>
              <c:strCache>
                <c:ptCount val="1"/>
                <c:pt idx="0">
                  <c:v>收入支出决算总体情况表</c:v>
                </c:pt>
              </c:strCache>
            </c:strRef>
          </c:tx>
          <c:invertIfNegative val="0"/>
          <c:dPt>
            <c:idx val="0"/>
            <c:invertIfNegative val="0"/>
            <c:bubble3D val="0"/>
            <c:explosion val="0"/>
            <c:spPr>
              <a:solidFill>
                <a:schemeClr val="accent1"/>
              </a:solidFill>
              <a:ln>
                <a:noFill/>
              </a:ln>
              <a:effectLst/>
            </c:spPr>
          </c:dPt>
          <c:dPt>
            <c:idx val="1"/>
            <c:invertIfNegative val="0"/>
            <c:bubble3D val="0"/>
            <c:explosion val="0"/>
            <c:spPr>
              <a:solidFill>
                <a:schemeClr val="accent2"/>
              </a:solidFill>
              <a:ln>
                <a:noFill/>
              </a:ln>
              <a:effectLst/>
            </c:spPr>
          </c:dPt>
          <c:dLbls>
            <c:dLbl>
              <c:idx val="1"/>
              <c:layout>
                <c:manualLayout>
                  <c:x val="-0.0123436811939895"/>
                  <c:y val="0.17208759205829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numRef>
              <c:f>[财务报告图标操作.xls]Sheet1!$A$2:$A$3</c:f>
              <c:numCache>
                <c:formatCode>General</c:formatCode>
                <c:ptCount val="2"/>
                <c:pt idx="0">
                  <c:v>2023</c:v>
                </c:pt>
                <c:pt idx="1">
                  <c:v>2022</c:v>
                </c:pt>
              </c:numCache>
            </c:numRef>
          </c:cat>
          <c:val>
            <c:numRef>
              <c:f>[财务报告图标操作.xls]Sheet1!$B$2:$B$3</c:f>
              <c:numCache>
                <c:formatCode>General</c:formatCode>
                <c:ptCount val="2"/>
                <c:pt idx="0">
                  <c:v>240.91</c:v>
                </c:pt>
                <c:pt idx="1">
                  <c:v>196.97</c:v>
                </c:pt>
              </c:numCache>
            </c:numRef>
          </c:val>
        </c:ser>
        <c:dLbls>
          <c:showLegendKey val="0"/>
          <c:showVal val="1"/>
          <c:showCatName val="1"/>
          <c:showSerName val="0"/>
          <c:showPercent val="1"/>
          <c:showBubbleSize val="0"/>
        </c:dLbls>
        <c:gapWidth val="150"/>
        <c:overlap val="0"/>
        <c:axId val="384474614"/>
        <c:axId val="393138267"/>
      </c:barChart>
      <c:catAx>
        <c:axId val="38447461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93138267"/>
        <c:crosses val="autoZero"/>
        <c:auto val="1"/>
        <c:lblAlgn val="ctr"/>
        <c:lblOffset val="100"/>
        <c:noMultiLvlLbl val="0"/>
      </c:catAx>
      <c:valAx>
        <c:axId val="393138267"/>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447461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502402196"/>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[财务报告图标操作.xls]Sheet1!$B$1</c:f>
              <c:strCache>
                <c:ptCount val="1"/>
                <c:pt idx="0">
                  <c:v>收入决算情况说明</c:v>
                </c:pt>
              </c:strCache>
            </c:strRef>
          </c:tx>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Lbls>
            <c:dLbl>
              <c:idx val="1"/>
              <c:layout>
                <c:manualLayout>
                  <c:x val="0.142705351406063"/>
                  <c:y val="-0.1038164954337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[财务报告图标操作.xls]Sheet1!$A$2:$A$3</c:f>
              <c:strCache>
                <c:ptCount val="2"/>
                <c:pt idx="0">
                  <c:v>一般公共预算财政拨款收入</c:v>
                </c:pt>
                <c:pt idx="1">
                  <c:v>政府性基金预算财政拨款收入</c:v>
                </c:pt>
              </c:strCache>
            </c:strRef>
          </c:cat>
          <c:val>
            <c:numRef>
              <c:f>[财务报告图标操作.xls]Sheet1!$B$2:$B$3</c:f>
              <c:numCache>
                <c:formatCode>General</c:formatCode>
                <c:ptCount val="2"/>
                <c:pt idx="0">
                  <c:v>308.11</c:v>
                </c:pt>
                <c:pt idx="1">
                  <c:v>11.93</c:v>
                </c:pt>
              </c:numCache>
            </c:numRef>
          </c:val>
        </c:ser>
        <c:dLbls>
          <c:showLegendKey val="0"/>
          <c:showVal val="1"/>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502402196"/>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[财务报告图标操作.xls]Sheet1!$B$1</c:f>
              <c:strCache>
                <c:ptCount val="1"/>
                <c:pt idx="0">
                  <c:v>支出决算情况说明</c:v>
                </c:pt>
              </c:strCache>
            </c:strRef>
          </c:tx>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Lbls>
            <c:dLbl>
              <c:idx val="1"/>
              <c:layout>
                <c:manualLayout>
                  <c:x val="0.142705351406063"/>
                  <c:y val="-0.1038164954337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[财务报告图标操作.xls]Sheet1!$A$2:$A$3</c:f>
              <c:strCache>
                <c:ptCount val="2"/>
                <c:pt idx="0">
                  <c:v>基本支出</c:v>
                </c:pt>
                <c:pt idx="1">
                  <c:v>项目支出</c:v>
                </c:pt>
              </c:strCache>
            </c:strRef>
          </c:cat>
          <c:val>
            <c:numRef>
              <c:f>[财务报告图标操作.xls]Sheet1!$B$2:$B$3</c:f>
              <c:numCache>
                <c:formatCode>General</c:formatCode>
                <c:ptCount val="2"/>
                <c:pt idx="0">
                  <c:v>93.69</c:v>
                </c:pt>
                <c:pt idx="1">
                  <c:v>226.34</c:v>
                </c:pt>
              </c:numCache>
            </c:numRef>
          </c:val>
        </c:ser>
        <c:dLbls>
          <c:showLegendKey val="0"/>
          <c:showVal val="1"/>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502402196"/>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barChart>
        <c:barDir val="col"/>
        <c:grouping val="clustered"/>
        <c:varyColors val="0"/>
        <c:ser>
          <c:idx val="0"/>
          <c:order val="0"/>
          <c:tx>
            <c:strRef>
              <c:f>[财务报告图标操作.xls]Sheet1!$B$1</c:f>
              <c:strCache>
                <c:ptCount val="1"/>
                <c:pt idx="0">
                  <c:v>收入支出决算总体情况表</c:v>
                </c:pt>
              </c:strCache>
            </c:strRef>
          </c:tx>
          <c:invertIfNegative val="0"/>
          <c:dPt>
            <c:idx val="0"/>
            <c:invertIfNegative val="0"/>
            <c:bubble3D val="0"/>
            <c:explosion val="0"/>
            <c:spPr>
              <a:solidFill>
                <a:schemeClr val="accent1"/>
              </a:solidFill>
              <a:ln>
                <a:noFill/>
              </a:ln>
              <a:effectLst/>
            </c:spPr>
          </c:dPt>
          <c:dPt>
            <c:idx val="1"/>
            <c:invertIfNegative val="0"/>
            <c:bubble3D val="0"/>
            <c:explosion val="0"/>
            <c:spPr>
              <a:solidFill>
                <a:schemeClr val="accent2"/>
              </a:solidFill>
              <a:ln>
                <a:noFill/>
              </a:ln>
              <a:effectLst/>
            </c:spPr>
          </c:dPt>
          <c:dLbls>
            <c:dLbl>
              <c:idx val="1"/>
              <c:layout>
                <c:manualLayout>
                  <c:x val="-0.0123436811939895"/>
                  <c:y val="0.17208759205829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numRef>
              <c:f>[财务报告图标操作.xls]Sheet1!$A$2:$A$3</c:f>
              <c:numCache>
                <c:formatCode>General</c:formatCode>
                <c:ptCount val="2"/>
                <c:pt idx="0">
                  <c:v>2023</c:v>
                </c:pt>
                <c:pt idx="1">
                  <c:v>2022</c:v>
                </c:pt>
              </c:numCache>
            </c:numRef>
          </c:cat>
          <c:val>
            <c:numRef>
              <c:f>[财务报告图标操作.xls]Sheet1!$B$2:$B$3</c:f>
              <c:numCache>
                <c:formatCode>General</c:formatCode>
                <c:ptCount val="2"/>
                <c:pt idx="0">
                  <c:v>240.91</c:v>
                </c:pt>
                <c:pt idx="1">
                  <c:v>196.97</c:v>
                </c:pt>
              </c:numCache>
            </c:numRef>
          </c:val>
        </c:ser>
        <c:dLbls>
          <c:showLegendKey val="0"/>
          <c:showVal val="1"/>
          <c:showCatName val="1"/>
          <c:showSerName val="0"/>
          <c:showPercent val="1"/>
          <c:showBubbleSize val="0"/>
        </c:dLbls>
        <c:gapWidth val="150"/>
        <c:overlap val="0"/>
        <c:axId val="384474614"/>
        <c:axId val="393138267"/>
      </c:barChart>
      <c:catAx>
        <c:axId val="38447461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93138267"/>
        <c:crosses val="autoZero"/>
        <c:auto val="1"/>
        <c:lblAlgn val="ctr"/>
        <c:lblOffset val="100"/>
        <c:noMultiLvlLbl val="0"/>
      </c:catAx>
      <c:valAx>
        <c:axId val="393138267"/>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447461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502402196"/>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barChart>
        <c:barDir val="col"/>
        <c:grouping val="clustered"/>
        <c:varyColors val="0"/>
        <c:ser>
          <c:idx val="0"/>
          <c:order val="0"/>
          <c:tx>
            <c:strRef>
              <c:f>[财务报告图标操作.xls]Sheet1!$B$1</c:f>
              <c:strCache>
                <c:ptCount val="1"/>
                <c:pt idx="0">
                  <c:v>收入决算情况说明</c:v>
                </c:pt>
              </c:strCache>
            </c:strRef>
          </c:tx>
          <c:invertIfNegative val="0"/>
          <c:dPt>
            <c:idx val="0"/>
            <c:invertIfNegative val="0"/>
            <c:bubble3D val="0"/>
            <c:explosion val="0"/>
            <c:spPr>
              <a:solidFill>
                <a:schemeClr val="accent1"/>
              </a:solidFill>
              <a:ln>
                <a:noFill/>
              </a:ln>
              <a:effectLst/>
            </c:spPr>
          </c:dPt>
          <c:dPt>
            <c:idx val="1"/>
            <c:invertIfNegative val="0"/>
            <c:bubble3D val="0"/>
            <c:explosion val="0"/>
            <c:spPr>
              <a:solidFill>
                <a:schemeClr val="accent2"/>
              </a:solidFill>
              <a:ln>
                <a:noFill/>
              </a:ln>
              <a:effectLst/>
            </c:spPr>
          </c:dPt>
          <c:dLbls>
            <c:dLbl>
              <c:idx val="1"/>
              <c:layout>
                <c:manualLayout>
                  <c:x val="0.012084705427596"/>
                  <c:y val="0.21488297565064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numRef>
              <c:f>[财务报告图标操作.xls]Sheet1!$A$2:$A$3</c:f>
              <c:numCache>
                <c:formatCode>General</c:formatCode>
                <c:ptCount val="2"/>
                <c:pt idx="0">
                  <c:v>2023</c:v>
                </c:pt>
                <c:pt idx="1">
                  <c:v>2022</c:v>
                </c:pt>
              </c:numCache>
            </c:numRef>
          </c:cat>
          <c:val>
            <c:numRef>
              <c:f>[财务报告图标操作.xls]Sheet1!$B$2:$B$3</c:f>
              <c:numCache>
                <c:formatCode>General</c:formatCode>
                <c:ptCount val="2"/>
                <c:pt idx="0">
                  <c:v>308.11</c:v>
                </c:pt>
                <c:pt idx="1">
                  <c:v>188.97</c:v>
                </c:pt>
              </c:numCache>
            </c:numRef>
          </c:val>
        </c:ser>
        <c:dLbls>
          <c:showLegendKey val="0"/>
          <c:showVal val="1"/>
          <c:showCatName val="1"/>
          <c:showSerName val="0"/>
          <c:showPercent val="1"/>
          <c:showBubbleSize val="0"/>
        </c:dLbls>
        <c:gapWidth val="150"/>
        <c:overlap val="0"/>
        <c:axId val="384474614"/>
        <c:axId val="393138267"/>
      </c:barChart>
      <c:catAx>
        <c:axId val="38447461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93138267"/>
        <c:crosses val="autoZero"/>
        <c:auto val="1"/>
        <c:lblAlgn val="ctr"/>
        <c:lblOffset val="100"/>
        <c:noMultiLvlLbl val="0"/>
      </c:catAx>
      <c:valAx>
        <c:axId val="393138267"/>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447461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502402196"/>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[财务报告图标操作.xls]Sheet1!$B$1</c:f>
              <c:strCache>
                <c:ptCount val="1"/>
                <c:pt idx="0">
                  <c:v>一般公共预算财政拨款支出决算结构</c:v>
                </c:pt>
              </c:strCache>
            </c:strRef>
          </c:tx>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Pt>
            <c:idx val="2"/>
            <c:bubble3D val="0"/>
            <c:explosion val="0"/>
            <c:spPr>
              <a:solidFill>
                <a:schemeClr val="accent3"/>
              </a:solidFill>
              <a:ln>
                <a:noFill/>
              </a:ln>
              <a:effectLst/>
            </c:spPr>
          </c:dPt>
          <c:dLbls>
            <c:dLbl>
              <c:idx val="1"/>
              <c:layout>
                <c:manualLayout>
                  <c:x val="0.154579955585924"/>
                  <c:y val="0.015943983608203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839907403201728"/>
                  <c:y val="0"/>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[财务报告图标操作.xls]Sheet1!$A$2:$A$4</c:f>
              <c:strCache>
                <c:ptCount val="3"/>
                <c:pt idx="0">
                  <c:v>社会保障和就业</c:v>
                </c:pt>
                <c:pt idx="1">
                  <c:v>卫生健康支出</c:v>
                </c:pt>
                <c:pt idx="2">
                  <c:v>住房保障支出</c:v>
                </c:pt>
              </c:strCache>
            </c:strRef>
          </c:cat>
          <c:val>
            <c:numRef>
              <c:f>[财务报告图标操作.xls]Sheet1!$B$2:$B$4</c:f>
              <c:numCache>
                <c:formatCode>General</c:formatCode>
                <c:ptCount val="3"/>
                <c:pt idx="0">
                  <c:v>296.47</c:v>
                </c:pt>
                <c:pt idx="1">
                  <c:v>4.9</c:v>
                </c:pt>
                <c:pt idx="2">
                  <c:v>6.73</c:v>
                </c:pt>
              </c:numCache>
            </c:numRef>
          </c:val>
        </c:ser>
        <c:ser>
          <c:idx val="1"/>
          <c:order val="1"/>
          <c:tx>
            <c:strRef>
              <c:f>[财务报告图标操作.xls]Sheet1!$C$1</c:f>
              <c:strCache>
                <c:ptCount val="1"/>
                <c:pt idx="0">
                  <c:v/>
                </c:pt>
              </c:strCache>
            </c:strRef>
          </c:tx>
          <c:explosion val="0"/>
          <c:dPt>
            <c:idx val="0"/>
            <c:bubble3D val="0"/>
          </c:dPt>
          <c:dPt>
            <c:idx val="1"/>
            <c:bubble3D val="0"/>
          </c:dPt>
          <c:dPt>
            <c:idx val="2"/>
            <c:bubble3D val="0"/>
          </c:dPt>
          <c:dLbls>
            <c:delete val="1"/>
          </c:dLbls>
          <c:cat>
            <c:strRef>
              <c:f>[财务报告图标操作.xls]Sheet1!$A$2:$A$4</c:f>
              <c:strCache>
                <c:ptCount val="3"/>
                <c:pt idx="0">
                  <c:v>社会保障和就业</c:v>
                </c:pt>
                <c:pt idx="1">
                  <c:v>卫生健康支出</c:v>
                </c:pt>
                <c:pt idx="2">
                  <c:v>住房保障支出</c:v>
                </c:pt>
              </c:strCache>
            </c:strRef>
          </c:cat>
          <c:val>
            <c:numRef>
              <c:f>[财务报告图标操作.xls]Sheet1!$C$2:$C$4</c:f>
              <c:numCache>
                <c:formatCode>General</c:formatCode>
                <c:ptCount val="3"/>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EF6E-F4E3-4922-8334-C2244ACD61C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15590</Words>
  <Characters>16853</Characters>
  <Lines>74</Lines>
  <Paragraphs>21</Paragraphs>
  <TotalTime>2</TotalTime>
  <ScaleCrop>false</ScaleCrop>
  <LinksUpToDate>false</LinksUpToDate>
  <CharactersWithSpaces>16940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2023-09-04T02:27:00Z</cp:lastPrinted>
  <dcterms:modified xsi:type="dcterms:W3CDTF">2024-09-19T02:26:06Z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5D75EB7D04ED4DF1B6A10689069C0451</vt:lpwstr>
  </property>
</Properties>
</file>