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FE040">
      <w:pPr>
        <w:pStyle w:val="8"/>
        <w:spacing w:before="93"/>
        <w:jc w:val="center"/>
        <w:rPr>
          <w:rFonts w:ascii="Times New Roman" w:eastAsia="方正小标宋简体"/>
          <w:kern w:val="2"/>
          <w:sz w:val="44"/>
          <w:szCs w:val="44"/>
        </w:rPr>
      </w:pPr>
      <w:bookmarkStart w:id="0" w:name="_Toc15377194"/>
      <w:bookmarkStart w:id="1" w:name="_Toc15396476"/>
      <w:bookmarkStart w:id="2" w:name="_Toc15378442"/>
      <w:bookmarkStart w:id="3" w:name="_Toc15377426"/>
      <w:bookmarkStart w:id="4" w:name="_Toc15396598"/>
      <w:bookmarkStart w:id="5" w:name="_Toc15377425"/>
      <w:bookmarkStart w:id="6" w:name="_Toc15377193"/>
      <w:bookmarkStart w:id="7" w:name="_Toc15378441"/>
      <w:bookmarkStart w:id="8" w:name="_Toc15396597"/>
      <w:bookmarkStart w:id="9" w:name="_Toc15306267"/>
      <w:bookmarkStart w:id="10" w:name="_Toc15396475"/>
    </w:p>
    <w:p w14:paraId="022F4754">
      <w:pPr>
        <w:pStyle w:val="8"/>
        <w:spacing w:before="93"/>
        <w:jc w:val="center"/>
        <w:rPr>
          <w:rFonts w:ascii="Times New Roman" w:eastAsia="方正小标宋简体"/>
          <w:kern w:val="2"/>
          <w:sz w:val="44"/>
          <w:szCs w:val="44"/>
        </w:rPr>
      </w:pPr>
    </w:p>
    <w:p w14:paraId="59F32B62">
      <w:pPr>
        <w:pStyle w:val="8"/>
        <w:spacing w:before="93"/>
        <w:jc w:val="center"/>
        <w:rPr>
          <w:rFonts w:ascii="Times New Roman" w:eastAsia="方正小标宋简体"/>
          <w:kern w:val="2"/>
          <w:sz w:val="44"/>
          <w:szCs w:val="44"/>
        </w:rPr>
      </w:pPr>
    </w:p>
    <w:p w14:paraId="01D51984">
      <w:pPr>
        <w:pStyle w:val="8"/>
        <w:spacing w:before="93"/>
        <w:jc w:val="center"/>
        <w:rPr>
          <w:rFonts w:ascii="Times New Roman" w:eastAsia="方正小标宋简体"/>
          <w:kern w:val="2"/>
          <w:sz w:val="44"/>
          <w:szCs w:val="44"/>
        </w:rPr>
      </w:pPr>
    </w:p>
    <w:p w14:paraId="548563D2">
      <w:pPr>
        <w:pStyle w:val="8"/>
        <w:spacing w:before="93"/>
        <w:jc w:val="center"/>
        <w:rPr>
          <w:rFonts w:ascii="Times New Roman" w:eastAsia="方正小标宋简体"/>
          <w:kern w:val="2"/>
          <w:sz w:val="44"/>
          <w:szCs w:val="44"/>
        </w:rPr>
      </w:pPr>
    </w:p>
    <w:p w14:paraId="6B096F26">
      <w:pPr>
        <w:pStyle w:val="8"/>
        <w:spacing w:before="93"/>
        <w:jc w:val="center"/>
        <w:rPr>
          <w:rFonts w:ascii="Times New Roman" w:eastAsia="方正小标宋简体"/>
          <w:kern w:val="2"/>
          <w:sz w:val="44"/>
          <w:szCs w:val="44"/>
        </w:rPr>
      </w:pPr>
    </w:p>
    <w:p w14:paraId="1EE6C29E">
      <w:pPr>
        <w:pStyle w:val="8"/>
        <w:spacing w:before="93"/>
        <w:jc w:val="center"/>
        <w:rPr>
          <w:rFonts w:ascii="Times New Roman" w:eastAsia="方正小标宋简体"/>
          <w:kern w:val="2"/>
          <w:sz w:val="44"/>
          <w:szCs w:val="44"/>
        </w:rPr>
      </w:pPr>
    </w:p>
    <w:p w14:paraId="01F450B8">
      <w:pPr>
        <w:pStyle w:val="8"/>
        <w:spacing w:before="93"/>
        <w:jc w:val="center"/>
        <w:rPr>
          <w:rFonts w:ascii="方正小标宋简体" w:hAnsi="宋体" w:eastAsia="方正小标宋简体"/>
          <w:kern w:val="2"/>
          <w:sz w:val="44"/>
          <w:szCs w:val="44"/>
        </w:rPr>
      </w:pPr>
      <w:r>
        <w:rPr>
          <w:rFonts w:hint="eastAsia" w:ascii="Times New Roman" w:eastAsia="方正小标宋简体"/>
          <w:kern w:val="2"/>
          <w:sz w:val="44"/>
          <w:szCs w:val="44"/>
        </w:rPr>
        <w:t>2024年度四川省</w:t>
      </w:r>
      <w:bookmarkStart w:id="11" w:name="_Toc15306268"/>
      <w:r>
        <w:rPr>
          <w:rFonts w:hint="eastAsia" w:ascii="方正小标宋简体" w:hAnsi="宋体" w:eastAsia="方正小标宋简体"/>
          <w:kern w:val="2"/>
          <w:sz w:val="44"/>
          <w:szCs w:val="44"/>
        </w:rPr>
        <w:t>阿坝州松潘县镇江关生态产业园区管理委员会</w:t>
      </w:r>
      <w:r>
        <w:rPr>
          <w:rFonts w:hint="eastAsia" w:ascii="Times New Roman" w:eastAsia="方正小标宋简体"/>
          <w:kern w:val="2"/>
          <w:sz w:val="44"/>
          <w:szCs w:val="44"/>
        </w:rPr>
        <w:t>部门决算</w:t>
      </w:r>
      <w:bookmarkEnd w:id="0"/>
      <w:bookmarkEnd w:id="1"/>
      <w:bookmarkEnd w:id="2"/>
      <w:bookmarkEnd w:id="3"/>
      <w:bookmarkEnd w:id="4"/>
      <w:bookmarkEnd w:id="11"/>
      <w:r>
        <w:rPr>
          <w:rFonts w:hint="eastAsia" w:ascii="Times New Roman" w:eastAsia="方正小标宋简体"/>
          <w:kern w:val="2"/>
          <w:sz w:val="44"/>
          <w:szCs w:val="44"/>
        </w:rPr>
        <w:t>公开</w:t>
      </w:r>
    </w:p>
    <w:p w14:paraId="7BB6F46B">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ascii="Times New Roman" w:hAnsi="Times New Roman" w:eastAsia="方正小标宋简体"/>
          <w:sz w:val="36"/>
          <w:szCs w:val="36"/>
        </w:rPr>
        <w:br w:type="page"/>
      </w:r>
    </w:p>
    <w:p w14:paraId="6B4CAEED">
      <w:pPr>
        <w:pStyle w:val="8"/>
        <w:spacing w:before="93"/>
        <w:rPr>
          <w:rFonts w:ascii="Times New Roman" w:eastAsia="方正小标宋简体"/>
          <w:kern w:val="2"/>
          <w:sz w:val="44"/>
          <w:szCs w:val="44"/>
        </w:rPr>
      </w:pPr>
    </w:p>
    <w:bookmarkEnd w:id="5"/>
    <w:bookmarkEnd w:id="6"/>
    <w:bookmarkEnd w:id="7"/>
    <w:bookmarkEnd w:id="8"/>
    <w:bookmarkEnd w:id="9"/>
    <w:bookmarkEnd w:id="10"/>
    <w:p w14:paraId="439F7B04">
      <w:pPr>
        <w:widowControl/>
        <w:jc w:val="center"/>
        <w:rPr>
          <w:rFonts w:eastAsia="黑体"/>
          <w:sz w:val="48"/>
          <w:szCs w:val="48"/>
        </w:rPr>
      </w:pPr>
      <w:r>
        <w:rPr>
          <w:rFonts w:hint="eastAsia" w:eastAsia="黑体"/>
          <w:sz w:val="48"/>
          <w:szCs w:val="48"/>
        </w:rPr>
        <w:t>目录</w:t>
      </w:r>
    </w:p>
    <w:p w14:paraId="7957C48A">
      <w:pPr>
        <w:widowControl/>
        <w:jc w:val="center"/>
        <w:rPr>
          <w:rFonts w:eastAsia="黑体" w:cstheme="minorBidi"/>
          <w:sz w:val="28"/>
          <w:szCs w:val="28"/>
        </w:rPr>
      </w:pPr>
    </w:p>
    <w:p w14:paraId="2DBC3B87">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年10月14日</w:t>
      </w:r>
    </w:p>
    <w:p w14:paraId="7500E60E"/>
    <w:p w14:paraId="392F4587">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4343748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p>
    <w:p w14:paraId="401B1BF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14:paraId="1CAD8D44">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14:paraId="05DA5E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14:paraId="3881541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14:paraId="22C4B26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14:paraId="69688F7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14:paraId="5D4A71F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14:paraId="6704BFD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14:paraId="73C0B66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14:paraId="2A3F134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14:paraId="4D6C2E5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14:paraId="20767C3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14:paraId="204FDE1C">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14:paraId="28C648EE">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14:paraId="498DAE97">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14:paraId="46EFFB0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76F54A6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106310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6AB2EE2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0CE1C60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4F3E609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6AFE3C3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2F5B244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795362E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51EDF53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06E7A10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2F68B5A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1297EA8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1562BADF">
      <w:pPr>
        <w:pStyle w:val="14"/>
        <w:adjustRightInd w:val="0"/>
        <w:snapToGrid w:val="0"/>
        <w:spacing w:line="560" w:lineRule="exact"/>
        <w:ind w:left="0" w:leftChars="0" w:firstLine="643" w:firstLineChars="200"/>
        <w:jc w:val="left"/>
        <w:rPr>
          <w:rFonts w:eastAsia="仿宋_GB2312" w:cs="仿宋_GB2312"/>
          <w:b/>
          <w:bCs/>
          <w:sz w:val="32"/>
          <w:szCs w:val="32"/>
        </w:rPr>
      </w:pPr>
      <w:r>
        <w:rPr>
          <w:rFonts w:hint="eastAsia" w:eastAsia="仿宋_GB2312" w:cs="仿宋_GB2312"/>
          <w:b/>
          <w:bCs/>
          <w:sz w:val="32"/>
          <w:szCs w:val="32"/>
        </w:rPr>
        <w:t>（注：请部门根据实际注明页码）</w:t>
      </w:r>
    </w:p>
    <w:p w14:paraId="03016A6C">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6F095F2D">
      <w:pPr>
        <w:pStyle w:val="5"/>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p>
    <w:p w14:paraId="4840EF07">
      <w:pPr>
        <w:widowControl/>
        <w:jc w:val="left"/>
        <w:rPr>
          <w:rFonts w:eastAsia="黑体"/>
          <w:sz w:val="32"/>
          <w:szCs w:val="32"/>
        </w:rPr>
      </w:pPr>
    </w:p>
    <w:p w14:paraId="4996C23F">
      <w:pPr>
        <w:pStyle w:val="6"/>
        <w:numPr>
          <w:ilvl w:val="0"/>
          <w:numId w:val="1"/>
        </w:numPr>
        <w:rPr>
          <w:rFonts w:ascii="Times New Roman" w:hAnsi="Times New Roman" w:eastAsia="黑体"/>
          <w:b w:val="0"/>
        </w:rPr>
      </w:pPr>
      <w:r>
        <w:rPr>
          <w:rFonts w:hint="eastAsia" w:ascii="Times New Roman" w:hAnsi="Times New Roman" w:eastAsia="黑体"/>
          <w:b w:val="0"/>
        </w:rPr>
        <w:t>部门职责</w:t>
      </w:r>
    </w:p>
    <w:p w14:paraId="23BCFE55">
      <w:pPr>
        <w:shd w:val="clear" w:color="auto" w:fill="FFFFFF"/>
        <w:spacing w:line="540" w:lineRule="exact"/>
        <w:ind w:firstLine="640" w:firstLineChars="200"/>
        <w:rPr>
          <w:rFonts w:ascii="微软雅黑" w:hAnsi="微软雅黑" w:eastAsia="微软雅黑" w:cs="微软雅黑"/>
          <w:sz w:val="32"/>
          <w:szCs w:val="32"/>
        </w:rPr>
      </w:pPr>
      <w:r>
        <w:rPr>
          <w:rFonts w:hint="eastAsia"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lang w:eastAsia="zh-CN"/>
        </w:rPr>
        <w:t>.贯</w:t>
      </w:r>
      <w:r>
        <w:rPr>
          <w:rFonts w:ascii="仿宋_GB2312" w:hAnsi="微软雅黑" w:eastAsia="仿宋_GB2312" w:cs="仿宋_GB2312"/>
          <w:sz w:val="32"/>
          <w:szCs w:val="32"/>
          <w:shd w:val="clear" w:color="auto" w:fill="FFFFFF"/>
        </w:rPr>
        <w:t>彻执行国家、省、州、县的有关方针、政策和</w:t>
      </w:r>
      <w:r>
        <w:rPr>
          <w:rFonts w:hint="eastAsia" w:ascii="仿宋_GB2312" w:hAnsi="微软雅黑" w:eastAsia="仿宋_GB2312" w:cs="仿宋_GB2312"/>
          <w:sz w:val="32"/>
          <w:szCs w:val="32"/>
          <w:shd w:val="clear" w:color="auto" w:fill="FFFFFF"/>
          <w:lang w:eastAsia="zh-CN"/>
        </w:rPr>
        <w:t>法律法规</w:t>
      </w:r>
      <w:r>
        <w:rPr>
          <w:rFonts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rPr>
        <w:t>检查督促园区内各企业贯彻执行。</w:t>
      </w:r>
    </w:p>
    <w:p w14:paraId="31627BD9">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2.按照现代工业发展的要求，编制工业园区的发展规划，对工业园区的土地资源使用，企业的科学布局、配套设施的建设、园林绿化和安全保卫等进行综合设计，统筹安排，并组织实施。</w:t>
      </w:r>
    </w:p>
    <w:p w14:paraId="221AECE6">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3.及时协助入园企业办理土地使用等相关证照手续，为入园企业提供全方位服务。</w:t>
      </w:r>
    </w:p>
    <w:p w14:paraId="0BA76473">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4.兴办和管理园区内的基础设施、协调园区内的水、电、路、通讯等基础设施建设工作。</w:t>
      </w:r>
    </w:p>
    <w:p w14:paraId="64B02D8E">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5.配合有关部门做好园区内安全生产和治安保卫工作。</w:t>
      </w:r>
    </w:p>
    <w:p w14:paraId="1A6498F8">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6.全力组织开展招商引资、经济技术贸易合作和交流，按照有关规定协调处理园区内有关涉外工作。</w:t>
      </w:r>
    </w:p>
    <w:p w14:paraId="0C95C913">
      <w:pPr>
        <w:shd w:val="clear" w:color="auto" w:fill="FFFFFF"/>
        <w:spacing w:line="54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7.负责与州、县及有关部门加强联系与协调，加快园区建设步伐。</w:t>
      </w:r>
    </w:p>
    <w:p w14:paraId="2CF26874">
      <w:pPr>
        <w:shd w:val="clear" w:color="auto" w:fill="FFFFFF"/>
        <w:spacing w:line="540" w:lineRule="exact"/>
        <w:ind w:firstLine="640" w:firstLineChars="200"/>
        <w:rPr>
          <w:rFonts w:ascii="黑体" w:hAnsi="黑体" w:eastAsia="黑体" w:cs="黑体"/>
          <w:sz w:val="32"/>
          <w:szCs w:val="32"/>
        </w:rPr>
      </w:pPr>
      <w:r>
        <w:rPr>
          <w:rFonts w:hint="eastAsia" w:ascii="仿宋_GB2312" w:hAnsi="微软雅黑" w:eastAsia="仿宋_GB2312" w:cs="仿宋_GB2312"/>
          <w:sz w:val="32"/>
          <w:szCs w:val="32"/>
          <w:shd w:val="clear" w:color="auto" w:fill="FFFFFF"/>
        </w:rPr>
        <w:t>8.承办县委、县政府交办的其他事项。</w:t>
      </w:r>
    </w:p>
    <w:p w14:paraId="2E4EA097">
      <w:pPr>
        <w:pStyle w:val="15"/>
        <w:widowControl/>
        <w:shd w:val="clear" w:color="auto" w:fill="FFFFFF"/>
        <w:spacing w:before="100" w:beforeAutospacing="1" w:after="100" w:afterAutospacing="1" w:line="536" w:lineRule="exact"/>
        <w:ind w:firstLine="600"/>
        <w:jc w:val="left"/>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eastAsia="zh-CN"/>
        </w:rPr>
        <w:t>7.</w:t>
      </w:r>
      <w:r>
        <w:rPr>
          <w:rFonts w:ascii="Times New Roman" w:hAnsi="Times New Roman" w:eastAsia="仿宋_GB2312"/>
          <w:snapToGrid w:val="0"/>
          <w:kern w:val="0"/>
          <w:sz w:val="32"/>
          <w:szCs w:val="32"/>
        </w:rPr>
        <w:t xml:space="preserve">负责与州、县及有关部门加强联系与协调，加快园区建设步伐。 </w:t>
      </w:r>
    </w:p>
    <w:p w14:paraId="453D9767">
      <w:pPr>
        <w:pStyle w:val="15"/>
        <w:widowControl/>
        <w:spacing w:before="100" w:beforeAutospacing="1" w:after="100" w:afterAutospacing="1" w:line="536" w:lineRule="exact"/>
        <w:ind w:firstLine="640"/>
        <w:jc w:val="left"/>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lang w:eastAsia="zh-CN"/>
        </w:rPr>
        <w:t>8.</w:t>
      </w:r>
      <w:r>
        <w:rPr>
          <w:rFonts w:ascii="Times New Roman" w:hAnsi="Times New Roman" w:eastAsia="仿宋_GB2312"/>
          <w:snapToGrid w:val="0"/>
          <w:kern w:val="0"/>
          <w:sz w:val="32"/>
          <w:szCs w:val="32"/>
        </w:rPr>
        <w:t>承办县委、县政府交办的其他事项。</w:t>
      </w:r>
    </w:p>
    <w:p w14:paraId="0ADCE9D7">
      <w:pPr>
        <w:pStyle w:val="6"/>
        <w:rPr>
          <w:rStyle w:val="30"/>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4"/>
      <w:bookmarkEnd w:id="15"/>
    </w:p>
    <w:p w14:paraId="157041F8">
      <w:pPr>
        <w:pStyle w:val="8"/>
        <w:adjustRightInd w:val="0"/>
        <w:snapToGrid w:val="0"/>
        <w:spacing w:before="93" w:line="600" w:lineRule="exact"/>
        <w:ind w:firstLine="672" w:firstLineChars="210"/>
        <w:rPr>
          <w:rFonts w:ascii="Times New Roman" w:cs="仿宋_GB2312"/>
          <w:sz w:val="32"/>
          <w:szCs w:val="32"/>
        </w:rPr>
      </w:pPr>
      <w:r>
        <w:rPr>
          <w:rFonts w:hint="eastAsia" w:ascii="Times New Roman"/>
          <w:bCs/>
          <w:kern w:val="2"/>
          <w:sz w:val="32"/>
        </w:rPr>
        <w:t>松潘县镇江关生态产业园区管委会设6个职能股室。 纳入阿坝州松潘县镇江关生态产业园区管理委员会2024年度部门决算编制范围就一个单位本级。</w:t>
      </w:r>
    </w:p>
    <w:p w14:paraId="3316FCB8">
      <w:pPr>
        <w:pStyle w:val="5"/>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306302F1"/>
    <w:p w14:paraId="34C5C86F">
      <w:pPr>
        <w:pStyle w:val="28"/>
        <w:spacing w:line="600" w:lineRule="exact"/>
        <w:ind w:firstLine="640"/>
        <w:outlineLvl w:val="1"/>
        <w:rPr>
          <w:rStyle w:val="30"/>
          <w:rFonts w:ascii="Times New Roman" w:hAnsi="Times New Roman" w:eastAsia="黑体"/>
          <w:b w:val="0"/>
        </w:rPr>
      </w:pPr>
      <w:bookmarkStart w:id="18" w:name="_Toc15377205"/>
      <w:bookmarkStart w:id="19"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8"/>
      <w:bookmarkEnd w:id="19"/>
    </w:p>
    <w:p w14:paraId="51CB2543">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3039.59</w:t>
      </w:r>
      <w:r>
        <w:rPr>
          <w:rFonts w:hint="eastAsia" w:eastAsia="仿宋_GB2312" w:cs="仿宋_GB2312"/>
          <w:sz w:val="32"/>
          <w:szCs w:val="32"/>
        </w:rPr>
        <w:t>万元。与2023年度相比，收入、支出总计各增加2561.81万元，增长536.2%。主要变动原因是项目支出较多。</w:t>
      </w:r>
    </w:p>
    <w:p w14:paraId="637F29EE">
      <w:pPr>
        <w:ind w:firstLine="640" w:firstLineChars="200"/>
        <w:rPr>
          <w:rFonts w:eastAsia="仿宋_GB2312" w:cs="仿宋_GB2312"/>
          <w:sz w:val="32"/>
          <w:szCs w:val="32"/>
        </w:rPr>
      </w:pPr>
    </w:p>
    <w:p w14:paraId="719C216C">
      <w:pPr>
        <w:pStyle w:val="28"/>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3926969D">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2926.88万元，其中：一般公共预算财政拨款收入2926.88万元，占100%；政府性基金预算财政拨款收入0万元，占0%；国有资本经营预算财政拨款收入0万元，占0%；上级补助收入0万元，占0%；事业收入0万元，占0%；经营收入0万元，占0%；附属单位上缴收入0万元，占0%；其他收入0万元，占0%。</w:t>
      </w:r>
    </w:p>
    <w:p w14:paraId="1418ABC7">
      <w:pPr>
        <w:ind w:firstLine="800" w:firstLineChars="250"/>
        <w:rPr>
          <w:rFonts w:eastAsia="仿宋_GB2312" w:cs="仿宋_GB2312"/>
          <w:sz w:val="32"/>
          <w:szCs w:val="32"/>
        </w:rPr>
      </w:pPr>
    </w:p>
    <w:p w14:paraId="1BF1973B">
      <w:pPr>
        <w:pStyle w:val="28"/>
        <w:spacing w:line="600" w:lineRule="exact"/>
        <w:ind w:firstLine="640"/>
        <w:outlineLvl w:val="1"/>
        <w:rPr>
          <w:rStyle w:val="30"/>
          <w:rFonts w:ascii="Times New Roman" w:hAnsi="Times New Roman" w:eastAsia="黑体"/>
          <w:b w:val="0"/>
        </w:rPr>
      </w:pPr>
      <w:bookmarkStart w:id="22" w:name="_Toc15377207"/>
      <w:bookmarkStart w:id="23" w:name="_Toc15396605"/>
      <w:r>
        <w:rPr>
          <w:rFonts w:hint="eastAsia" w:eastAsia="黑体"/>
          <w:sz w:val="32"/>
          <w:szCs w:val="32"/>
        </w:rPr>
        <w:t>三、支</w:t>
      </w:r>
      <w:r>
        <w:rPr>
          <w:rStyle w:val="30"/>
          <w:rFonts w:hint="eastAsia" w:ascii="Times New Roman" w:hAnsi="Times New Roman" w:eastAsia="黑体"/>
          <w:b w:val="0"/>
        </w:rPr>
        <w:t>出决算情况说明</w:t>
      </w:r>
      <w:bookmarkEnd w:id="22"/>
      <w:bookmarkEnd w:id="23"/>
    </w:p>
    <w:p w14:paraId="14C3E26F">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2024年度本年支出合计3039.59万元，其中：基本支出288.49万元，占9.49%；项目支出2751.1万元，占90.5%；上缴上级支出0万元，占0%；经营支出0万元，占0%；对附属单位补助支出0万元，占0%。</w:t>
      </w:r>
    </w:p>
    <w:p w14:paraId="57A6D86F">
      <w:pPr>
        <w:ind w:firstLine="800" w:firstLineChars="250"/>
        <w:rPr>
          <w:rFonts w:eastAsia="仿宋_GB2312" w:cs="仿宋_GB2312"/>
          <w:sz w:val="32"/>
          <w:szCs w:val="32"/>
        </w:rPr>
      </w:pPr>
    </w:p>
    <w:p w14:paraId="1365E02E">
      <w:pPr>
        <w:spacing w:line="600" w:lineRule="exact"/>
        <w:ind w:firstLine="640" w:firstLineChars="200"/>
        <w:outlineLvl w:val="1"/>
        <w:rPr>
          <w:rStyle w:val="30"/>
          <w:rFonts w:ascii="Times New Roman" w:hAnsi="Times New Roman" w:eastAsia="黑体"/>
          <w:b w:val="0"/>
        </w:rPr>
      </w:pPr>
      <w:bookmarkStart w:id="24" w:name="_Toc15377208"/>
      <w:bookmarkStart w:id="25"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4"/>
      <w:bookmarkEnd w:id="25"/>
    </w:p>
    <w:p w14:paraId="083BEE8E">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3039.59</w:t>
      </w:r>
      <w:r>
        <w:rPr>
          <w:rFonts w:hint="eastAsia" w:eastAsia="仿宋_GB2312" w:cs="仿宋_GB2312"/>
          <w:sz w:val="32"/>
          <w:szCs w:val="32"/>
        </w:rPr>
        <w:t>万元。与2023年度相比，财政拨款收入总计、支出总计各增加2561.81万元，增长536.2%。主要变动原因是项目支出较多。</w:t>
      </w:r>
    </w:p>
    <w:p w14:paraId="5615965D">
      <w:pPr>
        <w:spacing w:line="600" w:lineRule="exact"/>
        <w:ind w:firstLine="640"/>
        <w:rPr>
          <w:rFonts w:eastAsia="仿宋_GB2312" w:cs="仿宋_GB2312"/>
          <w:sz w:val="32"/>
          <w:szCs w:val="32"/>
        </w:rPr>
      </w:pPr>
    </w:p>
    <w:p w14:paraId="3B4B1934">
      <w:pPr>
        <w:spacing w:line="600" w:lineRule="exact"/>
        <w:ind w:firstLine="640" w:firstLineChars="200"/>
        <w:outlineLvl w:val="1"/>
        <w:rPr>
          <w:rStyle w:val="30"/>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6"/>
      <w:bookmarkEnd w:id="27"/>
    </w:p>
    <w:p w14:paraId="2F239FD9">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1A09C69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2024年度一般公共预算财政拨款支出3039.59万元，占本年支出合计的100%。与2023年度相比，一般公共预算财政拨款支出增加</w:t>
      </w:r>
      <w:r>
        <w:rPr>
          <w:rFonts w:hint="eastAsia" w:eastAsia="仿宋_GB2312" w:cs="仿宋_GB2312"/>
          <w:sz w:val="32"/>
          <w:szCs w:val="32"/>
        </w:rPr>
        <w:t>2561.81万元，增长536.2%。主要变动原因是项目支出较多。</w:t>
      </w:r>
    </w:p>
    <w:p w14:paraId="3A255920">
      <w:pPr>
        <w:spacing w:line="600" w:lineRule="exact"/>
        <w:ind w:firstLine="640"/>
        <w:rPr>
          <w:rFonts w:eastAsia="仿宋_GB2312" w:cs="仿宋_GB2312"/>
          <w:sz w:val="32"/>
          <w:szCs w:val="32"/>
        </w:rPr>
      </w:pPr>
    </w:p>
    <w:p w14:paraId="6496C45B">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168B79F5">
      <w:pPr>
        <w:wordWrap w:val="0"/>
        <w:spacing w:line="301" w:lineRule="atLeast"/>
        <w:ind w:firstLine="640" w:firstLineChars="200"/>
        <w:rPr>
          <w:rFonts w:ascii="Helvetica" w:hAnsi="Helvetica" w:cs="Segoe UI"/>
          <w:color w:val="000000"/>
          <w:kern w:val="0"/>
          <w:sz w:val="16"/>
          <w:szCs w:val="16"/>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3039.59万元</w:t>
      </w:r>
      <w:r>
        <w:rPr>
          <w:rFonts w:hint="eastAsia" w:eastAsia="仿宋_GB2312" w:cs="仿宋_GB2312"/>
          <w:sz w:val="32"/>
          <w:szCs w:val="32"/>
        </w:rPr>
        <w:t>，主要用于以下方面：农林水支出1373.67万元，占45.19%；</w:t>
      </w:r>
      <w:r>
        <w:rPr>
          <w:rFonts w:eastAsia="仿宋_GB2312" w:cs="仿宋_GB2312"/>
          <w:sz w:val="32"/>
          <w:szCs w:val="32"/>
        </w:rPr>
        <w:t>资源勘探工业信息等支出</w:t>
      </w:r>
      <w:r>
        <w:rPr>
          <w:rFonts w:hint="eastAsia" w:eastAsia="仿宋_GB2312" w:cs="仿宋_GB2312"/>
          <w:sz w:val="32"/>
          <w:szCs w:val="32"/>
        </w:rPr>
        <w:t>1331.32万元，占43.8%；</w:t>
      </w:r>
      <w:r>
        <w:rPr>
          <w:rFonts w:eastAsia="仿宋_GB2312" w:cs="仿宋_GB2312"/>
          <w:sz w:val="32"/>
          <w:szCs w:val="32"/>
        </w:rPr>
        <w:t>自然资源海洋气象等支出</w:t>
      </w:r>
      <w:r>
        <w:rPr>
          <w:rFonts w:hint="eastAsia" w:eastAsia="仿宋_GB2312" w:cs="仿宋_GB2312"/>
          <w:sz w:val="32"/>
          <w:szCs w:val="32"/>
        </w:rPr>
        <w:t>258.45万元，占8.5%；社会保障和就业支出39.17万元，占1.29%；卫生健康支出15.46万元，占0.51%；住房保障支出21.51万元，占0.71%；……</w:t>
      </w:r>
      <w:r>
        <w:rPr>
          <w:rFonts w:hint="eastAsia" w:eastAsia="仿宋_GB2312" w:cs="仿宋_GB2312"/>
          <w:b/>
          <w:bCs/>
          <w:sz w:val="32"/>
          <w:szCs w:val="32"/>
        </w:rPr>
        <w:t>（注：仅罗列本部门涉及的全部功能分类科目，至类级）</w:t>
      </w:r>
    </w:p>
    <w:p w14:paraId="7C6EB038">
      <w:pPr>
        <w:spacing w:line="600" w:lineRule="exact"/>
        <w:ind w:firstLine="640"/>
        <w:rPr>
          <w:rFonts w:eastAsia="仿宋_GB2312" w:cs="仿宋_GB2312"/>
          <w:sz w:val="32"/>
          <w:szCs w:val="32"/>
        </w:rPr>
      </w:pPr>
    </w:p>
    <w:p w14:paraId="418349D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19150010">
      <w:pPr>
        <w:spacing w:line="600" w:lineRule="exact"/>
        <w:ind w:firstLine="640"/>
        <w:rPr>
          <w:rFonts w:eastAsia="仿宋_GB2312" w:cs="仿宋_GB2312"/>
          <w:sz w:val="32"/>
          <w:szCs w:val="32"/>
        </w:rPr>
      </w:pPr>
      <w:bookmarkStart w:id="31" w:name="_Toc15378460"/>
      <w:bookmarkStart w:id="32" w:name="_Toc15377444"/>
      <w:bookmarkStart w:id="33"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3039.59，</w:t>
      </w:r>
      <w:r>
        <w:rPr>
          <w:rFonts w:hint="eastAsia" w:eastAsia="仿宋_GB2312" w:cs="仿宋_GB2312"/>
          <w:sz w:val="32"/>
          <w:szCs w:val="32"/>
        </w:rPr>
        <w:t>完成预算100%。其中：</w:t>
      </w:r>
      <w:bookmarkEnd w:id="31"/>
      <w:bookmarkEnd w:id="32"/>
      <w:bookmarkEnd w:id="33"/>
    </w:p>
    <w:p w14:paraId="225EC249">
      <w:pPr>
        <w:spacing w:line="600" w:lineRule="exact"/>
        <w:ind w:firstLine="640"/>
        <w:rPr>
          <w:rFonts w:eastAsia="仿宋_GB2312" w:cs="仿宋_GB2312"/>
          <w:sz w:val="32"/>
          <w:szCs w:val="32"/>
        </w:rPr>
      </w:pPr>
      <w:r>
        <w:rPr>
          <w:rFonts w:hint="eastAsia" w:eastAsia="仿宋_GB2312" w:cs="仿宋_GB2312"/>
          <w:sz w:val="32"/>
          <w:szCs w:val="32"/>
        </w:rPr>
        <w:t>1.农林水支出1373.67万元，占45.19%</w:t>
      </w:r>
    </w:p>
    <w:p w14:paraId="1C4598D8">
      <w:pPr>
        <w:spacing w:line="600" w:lineRule="exact"/>
        <w:ind w:firstLine="640"/>
        <w:rPr>
          <w:rFonts w:eastAsia="仿宋_GB2312" w:cs="仿宋_GB2312"/>
          <w:sz w:val="32"/>
          <w:szCs w:val="32"/>
        </w:rPr>
      </w:pPr>
      <w:r>
        <w:rPr>
          <w:rFonts w:hint="eastAsia" w:eastAsia="仿宋_GB2312" w:cs="仿宋_GB2312"/>
          <w:sz w:val="32"/>
          <w:szCs w:val="32"/>
        </w:rPr>
        <w:t>2.</w:t>
      </w:r>
      <w:r>
        <w:rPr>
          <w:rFonts w:eastAsia="仿宋_GB2312" w:cs="仿宋_GB2312"/>
          <w:sz w:val="32"/>
          <w:szCs w:val="32"/>
        </w:rPr>
        <w:t>资源勘探工业信息等支出</w:t>
      </w:r>
      <w:r>
        <w:rPr>
          <w:rFonts w:hint="eastAsia" w:eastAsia="仿宋_GB2312" w:cs="仿宋_GB2312"/>
          <w:sz w:val="32"/>
          <w:szCs w:val="32"/>
        </w:rPr>
        <w:t>1331.32万元，占43.8%</w:t>
      </w:r>
    </w:p>
    <w:p w14:paraId="71B040DF">
      <w:pPr>
        <w:spacing w:line="600" w:lineRule="exact"/>
        <w:ind w:firstLine="640"/>
        <w:rPr>
          <w:rFonts w:eastAsia="仿宋_GB2312" w:cs="仿宋_GB2312"/>
          <w:sz w:val="32"/>
          <w:szCs w:val="32"/>
        </w:rPr>
      </w:pPr>
      <w:r>
        <w:rPr>
          <w:rFonts w:hint="eastAsia" w:eastAsia="仿宋_GB2312" w:cs="仿宋_GB2312"/>
          <w:sz w:val="32"/>
          <w:szCs w:val="32"/>
        </w:rPr>
        <w:t>3.</w:t>
      </w:r>
      <w:r>
        <w:rPr>
          <w:rFonts w:eastAsia="仿宋_GB2312" w:cs="仿宋_GB2312"/>
          <w:sz w:val="32"/>
          <w:szCs w:val="32"/>
        </w:rPr>
        <w:t>自然资源海洋气象等支出</w:t>
      </w:r>
      <w:r>
        <w:rPr>
          <w:rFonts w:hint="eastAsia" w:eastAsia="仿宋_GB2312" w:cs="仿宋_GB2312"/>
          <w:sz w:val="32"/>
          <w:szCs w:val="32"/>
        </w:rPr>
        <w:t>258.45万元，占8.5%</w:t>
      </w:r>
    </w:p>
    <w:p w14:paraId="76CD6206">
      <w:pPr>
        <w:spacing w:line="600" w:lineRule="exact"/>
        <w:ind w:firstLine="640"/>
        <w:rPr>
          <w:rFonts w:eastAsia="仿宋_GB2312" w:cs="仿宋_GB2312"/>
          <w:sz w:val="32"/>
          <w:szCs w:val="32"/>
        </w:rPr>
      </w:pPr>
      <w:r>
        <w:rPr>
          <w:rFonts w:hint="eastAsia" w:eastAsia="仿宋_GB2312" w:cs="仿宋_GB2312"/>
          <w:sz w:val="32"/>
          <w:szCs w:val="32"/>
          <w:lang w:eastAsia="zh-CN"/>
        </w:rPr>
        <w:t>4.</w:t>
      </w:r>
      <w:r>
        <w:rPr>
          <w:rFonts w:hint="eastAsia" w:eastAsia="仿宋_GB2312" w:cs="仿宋_GB2312"/>
          <w:sz w:val="32"/>
          <w:szCs w:val="32"/>
        </w:rPr>
        <w:t>社会保障和就业支出39.17万元，占1.29%；</w:t>
      </w:r>
    </w:p>
    <w:p w14:paraId="350FB7D3">
      <w:pPr>
        <w:spacing w:line="600" w:lineRule="exact"/>
        <w:ind w:firstLine="640"/>
        <w:rPr>
          <w:rFonts w:eastAsia="仿宋_GB2312" w:cs="仿宋_GB2312"/>
          <w:sz w:val="32"/>
          <w:szCs w:val="32"/>
        </w:rPr>
      </w:pPr>
      <w:r>
        <w:rPr>
          <w:rFonts w:hint="eastAsia" w:eastAsia="仿宋_GB2312" w:cs="仿宋_GB2312"/>
          <w:sz w:val="32"/>
          <w:szCs w:val="32"/>
        </w:rPr>
        <w:t>5.卫生健康支出15.46万元，占0.51%；</w:t>
      </w:r>
    </w:p>
    <w:p w14:paraId="0F6598F8">
      <w:pPr>
        <w:spacing w:line="600" w:lineRule="exact"/>
        <w:ind w:firstLine="640"/>
        <w:rPr>
          <w:rFonts w:eastAsia="仿宋_GB2312" w:cs="仿宋_GB2312"/>
          <w:sz w:val="32"/>
          <w:szCs w:val="32"/>
        </w:rPr>
      </w:pPr>
      <w:r>
        <w:rPr>
          <w:rFonts w:hint="eastAsia" w:eastAsia="仿宋_GB2312" w:cs="仿宋_GB2312"/>
          <w:sz w:val="32"/>
          <w:szCs w:val="32"/>
        </w:rPr>
        <w:t>6.住房保障支出21.51万元，占0.71%。</w:t>
      </w:r>
    </w:p>
    <w:p w14:paraId="15999742">
      <w:pPr>
        <w:tabs>
          <w:tab w:val="right" w:pos="8306"/>
        </w:tabs>
        <w:spacing w:line="600" w:lineRule="exact"/>
        <w:ind w:firstLine="640"/>
        <w:outlineLvl w:val="1"/>
        <w:rPr>
          <w:rStyle w:val="30"/>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4"/>
      <w:bookmarkEnd w:id="35"/>
      <w:r>
        <w:rPr>
          <w:rStyle w:val="30"/>
          <w:rFonts w:ascii="Times New Roman" w:hAnsi="Times New Roman" w:eastAsia="黑体"/>
          <w:b w:val="0"/>
        </w:rPr>
        <w:tab/>
      </w:r>
    </w:p>
    <w:p w14:paraId="020CC5B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288.49万</w:t>
      </w:r>
      <w:r>
        <w:rPr>
          <w:rFonts w:hint="eastAsia" w:eastAsia="仿宋_GB2312" w:cs="仿宋_GB2312"/>
          <w:sz w:val="32"/>
          <w:szCs w:val="32"/>
        </w:rPr>
        <w:t>元，其中：</w:t>
      </w:r>
    </w:p>
    <w:p w14:paraId="0E9DDB7F">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262.59万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25.89万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A09B082">
      <w:pPr>
        <w:spacing w:line="600" w:lineRule="exact"/>
        <w:ind w:firstLine="640"/>
        <w:rPr>
          <w:rFonts w:eastAsia="仿宋_GB2312" w:cs="仿宋_GB2312"/>
          <w:b/>
          <w:bCs/>
          <w:sz w:val="32"/>
          <w:szCs w:val="32"/>
        </w:rPr>
      </w:pPr>
      <w:r>
        <w:rPr>
          <w:rFonts w:hint="eastAsia" w:eastAsia="仿宋_GB2312" w:cs="仿宋_GB2312"/>
          <w:b/>
          <w:bCs/>
          <w:sz w:val="32"/>
          <w:szCs w:val="32"/>
        </w:rPr>
        <w:t>（注：仅罗列本部门实际支出涉及的经济分类科目）</w:t>
      </w:r>
    </w:p>
    <w:p w14:paraId="1CAEB744">
      <w:pPr>
        <w:spacing w:line="600" w:lineRule="exact"/>
        <w:ind w:firstLine="640"/>
        <w:rPr>
          <w:rFonts w:eastAsia="仿宋_GB2312" w:cs="仿宋_GB2312"/>
          <w:sz w:val="32"/>
          <w:szCs w:val="32"/>
        </w:rPr>
      </w:pPr>
    </w:p>
    <w:p w14:paraId="1971FC6B">
      <w:pPr>
        <w:spacing w:line="600" w:lineRule="exact"/>
        <w:ind w:firstLine="640"/>
        <w:outlineLvl w:val="1"/>
        <w:rPr>
          <w:rStyle w:val="30"/>
          <w:rFonts w:ascii="Times New Roman" w:hAnsi="Times New Roman" w:eastAsia="黑体"/>
          <w:b w:val="0"/>
        </w:rPr>
      </w:pPr>
      <w:bookmarkStart w:id="36" w:name="_Toc15396609"/>
      <w:bookmarkStart w:id="37"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6"/>
      <w:bookmarkEnd w:id="37"/>
    </w:p>
    <w:p w14:paraId="132EBFD9">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3D92F280">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2.73万元，完成预算90.7%，</w:t>
      </w:r>
      <w:r>
        <w:rPr>
          <w:rFonts w:hint="eastAsia" w:eastAsia="仿宋_GB2312" w:cs="仿宋_GB2312"/>
          <w:sz w:val="32"/>
          <w:szCs w:val="32"/>
        </w:rPr>
        <w:t>较上年度减少0.13万元，下降4.55%。</w:t>
      </w:r>
      <w:r>
        <w:rPr>
          <w:rFonts w:hint="eastAsia" w:ascii="仿宋" w:hAnsi="仿宋" w:eastAsia="仿宋"/>
          <w:sz w:val="32"/>
          <w:szCs w:val="32"/>
        </w:rPr>
        <w:t>决算数小于预算数的主要原因是厉行节约。</w:t>
      </w:r>
    </w:p>
    <w:p w14:paraId="086543EA">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3EF8F09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2024年度“三公”经费财政拨款支出决算中，公务用车购置及运行维护费支出决算2.73万元，占90.7%。具体情况如下：</w:t>
      </w:r>
    </w:p>
    <w:p w14:paraId="29304612">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5ECFF1DC">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2.73万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公务用车购置及运行维护费支出决算比2023年度减少0.13万元，下降4.55%。</w:t>
      </w:r>
      <w:r>
        <w:rPr>
          <w:rFonts w:hint="eastAsia" w:ascii="仿宋_GB2312" w:eastAsia="仿宋_GB2312"/>
          <w:sz w:val="32"/>
          <w:szCs w:val="32"/>
        </w:rPr>
        <w:t>主要原因是</w:t>
      </w:r>
      <w:r>
        <w:rPr>
          <w:rFonts w:hint="eastAsia" w:ascii="仿宋" w:hAnsi="仿宋" w:eastAsia="仿宋"/>
          <w:sz w:val="32"/>
          <w:szCs w:val="32"/>
        </w:rPr>
        <w:t>厉行节约</w:t>
      </w:r>
      <w:r>
        <w:rPr>
          <w:rFonts w:hint="eastAsia" w:ascii="仿宋_GB2312" w:eastAsia="仿宋_GB2312"/>
          <w:sz w:val="32"/>
          <w:szCs w:val="32"/>
        </w:rPr>
        <w:t>。</w:t>
      </w:r>
    </w:p>
    <w:p w14:paraId="35A1304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万元。全年按规定更新购置公务用车0辆，其中：轿车0辆、金额0万元，越野车0辆、金额0万元，载客汽车0辆、金额0万元。截至2024年12月31日，单位共有公务用车1辆，其中：轿车0辆、越野车1辆、载客汽车0辆。</w:t>
      </w:r>
    </w:p>
    <w:p w14:paraId="0F2D658A">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出2.73</w:t>
      </w:r>
      <w:r>
        <w:rPr>
          <w:rFonts w:hint="eastAsia" w:eastAsia="仿宋_GB2312" w:cs="仿宋_GB2312"/>
          <w:sz w:val="32"/>
          <w:szCs w:val="32"/>
        </w:rPr>
        <w:t>万元。主要用于……（具体工作）所需的公务用车燃料费、维修费、过路过桥费、保险费等支出。</w:t>
      </w:r>
    </w:p>
    <w:p w14:paraId="6F5073BB">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公务接待费支出决算比2023年度增加/减少0万元，增长/下降0%。</w:t>
      </w:r>
    </w:p>
    <w:p w14:paraId="25DC0FA7">
      <w:pPr>
        <w:spacing w:line="600" w:lineRule="exact"/>
        <w:ind w:firstLine="640"/>
        <w:rPr>
          <w:rFonts w:eastAsia="仿宋_GB2312" w:cs="仿宋_GB2312"/>
          <w:sz w:val="32"/>
          <w:szCs w:val="32"/>
        </w:rPr>
      </w:pPr>
      <w:bookmarkStart w:id="40" w:name="_Toc15396610"/>
      <w:bookmarkStart w:id="41" w:name="_Toc15377218"/>
    </w:p>
    <w:p w14:paraId="1B6286F6">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40"/>
      <w:bookmarkEnd w:id="41"/>
    </w:p>
    <w:p w14:paraId="1F71EB6E">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14:paraId="384259AF">
      <w:pPr>
        <w:spacing w:line="600" w:lineRule="exact"/>
        <w:ind w:firstLine="640"/>
        <w:rPr>
          <w:rFonts w:eastAsia="仿宋_GB2312" w:cs="仿宋_GB2312"/>
          <w:sz w:val="32"/>
          <w:szCs w:val="32"/>
        </w:rPr>
      </w:pPr>
    </w:p>
    <w:p w14:paraId="2E1ADCFB">
      <w:pPr>
        <w:spacing w:line="600" w:lineRule="exact"/>
        <w:ind w:left="630"/>
        <w:outlineLvl w:val="1"/>
        <w:rPr>
          <w:rStyle w:val="30"/>
          <w:rFonts w:ascii="Times New Roman" w:hAnsi="Times New Roman" w:eastAsia="黑体"/>
          <w:b w:val="0"/>
        </w:rPr>
      </w:pPr>
      <w:bookmarkStart w:id="42" w:name="_Toc15377219"/>
      <w:bookmarkStart w:id="43" w:name="_Toc15396611"/>
      <w:r>
        <w:rPr>
          <w:rStyle w:val="30"/>
          <w:rFonts w:hint="eastAsia" w:ascii="Times New Roman" w:hAnsi="Times New Roman" w:eastAsia="黑体"/>
          <w:b w:val="0"/>
        </w:rPr>
        <w:t>九、国有资本经营预算支出决算情况说明</w:t>
      </w:r>
      <w:bookmarkEnd w:id="42"/>
      <w:bookmarkEnd w:id="43"/>
    </w:p>
    <w:p w14:paraId="694FBF89">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64057B48">
      <w:pPr>
        <w:spacing w:line="600" w:lineRule="exact"/>
        <w:ind w:left="630"/>
        <w:outlineLvl w:val="1"/>
        <w:rPr>
          <w:rStyle w:val="30"/>
          <w:rFonts w:ascii="Times New Roman" w:hAnsi="Times New Roman" w:eastAsia="黑体"/>
          <w:b w:val="0"/>
        </w:rPr>
      </w:pPr>
      <w:bookmarkStart w:id="44" w:name="_Toc15396612"/>
      <w:bookmarkStart w:id="45" w:name="_Toc15377221"/>
      <w:r>
        <w:rPr>
          <w:rStyle w:val="30"/>
          <w:rFonts w:hint="eastAsia" w:ascii="Times New Roman" w:hAnsi="Times New Roman" w:eastAsia="黑体"/>
          <w:b w:val="0"/>
        </w:rPr>
        <w:t>十、其他重要事项的情况说明</w:t>
      </w:r>
      <w:bookmarkEnd w:id="44"/>
      <w:bookmarkEnd w:id="45"/>
    </w:p>
    <w:p w14:paraId="6A0E8A3D">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5F73955C">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，松潘县镇江关生态产业园区管理委员会机关运行经费支出0万</w:t>
      </w:r>
      <w:r>
        <w:rPr>
          <w:rFonts w:hint="eastAsia" w:eastAsia="仿宋_GB2312" w:cs="仿宋_GB2312"/>
          <w:sz w:val="32"/>
          <w:szCs w:val="32"/>
        </w:rPr>
        <w:t>元，比2023年度增加0万元，增长0%。</w:t>
      </w:r>
    </w:p>
    <w:p w14:paraId="7863D5A9">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3523C75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2024年度，松潘县镇江关生态产业园区管理委员会政府采购支出总额60.71万元，其中：政府采购货物支出0万元、政府采购工程支出0万元、政府采购服务支出60.71万元。</w:t>
      </w:r>
    </w:p>
    <w:p w14:paraId="06680521">
      <w:pPr>
        <w:spacing w:line="600" w:lineRule="exact"/>
        <w:ind w:firstLine="640"/>
        <w:rPr>
          <w:rFonts w:eastAsia="仿宋_GB2312" w:cs="仿宋_GB2312"/>
          <w:sz w:val="32"/>
          <w:szCs w:val="32"/>
        </w:rPr>
      </w:pPr>
    </w:p>
    <w:p w14:paraId="3BF6FC03">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1EDF4EC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截至2024年12月31日，松潘县镇江关生态产业园区管理委员会共有车辆1辆，其中：主要负责人用车0辆、机要通信用车0辆、应急保障用车0辆、其他用车1辆，</w:t>
      </w:r>
      <w:r>
        <w:rPr>
          <w:rFonts w:hint="eastAsia" w:ascii="仿宋_GB2312" w:hAnsi="仿宋_GB2312" w:eastAsia="仿宋_GB2312" w:cs="仿宋_GB2312"/>
          <w:sz w:val="32"/>
          <w:szCs w:val="32"/>
          <w:lang w:eastAsia="zh-CN"/>
        </w:rPr>
        <w:t>其他</w:t>
      </w:r>
      <w:r>
        <w:rPr>
          <w:rFonts w:hint="eastAsia" w:ascii="仿宋_GB2312" w:eastAsia="仿宋_GB2312"/>
          <w:sz w:val="32"/>
          <w:szCs w:val="32"/>
        </w:rPr>
        <w:t>用车</w:t>
      </w:r>
      <w:r>
        <w:rPr>
          <w:rFonts w:hint="eastAsia" w:ascii="仿宋_GB2312" w:eastAsia="仿宋_GB2312"/>
          <w:sz w:val="32"/>
          <w:szCs w:val="32"/>
          <w:lang w:eastAsia="zh-CN"/>
        </w:rPr>
        <w:t>主要</w:t>
      </w:r>
      <w:r>
        <w:rPr>
          <w:rFonts w:hint="eastAsia" w:ascii="仿宋_GB2312" w:eastAsia="仿宋_GB2312"/>
          <w:sz w:val="32"/>
          <w:szCs w:val="32"/>
        </w:rPr>
        <w:t>用于日常办公。</w:t>
      </w:r>
    </w:p>
    <w:p w14:paraId="609133BD">
      <w:pPr>
        <w:spacing w:line="600" w:lineRule="exact"/>
        <w:ind w:firstLine="640"/>
        <w:rPr>
          <w:rFonts w:eastAsia="仿宋_GB2312" w:cs="仿宋_GB2312"/>
          <w:sz w:val="32"/>
          <w:szCs w:val="32"/>
        </w:rPr>
      </w:pPr>
    </w:p>
    <w:p w14:paraId="43740B3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B727FC5">
      <w:pPr>
        <w:spacing w:line="600" w:lineRule="exact"/>
        <w:ind w:firstLine="640"/>
        <w:rPr>
          <w:rFonts w:eastAsia="仿宋_GB2312" w:cs="仿宋_GB2312"/>
          <w:sz w:val="32"/>
          <w:szCs w:val="32"/>
        </w:rPr>
      </w:pPr>
      <w:r>
        <w:rPr>
          <w:rFonts w:hint="eastAsia" w:eastAsia="仿宋_GB2312" w:cs="仿宋_GB2312"/>
          <w:sz w:val="32"/>
          <w:szCs w:val="32"/>
        </w:rPr>
        <w:t>根据预算绩效管理要求，本部门在2024年度预算编制阶段，组织对2024年度一般公共预算、政府性基金预算、国有资本经营预算、社会保险基金预算以及资本资产、债券资金等全面开展绩效自评，形成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松潘县镇江关生态产业园区管理委员会部门</w:t>
      </w:r>
      <w:r>
        <w:rPr>
          <w:rFonts w:hint="eastAsia" w:eastAsia="仿宋_GB2312" w:cs="仿宋_GB2312"/>
          <w:sz w:val="32"/>
          <w:szCs w:val="32"/>
        </w:rPr>
        <w:t>整体（含部门预算项目）绩效自评报告。</w:t>
      </w:r>
    </w:p>
    <w:p w14:paraId="6FF8B685">
      <w:pPr>
        <w:spacing w:line="600" w:lineRule="exact"/>
        <w:ind w:firstLine="640"/>
        <w:rPr>
          <w:rFonts w:eastAsia="仿宋_GB2312" w:cs="仿宋_GB2312"/>
          <w:sz w:val="32"/>
          <w:szCs w:val="32"/>
        </w:rPr>
      </w:pPr>
    </w:p>
    <w:p w14:paraId="45EF078C">
      <w:pPr>
        <w:spacing w:line="600" w:lineRule="exact"/>
        <w:ind w:firstLine="640"/>
        <w:rPr>
          <w:rFonts w:eastAsia="仿宋_GB2312" w:cs="仿宋_GB2312"/>
          <w:sz w:val="32"/>
          <w:szCs w:val="32"/>
        </w:rPr>
      </w:pPr>
    </w:p>
    <w:p w14:paraId="650AF7F6">
      <w:pPr>
        <w:spacing w:line="600" w:lineRule="exact"/>
        <w:jc w:val="center"/>
        <w:outlineLvl w:val="0"/>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14:paraId="1EA5F669">
      <w:pPr>
        <w:spacing w:line="600" w:lineRule="exact"/>
        <w:jc w:val="left"/>
        <w:rPr>
          <w:b/>
          <w:sz w:val="44"/>
          <w:szCs w:val="44"/>
        </w:rPr>
      </w:pPr>
    </w:p>
    <w:p w14:paraId="21A44336">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057BE79">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2.事业收入：指事业单位开展专业业务活动及辅助活动取得的收入。如……（二级预算单位事业收入情况）等。</w:t>
      </w:r>
    </w:p>
    <w:p w14:paraId="5735ACC9">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3.经营收入：指事业单位在专业业务活动及其辅助活动之外开展非独立核算经营活动取得的收入。如……（二级预算单位经营收入情况）等。</w:t>
      </w:r>
    </w:p>
    <w:p w14:paraId="522EA86D">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4.其他收入：指单位取得的除上述收入以外的各项收入。主要是……（收入类型）等。 </w:t>
      </w:r>
    </w:p>
    <w:p w14:paraId="10B383E6">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7577A13D">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77508D4">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54DE28CF">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345477FD">
      <w:pPr>
        <w:spacing w:line="600" w:lineRule="exact"/>
        <w:ind w:firstLine="640"/>
        <w:rPr>
          <w:rFonts w:eastAsia="仿宋_GB2312" w:cs="仿宋_GB2312"/>
          <w:sz w:val="32"/>
          <w:szCs w:val="32"/>
        </w:rPr>
      </w:pPr>
      <w:r>
        <w:rPr>
          <w:rFonts w:hint="eastAsia" w:eastAsia="仿宋_GB2312" w:cs="仿宋_GB2312"/>
          <w:sz w:val="32"/>
          <w:szCs w:val="32"/>
        </w:rPr>
        <w:t>9.一般公共服务（类）……（款）……（项）：指……</w:t>
      </w:r>
    </w:p>
    <w:p w14:paraId="20FDB97C">
      <w:pPr>
        <w:spacing w:line="600" w:lineRule="exact"/>
        <w:ind w:firstLine="640"/>
        <w:rPr>
          <w:rFonts w:eastAsia="仿宋_GB2312" w:cs="仿宋_GB2312"/>
          <w:sz w:val="32"/>
          <w:szCs w:val="32"/>
        </w:rPr>
      </w:pPr>
      <w:r>
        <w:rPr>
          <w:rFonts w:hint="eastAsia" w:eastAsia="仿宋_GB2312" w:cs="仿宋_GB2312"/>
          <w:sz w:val="32"/>
          <w:szCs w:val="32"/>
        </w:rPr>
        <w:t>10.外交（类）……（款）……（项）：指……</w:t>
      </w:r>
    </w:p>
    <w:p w14:paraId="3ACA2F8D">
      <w:pPr>
        <w:spacing w:line="600" w:lineRule="exact"/>
        <w:ind w:firstLine="640"/>
        <w:rPr>
          <w:rFonts w:eastAsia="仿宋_GB2312" w:cs="仿宋_GB2312"/>
          <w:sz w:val="32"/>
          <w:szCs w:val="32"/>
        </w:rPr>
      </w:pPr>
      <w:r>
        <w:rPr>
          <w:rFonts w:hint="eastAsia" w:eastAsia="仿宋_GB2312" w:cs="仿宋_GB2312"/>
          <w:sz w:val="32"/>
          <w:szCs w:val="32"/>
        </w:rPr>
        <w:t>11.公共安全（类）……（款）……（项）：指……</w:t>
      </w:r>
    </w:p>
    <w:p w14:paraId="54FCC9C7">
      <w:pPr>
        <w:spacing w:line="600" w:lineRule="exact"/>
        <w:ind w:firstLine="640"/>
        <w:rPr>
          <w:rFonts w:eastAsia="仿宋_GB2312" w:cs="仿宋_GB2312"/>
          <w:sz w:val="32"/>
          <w:szCs w:val="32"/>
        </w:rPr>
      </w:pPr>
      <w:r>
        <w:rPr>
          <w:rFonts w:hint="eastAsia" w:eastAsia="仿宋_GB2312" w:cs="仿宋_GB2312"/>
          <w:sz w:val="32"/>
          <w:szCs w:val="32"/>
        </w:rPr>
        <w:t>12.教育（类）……（款）……（项）：指……</w:t>
      </w:r>
    </w:p>
    <w:p w14:paraId="23BE205D">
      <w:pPr>
        <w:spacing w:line="600" w:lineRule="exact"/>
        <w:ind w:firstLine="640"/>
        <w:rPr>
          <w:rFonts w:eastAsia="仿宋_GB2312" w:cs="仿宋_GB2312"/>
          <w:sz w:val="32"/>
          <w:szCs w:val="32"/>
        </w:rPr>
      </w:pPr>
      <w:r>
        <w:rPr>
          <w:rFonts w:hint="eastAsia" w:eastAsia="仿宋_GB2312" w:cs="仿宋_GB2312"/>
          <w:sz w:val="32"/>
          <w:szCs w:val="32"/>
        </w:rPr>
        <w:t>13.科学技术（类）……（款）……（项）：指……</w:t>
      </w:r>
    </w:p>
    <w:p w14:paraId="7715E777">
      <w:pPr>
        <w:spacing w:line="600" w:lineRule="exact"/>
        <w:ind w:firstLine="640"/>
        <w:rPr>
          <w:rFonts w:eastAsia="仿宋_GB2312" w:cs="仿宋_GB2312"/>
          <w:sz w:val="32"/>
          <w:szCs w:val="32"/>
        </w:rPr>
      </w:pPr>
      <w:r>
        <w:rPr>
          <w:rFonts w:hint="eastAsia" w:eastAsia="仿宋_GB2312" w:cs="仿宋_GB2312"/>
          <w:sz w:val="32"/>
          <w:szCs w:val="32"/>
        </w:rPr>
        <w:t>14.文化旅游体育与传媒（类）……（款）……（项）：指……</w:t>
      </w:r>
    </w:p>
    <w:p w14:paraId="779EC51E">
      <w:pPr>
        <w:spacing w:line="600" w:lineRule="exact"/>
        <w:ind w:firstLine="640"/>
        <w:rPr>
          <w:rFonts w:eastAsia="仿宋_GB2312" w:cs="仿宋_GB2312"/>
          <w:sz w:val="32"/>
          <w:szCs w:val="32"/>
        </w:rPr>
      </w:pPr>
      <w:r>
        <w:rPr>
          <w:rFonts w:hint="eastAsia" w:eastAsia="仿宋_GB2312" w:cs="仿宋_GB2312"/>
          <w:sz w:val="32"/>
          <w:szCs w:val="32"/>
        </w:rPr>
        <w:t>15.社会保障和就业（类）……（款）……（项）：指……</w:t>
      </w:r>
    </w:p>
    <w:p w14:paraId="233327F0">
      <w:pPr>
        <w:spacing w:line="600" w:lineRule="exact"/>
        <w:ind w:firstLine="640"/>
        <w:rPr>
          <w:rFonts w:eastAsia="仿宋_GB2312" w:cs="仿宋_GB2312"/>
          <w:sz w:val="32"/>
          <w:szCs w:val="32"/>
        </w:rPr>
      </w:pPr>
      <w:r>
        <w:rPr>
          <w:rFonts w:hint="eastAsia" w:eastAsia="仿宋_GB2312" w:cs="仿宋_GB2312"/>
          <w:sz w:val="32"/>
          <w:szCs w:val="32"/>
        </w:rPr>
        <w:t>16.卫生健康（类）……（款）……（项）：指……</w:t>
      </w:r>
    </w:p>
    <w:p w14:paraId="0B0A0277">
      <w:pPr>
        <w:spacing w:line="600" w:lineRule="exact"/>
        <w:ind w:firstLine="640"/>
        <w:rPr>
          <w:rFonts w:eastAsia="仿宋_GB2312" w:cs="仿宋_GB2312"/>
          <w:sz w:val="32"/>
          <w:szCs w:val="32"/>
        </w:rPr>
      </w:pPr>
      <w:r>
        <w:rPr>
          <w:rFonts w:hint="eastAsia" w:eastAsia="仿宋_GB2312" w:cs="仿宋_GB2312"/>
          <w:sz w:val="32"/>
          <w:szCs w:val="32"/>
        </w:rPr>
        <w:t>17.节能环保（类）……（款）……（项）：指……</w:t>
      </w:r>
    </w:p>
    <w:p w14:paraId="5A444190">
      <w:pPr>
        <w:spacing w:line="600" w:lineRule="exact"/>
        <w:ind w:firstLine="640"/>
        <w:rPr>
          <w:rFonts w:eastAsia="仿宋_GB2312" w:cs="仿宋_GB2312"/>
          <w:sz w:val="32"/>
          <w:szCs w:val="32"/>
        </w:rPr>
      </w:pPr>
      <w:r>
        <w:rPr>
          <w:rFonts w:hint="eastAsia" w:eastAsia="仿宋_GB2312" w:cs="仿宋_GB2312"/>
          <w:sz w:val="32"/>
          <w:szCs w:val="32"/>
        </w:rPr>
        <w:t>18.城乡社区（类）……（款）……（项）：指……</w:t>
      </w:r>
    </w:p>
    <w:p w14:paraId="214BF695">
      <w:pPr>
        <w:spacing w:line="600" w:lineRule="exact"/>
        <w:ind w:firstLine="640"/>
        <w:rPr>
          <w:rFonts w:eastAsia="仿宋_GB2312" w:cs="仿宋_GB2312"/>
          <w:sz w:val="32"/>
          <w:szCs w:val="32"/>
        </w:rPr>
      </w:pPr>
      <w:r>
        <w:rPr>
          <w:rFonts w:hint="eastAsia" w:eastAsia="仿宋_GB2312" w:cs="仿宋_GB2312"/>
          <w:sz w:val="32"/>
          <w:szCs w:val="32"/>
        </w:rPr>
        <w:t>19.农林水（类）……（款）……（项）：指……</w:t>
      </w:r>
    </w:p>
    <w:p w14:paraId="33ECF3FB">
      <w:pPr>
        <w:spacing w:line="600" w:lineRule="exact"/>
        <w:ind w:firstLine="640"/>
        <w:rPr>
          <w:rFonts w:eastAsia="仿宋_GB2312" w:cs="仿宋_GB2312"/>
          <w:sz w:val="32"/>
          <w:szCs w:val="32"/>
        </w:rPr>
      </w:pPr>
      <w:r>
        <w:rPr>
          <w:rFonts w:hint="eastAsia" w:eastAsia="仿宋_GB2312" w:cs="仿宋_GB2312"/>
          <w:sz w:val="32"/>
          <w:szCs w:val="32"/>
        </w:rPr>
        <w:t>20.交通运输（类）……（款）……（项）：指……</w:t>
      </w:r>
    </w:p>
    <w:p w14:paraId="22203505">
      <w:pPr>
        <w:spacing w:line="600" w:lineRule="exact"/>
        <w:ind w:firstLine="640"/>
        <w:rPr>
          <w:rFonts w:eastAsia="仿宋_GB2312" w:cs="仿宋_GB2312"/>
          <w:sz w:val="32"/>
          <w:szCs w:val="32"/>
        </w:rPr>
      </w:pPr>
      <w:r>
        <w:rPr>
          <w:rFonts w:hint="eastAsia" w:eastAsia="仿宋_GB2312" w:cs="仿宋_GB2312"/>
          <w:sz w:val="32"/>
          <w:szCs w:val="32"/>
        </w:rPr>
        <w:t>21.资源勘探工业信息等（类）……（款）……（项）：指……</w:t>
      </w:r>
    </w:p>
    <w:p w14:paraId="4CF46ED9">
      <w:pPr>
        <w:spacing w:line="600" w:lineRule="exact"/>
        <w:ind w:firstLine="640"/>
        <w:rPr>
          <w:rFonts w:eastAsia="仿宋_GB2312" w:cs="仿宋_GB2312"/>
          <w:sz w:val="32"/>
          <w:szCs w:val="32"/>
        </w:rPr>
      </w:pPr>
      <w:r>
        <w:rPr>
          <w:rFonts w:hint="eastAsia" w:eastAsia="仿宋_GB2312" w:cs="仿宋_GB2312"/>
          <w:sz w:val="32"/>
          <w:szCs w:val="32"/>
        </w:rPr>
        <w:t>22.商业服务业（类）……（款）……（项）：指……</w:t>
      </w:r>
    </w:p>
    <w:p w14:paraId="776500F0">
      <w:pPr>
        <w:spacing w:line="600" w:lineRule="exact"/>
        <w:ind w:firstLine="640"/>
        <w:rPr>
          <w:rFonts w:eastAsia="仿宋_GB2312" w:cs="仿宋_GB2312"/>
          <w:sz w:val="32"/>
          <w:szCs w:val="32"/>
        </w:rPr>
      </w:pPr>
      <w:r>
        <w:rPr>
          <w:rFonts w:hint="eastAsia" w:eastAsia="仿宋_GB2312" w:cs="仿宋_GB2312"/>
          <w:sz w:val="32"/>
          <w:szCs w:val="32"/>
        </w:rPr>
        <w:t>23.金融（类）……（款）……（项）：指……</w:t>
      </w:r>
    </w:p>
    <w:p w14:paraId="45960E99">
      <w:pPr>
        <w:spacing w:line="600" w:lineRule="exact"/>
        <w:ind w:firstLine="640"/>
        <w:rPr>
          <w:rFonts w:eastAsia="仿宋_GB2312" w:cs="仿宋_GB2312"/>
          <w:sz w:val="32"/>
          <w:szCs w:val="32"/>
        </w:rPr>
      </w:pPr>
      <w:r>
        <w:rPr>
          <w:rFonts w:hint="eastAsia" w:eastAsia="仿宋_GB2312" w:cs="仿宋_GB2312"/>
          <w:sz w:val="32"/>
          <w:szCs w:val="32"/>
        </w:rPr>
        <w:t>24.自然资源海洋气象等（类）……（款）……（项）：指……</w:t>
      </w:r>
    </w:p>
    <w:p w14:paraId="33EE12E0">
      <w:pPr>
        <w:spacing w:line="600" w:lineRule="exact"/>
        <w:ind w:firstLine="640"/>
        <w:rPr>
          <w:rFonts w:eastAsia="仿宋_GB2312" w:cs="仿宋_GB2312"/>
          <w:sz w:val="32"/>
          <w:szCs w:val="32"/>
        </w:rPr>
      </w:pPr>
      <w:r>
        <w:rPr>
          <w:rFonts w:hint="eastAsia" w:eastAsia="仿宋_GB2312" w:cs="仿宋_GB2312"/>
          <w:sz w:val="32"/>
          <w:szCs w:val="32"/>
        </w:rPr>
        <w:t>25.住房保障（类）……（款）……（项）：指……</w:t>
      </w:r>
    </w:p>
    <w:p w14:paraId="7E26DEFE">
      <w:pPr>
        <w:spacing w:line="600" w:lineRule="exact"/>
        <w:ind w:firstLine="640"/>
        <w:rPr>
          <w:rFonts w:eastAsia="仿宋_GB2312" w:cs="仿宋_GB2312"/>
          <w:sz w:val="32"/>
          <w:szCs w:val="32"/>
        </w:rPr>
      </w:pPr>
      <w:r>
        <w:rPr>
          <w:rFonts w:hint="eastAsia" w:eastAsia="仿宋_GB2312" w:cs="仿宋_GB2312"/>
          <w:sz w:val="32"/>
          <w:szCs w:val="32"/>
        </w:rPr>
        <w:t>26.粮油物资储备（类）……（款）……（项）：指……</w:t>
      </w:r>
    </w:p>
    <w:p w14:paraId="3C99BBC0">
      <w:pPr>
        <w:spacing w:line="600" w:lineRule="exact"/>
        <w:ind w:firstLine="640"/>
        <w:rPr>
          <w:rFonts w:eastAsia="仿宋_GB2312" w:cs="仿宋_GB2312"/>
          <w:sz w:val="32"/>
          <w:szCs w:val="32"/>
        </w:rPr>
      </w:pPr>
      <w:r>
        <w:rPr>
          <w:rFonts w:hint="eastAsia" w:eastAsia="仿宋_GB2312" w:cs="仿宋_GB2312"/>
          <w:sz w:val="32"/>
          <w:szCs w:val="32"/>
        </w:rPr>
        <w:t>……</w:t>
      </w:r>
    </w:p>
    <w:p w14:paraId="09AEAB3A">
      <w:pPr>
        <w:spacing w:line="600" w:lineRule="exact"/>
        <w:ind w:firstLine="640"/>
        <w:rPr>
          <w:rFonts w:eastAsia="仿宋_GB2312" w:cs="仿宋_GB2312"/>
          <w:sz w:val="32"/>
          <w:szCs w:val="32"/>
        </w:rPr>
      </w:pPr>
      <w:r>
        <w:rPr>
          <w:rFonts w:hint="eastAsia" w:eastAsia="仿宋_GB2312" w:cs="仿宋_GB2312"/>
          <w:b/>
          <w:bCs/>
          <w:sz w:val="32"/>
          <w:szCs w:val="32"/>
        </w:rPr>
        <w:t>（注：解释本部门决算报表中涉及的全部功能分类科目至项级，不涉及的科目请自行删除。请参照《2024年政府收支分类科目》增减内容）</w:t>
      </w:r>
    </w:p>
    <w:p w14:paraId="67B46F19">
      <w:pPr>
        <w:spacing w:line="600" w:lineRule="exact"/>
        <w:ind w:firstLine="640"/>
        <w:rPr>
          <w:rFonts w:eastAsia="仿宋_GB2312" w:cs="仿宋_GB2312"/>
          <w:sz w:val="32"/>
          <w:szCs w:val="32"/>
        </w:rPr>
      </w:pPr>
      <w:r>
        <w:rPr>
          <w:rFonts w:hint="eastAsia" w:eastAsia="仿宋_GB2312" w:cs="仿宋_GB2312"/>
          <w:sz w:val="32"/>
          <w:szCs w:val="32"/>
        </w:rPr>
        <w:t>27.基本支出：指为保障机构正常运转、完成日常工作任务而发生的人员支出和公用支出。</w:t>
      </w:r>
    </w:p>
    <w:p w14:paraId="64E4203E">
      <w:pPr>
        <w:spacing w:line="600" w:lineRule="exact"/>
        <w:ind w:firstLine="640"/>
        <w:rPr>
          <w:rFonts w:eastAsia="仿宋_GB2312" w:cs="仿宋_GB2312"/>
          <w:sz w:val="32"/>
          <w:szCs w:val="32"/>
        </w:rPr>
      </w:pPr>
      <w:r>
        <w:rPr>
          <w:rFonts w:hint="eastAsia" w:eastAsia="仿宋_GB2312" w:cs="仿宋_GB2312"/>
          <w:sz w:val="32"/>
          <w:szCs w:val="32"/>
        </w:rPr>
        <w:t xml:space="preserve">28.项目支出：指在基本支出之外为完成特定行政任务和事业发展目标所发生的支出。 </w:t>
      </w:r>
    </w:p>
    <w:p w14:paraId="36962CF1">
      <w:pPr>
        <w:spacing w:line="600" w:lineRule="exact"/>
        <w:ind w:firstLine="640"/>
        <w:rPr>
          <w:rFonts w:eastAsia="仿宋_GB2312" w:cs="仿宋_GB2312"/>
          <w:sz w:val="32"/>
          <w:szCs w:val="32"/>
        </w:rPr>
      </w:pPr>
      <w:r>
        <w:rPr>
          <w:rFonts w:hint="eastAsia" w:eastAsia="仿宋_GB2312" w:cs="仿宋_GB2312"/>
          <w:sz w:val="32"/>
          <w:szCs w:val="32"/>
        </w:rPr>
        <w:t>29.经营支出：指事业单位在专业业务活动及其辅助活动之外开展非独立核算经营活动发生的支出。</w:t>
      </w:r>
    </w:p>
    <w:p w14:paraId="01A6F4C2">
      <w:pPr>
        <w:spacing w:line="600" w:lineRule="exact"/>
        <w:ind w:firstLine="640"/>
        <w:rPr>
          <w:rFonts w:eastAsia="仿宋_GB2312" w:cs="仿宋_GB2312"/>
          <w:sz w:val="32"/>
          <w:szCs w:val="32"/>
        </w:rPr>
      </w:pPr>
      <w:r>
        <w:rPr>
          <w:rFonts w:hint="eastAsia" w:eastAsia="仿宋_GB2312" w:cs="仿宋_GB2312"/>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303262">
      <w:pPr>
        <w:spacing w:line="600" w:lineRule="exact"/>
        <w:ind w:firstLine="640"/>
        <w:rPr>
          <w:rFonts w:eastAsia="仿宋_GB2312" w:cs="仿宋_GB2312"/>
          <w:sz w:val="32"/>
          <w:szCs w:val="32"/>
        </w:rPr>
      </w:pPr>
      <w:r>
        <w:rPr>
          <w:rFonts w:hint="eastAsia" w:eastAsia="仿宋_GB2312" w:cs="仿宋_GB2312"/>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D0CEDD">
      <w:pPr>
        <w:spacing w:line="600" w:lineRule="exact"/>
        <w:ind w:firstLine="640"/>
        <w:rPr>
          <w:rFonts w:eastAsia="仿宋_GB2312" w:cs="仿宋_GB2312"/>
          <w:sz w:val="32"/>
          <w:szCs w:val="32"/>
        </w:rPr>
      </w:pPr>
      <w:r>
        <w:rPr>
          <w:rFonts w:hint="eastAsia" w:eastAsia="仿宋_GB2312" w:cs="仿宋_GB2312"/>
          <w:sz w:val="32"/>
          <w:szCs w:val="32"/>
        </w:rPr>
        <w:t>32.……</w:t>
      </w:r>
    </w:p>
    <w:p w14:paraId="72BF20A9">
      <w:pPr>
        <w:spacing w:line="600" w:lineRule="exact"/>
        <w:ind w:firstLine="640"/>
        <w:rPr>
          <w:rFonts w:eastAsia="仿宋_GB2312" w:cs="仿宋_GB2312"/>
          <w:b/>
          <w:bCs/>
          <w:sz w:val="32"/>
          <w:szCs w:val="32"/>
        </w:rPr>
      </w:pPr>
      <w:r>
        <w:rPr>
          <w:rFonts w:hint="eastAsia" w:eastAsia="仿宋_GB2312" w:cs="仿宋_GB2312"/>
          <w:b/>
          <w:bCs/>
          <w:sz w:val="32"/>
          <w:szCs w:val="32"/>
        </w:rPr>
        <w:t>（注：名词解释部分请根据各部门实际列支情况罗列，并根据本部门职责职能增减名词解释内容）</w:t>
      </w:r>
    </w:p>
    <w:p w14:paraId="47E58304">
      <w:pPr>
        <w:spacing w:line="600" w:lineRule="exact"/>
        <w:jc w:val="center"/>
        <w:rPr>
          <w:rStyle w:val="29"/>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577B4165">
      <w:pPr>
        <w:spacing w:line="572" w:lineRule="exact"/>
        <w:jc w:val="left"/>
        <w:outlineLvl w:val="0"/>
        <w:rPr>
          <w:rFonts w:eastAsia="黑体" w:cs="黑体"/>
          <w:color w:val="FF0000"/>
          <w:sz w:val="32"/>
          <w:szCs w:val="32"/>
        </w:rPr>
      </w:pPr>
    </w:p>
    <w:p w14:paraId="4A95F3D1">
      <w:pPr>
        <w:spacing w:line="572" w:lineRule="exact"/>
        <w:jc w:val="left"/>
        <w:outlineLvl w:val="0"/>
        <w:rPr>
          <w:rFonts w:eastAsia="黑体" w:cs="方正小标宋简体"/>
          <w:sz w:val="44"/>
          <w:szCs w:val="44"/>
        </w:rPr>
      </w:pPr>
      <w:r>
        <w:rPr>
          <w:rFonts w:hint="eastAsia" w:eastAsia="黑体" w:cs="黑体"/>
          <w:sz w:val="32"/>
          <w:szCs w:val="32"/>
        </w:rPr>
        <w:t>附件1</w:t>
      </w:r>
    </w:p>
    <w:p w14:paraId="3849F370">
      <w:pPr>
        <w:widowControl/>
        <w:spacing w:line="578" w:lineRule="exact"/>
        <w:contextualSpacing/>
        <w:jc w:val="center"/>
        <w:rPr>
          <w:rFonts w:eastAsia="方正小标宋简体"/>
          <w:bCs/>
          <w:sz w:val="44"/>
          <w:szCs w:val="44"/>
          <w:shd w:val="clear" w:color="auto" w:fill="FFFFFF"/>
        </w:rPr>
      </w:pPr>
    </w:p>
    <w:p w14:paraId="1BA22D2F">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7A3C8E8D">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713945D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69027ACE">
      <w:pPr>
        <w:widowControl/>
        <w:adjustRightInd w:val="0"/>
        <w:snapToGrid w:val="0"/>
        <w:spacing w:line="578" w:lineRule="exact"/>
        <w:ind w:firstLine="643" w:firstLineChars="200"/>
        <w:contextualSpacing/>
        <w:jc w:val="left"/>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eastAsia="仿宋_GB2312"/>
          <w:bCs/>
          <w:sz w:val="32"/>
        </w:rPr>
        <w:t>松潘县镇江关生态产业园区管委会</w:t>
      </w:r>
      <w:r>
        <w:rPr>
          <w:rFonts w:hint="eastAsia" w:ascii="仿宋_GB2312" w:hAnsi="仿宋" w:eastAsia="仿宋_GB2312" w:cs="仿宋"/>
          <w:sz w:val="32"/>
          <w:szCs w:val="32"/>
        </w:rPr>
        <w:t>属一级预算单位，独立编制机构数1个，独立核算机构数1个，</w:t>
      </w:r>
      <w:r>
        <w:rPr>
          <w:rFonts w:hint="eastAsia" w:eastAsia="仿宋_GB2312"/>
          <w:bCs/>
          <w:sz w:val="32"/>
        </w:rPr>
        <w:t>设6个职能股室。纳入阿坝州松潘县镇江关生态产业园区管理委员会2024年度部门决算编制范围就一个单位本级。</w:t>
      </w:r>
    </w:p>
    <w:p w14:paraId="4961B4B0">
      <w:pPr>
        <w:pBdr>
          <w:bottom w:val="single" w:color="FFFFFF" w:sz="4" w:space="28"/>
        </w:pBdr>
        <w:tabs>
          <w:tab w:val="left" w:pos="1440"/>
        </w:tabs>
        <w:suppressAutoHyphens/>
        <w:overflowPunct w:val="0"/>
        <w:spacing w:line="576" w:lineRule="exact"/>
        <w:ind w:firstLine="643" w:firstLineChars="200"/>
        <w:rPr>
          <w:rFonts w:eastAsia="仿宋_GB2312"/>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eastAsia="仿宋_GB2312"/>
          <w:sz w:val="32"/>
          <w:szCs w:val="32"/>
          <w:lang w:val="zh-CN"/>
        </w:rPr>
        <w:t>1.贯彻执行国家、省、州、县的有关方针、政策和法律法规，检查督促园区内各企业贯彻执行。</w:t>
      </w:r>
    </w:p>
    <w:p w14:paraId="05ABB552">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2.按照现代工业发展的要求，编制工业园区的发展规划，对工业园区的土地资源使用，企业的科学布局、配套设施的建设、园林绿化和安全保卫等进行综合设计，统筹安排，并组织实施。</w:t>
      </w:r>
    </w:p>
    <w:p w14:paraId="467D4A5F">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3.及时协助入园企业办理土地使用等相关证照手续，为入园企业提供全方位服务。</w:t>
      </w:r>
    </w:p>
    <w:p w14:paraId="2E4219AD">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4.兴办和管理园区内的基础设施、协调园区内的水、电、路、通讯等基础设施建设工作。</w:t>
      </w:r>
    </w:p>
    <w:p w14:paraId="0F83772D">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5.配合有关部门做好园区内安全生产和治安保卫工作。</w:t>
      </w:r>
    </w:p>
    <w:p w14:paraId="0F63E25B">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6.全力组织开展招商引资、经济技术贸易合作和交流，按照有关规定协调处理园区内有关涉外工作。</w:t>
      </w:r>
    </w:p>
    <w:p w14:paraId="4B7D9DAF">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7.负责与州、县及有关部门加强联系与协调，加快园区建设步伐。</w:t>
      </w:r>
    </w:p>
    <w:p w14:paraId="2FAD545B">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val="zh-CN"/>
        </w:rPr>
        <w:t>8.承办县委、县政府交办的其他事项。</w:t>
      </w:r>
    </w:p>
    <w:p w14:paraId="620A861D">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eastAsia="zh-CN"/>
        </w:rPr>
        <w:t>9.</w:t>
      </w:r>
      <w:r>
        <w:rPr>
          <w:rFonts w:hint="eastAsia" w:eastAsia="仿宋_GB2312"/>
          <w:sz w:val="32"/>
          <w:szCs w:val="32"/>
          <w:lang w:val="zh-CN"/>
        </w:rPr>
        <w:t xml:space="preserve">负责与州、县及有关部门加强联系与协调，加快园区建设步伐。 </w:t>
      </w:r>
    </w:p>
    <w:p w14:paraId="52A8A175">
      <w:pPr>
        <w:pBdr>
          <w:bottom w:val="single" w:color="FFFFFF" w:sz="4" w:space="28"/>
        </w:pBdr>
        <w:tabs>
          <w:tab w:val="left" w:pos="1440"/>
        </w:tabs>
        <w:suppressAutoHyphens/>
        <w:overflowPunct w:val="0"/>
        <w:spacing w:line="576" w:lineRule="exact"/>
        <w:ind w:firstLine="640" w:firstLineChars="200"/>
        <w:rPr>
          <w:rFonts w:eastAsia="仿宋_GB2312"/>
          <w:sz w:val="32"/>
          <w:szCs w:val="32"/>
          <w:lang w:val="zh-CN"/>
        </w:rPr>
      </w:pPr>
      <w:r>
        <w:rPr>
          <w:rFonts w:hint="eastAsia" w:eastAsia="仿宋_GB2312"/>
          <w:sz w:val="32"/>
          <w:szCs w:val="32"/>
          <w:lang w:eastAsia="zh-CN"/>
        </w:rPr>
        <w:t>10.</w:t>
      </w:r>
      <w:r>
        <w:rPr>
          <w:rFonts w:hint="eastAsia" w:eastAsia="仿宋_GB2312"/>
          <w:sz w:val="32"/>
          <w:szCs w:val="32"/>
          <w:lang w:val="zh-CN"/>
        </w:rPr>
        <w:t>承办县委、县政府交办的其他事项。</w:t>
      </w:r>
    </w:p>
    <w:p w14:paraId="2EC1B370">
      <w:pPr>
        <w:pBdr>
          <w:bottom w:val="single" w:color="FFFFFF" w:sz="4" w:space="28"/>
        </w:pBdr>
        <w:tabs>
          <w:tab w:val="left" w:pos="1440"/>
        </w:tabs>
        <w:suppressAutoHyphens/>
        <w:overflowPunct w:val="0"/>
        <w:spacing w:line="576" w:lineRule="exact"/>
        <w:ind w:firstLine="643" w:firstLineChars="200"/>
        <w:rPr>
          <w:rFonts w:eastAsia="仿宋_GB2312"/>
          <w:sz w:val="32"/>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仿宋_GB2312" w:hAnsi="仿宋" w:eastAsia="仿宋_GB2312" w:cs="仿宋"/>
          <w:sz w:val="32"/>
          <w:szCs w:val="32"/>
        </w:rPr>
        <w:t>松潘县镇江关生态产业园区管理委员会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事业工勤人员编制1名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事业编制14名</w:t>
      </w:r>
      <w:r>
        <w:rPr>
          <w:rFonts w:hint="eastAsia" w:eastAsia="仿宋_GB2312"/>
          <w:bCs/>
          <w:sz w:val="32"/>
        </w:rPr>
        <w:t>，年末共15人。</w:t>
      </w:r>
    </w:p>
    <w:p w14:paraId="45AA7C2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0FC2CCB0">
      <w:pPr>
        <w:pBdr>
          <w:bottom w:val="single" w:color="FFFFFF" w:sz="4" w:space="28"/>
        </w:pBdr>
        <w:tabs>
          <w:tab w:val="left" w:pos="1440"/>
        </w:tabs>
        <w:suppressAutoHyphens/>
        <w:overflowPunct w:val="0"/>
        <w:spacing w:line="576" w:lineRule="exact"/>
        <w:ind w:firstLine="643" w:firstLineChars="200"/>
        <w:rPr>
          <w:rFonts w:eastAsia="仿宋_GB2312"/>
          <w:sz w:val="32"/>
          <w:szCs w:val="32"/>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2024年年初预算收入</w:t>
      </w:r>
      <w:r>
        <w:rPr>
          <w:rFonts w:hint="eastAsia" w:ascii="仿宋_GB2312" w:hAnsi="仿宋" w:eastAsia="仿宋_GB2312" w:cs="仿宋"/>
          <w:color w:val="000000"/>
          <w:sz w:val="32"/>
          <w:szCs w:val="32"/>
        </w:rPr>
        <w:t>256.98万元</w:t>
      </w:r>
      <w:r>
        <w:rPr>
          <w:rFonts w:hint="eastAsia" w:eastAsia="仿宋_GB2312"/>
          <w:sz w:val="32"/>
          <w:szCs w:val="32"/>
        </w:rPr>
        <w:t>、决算报表收入</w:t>
      </w:r>
      <w:r>
        <w:rPr>
          <w:rFonts w:hint="eastAsia" w:ascii="仿宋_GB2312" w:hAnsi="仿宋_GB2312" w:eastAsia="仿宋_GB2312" w:cs="仿宋_GB2312"/>
          <w:sz w:val="32"/>
          <w:szCs w:val="32"/>
        </w:rPr>
        <w:t>3039.59</w:t>
      </w:r>
      <w:r>
        <w:rPr>
          <w:rFonts w:hint="eastAsia" w:ascii="仿宋" w:hAnsi="仿宋" w:eastAsia="仿宋"/>
          <w:sz w:val="32"/>
          <w:szCs w:val="32"/>
        </w:rPr>
        <w:t>万元</w:t>
      </w:r>
      <w:r>
        <w:rPr>
          <w:rFonts w:hint="eastAsia" w:eastAsia="仿宋_GB2312"/>
          <w:sz w:val="32"/>
          <w:szCs w:val="32"/>
        </w:rPr>
        <w:t>。</w:t>
      </w:r>
    </w:p>
    <w:p w14:paraId="69BC3ABC">
      <w:pPr>
        <w:pBdr>
          <w:bottom w:val="single" w:color="FFFFFF" w:sz="4" w:space="28"/>
        </w:pBdr>
        <w:tabs>
          <w:tab w:val="left" w:pos="1440"/>
        </w:tabs>
        <w:suppressAutoHyphens/>
        <w:overflowPunct w:val="0"/>
        <w:spacing w:line="576" w:lineRule="exact"/>
        <w:ind w:firstLine="643" w:firstLineChars="200"/>
        <w:rPr>
          <w:rFonts w:eastAsia="仿宋_GB2312"/>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2024年年初预算支出</w:t>
      </w:r>
      <w:r>
        <w:rPr>
          <w:rFonts w:eastAsia="仿宋_GB2312"/>
          <w:sz w:val="32"/>
          <w:szCs w:val="32"/>
        </w:rPr>
        <w:t>25</w:t>
      </w:r>
      <w:r>
        <w:rPr>
          <w:rFonts w:hint="eastAsia" w:eastAsia="仿宋_GB2312"/>
          <w:sz w:val="32"/>
          <w:szCs w:val="32"/>
        </w:rPr>
        <w:t>6.9</w:t>
      </w:r>
      <w:r>
        <w:rPr>
          <w:rFonts w:eastAsia="仿宋_GB2312"/>
          <w:sz w:val="32"/>
          <w:szCs w:val="32"/>
        </w:rPr>
        <w:t>8</w:t>
      </w:r>
      <w:r>
        <w:rPr>
          <w:rFonts w:hint="eastAsia" w:eastAsia="仿宋_GB2312"/>
          <w:sz w:val="32"/>
          <w:szCs w:val="32"/>
        </w:rPr>
        <w:t>万</w:t>
      </w:r>
      <w:r>
        <w:rPr>
          <w:rFonts w:hint="eastAsia" w:ascii="仿宋_GB2312" w:hAnsi="仿宋" w:eastAsia="仿宋_GB2312" w:cs="仿宋"/>
          <w:color w:val="000000"/>
          <w:sz w:val="32"/>
          <w:szCs w:val="32"/>
        </w:rPr>
        <w:t>元</w:t>
      </w:r>
      <w:r>
        <w:rPr>
          <w:rFonts w:hint="eastAsia" w:eastAsia="仿宋_GB2312"/>
          <w:sz w:val="32"/>
          <w:szCs w:val="32"/>
        </w:rPr>
        <w:t>、决算报表支出</w:t>
      </w:r>
      <w:r>
        <w:rPr>
          <w:rFonts w:hint="eastAsia" w:ascii="仿宋_GB2312" w:hAnsi="仿宋_GB2312" w:eastAsia="仿宋_GB2312" w:cs="仿宋_GB2312"/>
          <w:sz w:val="32"/>
          <w:szCs w:val="32"/>
        </w:rPr>
        <w:t>3373.01</w:t>
      </w:r>
      <w:r>
        <w:rPr>
          <w:rFonts w:hint="eastAsia" w:ascii="仿宋" w:hAnsi="仿宋" w:eastAsia="仿宋"/>
          <w:sz w:val="32"/>
          <w:szCs w:val="32"/>
        </w:rPr>
        <w:t>万元</w:t>
      </w:r>
      <w:r>
        <w:rPr>
          <w:rFonts w:hint="eastAsia" w:eastAsia="仿宋_GB2312"/>
          <w:sz w:val="32"/>
          <w:szCs w:val="32"/>
        </w:rPr>
        <w:t>。</w:t>
      </w:r>
    </w:p>
    <w:p w14:paraId="36A691DA">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bCs/>
          <w:sz w:val="32"/>
        </w:rPr>
        <w:t>松潘县镇江关生态产业园区管委会</w:t>
      </w:r>
      <w:r>
        <w:rPr>
          <w:rFonts w:hint="eastAsia" w:eastAsia="仿宋_GB2312"/>
          <w:sz w:val="32"/>
          <w:szCs w:val="32"/>
        </w:rPr>
        <w:t>2024年决算报表</w:t>
      </w:r>
      <w:r>
        <w:rPr>
          <w:rFonts w:eastAsia="仿宋_GB2312"/>
          <w:kern w:val="0"/>
          <w:sz w:val="32"/>
          <w:szCs w:val="32"/>
          <w:shd w:val="clear" w:color="auto" w:fill="FFFFFF"/>
        </w:rPr>
        <w:t>结转结余</w:t>
      </w:r>
      <w:r>
        <w:rPr>
          <w:rFonts w:hint="eastAsia" w:eastAsia="仿宋_GB2312"/>
          <w:kern w:val="0"/>
          <w:sz w:val="32"/>
          <w:szCs w:val="32"/>
          <w:shd w:val="clear" w:color="auto" w:fill="FFFFFF"/>
        </w:rPr>
        <w:t>为112.71万元。</w:t>
      </w:r>
    </w:p>
    <w:p w14:paraId="6F21F54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5C7828BA">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5C832494">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履职效能。</w:t>
      </w:r>
      <w:r>
        <w:rPr>
          <w:rFonts w:hint="eastAsia" w:eastAsia="仿宋_GB2312"/>
          <w:color w:val="000000"/>
          <w:kern w:val="0"/>
          <w:sz w:val="32"/>
          <w:szCs w:val="32"/>
          <w:shd w:val="clear" w:color="auto" w:fill="FFFFFF"/>
        </w:rPr>
        <w:t>一是紧扣“优”环境，在服务企业上办实事，深刻汲取近期州内外生产安全事故教训，充分认识安全生产的重要性，切实加强园区安全生产工作。规范企业安全制度建设，并监督企业安全生产责任制落地落实，与企业签订安全生产责任书，常态化开展安全隐患排查工作，引导企业充分利用互联网等宣传阵地，加大对企业职工的教育力度，广泛宣传用电用气、用火、车间生产等安全知识和逃生自救知识，进一步提升全员管控风险，消除隐患和有效应对险情的应急处置能力。针对入园项目，为企业提供审批、建设、竣工等全方位服务保障，协助企业抓特色、创品牌、在保证食品质量与安全的同时拓展市场，以“保姆式服务”助力企业发展壮大。二是着力“强”基础，在项目建设上抓落实。持续推进松潘县青藏高原农畜产品加工集中区D区道路基础设施建设项目及冷链物流建设项目后续招标、进场施工等工作；不断做好项目的策划和储备工作，积极争取资金，完善园区内配套设施。三是聚焦“壮”产业，在产业发展上求突破。抓招商引资。坚持以“绿色、新型、生态、环保、节能”为原则，</w:t>
      </w:r>
      <w:r>
        <w:rPr>
          <w:rFonts w:hint="eastAsia" w:eastAsia="仿宋_GB2312"/>
          <w:color w:val="000000"/>
          <w:kern w:val="0"/>
          <w:sz w:val="32"/>
          <w:szCs w:val="32"/>
          <w:shd w:val="clear" w:color="auto" w:fill="FFFFFF"/>
          <w:lang w:val="zh-CN"/>
        </w:rPr>
        <w:t>提高捕获招商信息的敏锐性，与县经信局紧密联合，共享招商资源，对有潜力有入驻意向的优质项目进行积极的追踪，进而引进规模大、活力足、效益好、带动力强的优质企业入驻园区。</w:t>
      </w:r>
    </w:p>
    <w:p w14:paraId="12B42375">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shd w:val="clear" w:color="auto" w:fill="FFFFFF"/>
        </w:rPr>
        <w:t>2.</w:t>
      </w:r>
      <w:r>
        <w:rPr>
          <w:rFonts w:ascii="楷体_GB2312" w:hAnsi="楷体_GB2312" w:eastAsia="楷体_GB2312" w:cs="楷体_GB2312"/>
          <w:color w:val="000000"/>
          <w:kern w:val="0"/>
          <w:sz w:val="32"/>
          <w:szCs w:val="32"/>
          <w:shd w:val="clear" w:color="auto" w:fill="FFFFFF"/>
          <w:lang w:val="zh-CN"/>
        </w:rPr>
        <w:t>预算管理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color w:val="000000"/>
          <w:kern w:val="0"/>
          <w:sz w:val="32"/>
          <w:szCs w:val="32"/>
        </w:rPr>
        <w:t>加强学习国家和省关于预算绩效的文件，树立“花钱必问效，无效必问责”的意识。在202</w:t>
      </w:r>
      <w:r>
        <w:rPr>
          <w:rFonts w:hint="eastAsia" w:eastAsia="仿宋_GB2312"/>
          <w:color w:val="000000"/>
          <w:kern w:val="0"/>
          <w:sz w:val="32"/>
          <w:szCs w:val="32"/>
        </w:rPr>
        <w:t>4</w:t>
      </w:r>
      <w:r>
        <w:rPr>
          <w:rFonts w:eastAsia="仿宋_GB2312"/>
          <w:color w:val="000000"/>
          <w:kern w:val="0"/>
          <w:sz w:val="32"/>
          <w:szCs w:val="32"/>
        </w:rPr>
        <w:t>年的项目和预算追加中，按照上级和财政部门的要求，研究和设立绩效指标，并在实施中进行分析，在决算报告中体现。下一步，将进一步完善制度，优化流程，逐步实现绩效管理全方位、全过程和全覆盖。</w:t>
      </w:r>
    </w:p>
    <w:p w14:paraId="7A7A7DA6">
      <w:pPr>
        <w:pBdr>
          <w:bottom w:val="single" w:color="FFFFFF" w:sz="4" w:space="28"/>
        </w:pBdr>
        <w:tabs>
          <w:tab w:val="left" w:pos="1440"/>
        </w:tabs>
        <w:suppressAutoHyphens/>
        <w:overflowPunct w:val="0"/>
        <w:spacing w:line="576" w:lineRule="exact"/>
        <w:ind w:firstLine="640" w:firstLineChars="200"/>
        <w:rPr>
          <w:rFonts w:eastAsia="仿宋_GB2312"/>
          <w:sz w:val="32"/>
          <w:szCs w:val="32"/>
        </w:rPr>
      </w:pPr>
      <w:r>
        <w:rPr>
          <w:rFonts w:hint="eastAsia" w:ascii="楷体_GB2312" w:hAnsi="楷体_GB2312" w:eastAsia="楷体_GB2312" w:cs="楷体_GB2312"/>
          <w:color w:val="000000"/>
          <w:kern w:val="0"/>
          <w:sz w:val="32"/>
          <w:szCs w:val="32"/>
          <w:shd w:val="clear" w:color="auto" w:fill="FFFFFF"/>
        </w:rPr>
        <w:t>3.</w:t>
      </w:r>
      <w:r>
        <w:rPr>
          <w:rFonts w:ascii="楷体_GB2312" w:hAnsi="楷体_GB2312" w:eastAsia="楷体_GB2312" w:cs="楷体_GB2312"/>
          <w:color w:val="000000"/>
          <w:kern w:val="0"/>
          <w:sz w:val="32"/>
          <w:szCs w:val="32"/>
          <w:shd w:val="clear" w:color="auto" w:fill="FFFFFF"/>
          <w:lang w:val="zh-CN"/>
        </w:rPr>
        <w:t>财务管理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sz w:val="32"/>
          <w:szCs w:val="32"/>
        </w:rPr>
        <w:t>完善和健全了各类规章制度和内控制度，严格</w:t>
      </w:r>
      <w:r>
        <w:rPr>
          <w:rFonts w:hint="eastAsia" w:eastAsia="仿宋_GB2312"/>
          <w:sz w:val="32"/>
          <w:szCs w:val="32"/>
          <w:lang w:eastAsia="zh-CN"/>
        </w:rPr>
        <w:t>按照</w:t>
      </w:r>
      <w:r>
        <w:rPr>
          <w:rFonts w:eastAsia="仿宋_GB2312"/>
          <w:sz w:val="32"/>
          <w:szCs w:val="32"/>
        </w:rPr>
        <w:t>财政部门监管要求规范预算执行；规范财政资金支付管理，逐月逐笔核对银行存款收支明细信息，确保账户资金明确</w:t>
      </w:r>
      <w:r>
        <w:rPr>
          <w:rFonts w:hint="eastAsia" w:eastAsia="仿宋_GB2312"/>
          <w:sz w:val="32"/>
          <w:szCs w:val="32"/>
          <w:lang w:eastAsia="zh-CN"/>
        </w:rPr>
        <w:t>清晰</w:t>
      </w:r>
      <w:r>
        <w:rPr>
          <w:rFonts w:eastAsia="仿宋_GB2312"/>
          <w:sz w:val="32"/>
          <w:szCs w:val="32"/>
        </w:rPr>
        <w:t>；完善会计管理制度，建立岗位分离制度，严格执行会计出纳分设监</w:t>
      </w:r>
      <w:r>
        <w:rPr>
          <w:rFonts w:hint="eastAsia" w:eastAsia="仿宋_GB2312"/>
          <w:sz w:val="32"/>
          <w:szCs w:val="32"/>
          <w:lang w:eastAsia="zh-CN"/>
        </w:rPr>
        <w:t>督机</w:t>
      </w:r>
      <w:r>
        <w:rPr>
          <w:rFonts w:eastAsia="仿宋_GB2312"/>
          <w:sz w:val="32"/>
          <w:szCs w:val="32"/>
        </w:rPr>
        <w:t>制，同时按规定建立会计账册、设置会计科目，依法依规进行会计核算，确保会计信息合法性、真实性和完整性，做到账证、账账、账表和账实相符；同时加强内控</w:t>
      </w:r>
      <w:r>
        <w:rPr>
          <w:rFonts w:hint="eastAsia" w:eastAsia="仿宋_GB2312"/>
          <w:sz w:val="32"/>
          <w:szCs w:val="32"/>
          <w:lang w:eastAsia="zh-CN"/>
        </w:rPr>
        <w:t>管理</w:t>
      </w:r>
      <w:r>
        <w:rPr>
          <w:rFonts w:eastAsia="仿宋_GB2312"/>
          <w:sz w:val="32"/>
          <w:szCs w:val="32"/>
        </w:rPr>
        <w:t>，开展内控自我评价工作</w:t>
      </w:r>
      <w:r>
        <w:rPr>
          <w:rFonts w:hint="eastAsia" w:eastAsia="仿宋_GB2312"/>
          <w:sz w:val="32"/>
          <w:szCs w:val="32"/>
          <w:lang w:eastAsia="zh-CN"/>
        </w:rPr>
        <w:t>。</w:t>
      </w:r>
      <w:r>
        <w:rPr>
          <w:rFonts w:eastAsia="仿宋_GB2312"/>
          <w:sz w:val="32"/>
          <w:szCs w:val="32"/>
        </w:rPr>
        <w:t>同时加大账户和存量资金的清理，决算管理部门决算编制要求将单位所有收支和结余结转情况进行全面</w:t>
      </w:r>
      <w:r>
        <w:rPr>
          <w:rFonts w:hint="eastAsia" w:eastAsia="仿宋_GB2312"/>
          <w:sz w:val="32"/>
          <w:szCs w:val="32"/>
          <w:lang w:eastAsia="zh-CN"/>
        </w:rPr>
        <w:t>反映</w:t>
      </w:r>
      <w:r>
        <w:rPr>
          <w:rFonts w:eastAsia="仿宋_GB2312"/>
          <w:sz w:val="32"/>
          <w:szCs w:val="32"/>
        </w:rPr>
        <w:t>。</w:t>
      </w:r>
    </w:p>
    <w:p w14:paraId="5721DEE5">
      <w:pPr>
        <w:pBdr>
          <w:bottom w:val="single" w:color="FFFFFF" w:sz="4" w:space="28"/>
        </w:pBdr>
        <w:tabs>
          <w:tab w:val="left" w:pos="1440"/>
        </w:tabs>
        <w:suppressAutoHyphens/>
        <w:overflowPunct w:val="0"/>
        <w:spacing w:line="576" w:lineRule="exact"/>
        <w:ind w:firstLine="640" w:firstLineChars="200"/>
        <w:rPr>
          <w:rFonts w:eastAsia="仿宋_GB2312"/>
          <w:sz w:val="32"/>
          <w:szCs w:val="32"/>
        </w:rPr>
      </w:pPr>
      <w:r>
        <w:rPr>
          <w:rFonts w:hint="eastAsia" w:ascii="楷体_GB2312" w:hAnsi="楷体_GB2312" w:eastAsia="楷体_GB2312" w:cs="楷体_GB2312"/>
          <w:color w:val="000000"/>
          <w:kern w:val="0"/>
          <w:sz w:val="32"/>
          <w:szCs w:val="32"/>
          <w:shd w:val="clear" w:color="auto" w:fill="FFFFFF"/>
        </w:rPr>
        <w:t>4.</w:t>
      </w:r>
      <w:r>
        <w:rPr>
          <w:rFonts w:ascii="楷体_GB2312" w:hAnsi="楷体_GB2312" w:eastAsia="楷体_GB2312" w:cs="楷体_GB2312"/>
          <w:color w:val="000000"/>
          <w:kern w:val="0"/>
          <w:sz w:val="32"/>
          <w:szCs w:val="32"/>
          <w:shd w:val="clear" w:color="auto" w:fill="FFFFFF"/>
          <w:lang w:val="zh-CN"/>
        </w:rPr>
        <w:t>资产管理</w:t>
      </w:r>
      <w:r>
        <w:rPr>
          <w:rFonts w:hint="eastAsia" w:ascii="楷体_GB2312" w:hAnsi="楷体_GB2312" w:eastAsia="楷体_GB2312" w:cs="楷体_GB2312"/>
          <w:color w:val="000000"/>
          <w:kern w:val="0"/>
          <w:sz w:val="32"/>
          <w:szCs w:val="32"/>
          <w:shd w:val="clear" w:color="auto" w:fill="FFFFFF"/>
          <w:lang w:val="zh-CN"/>
        </w:rPr>
        <w:t>。</w:t>
      </w:r>
      <w:r>
        <w:rPr>
          <w:rFonts w:eastAsia="仿宋_GB2312"/>
          <w:sz w:val="32"/>
          <w:szCs w:val="32"/>
        </w:rPr>
        <w:t>加大资产管理工作，确保对本单位现有资产数量、构成、占有、使用情况进行了全面的监管。202</w:t>
      </w:r>
      <w:r>
        <w:rPr>
          <w:rFonts w:hint="eastAsia" w:eastAsia="仿宋_GB2312"/>
          <w:sz w:val="32"/>
          <w:szCs w:val="32"/>
        </w:rPr>
        <w:t>4</w:t>
      </w:r>
      <w:r>
        <w:rPr>
          <w:rFonts w:eastAsia="仿宋_GB2312"/>
          <w:sz w:val="32"/>
          <w:szCs w:val="32"/>
        </w:rPr>
        <w:t>年度我单位年初固定资产</w:t>
      </w:r>
      <w:r>
        <w:rPr>
          <w:rFonts w:hint="eastAsia" w:eastAsia="仿宋_GB2312"/>
          <w:sz w:val="32"/>
          <w:szCs w:val="32"/>
        </w:rPr>
        <w:t>104569344.76</w:t>
      </w:r>
      <w:r>
        <w:rPr>
          <w:rFonts w:eastAsia="仿宋_GB2312"/>
          <w:sz w:val="32"/>
          <w:szCs w:val="32"/>
        </w:rPr>
        <w:t>元，无形资产</w:t>
      </w:r>
      <w:r>
        <w:rPr>
          <w:rFonts w:hint="eastAsia" w:eastAsia="仿宋_GB2312"/>
          <w:sz w:val="32"/>
          <w:szCs w:val="32"/>
        </w:rPr>
        <w:t>4337359.02</w:t>
      </w:r>
      <w:r>
        <w:rPr>
          <w:rFonts w:eastAsia="仿宋_GB2312"/>
          <w:sz w:val="32"/>
          <w:szCs w:val="32"/>
        </w:rPr>
        <w:t>元；202</w:t>
      </w:r>
      <w:r>
        <w:rPr>
          <w:rFonts w:hint="eastAsia" w:eastAsia="仿宋_GB2312"/>
          <w:sz w:val="32"/>
          <w:szCs w:val="32"/>
        </w:rPr>
        <w:t>4</w:t>
      </w:r>
      <w:r>
        <w:rPr>
          <w:rFonts w:eastAsia="仿宋_GB2312"/>
          <w:sz w:val="32"/>
          <w:szCs w:val="32"/>
        </w:rPr>
        <w:t>年末固定资产120,731,627.69元，无形资产4,054,258.56元，资产利用率为100%、账表一致，不存在资产盘</w:t>
      </w:r>
      <w:r>
        <w:rPr>
          <w:rFonts w:hint="eastAsia" w:eastAsia="仿宋_GB2312"/>
          <w:sz w:val="32"/>
          <w:szCs w:val="32"/>
        </w:rPr>
        <w:t>盈盘活</w:t>
      </w:r>
      <w:r>
        <w:rPr>
          <w:rFonts w:eastAsia="仿宋_GB2312"/>
          <w:sz w:val="32"/>
          <w:szCs w:val="32"/>
        </w:rPr>
        <w:t>现象。</w:t>
      </w:r>
    </w:p>
    <w:p w14:paraId="3195318B">
      <w:pPr>
        <w:pBdr>
          <w:bottom w:val="single" w:color="FFFFFF" w:sz="4" w:space="28"/>
        </w:pBdr>
        <w:tabs>
          <w:tab w:val="left" w:pos="1440"/>
        </w:tabs>
        <w:suppressAutoHyphens/>
        <w:overflowPunct w:val="0"/>
        <w:spacing w:line="576" w:lineRule="exact"/>
        <w:ind w:firstLine="640" w:firstLineChars="200"/>
        <w:rPr>
          <w:rFonts w:eastAsia="仿宋_GB2312"/>
          <w:sz w:val="32"/>
          <w:szCs w:val="32"/>
        </w:rPr>
      </w:pPr>
      <w:r>
        <w:rPr>
          <w:rFonts w:hint="eastAsia" w:ascii="楷体_GB2312" w:hAnsi="楷体_GB2312" w:eastAsia="楷体_GB2312" w:cs="楷体_GB2312"/>
          <w:color w:val="000000"/>
          <w:kern w:val="0"/>
          <w:sz w:val="32"/>
          <w:szCs w:val="32"/>
          <w:shd w:val="clear" w:color="auto" w:fill="FFFFFF"/>
          <w:lang w:val="zh-CN"/>
        </w:rPr>
        <w:t>5.</w:t>
      </w:r>
      <w:r>
        <w:rPr>
          <w:rFonts w:ascii="楷体_GB2312" w:hAnsi="楷体_GB2312" w:eastAsia="楷体_GB2312" w:cs="楷体_GB2312"/>
          <w:color w:val="000000"/>
          <w:kern w:val="0"/>
          <w:sz w:val="32"/>
          <w:szCs w:val="32"/>
          <w:shd w:val="clear" w:color="auto" w:fill="FFFFFF"/>
          <w:lang w:val="zh-CN"/>
        </w:rPr>
        <w:t>采购管理</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sz w:val="32"/>
          <w:szCs w:val="32"/>
        </w:rPr>
        <w:t>2024年度我单位采购</w:t>
      </w:r>
      <w:r>
        <w:rPr>
          <w:rFonts w:eastAsia="仿宋_GB2312"/>
          <w:sz w:val="32"/>
          <w:szCs w:val="32"/>
        </w:rPr>
        <w:t>松潘县产业融合发展项目监理</w:t>
      </w:r>
      <w:r>
        <w:rPr>
          <w:rFonts w:hint="eastAsia" w:eastAsia="仿宋_GB2312"/>
          <w:sz w:val="32"/>
          <w:szCs w:val="32"/>
        </w:rPr>
        <w:t>和</w:t>
      </w:r>
      <w:r>
        <w:rPr>
          <w:rFonts w:eastAsia="仿宋_GB2312"/>
          <w:sz w:val="32"/>
          <w:szCs w:val="32"/>
        </w:rPr>
        <w:t>松潘县产业融合发展项目工程设计</w:t>
      </w:r>
      <w:r>
        <w:rPr>
          <w:rFonts w:hint="eastAsia" w:eastAsia="仿宋_GB2312"/>
          <w:sz w:val="32"/>
          <w:szCs w:val="32"/>
        </w:rPr>
        <w:t>、</w:t>
      </w:r>
      <w:r>
        <w:rPr>
          <w:rFonts w:eastAsia="仿宋_GB2312"/>
          <w:sz w:val="32"/>
          <w:szCs w:val="32"/>
        </w:rPr>
        <w:t>松潘县创新创业孵化园电力设施维修维护项目</w:t>
      </w:r>
      <w:r>
        <w:rPr>
          <w:rFonts w:hint="eastAsia" w:eastAsia="仿宋_GB2312"/>
          <w:sz w:val="32"/>
          <w:szCs w:val="32"/>
        </w:rPr>
        <w:t>。</w:t>
      </w:r>
    </w:p>
    <w:p w14:paraId="41DFA0BD">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0A1BF710">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阶段</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一次性</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rPr>
        <w:t>11</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rPr>
        <w:t>2751.1</w:t>
      </w:r>
      <w:r>
        <w:rPr>
          <w:rFonts w:eastAsia="仿宋_GB2312"/>
          <w:color w:val="000000"/>
          <w:kern w:val="0"/>
          <w:sz w:val="32"/>
          <w:szCs w:val="32"/>
          <w:shd w:val="clear" w:color="auto" w:fill="FFFFFF"/>
          <w:lang w:val="zh-CN"/>
        </w:rPr>
        <w:t>万元，</w:t>
      </w:r>
      <w:r>
        <w:rPr>
          <w:rFonts w:hint="eastAsia" w:eastAsia="仿宋_GB2312"/>
          <w:color w:val="000000"/>
          <w:kern w:val="0"/>
          <w:sz w:val="32"/>
          <w:szCs w:val="32"/>
          <w:shd w:val="clear" w:color="auto" w:fill="FFFFFF"/>
        </w:rPr>
        <w:t>主要为：支持藏区内生动力提升建设项目</w:t>
      </w:r>
      <w:r>
        <w:rPr>
          <w:rFonts w:eastAsia="仿宋_GB2312"/>
          <w:color w:val="000000"/>
          <w:kern w:val="0"/>
          <w:sz w:val="32"/>
          <w:szCs w:val="32"/>
          <w:shd w:val="clear" w:color="auto" w:fill="FFFFFF"/>
        </w:rPr>
        <w:t>139.89</w:t>
      </w:r>
      <w:r>
        <w:rPr>
          <w:rFonts w:hint="eastAsia" w:eastAsia="仿宋_GB2312"/>
          <w:color w:val="000000"/>
          <w:kern w:val="0"/>
          <w:sz w:val="32"/>
          <w:szCs w:val="32"/>
          <w:shd w:val="clear" w:color="auto" w:fill="FFFFFF"/>
        </w:rPr>
        <w:t>万元，松潘县藏红花椒扶贫产业园区建设项目</w:t>
      </w:r>
      <w:r>
        <w:rPr>
          <w:rFonts w:eastAsia="仿宋_GB2312"/>
          <w:color w:val="000000"/>
          <w:kern w:val="0"/>
          <w:sz w:val="32"/>
          <w:szCs w:val="32"/>
          <w:shd w:val="clear" w:color="auto" w:fill="FFFFFF"/>
        </w:rPr>
        <w:t>41.94</w:t>
      </w:r>
      <w:r>
        <w:rPr>
          <w:rFonts w:hint="eastAsia" w:eastAsia="仿宋_GB2312"/>
          <w:color w:val="000000"/>
          <w:kern w:val="0"/>
          <w:sz w:val="32"/>
          <w:szCs w:val="32"/>
          <w:shd w:val="clear" w:color="auto" w:fill="FFFFFF"/>
        </w:rPr>
        <w:t>万元，松潘县绿色蔬菜加工产业园及冷链扶贫建设项目</w:t>
      </w:r>
      <w:r>
        <w:rPr>
          <w:rFonts w:eastAsia="仿宋_GB2312"/>
          <w:color w:val="000000"/>
          <w:kern w:val="0"/>
          <w:sz w:val="32"/>
          <w:szCs w:val="32"/>
          <w:shd w:val="clear" w:color="auto" w:fill="FFFFFF"/>
        </w:rPr>
        <w:t>99.37</w:t>
      </w:r>
      <w:r>
        <w:rPr>
          <w:rFonts w:hint="eastAsia" w:eastAsia="仿宋_GB2312"/>
          <w:color w:val="000000"/>
          <w:kern w:val="0"/>
          <w:sz w:val="32"/>
          <w:szCs w:val="32"/>
          <w:shd w:val="clear" w:color="auto" w:fill="FFFFFF"/>
        </w:rPr>
        <w:t>万元，松潘县冷链物流建设项目502.55万元，松潘县青藏高原农畜产品加工集中区D区道路及基础设施建设项目410.91万元，食药同源生产线建设项目</w:t>
      </w:r>
      <w:r>
        <w:rPr>
          <w:rFonts w:eastAsia="仿宋_GB2312"/>
          <w:color w:val="000000"/>
          <w:kern w:val="0"/>
          <w:sz w:val="32"/>
          <w:szCs w:val="32"/>
          <w:shd w:val="clear" w:color="auto" w:fill="FFFFFF"/>
        </w:rPr>
        <w:t>40.87</w:t>
      </w:r>
      <w:r>
        <w:rPr>
          <w:rFonts w:hint="eastAsia" w:eastAsia="仿宋_GB2312"/>
          <w:color w:val="000000"/>
          <w:kern w:val="0"/>
          <w:sz w:val="32"/>
          <w:szCs w:val="32"/>
          <w:shd w:val="clear" w:color="auto" w:fill="FFFFFF"/>
        </w:rPr>
        <w:t>万元，松潘县产业融合发展项目1699.47万元，松潘县高原农畜产品加工产业园中药饮片项目58.86万元，园区整改经费63.79万元，四川青藏高原农畜产品加工集中区自来水费</w:t>
      </w:r>
      <w:r>
        <w:rPr>
          <w:rFonts w:eastAsia="仿宋_GB2312"/>
          <w:color w:val="000000"/>
          <w:kern w:val="0"/>
          <w:sz w:val="32"/>
          <w:szCs w:val="32"/>
          <w:shd w:val="clear" w:color="auto" w:fill="FFFFFF"/>
        </w:rPr>
        <w:t>15</w:t>
      </w:r>
      <w:r>
        <w:rPr>
          <w:rFonts w:hint="eastAsia" w:eastAsia="仿宋_GB2312"/>
          <w:color w:val="000000"/>
          <w:kern w:val="0"/>
          <w:sz w:val="32"/>
          <w:szCs w:val="32"/>
          <w:shd w:val="clear" w:color="auto" w:fill="FFFFFF"/>
        </w:rPr>
        <w:t>万元，松潘县生态产业园基础设施保障提升项目</w:t>
      </w:r>
      <w:r>
        <w:rPr>
          <w:rFonts w:eastAsia="仿宋_GB2312"/>
          <w:color w:val="000000"/>
          <w:kern w:val="0"/>
          <w:sz w:val="32"/>
          <w:szCs w:val="32"/>
          <w:shd w:val="clear" w:color="auto" w:fill="FFFFFF"/>
        </w:rPr>
        <w:t>53.85</w:t>
      </w:r>
      <w:r>
        <w:rPr>
          <w:rFonts w:hint="eastAsia" w:eastAsia="仿宋_GB2312"/>
          <w:color w:val="000000"/>
          <w:kern w:val="0"/>
          <w:sz w:val="32"/>
          <w:szCs w:val="32"/>
          <w:shd w:val="clear" w:color="auto" w:fill="FFFFFF"/>
        </w:rPr>
        <w:t>万元，</w:t>
      </w:r>
      <w:r>
        <w:rPr>
          <w:rFonts w:eastAsia="仿宋_GB2312"/>
          <w:color w:val="000000"/>
          <w:kern w:val="0"/>
          <w:sz w:val="32"/>
          <w:szCs w:val="32"/>
          <w:shd w:val="clear" w:color="auto" w:fill="FFFFFF"/>
          <w:lang w:val="zh-CN"/>
        </w:rPr>
        <w:t xml:space="preserve"> 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rPr>
        <w:t>88</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个。</w:t>
      </w:r>
    </w:p>
    <w:p w14:paraId="4F60601D">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项目决策。</w:t>
      </w:r>
      <w:r>
        <w:rPr>
          <w:rFonts w:eastAsia="仿宋_GB2312"/>
          <w:color w:val="000000"/>
          <w:kern w:val="0"/>
          <w:sz w:val="32"/>
          <w:szCs w:val="32"/>
          <w:shd w:val="clear" w:color="auto" w:fill="FFFFFF"/>
        </w:rPr>
        <w:t>项目按照基本情况、立项必要性、投入经济性、绩效目标合理性、实施方案可行性、筹资合规性及</w:t>
      </w:r>
      <w:r>
        <w:rPr>
          <w:rFonts w:hint="eastAsia" w:eastAsia="仿宋_GB2312"/>
          <w:color w:val="000000"/>
          <w:kern w:val="0"/>
          <w:sz w:val="32"/>
          <w:szCs w:val="32"/>
          <w:shd w:val="clear" w:color="auto" w:fill="FFFFFF"/>
          <w:lang w:eastAsia="zh-CN"/>
        </w:rPr>
        <w:t>可持续性</w:t>
      </w:r>
      <w:r>
        <w:rPr>
          <w:rFonts w:eastAsia="仿宋_GB2312"/>
          <w:color w:val="000000"/>
          <w:kern w:val="0"/>
          <w:sz w:val="32"/>
          <w:szCs w:val="32"/>
          <w:shd w:val="clear" w:color="auto" w:fill="FFFFFF"/>
        </w:rPr>
        <w:t>性等</w:t>
      </w:r>
      <w:r>
        <w:rPr>
          <w:rFonts w:eastAsia="仿宋_GB2312"/>
          <w:color w:val="000000"/>
          <w:kern w:val="0"/>
          <w:sz w:val="32"/>
          <w:szCs w:val="32"/>
          <w:shd w:val="clear" w:color="auto" w:fill="FFFFFF"/>
          <w:lang w:val="zh-CN"/>
        </w:rPr>
        <w:t>决策程序</w:t>
      </w:r>
      <w:r>
        <w:rPr>
          <w:rFonts w:eastAsia="仿宋_GB2312"/>
          <w:color w:val="000000"/>
          <w:kern w:val="0"/>
          <w:sz w:val="32"/>
          <w:szCs w:val="32"/>
          <w:shd w:val="clear" w:color="auto" w:fill="FFFFFF"/>
        </w:rPr>
        <w:t>进行项目决策和项目</w:t>
      </w:r>
      <w:r>
        <w:rPr>
          <w:rFonts w:eastAsia="仿宋_GB2312"/>
          <w:color w:val="000000"/>
          <w:kern w:val="0"/>
          <w:sz w:val="32"/>
          <w:szCs w:val="32"/>
          <w:shd w:val="clear" w:color="auto" w:fill="FFFFFF"/>
          <w:lang w:val="zh-CN"/>
        </w:rPr>
        <w:t>目标设置，</w:t>
      </w:r>
      <w:r>
        <w:rPr>
          <w:rFonts w:eastAsia="仿宋_GB2312"/>
          <w:color w:val="000000"/>
          <w:kern w:val="0"/>
          <w:sz w:val="32"/>
          <w:szCs w:val="32"/>
          <w:shd w:val="clear" w:color="auto" w:fill="FFFFFF"/>
        </w:rPr>
        <w:t>同时经</w:t>
      </w:r>
      <w:r>
        <w:rPr>
          <w:rFonts w:hint="eastAsia" w:eastAsia="仿宋_GB2312"/>
          <w:color w:val="000000"/>
          <w:kern w:val="0"/>
          <w:sz w:val="32"/>
          <w:szCs w:val="32"/>
          <w:shd w:val="clear" w:color="auto" w:fill="FFFFFF"/>
          <w:lang w:eastAsia="zh-CN"/>
        </w:rPr>
        <w:t>行政审批</w:t>
      </w:r>
      <w:r>
        <w:rPr>
          <w:rFonts w:eastAsia="仿宋_GB2312"/>
          <w:color w:val="000000"/>
          <w:kern w:val="0"/>
          <w:sz w:val="32"/>
          <w:szCs w:val="32"/>
          <w:shd w:val="clear" w:color="auto" w:fill="FFFFFF"/>
        </w:rPr>
        <w:t>进行</w:t>
      </w:r>
      <w:r>
        <w:rPr>
          <w:rFonts w:eastAsia="仿宋_GB2312"/>
          <w:color w:val="000000"/>
          <w:kern w:val="0"/>
          <w:sz w:val="32"/>
          <w:szCs w:val="32"/>
          <w:shd w:val="clear" w:color="auto" w:fill="FFFFFF"/>
          <w:lang w:val="zh-CN"/>
        </w:rPr>
        <w:t>项目入库，</w:t>
      </w:r>
      <w:r>
        <w:rPr>
          <w:rFonts w:eastAsia="仿宋_GB2312"/>
          <w:color w:val="000000"/>
          <w:kern w:val="0"/>
          <w:sz w:val="32"/>
          <w:szCs w:val="32"/>
          <w:shd w:val="clear" w:color="auto" w:fill="FFFFFF"/>
        </w:rPr>
        <w:t>进行</w:t>
      </w:r>
      <w:r>
        <w:rPr>
          <w:rFonts w:hint="eastAsia" w:eastAsia="仿宋_GB2312"/>
          <w:color w:val="000000"/>
          <w:kern w:val="0"/>
          <w:sz w:val="32"/>
          <w:szCs w:val="32"/>
          <w:shd w:val="clear" w:color="auto" w:fill="FFFFFF"/>
          <w:lang w:eastAsia="zh-CN"/>
        </w:rPr>
        <w:t>项目</w:t>
      </w:r>
      <w:r>
        <w:rPr>
          <w:rFonts w:eastAsia="仿宋_GB2312"/>
          <w:color w:val="000000"/>
          <w:kern w:val="0"/>
          <w:sz w:val="32"/>
          <w:szCs w:val="32"/>
          <w:shd w:val="clear" w:color="auto" w:fill="FFFFFF"/>
        </w:rPr>
        <w:t>实施</w:t>
      </w:r>
      <w:r>
        <w:rPr>
          <w:rFonts w:eastAsia="仿宋_GB2312"/>
          <w:color w:val="000000"/>
          <w:kern w:val="0"/>
          <w:sz w:val="32"/>
          <w:szCs w:val="32"/>
          <w:shd w:val="clear" w:color="auto" w:fill="FFFFFF"/>
          <w:lang w:val="zh-CN"/>
        </w:rPr>
        <w:t>。</w:t>
      </w:r>
    </w:p>
    <w:p w14:paraId="6B165F9B">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ascii="楷体_GB2312" w:hAnsi="楷体_GB2312" w:eastAsia="楷体_GB2312" w:cs="楷体_GB2312"/>
          <w:color w:val="000000"/>
          <w:kern w:val="0"/>
          <w:sz w:val="32"/>
          <w:szCs w:val="32"/>
          <w:shd w:val="clear" w:color="auto" w:fill="FFFFFF"/>
          <w:lang w:val="zh-CN"/>
        </w:rPr>
        <w:t>。</w:t>
      </w:r>
      <w:r>
        <w:rPr>
          <w:rFonts w:eastAsia="仿宋_GB2312"/>
          <w:color w:val="000000"/>
          <w:kern w:val="0"/>
          <w:sz w:val="32"/>
          <w:szCs w:val="32"/>
          <w:shd w:val="clear" w:color="auto" w:fill="FFFFFF"/>
        </w:rPr>
        <w:t>202</w:t>
      </w:r>
      <w:r>
        <w:rPr>
          <w:rFonts w:hint="eastAsia" w:eastAsia="仿宋_GB2312"/>
          <w:color w:val="000000"/>
          <w:kern w:val="0"/>
          <w:sz w:val="32"/>
          <w:szCs w:val="32"/>
          <w:shd w:val="clear" w:color="auto" w:fill="FFFFFF"/>
        </w:rPr>
        <w:t>4</w:t>
      </w:r>
      <w:r>
        <w:rPr>
          <w:rFonts w:eastAsia="仿宋_GB2312"/>
          <w:color w:val="000000"/>
          <w:kern w:val="0"/>
          <w:sz w:val="32"/>
          <w:szCs w:val="32"/>
          <w:shd w:val="clear" w:color="auto" w:fill="FFFFFF"/>
        </w:rPr>
        <w:t>年我单位项目资金为</w:t>
      </w:r>
      <w:r>
        <w:rPr>
          <w:rFonts w:hint="eastAsia" w:eastAsia="仿宋_GB2312"/>
          <w:color w:val="000000"/>
          <w:kern w:val="0"/>
          <w:sz w:val="32"/>
          <w:szCs w:val="32"/>
          <w:shd w:val="clear" w:color="auto" w:fill="FFFFFF"/>
        </w:rPr>
        <w:t>2751.1</w:t>
      </w:r>
      <w:r>
        <w:rPr>
          <w:rFonts w:eastAsia="仿宋_GB2312"/>
          <w:color w:val="000000"/>
          <w:kern w:val="0"/>
          <w:sz w:val="32"/>
          <w:szCs w:val="32"/>
          <w:shd w:val="clear" w:color="auto" w:fill="FFFFFF"/>
        </w:rPr>
        <w:t>万元（其中</w:t>
      </w:r>
      <w:r>
        <w:rPr>
          <w:rFonts w:hint="eastAsia" w:eastAsia="仿宋_GB2312"/>
          <w:color w:val="000000"/>
          <w:kern w:val="0"/>
          <w:sz w:val="32"/>
          <w:szCs w:val="32"/>
          <w:shd w:val="clear" w:color="auto" w:fill="FFFFFF"/>
        </w:rPr>
        <w:t>11</w:t>
      </w:r>
      <w:r>
        <w:rPr>
          <w:rFonts w:eastAsia="仿宋_GB2312"/>
          <w:color w:val="000000"/>
          <w:kern w:val="0"/>
          <w:sz w:val="32"/>
          <w:szCs w:val="32"/>
          <w:shd w:val="clear" w:color="auto" w:fill="FFFFFF"/>
        </w:rPr>
        <w:t>个阶段性项目），项目</w:t>
      </w:r>
      <w:r>
        <w:rPr>
          <w:rFonts w:eastAsia="仿宋_GB2312"/>
          <w:color w:val="000000"/>
          <w:kern w:val="0"/>
          <w:sz w:val="32"/>
          <w:szCs w:val="32"/>
          <w:shd w:val="clear" w:color="auto" w:fill="FFFFFF"/>
          <w:lang w:val="zh-CN"/>
        </w:rPr>
        <w:t>资金</w:t>
      </w:r>
      <w:r>
        <w:rPr>
          <w:rFonts w:eastAsia="仿宋_GB2312"/>
          <w:color w:val="000000"/>
          <w:kern w:val="0"/>
          <w:sz w:val="32"/>
          <w:szCs w:val="32"/>
          <w:shd w:val="clear" w:color="auto" w:fill="FFFFFF"/>
        </w:rPr>
        <w:t>按照年初项目事前评估和</w:t>
      </w:r>
      <w:r>
        <w:rPr>
          <w:rFonts w:hint="eastAsia" w:eastAsia="仿宋_GB2312"/>
          <w:color w:val="000000"/>
          <w:kern w:val="0"/>
          <w:sz w:val="32"/>
          <w:szCs w:val="32"/>
          <w:shd w:val="clear" w:color="auto" w:fill="FFFFFF"/>
          <w:lang w:eastAsia="zh-CN"/>
        </w:rPr>
        <w:t>支出</w:t>
      </w:r>
      <w:r>
        <w:rPr>
          <w:rFonts w:eastAsia="仿宋_GB2312"/>
          <w:color w:val="000000"/>
          <w:kern w:val="0"/>
          <w:sz w:val="32"/>
          <w:szCs w:val="32"/>
          <w:shd w:val="clear" w:color="auto" w:fill="FFFFFF"/>
        </w:rPr>
        <w:t>绩效指标</w:t>
      </w:r>
      <w:r>
        <w:rPr>
          <w:rFonts w:eastAsia="仿宋_GB2312"/>
          <w:color w:val="000000"/>
          <w:kern w:val="0"/>
          <w:sz w:val="32"/>
          <w:szCs w:val="32"/>
          <w:shd w:val="clear" w:color="auto" w:fill="FFFFFF"/>
          <w:lang w:val="zh-CN"/>
        </w:rPr>
        <w:t>同向执行；</w:t>
      </w:r>
      <w:r>
        <w:rPr>
          <w:rFonts w:hint="eastAsia" w:eastAsia="仿宋_GB2312"/>
          <w:color w:val="000000"/>
          <w:kern w:val="0"/>
          <w:sz w:val="32"/>
          <w:szCs w:val="32"/>
          <w:shd w:val="clear" w:color="auto" w:fill="FFFFFF"/>
          <w:lang w:val="zh-CN"/>
        </w:rPr>
        <w:t>其间</w:t>
      </w:r>
      <w:r>
        <w:rPr>
          <w:rFonts w:eastAsia="仿宋_GB2312"/>
          <w:color w:val="000000"/>
          <w:kern w:val="0"/>
          <w:sz w:val="32"/>
          <w:szCs w:val="32"/>
          <w:shd w:val="clear" w:color="auto" w:fill="FFFFFF"/>
        </w:rPr>
        <w:t>不存在</w:t>
      </w:r>
      <w:r>
        <w:rPr>
          <w:rFonts w:eastAsia="仿宋_GB2312"/>
          <w:color w:val="000000"/>
          <w:kern w:val="0"/>
          <w:sz w:val="32"/>
          <w:szCs w:val="32"/>
          <w:shd w:val="clear" w:color="auto" w:fill="FFFFFF"/>
          <w:lang w:val="zh-CN"/>
        </w:rPr>
        <w:t>项目调整，</w:t>
      </w:r>
      <w:r>
        <w:rPr>
          <w:rFonts w:eastAsia="仿宋_GB2312"/>
          <w:color w:val="000000"/>
          <w:kern w:val="0"/>
          <w:sz w:val="32"/>
          <w:szCs w:val="32"/>
          <w:shd w:val="clear" w:color="auto" w:fill="FFFFFF"/>
        </w:rPr>
        <w:t>年内全部执行，</w:t>
      </w:r>
      <w:r>
        <w:rPr>
          <w:rFonts w:eastAsia="仿宋_GB2312"/>
          <w:color w:val="000000"/>
          <w:kern w:val="0"/>
          <w:sz w:val="32"/>
          <w:szCs w:val="32"/>
          <w:shd w:val="clear" w:color="auto" w:fill="FFFFFF"/>
          <w:lang w:val="zh-CN"/>
        </w:rPr>
        <w:t>执行</w:t>
      </w:r>
      <w:r>
        <w:rPr>
          <w:rFonts w:eastAsia="仿宋_GB2312"/>
          <w:color w:val="000000"/>
          <w:kern w:val="0"/>
          <w:sz w:val="32"/>
          <w:szCs w:val="32"/>
          <w:shd w:val="clear" w:color="auto" w:fill="FFFFFF"/>
        </w:rPr>
        <w:t>率达</w:t>
      </w:r>
      <w:r>
        <w:rPr>
          <w:rFonts w:hint="eastAsia" w:eastAsia="仿宋_GB2312"/>
          <w:color w:val="000000"/>
          <w:kern w:val="0"/>
          <w:sz w:val="32"/>
          <w:szCs w:val="32"/>
          <w:shd w:val="clear" w:color="auto" w:fill="FFFFFF"/>
        </w:rPr>
        <w:t>88</w:t>
      </w:r>
      <w:r>
        <w:rPr>
          <w:rFonts w:eastAsia="仿宋_GB2312"/>
          <w:color w:val="000000"/>
          <w:kern w:val="0"/>
          <w:sz w:val="32"/>
          <w:szCs w:val="32"/>
          <w:shd w:val="clear" w:color="auto" w:fill="FFFFFF"/>
        </w:rPr>
        <w:t>%</w:t>
      </w:r>
      <w:r>
        <w:rPr>
          <w:rFonts w:eastAsia="仿宋_GB2312"/>
          <w:color w:val="000000"/>
          <w:kern w:val="0"/>
          <w:sz w:val="32"/>
          <w:szCs w:val="32"/>
          <w:shd w:val="clear" w:color="auto" w:fill="FFFFFF"/>
          <w:lang w:val="zh-CN"/>
        </w:rPr>
        <w:t>。</w:t>
      </w:r>
    </w:p>
    <w:p w14:paraId="38693E37">
      <w:pPr>
        <w:pBdr>
          <w:bottom w:val="single" w:color="FFFFFF" w:sz="4" w:space="28"/>
        </w:pBdr>
        <w:tabs>
          <w:tab w:val="left" w:pos="1440"/>
        </w:tabs>
        <w:suppressAutoHyphens/>
        <w:overflowPunct w:val="0"/>
        <w:spacing w:line="576" w:lineRule="exact"/>
        <w:ind w:firstLine="640" w:firstLineChars="200"/>
        <w:rPr>
          <w:rFonts w:eastAsia="仿宋_GB2312"/>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目标实现。</w:t>
      </w:r>
      <w:r>
        <w:rPr>
          <w:rFonts w:eastAsia="仿宋_GB2312"/>
          <w:color w:val="000000"/>
          <w:kern w:val="0"/>
          <w:sz w:val="32"/>
          <w:szCs w:val="32"/>
          <w:shd w:val="clear" w:color="auto" w:fill="FFFFFF"/>
        </w:rPr>
        <w:t>我单位202</w:t>
      </w:r>
      <w:r>
        <w:rPr>
          <w:rFonts w:hint="eastAsia" w:eastAsia="仿宋_GB2312"/>
          <w:color w:val="000000"/>
          <w:kern w:val="0"/>
          <w:sz w:val="32"/>
          <w:szCs w:val="32"/>
          <w:shd w:val="clear" w:color="auto" w:fill="FFFFFF"/>
        </w:rPr>
        <w:t>4</w:t>
      </w:r>
      <w:r>
        <w:rPr>
          <w:rFonts w:eastAsia="仿宋_GB2312"/>
          <w:color w:val="000000"/>
          <w:kern w:val="0"/>
          <w:sz w:val="32"/>
          <w:szCs w:val="32"/>
          <w:shd w:val="clear" w:color="auto" w:fill="FFFFFF"/>
        </w:rPr>
        <w:t>年内项目均按</w:t>
      </w:r>
      <w:r>
        <w:rPr>
          <w:rFonts w:eastAsia="仿宋_GB2312"/>
          <w:color w:val="000000"/>
          <w:kern w:val="0"/>
          <w:sz w:val="32"/>
          <w:szCs w:val="32"/>
          <w:shd w:val="clear" w:color="auto" w:fill="FFFFFF"/>
          <w:lang w:val="zh-CN"/>
        </w:rPr>
        <w:t>目标完成、目标偏离</w:t>
      </w:r>
      <w:r>
        <w:rPr>
          <w:rFonts w:eastAsia="仿宋_GB2312"/>
          <w:color w:val="000000"/>
          <w:kern w:val="0"/>
          <w:sz w:val="32"/>
          <w:szCs w:val="32"/>
          <w:shd w:val="clear" w:color="auto" w:fill="FFFFFF"/>
        </w:rPr>
        <w:t>度为0。项目的实施有效保障</w:t>
      </w:r>
      <w:r>
        <w:rPr>
          <w:rFonts w:hint="eastAsia" w:eastAsia="仿宋_GB2312"/>
          <w:color w:val="000000"/>
          <w:kern w:val="0"/>
          <w:sz w:val="32"/>
          <w:szCs w:val="32"/>
          <w:shd w:val="clear" w:color="auto" w:fill="FFFFFF"/>
        </w:rPr>
        <w:t>园区</w:t>
      </w:r>
      <w:r>
        <w:rPr>
          <w:rFonts w:eastAsia="仿宋_GB2312"/>
          <w:color w:val="000000"/>
          <w:kern w:val="0"/>
          <w:sz w:val="32"/>
          <w:szCs w:val="32"/>
          <w:shd w:val="clear" w:color="auto" w:fill="FFFFFF"/>
        </w:rPr>
        <w:t>管理工作的有序推进。主要体现在它的数量指标、时效指标、质量指标、社会效益指标和社会满意度指标上。</w:t>
      </w:r>
    </w:p>
    <w:p w14:paraId="36FB7740">
      <w:pPr>
        <w:pBdr>
          <w:bottom w:val="single" w:color="FFFFFF" w:sz="4" w:space="28"/>
        </w:pBdr>
        <w:tabs>
          <w:tab w:val="left" w:pos="1440"/>
        </w:tabs>
        <w:suppressAutoHyphens/>
        <w:overflowPunct w:val="0"/>
        <w:spacing w:line="576" w:lineRule="exact"/>
        <w:ind w:firstLine="643" w:firstLineChars="200"/>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eastAsia="仿宋_GB2312"/>
          <w:sz w:val="32"/>
          <w:szCs w:val="32"/>
        </w:rPr>
        <w:t>整体绩效评价促使了各项工作有序开展，财政资金收支情况同时也按进度执行并及时进行了信息公开。202</w:t>
      </w:r>
      <w:r>
        <w:rPr>
          <w:rFonts w:hint="eastAsia" w:eastAsia="仿宋_GB2312"/>
          <w:sz w:val="32"/>
          <w:szCs w:val="32"/>
        </w:rPr>
        <w:t>4</w:t>
      </w:r>
      <w:r>
        <w:rPr>
          <w:rFonts w:eastAsia="仿宋_GB2312"/>
          <w:sz w:val="32"/>
          <w:szCs w:val="32"/>
        </w:rPr>
        <w:t>年度对本单位预决公开情况进行了全面的自查，同时对202</w:t>
      </w:r>
      <w:r>
        <w:rPr>
          <w:rFonts w:hint="eastAsia" w:eastAsia="仿宋_GB2312"/>
          <w:sz w:val="32"/>
          <w:szCs w:val="32"/>
        </w:rPr>
        <w:t>4</w:t>
      </w:r>
      <w:r>
        <w:rPr>
          <w:rFonts w:eastAsia="仿宋_GB2312"/>
          <w:sz w:val="32"/>
          <w:szCs w:val="32"/>
        </w:rPr>
        <w:t>年度整体绩效评价检查进行了整改。</w:t>
      </w:r>
      <w:r>
        <w:rPr>
          <w:rFonts w:eastAsia="黑体"/>
          <w:color w:val="000000"/>
          <w:kern w:val="0"/>
          <w:sz w:val="32"/>
          <w:szCs w:val="32"/>
          <w:shd w:val="clear" w:color="auto" w:fill="FFFFFF"/>
          <w:lang w:val="zh-CN"/>
        </w:rPr>
        <w:t>四、评价结论及建议</w:t>
      </w:r>
    </w:p>
    <w:p w14:paraId="765A9C89">
      <w:pPr>
        <w:pBdr>
          <w:bottom w:val="single" w:color="FFFFFF" w:sz="4" w:space="28"/>
        </w:pBdr>
        <w:tabs>
          <w:tab w:val="left" w:pos="1440"/>
        </w:tabs>
        <w:suppressAutoHyphens/>
        <w:overflowPunct w:val="0"/>
        <w:spacing w:line="576" w:lineRule="exact"/>
        <w:ind w:firstLine="643" w:firstLineChars="200"/>
        <w:rPr>
          <w:rFonts w:eastAsia="仿宋_GB2312"/>
          <w:sz w:val="32"/>
          <w:szCs w:val="32"/>
        </w:rPr>
      </w:pPr>
      <w:r>
        <w:rPr>
          <w:rFonts w:eastAsia="楷体_GB2312"/>
          <w:b/>
          <w:bCs/>
          <w:color w:val="000000"/>
          <w:kern w:val="0"/>
          <w:sz w:val="32"/>
          <w:szCs w:val="32"/>
          <w:shd w:val="clear" w:color="auto" w:fill="FFFFFF"/>
          <w:lang w:val="zh-CN"/>
        </w:rPr>
        <w:t>评价结论。</w:t>
      </w:r>
      <w:r>
        <w:rPr>
          <w:rFonts w:eastAsia="仿宋_GB2312"/>
          <w:sz w:val="32"/>
          <w:szCs w:val="32"/>
        </w:rPr>
        <w:t>整体绩效评价工作规范了财政资金的管理，强化财政支出绩效理念，提</w:t>
      </w:r>
      <w:r>
        <w:rPr>
          <w:rFonts w:hint="eastAsia" w:eastAsia="仿宋_GB2312"/>
          <w:sz w:val="32"/>
          <w:szCs w:val="32"/>
          <w:lang w:eastAsia="zh-CN"/>
        </w:rPr>
        <w:t>升责</w:t>
      </w:r>
      <w:r>
        <w:rPr>
          <w:rFonts w:eastAsia="仿宋_GB2312"/>
          <w:sz w:val="32"/>
          <w:szCs w:val="32"/>
        </w:rPr>
        <w:t>任意识，提高资金使用效益。</w:t>
      </w:r>
    </w:p>
    <w:p w14:paraId="0CDBFD72">
      <w:pPr>
        <w:pBdr>
          <w:bottom w:val="single" w:color="FFFFFF" w:sz="4" w:space="28"/>
        </w:pBdr>
        <w:tabs>
          <w:tab w:val="left" w:pos="1440"/>
        </w:tabs>
        <w:suppressAutoHyphens/>
        <w:overflowPunct w:val="0"/>
        <w:spacing w:line="576" w:lineRule="exact"/>
        <w:ind w:firstLine="643" w:firstLineChars="200"/>
        <w:rPr>
          <w:rFonts w:eastAsia="仿宋_GB2312"/>
          <w:sz w:val="32"/>
          <w:szCs w:val="32"/>
          <w:lang w:val="zh-CN"/>
        </w:rPr>
      </w:pPr>
      <w:r>
        <w:rPr>
          <w:rFonts w:eastAsia="楷体_GB2312"/>
          <w:b/>
          <w:bCs/>
          <w:color w:val="000000"/>
          <w:kern w:val="0"/>
          <w:sz w:val="32"/>
          <w:szCs w:val="32"/>
          <w:shd w:val="clear" w:color="auto" w:fill="FFFFFF"/>
          <w:lang w:val="zh-CN"/>
        </w:rPr>
        <w:t>（二）存在问题。</w:t>
      </w:r>
      <w:r>
        <w:rPr>
          <w:rFonts w:eastAsia="仿宋_GB2312"/>
          <w:sz w:val="32"/>
          <w:szCs w:val="32"/>
        </w:rPr>
        <w:t>1.我单位无自由收入；</w:t>
      </w:r>
      <w:r>
        <w:rPr>
          <w:rFonts w:hint="eastAsia" w:eastAsia="仿宋_GB2312"/>
          <w:sz w:val="32"/>
          <w:szCs w:val="32"/>
        </w:rPr>
        <w:t>2</w:t>
      </w:r>
      <w:r>
        <w:rPr>
          <w:rFonts w:eastAsia="仿宋_GB2312"/>
          <w:sz w:val="32"/>
          <w:szCs w:val="32"/>
        </w:rPr>
        <w:t>.</w:t>
      </w:r>
      <w:r>
        <w:rPr>
          <w:rFonts w:eastAsia="仿宋_GB2312"/>
          <w:sz w:val="32"/>
          <w:szCs w:val="32"/>
          <w:lang w:val="zh-CN"/>
        </w:rPr>
        <w:t>绩效评价管理制度尚不健全。虽然我</w:t>
      </w:r>
      <w:r>
        <w:rPr>
          <w:rFonts w:hint="eastAsia" w:eastAsia="仿宋_GB2312"/>
          <w:sz w:val="32"/>
          <w:szCs w:val="32"/>
        </w:rPr>
        <w:t>单位</w:t>
      </w:r>
      <w:r>
        <w:rPr>
          <w:rFonts w:eastAsia="仿宋_GB2312"/>
          <w:sz w:val="32"/>
          <w:szCs w:val="32"/>
          <w:lang w:val="zh-CN"/>
        </w:rPr>
        <w:t>制定和完善了内部管理制度以及相关的管理办法，但还不够完善，还不能适应绩效评价工作的需要。绩效评价工作作为</w:t>
      </w:r>
      <w:r>
        <w:rPr>
          <w:rFonts w:eastAsia="仿宋_GB2312"/>
          <w:sz w:val="32"/>
          <w:szCs w:val="32"/>
        </w:rPr>
        <w:t>县</w:t>
      </w:r>
      <w:r>
        <w:rPr>
          <w:rFonts w:eastAsia="仿宋_GB2312"/>
          <w:sz w:val="32"/>
          <w:szCs w:val="32"/>
          <w:lang w:val="zh-CN"/>
        </w:rPr>
        <w:t>委、</w:t>
      </w:r>
      <w:r>
        <w:rPr>
          <w:rFonts w:eastAsia="仿宋_GB2312"/>
          <w:sz w:val="32"/>
          <w:szCs w:val="32"/>
        </w:rPr>
        <w:t>县</w:t>
      </w:r>
      <w:r>
        <w:rPr>
          <w:rFonts w:eastAsia="仿宋_GB2312"/>
          <w:sz w:val="32"/>
          <w:szCs w:val="32"/>
          <w:lang w:val="zh-CN"/>
        </w:rPr>
        <w:t>政府的核心智库之一，与</w:t>
      </w:r>
      <w:bookmarkStart w:id="68" w:name="_GoBack"/>
      <w:r>
        <w:rPr>
          <w:rFonts w:hint="eastAsia" w:eastAsia="仿宋_GB2312"/>
          <w:sz w:val="32"/>
          <w:szCs w:val="32"/>
          <w:lang w:val="zh-CN"/>
        </w:rPr>
        <w:t>县委、县政府</w:t>
      </w:r>
      <w:bookmarkEnd w:id="68"/>
      <w:r>
        <w:rPr>
          <w:rFonts w:eastAsia="仿宋_GB2312"/>
          <w:sz w:val="32"/>
          <w:szCs w:val="32"/>
          <w:lang w:val="zh-CN"/>
        </w:rPr>
        <w:t>的要求还存在差距。</w:t>
      </w:r>
    </w:p>
    <w:p w14:paraId="54E7F119">
      <w:pPr>
        <w:pBdr>
          <w:bottom w:val="single" w:color="FFFFFF" w:sz="4" w:space="28"/>
        </w:pBdr>
        <w:tabs>
          <w:tab w:val="left" w:pos="1440"/>
        </w:tabs>
        <w:suppressAutoHyphens/>
        <w:overflowPunct w:val="0"/>
        <w:spacing w:line="576" w:lineRule="exact"/>
        <w:ind w:firstLine="643" w:firstLineChars="200"/>
        <w:rPr>
          <w:rFonts w:ascii="仿宋_GB2312" w:hAnsi="仿宋_GB2312" w:eastAsia="仿宋_GB2312" w:cs="仿宋_GB2312"/>
          <w:kern w:val="0"/>
          <w:sz w:val="32"/>
          <w:szCs w:val="32"/>
        </w:rPr>
      </w:pPr>
      <w:r>
        <w:rPr>
          <w:rFonts w:eastAsia="楷体_GB2312"/>
          <w:b/>
          <w:bCs/>
          <w:color w:val="000000"/>
          <w:kern w:val="0"/>
          <w:sz w:val="32"/>
          <w:szCs w:val="32"/>
          <w:shd w:val="clear" w:color="auto" w:fill="FFFFFF"/>
          <w:lang w:val="zh-CN"/>
        </w:rPr>
        <w:t>（三）改进建议。</w:t>
      </w:r>
      <w:bookmarkStart w:id="53" w:name="_Hlk110546638"/>
      <w:r>
        <w:rPr>
          <w:rFonts w:eastAsia="仿宋_GB2312"/>
          <w:sz w:val="32"/>
          <w:szCs w:val="32"/>
          <w:lang w:val="zh-CN"/>
        </w:rPr>
        <w:t>下一步，</w:t>
      </w:r>
      <w:r>
        <w:rPr>
          <w:rFonts w:eastAsia="仿宋_GB2312"/>
          <w:sz w:val="32"/>
          <w:szCs w:val="32"/>
        </w:rPr>
        <w:t>我</w:t>
      </w:r>
      <w:r>
        <w:rPr>
          <w:rFonts w:hint="eastAsia" w:eastAsia="仿宋_GB2312"/>
          <w:sz w:val="32"/>
          <w:szCs w:val="32"/>
        </w:rPr>
        <w:t>单位</w:t>
      </w:r>
      <w:r>
        <w:rPr>
          <w:rFonts w:eastAsia="仿宋_GB2312"/>
          <w:sz w:val="32"/>
          <w:szCs w:val="32"/>
          <w:lang w:val="zh-CN"/>
        </w:rPr>
        <w:t>预算绩效管理工作将在</w:t>
      </w:r>
      <w:r>
        <w:rPr>
          <w:rFonts w:eastAsia="仿宋_GB2312"/>
          <w:sz w:val="32"/>
          <w:szCs w:val="32"/>
        </w:rPr>
        <w:t>县</w:t>
      </w:r>
      <w:r>
        <w:rPr>
          <w:rFonts w:eastAsia="仿宋_GB2312"/>
          <w:sz w:val="32"/>
          <w:szCs w:val="32"/>
          <w:lang w:val="zh-CN"/>
        </w:rPr>
        <w:t>财政局绩效管理局指导下，结合本单位制定的预算绩效管理制度，进一步细化工作措施完善评价指标，科学合理设置评价分值，加强具体工作的操作和执行，督促工作人员加强业务学习，不断提升预算绩效管理水平，确保此项工作的成效。</w:t>
      </w:r>
    </w:p>
    <w:bookmarkEnd w:id="53"/>
    <w:p w14:paraId="19855FD4">
      <w:pPr>
        <w:rPr>
          <w:rFonts w:eastAsia="黑体" w:cs="黑体"/>
          <w:kern w:val="0"/>
          <w:sz w:val="32"/>
          <w:szCs w:val="32"/>
          <w:shd w:val="clear" w:color="auto" w:fill="FFFFFF"/>
          <w:lang w:val="zh-CN"/>
        </w:rPr>
      </w:pPr>
    </w:p>
    <w:p w14:paraId="431E3E72">
      <w:pPr>
        <w:widowControl/>
        <w:jc w:val="center"/>
        <w:rPr>
          <w:rFonts w:eastAsia="仿宋"/>
        </w:rPr>
      </w:pPr>
      <w:bookmarkStart w:id="54" w:name="_Toc15396618"/>
      <w:r>
        <w:rPr>
          <w:rFonts w:hint="eastAsia" w:eastAsia="黑体"/>
          <w:sz w:val="44"/>
          <w:szCs w:val="44"/>
        </w:rPr>
        <w:t>第</w:t>
      </w:r>
      <w:r>
        <w:rPr>
          <w:rStyle w:val="29"/>
          <w:rFonts w:hint="eastAsia" w:eastAsia="黑体"/>
          <w:b w:val="0"/>
        </w:rPr>
        <w:t>五部分 附表</w:t>
      </w:r>
      <w:bookmarkEnd w:id="51"/>
      <w:bookmarkEnd w:id="54"/>
      <w:bookmarkStart w:id="55" w:name="_Toc15396619"/>
    </w:p>
    <w:p w14:paraId="3BD4EF4B">
      <w:pPr>
        <w:pStyle w:val="14"/>
        <w:adjustRightInd w:val="0"/>
        <w:snapToGrid w:val="0"/>
        <w:spacing w:line="560" w:lineRule="exact"/>
        <w:jc w:val="left"/>
        <w:rPr>
          <w:rFonts w:eastAsia="仿宋_GB2312" w:cs="仿宋_GB2312"/>
          <w:sz w:val="32"/>
          <w:szCs w:val="32"/>
        </w:rPr>
      </w:pPr>
    </w:p>
    <w:p w14:paraId="7DD6D577">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3672CFD5">
      <w:pPr>
        <w:pStyle w:val="14"/>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0D25F0C4">
      <w:pPr>
        <w:pStyle w:val="14"/>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2AFE09B8">
      <w:pPr>
        <w:pStyle w:val="14"/>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2C731261">
      <w:pPr>
        <w:pStyle w:val="14"/>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263E4B07">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0965DC8B">
      <w:pPr>
        <w:pStyle w:val="14"/>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20FB0B4D">
      <w:pPr>
        <w:pStyle w:val="14"/>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018194DE">
      <w:pPr>
        <w:pStyle w:val="14"/>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5A8B6EDA">
      <w:pPr>
        <w:pStyle w:val="14"/>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1B12FCEF">
      <w:pPr>
        <w:pStyle w:val="14"/>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4C208C5B">
      <w:pPr>
        <w:pStyle w:val="14"/>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6764BE85">
      <w:pPr>
        <w:pStyle w:val="14"/>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3072D109"/>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F1E26D-FC3D-4369-822C-207E70CBFB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2D87FB-79E9-482B-93A8-CEAAA0F94FB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ED633F9-0C72-4E3A-B2DD-A557915F08CD}"/>
  </w:font>
  <w:font w:name="仿宋">
    <w:panose1 w:val="02010609060101010101"/>
    <w:charset w:val="86"/>
    <w:family w:val="modern"/>
    <w:pitch w:val="default"/>
    <w:sig w:usb0="800002BF" w:usb1="38CF7CFA" w:usb2="00000016" w:usb3="00000000" w:csb0="00040001" w:csb1="00000000"/>
    <w:embedRegular r:id="rId4" w:fontKey="{C8C5AFD5-4053-4318-BDE0-D67DCD517151}"/>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5" w:fontKey="{60F76225-9F69-4C66-BAF5-586DDAF34928}"/>
  </w:font>
  <w:font w:name="微软雅黑">
    <w:panose1 w:val="020B0503020204020204"/>
    <w:charset w:val="86"/>
    <w:family w:val="swiss"/>
    <w:pitch w:val="default"/>
    <w:sig w:usb0="80000287" w:usb1="2ACF3C50" w:usb2="00000016" w:usb3="00000000" w:csb0="0004001F" w:csb1="00000000"/>
    <w:embedRegular r:id="rId6" w:fontKey="{14CB44A1-6489-4C95-96A5-51AA574E07F2}"/>
  </w:font>
  <w:font w:name="楷体_GB2312">
    <w:panose1 w:val="02010609030101010101"/>
    <w:charset w:val="86"/>
    <w:family w:val="modern"/>
    <w:pitch w:val="default"/>
    <w:sig w:usb0="00000001" w:usb1="080E0000" w:usb2="00000000" w:usb3="00000000" w:csb0="00040000" w:csb1="00000000"/>
    <w:embedRegular r:id="rId7" w:fontKey="{7FBABD5B-16AF-4CB0-BBB4-D6A4637974BA}"/>
  </w:font>
  <w:font w:name="Helvetica">
    <w:altName w:val="Arial"/>
    <w:panose1 w:val="020B0604020202020204"/>
    <w:charset w:val="00"/>
    <w:family w:val="swiss"/>
    <w:pitch w:val="default"/>
    <w:sig w:usb0="00000000" w:usb1="00000000" w:usb2="00000000" w:usb3="00000000" w:csb0="00000001" w:csb1="00000000"/>
    <w:embedRegular r:id="rId8" w:fontKey="{694BAFA7-18A5-4FE3-A012-AF121EF77A37}"/>
  </w:font>
  <w:font w:name="Segoe UI">
    <w:panose1 w:val="020B0502040204020203"/>
    <w:charset w:val="00"/>
    <w:family w:val="swiss"/>
    <w:pitch w:val="default"/>
    <w:sig w:usb0="E4002EFF" w:usb1="C000E47F" w:usb2="00000009" w:usb3="00000000" w:csb0="200001FF" w:csb1="00000000"/>
    <w:embedRegular r:id="rId9" w:fontKey="{B8D0D42C-C691-4B73-BA02-5530A21D36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FEDA">
    <w:pPr>
      <w:pStyle w:val="11"/>
      <w:jc w:val="center"/>
    </w:pPr>
  </w:p>
  <w:p w14:paraId="7750D69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CF84">
    <w:pPr>
      <w:pStyle w:val="11"/>
      <w:jc w:val="center"/>
    </w:pPr>
  </w:p>
  <w:p w14:paraId="6A46DD9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B674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A8C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46FBB"/>
    <w:multiLevelType w:val="multilevel"/>
    <w:tmpl w:val="44146FBB"/>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34B2"/>
    <w:rsid w:val="000468DB"/>
    <w:rsid w:val="00055CE1"/>
    <w:rsid w:val="0006487A"/>
    <w:rsid w:val="00065F8F"/>
    <w:rsid w:val="00070A43"/>
    <w:rsid w:val="000768F2"/>
    <w:rsid w:val="0009184B"/>
    <w:rsid w:val="00094236"/>
    <w:rsid w:val="0009593C"/>
    <w:rsid w:val="00097322"/>
    <w:rsid w:val="000A6A92"/>
    <w:rsid w:val="000B047F"/>
    <w:rsid w:val="000B5923"/>
    <w:rsid w:val="000B5A48"/>
    <w:rsid w:val="000B6FF3"/>
    <w:rsid w:val="000C05D5"/>
    <w:rsid w:val="000C3467"/>
    <w:rsid w:val="000C3CA6"/>
    <w:rsid w:val="000D1267"/>
    <w:rsid w:val="000D1D50"/>
    <w:rsid w:val="000D5782"/>
    <w:rsid w:val="000E0CF6"/>
    <w:rsid w:val="000E6613"/>
    <w:rsid w:val="000E7119"/>
    <w:rsid w:val="00114E9B"/>
    <w:rsid w:val="00142216"/>
    <w:rsid w:val="00144D6A"/>
    <w:rsid w:val="0014729F"/>
    <w:rsid w:val="00157BAB"/>
    <w:rsid w:val="001654D1"/>
    <w:rsid w:val="00174518"/>
    <w:rsid w:val="0018106D"/>
    <w:rsid w:val="001835EB"/>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3835"/>
    <w:rsid w:val="00335A74"/>
    <w:rsid w:val="003621E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7DDF"/>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6E"/>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B42"/>
    <w:rsid w:val="00683E73"/>
    <w:rsid w:val="006A3141"/>
    <w:rsid w:val="006A5E34"/>
    <w:rsid w:val="006B2422"/>
    <w:rsid w:val="006B2B9A"/>
    <w:rsid w:val="006C1937"/>
    <w:rsid w:val="006D6621"/>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EF3"/>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96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4C1"/>
    <w:rsid w:val="00A56DF2"/>
    <w:rsid w:val="00A56E6E"/>
    <w:rsid w:val="00A67AB5"/>
    <w:rsid w:val="00A733B2"/>
    <w:rsid w:val="00A741C2"/>
    <w:rsid w:val="00A91760"/>
    <w:rsid w:val="00A917AA"/>
    <w:rsid w:val="00A93B00"/>
    <w:rsid w:val="00A93C21"/>
    <w:rsid w:val="00AB64C9"/>
    <w:rsid w:val="00AC3C6A"/>
    <w:rsid w:val="00AD5620"/>
    <w:rsid w:val="00AD656B"/>
    <w:rsid w:val="00AD7C1B"/>
    <w:rsid w:val="00AE16BA"/>
    <w:rsid w:val="00AE1EBE"/>
    <w:rsid w:val="00B03C9D"/>
    <w:rsid w:val="00B060AE"/>
    <w:rsid w:val="00B07462"/>
    <w:rsid w:val="00B10517"/>
    <w:rsid w:val="00B14E76"/>
    <w:rsid w:val="00B161B8"/>
    <w:rsid w:val="00B2048C"/>
    <w:rsid w:val="00B218BA"/>
    <w:rsid w:val="00B310B9"/>
    <w:rsid w:val="00B35F3F"/>
    <w:rsid w:val="00B36CBB"/>
    <w:rsid w:val="00B425E0"/>
    <w:rsid w:val="00B440AA"/>
    <w:rsid w:val="00B44B70"/>
    <w:rsid w:val="00B53C56"/>
    <w:rsid w:val="00B57DAF"/>
    <w:rsid w:val="00B62619"/>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58D8"/>
    <w:rsid w:val="00D20620"/>
    <w:rsid w:val="00D254F7"/>
    <w:rsid w:val="00D26091"/>
    <w:rsid w:val="00D2685C"/>
    <w:rsid w:val="00D34E7C"/>
    <w:rsid w:val="00D35489"/>
    <w:rsid w:val="00D36AFE"/>
    <w:rsid w:val="00D51276"/>
    <w:rsid w:val="00D51FC3"/>
    <w:rsid w:val="00D7035F"/>
    <w:rsid w:val="00DA634F"/>
    <w:rsid w:val="00DA65AC"/>
    <w:rsid w:val="00DB1913"/>
    <w:rsid w:val="00DC410D"/>
    <w:rsid w:val="00DC5A81"/>
    <w:rsid w:val="00DC68CA"/>
    <w:rsid w:val="00DC7CBA"/>
    <w:rsid w:val="00DD1B0D"/>
    <w:rsid w:val="00DD73B7"/>
    <w:rsid w:val="00DF28BC"/>
    <w:rsid w:val="00DF34B9"/>
    <w:rsid w:val="00E01053"/>
    <w:rsid w:val="00E07ACF"/>
    <w:rsid w:val="00E331A1"/>
    <w:rsid w:val="00E33202"/>
    <w:rsid w:val="00E336A9"/>
    <w:rsid w:val="00E472B1"/>
    <w:rsid w:val="00E5010E"/>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04EC"/>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577849"/>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iPriority w:val="0"/>
    <w:pPr>
      <w:suppressAutoHyphens/>
    </w:pPr>
    <w:rPr>
      <w:rFonts w:ascii="Calibri" w:hAnsi="Calibri"/>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7551</Words>
  <Characters>8204</Characters>
  <Lines>7</Lines>
  <Paragraphs>16</Paragraphs>
  <TotalTime>1</TotalTime>
  <ScaleCrop>false</ScaleCrop>
  <LinksUpToDate>false</LinksUpToDate>
  <CharactersWithSpaces>8229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2025-10-13T08:58:00Z</dcterms:created>
  <dc:creator>曹颖</dc:creator>
  <cp:lastModifiedBy>奕夕^_^</cp:lastModifiedBy>
  <cp:lastPrinted>2025-08-06T17:34:00Z</cp:lastPrinted>
  <dcterms:modified xsi:type="dcterms:W3CDTF">2025-10-14T07:35:46Z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