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bookmarkStart w:id="0" w:name="_Toc15306267"/>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1" w:name="_Toc15396475"/>
      <w:bookmarkStart w:id="2" w:name="_Toc15377425"/>
      <w:bookmarkStart w:id="3" w:name="_Toc15396597"/>
      <w:bookmarkStart w:id="4" w:name="_Toc15377193"/>
      <w:bookmarkStart w:id="5" w:name="_Toc15378441"/>
      <w:r>
        <w:rPr>
          <w:rFonts w:ascii="黑体" w:hAnsi="黑体" w:eastAsia="黑体"/>
          <w:color w:val="000000" w:themeColor="text1"/>
          <w:sz w:val="72"/>
          <w:szCs w:val="72"/>
          <w14:textFill>
            <w14:solidFill>
              <w14:schemeClr w14:val="tx1"/>
            </w14:solidFill>
          </w14:textFill>
        </w:rPr>
        <w:t>20</w:t>
      </w:r>
      <w:r>
        <w:rPr>
          <w:rFonts w:hint="eastAsia" w:ascii="黑体" w:hAnsi="黑体" w:eastAsia="黑体"/>
          <w:color w:val="000000" w:themeColor="text1"/>
          <w:sz w:val="72"/>
          <w:szCs w:val="72"/>
          <w:lang w:val="en-US" w:eastAsia="zh-CN"/>
          <w14:textFill>
            <w14:solidFill>
              <w14:schemeClr w14:val="tx1"/>
            </w14:solidFill>
          </w14:textFill>
        </w:rPr>
        <w:t>21</w:t>
      </w:r>
      <w:r>
        <w:rPr>
          <w:rFonts w:hint="eastAsia" w:ascii="方正小标宋简体" w:hAnsi="宋体" w:eastAsia="方正小标宋简体"/>
          <w:color w:val="000000" w:themeColor="text1"/>
          <w:sz w:val="72"/>
          <w:szCs w:val="72"/>
          <w14:textFill>
            <w14:solidFill>
              <w14:schemeClr w14:val="tx1"/>
            </w14:solidFill>
          </w14:textFill>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6" w:name="_Toc15396476"/>
      <w:bookmarkStart w:id="7" w:name="_Toc15377426"/>
      <w:bookmarkStart w:id="8" w:name="_Toc15396598"/>
      <w:bookmarkStart w:id="9" w:name="_Toc15377194"/>
      <w:bookmarkStart w:id="10" w:name="_Toc15378442"/>
      <w:r>
        <w:rPr>
          <w:rFonts w:hint="eastAsia" w:ascii="方正小标宋简体" w:hAnsi="宋体" w:eastAsia="方正小标宋简体"/>
          <w:color w:val="000000" w:themeColor="text1"/>
          <w:sz w:val="72"/>
          <w:szCs w:val="72"/>
          <w14:textFill>
            <w14:solidFill>
              <w14:schemeClr w14:val="tx1"/>
            </w14:solidFill>
          </w14:textFill>
        </w:rPr>
        <w:t>四川省</w:t>
      </w:r>
      <w:bookmarkEnd w:id="0"/>
      <w:bookmarkStart w:id="11" w:name="_Toc15306268"/>
      <w:r>
        <w:rPr>
          <w:rFonts w:hint="eastAsia" w:ascii="方正小标宋简体" w:hAnsi="宋体" w:eastAsia="方正小标宋简体"/>
          <w:color w:val="000000" w:themeColor="text1"/>
          <w:sz w:val="72"/>
          <w:szCs w:val="72"/>
          <w14:textFill>
            <w14:solidFill>
              <w14:schemeClr w14:val="tx1"/>
            </w14:solidFill>
          </w14:textFill>
        </w:rPr>
        <w:t>松潘县</w:t>
      </w:r>
      <w:r>
        <w:rPr>
          <w:rFonts w:hint="eastAsia" w:ascii="方正小标宋简体" w:hAnsi="宋体" w:eastAsia="方正小标宋简体"/>
          <w:color w:val="000000" w:themeColor="text1"/>
          <w:sz w:val="72"/>
          <w:szCs w:val="72"/>
          <w:lang w:eastAsia="zh-CN"/>
          <w14:textFill>
            <w14:solidFill>
              <w14:schemeClr w14:val="tx1"/>
            </w14:solidFill>
          </w14:textFill>
        </w:rPr>
        <w:t>农产品质量安全监督检验检测站</w:t>
      </w:r>
      <w:r>
        <w:rPr>
          <w:rFonts w:hint="eastAsia" w:ascii="方正小标宋简体" w:hAnsi="宋体" w:eastAsia="方正小标宋简体"/>
          <w:color w:val="000000" w:themeColor="text1"/>
          <w:sz w:val="72"/>
          <w:szCs w:val="72"/>
          <w14:textFill>
            <w14:solidFill>
              <w14:schemeClr w14:val="tx1"/>
            </w14:solidFill>
          </w14:textFill>
        </w:rPr>
        <w:t>决算</w:t>
      </w:r>
      <w:bookmarkEnd w:id="6"/>
      <w:bookmarkEnd w:id="7"/>
      <w:bookmarkEnd w:id="8"/>
      <w:bookmarkEnd w:id="9"/>
      <w:bookmarkEnd w:id="10"/>
      <w:bookmarkEnd w:id="11"/>
      <w:r>
        <w:rPr>
          <w:rFonts w:hint="eastAsia" w:ascii="方正小标宋简体" w:hAnsi="宋体" w:eastAsia="方正小标宋简体"/>
          <w:color w:val="000000" w:themeColor="text1"/>
          <w:sz w:val="72"/>
          <w:szCs w:val="72"/>
          <w14:textFill>
            <w14:solidFill>
              <w14:schemeClr w14:val="tx1"/>
            </w14:solidFill>
          </w14:textFill>
        </w:rPr>
        <w:t>公开编制说明</w:t>
      </w: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color w:val="000000" w:themeColor="text1"/>
          <w:sz w:val="36"/>
          <w:szCs w:val="36"/>
          <w14:textFill>
            <w14:solidFill>
              <w14:schemeClr w14:val="tx1"/>
            </w14:solidFill>
          </w14:textFill>
        </w:rPr>
        <w:br w:type="page"/>
      </w:r>
      <w:bookmarkStart w:id="12" w:name="_Toc15377196"/>
      <w:bookmarkStart w:id="13" w:name="_Toc15396599"/>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4"/>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公开时间：202</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年9月</w:t>
      </w:r>
      <w:r>
        <w:rPr>
          <w:rFonts w:hint="eastAsia" w:ascii="Times New Roman" w:hAnsi="Times New Roman" w:eastAsia="仿宋_GB2312"/>
          <w:color w:val="000000" w:themeColor="text1"/>
          <w:sz w:val="32"/>
          <w:szCs w:val="32"/>
          <w:lang w:val="en-US" w:eastAsia="zh-CN"/>
          <w14:textFill>
            <w14:solidFill>
              <w14:schemeClr w14:val="tx1"/>
            </w14:solidFill>
          </w14:textFill>
        </w:rPr>
        <w:t>23</w:t>
      </w:r>
      <w:r>
        <w:rPr>
          <w:rFonts w:hint="eastAsia" w:ascii="Times New Roman" w:hAnsi="Times New Roman" w:eastAsia="仿宋_GB2312"/>
          <w:color w:val="000000" w:themeColor="text1"/>
          <w:sz w:val="32"/>
          <w:szCs w:val="32"/>
          <w14:textFill>
            <w14:solidFill>
              <w14:schemeClr w14:val="tx1"/>
            </w14:solidFill>
          </w14:textFill>
        </w:rPr>
        <w:t>日</w:t>
      </w:r>
    </w:p>
    <w:p>
      <w:pPr>
        <w:rPr>
          <w:rFonts w:eastAsia="仿宋_GB2312"/>
          <w:color w:val="000000" w:themeColor="text1"/>
          <w:sz w:val="32"/>
          <w:szCs w:val="32"/>
          <w14:textFill>
            <w14:solidFill>
              <w14:schemeClr w14:val="tx1"/>
            </w14:solidFill>
          </w14:textFill>
        </w:rPr>
      </w:pPr>
    </w:p>
    <w:p>
      <w:pPr>
        <w:pStyle w:val="14"/>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第一部分 部门概况</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一、基本职能及主要工作</w:t>
      </w:r>
      <w:bookmarkStart w:id="55" w:name="_GoBack"/>
      <w:bookmarkEnd w:id="55"/>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二、机构设置</w:t>
      </w:r>
    </w:p>
    <w:p>
      <w:pPr>
        <w:pStyle w:val="14"/>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第二部分2021年度部门决算情况说明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一、收入支出决算总体情况说明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二、收入决算情况说明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三、支出决算情况说明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四、财政拨款收入支出决算总体情况说明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五、一般公共预算财政拨款支出决算情况说明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六、一般公共预算财政拨款基本支出决算情况说明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七、“三公”经费财政拨款支出决算情况说明</w:t>
      </w:r>
    </w:p>
    <w:p>
      <w:pPr>
        <w:pStyle w:val="14"/>
        <w:adjustRightInd w:val="0"/>
        <w:snapToGrid w:val="0"/>
        <w:spacing w:before="0" w:line="578" w:lineRule="exact"/>
        <w:ind w:firstLine="640" w:firstLineChars="200"/>
        <w:jc w:val="left"/>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八、政府性基金预算支出决算情况说明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九、 国有资本经营预算支出决算情况说明</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十、其他重要事项的情况说明</w:t>
      </w:r>
    </w:p>
    <w:p>
      <w:pPr>
        <w:pStyle w:val="14"/>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第三部分 名词解释</w:t>
      </w:r>
    </w:p>
    <w:p>
      <w:pPr>
        <w:pStyle w:val="14"/>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第四部分 附件</w:t>
      </w:r>
    </w:p>
    <w:p>
      <w:pPr>
        <w:pStyle w:val="14"/>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第五部分 附表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一、收入支出决算总表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二、收入决算表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三、支出决算表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四、财政拨款收入支出决算总表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五、财政拨款支出决算明细表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六、一般公共预算财政拨款支出决算表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七、一般公共预算财政拨款支出决算明细表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八、一般公共预算财政拨款基本支出决算表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九、一般公共预算财政拨款项目支出决算表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十、一般公共预算财政拨款“三公”经费支出决算表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十一、政府性基金预算财政拨款收入支出决算表</w:t>
      </w:r>
    </w:p>
    <w:p>
      <w:pPr>
        <w:pStyle w:val="14"/>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十二、政府性基金预算财政拨款“三公”经费支出决算表</w:t>
      </w:r>
    </w:p>
    <w:p>
      <w:pPr>
        <w:pStyle w:val="14"/>
        <w:adjustRightInd w:val="0"/>
        <w:snapToGrid w:val="0"/>
        <w:spacing w:before="0" w:line="578" w:lineRule="exact"/>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十三、国有资产经营预算财政拨款收入支出决算表</w:t>
      </w:r>
    </w:p>
    <w:p>
      <w:pPr>
        <w:pStyle w:val="14"/>
        <w:adjustRightInd w:val="0"/>
        <w:snapToGrid w:val="0"/>
        <w:spacing w:before="0" w:line="578" w:lineRule="exact"/>
        <w:ind w:firstLine="640" w:firstLineChars="200"/>
        <w:jc w:val="left"/>
        <w:rPr>
          <w:rStyle w:val="31"/>
          <w:rFonts w:ascii="黑体" w:hAnsi="黑体" w:eastAsia="黑体"/>
          <w:b w:val="0"/>
          <w:bCs w:val="0"/>
          <w:color w:val="000000" w:themeColor="text1"/>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十四、国有资产经营预算财政拨款支出决算表</w:t>
      </w:r>
      <w:r>
        <w:rPr>
          <w:rFonts w:hint="eastAsia" w:ascii="Times New Roman" w:hAnsi="Times New Roman" w:eastAsia="仿宋_GB2312"/>
          <w:color w:val="000000" w:themeColor="text1"/>
          <w:sz w:val="32"/>
          <w:szCs w:val="32"/>
          <w:lang w:val="en-US" w:eastAsia="zh-CN"/>
          <w14:textFill>
            <w14:solidFill>
              <w14:schemeClr w14:val="tx1"/>
            </w14:solidFill>
          </w14:textFill>
        </w:rPr>
        <w:br w:type="page"/>
      </w:r>
      <w:r>
        <w:rPr>
          <w:rStyle w:val="31"/>
          <w:rFonts w:hint="eastAsia" w:ascii="黑体" w:hAnsi="黑体"/>
        </w:rPr>
        <w:t xml:space="preserve">第一部分 </w:t>
      </w:r>
      <w:r>
        <w:rPr>
          <w:rStyle w:val="31"/>
          <w:rFonts w:hint="eastAsia" w:ascii="黑体" w:hAnsi="黑体" w:eastAsia="黑体"/>
          <w:color w:val="000000" w:themeColor="text1"/>
          <w14:textFill>
            <w14:solidFill>
              <w14:schemeClr w14:val="tx1"/>
            </w14:solidFill>
          </w14:textFill>
        </w:rPr>
        <w:t>部门</w:t>
      </w:r>
      <w:r>
        <w:rPr>
          <w:rStyle w:val="31"/>
          <w:rFonts w:hint="eastAsia" w:ascii="黑体" w:hAnsi="黑体" w:eastAsia="黑体"/>
          <w:b w:val="0"/>
          <w:bCs w:val="0"/>
          <w:color w:val="000000" w:themeColor="text1"/>
          <w14:textFill>
            <w14:solidFill>
              <w14:schemeClr w14:val="tx1"/>
            </w14:solidFill>
          </w14:textFill>
        </w:rPr>
        <w:t>概</w:t>
      </w:r>
      <w:r>
        <w:rPr>
          <w:rStyle w:val="31"/>
          <w:rFonts w:hint="eastAsia" w:ascii="黑体" w:hAnsi="黑体" w:eastAsia="黑体"/>
          <w:color w:val="000000" w:themeColor="text1"/>
          <w14:textFill>
            <w14:solidFill>
              <w14:schemeClr w14:val="tx1"/>
            </w14:solidFill>
          </w14:textFill>
        </w:rPr>
        <w:t>况</w:t>
      </w:r>
      <w:bookmarkEnd w:id="12"/>
      <w:bookmarkEnd w:id="13"/>
    </w:p>
    <w:p>
      <w:pPr>
        <w:pStyle w:val="16"/>
        <w:keepNext w:val="0"/>
        <w:keepLines w:val="0"/>
        <w:widowControl/>
        <w:suppressLineNumbers w:val="0"/>
      </w:pPr>
      <w:bookmarkStart w:id="14" w:name="_Toc15396601"/>
      <w:bookmarkStart w:id="15" w:name="_Toc15377200"/>
      <w:r>
        <w:rPr>
          <w:rFonts w:hint="eastAsia" w:ascii="黑体" w:hAnsi="宋体" w:eastAsia="黑体" w:cs="黑体"/>
          <w:color w:val="000000"/>
          <w:sz w:val="31"/>
          <w:szCs w:val="31"/>
        </w:rPr>
        <w:t>一、基本职能及主要工作</w:t>
      </w:r>
    </w:p>
    <w:p>
      <w:pPr>
        <w:pStyle w:val="16"/>
        <w:keepNext w:val="0"/>
        <w:keepLines w:val="0"/>
        <w:pageBreakBefore w:val="0"/>
        <w:widowControl/>
        <w:suppressLineNumbers w:val="0"/>
        <w:kinsoku/>
        <w:wordWrap/>
        <w:overflowPunct/>
        <w:topLinePunct w:val="0"/>
        <w:bidi w:val="0"/>
        <w:spacing w:line="560" w:lineRule="exact"/>
        <w:ind w:left="0" w:firstLine="640"/>
      </w:pPr>
      <w:r>
        <w:rPr>
          <w:rFonts w:hint="eastAsia" w:ascii="仿宋" w:hAnsi="仿宋" w:eastAsia="仿宋" w:cs="仿宋"/>
          <w:color w:val="000000"/>
          <w:sz w:val="31"/>
          <w:szCs w:val="31"/>
        </w:rPr>
        <w:t>（一）主要职能。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06" w:beforeAutospacing="0" w:after="106" w:afterAutospacing="0" w:line="560" w:lineRule="exact"/>
        <w:ind w:right="0" w:firstLine="640" w:firstLineChars="200"/>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1、拟订全县创新驱动发展战略以及科技发展、引进国外智力规划和政策并组织实施；统筹推进全县科技创新体系建设和体制改革，会同有关部门健全技术创新激励机制，推动企业科技创新能力建设；牵头建立统一的全县科技管理平台和科研项目资金协调、实施、评估、监管机制；会同有关部门提出优化配置科技资源的政策措施建议，推动多元化科技投入体系建设；组织拟订县级财政科技计划（专项、基金）并监督和实施。负责农业先进实用技术的引进、试验示范和推广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06" w:beforeAutospacing="0" w:after="106" w:afterAutospacing="0" w:line="560" w:lineRule="exact"/>
        <w:ind w:right="0" w:firstLine="640" w:firstLineChars="200"/>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2、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国智力工作，会同有关部门制定外国人来县工作政策、办理相关外国人工作许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06" w:beforeAutospacing="0" w:after="106" w:afterAutospacing="0" w:line="560" w:lineRule="exact"/>
        <w:ind w:right="0" w:firstLine="640" w:firstLineChars="200"/>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3、负责拟订全县科技人才队伍建设规划并组织实施，建立健全科技人才评价和激励机制，推动高端科技人才队伍建设。指导农牧业职业教育工作，参与实施农村实用人才培训工程，会同有关部门依法实施农业、农村人才专业技术资格和从业资格管理的有关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06" w:beforeAutospacing="0" w:after="106" w:afterAutospacing="0" w:line="560" w:lineRule="exact"/>
        <w:ind w:right="0" w:firstLine="640" w:firstLineChars="200"/>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4、贯彻执行</w:t>
      </w:r>
      <w:r>
        <w:rPr>
          <w:rFonts w:hint="eastAsia" w:ascii="仿宋_GB2312" w:hAnsi="仿宋" w:eastAsia="仿宋_GB2312" w:cs="仿宋"/>
          <w:sz w:val="32"/>
          <w:szCs w:val="32"/>
          <w:lang w:val="en-US" w:eastAsia="zh-CN" w:bidi="ar-SA"/>
        </w:rPr>
        <w:fldChar w:fldCharType="begin"/>
      </w:r>
      <w:r>
        <w:rPr>
          <w:rFonts w:hint="eastAsia" w:ascii="仿宋_GB2312" w:hAnsi="仿宋" w:eastAsia="仿宋_GB2312" w:cs="仿宋"/>
          <w:sz w:val="32"/>
          <w:szCs w:val="32"/>
          <w:lang w:val="en-US" w:eastAsia="zh-CN" w:bidi="ar-SA"/>
        </w:rPr>
        <w:instrText xml:space="preserve"> HYPERLINK "https://baike.baidu.com/item/%E5%9B%BD%E5%AE%B6/17205" </w:instrText>
      </w:r>
      <w:r>
        <w:rPr>
          <w:rFonts w:hint="eastAsia" w:ascii="仿宋_GB2312" w:hAnsi="仿宋" w:eastAsia="仿宋_GB2312" w:cs="仿宋"/>
          <w:sz w:val="32"/>
          <w:szCs w:val="32"/>
          <w:lang w:val="en-US" w:eastAsia="zh-CN" w:bidi="ar-SA"/>
        </w:rPr>
        <w:fldChar w:fldCharType="separate"/>
      </w:r>
      <w:r>
        <w:rPr>
          <w:rFonts w:hint="eastAsia" w:ascii="仿宋_GB2312" w:hAnsi="仿宋" w:eastAsia="仿宋_GB2312" w:cs="仿宋"/>
          <w:sz w:val="32"/>
          <w:szCs w:val="32"/>
          <w:lang w:val="en-US" w:eastAsia="zh-CN" w:bidi="ar-SA"/>
        </w:rPr>
        <w:t>国家</w:t>
      </w:r>
      <w:r>
        <w:rPr>
          <w:rFonts w:hint="eastAsia" w:ascii="仿宋_GB2312" w:hAnsi="仿宋" w:eastAsia="仿宋_GB2312" w:cs="仿宋"/>
          <w:sz w:val="32"/>
          <w:szCs w:val="32"/>
          <w:lang w:val="en-US" w:eastAsia="zh-CN" w:bidi="ar-SA"/>
        </w:rPr>
        <w:fldChar w:fldCharType="end"/>
      </w:r>
      <w:r>
        <w:rPr>
          <w:rFonts w:hint="eastAsia" w:ascii="仿宋_GB2312" w:hAnsi="仿宋" w:eastAsia="仿宋_GB2312" w:cs="仿宋"/>
          <w:sz w:val="32"/>
          <w:szCs w:val="32"/>
          <w:lang w:val="en-US" w:eastAsia="zh-CN" w:bidi="ar-SA"/>
        </w:rPr>
        <w:t>有关科学技术、农牧渔业、农业机械化等领域工作的法律法规、政策以及省州县有关决策部署。拟订和组织实施“三农”工作、科学技术的重大政策中长期规划和年度计划；起草农业农村、科学技术等有关地方性行政规范性文件。参与拟订涉农财税、价格、金融保险等政策，提出农业产业保护的政策建议，推进依法行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06" w:beforeAutospacing="0" w:after="106" w:afterAutospacing="0" w:line="560" w:lineRule="exact"/>
        <w:ind w:right="0" w:firstLine="640" w:firstLineChars="200"/>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5、统筹推进乡村振兴战略，牵头组织改善全县农村人居环境。统筹推动发展农村社会事业、农村公共服务、农村文化、农村基础设施和乡村治理。指导农业遗产的保护和开发利用以及农村精神文明和优秀农耕文化建设。负责拟订全县先进农业机械化发展规划并组织实施。指导设施农业、农机库棚、机电提灌、机耕道等基础设施建设。完成县委、县政府交办的其他任务。</w:t>
      </w:r>
    </w:p>
    <w:bookmarkEnd w:id="14"/>
    <w:bookmarkEnd w:id="15"/>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 w:hAnsi="仿宋" w:eastAsia="仿宋" w:cs="仿宋"/>
          <w:color w:val="000000"/>
          <w:sz w:val="31"/>
          <w:szCs w:val="31"/>
          <w:highlight w:val="none"/>
        </w:rPr>
      </w:pPr>
      <w:bookmarkStart w:id="16" w:name="_Toc15377204"/>
      <w:bookmarkStart w:id="17" w:name="_Toc15396602"/>
      <w:r>
        <w:rPr>
          <w:rFonts w:hint="eastAsia" w:ascii="仿宋" w:hAnsi="仿宋" w:eastAsia="仿宋" w:cs="仿宋"/>
          <w:color w:val="000000"/>
          <w:sz w:val="31"/>
          <w:szCs w:val="31"/>
          <w:highlight w:val="none"/>
        </w:rPr>
        <w:t>（二）2021年重点工作完成情况。</w:t>
      </w:r>
    </w:p>
    <w:p>
      <w:pPr>
        <w:keepNext w:val="0"/>
        <w:keepLines w:val="0"/>
        <w:pageBreakBefore w:val="0"/>
        <w:kinsoku/>
        <w:wordWrap/>
        <w:overflowPunct/>
        <w:topLinePunct w:val="0"/>
        <w:autoSpaceDE/>
        <w:bidi w:val="0"/>
        <w:spacing w:line="560" w:lineRule="exact"/>
        <w:ind w:firstLine="643"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ascii="楷体_GB2312" w:hAnsi="楷体_GB2312" w:eastAsia="仿宋_GB2312" w:cs="楷体_GB2312"/>
          <w:b/>
          <w:snapToGrid w:val="0"/>
          <w:color w:val="auto"/>
          <w:sz w:val="32"/>
          <w:szCs w:val="32"/>
          <w:lang w:val="en-US" w:eastAsia="zh-CN"/>
        </w:rPr>
        <w:t>一是强化</w:t>
      </w:r>
      <w:r>
        <w:rPr>
          <w:rFonts w:hint="eastAsia" w:ascii="楷体_GB2312" w:hAnsi="楷体_GB2312" w:eastAsia="仿宋_GB2312" w:cs="楷体_GB2312"/>
          <w:b/>
          <w:snapToGrid w:val="0"/>
          <w:color w:val="auto"/>
          <w:sz w:val="32"/>
          <w:szCs w:val="32"/>
        </w:rPr>
        <w:t>品牌</w:t>
      </w:r>
      <w:r>
        <w:rPr>
          <w:rFonts w:hint="eastAsia" w:ascii="楷体_GB2312" w:hAnsi="楷体_GB2312" w:eastAsia="仿宋_GB2312" w:cs="楷体_GB2312"/>
          <w:b/>
          <w:snapToGrid w:val="0"/>
          <w:color w:val="auto"/>
          <w:sz w:val="32"/>
          <w:szCs w:val="32"/>
          <w:lang w:val="en-US" w:eastAsia="zh-CN"/>
        </w:rPr>
        <w:t>标准化建设</w:t>
      </w:r>
      <w:r>
        <w:rPr>
          <w:rFonts w:hint="eastAsia" w:ascii="楷体_GB2312" w:hAnsi="楷体_GB2312" w:eastAsia="仿宋_GB2312" w:cs="楷体_GB2312"/>
          <w:b/>
          <w:snapToGrid w:val="0"/>
          <w:color w:val="auto"/>
          <w:sz w:val="32"/>
          <w:szCs w:val="32"/>
        </w:rPr>
        <w:t>。</w:t>
      </w:r>
      <w:r>
        <w:rPr>
          <w:rFonts w:hint="default" w:ascii="Times New Roman" w:hAnsi="Times New Roman" w:eastAsia="仿宋_GB2312" w:cs="Times New Roman"/>
          <w:spacing w:val="0"/>
          <w:sz w:val="32"/>
          <w:szCs w:val="32"/>
          <w:lang w:val="en-US" w:eastAsia="zh-CN"/>
        </w:rPr>
        <w:t>围绕</w:t>
      </w:r>
      <w:r>
        <w:rPr>
          <w:rFonts w:hint="default" w:ascii="Times New Roman" w:hAnsi="Times New Roman" w:eastAsia="仿宋_GB2312" w:cs="Times New Roman"/>
          <w:spacing w:val="0"/>
          <w:sz w:val="32"/>
          <w:szCs w:val="32"/>
        </w:rPr>
        <w:t>“净土阿坝”</w:t>
      </w:r>
      <w:r>
        <w:rPr>
          <w:rFonts w:hint="default" w:ascii="Times New Roman" w:hAnsi="Times New Roman" w:eastAsia="仿宋_GB2312" w:cs="Times New Roman"/>
          <w:spacing w:val="0"/>
          <w:sz w:val="32"/>
          <w:szCs w:val="32"/>
          <w:lang w:val="en-US" w:eastAsia="zh-CN"/>
        </w:rPr>
        <w:t>品牌，积极开展“三品一标”认证，</w:t>
      </w:r>
      <w:r>
        <w:rPr>
          <w:rFonts w:hint="eastAsia" w:ascii="Times New Roman" w:hAnsi="Times New Roman" w:eastAsia="仿宋_GB2312" w:cs="Times New Roman"/>
          <w:color w:val="auto"/>
          <w:spacing w:val="0"/>
          <w:sz w:val="32"/>
          <w:szCs w:val="32"/>
          <w:lang w:val="en-US" w:eastAsia="zh-CN"/>
        </w:rPr>
        <w:t>全年1</w:t>
      </w:r>
      <w:r>
        <w:rPr>
          <w:rFonts w:hint="eastAsia" w:eastAsia="仿宋_GB2312" w:cs="Times New Roman"/>
          <w:color w:val="auto"/>
          <w:spacing w:val="0"/>
          <w:sz w:val="32"/>
          <w:szCs w:val="32"/>
          <w:lang w:val="en-US" w:eastAsia="zh-CN"/>
        </w:rPr>
        <w:t>3</w:t>
      </w:r>
      <w:r>
        <w:rPr>
          <w:rFonts w:hint="eastAsia" w:ascii="Times New Roman" w:hAnsi="Times New Roman" w:eastAsia="仿宋_GB2312" w:cs="Times New Roman"/>
          <w:color w:val="auto"/>
          <w:spacing w:val="0"/>
          <w:sz w:val="32"/>
          <w:szCs w:val="32"/>
          <w:lang w:val="en-US" w:eastAsia="zh-CN"/>
        </w:rPr>
        <w:t>个</w:t>
      </w:r>
      <w:r>
        <w:rPr>
          <w:rFonts w:hint="default" w:ascii="Times New Roman" w:hAnsi="Times New Roman" w:eastAsia="仿宋_GB2312" w:cs="Times New Roman"/>
          <w:color w:val="auto"/>
          <w:spacing w:val="0"/>
          <w:sz w:val="32"/>
          <w:szCs w:val="32"/>
          <w:lang w:val="en-US" w:eastAsia="zh-CN"/>
        </w:rPr>
        <w:t>农产品</w:t>
      </w:r>
      <w:r>
        <w:rPr>
          <w:rFonts w:hint="eastAsia" w:ascii="Times New Roman" w:hAnsi="Times New Roman" w:eastAsia="仿宋_GB2312" w:cs="Times New Roman"/>
          <w:color w:val="auto"/>
          <w:spacing w:val="0"/>
          <w:sz w:val="32"/>
          <w:szCs w:val="32"/>
          <w:lang w:val="en-US" w:eastAsia="zh-CN"/>
        </w:rPr>
        <w:t>取得</w:t>
      </w:r>
      <w:r>
        <w:rPr>
          <w:rFonts w:hint="default" w:ascii="Times New Roman" w:hAnsi="Times New Roman" w:eastAsia="仿宋_GB2312" w:cs="Times New Roman"/>
          <w:color w:val="auto"/>
          <w:spacing w:val="0"/>
          <w:sz w:val="32"/>
          <w:szCs w:val="32"/>
          <w:lang w:val="en-US" w:eastAsia="zh-CN"/>
        </w:rPr>
        <w:t>无公害认证</w:t>
      </w:r>
      <w:r>
        <w:rPr>
          <w:rFonts w:hint="eastAsia" w:ascii="Times New Roman" w:hAnsi="Times New Roman" w:eastAsia="仿宋_GB2312" w:cs="Times New Roman"/>
          <w:color w:val="auto"/>
          <w:spacing w:val="0"/>
          <w:sz w:val="32"/>
          <w:szCs w:val="32"/>
          <w:lang w:val="en-US" w:eastAsia="zh-CN"/>
        </w:rPr>
        <w:t>，2个</w:t>
      </w:r>
      <w:r>
        <w:rPr>
          <w:rFonts w:hint="default" w:ascii="Times New Roman" w:hAnsi="Times New Roman" w:eastAsia="仿宋_GB2312" w:cs="Times New Roman"/>
          <w:color w:val="auto"/>
          <w:spacing w:val="0"/>
          <w:sz w:val="32"/>
          <w:szCs w:val="32"/>
          <w:lang w:val="en-US" w:eastAsia="zh-CN"/>
        </w:rPr>
        <w:t>农产品</w:t>
      </w:r>
      <w:r>
        <w:rPr>
          <w:rFonts w:hint="eastAsia" w:ascii="Times New Roman" w:hAnsi="Times New Roman" w:eastAsia="仿宋_GB2312" w:cs="Times New Roman"/>
          <w:color w:val="auto"/>
          <w:spacing w:val="0"/>
          <w:sz w:val="32"/>
          <w:szCs w:val="32"/>
          <w:lang w:val="en-US" w:eastAsia="zh-CN"/>
        </w:rPr>
        <w:t>取得绿色</w:t>
      </w:r>
      <w:r>
        <w:rPr>
          <w:rFonts w:hint="default" w:ascii="Times New Roman" w:hAnsi="Times New Roman" w:eastAsia="仿宋_GB2312" w:cs="Times New Roman"/>
          <w:color w:val="auto"/>
          <w:spacing w:val="0"/>
          <w:sz w:val="32"/>
          <w:szCs w:val="32"/>
          <w:lang w:val="en-US" w:eastAsia="zh-CN"/>
        </w:rPr>
        <w:t>认证</w:t>
      </w:r>
      <w:r>
        <w:rPr>
          <w:rFonts w:hint="eastAsia" w:ascii="Times New Roman" w:hAnsi="Times New Roman" w:eastAsia="仿宋_GB2312" w:cs="Times New Roman"/>
          <w:color w:val="auto"/>
          <w:spacing w:val="0"/>
          <w:sz w:val="32"/>
          <w:szCs w:val="32"/>
          <w:lang w:val="en-US" w:eastAsia="zh-CN"/>
        </w:rPr>
        <w:t>，9个</w:t>
      </w:r>
      <w:r>
        <w:rPr>
          <w:rFonts w:hint="default" w:ascii="Times New Roman" w:hAnsi="Times New Roman" w:eastAsia="仿宋_GB2312" w:cs="Times New Roman"/>
          <w:color w:val="auto"/>
          <w:spacing w:val="0"/>
          <w:sz w:val="32"/>
          <w:szCs w:val="32"/>
          <w:lang w:val="en-US" w:eastAsia="zh-CN"/>
        </w:rPr>
        <w:t>农产品</w:t>
      </w:r>
      <w:r>
        <w:rPr>
          <w:rFonts w:hint="eastAsia" w:ascii="Times New Roman" w:hAnsi="Times New Roman" w:eastAsia="仿宋_GB2312" w:cs="Times New Roman"/>
          <w:color w:val="auto"/>
          <w:spacing w:val="0"/>
          <w:sz w:val="32"/>
          <w:szCs w:val="32"/>
          <w:lang w:val="en-US" w:eastAsia="zh-CN"/>
        </w:rPr>
        <w:t>取得有机</w:t>
      </w:r>
      <w:r>
        <w:rPr>
          <w:rFonts w:hint="default" w:ascii="Times New Roman" w:hAnsi="Times New Roman" w:eastAsia="仿宋_GB2312" w:cs="Times New Roman"/>
          <w:color w:val="auto"/>
          <w:spacing w:val="0"/>
          <w:sz w:val="32"/>
          <w:szCs w:val="32"/>
          <w:lang w:val="en-US" w:eastAsia="zh-CN"/>
        </w:rPr>
        <w:t>认证。</w:t>
      </w:r>
    </w:p>
    <w:p>
      <w:pPr>
        <w:pStyle w:val="2"/>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b/>
          <w:bCs/>
          <w:color w:val="auto"/>
          <w:sz w:val="32"/>
          <w:szCs w:val="32"/>
          <w:lang w:val="en-US" w:eastAsia="zh-CN"/>
        </w:rPr>
      </w:pPr>
      <w:r>
        <w:rPr>
          <w:rFonts w:hint="eastAsia" w:ascii="楷体_GB2312" w:hAnsi="楷体_GB2312" w:eastAsia="仿宋_GB2312" w:cs="楷体_GB2312"/>
          <w:b/>
          <w:bCs/>
          <w:sz w:val="32"/>
          <w:szCs w:val="32"/>
          <w:lang w:val="en-US" w:eastAsia="zh-CN"/>
        </w:rPr>
        <w:t>二是</w:t>
      </w:r>
      <w:r>
        <w:rPr>
          <w:rFonts w:hint="default" w:ascii="Times New Roman" w:hAnsi="Times New Roman" w:eastAsia="楷体_GB2312" w:cs="Times New Roman"/>
          <w:b/>
          <w:bCs w:val="0"/>
          <w:color w:val="auto"/>
          <w:kern w:val="0"/>
          <w:sz w:val="32"/>
          <w:szCs w:val="32"/>
          <w:lang w:val="en-US" w:eastAsia="zh-CN" w:bidi="ar"/>
        </w:rPr>
        <w:t>推进科技创新发展</w:t>
      </w:r>
      <w:r>
        <w:rPr>
          <w:rFonts w:hint="eastAsia" w:ascii="Times New Roman" w:hAnsi="Times New Roman" w:eastAsia="楷体_GB2312" w:cs="Times New Roman"/>
          <w:b/>
          <w:bCs w:val="0"/>
          <w:color w:val="auto"/>
          <w:kern w:val="0"/>
          <w:sz w:val="32"/>
          <w:szCs w:val="32"/>
          <w:lang w:val="en-US" w:eastAsia="zh-CN" w:bidi="ar"/>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采取“理论培训+实际操作”方式，对县级平台专家、信息员开展“四川科技扶贫在线”培训，实现平台有效信息咨询量达1300</w:t>
      </w:r>
      <w:r>
        <w:rPr>
          <w:rFonts w:hint="eastAsia" w:ascii="仿宋_GB2312" w:hAnsi="宋体" w:eastAsia="仿宋_GB2312"/>
          <w:color w:val="auto"/>
          <w:sz w:val="32"/>
          <w:szCs w:val="32"/>
        </w:rPr>
        <w:t>条</w:t>
      </w:r>
      <w:r>
        <w:rPr>
          <w:rFonts w:hint="eastAsia" w:ascii="仿宋_GB2312" w:hAnsi="宋体" w:eastAsia="仿宋_GB2312"/>
          <w:color w:val="auto"/>
          <w:sz w:val="32"/>
          <w:szCs w:val="32"/>
          <w:lang w:eastAsia="zh-CN"/>
        </w:rPr>
        <w:t>，完成</w:t>
      </w:r>
      <w:r>
        <w:rPr>
          <w:rFonts w:hint="eastAsia" w:ascii="仿宋_GB2312" w:eastAsia="仿宋_GB2312"/>
          <w:color w:val="auto"/>
          <w:sz w:val="32"/>
          <w:szCs w:val="32"/>
          <w:lang w:val="en-US" w:eastAsia="zh-CN"/>
        </w:rPr>
        <w:t>目标任务185.7</w:t>
      </w:r>
      <w:r>
        <w:rPr>
          <w:rFonts w:hint="eastAsia" w:ascii="仿宋_GB2312" w:hAnsi="宋体" w:eastAsia="仿宋_GB2312"/>
          <w:color w:val="auto"/>
          <w:sz w:val="32"/>
          <w:szCs w:val="32"/>
          <w:lang w:val="en-US" w:eastAsia="zh-CN"/>
        </w:rPr>
        <w:t>%。</w:t>
      </w:r>
      <w:r>
        <w:rPr>
          <w:rFonts w:hint="eastAsia" w:ascii="仿宋_GB2312" w:hAnsi="宋体" w:eastAsia="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以“科技扶贫万里行”活动为载体，邀请西南科技大学等专家采取手把手、面对面的方式，对我县农牧民开展实用新技术培训，累计举办各类培训班15场次，培训农牧民达6000余人次</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u w:val="none" w:color="000000"/>
          <w:lang w:val="en-US" w:eastAsia="zh-CN" w:bidi="ar-SA"/>
        </w:rPr>
      </w:pPr>
      <w:r>
        <w:rPr>
          <w:rFonts w:hint="eastAsia" w:ascii="Times New Roman" w:hAnsi="Times New Roman" w:eastAsia="仿宋_GB2312" w:cs="Times New Roman"/>
          <w:b/>
          <w:bCs/>
          <w:color w:val="auto"/>
          <w:sz w:val="32"/>
          <w:szCs w:val="32"/>
          <w:u w:val="none" w:color="000000"/>
          <w:lang w:val="en-US" w:eastAsia="zh-CN" w:bidi="ar-SA"/>
        </w:rPr>
        <w:t>三是</w:t>
      </w:r>
      <w:r>
        <w:rPr>
          <w:rFonts w:hint="default" w:ascii="Times New Roman" w:hAnsi="Times New Roman" w:eastAsia="仿宋_GB2312" w:cs="Times New Roman"/>
          <w:b/>
          <w:bCs/>
          <w:color w:val="auto"/>
          <w:sz w:val="32"/>
          <w:szCs w:val="32"/>
          <w:u w:val="none" w:color="000000"/>
          <w:lang w:val="en-US" w:eastAsia="zh-CN" w:bidi="ar-SA"/>
        </w:rPr>
        <w:t>强化惠农惠民政策落地</w:t>
      </w:r>
      <w:r>
        <w:rPr>
          <w:rFonts w:hint="eastAsia" w:ascii="Times New Roman" w:hAnsi="Times New Roman" w:eastAsia="仿宋_GB2312" w:cs="Times New Roman"/>
          <w:b/>
          <w:bCs/>
          <w:color w:val="auto"/>
          <w:sz w:val="32"/>
          <w:szCs w:val="32"/>
          <w:u w:val="none" w:color="000000"/>
          <w:lang w:val="en-US" w:eastAsia="zh-CN" w:bidi="ar-SA"/>
        </w:rPr>
        <w:t>落实</w:t>
      </w:r>
      <w:r>
        <w:rPr>
          <w:rFonts w:hint="default" w:ascii="Times New Roman" w:hAnsi="Times New Roman" w:eastAsia="仿宋_GB2312" w:cs="Times New Roman"/>
          <w:b/>
          <w:bCs/>
          <w:color w:val="auto"/>
          <w:sz w:val="32"/>
          <w:szCs w:val="32"/>
          <w:u w:val="none" w:color="000000"/>
          <w:lang w:val="en-US" w:eastAsia="zh-CN" w:bidi="ar-SA"/>
        </w:rPr>
        <w:t>。</w:t>
      </w:r>
      <w:r>
        <w:rPr>
          <w:rFonts w:hint="eastAsia" w:ascii="Times New Roman" w:hAnsi="Times New Roman" w:eastAsia="仿宋_GB2312" w:cs="Times New Roman"/>
          <w:b/>
          <w:bCs/>
          <w:color w:val="auto"/>
          <w:sz w:val="32"/>
          <w:szCs w:val="32"/>
          <w:u w:val="none" w:color="000000"/>
          <w:lang w:val="en-US" w:eastAsia="zh-CN" w:bidi="ar-SA"/>
        </w:rPr>
        <w:t>一是</w:t>
      </w:r>
      <w:r>
        <w:rPr>
          <w:rFonts w:hint="default" w:ascii="Times New Roman" w:hAnsi="Times New Roman" w:eastAsia="仿宋_GB2312" w:cs="Times New Roman"/>
          <w:b w:val="0"/>
          <w:bCs w:val="0"/>
          <w:color w:val="auto"/>
          <w:sz w:val="32"/>
          <w:szCs w:val="32"/>
          <w:u w:val="none" w:color="000000"/>
          <w:lang w:val="en-US" w:eastAsia="zh-CN" w:bidi="ar-SA"/>
        </w:rPr>
        <w:t>为全县17个乡镇11341户农户14.06821万亩</w:t>
      </w:r>
      <w:r>
        <w:rPr>
          <w:rFonts w:hint="eastAsia" w:ascii="Times New Roman" w:hAnsi="Times New Roman" w:eastAsia="仿宋_GB2312" w:cs="Times New Roman"/>
          <w:b w:val="0"/>
          <w:bCs w:val="0"/>
          <w:color w:val="auto"/>
          <w:sz w:val="32"/>
          <w:szCs w:val="32"/>
          <w:u w:val="none" w:color="000000"/>
          <w:lang w:val="en-US" w:eastAsia="zh-CN" w:bidi="ar-SA"/>
        </w:rPr>
        <w:t>耕地</w:t>
      </w:r>
      <w:r>
        <w:rPr>
          <w:rFonts w:hint="default" w:ascii="Times New Roman" w:hAnsi="Times New Roman" w:eastAsia="仿宋_GB2312" w:cs="Times New Roman"/>
          <w:b w:val="0"/>
          <w:bCs w:val="0"/>
          <w:color w:val="auto"/>
          <w:sz w:val="32"/>
          <w:szCs w:val="32"/>
          <w:u w:val="none" w:color="000000"/>
          <w:lang w:val="en-US" w:eastAsia="zh-CN" w:bidi="ar-SA"/>
        </w:rPr>
        <w:t>兑付</w:t>
      </w:r>
      <w:r>
        <w:rPr>
          <w:rFonts w:hint="eastAsia" w:ascii="Times New Roman" w:hAnsi="Times New Roman" w:eastAsia="仿宋_GB2312" w:cs="Times New Roman"/>
          <w:b w:val="0"/>
          <w:bCs w:val="0"/>
          <w:color w:val="auto"/>
          <w:sz w:val="32"/>
          <w:szCs w:val="32"/>
          <w:u w:val="none" w:color="000000"/>
          <w:lang w:val="en-US" w:eastAsia="zh-CN" w:bidi="ar-SA"/>
        </w:rPr>
        <w:t>耕地地力保护</w:t>
      </w:r>
      <w:r>
        <w:rPr>
          <w:rFonts w:hint="default" w:ascii="Times New Roman" w:hAnsi="Times New Roman" w:eastAsia="仿宋_GB2312" w:cs="Times New Roman"/>
          <w:b w:val="0"/>
          <w:bCs w:val="0"/>
          <w:color w:val="auto"/>
          <w:sz w:val="32"/>
          <w:szCs w:val="32"/>
          <w:u w:val="none" w:color="000000"/>
          <w:lang w:val="en-US" w:eastAsia="zh-CN" w:bidi="ar-SA"/>
        </w:rPr>
        <w:t>补贴资金755.6万元</w:t>
      </w:r>
      <w:r>
        <w:rPr>
          <w:rFonts w:hint="eastAsia" w:ascii="Times New Roman" w:hAnsi="Times New Roman" w:eastAsia="仿宋_GB2312" w:cs="Times New Roman"/>
          <w:b w:val="0"/>
          <w:bCs w:val="0"/>
          <w:color w:val="auto"/>
          <w:sz w:val="32"/>
          <w:szCs w:val="32"/>
          <w:u w:val="none" w:color="000000"/>
          <w:lang w:val="en-US" w:eastAsia="zh-CN" w:bidi="ar-SA"/>
        </w:rPr>
        <w:t>。</w:t>
      </w:r>
      <w:r>
        <w:rPr>
          <w:rFonts w:hint="eastAsia" w:ascii="Times New Roman" w:hAnsi="Times New Roman" w:eastAsia="仿宋_GB2312" w:cs="Times New Roman"/>
          <w:b/>
          <w:bCs/>
          <w:color w:val="auto"/>
          <w:sz w:val="32"/>
          <w:szCs w:val="32"/>
          <w:u w:val="none" w:color="000000"/>
          <w:lang w:val="en-US" w:eastAsia="zh-CN" w:bidi="ar-SA"/>
        </w:rPr>
        <w:t>二是</w:t>
      </w:r>
      <w:r>
        <w:rPr>
          <w:rFonts w:hint="eastAsia" w:ascii="Times New Roman" w:hAnsi="Times New Roman" w:eastAsia="仿宋_GB2312" w:cs="Times New Roman"/>
          <w:b w:val="0"/>
          <w:bCs w:val="0"/>
          <w:color w:val="auto"/>
          <w:sz w:val="32"/>
          <w:szCs w:val="32"/>
          <w:u w:val="none" w:color="000000"/>
          <w:lang w:val="en-US" w:eastAsia="zh-CN" w:bidi="ar-SA"/>
        </w:rPr>
        <w:t>为</w:t>
      </w:r>
      <w:r>
        <w:rPr>
          <w:rFonts w:hint="default" w:ascii="Times New Roman" w:hAnsi="Times New Roman" w:eastAsia="仿宋_GB2312" w:cs="Times New Roman"/>
          <w:b w:val="0"/>
          <w:bCs w:val="0"/>
          <w:color w:val="auto"/>
          <w:sz w:val="32"/>
          <w:szCs w:val="32"/>
          <w:u w:val="none" w:color="000000"/>
          <w:lang w:val="en-US" w:eastAsia="zh-CN" w:bidi="ar-SA"/>
        </w:rPr>
        <w:t>全县17个乡镇</w:t>
      </w:r>
      <w:r>
        <w:rPr>
          <w:rFonts w:hint="eastAsia" w:ascii="Times New Roman" w:hAnsi="Times New Roman" w:eastAsia="仿宋_GB2312" w:cs="Times New Roman"/>
          <w:b w:val="0"/>
          <w:bCs w:val="0"/>
          <w:color w:val="auto"/>
          <w:sz w:val="32"/>
          <w:szCs w:val="32"/>
          <w:u w:val="none" w:color="000000"/>
          <w:lang w:val="en-US" w:eastAsia="zh-CN" w:bidi="ar-SA"/>
        </w:rPr>
        <w:t>110个村15503</w:t>
      </w:r>
      <w:r>
        <w:rPr>
          <w:rFonts w:hint="default" w:ascii="Times New Roman" w:hAnsi="Times New Roman" w:eastAsia="仿宋_GB2312" w:cs="Times New Roman"/>
          <w:b w:val="0"/>
          <w:bCs w:val="0"/>
          <w:color w:val="auto"/>
          <w:sz w:val="32"/>
          <w:szCs w:val="32"/>
          <w:u w:val="none" w:color="000000"/>
          <w:lang w:val="en-US" w:eastAsia="zh-CN" w:bidi="ar-SA"/>
        </w:rPr>
        <w:t>户</w:t>
      </w:r>
      <w:r>
        <w:rPr>
          <w:rFonts w:hint="eastAsia" w:ascii="Times New Roman" w:hAnsi="Times New Roman" w:eastAsia="仿宋_GB2312" w:cs="Times New Roman"/>
          <w:b w:val="0"/>
          <w:bCs w:val="0"/>
          <w:color w:val="auto"/>
          <w:sz w:val="32"/>
          <w:szCs w:val="32"/>
          <w:u w:val="none" w:color="000000"/>
          <w:lang w:val="en-US" w:eastAsia="zh-CN" w:bidi="ar-SA"/>
        </w:rPr>
        <w:t>牧</w:t>
      </w:r>
      <w:r>
        <w:rPr>
          <w:rFonts w:hint="default" w:ascii="Times New Roman" w:hAnsi="Times New Roman" w:eastAsia="仿宋_GB2312" w:cs="Times New Roman"/>
          <w:b w:val="0"/>
          <w:bCs w:val="0"/>
          <w:color w:val="auto"/>
          <w:sz w:val="32"/>
          <w:szCs w:val="32"/>
          <w:u w:val="none" w:color="000000"/>
          <w:lang w:val="en-US" w:eastAsia="zh-CN" w:bidi="ar-SA"/>
        </w:rPr>
        <w:t>户兑付</w:t>
      </w:r>
      <w:r>
        <w:rPr>
          <w:rFonts w:hint="eastAsia" w:ascii="Times New Roman" w:hAnsi="Times New Roman" w:eastAsia="仿宋_GB2312" w:cs="Times New Roman"/>
          <w:b w:val="0"/>
          <w:bCs w:val="0"/>
          <w:color w:val="auto"/>
          <w:sz w:val="32"/>
          <w:szCs w:val="32"/>
          <w:u w:val="none" w:color="000000"/>
          <w:lang w:val="en-US" w:eastAsia="zh-CN" w:bidi="ar-SA"/>
        </w:rPr>
        <w:t>农牧民奖励政策资金1878.125万元</w:t>
      </w:r>
      <w:r>
        <w:rPr>
          <w:rFonts w:hint="default" w:ascii="Times New Roman" w:hAnsi="Times New Roman" w:eastAsia="仿宋_GB2312" w:cs="Times New Roman"/>
          <w:b w:val="0"/>
          <w:bCs w:val="0"/>
          <w:color w:val="auto"/>
          <w:sz w:val="32"/>
          <w:szCs w:val="32"/>
          <w:u w:val="none"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bCs/>
          <w:color w:val="auto"/>
          <w:sz w:val="32"/>
          <w:szCs w:val="32"/>
          <w:u w:val="none" w:color="000000"/>
          <w:lang w:val="en-US" w:eastAsia="zh-CN" w:bidi="ar-SA"/>
        </w:rPr>
        <w:t>四是突出生态环境保护。</w:t>
      </w:r>
      <w:r>
        <w:rPr>
          <w:rFonts w:hint="eastAsia" w:ascii="仿宋_GB2312" w:hAnsi="仿宋_GB2312" w:eastAsia="仿宋_GB2312" w:cs="仿宋_GB2312"/>
          <w:sz w:val="32"/>
          <w:szCs w:val="32"/>
        </w:rPr>
        <w:t>按照“以草定畜、增草增畜、科学利用、可持续发展”要求，采取“减畜、增草、提质、转人、转变生产方式”等措施，有效解决了黄河流域上游草原超载过牧问题。</w:t>
      </w:r>
      <w:r>
        <w:rPr>
          <w:rFonts w:hint="eastAsia" w:ascii="仿宋_GB2312" w:hAnsi="仿宋_GB2312" w:eastAsia="仿宋_GB2312" w:cs="仿宋_GB2312"/>
          <w:b/>
          <w:bCs/>
          <w:sz w:val="32"/>
          <w:szCs w:val="32"/>
        </w:rPr>
        <w:t>一是全面落实草原禁牧、草畜平衡制度。</w:t>
      </w:r>
      <w:r>
        <w:rPr>
          <w:rFonts w:hint="eastAsia" w:ascii="仿宋_GB2312" w:hAnsi="仿宋_GB2312" w:eastAsia="仿宋_GB2312" w:cs="仿宋_GB2312"/>
          <w:sz w:val="32"/>
          <w:szCs w:val="32"/>
        </w:rPr>
        <w:t>在巩固第一轮草原生态保护补助奖励政策取得成果的基础上，对牧区生存环境恶劣，生态脆弱，植被盖度50%以下、鲜草产量200公斤以下、具有特殊生态功能和退化严重的草原实行禁牧封育；对禁牧区域以外的可利用草原实行草畜平衡管理，在全县17个乡镇110个村12个社区落实草原禁牧150万亩，草畜平衡288.65万亩。</w:t>
      </w:r>
      <w:r>
        <w:rPr>
          <w:rFonts w:hint="eastAsia" w:ascii="仿宋_GB2312" w:hAnsi="仿宋_GB2312" w:eastAsia="仿宋_GB2312" w:cs="仿宋_GB2312"/>
          <w:b/>
          <w:bCs/>
          <w:sz w:val="32"/>
          <w:szCs w:val="32"/>
        </w:rPr>
        <w:t>二是及时兑付补贴资金。</w:t>
      </w:r>
      <w:r>
        <w:rPr>
          <w:rFonts w:hint="eastAsia" w:ascii="仿宋_GB2312" w:hAnsi="仿宋_GB2312" w:eastAsia="仿宋_GB2312" w:cs="仿宋_GB2312"/>
          <w:sz w:val="32"/>
          <w:szCs w:val="32"/>
        </w:rPr>
        <w:t>通过“一卡”方式，为落实草原禁牧、草畜平衡牧户兑付兑付补贴资金1846.625万元，做到惠农政策不走样、不缩水。</w:t>
      </w:r>
      <w:r>
        <w:rPr>
          <w:rFonts w:hint="eastAsia" w:ascii="仿宋_GB2312" w:hAnsi="仿宋_GB2312" w:eastAsia="仿宋_GB2312" w:cs="仿宋_GB2312"/>
          <w:b/>
          <w:bCs/>
          <w:sz w:val="32"/>
          <w:szCs w:val="32"/>
        </w:rPr>
        <w:t>三是狠抓草畜动态平衡。</w:t>
      </w:r>
      <w:r>
        <w:rPr>
          <w:rFonts w:hint="eastAsia" w:ascii="仿宋_GB2312" w:hAnsi="仿宋_GB2312" w:eastAsia="仿宋_GB2312" w:cs="仿宋_GB2312"/>
          <w:sz w:val="32"/>
          <w:szCs w:val="32"/>
        </w:rPr>
        <w:t>采取“先考核、再公示、后兑现、钱到户”的工作机制，加大了超载减畜力度，完成减畜</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万个羊单位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完成年度减畜任务的200%</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bCs/>
          <w:color w:val="auto"/>
          <w:kern w:val="0"/>
          <w:sz w:val="32"/>
          <w:szCs w:val="32"/>
          <w:lang w:val="en-US" w:eastAsia="zh-CN"/>
        </w:rPr>
        <w:t>强化重大动物疫病防治工作。</w:t>
      </w:r>
      <w:r>
        <w:rPr>
          <w:rFonts w:hint="eastAsia" w:ascii="仿宋_GB2312" w:hAnsi="仿宋_GB2312" w:eastAsia="仿宋_GB2312" w:cs="仿宋_GB2312"/>
          <w:b w:val="0"/>
          <w:bCs/>
          <w:color w:val="auto"/>
          <w:sz w:val="32"/>
          <w:szCs w:val="32"/>
        </w:rPr>
        <w:t>按照“五统一”、“五不漏”的防控方针，着力抓好动物疫病防控工作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累计免疫注射口蹄疫、猪瘟、</w:t>
      </w:r>
      <w:r>
        <w:rPr>
          <w:rFonts w:hint="eastAsia" w:ascii="仿宋_GB2312" w:hAnsi="仿宋_GB2312" w:eastAsia="仿宋_GB2312" w:cs="仿宋_GB2312"/>
          <w:color w:val="auto"/>
          <w:sz w:val="32"/>
          <w:szCs w:val="32"/>
        </w:rPr>
        <w:t>禽流感</w:t>
      </w:r>
      <w:r>
        <w:rPr>
          <w:rFonts w:hint="eastAsia" w:ascii="仿宋_GB2312" w:hAnsi="仿宋_GB2312" w:eastAsia="仿宋_GB2312" w:cs="仿宋_GB2312"/>
          <w:b w:val="0"/>
          <w:bCs/>
          <w:color w:val="auto"/>
          <w:sz w:val="32"/>
          <w:szCs w:val="32"/>
        </w:rPr>
        <w:t>等动物疫病</w:t>
      </w:r>
      <w:r>
        <w:rPr>
          <w:rFonts w:hint="eastAsia" w:ascii="仿宋_GB2312" w:hAnsi="仿宋_GB2312" w:eastAsia="仿宋_GB2312" w:cs="仿宋_GB2312"/>
          <w:b w:val="0"/>
          <w:bCs/>
          <w:color w:val="auto"/>
          <w:sz w:val="32"/>
          <w:szCs w:val="32"/>
          <w:lang w:val="en-US" w:eastAsia="zh-CN"/>
        </w:rPr>
        <w:t>疫苗72.35</w:t>
      </w:r>
      <w:r>
        <w:rPr>
          <w:rFonts w:hint="eastAsia" w:ascii="仿宋_GB2312" w:hAnsi="仿宋_GB2312" w:eastAsia="仿宋_GB2312" w:cs="仿宋_GB2312"/>
          <w:b w:val="0"/>
          <w:bCs/>
          <w:color w:val="auto"/>
          <w:sz w:val="32"/>
          <w:szCs w:val="32"/>
        </w:rPr>
        <w:t>万头</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只</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羽</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次</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实现重大动物疫病免疫密度</w:t>
      </w:r>
      <w:r>
        <w:rPr>
          <w:rFonts w:hint="eastAsia" w:ascii="仿宋_GB2312" w:hAnsi="仿宋_GB2312" w:eastAsia="仿宋_GB2312" w:cs="仿宋_GB2312"/>
          <w:b w:val="0"/>
          <w:bCs/>
          <w:color w:val="auto"/>
          <w:sz w:val="32"/>
          <w:szCs w:val="32"/>
        </w:rPr>
        <w:t>达</w:t>
      </w:r>
      <w:r>
        <w:rPr>
          <w:rFonts w:hint="eastAsia" w:ascii="仿宋_GB2312" w:hAnsi="仿宋_GB2312" w:eastAsia="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有效免疫合格率达70%以上</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auto"/>
          <w:w w:val="100"/>
          <w:sz w:val="32"/>
          <w:szCs w:val="32"/>
        </w:rPr>
      </w:pPr>
      <w:r>
        <w:rPr>
          <w:rFonts w:hint="eastAsia" w:ascii="仿宋_GB2312" w:hAnsi="仿宋_GB2312" w:eastAsia="仿宋_GB2312" w:cs="仿宋_GB2312"/>
          <w:b/>
          <w:color w:val="auto"/>
          <w:w w:val="100"/>
          <w:sz w:val="32"/>
          <w:szCs w:val="32"/>
          <w:lang w:val="en-US" w:eastAsia="zh-CN"/>
        </w:rPr>
        <w:t>六是</w:t>
      </w:r>
      <w:r>
        <w:rPr>
          <w:rFonts w:hint="eastAsia" w:ascii="楷体_GB2312" w:hAnsi="楷体_GB2312" w:eastAsia="楷体_GB2312" w:cs="楷体_GB2312"/>
          <w:b/>
          <w:color w:val="auto"/>
          <w:w w:val="100"/>
          <w:sz w:val="32"/>
          <w:szCs w:val="32"/>
        </w:rPr>
        <w:t>农畜产品质量监管扎实有效</w:t>
      </w:r>
      <w:r>
        <w:rPr>
          <w:rFonts w:hint="eastAsia" w:ascii="楷体_GB2312" w:hAnsi="楷体_GB2312" w:eastAsia="楷体_GB2312" w:cs="楷体_GB2312"/>
          <w:b/>
          <w:color w:val="auto"/>
          <w:w w:val="100"/>
          <w:sz w:val="32"/>
          <w:szCs w:val="32"/>
          <w:lang w:eastAsia="zh-CN"/>
        </w:rPr>
        <w:t>。</w:t>
      </w:r>
      <w:r>
        <w:rPr>
          <w:rFonts w:hint="eastAsia" w:ascii="仿宋_GB2312" w:eastAsia="仿宋_GB2312"/>
          <w:b/>
          <w:bCs/>
          <w:color w:val="auto"/>
          <w:w w:val="100"/>
          <w:sz w:val="32"/>
          <w:szCs w:val="32"/>
        </w:rPr>
        <w:t>一是</w:t>
      </w:r>
      <w:r>
        <w:rPr>
          <w:rFonts w:hint="eastAsia" w:ascii="仿宋_GB2312" w:eastAsia="仿宋_GB2312"/>
          <w:color w:val="auto"/>
          <w:w w:val="100"/>
          <w:sz w:val="32"/>
          <w:szCs w:val="32"/>
        </w:rPr>
        <w:t>组织</w:t>
      </w:r>
      <w:r>
        <w:rPr>
          <w:rFonts w:hint="eastAsia" w:ascii="仿宋_GB2312" w:hAnsi="宋体" w:eastAsia="仿宋_GB2312" w:cs="宋体"/>
          <w:color w:val="auto"/>
          <w:w w:val="100"/>
          <w:sz w:val="32"/>
          <w:szCs w:val="32"/>
        </w:rPr>
        <w:t>农业执法人员</w:t>
      </w:r>
      <w:r>
        <w:rPr>
          <w:rFonts w:hint="eastAsia" w:ascii="仿宋_GB2312" w:hAnsi="宋体" w:eastAsia="仿宋_GB2312" w:cs="宋体"/>
          <w:color w:val="auto"/>
          <w:w w:val="100"/>
          <w:sz w:val="32"/>
          <w:szCs w:val="32"/>
          <w:lang w:val="en-US" w:eastAsia="zh-CN"/>
        </w:rPr>
        <w:t>50</w:t>
      </w:r>
      <w:r>
        <w:rPr>
          <w:rFonts w:hint="eastAsia" w:ascii="仿宋_GB2312" w:hAnsi="宋体" w:eastAsia="仿宋_GB2312" w:cs="宋体"/>
          <w:color w:val="auto"/>
          <w:w w:val="100"/>
          <w:sz w:val="32"/>
          <w:szCs w:val="32"/>
        </w:rPr>
        <w:t>余人次在全县开展“放心农资”宣传，制作横幅</w:t>
      </w:r>
      <w:r>
        <w:rPr>
          <w:rFonts w:hint="eastAsia" w:ascii="仿宋_GB2312" w:hAnsi="宋体" w:eastAsia="仿宋_GB2312" w:cs="宋体"/>
          <w:color w:val="auto"/>
          <w:w w:val="100"/>
          <w:sz w:val="32"/>
          <w:szCs w:val="32"/>
          <w:lang w:val="en-US" w:eastAsia="zh-CN"/>
        </w:rPr>
        <w:t>3</w:t>
      </w:r>
      <w:r>
        <w:rPr>
          <w:rFonts w:hint="eastAsia" w:ascii="仿宋_GB2312" w:hAnsi="宋体" w:eastAsia="仿宋_GB2312" w:cs="宋体"/>
          <w:color w:val="auto"/>
          <w:w w:val="100"/>
          <w:sz w:val="32"/>
          <w:szCs w:val="32"/>
        </w:rPr>
        <w:t>条、标语</w:t>
      </w:r>
      <w:r>
        <w:rPr>
          <w:rFonts w:hint="eastAsia" w:ascii="仿宋_GB2312" w:hAnsi="宋体" w:eastAsia="仿宋_GB2312" w:cs="宋体"/>
          <w:color w:val="auto"/>
          <w:w w:val="100"/>
          <w:sz w:val="32"/>
          <w:szCs w:val="32"/>
          <w:lang w:val="en-US" w:eastAsia="zh-CN"/>
        </w:rPr>
        <w:t>90</w:t>
      </w:r>
      <w:r>
        <w:rPr>
          <w:rFonts w:hint="eastAsia" w:ascii="仿宋_GB2312" w:hAnsi="宋体" w:eastAsia="仿宋_GB2312" w:cs="宋体"/>
          <w:color w:val="auto"/>
          <w:w w:val="100"/>
          <w:sz w:val="32"/>
          <w:szCs w:val="32"/>
        </w:rPr>
        <w:t>张，发放宣传资料</w:t>
      </w:r>
      <w:r>
        <w:rPr>
          <w:rFonts w:hint="eastAsia" w:ascii="仿宋_GB2312" w:hAnsi="宋体" w:eastAsia="仿宋_GB2312" w:cs="宋体"/>
          <w:color w:val="auto"/>
          <w:w w:val="100"/>
          <w:sz w:val="32"/>
          <w:szCs w:val="32"/>
          <w:lang w:val="en-US" w:eastAsia="zh-CN"/>
        </w:rPr>
        <w:t>9000</w:t>
      </w:r>
      <w:r>
        <w:rPr>
          <w:rFonts w:hint="eastAsia" w:ascii="仿宋_GB2312" w:hAnsi="宋体" w:eastAsia="仿宋_GB2312" w:cs="宋体"/>
          <w:color w:val="auto"/>
          <w:w w:val="100"/>
          <w:sz w:val="32"/>
          <w:szCs w:val="32"/>
        </w:rPr>
        <w:t>余份，接受现场咨询</w:t>
      </w:r>
      <w:r>
        <w:rPr>
          <w:rFonts w:hint="eastAsia" w:ascii="仿宋_GB2312" w:hAnsi="宋体" w:eastAsia="仿宋_GB2312" w:cs="宋体"/>
          <w:color w:val="auto"/>
          <w:w w:val="100"/>
          <w:sz w:val="32"/>
          <w:szCs w:val="32"/>
          <w:lang w:val="en-US" w:eastAsia="zh-CN"/>
        </w:rPr>
        <w:t>1200</w:t>
      </w:r>
      <w:r>
        <w:rPr>
          <w:rFonts w:hint="eastAsia" w:ascii="仿宋_GB2312" w:hAnsi="宋体" w:eastAsia="仿宋_GB2312" w:cs="宋体"/>
          <w:color w:val="auto"/>
          <w:w w:val="100"/>
          <w:sz w:val="32"/>
          <w:szCs w:val="32"/>
        </w:rPr>
        <w:t>余人次。</w:t>
      </w:r>
      <w:r>
        <w:rPr>
          <w:rFonts w:hint="eastAsia" w:ascii="仿宋_GB2312" w:hAnsi="宋体" w:eastAsia="仿宋_GB2312" w:cs="宋体"/>
          <w:b/>
          <w:bCs/>
          <w:color w:val="auto"/>
          <w:w w:val="100"/>
          <w:sz w:val="32"/>
          <w:szCs w:val="32"/>
        </w:rPr>
        <w:t>二是</w:t>
      </w:r>
      <w:r>
        <w:rPr>
          <w:rFonts w:hint="eastAsia" w:ascii="仿宋_GB2312" w:eastAsia="仿宋_GB2312"/>
          <w:color w:val="auto"/>
          <w:w w:val="100"/>
          <w:sz w:val="32"/>
          <w:szCs w:val="32"/>
        </w:rPr>
        <w:t>加强对</w:t>
      </w:r>
      <w:r>
        <w:rPr>
          <w:rFonts w:hint="eastAsia" w:ascii="仿宋_GB2312" w:hAnsi="??" w:eastAsia="仿宋_GB2312"/>
          <w:color w:val="auto"/>
          <w:w w:val="100"/>
          <w:sz w:val="32"/>
          <w:szCs w:val="32"/>
        </w:rPr>
        <w:t>农产品质量监管，</w:t>
      </w:r>
      <w:r>
        <w:rPr>
          <w:rFonts w:hint="eastAsia" w:ascii="仿宋_GB2312" w:hAnsi="宋体" w:eastAsia="仿宋_GB2312" w:cs="宋体"/>
          <w:color w:val="auto"/>
          <w:w w:val="100"/>
          <w:sz w:val="32"/>
          <w:szCs w:val="32"/>
        </w:rPr>
        <w:t>采取不定期方式对企业、</w:t>
      </w:r>
      <w:r>
        <w:rPr>
          <w:rFonts w:hint="eastAsia" w:ascii="仿宋_GB2312" w:hAnsi="宋体" w:eastAsia="仿宋_GB2312" w:cs="宋体"/>
          <w:color w:val="auto"/>
          <w:w w:val="100"/>
          <w:kern w:val="0"/>
          <w:sz w:val="32"/>
          <w:szCs w:val="32"/>
        </w:rPr>
        <w:t>专业合作社、食用菌厂生产的农产品</w:t>
      </w:r>
      <w:r>
        <w:rPr>
          <w:rFonts w:hint="eastAsia" w:ascii="仿宋_GB2312" w:hAnsi="宋体" w:eastAsia="仿宋_GB2312" w:cs="宋体"/>
          <w:color w:val="auto"/>
          <w:w w:val="100"/>
          <w:sz w:val="32"/>
          <w:szCs w:val="32"/>
        </w:rPr>
        <w:t>进行速测抽检，抽检农产品样品</w:t>
      </w:r>
      <w:r>
        <w:rPr>
          <w:rFonts w:hint="eastAsia" w:ascii="仿宋_GB2312" w:hAnsi="宋体" w:eastAsia="仿宋_GB2312" w:cs="宋体"/>
          <w:color w:val="auto"/>
          <w:w w:val="100"/>
          <w:sz w:val="32"/>
          <w:szCs w:val="32"/>
          <w:lang w:val="en-US" w:eastAsia="zh-CN"/>
        </w:rPr>
        <w:t>160余</w:t>
      </w:r>
      <w:r>
        <w:rPr>
          <w:rFonts w:hint="eastAsia" w:ascii="仿宋_GB2312" w:hAnsi="宋体" w:eastAsia="仿宋_GB2312" w:cs="宋体"/>
          <w:color w:val="auto"/>
          <w:w w:val="100"/>
          <w:sz w:val="32"/>
          <w:szCs w:val="32"/>
        </w:rPr>
        <w:t>个，合格率达</w:t>
      </w:r>
      <w:r>
        <w:rPr>
          <w:rFonts w:hint="eastAsia" w:ascii="仿宋_GB2312" w:hAnsi="宋体" w:eastAsia="仿宋_GB2312" w:cs="宋体"/>
          <w:color w:val="auto"/>
          <w:w w:val="100"/>
          <w:sz w:val="32"/>
          <w:szCs w:val="32"/>
          <w:lang w:val="en-US" w:eastAsia="zh-CN"/>
        </w:rPr>
        <w:t>100</w:t>
      </w:r>
      <w:r>
        <w:rPr>
          <w:rFonts w:ascii="仿宋_GB2312" w:hAnsi="宋体" w:eastAsia="仿宋_GB2312" w:cs="宋体"/>
          <w:color w:val="auto"/>
          <w:w w:val="100"/>
          <w:sz w:val="32"/>
          <w:szCs w:val="32"/>
        </w:rPr>
        <w:t>%</w:t>
      </w:r>
      <w:r>
        <w:rPr>
          <w:rFonts w:hint="eastAsia" w:ascii="仿宋_GB2312" w:hAnsi="宋体" w:eastAsia="仿宋_GB2312" w:cs="宋体"/>
          <w:color w:val="auto"/>
          <w:w w:val="100"/>
          <w:sz w:val="32"/>
          <w:szCs w:val="32"/>
        </w:rPr>
        <w:t>。三</w:t>
      </w:r>
      <w:r>
        <w:rPr>
          <w:rFonts w:hint="eastAsia" w:ascii="仿宋_GB2312" w:hAnsi="仿宋_GB2312" w:eastAsia="仿宋_GB2312" w:cs="仿宋_GB2312"/>
          <w:b/>
          <w:bCs/>
          <w:color w:val="auto"/>
          <w:w w:val="100"/>
          <w:kern w:val="0"/>
          <w:sz w:val="32"/>
          <w:szCs w:val="32"/>
        </w:rPr>
        <w:t>是</w:t>
      </w:r>
      <w:r>
        <w:rPr>
          <w:rFonts w:hint="eastAsia" w:ascii="仿宋_GB2312" w:hAnsi="仿宋_GB2312" w:eastAsia="仿宋_GB2312" w:cs="仿宋_GB2312"/>
          <w:color w:val="auto"/>
          <w:w w:val="100"/>
          <w:kern w:val="0"/>
          <w:sz w:val="32"/>
          <w:szCs w:val="32"/>
        </w:rPr>
        <w:t>落实检疫申报制度，根据申报内容严格实行检疫“四到位”，并按动物检疫规程规范操作。</w:t>
      </w:r>
      <w:r>
        <w:rPr>
          <w:rFonts w:hint="eastAsia" w:ascii="仿宋_GB2312" w:hAnsi="仿宋_GB2312" w:eastAsia="仿宋_GB2312" w:cs="仿宋_GB2312"/>
          <w:b/>
          <w:bCs/>
          <w:color w:val="auto"/>
          <w:w w:val="100"/>
          <w:kern w:val="0"/>
          <w:sz w:val="32"/>
          <w:szCs w:val="32"/>
        </w:rPr>
        <w:t>四是</w:t>
      </w:r>
      <w:r>
        <w:rPr>
          <w:rFonts w:hint="eastAsia" w:ascii="仿宋_GB2312" w:hAnsi="仿宋_GB2312" w:eastAsia="仿宋_GB2312" w:cs="仿宋_GB2312"/>
          <w:color w:val="auto"/>
          <w:w w:val="100"/>
          <w:kern w:val="0"/>
          <w:sz w:val="32"/>
          <w:szCs w:val="32"/>
        </w:rPr>
        <w:t>加强动物及动物产品检疫，</w:t>
      </w:r>
      <w:r>
        <w:rPr>
          <w:rFonts w:hint="eastAsia" w:ascii="仿宋_GB2312" w:hAnsi="仿宋_GB2312" w:eastAsia="仿宋_GB2312" w:cs="仿宋_GB2312"/>
          <w:color w:val="auto"/>
          <w:w w:val="100"/>
          <w:kern w:val="0"/>
          <w:sz w:val="32"/>
          <w:szCs w:val="32"/>
          <w:lang w:val="en-US" w:eastAsia="zh-CN"/>
        </w:rPr>
        <w:t>全年</w:t>
      </w:r>
      <w:r>
        <w:rPr>
          <w:rFonts w:hint="eastAsia" w:ascii="仿宋_GB2312" w:hAnsi="仿宋_GB2312" w:eastAsia="仿宋_GB2312" w:cs="仿宋_GB2312"/>
          <w:color w:val="auto"/>
          <w:w w:val="100"/>
          <w:kern w:val="0"/>
          <w:sz w:val="32"/>
          <w:szCs w:val="32"/>
        </w:rPr>
        <w:t>共检疫各类牲畜</w:t>
      </w:r>
      <w:r>
        <w:rPr>
          <w:rFonts w:hint="eastAsia" w:ascii="仿宋_GB2312" w:hAnsi="仿宋_GB2312" w:eastAsia="仿宋_GB2312" w:cs="仿宋_GB2312"/>
          <w:color w:val="auto"/>
          <w:w w:val="100"/>
          <w:kern w:val="0"/>
          <w:sz w:val="32"/>
          <w:szCs w:val="32"/>
          <w:lang w:val="en-US" w:eastAsia="zh-CN"/>
        </w:rPr>
        <w:t>8365</w:t>
      </w:r>
      <w:r>
        <w:rPr>
          <w:rFonts w:hint="eastAsia" w:ascii="仿宋_GB2312" w:hAnsi="仿宋_GB2312" w:eastAsia="仿宋_GB2312" w:cs="仿宋_GB2312"/>
          <w:color w:val="auto"/>
          <w:w w:val="100"/>
          <w:kern w:val="0"/>
          <w:sz w:val="32"/>
          <w:szCs w:val="32"/>
        </w:rPr>
        <w:t>余头、畜产品</w:t>
      </w:r>
      <w:r>
        <w:rPr>
          <w:rFonts w:hint="eastAsia" w:ascii="仿宋_GB2312" w:hAnsi="仿宋_GB2312" w:eastAsia="仿宋_GB2312" w:cs="仿宋_GB2312"/>
          <w:color w:val="auto"/>
          <w:w w:val="100"/>
          <w:kern w:val="0"/>
          <w:sz w:val="32"/>
          <w:szCs w:val="32"/>
          <w:lang w:val="en-US" w:eastAsia="zh-CN"/>
        </w:rPr>
        <w:t>184</w:t>
      </w:r>
      <w:r>
        <w:rPr>
          <w:rFonts w:hint="eastAsia" w:ascii="仿宋_GB2312" w:hAnsi="仿宋_GB2312" w:eastAsia="仿宋_GB2312" w:cs="仿宋_GB2312"/>
          <w:color w:val="auto"/>
          <w:w w:val="100"/>
          <w:kern w:val="0"/>
          <w:sz w:val="32"/>
          <w:szCs w:val="32"/>
        </w:rPr>
        <w:t>余吨。</w:t>
      </w:r>
      <w:r>
        <w:rPr>
          <w:rFonts w:hint="eastAsia" w:ascii="仿宋_GB2312" w:hAnsi="仿宋_GB2312" w:eastAsia="仿宋_GB2312" w:cs="仿宋_GB2312"/>
          <w:b/>
          <w:bCs/>
          <w:color w:val="auto"/>
          <w:w w:val="100"/>
          <w:kern w:val="0"/>
          <w:sz w:val="32"/>
          <w:szCs w:val="32"/>
        </w:rPr>
        <w:t>五是</w:t>
      </w:r>
      <w:r>
        <w:rPr>
          <w:rFonts w:hint="eastAsia" w:ascii="仿宋_GB2312" w:hAnsi="仿宋_GB2312" w:eastAsia="仿宋_GB2312" w:cs="仿宋_GB2312"/>
          <w:color w:val="auto"/>
          <w:w w:val="100"/>
          <w:kern w:val="0"/>
          <w:sz w:val="32"/>
          <w:szCs w:val="32"/>
        </w:rPr>
        <w:t>强化定点屠宰场检疫工作，以责任制的形式把定点屠宰场检疫工作纳入了检疫人员年度考核。</w:t>
      </w:r>
      <w:r>
        <w:rPr>
          <w:rFonts w:hint="eastAsia" w:ascii="仿宋_GB2312" w:hAnsi="仿宋_GB2312" w:eastAsia="仿宋_GB2312" w:cs="仿宋_GB2312"/>
          <w:b/>
          <w:bCs/>
          <w:color w:val="auto"/>
          <w:w w:val="100"/>
          <w:kern w:val="0"/>
          <w:sz w:val="32"/>
          <w:szCs w:val="32"/>
        </w:rPr>
        <w:t>六是</w:t>
      </w:r>
      <w:r>
        <w:rPr>
          <w:rFonts w:hint="eastAsia" w:ascii="仿宋_GB2312" w:hAnsi="仿宋_GB2312" w:eastAsia="仿宋_GB2312" w:cs="仿宋_GB2312"/>
          <w:color w:val="auto"/>
          <w:w w:val="100"/>
          <w:kern w:val="0"/>
          <w:sz w:val="32"/>
          <w:szCs w:val="32"/>
        </w:rPr>
        <w:t>加强病死动物及其产品无害化处理工作，预防病死动物及其产品流入市场。</w:t>
      </w:r>
      <w:r>
        <w:rPr>
          <w:rFonts w:hint="eastAsia" w:ascii="仿宋_GB2312" w:hAnsi="仿宋_GB2312" w:eastAsia="仿宋_GB2312" w:cs="仿宋_GB2312"/>
          <w:b/>
          <w:bCs/>
          <w:color w:val="auto"/>
          <w:w w:val="100"/>
          <w:kern w:val="0"/>
          <w:sz w:val="32"/>
          <w:szCs w:val="32"/>
        </w:rPr>
        <w:t>七是</w:t>
      </w:r>
      <w:r>
        <w:rPr>
          <w:rFonts w:hint="eastAsia" w:ascii="仿宋_GB2312" w:hAnsi="仿宋_GB2312" w:eastAsia="仿宋_GB2312" w:cs="仿宋_GB2312"/>
          <w:bCs/>
          <w:color w:val="auto"/>
          <w:w w:val="100"/>
          <w:kern w:val="0"/>
          <w:sz w:val="32"/>
          <w:szCs w:val="32"/>
        </w:rPr>
        <w:t>加强“瘦肉精”检测监管。</w:t>
      </w:r>
      <w:r>
        <w:rPr>
          <w:rFonts w:hint="eastAsia" w:ascii="仿宋_GB2312" w:hAnsi="仿宋_GB2312" w:eastAsia="仿宋_GB2312" w:cs="仿宋_GB2312"/>
          <w:color w:val="auto"/>
          <w:w w:val="100"/>
          <w:sz w:val="32"/>
          <w:szCs w:val="32"/>
        </w:rPr>
        <w:t>制定了《“瘦肉精”专项整治监测工作方案》，以严打、严控的高压态势，落实整治责任，确保整治工作落实到位。</w:t>
      </w:r>
      <w:r>
        <w:rPr>
          <w:rFonts w:hint="eastAsia" w:ascii="仿宋_GB2312" w:hAnsi="仿宋_GB2312" w:eastAsia="仿宋_GB2312" w:cs="仿宋_GB2312"/>
          <w:color w:val="auto"/>
          <w:w w:val="100"/>
          <w:sz w:val="32"/>
          <w:szCs w:val="32"/>
          <w:lang w:val="en-US" w:eastAsia="zh-CN"/>
        </w:rPr>
        <w:t>全年</w:t>
      </w:r>
      <w:r>
        <w:rPr>
          <w:rFonts w:hint="eastAsia" w:ascii="仿宋_GB2312" w:hAnsi="仿宋_GB2312" w:eastAsia="仿宋_GB2312" w:cs="仿宋_GB2312"/>
          <w:color w:val="auto"/>
          <w:w w:val="100"/>
          <w:sz w:val="32"/>
          <w:szCs w:val="32"/>
        </w:rPr>
        <w:t>组织动物卫生监督所执法人员</w:t>
      </w:r>
      <w:r>
        <w:rPr>
          <w:rFonts w:hint="eastAsia" w:ascii="仿宋_GB2312" w:hAnsi="仿宋_GB2312" w:eastAsia="仿宋_GB2312" w:cs="仿宋_GB2312"/>
          <w:color w:val="auto"/>
          <w:w w:val="100"/>
          <w:sz w:val="32"/>
          <w:szCs w:val="32"/>
          <w:lang w:val="en-US" w:eastAsia="zh-CN"/>
        </w:rPr>
        <w:t>190</w:t>
      </w:r>
      <w:r>
        <w:rPr>
          <w:rFonts w:hint="eastAsia" w:ascii="仿宋_GB2312" w:hAnsi="仿宋_GB2312" w:eastAsia="仿宋_GB2312" w:cs="仿宋_GB2312"/>
          <w:color w:val="auto"/>
          <w:w w:val="100"/>
          <w:sz w:val="32"/>
          <w:szCs w:val="32"/>
        </w:rPr>
        <w:t>余人次，</w:t>
      </w:r>
      <w:r>
        <w:rPr>
          <w:rFonts w:hint="eastAsia" w:ascii="仿宋_GB2312" w:hAnsi="仿宋_GB2312" w:eastAsia="仿宋_GB2312" w:cs="仿宋_GB2312"/>
          <w:color w:val="auto"/>
          <w:w w:val="100"/>
          <w:sz w:val="32"/>
          <w:szCs w:val="32"/>
          <w:lang w:val="en-US" w:eastAsia="zh-CN"/>
        </w:rPr>
        <w:t>采用</w:t>
      </w:r>
      <w:r>
        <w:rPr>
          <w:rFonts w:hint="eastAsia" w:ascii="仿宋_GB2312" w:hAnsi="仿宋_GB2312" w:eastAsia="仿宋_GB2312" w:cs="仿宋_GB2312"/>
          <w:color w:val="auto"/>
          <w:w w:val="100"/>
          <w:sz w:val="32"/>
          <w:szCs w:val="32"/>
        </w:rPr>
        <w:t>快速检测试纸</w:t>
      </w:r>
      <w:r>
        <w:rPr>
          <w:rFonts w:hint="eastAsia" w:ascii="仿宋_GB2312" w:hAnsi="仿宋_GB2312" w:eastAsia="仿宋_GB2312" w:cs="仿宋_GB2312"/>
          <w:color w:val="auto"/>
          <w:w w:val="100"/>
          <w:sz w:val="32"/>
          <w:szCs w:val="32"/>
          <w:lang w:val="en-US" w:eastAsia="zh-CN"/>
        </w:rPr>
        <w:t>方式，</w:t>
      </w:r>
      <w:r>
        <w:rPr>
          <w:rFonts w:hint="eastAsia" w:ascii="仿宋_GB2312" w:hAnsi="仿宋_GB2312" w:eastAsia="仿宋_GB2312" w:cs="仿宋_GB2312"/>
          <w:color w:val="auto"/>
          <w:w w:val="100"/>
          <w:sz w:val="32"/>
          <w:szCs w:val="32"/>
        </w:rPr>
        <w:t>对各规模养殖场（户）</w:t>
      </w:r>
      <w:r>
        <w:rPr>
          <w:rFonts w:hint="eastAsia" w:ascii="仿宋_GB2312" w:hAnsi="仿宋_GB2312" w:eastAsia="仿宋_GB2312" w:cs="仿宋_GB2312"/>
          <w:color w:val="auto"/>
          <w:w w:val="100"/>
          <w:sz w:val="32"/>
          <w:szCs w:val="32"/>
          <w:lang w:val="en-US" w:eastAsia="zh-CN"/>
        </w:rPr>
        <w:t>所饲养的牲畜和</w:t>
      </w:r>
      <w:r>
        <w:rPr>
          <w:rFonts w:hint="eastAsia" w:ascii="仿宋_GB2312" w:hAnsi="仿宋_GB2312" w:eastAsia="仿宋_GB2312" w:cs="仿宋_GB2312"/>
          <w:color w:val="auto"/>
          <w:w w:val="100"/>
          <w:sz w:val="32"/>
          <w:szCs w:val="32"/>
        </w:rPr>
        <w:t>生猪定点屠宰场</w:t>
      </w:r>
      <w:r>
        <w:rPr>
          <w:rFonts w:hint="eastAsia" w:ascii="仿宋_GB2312" w:hAnsi="仿宋_GB2312" w:eastAsia="仿宋_GB2312" w:cs="仿宋_GB2312"/>
          <w:color w:val="auto"/>
          <w:w w:val="100"/>
          <w:sz w:val="32"/>
          <w:szCs w:val="32"/>
          <w:lang w:eastAsia="zh-CN"/>
        </w:rPr>
        <w:t>、</w:t>
      </w:r>
      <w:r>
        <w:rPr>
          <w:rFonts w:hint="eastAsia" w:ascii="仿宋_GB2312" w:hAnsi="仿宋_GB2312" w:eastAsia="仿宋_GB2312" w:cs="仿宋_GB2312"/>
          <w:color w:val="auto"/>
          <w:w w:val="100"/>
          <w:sz w:val="32"/>
          <w:szCs w:val="32"/>
        </w:rPr>
        <w:t>牛羊清真屠宰场</w:t>
      </w:r>
      <w:r>
        <w:rPr>
          <w:rFonts w:hint="eastAsia" w:ascii="仿宋_GB2312" w:hAnsi="仿宋_GB2312" w:eastAsia="仿宋_GB2312" w:cs="仿宋_GB2312"/>
          <w:color w:val="auto"/>
          <w:w w:val="100"/>
          <w:sz w:val="32"/>
          <w:szCs w:val="32"/>
          <w:lang w:val="en-US" w:eastAsia="zh-CN"/>
        </w:rPr>
        <w:t>待宰牲畜</w:t>
      </w:r>
      <w:r>
        <w:rPr>
          <w:rFonts w:hint="eastAsia" w:ascii="仿宋_GB2312" w:hAnsi="仿宋_GB2312" w:eastAsia="仿宋_GB2312" w:cs="仿宋_GB2312"/>
          <w:color w:val="auto"/>
          <w:w w:val="100"/>
          <w:sz w:val="32"/>
          <w:szCs w:val="32"/>
        </w:rPr>
        <w:t>进行“瘦肉精”检测，</w:t>
      </w:r>
      <w:r>
        <w:rPr>
          <w:rFonts w:hint="eastAsia" w:ascii="仿宋_GB2312" w:hAnsi="仿宋_GB2312" w:eastAsia="仿宋_GB2312" w:cs="仿宋_GB2312"/>
          <w:color w:val="auto"/>
          <w:w w:val="100"/>
          <w:sz w:val="32"/>
          <w:szCs w:val="32"/>
          <w:lang w:val="en-US" w:eastAsia="zh-CN"/>
        </w:rPr>
        <w:t>累计</w:t>
      </w:r>
      <w:r>
        <w:rPr>
          <w:rFonts w:hint="eastAsia" w:ascii="仿宋_GB2312" w:hAnsi="仿宋_GB2312" w:eastAsia="仿宋_GB2312" w:cs="仿宋_GB2312"/>
          <w:color w:val="auto"/>
          <w:w w:val="100"/>
          <w:sz w:val="32"/>
          <w:szCs w:val="32"/>
        </w:rPr>
        <w:t>检测养殖环节牲畜</w:t>
      </w:r>
      <w:r>
        <w:rPr>
          <w:rFonts w:hint="eastAsia" w:ascii="仿宋_GB2312" w:hAnsi="仿宋_GB2312" w:eastAsia="仿宋_GB2312" w:cs="仿宋_GB2312"/>
          <w:color w:val="auto"/>
          <w:w w:val="100"/>
          <w:sz w:val="32"/>
          <w:szCs w:val="32"/>
          <w:lang w:val="en-US" w:eastAsia="zh-CN"/>
        </w:rPr>
        <w:t>2365</w:t>
      </w:r>
      <w:r>
        <w:rPr>
          <w:rFonts w:hint="eastAsia" w:ascii="仿宋_GB2312" w:hAnsi="仿宋_GB2312" w:eastAsia="仿宋_GB2312" w:cs="仿宋_GB2312"/>
          <w:color w:val="auto"/>
          <w:w w:val="100"/>
          <w:sz w:val="32"/>
          <w:szCs w:val="32"/>
        </w:rPr>
        <w:t>头份</w:t>
      </w:r>
      <w:r>
        <w:rPr>
          <w:rFonts w:hint="eastAsia" w:ascii="仿宋_GB2312" w:hAnsi="仿宋_GB2312" w:eastAsia="仿宋_GB2312" w:cs="仿宋_GB2312"/>
          <w:color w:val="auto"/>
          <w:w w:val="100"/>
          <w:sz w:val="32"/>
          <w:szCs w:val="32"/>
          <w:lang w:eastAsia="zh-CN"/>
        </w:rPr>
        <w:t>、</w:t>
      </w:r>
      <w:r>
        <w:rPr>
          <w:rFonts w:hint="eastAsia" w:ascii="仿宋_GB2312" w:hAnsi="仿宋_GB2312" w:eastAsia="仿宋_GB2312" w:cs="仿宋_GB2312"/>
          <w:color w:val="auto"/>
          <w:w w:val="100"/>
          <w:sz w:val="32"/>
          <w:szCs w:val="32"/>
        </w:rPr>
        <w:t>屠宰环节牲畜</w:t>
      </w:r>
      <w:r>
        <w:rPr>
          <w:rFonts w:hint="eastAsia" w:ascii="仿宋_GB2312" w:hAnsi="仿宋_GB2312" w:eastAsia="仿宋_GB2312" w:cs="仿宋_GB2312"/>
          <w:color w:val="auto"/>
          <w:w w:val="100"/>
          <w:sz w:val="32"/>
          <w:szCs w:val="32"/>
          <w:lang w:val="en-US" w:eastAsia="zh-CN"/>
        </w:rPr>
        <w:t>7256</w:t>
      </w:r>
      <w:r>
        <w:rPr>
          <w:rFonts w:hint="eastAsia" w:ascii="仿宋_GB2312" w:hAnsi="仿宋_GB2312" w:eastAsia="仿宋_GB2312" w:cs="仿宋_GB2312"/>
          <w:color w:val="auto"/>
          <w:w w:val="100"/>
          <w:sz w:val="32"/>
          <w:szCs w:val="32"/>
        </w:rPr>
        <w:t>头份，</w:t>
      </w:r>
      <w:r>
        <w:rPr>
          <w:rFonts w:hint="eastAsia" w:ascii="仿宋_GB2312" w:hAnsi="仿宋_GB2312" w:eastAsia="仿宋_GB2312" w:cs="仿宋_GB2312"/>
          <w:color w:val="auto"/>
          <w:w w:val="100"/>
          <w:sz w:val="32"/>
          <w:szCs w:val="32"/>
          <w:lang w:val="en-US" w:eastAsia="zh-CN"/>
        </w:rPr>
        <w:t>结果</w:t>
      </w:r>
      <w:r>
        <w:rPr>
          <w:rFonts w:hint="eastAsia" w:ascii="仿宋_GB2312" w:hAnsi="仿宋_GB2312" w:eastAsia="仿宋_GB2312" w:cs="仿宋_GB2312"/>
          <w:color w:val="auto"/>
          <w:w w:val="100"/>
          <w:sz w:val="32"/>
          <w:szCs w:val="32"/>
        </w:rPr>
        <w:t>“瘦肉精”检出率为零</w:t>
      </w:r>
      <w:r>
        <w:rPr>
          <w:rFonts w:hint="eastAsia" w:ascii="仿宋_GB2312" w:hAnsi="仿宋_GB2312" w:eastAsia="仿宋_GB2312" w:cs="仿宋_GB2312"/>
          <w:color w:val="auto"/>
          <w:w w:val="100"/>
          <w:sz w:val="32"/>
          <w:szCs w:val="32"/>
          <w:lang w:eastAsia="zh-CN"/>
        </w:rPr>
        <w:t>，</w:t>
      </w:r>
      <w:r>
        <w:rPr>
          <w:rFonts w:hint="eastAsia" w:ascii="仿宋_GB2312" w:hAnsi="仿宋_GB2312" w:eastAsia="仿宋_GB2312" w:cs="仿宋_GB2312"/>
          <w:color w:val="auto"/>
          <w:w w:val="100"/>
          <w:sz w:val="32"/>
          <w:szCs w:val="32"/>
          <w:lang w:val="en-US" w:eastAsia="zh-CN"/>
        </w:rPr>
        <w:t>实现重大农产品质量安全事故“零”发生</w:t>
      </w:r>
      <w:r>
        <w:rPr>
          <w:rFonts w:hint="eastAsia" w:ascii="仿宋_GB2312" w:hAnsi="仿宋_GB2312" w:eastAsia="仿宋_GB2312" w:cs="仿宋_GB2312"/>
          <w:color w:val="auto"/>
          <w:w w:val="100"/>
          <w:sz w:val="32"/>
          <w:szCs w:val="32"/>
        </w:rPr>
        <w:t>。</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 w:hAnsi="仿宋" w:eastAsia="仿宋" w:cs="仿宋"/>
          <w:color w:val="000000"/>
          <w:sz w:val="31"/>
          <w:szCs w:val="31"/>
          <w:highlight w:val="red"/>
        </w:rPr>
      </w:pPr>
    </w:p>
    <w:p>
      <w:pPr>
        <w:pStyle w:val="16"/>
        <w:keepNext w:val="0"/>
        <w:keepLines w:val="0"/>
        <w:pageBreakBefore w:val="0"/>
        <w:widowControl/>
        <w:suppressLineNumbers w:val="0"/>
        <w:kinsoku/>
        <w:wordWrap/>
        <w:overflowPunct/>
        <w:topLinePunct w:val="0"/>
        <w:bidi w:val="0"/>
        <w:spacing w:line="560" w:lineRule="exact"/>
        <w:ind w:firstLine="620" w:firstLineChars="200"/>
      </w:pPr>
      <w:r>
        <w:rPr>
          <w:rFonts w:hint="eastAsia" w:ascii="黑体" w:hAnsi="宋体" w:eastAsia="黑体" w:cs="黑体"/>
          <w:color w:val="000000"/>
          <w:sz w:val="31"/>
          <w:szCs w:val="31"/>
        </w:rPr>
        <w:t>二、机构设置</w:t>
      </w:r>
    </w:p>
    <w:p>
      <w:pPr>
        <w:keepNext w:val="0"/>
        <w:keepLines w:val="0"/>
        <w:pageBreakBefore w:val="0"/>
        <w:widowControl/>
        <w:suppressLineNumbers w:val="0"/>
        <w:kinsoku/>
        <w:wordWrap/>
        <w:overflowPunct/>
        <w:topLinePunct w:val="0"/>
        <w:bidi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内设7个站，均为事业单位</w:t>
      </w:r>
    </w:p>
    <w:p>
      <w:pPr>
        <w:pStyle w:val="4"/>
        <w:pageBreakBefore w:val="0"/>
        <w:kinsoku/>
        <w:wordWrap/>
        <w:overflowPunct/>
        <w:topLinePunct w:val="0"/>
        <w:bidi w:val="0"/>
        <w:spacing w:line="560" w:lineRule="exact"/>
        <w:ind w:right="440"/>
        <w:jc w:val="left"/>
        <w:rPr>
          <w:rStyle w:val="31"/>
          <w:rFonts w:ascii="黑体" w:hAnsi="黑体" w:eastAsia="黑体"/>
          <w:b w:val="0"/>
          <w:bCs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第二部分</w:t>
      </w:r>
      <w:r>
        <w:rPr>
          <w:rStyle w:val="31"/>
          <w:rFonts w:hint="eastAsia" w:ascii="黑体" w:hAnsi="黑体" w:eastAsia="黑体"/>
          <w:b w:val="0"/>
          <w:bCs w:val="0"/>
          <w:color w:val="000000" w:themeColor="text1"/>
          <w:lang w:eastAsia="zh-CN"/>
          <w14:textFill>
            <w14:solidFill>
              <w14:schemeClr w14:val="tx1"/>
            </w14:solidFill>
          </w14:textFill>
        </w:rPr>
        <w:t>202</w:t>
      </w:r>
      <w:r>
        <w:rPr>
          <w:rStyle w:val="31"/>
          <w:rFonts w:hint="eastAsia" w:ascii="黑体" w:hAnsi="黑体" w:eastAsia="黑体"/>
          <w:b w:val="0"/>
          <w:bCs w:val="0"/>
          <w:color w:val="000000" w:themeColor="text1"/>
          <w:lang w:val="en-US" w:eastAsia="zh-CN"/>
          <w14:textFill>
            <w14:solidFill>
              <w14:schemeClr w14:val="tx1"/>
            </w14:solidFill>
          </w14:textFill>
        </w:rPr>
        <w:t>1</w:t>
      </w:r>
      <w:r>
        <w:rPr>
          <w:rStyle w:val="31"/>
          <w:rFonts w:hint="eastAsia" w:ascii="黑体" w:hAnsi="黑体" w:eastAsia="黑体"/>
          <w:b w:val="0"/>
          <w:bCs w:val="0"/>
          <w:color w:val="000000" w:themeColor="text1"/>
          <w14:textFill>
            <w14:solidFill>
              <w14:schemeClr w14:val="tx1"/>
            </w14:solidFill>
          </w14:textFill>
        </w:rPr>
        <w:t>年度部门决算情况说明</w:t>
      </w:r>
      <w:bookmarkEnd w:id="16"/>
      <w:bookmarkEnd w:id="17"/>
    </w:p>
    <w:p>
      <w:pPr>
        <w:pageBreakBefore w:val="0"/>
        <w:kinsoku/>
        <w:wordWrap/>
        <w:overflowPunct/>
        <w:topLinePunct w:val="0"/>
        <w:bidi w:val="0"/>
        <w:spacing w:line="560" w:lineRule="exact"/>
        <w:rPr>
          <w:color w:val="000000" w:themeColor="text1"/>
          <w14:textFill>
            <w14:solidFill>
              <w14:schemeClr w14:val="tx1"/>
            </w14:solidFill>
          </w14:textFill>
        </w:rPr>
      </w:pPr>
    </w:p>
    <w:p>
      <w:pPr>
        <w:pStyle w:val="30"/>
        <w:pageBreakBefore w:val="0"/>
        <w:numPr>
          <w:ilvl w:val="0"/>
          <w:numId w:val="1"/>
        </w:numPr>
        <w:kinsoku/>
        <w:wordWrap/>
        <w:overflowPunct/>
        <w:topLinePunct w:val="0"/>
        <w:bidi w:val="0"/>
        <w:spacing w:line="560" w:lineRule="exact"/>
        <w:ind w:firstLineChars="0"/>
        <w:outlineLvl w:val="1"/>
        <w:rPr>
          <w:rStyle w:val="32"/>
          <w:rFonts w:ascii="黑体" w:hAnsi="黑体" w:eastAsia="黑体"/>
          <w:b w:val="0"/>
          <w:color w:val="000000" w:themeColor="text1"/>
          <w14:textFill>
            <w14:solidFill>
              <w14:schemeClr w14:val="tx1"/>
            </w14:solidFill>
          </w14:textFill>
        </w:rPr>
      </w:pPr>
      <w:bookmarkStart w:id="18" w:name="_Toc15377205"/>
      <w:bookmarkStart w:id="19" w:name="_Toc15396603"/>
      <w:r>
        <w:rPr>
          <w:rFonts w:hint="eastAsia" w:ascii="黑体" w:hAnsi="黑体" w:eastAsia="黑体"/>
          <w:color w:val="000000" w:themeColor="text1"/>
          <w:sz w:val="32"/>
          <w:szCs w:val="32"/>
          <w14:textFill>
            <w14:solidFill>
              <w14:schemeClr w14:val="tx1"/>
            </w14:solidFill>
          </w14:textFill>
        </w:rPr>
        <w:t>收</w:t>
      </w:r>
      <w:r>
        <w:rPr>
          <w:rStyle w:val="32"/>
          <w:rFonts w:hint="eastAsia" w:ascii="黑体" w:hAnsi="黑体" w:eastAsia="黑体"/>
          <w:b w:val="0"/>
          <w:color w:val="000000" w:themeColor="text1"/>
          <w14:textFill>
            <w14:solidFill>
              <w14:schemeClr w14:val="tx1"/>
            </w14:solidFill>
          </w14:textFill>
        </w:rPr>
        <w:t>入支出决算总体情况说明</w:t>
      </w:r>
      <w:bookmarkEnd w:id="18"/>
      <w:bookmarkEnd w:id="19"/>
    </w:p>
    <w:p>
      <w:pPr>
        <w:pStyle w:val="30"/>
        <w:pageBreakBefore w:val="0"/>
        <w:numPr>
          <w:ilvl w:val="0"/>
          <w:numId w:val="0"/>
        </w:numPr>
        <w:kinsoku/>
        <w:wordWrap/>
        <w:overflowPunct/>
        <w:topLinePunct w:val="0"/>
        <w:bidi w:val="0"/>
        <w:spacing w:line="560" w:lineRule="exact"/>
        <w:ind w:firstLine="640" w:firstLineChars="200"/>
        <w:jc w:val="both"/>
        <w:outlineLvl w:val="1"/>
        <w:rPr>
          <w:rFonts w:hint="eastAsia" w:ascii="仿宋_GB2312" w:hAnsi="仿宋_GB2312" w:eastAsia="仿宋_GB2312" w:cs="仿宋_GB2312"/>
          <w:color w:val="000000"/>
          <w:kern w:val="0"/>
          <w:sz w:val="32"/>
          <w:szCs w:val="32"/>
          <w:lang w:val="en-US" w:eastAsia="zh-CN" w:bidi="ar"/>
        </w:rPr>
      </w:pPr>
      <w:bookmarkStart w:id="20" w:name="_Toc15377206"/>
      <w:bookmarkStart w:id="21" w:name="_Toc15396604"/>
      <w:r>
        <w:rPr>
          <w:rFonts w:hint="eastAsia" w:ascii="仿宋_GB2312" w:hAnsi="仿宋_GB2312" w:eastAsia="仿宋_GB2312" w:cs="仿宋_GB2312"/>
          <w:color w:val="000000"/>
          <w:kern w:val="0"/>
          <w:sz w:val="32"/>
          <w:szCs w:val="32"/>
          <w:lang w:val="en-US" w:eastAsia="zh-CN" w:bidi="ar"/>
        </w:rPr>
        <w:t>2021年度收、支总计1580.62万元。与2020年相比， 收、支总计各增加790.31万元，增加100.00 %。主要变动原因是经费变动。</w:t>
      </w:r>
    </w:p>
    <w:p>
      <w:pPr>
        <w:pStyle w:val="30"/>
        <w:pageBreakBefore w:val="0"/>
        <w:numPr>
          <w:ilvl w:val="0"/>
          <w:numId w:val="1"/>
        </w:numPr>
        <w:kinsoku/>
        <w:wordWrap/>
        <w:overflowPunct/>
        <w:topLinePunct w:val="0"/>
        <w:bidi w:val="0"/>
        <w:spacing w:line="560" w:lineRule="exact"/>
        <w:ind w:firstLineChars="0"/>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收入决算情况说明</w:t>
      </w:r>
      <w:bookmarkEnd w:id="20"/>
      <w:bookmarkEnd w:id="21"/>
    </w:p>
    <w:p>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000000"/>
          <w:kern w:val="0"/>
          <w:sz w:val="32"/>
          <w:szCs w:val="32"/>
          <w:lang w:val="en-US" w:eastAsia="zh-CN" w:bidi="ar"/>
        </w:rPr>
      </w:pPr>
      <w:bookmarkStart w:id="22" w:name="_Toc15377207"/>
      <w:bookmarkStart w:id="23" w:name="_Toc15396605"/>
      <w:r>
        <w:rPr>
          <w:rFonts w:hint="eastAsia" w:ascii="仿宋_GB2312" w:hAnsi="仿宋_GB2312" w:eastAsia="仿宋_GB2312" w:cs="仿宋_GB2312"/>
          <w:color w:val="000000"/>
          <w:kern w:val="0"/>
          <w:sz w:val="32"/>
          <w:szCs w:val="32"/>
          <w:lang w:val="en-US" w:eastAsia="zh-CN" w:bidi="ar"/>
        </w:rPr>
        <w:t>2021年本年收入合计790.31万元，其中:一般公共预算财政搜款收入790.31万元，占100.00%;政府性基金预算财政拨款收入0.00万元，占0. 00%;国有资本经营预算. 财政拨款收入0.00万元，占0.00%;上级补助收入0.00 万 元，占0.00%; 事业收入0.00万元，占%;经营收入0.00 万元，占0.00%; 附属单位上缴收入0.00万元，占0. 00%;其他收入0.00万元，占0.00%。</w:t>
      </w:r>
    </w:p>
    <w:p>
      <w:pPr>
        <w:pStyle w:val="30"/>
        <w:pageBreakBefore w:val="0"/>
        <w:numPr>
          <w:ilvl w:val="0"/>
          <w:numId w:val="1"/>
        </w:numPr>
        <w:kinsoku/>
        <w:wordWrap/>
        <w:overflowPunct/>
        <w:topLinePunct w:val="0"/>
        <w:bidi w:val="0"/>
        <w:spacing w:line="560" w:lineRule="exact"/>
        <w:ind w:firstLineChars="0"/>
        <w:outlineLvl w:val="1"/>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支出决算情况说明</w:t>
      </w:r>
      <w:bookmarkEnd w:id="22"/>
      <w:bookmarkEnd w:id="23"/>
    </w:p>
    <w:p>
      <w:pPr>
        <w:pStyle w:val="16"/>
        <w:keepNext w:val="0"/>
        <w:keepLines w:val="0"/>
        <w:pageBreakBefore w:val="0"/>
        <w:widowControl/>
        <w:suppressLineNumbers w:val="0"/>
        <w:kinsoku/>
        <w:wordWrap/>
        <w:overflowPunct/>
        <w:topLinePunct w:val="0"/>
        <w:bidi w:val="0"/>
        <w:spacing w:line="560" w:lineRule="exact"/>
        <w:ind w:left="0" w:firstLine="640"/>
        <w:jc w:val="both"/>
        <w:rPr>
          <w:rFonts w:hint="eastAsia" w:ascii="仿宋_GB2312" w:hAnsi="仿宋_GB2312" w:eastAsia="仿宋_GB2312" w:cs="仿宋_GB2312"/>
          <w:color w:val="000000"/>
          <w:kern w:val="0"/>
          <w:sz w:val="32"/>
          <w:szCs w:val="32"/>
          <w:lang w:val="en-US" w:eastAsia="zh-CN" w:bidi="ar"/>
        </w:rPr>
      </w:pPr>
      <w:bookmarkStart w:id="24" w:name="_Toc15377208"/>
      <w:bookmarkStart w:id="25" w:name="_Toc15396606"/>
      <w:r>
        <w:rPr>
          <w:rFonts w:hint="eastAsia" w:ascii="仿宋_GB2312" w:hAnsi="仿宋_GB2312" w:eastAsia="仿宋_GB2312" w:cs="仿宋_GB2312"/>
          <w:color w:val="000000"/>
          <w:kern w:val="0"/>
          <w:sz w:val="32"/>
          <w:szCs w:val="32"/>
          <w:lang w:val="en-US" w:eastAsia="zh-CN" w:bidi="ar"/>
        </w:rPr>
        <w:t>2021年本年克出合计790.31万元，其中:基本出 790.31 万元，占100.00%; 项目支出0.00万占 0. 00%; 上缴上级支出0.00万元，占0.00%; 经营支出0.00 万元，占0.00%; 对附属单位补助支出0.00万元，占0.00%。</w:t>
      </w:r>
    </w:p>
    <w:p>
      <w:pPr>
        <w:pStyle w:val="16"/>
        <w:keepNext w:val="0"/>
        <w:keepLines w:val="0"/>
        <w:pageBreakBefore w:val="0"/>
        <w:widowControl/>
        <w:suppressLineNumbers w:val="0"/>
        <w:kinsoku/>
        <w:wordWrap/>
        <w:overflowPunct/>
        <w:topLinePunct w:val="0"/>
        <w:bidi w:val="0"/>
        <w:spacing w:line="560" w:lineRule="exact"/>
        <w:ind w:left="0" w:firstLine="640"/>
      </w:pPr>
    </w:p>
    <w:p>
      <w:pPr>
        <w:pageBreakBefore w:val="0"/>
        <w:kinsoku/>
        <w:wordWrap/>
        <w:overflowPunct/>
        <w:topLinePunct w:val="0"/>
        <w:bidi w:val="0"/>
        <w:spacing w:line="560" w:lineRule="exact"/>
        <w:ind w:firstLine="640" w:firstLineChars="200"/>
        <w:outlineLvl w:val="1"/>
        <w:rPr>
          <w:rStyle w:val="32"/>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四、财</w:t>
      </w:r>
      <w:r>
        <w:rPr>
          <w:rStyle w:val="32"/>
          <w:rFonts w:hint="eastAsia" w:ascii="黑体" w:hAnsi="黑体" w:eastAsia="黑体"/>
          <w:b w:val="0"/>
          <w:color w:val="000000" w:themeColor="text1"/>
          <w14:textFill>
            <w14:solidFill>
              <w14:schemeClr w14:val="tx1"/>
            </w14:solidFill>
          </w14:textFill>
        </w:rPr>
        <w:t>政拨款收入支出决算总体情况说明</w:t>
      </w:r>
      <w:bookmarkEnd w:id="24"/>
      <w:bookmarkEnd w:id="25"/>
    </w:p>
    <w:p>
      <w:pPr>
        <w:pageBreakBefore w:val="0"/>
        <w:kinsoku/>
        <w:wordWrap/>
        <w:overflowPunct/>
        <w:topLinePunct w:val="0"/>
        <w:bidi w:val="0"/>
        <w:spacing w:line="560" w:lineRule="exact"/>
        <w:ind w:firstLine="640" w:firstLineChars="200"/>
        <w:outlineLvl w:val="1"/>
        <w:rPr>
          <w:rFonts w:hint="eastAsia" w:ascii="仿宋_GB2312" w:hAnsi="仿宋_GB2312" w:eastAsia="仿宋_GB2312" w:cs="仿宋_GB2312"/>
          <w:color w:val="000000"/>
          <w:kern w:val="0"/>
          <w:sz w:val="32"/>
          <w:szCs w:val="32"/>
          <w:lang w:val="en-US" w:eastAsia="zh-CN" w:bidi="ar"/>
        </w:rPr>
      </w:pPr>
      <w:bookmarkStart w:id="26" w:name="_Toc15377209"/>
      <w:bookmarkStart w:id="27" w:name="_Toc15396607"/>
      <w:r>
        <w:rPr>
          <w:rFonts w:hint="eastAsia" w:ascii="仿宋_GB2312" w:hAnsi="仿宋_GB2312" w:eastAsia="仿宋_GB2312" w:cs="仿宋_GB2312"/>
          <w:color w:val="000000"/>
          <w:kern w:val="0"/>
          <w:sz w:val="32"/>
          <w:szCs w:val="32"/>
          <w:lang w:val="en-US" w:eastAsia="zh-CN" w:bidi="ar"/>
        </w:rPr>
        <w:t>2021年财政拨款收、支总计1580.62万元。与2020年相比，财政拨款收、支总计各增加790.31万元，增加 100.00 %。主要变动原因是经费变动。</w:t>
      </w:r>
    </w:p>
    <w:p>
      <w:pPr>
        <w:pageBreakBefore w:val="0"/>
        <w:numPr>
          <w:ilvl w:val="0"/>
          <w:numId w:val="2"/>
        </w:numPr>
        <w:kinsoku/>
        <w:wordWrap/>
        <w:overflowPunct/>
        <w:topLinePunct w:val="0"/>
        <w:bidi w:val="0"/>
        <w:spacing w:line="560" w:lineRule="exact"/>
        <w:ind w:firstLine="643" w:firstLineChars="200"/>
        <w:outlineLvl w:val="1"/>
        <w:rPr>
          <w:rStyle w:val="32"/>
          <w:rFonts w:hint="eastAsia" w:ascii="黑体" w:hAnsi="黑体" w:eastAsia="黑体"/>
          <w:b w:val="0"/>
          <w:color w:val="000000" w:themeColor="text1"/>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一</w:t>
      </w:r>
      <w:r>
        <w:rPr>
          <w:rStyle w:val="32"/>
          <w:rFonts w:hint="eastAsia" w:ascii="黑体" w:hAnsi="黑体" w:eastAsia="黑体"/>
          <w:b w:val="0"/>
          <w:color w:val="000000" w:themeColor="text1"/>
          <w14:textFill>
            <w14:solidFill>
              <w14:schemeClr w14:val="tx1"/>
            </w14:solidFill>
          </w14:textFill>
        </w:rPr>
        <w:t>般公共预算财政拨款支出决算情况说明</w:t>
      </w:r>
      <w:bookmarkEnd w:id="26"/>
      <w:bookmarkEnd w:id="27"/>
    </w:p>
    <w:p>
      <w:pPr>
        <w:keepNext w:val="0"/>
        <w:keepLines w:val="0"/>
        <w:pageBreakBefore w:val="0"/>
        <w:widowControl/>
        <w:suppressLineNumbers w:val="0"/>
        <w:kinsoku/>
        <w:wordWrap/>
        <w:overflowPunct/>
        <w:topLinePunct w:val="0"/>
        <w:bidi w:val="0"/>
        <w:spacing w:line="560" w:lineRule="exact"/>
        <w:ind w:firstLine="622" w:firstLineChars="200"/>
        <w:jc w:val="both"/>
      </w:pPr>
      <w:r>
        <w:rPr>
          <w:rFonts w:hint="eastAsia" w:ascii="仿宋" w:hAnsi="仿宋" w:eastAsia="仿宋" w:cs="仿宋"/>
          <w:b/>
          <w:bCs/>
          <w:color w:val="000000"/>
          <w:kern w:val="0"/>
          <w:sz w:val="31"/>
          <w:szCs w:val="31"/>
          <w:lang w:val="en-US" w:eastAsia="zh-CN" w:bidi="ar"/>
        </w:rPr>
        <w:t>（一）一般公共预算财政拨款支出决算总体情况</w:t>
      </w:r>
    </w:p>
    <w:p>
      <w:pPr>
        <w:pageBreakBefore w:val="0"/>
        <w:kinsoku/>
        <w:wordWrap/>
        <w:overflowPunct/>
        <w:topLinePunct w:val="0"/>
        <w:bidi w:val="0"/>
        <w:spacing w:line="560" w:lineRule="exact"/>
        <w:ind w:firstLine="640" w:firstLineChars="200"/>
        <w:outlineLvl w:val="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2021年一般公共预算财政拨款支出790.31万元，占本年支出合计的100.00%。与2020相比，一般公共预算财政. 拨款增加790.31万元，增加100.00%。主要变动原因是经费变动。</w:t>
      </w:r>
    </w:p>
    <w:p>
      <w:pPr>
        <w:keepNext w:val="0"/>
        <w:keepLines w:val="0"/>
        <w:pageBreakBefore w:val="0"/>
        <w:widowControl/>
        <w:suppressLineNumbers w:val="0"/>
        <w:kinsoku/>
        <w:wordWrap/>
        <w:overflowPunct/>
        <w:topLinePunct w:val="0"/>
        <w:bidi w:val="0"/>
        <w:spacing w:line="560" w:lineRule="exact"/>
        <w:ind w:firstLine="622" w:firstLineChars="200"/>
        <w:jc w:val="left"/>
      </w:pPr>
      <w:r>
        <w:rPr>
          <w:rFonts w:hint="eastAsia" w:ascii="仿宋" w:hAnsi="仿宋" w:eastAsia="仿宋" w:cs="仿宋"/>
          <w:b/>
          <w:bCs/>
          <w:color w:val="000000"/>
          <w:kern w:val="0"/>
          <w:sz w:val="31"/>
          <w:szCs w:val="31"/>
          <w:lang w:val="en-US" w:eastAsia="zh-CN" w:bidi="ar"/>
        </w:rPr>
        <w:t>（二）一般公共预算财政拨款支出决算结构情况（一般公共预算收支表）</w:t>
      </w:r>
    </w:p>
    <w:p>
      <w:pPr>
        <w:keepNext w:val="0"/>
        <w:keepLines w:val="0"/>
        <w:pageBreakBefore w:val="0"/>
        <w:widowControl/>
        <w:suppressLineNumbers w:val="0"/>
        <w:kinsoku/>
        <w:wordWrap/>
        <w:overflowPunct/>
        <w:topLinePunct w:val="0"/>
        <w:bidi w:val="0"/>
        <w:spacing w:line="560" w:lineRule="exact"/>
        <w:ind w:left="0"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2021年一般公共预算财政拨款支出790.31万元，主要用于以下方面:社会保障和就业支出119.02万元，占15.06%;卫生健康支出65.12万元，占8.24%;农林水支出536.05万元，占67.83%;住房保障支出70.12万元，占8.87%。</w:t>
      </w:r>
    </w:p>
    <w:p>
      <w:pPr>
        <w:keepNext w:val="0"/>
        <w:keepLines w:val="0"/>
        <w:pageBreakBefore w:val="0"/>
        <w:widowControl/>
        <w:suppressLineNumbers w:val="0"/>
        <w:kinsoku/>
        <w:wordWrap/>
        <w:overflowPunct/>
        <w:topLinePunct w:val="0"/>
        <w:bidi w:val="0"/>
        <w:spacing w:line="560" w:lineRule="exact"/>
        <w:ind w:left="0" w:firstLine="640"/>
        <w:jc w:val="both"/>
      </w:pPr>
      <w:r>
        <w:rPr>
          <w:rFonts w:hint="eastAsia" w:ascii="仿宋" w:hAnsi="仿宋" w:eastAsia="仿宋" w:cs="仿宋"/>
          <w:b/>
          <w:bCs/>
          <w:color w:val="000000"/>
          <w:kern w:val="0"/>
          <w:sz w:val="31"/>
          <w:szCs w:val="31"/>
          <w:lang w:val="en-US" w:eastAsia="zh-CN" w:bidi="ar"/>
        </w:rPr>
        <w:t>（三）一般公共预算财政拨款支出决算具体情况</w:t>
      </w:r>
    </w:p>
    <w:p>
      <w:pPr>
        <w:pStyle w:val="12"/>
        <w:pageBreakBefore w:val="0"/>
        <w:kinsoku/>
        <w:wordWrap/>
        <w:overflowPunct/>
        <w:topLinePunct w:val="0"/>
        <w:bidi w:val="0"/>
        <w:spacing w:line="560" w:lineRule="exac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2021年一般公共预算支出决算数为790.31万，完成预算100%。其中:</w:t>
      </w:r>
    </w:p>
    <w:p>
      <w:pPr>
        <w:pStyle w:val="12"/>
        <w:pageBreakBefore w:val="0"/>
        <w:kinsoku/>
        <w:wordWrap/>
        <w:overflowPunct/>
        <w:topLinePunct w:val="0"/>
        <w:bidi w:val="0"/>
        <w:spacing w:line="560" w:lineRule="exac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1.社会保障和就业支出(208) 行政事业单位养老支出 ( 20805)机关事业单位基本养老保险缴费支出(2080505)支出决算72.96万元，完成预算100%。</w:t>
      </w:r>
    </w:p>
    <w:p>
      <w:pPr>
        <w:pStyle w:val="12"/>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2.社会保障和就业支出(208) 行政事业单位养老支出 (20805)机关事业单位职业年全缴费支出(2080506) 支出决算46.06万元，完成预算100%。</w:t>
      </w:r>
    </w:p>
    <w:p>
      <w:pPr>
        <w:pStyle w:val="12"/>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3.卫生健康支出(210) 行政事业单位医疗(21011) 事业单位医疗(2101102)支出决算65.12万元，完成预算100%。</w:t>
      </w:r>
    </w:p>
    <w:p>
      <w:pPr>
        <w:pStyle w:val="12"/>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w:t>
      </w:r>
      <w:r>
        <w:rPr>
          <w:rFonts w:hint="eastAsia" w:hAnsi="仿宋_GB2312" w:cs="仿宋_GB2312"/>
          <w:color w:val="000000"/>
          <w:kern w:val="0"/>
          <w:sz w:val="32"/>
          <w:szCs w:val="32"/>
          <w:lang w:val="en-US" w:eastAsia="zh-CN" w:bidi="ar"/>
        </w:rPr>
        <w:t>农</w:t>
      </w:r>
      <w:r>
        <w:rPr>
          <w:rFonts w:hint="eastAsia" w:ascii="仿宋_GB2312" w:hAnsi="仿宋_GB2312" w:eastAsia="仿宋_GB2312" w:cs="仿宋_GB2312"/>
          <w:color w:val="000000"/>
          <w:kern w:val="0"/>
          <w:sz w:val="32"/>
          <w:szCs w:val="32"/>
          <w:lang w:val="en-US" w:eastAsia="zh-CN" w:bidi="ar"/>
        </w:rPr>
        <w:t>林水支出(213)农业农村(21301) 事业运行 (2130104)支出决算536. 05万元，完成预算100%。</w:t>
      </w:r>
    </w:p>
    <w:p>
      <w:pPr>
        <w:pStyle w:val="12"/>
        <w:pageBreakBefore w:val="0"/>
        <w:kinsoku/>
        <w:wordWrap/>
        <w:overflowPunct/>
        <w:topLinePunct w:val="0"/>
        <w:bidi w:val="0"/>
        <w:spacing w:line="560" w:lineRule="exac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5.住房保障支出(221) 住房改革支出(22102)住房公积金(2210201)支出决算70.12万元，完成预算100%。</w:t>
      </w:r>
    </w:p>
    <w:p>
      <w:pPr>
        <w:pageBreakBefore w:val="0"/>
        <w:tabs>
          <w:tab w:val="right" w:pos="8306"/>
        </w:tabs>
        <w:kinsoku/>
        <w:wordWrap/>
        <w:overflowPunct/>
        <w:topLinePunct w:val="0"/>
        <w:bidi w:val="0"/>
        <w:spacing w:line="560" w:lineRule="exact"/>
        <w:ind w:firstLine="640" w:firstLineChars="200"/>
        <w:outlineLvl w:val="1"/>
        <w:rPr>
          <w:rStyle w:val="32"/>
          <w:color w:val="000000" w:themeColor="text1"/>
          <w14:textFill>
            <w14:solidFill>
              <w14:schemeClr w14:val="tx1"/>
            </w14:solidFill>
          </w14:textFill>
        </w:rPr>
      </w:pPr>
      <w:bookmarkStart w:id="28" w:name="_Toc15396608"/>
      <w:bookmarkStart w:id="29" w:name="_Toc15377214"/>
      <w:r>
        <w:rPr>
          <w:rFonts w:hint="eastAsia" w:ascii="黑体" w:eastAsia="黑体"/>
          <w:color w:val="000000" w:themeColor="text1"/>
          <w:sz w:val="32"/>
          <w:szCs w:val="32"/>
          <w14:textFill>
            <w14:solidFill>
              <w14:schemeClr w14:val="tx1"/>
            </w14:solidFill>
          </w14:textFill>
        </w:rPr>
        <w:t>六</w:t>
      </w:r>
      <w:r>
        <w:rPr>
          <w:rFonts w:hint="eastAsia" w:asci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一</w:t>
      </w:r>
      <w:r>
        <w:rPr>
          <w:rStyle w:val="32"/>
          <w:rFonts w:hint="eastAsia" w:ascii="黑体" w:hAnsi="黑体" w:eastAsia="黑体"/>
          <w:b w:val="0"/>
          <w:color w:val="000000" w:themeColor="text1"/>
          <w14:textFill>
            <w14:solidFill>
              <w14:schemeClr w14:val="tx1"/>
            </w14:solidFill>
          </w14:textFill>
        </w:rPr>
        <w:t>般公共预算财政拨款基本支出决算情况说明</w:t>
      </w:r>
      <w:bookmarkEnd w:id="28"/>
      <w:bookmarkEnd w:id="29"/>
      <w:r>
        <w:rPr>
          <w:rStyle w:val="32"/>
          <w:rFonts w:ascii="黑体" w:hAnsi="黑体" w:eastAsia="黑体"/>
          <w:b w:val="0"/>
          <w:color w:val="000000" w:themeColor="text1"/>
          <w14:textFill>
            <w14:solidFill>
              <w14:schemeClr w14:val="tx1"/>
            </w14:solidFill>
          </w14:textFill>
        </w:rPr>
        <w:tab/>
      </w:r>
    </w:p>
    <w:p>
      <w:pPr>
        <w:keepNext w:val="0"/>
        <w:keepLines w:val="0"/>
        <w:pageBreakBefore w:val="0"/>
        <w:widowControl/>
        <w:suppressLineNumbers w:val="0"/>
        <w:kinsoku/>
        <w:wordWrap/>
        <w:overflowPunct/>
        <w:topLinePunct w:val="0"/>
        <w:bidi w:val="0"/>
        <w:spacing w:line="560" w:lineRule="exact"/>
        <w:ind w:left="0"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2021年一般公共预算财政拨款基本支出790.31万元，其中:</w:t>
      </w:r>
    </w:p>
    <w:p>
      <w:pPr>
        <w:keepNext w:val="0"/>
        <w:keepLines w:val="0"/>
        <w:pageBreakBefore w:val="0"/>
        <w:widowControl/>
        <w:suppressLineNumbers w:val="0"/>
        <w:kinsoku/>
        <w:wordWrap/>
        <w:overflowPunct/>
        <w:topLinePunct w:val="0"/>
        <w:bidi w:val="0"/>
        <w:spacing w:line="560" w:lineRule="exact"/>
        <w:ind w:left="0"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人员经费673.35万元，主要包括:基本工资178.58万 元、津贴补贴204. 77万元、绩效工资15.07万元、机关事业单位基本养老保险缴费72.96万元、职业年全缴费46.06万元、职工基本医疗保险缴费65.12万元、住房公积金 70. 12万元、抚恤金6.88万元、生活补助13. 80万元。</w:t>
      </w:r>
    </w:p>
    <w:p>
      <w:pPr>
        <w:keepNext w:val="0"/>
        <w:keepLines w:val="0"/>
        <w:pageBreakBefore w:val="0"/>
        <w:widowControl/>
        <w:suppressLineNumbers w:val="0"/>
        <w:kinsoku/>
        <w:wordWrap/>
        <w:overflowPunct/>
        <w:topLinePunct w:val="0"/>
        <w:bidi w:val="0"/>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公用经费116.96万元，主要包括:办公麦4.87万元、水费0.43万元、电费8.59万元、邮电袅3.29万元、差旅费60.07万元、维修(护)费36.13万元、租赁费0.73万元、培训套2.86万元。</w:t>
      </w:r>
    </w:p>
    <w:p>
      <w:pPr>
        <w:pageBreakBefore w:val="0"/>
        <w:kinsoku/>
        <w:wordWrap/>
        <w:overflowPunct/>
        <w:topLinePunct w:val="0"/>
        <w:bidi w:val="0"/>
        <w:spacing w:line="560" w:lineRule="exact"/>
        <w:ind w:firstLine="640"/>
        <w:outlineLvl w:val="1"/>
        <w:rPr>
          <w:rStyle w:val="32"/>
          <w:rFonts w:ascii="黑体" w:hAnsi="黑体" w:eastAsia="黑体"/>
          <w:b w:val="0"/>
          <w:color w:val="000000" w:themeColor="text1"/>
          <w14:textFill>
            <w14:solidFill>
              <w14:schemeClr w14:val="tx1"/>
            </w14:solidFill>
          </w14:textFill>
        </w:rPr>
      </w:pPr>
      <w:bookmarkStart w:id="30" w:name="_Toc15396609"/>
      <w:bookmarkStart w:id="31" w:name="_Toc15377215"/>
      <w:r>
        <w:rPr>
          <w:rFonts w:hint="eastAsia" w:ascii="黑体" w:eastAsia="黑体"/>
          <w:color w:val="000000" w:themeColor="text1"/>
          <w:sz w:val="32"/>
          <w:szCs w:val="32"/>
          <w14:textFill>
            <w14:solidFill>
              <w14:schemeClr w14:val="tx1"/>
            </w14:solidFill>
          </w14:textFill>
        </w:rPr>
        <w:t>七、</w:t>
      </w:r>
      <w:r>
        <w:rPr>
          <w:rStyle w:val="32"/>
          <w:rFonts w:hint="eastAsia" w:ascii="黑体" w:hAnsi="黑体" w:eastAsia="黑体"/>
          <w:color w:val="000000" w:themeColor="text1"/>
          <w14:textFill>
            <w14:solidFill>
              <w14:schemeClr w14:val="tx1"/>
            </w14:solidFill>
          </w14:textFill>
        </w:rPr>
        <w:t>“</w:t>
      </w:r>
      <w:r>
        <w:rPr>
          <w:rStyle w:val="32"/>
          <w:rFonts w:hint="eastAsia" w:ascii="黑体" w:hAnsi="黑体" w:eastAsia="黑体"/>
          <w:b w:val="0"/>
          <w:color w:val="000000" w:themeColor="text1"/>
          <w14:textFill>
            <w14:solidFill>
              <w14:schemeClr w14:val="tx1"/>
            </w14:solidFill>
          </w14:textFill>
        </w:rPr>
        <w:t>三公”经费财政拨款支出决算情况说明</w:t>
      </w:r>
      <w:bookmarkEnd w:id="30"/>
      <w:bookmarkEnd w:id="31"/>
    </w:p>
    <w:p>
      <w:pPr>
        <w:pStyle w:val="16"/>
        <w:keepNext w:val="0"/>
        <w:keepLines w:val="0"/>
        <w:pageBreakBefore w:val="0"/>
        <w:widowControl/>
        <w:suppressLineNumbers w:val="0"/>
        <w:kinsoku/>
        <w:wordWrap/>
        <w:overflowPunct/>
        <w:topLinePunct w:val="0"/>
        <w:bidi w:val="0"/>
        <w:spacing w:line="560" w:lineRule="exact"/>
        <w:ind w:left="0" w:firstLine="640"/>
      </w:pPr>
      <w:r>
        <w:rPr>
          <w:rFonts w:hint="eastAsia" w:ascii="仿宋" w:hAnsi="仿宋" w:eastAsia="仿宋" w:cs="仿宋"/>
          <w:b/>
          <w:bCs/>
          <w:color w:val="000000"/>
          <w:sz w:val="31"/>
          <w:szCs w:val="31"/>
        </w:rPr>
        <w:t>（一）“三公”经费财政拨款支出决算总体情况说明</w:t>
      </w:r>
    </w:p>
    <w:p>
      <w:pPr>
        <w:pStyle w:val="16"/>
        <w:keepNext w:val="0"/>
        <w:keepLines w:val="0"/>
        <w:pageBreakBefore w:val="0"/>
        <w:widowControl/>
        <w:suppressLineNumbers w:val="0"/>
        <w:kinsoku/>
        <w:wordWrap/>
        <w:overflowPunct/>
        <w:topLinePunct w:val="0"/>
        <w:bidi w:val="0"/>
        <w:spacing w:line="560" w:lineRule="exact"/>
        <w:ind w:firstLine="640" w:firstLineChars="200"/>
        <w:rPr>
          <w:rFonts w:ascii="宋体" w:hAnsi="宋体" w:eastAsia="宋体" w:cs="宋体"/>
          <w:sz w:val="24"/>
          <w:szCs w:val="24"/>
        </w:rPr>
      </w:pPr>
      <w:r>
        <w:rPr>
          <w:rFonts w:hint="eastAsia" w:ascii="仿宋_GB2312" w:hAnsi="仿宋_GB2312" w:eastAsia="仿宋_GB2312" w:cs="仿宋_GB2312"/>
          <w:color w:val="000000"/>
          <w:kern w:val="0"/>
          <w:sz w:val="32"/>
          <w:szCs w:val="32"/>
          <w:lang w:val="en-US" w:eastAsia="zh-CN" w:bidi="ar"/>
        </w:rPr>
        <w:t>2021年“三公”经费财政拨款支出决算为0.00万元，完成预算0.00%。</w:t>
      </w:r>
    </w:p>
    <w:p>
      <w:pPr>
        <w:pStyle w:val="16"/>
        <w:keepNext w:val="0"/>
        <w:keepLines w:val="0"/>
        <w:pageBreakBefore w:val="0"/>
        <w:widowControl/>
        <w:suppressLineNumbers w:val="0"/>
        <w:kinsoku/>
        <w:wordWrap/>
        <w:overflowPunct/>
        <w:topLinePunct w:val="0"/>
        <w:bidi w:val="0"/>
        <w:spacing w:line="560" w:lineRule="exact"/>
        <w:ind w:firstLine="622" w:firstLineChars="200"/>
      </w:pPr>
      <w:r>
        <w:rPr>
          <w:rFonts w:hint="eastAsia" w:ascii="仿宋" w:hAnsi="仿宋" w:eastAsia="仿宋" w:cs="仿宋"/>
          <w:b/>
          <w:bCs/>
          <w:color w:val="000000"/>
          <w:sz w:val="31"/>
          <w:szCs w:val="31"/>
        </w:rPr>
        <w:t>（二）“三公”经费财政拨款支出决算具体情况说明</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_GB2312" w:hAnsi="仿宋_GB2312" w:eastAsia="仿宋_GB2312" w:cs="仿宋_GB2312"/>
          <w:color w:val="000000"/>
          <w:kern w:val="0"/>
          <w:sz w:val="32"/>
          <w:szCs w:val="32"/>
          <w:lang w:val="en-US" w:eastAsia="zh-CN" w:bidi="ar"/>
        </w:rPr>
      </w:pPr>
      <w:bookmarkStart w:id="32" w:name="_Toc15377218"/>
      <w:bookmarkStart w:id="33" w:name="_Toc15396610"/>
      <w:r>
        <w:rPr>
          <w:rFonts w:hint="eastAsia" w:ascii="仿宋_GB2312" w:hAnsi="仿宋_GB2312" w:eastAsia="仿宋_GB2312" w:cs="仿宋_GB2312"/>
          <w:color w:val="000000"/>
          <w:kern w:val="0"/>
          <w:sz w:val="32"/>
          <w:szCs w:val="32"/>
          <w:lang w:val="en-US" w:eastAsia="zh-CN" w:bidi="ar"/>
        </w:rPr>
        <w:t>2021年“三公”经费财政拨款支出0.00万，因公出园 (境)费支出决算0.00万元，占0.00%; 公务用车购量及运行维护费支出决算0.00万元，占0.00%;公务接待条支 出决算0.00万元，占0. 00%。具体情况如下:</w:t>
      </w:r>
    </w:p>
    <w:p>
      <w:pPr>
        <w:pStyle w:val="16"/>
        <w:keepNext w:val="0"/>
        <w:keepLines w:val="0"/>
        <w:pageBreakBefore w:val="0"/>
        <w:widowControl/>
        <w:suppressLineNumbers w:val="0"/>
        <w:kinsoku/>
        <w:wordWrap/>
        <w:overflowPunct/>
        <w:topLinePunct w:val="0"/>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default" w:ascii="仿宋_GB2312" w:eastAsia="仿宋_GB2312" w:cs="仿宋_GB2312"/>
          <w:b/>
          <w:bCs/>
          <w:color w:val="000000"/>
          <w:sz w:val="31"/>
          <w:szCs w:val="31"/>
        </w:rPr>
        <w:t>1.因公出国（境）经费支出</w:t>
      </w:r>
      <w:r>
        <w:rPr>
          <w:rFonts w:hint="eastAsia" w:ascii="仿宋_GB2312" w:hAnsi="仿宋_GB2312" w:eastAsia="仿宋_GB2312" w:cs="仿宋_GB2312"/>
          <w:color w:val="000000"/>
          <w:kern w:val="0"/>
          <w:sz w:val="32"/>
          <w:szCs w:val="32"/>
          <w:lang w:val="en-US" w:eastAsia="zh-CN" w:bidi="ar"/>
        </w:rPr>
        <w:t>0.00万元，完成预算 100%。全年安排因公出国(境)团组0次，出国(境) 0人。因公出国(境)支出决算比2020年增加0.00万元，增加 100.00 %。</w:t>
      </w:r>
    </w:p>
    <w:p>
      <w:pPr>
        <w:pStyle w:val="16"/>
        <w:keepNext w:val="0"/>
        <w:keepLines w:val="0"/>
        <w:pageBreakBefore w:val="0"/>
        <w:widowControl/>
        <w:suppressLineNumbers w:val="0"/>
        <w:kinsoku/>
        <w:wordWrap/>
        <w:overflowPunct/>
        <w:topLinePunct w:val="0"/>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b/>
          <w:bCs/>
          <w:color w:val="000000"/>
          <w:kern w:val="0"/>
          <w:sz w:val="32"/>
          <w:szCs w:val="32"/>
          <w:lang w:val="en-US" w:eastAsia="zh-CN" w:bidi="ar"/>
        </w:rPr>
        <w:t>2.公务用车购量及运行维护费支出</w:t>
      </w:r>
      <w:r>
        <w:rPr>
          <w:rFonts w:hint="eastAsia" w:ascii="仿宋_GB2312" w:hAnsi="仿宋_GB2312" w:eastAsia="仿宋_GB2312" w:cs="仿宋_GB2312"/>
          <w:color w:val="000000"/>
          <w:kern w:val="0"/>
          <w:sz w:val="32"/>
          <w:szCs w:val="32"/>
          <w:lang w:val="en-US" w:eastAsia="zh-CN" w:bidi="ar"/>
        </w:rPr>
        <w:t>0.00万元,完成预算 0.00%。 公务用车购量及运行维护费支出决算比2020年增加0.00万元，增加0%。主要原因是经费变动。</w:t>
      </w:r>
    </w:p>
    <w:p>
      <w:pPr>
        <w:pStyle w:val="16"/>
        <w:keepNext w:val="0"/>
        <w:keepLines w:val="0"/>
        <w:pageBreakBefore w:val="0"/>
        <w:widowControl/>
        <w:suppressLineNumbers w:val="0"/>
        <w:kinsoku/>
        <w:wordWrap/>
        <w:overflowPunct/>
        <w:topLinePunct w:val="0"/>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其中:公务用车购量支出0.00万元。全年按规定更新购量公务用车-3辆，其中:轿车-1辆、金额0.00万元，越野车0辆、全额0.00万元，载客汽车0辆、金额0.00万元裁至2021年12月底，单位共有公务用车0辆，其中:轿车0辆、越野车0辆、载客汽车0辆。</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公务用车运行维护费支出0.00万元。主要用于经费变动。</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3.公务接待费支出</w:t>
      </w:r>
      <w:r>
        <w:rPr>
          <w:rFonts w:hint="eastAsia" w:ascii="仿宋_GB2312" w:hAnsi="仿宋_GB2312" w:eastAsia="仿宋_GB2312" w:cs="仿宋_GB2312"/>
          <w:color w:val="000000"/>
          <w:kern w:val="0"/>
          <w:sz w:val="32"/>
          <w:szCs w:val="32"/>
          <w:lang w:val="en-US" w:eastAsia="zh-CN" w:bidi="ar"/>
        </w:rPr>
        <w:t>0.00万元，完成预算0.00%。公务接待费支出决算比2020年增加0.00万元，增加0. 00%。国内公务接待支出0.00万元。国内公务接待0批次，0人次(不包括陪同人员)，共计支出0.00万元。</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eastAsia="仿宋_GB2312"/>
          <w:lang w:eastAsia="zh-CN"/>
        </w:rPr>
      </w:pPr>
      <w:r>
        <w:rPr>
          <w:rFonts w:hint="eastAsia" w:ascii="仿宋_GB2312" w:hAnsi="仿宋_GB2312" w:eastAsia="仿宋_GB2312" w:cs="仿宋_GB2312"/>
          <w:color w:val="000000"/>
          <w:kern w:val="0"/>
          <w:sz w:val="32"/>
          <w:szCs w:val="32"/>
          <w:lang w:val="en-US" w:eastAsia="zh-CN" w:bidi="ar"/>
        </w:rPr>
        <w:t>外事接待支出0.00万元，外事接待0批次，0人，共计支出0.00万元。</w:t>
      </w:r>
    </w:p>
    <w:p>
      <w:pPr>
        <w:pageBreakBefore w:val="0"/>
        <w:kinsoku/>
        <w:wordWrap/>
        <w:overflowPunct/>
        <w:topLinePunct w:val="0"/>
        <w:bidi w:val="0"/>
        <w:spacing w:line="560" w:lineRule="exact"/>
        <w:ind w:firstLine="640"/>
        <w:outlineLvl w:val="1"/>
        <w:rPr>
          <w:rStyle w:val="32"/>
          <w:rFonts w:ascii="黑体" w:hAnsi="黑体" w:eastAsia="黑体"/>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w:t>
      </w:r>
      <w:r>
        <w:rPr>
          <w:rStyle w:val="32"/>
          <w:rFonts w:hint="eastAsia" w:ascii="黑体" w:hAnsi="黑体" w:eastAsia="黑体"/>
          <w:b w:val="0"/>
          <w:color w:val="000000" w:themeColor="text1"/>
          <w14:textFill>
            <w14:solidFill>
              <w14:schemeClr w14:val="tx1"/>
            </w14:solidFill>
          </w14:textFill>
        </w:rPr>
        <w:t>政府性基金预算支出决算情况说明</w:t>
      </w:r>
      <w:bookmarkEnd w:id="32"/>
      <w:bookmarkEnd w:id="33"/>
    </w:p>
    <w:p>
      <w:pPr>
        <w:pageBreakBefore w:val="0"/>
        <w:kinsoku/>
        <w:wordWrap/>
        <w:overflowPunct/>
        <w:topLinePunct w:val="0"/>
        <w:bidi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年政府性基金预算拨款支出0万元。</w:t>
      </w:r>
    </w:p>
    <w:p>
      <w:pPr>
        <w:pageBreakBefore w:val="0"/>
        <w:numPr>
          <w:ilvl w:val="0"/>
          <w:numId w:val="0"/>
        </w:numPr>
        <w:kinsoku/>
        <w:wordWrap/>
        <w:overflowPunct/>
        <w:topLinePunct w:val="0"/>
        <w:bidi w:val="0"/>
        <w:spacing w:line="560" w:lineRule="exact"/>
        <w:ind w:firstLine="640" w:firstLineChars="200"/>
        <w:outlineLvl w:val="1"/>
        <w:rPr>
          <w:rStyle w:val="32"/>
          <w:rFonts w:ascii="黑体" w:hAnsi="黑体" w:eastAsia="黑体"/>
          <w:b w:val="0"/>
          <w:color w:val="000000" w:themeColor="text1"/>
          <w14:textFill>
            <w14:solidFill>
              <w14:schemeClr w14:val="tx1"/>
            </w14:solidFill>
          </w14:textFill>
        </w:rPr>
      </w:pPr>
      <w:bookmarkStart w:id="34" w:name="_Toc15396611"/>
      <w:bookmarkStart w:id="35" w:name="_Toc15377219"/>
      <w:r>
        <w:rPr>
          <w:rStyle w:val="32"/>
          <w:rFonts w:hint="eastAsia" w:ascii="黑体" w:hAnsi="黑体" w:eastAsia="黑体"/>
          <w:b w:val="0"/>
          <w:color w:val="000000" w:themeColor="text1"/>
          <w:lang w:eastAsia="zh-CN"/>
          <w14:textFill>
            <w14:solidFill>
              <w14:schemeClr w14:val="tx1"/>
            </w14:solidFill>
          </w14:textFill>
        </w:rPr>
        <w:t>九、</w:t>
      </w:r>
      <w:r>
        <w:rPr>
          <w:rStyle w:val="32"/>
          <w:rFonts w:hint="eastAsia" w:ascii="黑体" w:hAnsi="黑体" w:eastAsia="黑体"/>
          <w:b w:val="0"/>
          <w:color w:val="000000" w:themeColor="text1"/>
          <w14:textFill>
            <w14:solidFill>
              <w14:schemeClr w14:val="tx1"/>
            </w14:solidFill>
          </w14:textFill>
        </w:rPr>
        <w:t>国有资本经营预算支出决算情况说明</w:t>
      </w:r>
      <w:bookmarkEnd w:id="34"/>
      <w:bookmarkEnd w:id="35"/>
    </w:p>
    <w:p>
      <w:pPr>
        <w:pageBreakBefore w:val="0"/>
        <w:kinsoku/>
        <w:wordWrap/>
        <w:overflowPunct/>
        <w:topLinePunct w:val="0"/>
        <w:bidi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年国有资本经营预算拨款支出0万元。</w:t>
      </w:r>
    </w:p>
    <w:p>
      <w:pPr>
        <w:pageBreakBefore w:val="0"/>
        <w:kinsoku/>
        <w:wordWrap/>
        <w:overflowPunct/>
        <w:topLinePunct w:val="0"/>
        <w:bidi w:val="0"/>
        <w:spacing w:line="560" w:lineRule="exact"/>
        <w:ind w:firstLine="640" w:firstLineChars="200"/>
        <w:outlineLvl w:val="1"/>
        <w:rPr>
          <w:rStyle w:val="32"/>
          <w:rFonts w:ascii="黑体" w:hAnsi="黑体" w:eastAsia="黑体"/>
          <w:color w:val="000000" w:themeColor="text1"/>
          <w14:textFill>
            <w14:solidFill>
              <w14:schemeClr w14:val="tx1"/>
            </w14:solidFill>
          </w14:textFill>
        </w:rPr>
      </w:pPr>
      <w:bookmarkStart w:id="36" w:name="_Toc15396612"/>
      <w:bookmarkStart w:id="37" w:name="_Toc15377221"/>
      <w:r>
        <w:rPr>
          <w:rFonts w:hint="eastAsia" w:ascii="黑体" w:hAnsi="黑体" w:eastAsia="黑体"/>
          <w:color w:val="000000" w:themeColor="text1"/>
          <w:sz w:val="32"/>
          <w:szCs w:val="32"/>
          <w14:textFill>
            <w14:solidFill>
              <w14:schemeClr w14:val="tx1"/>
            </w14:solidFill>
          </w14:textFill>
        </w:rPr>
        <w:t>十</w:t>
      </w:r>
      <w:r>
        <w:rPr>
          <w:rStyle w:val="32"/>
          <w:rFonts w:hint="eastAsia" w:ascii="黑体" w:hAnsi="黑体" w:eastAsia="黑体"/>
          <w:color w:val="000000" w:themeColor="text1"/>
          <w14:textFill>
            <w14:solidFill>
              <w14:schemeClr w14:val="tx1"/>
            </w14:solidFill>
          </w14:textFill>
        </w:rPr>
        <w:t>、</w:t>
      </w:r>
      <w:r>
        <w:rPr>
          <w:rStyle w:val="32"/>
          <w:rFonts w:hint="eastAsia" w:ascii="黑体" w:hAnsi="黑体" w:eastAsia="黑体"/>
          <w:b w:val="0"/>
          <w:color w:val="000000" w:themeColor="text1"/>
          <w14:textFill>
            <w14:solidFill>
              <w14:schemeClr w14:val="tx1"/>
            </w14:solidFill>
          </w14:textFill>
        </w:rPr>
        <w:t>其他重要事项的情况说明</w:t>
      </w:r>
      <w:bookmarkEnd w:id="36"/>
      <w:bookmarkEnd w:id="37"/>
    </w:p>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_GB2312" w:eastAsia="仿宋_GB2312" w:cs="仿宋_GB2312"/>
          <w:color w:val="000000"/>
          <w:sz w:val="31"/>
          <w:szCs w:val="31"/>
          <w:lang w:eastAsia="zh-CN"/>
        </w:rPr>
      </w:pPr>
      <w:r>
        <w:rPr>
          <w:rFonts w:hint="default" w:ascii="仿宋_GB2312" w:eastAsia="仿宋_GB2312" w:cs="仿宋_GB2312"/>
          <w:color w:val="000000"/>
          <w:sz w:val="31"/>
          <w:szCs w:val="31"/>
        </w:rPr>
        <w:t>2021年</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机关运行经费支出</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万元，比2020年</w:t>
      </w:r>
      <w:r>
        <w:rPr>
          <w:rFonts w:hint="eastAsia" w:ascii="仿宋_GB2312" w:eastAsia="仿宋_GB2312" w:cs="仿宋_GB2312"/>
          <w:color w:val="000000"/>
          <w:sz w:val="31"/>
          <w:szCs w:val="31"/>
          <w:lang w:eastAsia="zh-CN"/>
        </w:rPr>
        <w:t>增加</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w:t>
      </w:r>
      <w:r>
        <w:rPr>
          <w:rFonts w:hint="eastAsia" w:ascii="仿宋_GB2312" w:eastAsia="仿宋_GB2312" w:cs="仿宋_GB2312"/>
          <w:color w:val="000000"/>
          <w:sz w:val="31"/>
          <w:szCs w:val="31"/>
          <w:lang w:eastAsia="zh-CN"/>
        </w:rPr>
        <w:t>增加</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eastAsia="仿宋"/>
          <w:lang w:eastAsia="zh-CN"/>
        </w:rPr>
      </w:pPr>
      <w:r>
        <w:rPr>
          <w:rFonts w:hint="eastAsia" w:ascii="仿宋" w:hAnsi="仿宋" w:eastAsia="仿宋" w:cs="仿宋"/>
          <w:b/>
          <w:bCs/>
          <w:color w:val="000000"/>
          <w:sz w:val="31"/>
          <w:szCs w:val="31"/>
        </w:rPr>
        <w:t>（二）政府采购支出情况</w:t>
      </w:r>
      <w:r>
        <w:rPr>
          <w:rFonts w:hint="eastAsia" w:ascii="仿宋" w:hAnsi="仿宋" w:eastAsia="仿宋" w:cs="仿宋"/>
          <w:b/>
          <w:bCs/>
          <w:color w:val="000000"/>
          <w:sz w:val="31"/>
          <w:szCs w:val="31"/>
          <w:lang w:eastAsia="zh-CN"/>
        </w:rPr>
        <w:t>（机构运行信息表）</w:t>
      </w:r>
    </w:p>
    <w:p>
      <w:pPr>
        <w:pStyle w:val="16"/>
        <w:keepNext w:val="0"/>
        <w:keepLines w:val="0"/>
        <w:pageBreakBefore w:val="0"/>
        <w:widowControl/>
        <w:suppressLineNumbers w:val="0"/>
        <w:kinsoku/>
        <w:wordWrap/>
        <w:overflowPunct/>
        <w:topLinePunct w:val="0"/>
        <w:bidi w:val="0"/>
        <w:spacing w:line="560" w:lineRule="exact"/>
        <w:ind w:left="0" w:firstLine="640"/>
      </w:pPr>
      <w:r>
        <w:rPr>
          <w:rFonts w:hint="default" w:ascii="仿宋_GB2312" w:eastAsia="仿宋_GB2312" w:cs="仿宋_GB2312"/>
          <w:color w:val="000000"/>
          <w:sz w:val="31"/>
          <w:szCs w:val="31"/>
        </w:rPr>
        <w:t>2021年，</w:t>
      </w:r>
      <w:r>
        <w:rPr>
          <w:rFonts w:hint="eastAsia" w:ascii="仿宋_GB2312" w:eastAsia="仿宋_GB2312" w:cs="仿宋_GB2312"/>
          <w:color w:val="000000"/>
          <w:sz w:val="31"/>
          <w:szCs w:val="31"/>
          <w:lang w:eastAsia="zh-CN"/>
        </w:rPr>
        <w:t>政府</w:t>
      </w:r>
      <w:r>
        <w:rPr>
          <w:rFonts w:hint="default" w:ascii="仿宋_GB2312" w:eastAsia="仿宋_GB2312" w:cs="仿宋_GB2312"/>
          <w:color w:val="000000"/>
          <w:sz w:val="31"/>
          <w:szCs w:val="31"/>
        </w:rPr>
        <w:t>政府采购支出总额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万元，其中：政府采购货物支出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万元、政府采购工程支出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万元、政府采购服务支出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万元。授予中小企业合同金额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万元，其中：授予小微企业合同金额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万元，占政府采购支出总额的</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w:t>
      </w:r>
    </w:p>
    <w:p>
      <w:pPr>
        <w:pStyle w:val="16"/>
        <w:keepNext w:val="0"/>
        <w:keepLines w:val="0"/>
        <w:pageBreakBefore w:val="0"/>
        <w:widowControl/>
        <w:suppressLineNumbers w:val="0"/>
        <w:kinsoku/>
        <w:wordWrap/>
        <w:overflowPunct/>
        <w:topLinePunct w:val="0"/>
        <w:bidi w:val="0"/>
        <w:spacing w:line="560" w:lineRule="exact"/>
        <w:ind w:left="0" w:firstLine="640"/>
        <w:rPr>
          <w:rFonts w:hint="eastAsia" w:ascii="仿宋" w:hAnsi="仿宋" w:eastAsia="仿宋" w:cs="仿宋"/>
          <w:b/>
          <w:bCs/>
          <w:color w:val="000000"/>
          <w:sz w:val="31"/>
          <w:szCs w:val="31"/>
        </w:rPr>
      </w:pPr>
      <w:r>
        <w:rPr>
          <w:rFonts w:hint="eastAsia" w:ascii="仿宋" w:hAnsi="仿宋" w:eastAsia="仿宋" w:cs="仿宋"/>
          <w:b/>
          <w:bCs/>
          <w:color w:val="000000"/>
          <w:sz w:val="31"/>
          <w:szCs w:val="31"/>
        </w:rPr>
        <w:t>（三）国有资产占有使用情况</w:t>
      </w:r>
    </w:p>
    <w:p>
      <w:pPr>
        <w:pStyle w:val="16"/>
        <w:keepNext w:val="0"/>
        <w:keepLines w:val="0"/>
        <w:pageBreakBefore w:val="0"/>
        <w:widowControl/>
        <w:suppressLineNumbers w:val="0"/>
        <w:kinsoku/>
        <w:wordWrap/>
        <w:overflowPunct/>
        <w:topLinePunct w:val="0"/>
        <w:bidi w:val="0"/>
        <w:spacing w:line="560" w:lineRule="exact"/>
        <w:ind w:left="0" w:firstLine="640"/>
      </w:pPr>
      <w:r>
        <w:rPr>
          <w:rFonts w:hint="default" w:ascii="仿宋_GB2312" w:eastAsia="仿宋_GB2312" w:cs="仿宋_GB2312"/>
          <w:color w:val="000000"/>
          <w:sz w:val="31"/>
          <w:szCs w:val="31"/>
        </w:rPr>
        <w:t>截至2021年12月31日，共有车辆</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辆，其中：主要</w:t>
      </w:r>
    </w:p>
    <w:p>
      <w:pPr>
        <w:keepNext w:val="0"/>
        <w:keepLines w:val="0"/>
        <w:pageBreakBefore w:val="0"/>
        <w:widowControl/>
        <w:suppressLineNumbers w:val="0"/>
        <w:kinsoku/>
        <w:wordWrap/>
        <w:overflowPunct/>
        <w:topLinePunct w:val="0"/>
        <w:bidi w:val="0"/>
        <w:spacing w:line="560" w:lineRule="exact"/>
        <w:jc w:val="center"/>
      </w:pPr>
      <w:r>
        <w:rPr>
          <w:rFonts w:hint="default" w:ascii="仿宋_GB2312" w:hAnsi="宋体" w:eastAsia="仿宋_GB2312" w:cs="仿宋_GB2312"/>
          <w:color w:val="000000"/>
          <w:kern w:val="0"/>
          <w:sz w:val="31"/>
          <w:szCs w:val="31"/>
          <w:lang w:val="en-US" w:eastAsia="zh-CN" w:bidi="ar"/>
        </w:rPr>
        <w:t>领导干部用车</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辆、机要通信用车</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辆、应急保障用车</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辆、</w:t>
      </w:r>
    </w:p>
    <w:p>
      <w:pPr>
        <w:pStyle w:val="16"/>
        <w:keepNext w:val="0"/>
        <w:keepLines w:val="0"/>
        <w:pageBreakBefore w:val="0"/>
        <w:widowControl/>
        <w:suppressLineNumbers w:val="0"/>
        <w:kinsoku/>
        <w:wordWrap/>
        <w:overflowPunct/>
        <w:topLinePunct w:val="0"/>
        <w:bidi w:val="0"/>
        <w:spacing w:line="560" w:lineRule="exact"/>
      </w:pPr>
      <w:r>
        <w:rPr>
          <w:rFonts w:hint="default" w:ascii="仿宋_GB2312" w:eastAsia="仿宋_GB2312" w:cs="仿宋_GB2312"/>
          <w:color w:val="000000"/>
          <w:sz w:val="31"/>
          <w:szCs w:val="31"/>
        </w:rPr>
        <w:t>其他用车</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辆</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单价50万元以上通用设备</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台（套），单价100万元以上专用设备</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台（套）。</w:t>
      </w:r>
    </w:p>
    <w:p>
      <w:pPr>
        <w:pStyle w:val="16"/>
        <w:keepNext w:val="0"/>
        <w:keepLines w:val="0"/>
        <w:pageBreakBefore w:val="0"/>
        <w:widowControl/>
        <w:numPr>
          <w:ilvl w:val="0"/>
          <w:numId w:val="3"/>
        </w:numPr>
        <w:suppressLineNumbers w:val="0"/>
        <w:kinsoku/>
        <w:wordWrap/>
        <w:overflowPunct/>
        <w:topLinePunct w:val="0"/>
        <w:bidi w:val="0"/>
        <w:spacing w:line="560" w:lineRule="exact"/>
        <w:ind w:left="0" w:firstLine="640"/>
        <w:rPr>
          <w:rFonts w:hint="eastAsia" w:ascii="仿宋" w:hAnsi="仿宋" w:eastAsia="仿宋" w:cs="仿宋"/>
          <w:b/>
          <w:bCs/>
          <w:color w:val="000000"/>
          <w:sz w:val="31"/>
          <w:szCs w:val="31"/>
        </w:rPr>
      </w:pPr>
      <w:r>
        <w:rPr>
          <w:rFonts w:hint="eastAsia" w:ascii="仿宋" w:hAnsi="仿宋" w:eastAsia="仿宋" w:cs="仿宋"/>
          <w:b/>
          <w:bCs/>
          <w:color w:val="000000"/>
          <w:sz w:val="31"/>
          <w:szCs w:val="31"/>
        </w:rPr>
        <w:t>预算绩效管理情况。</w:t>
      </w:r>
    </w:p>
    <w:p>
      <w:pPr>
        <w:autoSpaceDE w:val="0"/>
        <w:autoSpaceDN w:val="0"/>
        <w:adjustRightInd w:val="0"/>
        <w:spacing w:line="600" w:lineRule="exact"/>
        <w:ind w:firstLine="640" w:firstLineChars="200"/>
        <w:jc w:val="left"/>
        <w:rPr>
          <w:rFonts w:hint="default" w:ascii="仿宋_GB2312" w:eastAsia="仿宋_GB2312"/>
          <w:b w:val="0"/>
          <w:bCs/>
          <w:color w:val="000000" w:themeColor="text1"/>
          <w:sz w:val="32"/>
          <w:szCs w:val="32"/>
          <w:lang w:val="en-US"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本部门没有开展绩效评价。</w:t>
      </w:r>
    </w:p>
    <w:p>
      <w:pPr>
        <w:widowControl/>
        <w:jc w:val="left"/>
        <w:rPr>
          <w:rFonts w:ascii="仿宋_GB2312" w:eastAsia="仿宋_GB2312"/>
          <w:b w:val="0"/>
          <w:bCs/>
          <w:color w:val="000000" w:themeColor="text1"/>
          <w:sz w:val="32"/>
          <w:szCs w:val="32"/>
          <w14:textFill>
            <w14:solidFill>
              <w14:schemeClr w14:val="tx1"/>
            </w14:solidFill>
          </w14:textFill>
        </w:rPr>
      </w:pPr>
    </w:p>
    <w:p>
      <w:pPr>
        <w:pStyle w:val="16"/>
        <w:keepNext w:val="0"/>
        <w:keepLines w:val="0"/>
        <w:pageBreakBefore w:val="0"/>
        <w:widowControl/>
        <w:numPr>
          <w:ilvl w:val="0"/>
          <w:numId w:val="0"/>
        </w:numPr>
        <w:suppressLineNumbers w:val="0"/>
        <w:kinsoku/>
        <w:wordWrap/>
        <w:overflowPunct/>
        <w:topLinePunct w:val="0"/>
        <w:bidi w:val="0"/>
        <w:spacing w:line="560" w:lineRule="exact"/>
        <w:ind w:left="640" w:leftChars="0"/>
        <w:rPr>
          <w:rFonts w:hint="eastAsia" w:ascii="仿宋" w:hAnsi="仿宋" w:eastAsia="仿宋" w:cs="仿宋"/>
          <w:b/>
          <w:bCs/>
          <w:color w:val="000000"/>
          <w:sz w:val="31"/>
          <w:szCs w:val="31"/>
        </w:rPr>
      </w:pPr>
    </w:p>
    <w:p>
      <w:pPr>
        <w:pageBreakBefore w:val="0"/>
        <w:widowControl/>
        <w:kinsoku/>
        <w:wordWrap/>
        <w:overflowPunct/>
        <w:topLinePunct w:val="0"/>
        <w:bidi w:val="0"/>
        <w:spacing w:line="560" w:lineRule="exact"/>
        <w:jc w:val="left"/>
        <w:rPr>
          <w:rFonts w:ascii="仿宋_GB2312" w:eastAsia="仿宋_GB2312"/>
          <w:b/>
          <w:color w:val="000000" w:themeColor="text1"/>
          <w:sz w:val="32"/>
          <w:szCs w:val="32"/>
          <w14:textFill>
            <w14:solidFill>
              <w14:schemeClr w14:val="tx1"/>
            </w14:solidFill>
          </w14:textFill>
        </w:rPr>
      </w:pPr>
    </w:p>
    <w:p>
      <w:pPr>
        <w:pageBreakBefore w:val="0"/>
        <w:numPr>
          <w:ilvl w:val="0"/>
          <w:numId w:val="4"/>
        </w:numPr>
        <w:kinsoku/>
        <w:wordWrap/>
        <w:overflowPunct/>
        <w:topLinePunct w:val="0"/>
        <w:bidi w:val="0"/>
        <w:spacing w:line="560" w:lineRule="exact"/>
        <w:ind w:firstLine="663" w:firstLineChars="150"/>
        <w:jc w:val="center"/>
        <w:outlineLvl w:val="0"/>
        <w:rPr>
          <w:rStyle w:val="31"/>
          <w:rFonts w:ascii="黑体" w:hAnsi="黑体" w:eastAsia="黑体"/>
          <w:b w:val="0"/>
          <w:color w:val="000000" w:themeColor="text1"/>
          <w14:textFill>
            <w14:solidFill>
              <w14:schemeClr w14:val="tx1"/>
            </w14:solidFill>
          </w14:textFill>
        </w:rPr>
      </w:pPr>
      <w:bookmarkStart w:id="38" w:name="_Toc15396613"/>
      <w:bookmarkStart w:id="39" w:name="_Toc15377225"/>
      <w:r>
        <w:rPr>
          <w:rFonts w:hint="eastAsia" w:ascii="黑体" w:hAnsi="黑体" w:eastAsia="黑体"/>
          <w:b/>
          <w:color w:val="000000" w:themeColor="text1"/>
          <w:sz w:val="44"/>
          <w:szCs w:val="44"/>
          <w14:textFill>
            <w14:solidFill>
              <w14:schemeClr w14:val="tx1"/>
            </w14:solidFill>
          </w14:textFill>
        </w:rPr>
        <w:t>名</w:t>
      </w:r>
      <w:r>
        <w:rPr>
          <w:rStyle w:val="31"/>
          <w:rFonts w:hint="eastAsia" w:ascii="黑体" w:hAnsi="黑体" w:eastAsia="黑体"/>
          <w:b w:val="0"/>
          <w:color w:val="000000" w:themeColor="text1"/>
          <w14:textFill>
            <w14:solidFill>
              <w14:schemeClr w14:val="tx1"/>
            </w14:solidFill>
          </w14:textFill>
        </w:rPr>
        <w:t>词解释</w:t>
      </w:r>
      <w:bookmarkEnd w:id="38"/>
      <w:bookmarkEnd w:id="39"/>
    </w:p>
    <w:p>
      <w:pPr>
        <w:pageBreakBefore w:val="0"/>
        <w:kinsoku/>
        <w:wordWrap/>
        <w:overflowPunct/>
        <w:topLinePunct w:val="0"/>
        <w:bidi w:val="0"/>
        <w:spacing w:line="560" w:lineRule="exact"/>
        <w:jc w:val="left"/>
        <w:rPr>
          <w:rFonts w:ascii="宋体"/>
          <w:b/>
          <w:color w:val="000000" w:themeColor="text1"/>
          <w:sz w:val="44"/>
          <w:szCs w:val="44"/>
          <w14:textFill>
            <w14:solidFill>
              <w14:schemeClr w14:val="tx1"/>
            </w14:solidFill>
          </w14:textFill>
        </w:rPr>
      </w:pP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财政拨款收入：指单位从同级财政部门取得的财政预算资金。</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事业收入：指事业单位开展专业业务活动及辅助活动取得的收入。</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经营收入：指事业单位在专业业务活动及其辅助活动之外开展非独立核算经营活动取得的收入。</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其他收入：指单位取得的除上述收入以外的各项收入。</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年初结转和结余：指以前年度尚未完成、结转到本年按有关规定继续使用的资金。</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结余分配：指事业单位按照事业单位会计制度的规定从非财政补助结余中分配的事业基金和职工福利基金等。</w:t>
      </w:r>
    </w:p>
    <w:p>
      <w:pPr>
        <w:pStyle w:val="29"/>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、年末结转和结余：指单位按有关规定结转到下年或以后年度继续使用的资金。</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bookmarkStart w:id="40" w:name="_Toc15377226"/>
      <w:r>
        <w:rPr>
          <w:rFonts w:hint="eastAsia" w:ascii="仿宋_GB2312" w:eastAsia="仿宋_GB2312"/>
          <w:color w:val="000000" w:themeColor="text1"/>
          <w:sz w:val="32"/>
          <w:szCs w:val="32"/>
          <w14:textFill>
            <w14:solidFill>
              <w14:schemeClr w14:val="tx1"/>
            </w14:solidFill>
          </w14:textFill>
        </w:rPr>
        <w:t>9.社会保障和就业支出(208)行政事业单位养老支出 ( 20805)机关事业单位基本养老保险缴费支出 (2080505) :反映机关事业单位实施养老保险制度由单位缴纳的基本养老保险费支出。</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10.社会保障和就业支出(208) 行政事业单位养老支出 (20805)机关事业单位职业年金缴</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支出(2080506) :反映机关事业单位实施养老保险制度由单位实际缴纳的职业年金支出。</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11.卫生健康支出(210)行政事业单位医疗(21011) 事 业单位医疗(2101102) :反映财政部门安排的事业单位基本医疗保险缴费经赛，未参加医疗保险的事业单位的公麦医疗经</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，按国家规定享受高休人员待遇的医疗经费。</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lang w:eastAsia="zh-CN"/>
          <w14:textFill>
            <w14:solidFill>
              <w14:schemeClr w14:val="tx1"/>
            </w14:solidFill>
          </w14:textFill>
        </w:rPr>
        <w:t>农</w:t>
      </w:r>
      <w:r>
        <w:rPr>
          <w:rFonts w:hint="eastAsia" w:ascii="仿宋_GB2312" w:eastAsia="仿宋_GB2312"/>
          <w:color w:val="000000" w:themeColor="text1"/>
          <w:sz w:val="32"/>
          <w:szCs w:val="32"/>
          <w14:textFill>
            <w14:solidFill>
              <w14:schemeClr w14:val="tx1"/>
            </w14:solidFill>
          </w14:textFill>
        </w:rPr>
        <w:t>林水支出(213) 农业农村(21301) 事业运行 (2130104) :反映用于农业事业单位基本支出，事业单位设施、系统运行与资户维护等方面的支出。</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13.住房保障支出(221) 住房改革支出(22102)住房公 积金(2210201) :反映行政事业单位按人力资源和社会保障部、财政部规定的基本工资和津贴补贴以及规定比例为职工缴纳的住房公积合。</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14.基本支出:指为保障机构正常运转、完成日常工作任务而发生的人员支出和公用支出。25.项目支出:指在基本支出之外为完成特定行政任务和事业发展目标所发生的支出。</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15.经营支出:指事业单位在专业业务活动及其辅助活动之外开展非独立核算经营活动发生的支出。</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“三公”经</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:指部门用财政拨款安排的因公出园(境)</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、公务用车购量及运行费和公务接待费。其中，因公出国(境)</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反映单位公务出国(境)的国际旅费、国外城市间交通费、住宿费、伙食费、培训费、公杂</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等支出;公务用车购量及运行费反映单位公务用车车辆购量支出(含车辆购量税)及租用</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、燃料费、维修费、过路过桥壳、保险费等支出;公务接待费反映单位按规定开支的各类公务接待(含外宾接待)支出。</w:t>
      </w:r>
    </w:p>
    <w:p>
      <w:pPr>
        <w:pStyle w:val="29"/>
        <w:pageBreakBefore w:val="0"/>
        <w:kinsoku/>
        <w:wordWrap/>
        <w:overflowPunct/>
        <w:topLinePunct w:val="0"/>
        <w:bidi w:val="0"/>
        <w:spacing w:line="560" w:lineRule="exact"/>
        <w:ind w:firstLine="640" w:firstLineChars="200"/>
        <w:jc w:val="both"/>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17.机关运行经表:为保障行政单位(含参照公务员法管理的事业单位)运行用于购买货物和服务的各项资金，包括办公及印刷费、邮电费、差旅费、会议</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、福利费、日常维修</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、专用材料及一般设备购量费、办公用房水电</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、办公用房取暖</w:t>
      </w:r>
      <w:r>
        <w:rPr>
          <w:rFonts w:hint="eastAsia" w:ascii="仿宋_GB2312" w:eastAsia="仿宋_GB2312"/>
          <w:color w:val="000000" w:themeColor="text1"/>
          <w:sz w:val="32"/>
          <w:szCs w:val="32"/>
          <w:lang w:eastAsia="zh-CN"/>
          <w14:textFill>
            <w14:solidFill>
              <w14:schemeClr w14:val="tx1"/>
            </w14:solidFill>
          </w14:textFill>
        </w:rPr>
        <w:t>费</w:t>
      </w:r>
      <w:r>
        <w:rPr>
          <w:rFonts w:hint="eastAsia" w:ascii="仿宋_GB2312" w:eastAsia="仿宋_GB2312"/>
          <w:color w:val="000000" w:themeColor="text1"/>
          <w:sz w:val="32"/>
          <w:szCs w:val="32"/>
          <w14:textFill>
            <w14:solidFill>
              <w14:schemeClr w14:val="tx1"/>
            </w14:solidFill>
          </w14:textFill>
        </w:rPr>
        <w:t>、办公用房物业管理奈、公务用车运行维护费以反其他赛用。</w:t>
      </w:r>
    </w:p>
    <w:p>
      <w:pPr>
        <w:pStyle w:val="29"/>
        <w:pageBreakBefore w:val="0"/>
        <w:kinsoku/>
        <w:wordWrap/>
        <w:overflowPunct/>
        <w:topLinePunct w:val="0"/>
        <w:bidi w:val="0"/>
        <w:spacing w:line="560" w:lineRule="exact"/>
        <w:ind w:firstLine="640" w:firstLineChars="200"/>
        <w:jc w:val="both"/>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18.财政应返还额度:为行政事业单位会计核算科目，用于核算实行国库集中支付的行政事业单位应收财政返还的资金额度。</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br w:type="page"/>
      </w:r>
    </w:p>
    <w:p>
      <w:pPr>
        <w:pageBreakBefore w:val="0"/>
        <w:kinsoku/>
        <w:wordWrap/>
        <w:overflowPunct/>
        <w:topLinePunct w:val="0"/>
        <w:bidi w:val="0"/>
        <w:spacing w:line="560" w:lineRule="exact"/>
        <w:jc w:val="center"/>
        <w:outlineLvl w:val="0"/>
        <w:rPr>
          <w:rStyle w:val="31"/>
          <w:rFonts w:ascii="黑体" w:hAnsi="黑体" w:eastAsia="黑体"/>
          <w:b w:val="0"/>
          <w:color w:val="000000" w:themeColor="text1"/>
          <w14:textFill>
            <w14:solidFill>
              <w14:schemeClr w14:val="tx1"/>
            </w14:solidFill>
          </w14:textFill>
        </w:rPr>
      </w:pPr>
      <w:bookmarkStart w:id="41" w:name="_Toc15396618"/>
      <w:r>
        <w:rPr>
          <w:rFonts w:hint="eastAsia" w:ascii="黑体" w:hAnsi="黑体" w:eastAsia="黑体"/>
          <w:color w:val="000000" w:themeColor="text1"/>
          <w:sz w:val="44"/>
          <w:szCs w:val="44"/>
          <w14:textFill>
            <w14:solidFill>
              <w14:schemeClr w14:val="tx1"/>
            </w14:solidFill>
          </w14:textFill>
        </w:rPr>
        <w:t>第</w:t>
      </w:r>
      <w:r>
        <w:rPr>
          <w:rStyle w:val="31"/>
          <w:rFonts w:hint="eastAsia" w:ascii="黑体" w:hAnsi="黑体" w:eastAsia="黑体"/>
          <w:b w:val="0"/>
          <w:color w:val="000000" w:themeColor="text1"/>
          <w14:textFill>
            <w14:solidFill>
              <w14:schemeClr w14:val="tx1"/>
            </w14:solidFill>
          </w14:textFill>
        </w:rPr>
        <w:t>四部分 附件</w:t>
      </w:r>
    </w:p>
    <w:p>
      <w:pPr>
        <w:pageBreakBefore w:val="0"/>
        <w:kinsoku/>
        <w:wordWrap/>
        <w:overflowPunct/>
        <w:topLinePunct w:val="0"/>
        <w:bidi w:val="0"/>
        <w:spacing w:line="560" w:lineRule="exact"/>
        <w:jc w:val="center"/>
        <w:outlineLvl w:val="0"/>
        <w:rPr>
          <w:rStyle w:val="31"/>
          <w:color w:val="000000" w:themeColor="text1"/>
          <w14:textFill>
            <w14:solidFill>
              <w14:schemeClr w14:val="tx1"/>
            </w14:solidFill>
          </w14:textFill>
        </w:rPr>
      </w:pPr>
    </w:p>
    <w:p>
      <w:pPr>
        <w:pStyle w:val="5"/>
        <w:pageBreakBefore w:val="0"/>
        <w:kinsoku/>
        <w:wordWrap/>
        <w:overflowPunct/>
        <w:topLinePunct w:val="0"/>
        <w:bidi w:val="0"/>
        <w:spacing w:line="560" w:lineRule="exact"/>
        <w:rPr>
          <w:rStyle w:val="31"/>
          <w:rFonts w:ascii="仿宋" w:hAnsi="仿宋" w:eastAsia="仿宋"/>
          <w:b w:val="0"/>
          <w:bCs w:val="0"/>
          <w:color w:val="000000" w:themeColor="text1"/>
          <w:sz w:val="32"/>
          <w:szCs w:val="32"/>
          <w14:textFill>
            <w14:solidFill>
              <w14:schemeClr w14:val="tx1"/>
            </w14:solidFill>
          </w14:textFill>
        </w:rPr>
      </w:pPr>
      <w:r>
        <w:rPr>
          <w:rStyle w:val="31"/>
          <w:rFonts w:hint="eastAsia" w:ascii="仿宋" w:hAnsi="仿宋" w:eastAsia="仿宋"/>
          <w:b w:val="0"/>
          <w:bCs w:val="0"/>
          <w:color w:val="000000" w:themeColor="text1"/>
          <w:sz w:val="32"/>
          <w:szCs w:val="32"/>
          <w14:textFill>
            <w14:solidFill>
              <w14:schemeClr w14:val="tx1"/>
            </w14:solidFill>
          </w14:textFill>
        </w:rPr>
        <w:t>附件1</w:t>
      </w:r>
    </w:p>
    <w:p>
      <w:pPr>
        <w:pageBreakBefore w:val="0"/>
        <w:kinsoku/>
        <w:wordWrap/>
        <w:overflowPunct/>
        <w:topLinePunct w:val="0"/>
        <w:bidi w:val="0"/>
        <w:spacing w:line="560" w:lineRule="exact"/>
        <w:jc w:val="center"/>
        <w:outlineLvl w:val="0"/>
        <w:rPr>
          <w:rFonts w:ascii="黑体" w:hAnsi="黑体" w:eastAsia="黑体" w:cs="方正小标宋简体"/>
          <w:color w:val="000000" w:themeColor="text1"/>
          <w:sz w:val="36"/>
          <w:szCs w:val="36"/>
          <w14:textFill>
            <w14:solidFill>
              <w14:schemeClr w14:val="tx1"/>
            </w14:solidFill>
          </w14:textFill>
        </w:rPr>
      </w:pPr>
      <w:bookmarkStart w:id="42" w:name="_Toc15396616"/>
      <w:r>
        <w:rPr>
          <w:rFonts w:hint="eastAsia" w:ascii="黑体" w:hAnsi="黑体" w:eastAsia="黑体" w:cs="方正小标宋简体"/>
          <w:color w:val="000000" w:themeColor="text1"/>
          <w:sz w:val="36"/>
          <w:szCs w:val="36"/>
          <w14:textFill>
            <w14:solidFill>
              <w14:schemeClr w14:val="tx1"/>
            </w14:solidFill>
          </w14:textFill>
        </w:rPr>
        <w:t>科农局</w:t>
      </w:r>
      <w:r>
        <w:rPr>
          <w:rFonts w:hint="eastAsia" w:ascii="黑体" w:hAnsi="黑体" w:eastAsia="黑体" w:cs="方正小标宋简体"/>
          <w:color w:val="000000" w:themeColor="text1"/>
          <w:sz w:val="36"/>
          <w:szCs w:val="36"/>
          <w:lang w:eastAsia="zh-CN"/>
          <w14:textFill>
            <w14:solidFill>
              <w14:schemeClr w14:val="tx1"/>
            </w14:solidFill>
          </w14:textFill>
        </w:rPr>
        <w:t>202</w:t>
      </w:r>
      <w:r>
        <w:rPr>
          <w:rFonts w:hint="eastAsia" w:ascii="黑体" w:hAnsi="黑体" w:eastAsia="黑体" w:cs="方正小标宋简体"/>
          <w:color w:val="000000" w:themeColor="text1"/>
          <w:sz w:val="36"/>
          <w:szCs w:val="36"/>
          <w:lang w:val="en-US" w:eastAsia="zh-CN"/>
          <w14:textFill>
            <w14:solidFill>
              <w14:schemeClr w14:val="tx1"/>
            </w14:solidFill>
          </w14:textFill>
        </w:rPr>
        <w:t>1</w:t>
      </w:r>
      <w:r>
        <w:rPr>
          <w:rFonts w:hint="eastAsia" w:ascii="黑体" w:hAnsi="黑体" w:eastAsia="黑体" w:cs="方正小标宋简体"/>
          <w:color w:val="000000" w:themeColor="text1"/>
          <w:sz w:val="36"/>
          <w:szCs w:val="36"/>
          <w14:textFill>
            <w14:solidFill>
              <w14:schemeClr w14:val="tx1"/>
            </w14:solidFill>
          </w14:textFill>
        </w:rPr>
        <w:t>年部门整体支出绩效评价报告</w:t>
      </w:r>
      <w:bookmarkEnd w:id="42"/>
    </w:p>
    <w:p>
      <w:pPr>
        <w:pageBreakBefore w:val="0"/>
        <w:kinsoku/>
        <w:wordWrap/>
        <w:overflowPunct/>
        <w:topLinePunct w:val="0"/>
        <w:bidi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p>
    <w:p>
      <w:pPr>
        <w:pageBreakBefore w:val="0"/>
        <w:numPr>
          <w:ilvl w:val="0"/>
          <w:numId w:val="5"/>
        </w:numPr>
        <w:kinsoku/>
        <w:wordWrap/>
        <w:overflowPunct/>
        <w:topLinePunct w:val="0"/>
        <w:bidi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部门（单位）概况</w:t>
      </w:r>
    </w:p>
    <w:bookmarkEnd w:id="40"/>
    <w:bookmarkEnd w:id="41"/>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（一）拟订全县创新驱动发展战略以及科技发展、引进国外智力规划和政策并组织实施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统筹推进全</w:t>
      </w:r>
      <w:r>
        <w:rPr>
          <w:rFonts w:hint="eastAsia" w:ascii="Times New Roman" w:hAnsi="Times New Roman" w:eastAsia="仿宋_GB2312" w:cs="Times New Roman"/>
          <w:sz w:val="32"/>
          <w:szCs w:val="32"/>
        </w:rPr>
        <w:t>县科技</w:t>
      </w:r>
      <w:r>
        <w:rPr>
          <w:rFonts w:ascii="Times New Roman" w:hAnsi="Times New Roman" w:eastAsia="仿宋_GB2312" w:cs="Times New Roman"/>
          <w:sz w:val="32"/>
          <w:szCs w:val="32"/>
        </w:rPr>
        <w:t>创新体系建设和体制改革，会同有关部门健全技术创新激励机制，推动企业科技创新能力建设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牵头建立统一的全县科技管理平台和科研项目资金协调、实施、评估、监管机制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会同有关部门提出优化配置科技资源的政策措施建议，推动多元化科技投入体系建设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组织拟订县级财政科技计划（专项、基金）并监督和实施。</w:t>
      </w:r>
      <w:r>
        <w:rPr>
          <w:rFonts w:hint="eastAsia" w:ascii="Times New Roman" w:hAnsi="Times New Roman" w:eastAsia="仿宋_GB2312" w:cs="Times New Roman"/>
          <w:sz w:val="32"/>
          <w:szCs w:val="32"/>
        </w:rPr>
        <w:t>负责农业先进实用技术的引进、试验示范和推广工作。</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国智力工作，</w:t>
      </w:r>
      <w:r>
        <w:rPr>
          <w:rFonts w:ascii="Times New Roman" w:hAnsi="Times New Roman" w:eastAsia="仿宋_GB2312" w:cs="Times New Roman"/>
          <w:sz w:val="32"/>
          <w:szCs w:val="32"/>
        </w:rPr>
        <w:t>会同有关部门制定外国人来县工作政策、办理相关外国人工作许可。</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拟订全县科技人才队伍建设规划并组织实施，建立健全科技人才评价和激励机制，推动高端科技人才队伍建设。</w:t>
      </w:r>
      <w:r>
        <w:rPr>
          <w:rFonts w:hint="eastAsia" w:ascii="Times New Roman" w:hAnsi="Times New Roman" w:eastAsia="仿宋_GB2312" w:cs="Times New Roman"/>
          <w:sz w:val="32"/>
          <w:szCs w:val="32"/>
        </w:rPr>
        <w:t>指导农牧业职业教育工作，参与实施农村实用人才培训工程，会同有关部门依法实施农业、农村人才专业技术资格和从业资格管理的有关工作</w:t>
      </w:r>
      <w:r>
        <w:rPr>
          <w:rFonts w:ascii="Times New Roman" w:hAnsi="Times New Roman" w:eastAsia="仿宋_GB2312" w:cs="Times New Roman"/>
          <w:sz w:val="32"/>
          <w:szCs w:val="32"/>
        </w:rPr>
        <w:t>。</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（四）贯彻执行</w:t>
      </w:r>
      <w:r>
        <w:fldChar w:fldCharType="begin"/>
      </w:r>
      <w:r>
        <w:instrText xml:space="preserve"> HYPERLINK "https://baike.baidu.com/item/%E5%9B%BD%E5%AE%B6/17205" \t "https://baike.baidu.com/item/%E4%B9%9D%E9%BE%99%E5%8E%BF%E5%86%9C%E7%89%A7%E5%92%8C%E7%A7%91%E6%8A%80%E5%B1%80/_blank" </w:instrText>
      </w:r>
      <w:r>
        <w:fldChar w:fldCharType="separate"/>
      </w:r>
      <w:r>
        <w:rPr>
          <w:rFonts w:ascii="Times New Roman" w:hAnsi="Times New Roman" w:eastAsia="仿宋_GB2312" w:cs="Times New Roman"/>
          <w:sz w:val="32"/>
          <w:szCs w:val="32"/>
        </w:rPr>
        <w:t>国家</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有关科学技术、</w:t>
      </w:r>
      <w:r>
        <w:rPr>
          <w:rFonts w:ascii="Times New Roman" w:hAnsi="Times New Roman" w:eastAsia="仿宋_GB2312" w:cs="Times New Roman"/>
          <w:b w:val="0"/>
          <w:bCs w:val="0"/>
          <w:color w:val="auto"/>
          <w:sz w:val="32"/>
          <w:szCs w:val="32"/>
        </w:rPr>
        <w:t>农牧渔业、</w:t>
      </w:r>
      <w:r>
        <w:rPr>
          <w:rFonts w:hint="eastAsia" w:ascii="Times New Roman" w:hAnsi="Times New Roman" w:eastAsia="仿宋_GB2312" w:cs="Times New Roman"/>
          <w:b w:val="0"/>
          <w:bCs w:val="0"/>
          <w:color w:val="auto"/>
          <w:sz w:val="32"/>
          <w:szCs w:val="32"/>
        </w:rPr>
        <w:t>农</w:t>
      </w:r>
      <w:r>
        <w:rPr>
          <w:rFonts w:ascii="Times New Roman" w:hAnsi="Times New Roman" w:eastAsia="仿宋_GB2312" w:cs="Times New Roman"/>
          <w:b w:val="0"/>
          <w:bCs w:val="0"/>
          <w:color w:val="auto"/>
          <w:sz w:val="32"/>
          <w:szCs w:val="32"/>
        </w:rPr>
        <w:t>业机械</w:t>
      </w:r>
      <w:r>
        <w:rPr>
          <w:rFonts w:ascii="Times New Roman" w:hAnsi="Times New Roman" w:eastAsia="仿宋_GB2312" w:cs="Times New Roman"/>
          <w:sz w:val="32"/>
          <w:szCs w:val="32"/>
        </w:rPr>
        <w:t>化等领域工作的法律法规、政策以及省州县有关决策部署。拟订和组织实施“三农”工作、科学技术</w:t>
      </w:r>
      <w:r>
        <w:rPr>
          <w:rFonts w:hint="eastAsia" w:ascii="Times New Roman" w:hAnsi="Times New Roman" w:eastAsia="仿宋_GB2312" w:cs="Times New Roman"/>
          <w:sz w:val="32"/>
          <w:szCs w:val="32"/>
        </w:rPr>
        <w:t>的重大政策</w:t>
      </w:r>
      <w:r>
        <w:rPr>
          <w:rFonts w:ascii="Times New Roman" w:hAnsi="Times New Roman" w:eastAsia="仿宋_GB2312" w:cs="Times New Roman"/>
          <w:sz w:val="32"/>
          <w:szCs w:val="32"/>
        </w:rPr>
        <w:t>中长期规划和年度计划；起草农业农村、科学技术等有关</w:t>
      </w:r>
      <w:r>
        <w:rPr>
          <w:rFonts w:hint="eastAsia" w:ascii="Times New Roman" w:hAnsi="Times New Roman" w:eastAsia="仿宋_GB2312" w:cs="Times New Roman"/>
          <w:sz w:val="32"/>
          <w:szCs w:val="32"/>
        </w:rPr>
        <w:t>地方性</w:t>
      </w:r>
      <w:r>
        <w:rPr>
          <w:rFonts w:ascii="Times New Roman" w:hAnsi="Times New Roman" w:eastAsia="仿宋_GB2312" w:cs="Times New Roman"/>
          <w:sz w:val="32"/>
          <w:szCs w:val="32"/>
        </w:rPr>
        <w:t>行政规范性文件。参与拟订涉农财税、价格、金融保险等政策，提出农业产业保护的政策建议，推进依法行政。</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（五）统筹推进乡村振兴战略，牵头组织改善全县农村人居环境。统筹推动发展农村社会事业、农村公共服务、农村文化、农村基础设施和乡村治理。指导农业遗产的保护和开发利用</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农村精神文明和优秀农耕文化建设。</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（六）贯彻落实农村经济体制和巩固完善农村基本经营制度的政策措施。负责农民承包地、农村宅基地管理和改革等有关工作。负责农村集体</w:t>
      </w:r>
      <w:r>
        <w:rPr>
          <w:rFonts w:hint="eastAsia" w:ascii="Times New Roman" w:hAnsi="Times New Roman" w:eastAsia="仿宋_GB2312" w:cs="Times New Roman"/>
          <w:sz w:val="32"/>
          <w:szCs w:val="32"/>
        </w:rPr>
        <w:t>资</w:t>
      </w:r>
      <w:r>
        <w:rPr>
          <w:rFonts w:ascii="Times New Roman" w:hAnsi="Times New Roman" w:eastAsia="仿宋_GB2312" w:cs="Times New Roman"/>
          <w:sz w:val="32"/>
          <w:szCs w:val="32"/>
        </w:rPr>
        <w:t>产</w:t>
      </w:r>
      <w:r>
        <w:rPr>
          <w:rFonts w:hint="eastAsia" w:ascii="Times New Roman" w:hAnsi="Times New Roman" w:eastAsia="仿宋_GB2312" w:cs="Times New Roman"/>
          <w:sz w:val="32"/>
          <w:szCs w:val="32"/>
        </w:rPr>
        <w:t>监管和产</w:t>
      </w:r>
      <w:r>
        <w:rPr>
          <w:rFonts w:ascii="Times New Roman" w:hAnsi="Times New Roman" w:eastAsia="仿宋_GB2312" w:cs="Times New Roman"/>
          <w:sz w:val="32"/>
          <w:szCs w:val="32"/>
        </w:rPr>
        <w:t>权制度改革，指导农村集体经济组织发展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指导农民合作经济</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新型农业经营主体建设与发展。监督减轻农民负担和村民筹资筹劳</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（七）指导乡村特色产业、农产品加工业（产地初加工）、休闲农业和乡村企业发展工作。</w:t>
      </w:r>
      <w:r>
        <w:rPr>
          <w:rFonts w:hint="eastAsia" w:ascii="Times New Roman" w:hAnsi="Times New Roman" w:eastAsia="仿宋_GB2312" w:cs="Times New Roman"/>
          <w:sz w:val="32"/>
          <w:szCs w:val="32"/>
        </w:rPr>
        <w:t>负责拟订全县</w:t>
      </w:r>
      <w:r>
        <w:rPr>
          <w:rFonts w:ascii="Times New Roman" w:hAnsi="Times New Roman" w:eastAsia="仿宋_GB2312" w:cs="Times New Roman"/>
          <w:sz w:val="32"/>
          <w:szCs w:val="32"/>
        </w:rPr>
        <w:t>优势特色效益农业、现代农业产业基地建设规划并组织实施，提出促进农产品流通政策建议，</w:t>
      </w:r>
      <w:r>
        <w:rPr>
          <w:rFonts w:hint="eastAsia" w:ascii="Times New Roman" w:hAnsi="Times New Roman" w:eastAsia="仿宋_GB2312" w:cs="Times New Roman"/>
          <w:sz w:val="32"/>
          <w:szCs w:val="32"/>
        </w:rPr>
        <w:t>负责全县</w:t>
      </w:r>
      <w:r>
        <w:rPr>
          <w:rFonts w:ascii="Times New Roman" w:hAnsi="Times New Roman" w:eastAsia="仿宋_GB2312" w:cs="Times New Roman"/>
          <w:sz w:val="32"/>
          <w:szCs w:val="32"/>
        </w:rPr>
        <w:t>农产品</w:t>
      </w:r>
      <w:r>
        <w:rPr>
          <w:rFonts w:hint="eastAsia" w:ascii="Times New Roman" w:hAnsi="Times New Roman" w:eastAsia="仿宋_GB2312" w:cs="Times New Roman"/>
          <w:sz w:val="32"/>
          <w:szCs w:val="32"/>
        </w:rPr>
        <w:t>“三品一标”</w:t>
      </w:r>
      <w:r>
        <w:rPr>
          <w:rFonts w:ascii="Times New Roman" w:hAnsi="Times New Roman" w:eastAsia="仿宋_GB2312" w:cs="Times New Roman"/>
          <w:sz w:val="32"/>
          <w:szCs w:val="32"/>
        </w:rPr>
        <w:t>品牌</w:t>
      </w:r>
      <w:r>
        <w:rPr>
          <w:rFonts w:hint="eastAsia" w:ascii="Times New Roman" w:hAnsi="Times New Roman" w:eastAsia="仿宋_GB2312" w:cs="Times New Roman"/>
          <w:sz w:val="32"/>
          <w:szCs w:val="32"/>
        </w:rPr>
        <w:t>培育和保护工作</w:t>
      </w:r>
      <w:r>
        <w:rPr>
          <w:rFonts w:ascii="Times New Roman" w:hAnsi="Times New Roman" w:eastAsia="仿宋_GB2312" w:cs="Times New Roman"/>
          <w:sz w:val="32"/>
          <w:szCs w:val="32"/>
        </w:rPr>
        <w:t>。承担农业统计和农业农村信息化等相关工作；组织</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 xml:space="preserve">“菜篮子”工程有关工作。                                                    </w:t>
      </w:r>
    </w:p>
    <w:p>
      <w:pPr>
        <w:pageBreakBefore w:val="0"/>
        <w:kinsoku/>
        <w:wordWrap/>
        <w:overflowPunct/>
        <w:topLinePunct w:val="0"/>
        <w:bidi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（八）负责全县</w:t>
      </w:r>
      <w:r>
        <w:rPr>
          <w:rFonts w:hint="eastAsia" w:ascii="Times New Roman" w:hAnsi="Times New Roman" w:eastAsia="仿宋_GB2312" w:cs="Times New Roman"/>
          <w:sz w:val="32"/>
          <w:szCs w:val="32"/>
        </w:rPr>
        <w:t>农</w:t>
      </w:r>
      <w:r>
        <w:rPr>
          <w:rFonts w:ascii="Times New Roman" w:hAnsi="Times New Roman" w:eastAsia="仿宋_GB2312" w:cs="Times New Roman"/>
          <w:sz w:val="32"/>
          <w:szCs w:val="32"/>
        </w:rPr>
        <w:t>牧渔业、农业机械化等的监督管理。</w:t>
      </w:r>
      <w:r>
        <w:rPr>
          <w:rFonts w:hint="eastAsia" w:ascii="Times New Roman" w:hAnsi="Times New Roman" w:eastAsia="仿宋_GB2312" w:cs="Times New Roman"/>
          <w:sz w:val="32"/>
          <w:szCs w:val="32"/>
        </w:rPr>
        <w:t>贯彻落实粮油、畜禽、水产等主要农产品生产发展的相关政策措施</w:t>
      </w:r>
      <w:r>
        <w:rPr>
          <w:rFonts w:ascii="Times New Roman" w:hAnsi="Times New Roman" w:eastAsia="仿宋_GB2312" w:cs="Times New Roman"/>
          <w:sz w:val="32"/>
          <w:szCs w:val="32"/>
        </w:rPr>
        <w:t>。</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组织构建现代农业产业体系、生产体系、经营体系，指导农业标准化、规模化生产。引导农业产业结构调整和产品品质改善，促进农业绿色发展。</w:t>
      </w:r>
    </w:p>
    <w:p>
      <w:pPr>
        <w:pageBreakBefore w:val="0"/>
        <w:widowControl/>
        <w:kinsoku/>
        <w:wordWrap/>
        <w:overflowPunct/>
        <w:topLinePunct w:val="0"/>
        <w:bidi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（九）负责</w:t>
      </w:r>
      <w:r>
        <w:rPr>
          <w:rFonts w:hint="eastAsia" w:ascii="Times New Roman" w:hAnsi="Times New Roman" w:eastAsia="仿宋_GB2312" w:cs="Times New Roman"/>
          <w:sz w:val="32"/>
          <w:szCs w:val="32"/>
        </w:rPr>
        <w:t>拟订</w:t>
      </w:r>
      <w:r>
        <w:rPr>
          <w:rFonts w:ascii="Times New Roman" w:hAnsi="Times New Roman" w:eastAsia="仿宋_GB2312" w:cs="Times New Roman"/>
          <w:sz w:val="32"/>
          <w:szCs w:val="32"/>
        </w:rPr>
        <w:t>全县</w:t>
      </w:r>
      <w:r>
        <w:rPr>
          <w:rFonts w:hint="eastAsia" w:ascii="Times New Roman" w:hAnsi="Times New Roman" w:eastAsia="仿宋_GB2312" w:cs="Times New Roman"/>
          <w:sz w:val="32"/>
          <w:szCs w:val="32"/>
        </w:rPr>
        <w:t>先进</w:t>
      </w:r>
      <w:r>
        <w:rPr>
          <w:rFonts w:ascii="Times New Roman" w:hAnsi="Times New Roman" w:eastAsia="仿宋_GB2312" w:cs="Times New Roman"/>
          <w:sz w:val="32"/>
          <w:szCs w:val="32"/>
        </w:rPr>
        <w:t>农业机械化发展规划并组织实施。指导设施农业、农机库棚、机电提灌、机耕道等基础设施建设。</w:t>
      </w:r>
    </w:p>
    <w:p>
      <w:pPr>
        <w:pageBreakBefore w:val="0"/>
        <w:widowControl/>
        <w:kinsoku/>
        <w:wordWrap/>
        <w:overflowPunct/>
        <w:topLinePunct w:val="0"/>
        <w:bidi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（十）负责全县农产品质量安全监督管理。组织开展农产品</w:t>
      </w:r>
    </w:p>
    <w:p>
      <w:pPr>
        <w:pageBreakBefore w:val="0"/>
        <w:widowControl/>
        <w:kinsoku/>
        <w:wordWrap/>
        <w:overflowPunct/>
        <w:topLinePunct w:val="0"/>
        <w:bidi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质量安全监测、追溯、风险评估。参与制定农产品质量安全地方标准并会同有关部门组织实施，指导农业检验检测体系建设</w:t>
      </w:r>
      <w:r>
        <w:rPr>
          <w:rFonts w:hint="eastAsia" w:ascii="Times New Roman" w:hAnsi="Times New Roman" w:eastAsia="仿宋_GB2312" w:cs="Times New Roman"/>
          <w:sz w:val="32"/>
          <w:szCs w:val="32"/>
        </w:rPr>
        <w:t>，负责</w:t>
      </w:r>
      <w:r>
        <w:rPr>
          <w:rFonts w:ascii="Times New Roman" w:hAnsi="Times New Roman" w:eastAsia="仿宋_GB2312" w:cs="Times New Roman"/>
          <w:color w:val="000000"/>
          <w:sz w:val="32"/>
          <w:szCs w:val="32"/>
        </w:rPr>
        <w:t>农产品生产基地认定、产品认证、农产品地理标志登记保护和监督管理。</w:t>
      </w:r>
    </w:p>
    <w:p>
      <w:pPr>
        <w:pageBreakBefore w:val="0"/>
        <w:widowControl/>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（十一）组织开展全县农业资源区划和资源保护工作。指导农牧</w:t>
      </w:r>
      <w:r>
        <w:rPr>
          <w:rFonts w:hint="eastAsia" w:ascii="Times New Roman" w:hAnsi="Times New Roman" w:eastAsia="仿宋_GB2312" w:cs="Times New Roman"/>
          <w:sz w:val="32"/>
          <w:szCs w:val="32"/>
        </w:rPr>
        <w:t>业</w:t>
      </w:r>
      <w:r>
        <w:rPr>
          <w:rFonts w:ascii="Times New Roman" w:hAnsi="Times New Roman" w:eastAsia="仿宋_GB2312" w:cs="Times New Roman"/>
          <w:sz w:val="32"/>
          <w:szCs w:val="32"/>
        </w:rPr>
        <w:t>用地、渔业水域以及农业生物物种资源的保护与管理，负责动植物</w:t>
      </w:r>
      <w:r>
        <w:rPr>
          <w:rFonts w:hint="eastAsia" w:ascii="Times New Roman" w:hAnsi="Times New Roman" w:eastAsia="仿宋_GB2312" w:cs="Times New Roman"/>
          <w:sz w:val="32"/>
          <w:szCs w:val="32"/>
        </w:rPr>
        <w:t>（含水生）</w:t>
      </w:r>
      <w:r>
        <w:rPr>
          <w:rFonts w:ascii="Times New Roman" w:hAnsi="Times New Roman" w:eastAsia="仿宋_GB2312" w:cs="Times New Roman"/>
          <w:sz w:val="32"/>
          <w:szCs w:val="32"/>
        </w:rPr>
        <w:t>保护、耕地及永久基本农田质量保护工作。负责农村能源建设和资源环境工作。指导农产品产地环境管理和农业清洁生产，提出划定农产品禁止生产区域的政策建议，指导生态循环农业、节水农业发展以及农村可再生能源综合开发利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pageBreakBefore w:val="0"/>
        <w:widowControl/>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（十二）负责全县农业生产资料的监督管理。</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农业生产资料市场体系建设。</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兽医医政、兽药（渔药）药政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执业兽医和畜禽屠宰行业</w:t>
      </w:r>
      <w:r>
        <w:rPr>
          <w:rFonts w:hint="eastAsia" w:ascii="Times New Roman" w:hAnsi="Times New Roman" w:eastAsia="仿宋_GB2312" w:cs="Times New Roman"/>
          <w:sz w:val="32"/>
          <w:szCs w:val="32"/>
        </w:rPr>
        <w:t>等的监</w:t>
      </w:r>
      <w:r>
        <w:rPr>
          <w:rFonts w:ascii="Times New Roman" w:hAnsi="Times New Roman" w:eastAsia="仿宋_GB2312" w:cs="Times New Roman"/>
          <w:sz w:val="32"/>
          <w:szCs w:val="32"/>
        </w:rPr>
        <w:t>管。</w:t>
      </w:r>
    </w:p>
    <w:p>
      <w:pPr>
        <w:pageBreakBefore w:val="0"/>
        <w:widowControl/>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（十三）负责全县农业防灾减灾、</w:t>
      </w:r>
      <w:r>
        <w:rPr>
          <w:rFonts w:hint="eastAsia" w:ascii="Times New Roman" w:hAnsi="Times New Roman" w:eastAsia="仿宋_GB2312" w:cs="Times New Roman"/>
          <w:sz w:val="32"/>
          <w:szCs w:val="32"/>
        </w:rPr>
        <w:t>动植物</w:t>
      </w:r>
      <w:r>
        <w:rPr>
          <w:rFonts w:ascii="Times New Roman" w:hAnsi="Times New Roman" w:eastAsia="仿宋_GB2312" w:cs="Times New Roman"/>
          <w:sz w:val="32"/>
          <w:szCs w:val="32"/>
        </w:rPr>
        <w:t>病虫害防治和</w:t>
      </w:r>
      <w:r>
        <w:rPr>
          <w:rFonts w:hint="eastAsia" w:ascii="Times New Roman" w:hAnsi="Times New Roman" w:eastAsia="仿宋_GB2312" w:cs="Times New Roman"/>
          <w:sz w:val="32"/>
          <w:szCs w:val="32"/>
        </w:rPr>
        <w:t>检</w:t>
      </w:r>
      <w:r>
        <w:rPr>
          <w:rFonts w:ascii="Times New Roman" w:hAnsi="Times New Roman" w:eastAsia="仿宋_GB2312" w:cs="Times New Roman"/>
          <w:sz w:val="32"/>
          <w:szCs w:val="32"/>
        </w:rPr>
        <w:t>疫工作。牵头起草动植物防疫和检疫的行政规范性文件。指导动植物防疫检疫体系建设，发布</w:t>
      </w:r>
      <w:r>
        <w:rPr>
          <w:rFonts w:hint="eastAsia" w:ascii="Times New Roman" w:hAnsi="Times New Roman" w:eastAsia="仿宋_GB2312" w:cs="Times New Roman"/>
          <w:sz w:val="32"/>
          <w:szCs w:val="32"/>
        </w:rPr>
        <w:t>动植</w:t>
      </w:r>
      <w:r>
        <w:rPr>
          <w:rFonts w:ascii="Times New Roman" w:hAnsi="Times New Roman" w:eastAsia="仿宋_GB2312" w:cs="Times New Roman"/>
          <w:sz w:val="32"/>
          <w:szCs w:val="32"/>
        </w:rPr>
        <w:t>疫情并组织扑灭。牵头管理外来</w:t>
      </w:r>
      <w:r>
        <w:rPr>
          <w:rFonts w:hint="eastAsia" w:ascii="Times New Roman" w:hAnsi="Times New Roman" w:eastAsia="仿宋_GB2312" w:cs="Times New Roman"/>
          <w:sz w:val="32"/>
          <w:szCs w:val="32"/>
        </w:rPr>
        <w:t>有害</w:t>
      </w:r>
      <w:r>
        <w:rPr>
          <w:rFonts w:ascii="Times New Roman" w:hAnsi="Times New Roman" w:eastAsia="仿宋_GB2312" w:cs="Times New Roman"/>
          <w:sz w:val="32"/>
          <w:szCs w:val="32"/>
        </w:rPr>
        <w:t>农业物种。监测、核查、上报农业灾情，</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农业生产救灾物资的储备和调拨，提出生产救灾资金安排建议，指导紧急救灾和灾后生产恢复。</w:t>
      </w:r>
    </w:p>
    <w:p>
      <w:pPr>
        <w:pageBreakBefore w:val="0"/>
        <w:widowControl/>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（十四）负责全县农业投资管理，提出农业投融资体制机制</w:t>
      </w:r>
    </w:p>
    <w:p>
      <w:pPr>
        <w:pageBreakBefore w:val="0"/>
        <w:kinsoku/>
        <w:wordWrap/>
        <w:overflowPunct/>
        <w:topLinePunct w:val="0"/>
        <w:bidi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改革建议。负责提出农业投资规模和方向、扶持农业农村发展财政项目的建议。</w:t>
      </w:r>
      <w:r>
        <w:rPr>
          <w:rFonts w:hint="eastAsia" w:ascii="Times New Roman" w:hAnsi="Times New Roman" w:eastAsia="仿宋_GB2312" w:cs="Times New Roman"/>
          <w:sz w:val="32"/>
          <w:szCs w:val="32"/>
        </w:rPr>
        <w:t>编报部门预算并组织执行。</w:t>
      </w:r>
      <w:r>
        <w:rPr>
          <w:rFonts w:ascii="Times New Roman" w:hAnsi="Times New Roman" w:eastAsia="仿宋_GB2312" w:cs="Times New Roman"/>
          <w:sz w:val="32"/>
          <w:szCs w:val="32"/>
        </w:rPr>
        <w:t>组织实施农业综合开发有关项目；按规定权限审批农业投资项目，负责农业投资项目资金安排和监督管理。参与农业政策性补贴实施。</w:t>
      </w:r>
    </w:p>
    <w:p>
      <w:pPr>
        <w:pageBreakBefore w:val="0"/>
        <w:widowControl/>
        <w:kinsoku/>
        <w:wordWrap/>
        <w:overflowPunct/>
        <w:topLinePunct w:val="0"/>
        <w:bidi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（十五）负责全县农田建设管理。拟订农田建设发展规划，</w:t>
      </w:r>
    </w:p>
    <w:p>
      <w:pPr>
        <w:pageBreakBefore w:val="0"/>
        <w:widowControl/>
        <w:kinsoku/>
        <w:wordWrap/>
        <w:overflowPunct/>
        <w:topLinePunct w:val="0"/>
        <w:bidi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提出农田建设项目需求建议。负责全县高标准农田建设和耕地质量管理。编制农业综合开发项目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农田整治项目、农田水利建设项目计划并组织实施和管理。</w:t>
      </w:r>
    </w:p>
    <w:p>
      <w:pPr>
        <w:pageBreakBefore w:val="0"/>
        <w:widowControl/>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（十六）牵头开展全县农业对外合作工作。承办政府间农业涉外事务，参与拟订农业对外开放政策和外向型农业发展规划，指导外向型农业发展。组织开展农业贸易促进和农业投资促进活动，推动农业开放合作。</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）推进农业依法行政。负责</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县涉农违法案件</w:t>
      </w:r>
      <w:r>
        <w:rPr>
          <w:rFonts w:hint="eastAsia" w:ascii="Times New Roman" w:hAnsi="Times New Roman" w:eastAsia="仿宋_GB2312" w:cs="Times New Roman"/>
          <w:sz w:val="32"/>
          <w:szCs w:val="32"/>
        </w:rPr>
        <w:t>的查处</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协调</w:t>
      </w:r>
      <w:r>
        <w:rPr>
          <w:rFonts w:ascii="Times New Roman" w:hAnsi="Times New Roman" w:eastAsia="仿宋_GB2312" w:cs="Times New Roman"/>
          <w:sz w:val="32"/>
          <w:szCs w:val="32"/>
        </w:rPr>
        <w:t>跨区域执法工作</w:t>
      </w:r>
      <w:r>
        <w:rPr>
          <w:rFonts w:hint="eastAsia" w:ascii="Times New Roman" w:hAnsi="Times New Roman" w:eastAsia="仿宋_GB2312" w:cs="Times New Roman"/>
          <w:sz w:val="32"/>
          <w:szCs w:val="32"/>
        </w:rPr>
        <w:t>。</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）依法依规负责农业安全生产和职业健康监督管理工作。负责农业机械、农（兽）药、饲料、渔业、畜禽屠宰行业农村沼气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农业园区</w:t>
      </w:r>
      <w:r>
        <w:rPr>
          <w:rFonts w:hint="eastAsia" w:ascii="Times New Roman" w:hAnsi="Times New Roman" w:eastAsia="仿宋_GB2312" w:cs="Times New Roman"/>
          <w:sz w:val="32"/>
          <w:szCs w:val="32"/>
        </w:rPr>
        <w:t>等的</w:t>
      </w:r>
      <w:r>
        <w:rPr>
          <w:rFonts w:ascii="Times New Roman" w:hAnsi="Times New Roman" w:eastAsia="仿宋_GB2312" w:cs="Times New Roman"/>
          <w:sz w:val="32"/>
          <w:szCs w:val="32"/>
        </w:rPr>
        <w:t>安全生产和职业健康监督管理。负责制定职责范围内的安全生产年度监</w:t>
      </w:r>
      <w:r>
        <w:rPr>
          <w:rFonts w:hint="eastAsia" w:ascii="Times New Roman" w:hAnsi="Times New Roman" w:eastAsia="仿宋_GB2312" w:cs="Times New Roman"/>
          <w:sz w:val="32"/>
          <w:szCs w:val="32"/>
        </w:rPr>
        <w:t>督</w:t>
      </w:r>
      <w:r>
        <w:rPr>
          <w:rFonts w:ascii="Times New Roman" w:hAnsi="Times New Roman" w:eastAsia="仿宋_GB2312" w:cs="Times New Roman"/>
          <w:sz w:val="32"/>
          <w:szCs w:val="32"/>
        </w:rPr>
        <w:t>检查计划并组织实施。</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十九</w:t>
      </w:r>
      <w:r>
        <w:rPr>
          <w:rFonts w:ascii="Times New Roman" w:hAnsi="Times New Roman" w:eastAsia="仿宋_GB2312" w:cs="Times New Roman"/>
          <w:sz w:val="32"/>
          <w:szCs w:val="32"/>
        </w:rPr>
        <w:t>）负责职责范内的生态环境保护、审批服务便民化等工作。</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（二十）完成县委、县政府交办的其他任务</w:t>
      </w:r>
    </w:p>
    <w:p>
      <w:pPr>
        <w:pStyle w:val="8"/>
        <w:pageBreakBefore w:val="0"/>
        <w:kinsoku/>
        <w:wordWrap/>
        <w:overflowPunct/>
        <w:topLinePunct w:val="0"/>
        <w:bidi w:val="0"/>
        <w:spacing w:line="560" w:lineRule="exact"/>
        <w:ind w:firstLineChars="0"/>
        <w:jc w:val="left"/>
        <w:rPr>
          <w:rFonts w:hint="eastAsia" w:ascii="仿宋_GB2312" w:hAnsi="宋体" w:cs="宋体"/>
          <w:b/>
          <w:bCs/>
          <w:color w:val="333333"/>
          <w:szCs w:val="32"/>
        </w:rPr>
      </w:pPr>
      <w:r>
        <w:rPr>
          <w:rFonts w:hint="eastAsia" w:ascii="仿宋_GB2312" w:hAnsi="宋体" w:cs="宋体"/>
          <w:b/>
          <w:bCs/>
          <w:color w:val="000000"/>
          <w:szCs w:val="32"/>
          <w:shd w:val="clear" w:color="auto" w:fill="FBFBFB"/>
        </w:rPr>
        <w:t>（二）</w:t>
      </w:r>
      <w:r>
        <w:rPr>
          <w:rFonts w:hint="eastAsia" w:ascii="仿宋_GB2312" w:hAnsi="宋体" w:cs="宋体"/>
          <w:b/>
          <w:bCs/>
          <w:color w:val="333333"/>
          <w:szCs w:val="32"/>
        </w:rPr>
        <w:t>内设机构　</w:t>
      </w:r>
    </w:p>
    <w:p>
      <w:pPr>
        <w:pageBreakBefore w:val="0"/>
        <w:widowControl/>
        <w:kinsoku/>
        <w:wordWrap/>
        <w:overflowPunct/>
        <w:topLinePunct w:val="0"/>
        <w:bidi w:val="0"/>
        <w:spacing w:line="560" w:lineRule="exact"/>
        <w:ind w:left="664" w:leftChars="316" w:firstLine="19" w:firstLineChars="6"/>
        <w:jc w:val="both"/>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根据上述职责，松潘县农业畜牧和水务局内设4个</w:t>
      </w:r>
      <w:r>
        <w:rPr>
          <w:rFonts w:hint="eastAsia" w:ascii="仿宋_GB2312" w:hAnsi="仿宋" w:eastAsia="仿宋_GB2312" w:cs="宋体"/>
          <w:kern w:val="0"/>
          <w:sz w:val="32"/>
          <w:szCs w:val="32"/>
          <w:lang w:eastAsia="zh-CN"/>
        </w:rPr>
        <w:t>股</w:t>
      </w:r>
    </w:p>
    <w:p>
      <w:pPr>
        <w:pStyle w:val="2"/>
        <w:ind w:left="0" w:leftChars="0" w:firstLine="0" w:firstLineChars="0"/>
        <w:jc w:val="lef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（室）：</w:t>
      </w:r>
    </w:p>
    <w:p>
      <w:pPr>
        <w:pStyle w:val="2"/>
        <w:ind w:left="0" w:leftChars="0"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rPr>
        <w:t>办公室</w:t>
      </w:r>
      <w:r>
        <w:rPr>
          <w:rFonts w:ascii="Times New Roman" w:hAnsi="Times New Roman" w:eastAsia="楷体_GB2312" w:cs="Times New Roman"/>
          <w:b w:val="0"/>
          <w:bCs w:val="0"/>
          <w:sz w:val="32"/>
          <w:szCs w:val="32"/>
        </w:rPr>
        <w:t>。</w:t>
      </w:r>
      <w:r>
        <w:rPr>
          <w:rFonts w:ascii="Times New Roman" w:hAnsi="Times New Roman" w:eastAsia="仿宋_GB2312" w:cs="Times New Roman"/>
          <w:sz w:val="32"/>
          <w:szCs w:val="32"/>
        </w:rPr>
        <w:t>负责局机关文电、会务、档案、机要等日常运转工作；负责全局网络建设、后勤管理等工作；承担综合性文件、报告、调研、信息、保密、信访、政务公开、新闻宣传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专业技术人员职称评聘、考核及管理等工作，组织办理人大代表建议、政协委员提案，协调农业行业安全生产工作。</w:t>
      </w:r>
    </w:p>
    <w:p>
      <w:pPr>
        <w:pageBreakBefore w:val="0"/>
        <w:kinsoku/>
        <w:wordWrap/>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负责部门预算并组织执行；做好行政经费、事业经费和项目专项经费的管理、使用、财务审计、监督以及各种财务报表及固定资产管理工作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负责局机关和下属事业单位的工资调整、绩效管理等工作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参与农业政策性补贴实施。</w:t>
      </w:r>
    </w:p>
    <w:p>
      <w:pPr>
        <w:pageBreakBefore w:val="0"/>
        <w:kinsoku/>
        <w:wordWrap/>
        <w:overflowPunct/>
        <w:topLinePunct w:val="0"/>
        <w:bidi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val="0"/>
          <w:bCs w:val="0"/>
          <w:sz w:val="32"/>
          <w:szCs w:val="32"/>
        </w:rPr>
        <w:t>（二）科技</w:t>
      </w:r>
      <w:r>
        <w:rPr>
          <w:rFonts w:hint="eastAsia" w:ascii="Times New Roman" w:hAnsi="Times New Roman" w:eastAsia="楷体_GB2312" w:cs="Times New Roman"/>
          <w:b w:val="0"/>
          <w:bCs w:val="0"/>
          <w:sz w:val="32"/>
          <w:szCs w:val="32"/>
        </w:rPr>
        <w:t>技术</w:t>
      </w:r>
      <w:r>
        <w:rPr>
          <w:rFonts w:ascii="Times New Roman" w:hAnsi="Times New Roman" w:eastAsia="楷体_GB2312" w:cs="Times New Roman"/>
          <w:b w:val="0"/>
          <w:bCs w:val="0"/>
          <w:sz w:val="32"/>
          <w:szCs w:val="32"/>
        </w:rPr>
        <w:t>股。</w:t>
      </w:r>
      <w:r>
        <w:rPr>
          <w:rFonts w:ascii="Times New Roman" w:hAnsi="Times New Roman" w:eastAsia="仿宋_GB2312" w:cs="Times New Roman"/>
          <w:sz w:val="32"/>
          <w:szCs w:val="32"/>
        </w:rPr>
        <w:t>负责拟订科学技术、农业社会化服务体系、农业科技创新体系、农技推广体系建设规划并组织实施。承担科技人员和农牧民教育培训工作；组织申报和管理农业科技成果。会同有关主管部门依法实施农业农村人才专业技术资格和从业资格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负责农产品</w:t>
      </w:r>
      <w:r>
        <w:rPr>
          <w:rFonts w:ascii="Times New Roman" w:hAnsi="Times New Roman" w:eastAsia="仿宋_GB2312" w:cs="Times New Roman"/>
          <w:sz w:val="32"/>
          <w:szCs w:val="32"/>
        </w:rPr>
        <w:t>市场拓展、农业对外交流合作和信息化工作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lang w:val="en-US" w:eastAsia="zh-CN"/>
        </w:rPr>
        <w:t>承担科技和农业审批服务工作</w:t>
      </w:r>
      <w:r>
        <w:rPr>
          <w:rFonts w:ascii="Times New Roman" w:hAnsi="Times New Roman" w:eastAsia="仿宋_GB2312" w:cs="Times New Roman"/>
          <w:color w:val="000000"/>
          <w:sz w:val="32"/>
          <w:szCs w:val="32"/>
        </w:rPr>
        <w:t>。</w:t>
      </w:r>
    </w:p>
    <w:p>
      <w:pPr>
        <w:pageBreakBefore w:val="0"/>
        <w:kinsoku/>
        <w:wordWrap/>
        <w:overflowPunct/>
        <w:topLinePunct w:val="0"/>
        <w:bidi w:val="0"/>
        <w:spacing w:line="56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楷体_GB2312" w:cs="Times New Roman"/>
          <w:b w:val="0"/>
          <w:bCs w:val="0"/>
          <w:color w:val="000000"/>
          <w:sz w:val="32"/>
          <w:szCs w:val="32"/>
        </w:rPr>
        <w:t>（三）</w:t>
      </w:r>
      <w:r>
        <w:rPr>
          <w:rFonts w:hint="eastAsia" w:ascii="Times New Roman" w:hAnsi="Times New Roman" w:eastAsia="楷体_GB2312" w:cs="Times New Roman"/>
          <w:b w:val="0"/>
          <w:bCs w:val="0"/>
          <w:color w:val="000000"/>
          <w:sz w:val="32"/>
          <w:szCs w:val="32"/>
        </w:rPr>
        <w:t>产业发展股</w:t>
      </w:r>
      <w:r>
        <w:rPr>
          <w:rFonts w:ascii="Times New Roman" w:hAnsi="Times New Roman" w:eastAsia="楷体_GB2312" w:cs="Times New Roman"/>
          <w:b w:val="0"/>
          <w:bCs w:val="0"/>
          <w:color w:val="000000"/>
          <w:sz w:val="32"/>
          <w:szCs w:val="32"/>
        </w:rPr>
        <w:t>。</w:t>
      </w:r>
      <w:r>
        <w:rPr>
          <w:rFonts w:ascii="Times New Roman" w:hAnsi="Times New Roman" w:eastAsia="仿宋_GB2312" w:cs="Times New Roman"/>
          <w:color w:val="000000"/>
          <w:sz w:val="32"/>
          <w:szCs w:val="32"/>
        </w:rPr>
        <w:t>负责拟订乡村特色产业、农业加工业、休闲农业和乡镇企业发展规划并组织实施，承担农业现代产业园区建设工作，指导村庄整治、村容村貌提升，协调推动农村社会事业发展、公共服务体系建设和基础设施建设。</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四</w:t>
      </w:r>
      <w:r>
        <w:rPr>
          <w:rFonts w:ascii="Times New Roman" w:hAnsi="Times New Roman" w:eastAsia="楷体_GB2312" w:cs="Times New Roman"/>
          <w:b w:val="0"/>
          <w:bCs w:val="0"/>
          <w:color w:val="000000"/>
          <w:sz w:val="32"/>
          <w:szCs w:val="32"/>
        </w:rPr>
        <w:t>）农畜产品质量安全监管股。</w:t>
      </w:r>
      <w:r>
        <w:rPr>
          <w:rFonts w:ascii="Times New Roman" w:hAnsi="Times New Roman" w:eastAsia="仿宋_GB2312" w:cs="Times New Roman"/>
          <w:color w:val="000000"/>
          <w:sz w:val="32"/>
          <w:szCs w:val="32"/>
        </w:rPr>
        <w:t>负责编制农产品市场体系建设，承担农产品“三品一标”培育</w:t>
      </w:r>
      <w:r>
        <w:rPr>
          <w:rFonts w:hint="eastAsia" w:ascii="Times New Roman" w:hAnsi="Times New Roman" w:eastAsia="仿宋_GB2312" w:cs="Times New Roman"/>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负责农产品质量安全监督管理工作，负责组织农产品地方标准的拟订，依法实施农产品生产（养殖）基地认定、产品认证和地理标志登记保护监督管理工作</w:t>
      </w:r>
      <w:r>
        <w:rPr>
          <w:rFonts w:hint="eastAsia" w:ascii="仿宋_GB2312" w:hAnsi="仿宋_GB2312" w:eastAsia="仿宋_GB2312" w:cs="仿宋_GB2312"/>
          <w:b w:val="0"/>
          <w:bCs w:val="0"/>
          <w:color w:val="000000"/>
          <w:sz w:val="32"/>
          <w:szCs w:val="32"/>
        </w:rPr>
        <w:t>，负责无公害、绿色食品、有机食品和农产品地理标志建设和监督管理等工作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负责农产品质量安全风险评估和信息发布工作，组织开展农产品质量安全检验检测工作，参与实施质量强县工作和农产品示范县创建工作</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6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楷体_GB2312" w:cs="Times New Roman"/>
          <w:b w:val="0"/>
          <w:bCs w:val="0"/>
          <w:color w:val="000000"/>
          <w:sz w:val="32"/>
          <w:szCs w:val="32"/>
        </w:rPr>
        <w:t>机关党委。</w:t>
      </w:r>
      <w:r>
        <w:rPr>
          <w:rFonts w:ascii="Times New Roman" w:hAnsi="Times New Roman" w:eastAsia="仿宋_GB2312" w:cs="Times New Roman"/>
          <w:color w:val="000000"/>
          <w:kern w:val="0"/>
          <w:sz w:val="32"/>
          <w:szCs w:val="32"/>
        </w:rPr>
        <w:t>负责机关和所属单位党的建设、党风廉政建</w:t>
      </w:r>
      <w:r>
        <w:rPr>
          <w:rFonts w:ascii="Times New Roman" w:hAnsi="Times New Roman" w:eastAsia="仿宋_GB2312" w:cs="Times New Roman"/>
          <w:kern w:val="0"/>
          <w:sz w:val="32"/>
          <w:szCs w:val="32"/>
        </w:rPr>
        <w:t>设、意识形态、班子队伍建设、群团等工作。机关党委办事机构按县委规定设置。</w:t>
      </w:r>
    </w:p>
    <w:p>
      <w:pPr>
        <w:pageBreakBefore w:val="0"/>
        <w:numPr>
          <w:ilvl w:val="0"/>
          <w:numId w:val="6"/>
        </w:numPr>
        <w:kinsoku/>
        <w:wordWrap/>
        <w:overflowPunct/>
        <w:topLinePunct w:val="0"/>
        <w:bidi w:val="0"/>
        <w:spacing w:line="560" w:lineRule="exact"/>
        <w:ind w:firstLine="643" w:firstLineChars="200"/>
        <w:outlineLvl w:val="1"/>
        <w:rPr>
          <w:rFonts w:hint="eastAsia" w:ascii="仿宋_GB2312" w:hAnsi="宋体" w:eastAsia="仿宋_GB2312" w:cs="宋体"/>
          <w:b/>
          <w:bCs/>
          <w:color w:val="000000"/>
          <w:kern w:val="0"/>
          <w:sz w:val="32"/>
          <w:szCs w:val="32"/>
          <w:highlight w:val="none"/>
          <w:shd w:val="clear" w:color="auto" w:fill="FBFBFB"/>
          <w:lang w:val="en-US" w:eastAsia="zh-CN" w:bidi="ar-SA"/>
        </w:rPr>
      </w:pPr>
      <w:r>
        <w:rPr>
          <w:rFonts w:hint="eastAsia" w:ascii="仿宋_GB2312" w:hAnsi="宋体" w:eastAsia="仿宋_GB2312" w:cs="宋体"/>
          <w:b/>
          <w:bCs/>
          <w:color w:val="000000"/>
          <w:kern w:val="0"/>
          <w:sz w:val="32"/>
          <w:szCs w:val="32"/>
          <w:highlight w:val="none"/>
          <w:shd w:val="clear" w:color="auto" w:fill="FBFBFB"/>
          <w:lang w:val="en-US" w:eastAsia="zh-CN" w:bidi="ar-SA"/>
        </w:rPr>
        <w:t>人员概括</w:t>
      </w:r>
    </w:p>
    <w:p>
      <w:pPr>
        <w:pageBreakBefore w:val="0"/>
        <w:kinsoku/>
        <w:wordWrap/>
        <w:overflowPunct/>
        <w:topLinePunct w:val="0"/>
        <w:bidi w:val="0"/>
        <w:spacing w:line="560" w:lineRule="exact"/>
        <w:ind w:firstLine="640"/>
        <w:rPr>
          <w:rFonts w:eastAsia="仿宋_GB2312"/>
          <w:color w:val="000000"/>
          <w:sz w:val="32"/>
          <w:szCs w:val="32"/>
        </w:rPr>
      </w:pPr>
      <w:r>
        <w:rPr>
          <w:rFonts w:eastAsia="仿宋_GB2312"/>
          <w:color w:val="000000"/>
          <w:sz w:val="32"/>
          <w:szCs w:val="32"/>
        </w:rPr>
        <w:t>县科技农牧局行政编制10名。其中，局长1名，副局长2名，</w:t>
      </w:r>
      <w:r>
        <w:rPr>
          <w:rFonts w:hint="eastAsia" w:eastAsia="仿宋_GB2312"/>
          <w:color w:val="000000"/>
          <w:sz w:val="32"/>
          <w:szCs w:val="32"/>
        </w:rPr>
        <w:t>县委农办专职副主任1名，</w:t>
      </w:r>
      <w:r>
        <w:rPr>
          <w:rFonts w:eastAsia="仿宋_GB2312"/>
          <w:color w:val="000000"/>
          <w:sz w:val="32"/>
          <w:szCs w:val="32"/>
        </w:rPr>
        <w:t>机关党委书记1名</w:t>
      </w:r>
      <w:r>
        <w:rPr>
          <w:rFonts w:hint="eastAsia" w:eastAsia="仿宋_GB2312"/>
          <w:color w:val="000000"/>
          <w:sz w:val="32"/>
          <w:szCs w:val="32"/>
        </w:rPr>
        <w:t>；</w:t>
      </w:r>
      <w:r>
        <w:rPr>
          <w:rFonts w:eastAsia="仿宋_GB2312"/>
          <w:color w:val="000000"/>
          <w:sz w:val="32"/>
          <w:szCs w:val="32"/>
        </w:rPr>
        <w:t>股级领导职数</w:t>
      </w:r>
      <w:r>
        <w:rPr>
          <w:rFonts w:hint="eastAsia" w:eastAsia="仿宋_GB2312"/>
          <w:color w:val="000000"/>
          <w:sz w:val="32"/>
          <w:szCs w:val="32"/>
        </w:rPr>
        <w:t>4</w:t>
      </w:r>
      <w:r>
        <w:rPr>
          <w:rFonts w:eastAsia="仿宋_GB2312"/>
          <w:color w:val="000000"/>
          <w:sz w:val="32"/>
          <w:szCs w:val="32"/>
        </w:rPr>
        <w:t>名。</w:t>
      </w:r>
    </w:p>
    <w:p>
      <w:pPr>
        <w:pageBreakBefore w:val="0"/>
        <w:kinsoku/>
        <w:wordWrap/>
        <w:overflowPunct/>
        <w:topLinePunct w:val="0"/>
        <w:bidi w:val="0"/>
        <w:snapToGrid w:val="0"/>
        <w:spacing w:line="560" w:lineRule="exac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二、</w:t>
      </w:r>
      <w:r>
        <w:rPr>
          <w:rFonts w:hint="eastAsia" w:ascii="仿宋_GB2312" w:hAnsi="宋体" w:eastAsia="仿宋_GB2312" w:cs="宋体"/>
          <w:b/>
          <w:bCs/>
          <w:sz w:val="32"/>
          <w:szCs w:val="32"/>
          <w:lang w:eastAsia="zh-CN"/>
        </w:rPr>
        <w:t>部门财政资金收支</w:t>
      </w:r>
      <w:r>
        <w:rPr>
          <w:rFonts w:hint="eastAsia" w:ascii="仿宋_GB2312" w:hAnsi="宋体" w:eastAsia="仿宋_GB2312" w:cs="宋体"/>
          <w:b/>
          <w:bCs/>
          <w:sz w:val="32"/>
          <w:szCs w:val="32"/>
        </w:rPr>
        <w:t>情况</w:t>
      </w:r>
    </w:p>
    <w:p>
      <w:pPr>
        <w:pageBreakBefore w:val="0"/>
        <w:kinsoku/>
        <w:wordWrap/>
        <w:overflowPunct/>
        <w:topLinePunct w:val="0"/>
        <w:bidi w:val="0"/>
        <w:snapToGrid w:val="0"/>
        <w:spacing w:line="560" w:lineRule="exact"/>
        <w:ind w:firstLine="640" w:firstLineChars="200"/>
        <w:outlineLvl w:val="0"/>
        <w:rPr>
          <w:rFonts w:hint="eastAsia" w:ascii="仿宋_GB2312" w:hAnsi="宋体" w:eastAsia="仿宋_GB2312" w:cs="宋体"/>
          <w:bCs/>
          <w:sz w:val="32"/>
          <w:szCs w:val="32"/>
        </w:rPr>
      </w:pPr>
      <w:bookmarkStart w:id="43" w:name="_Toc15396619"/>
      <w:r>
        <w:rPr>
          <w:rFonts w:hint="eastAsia" w:ascii="仿宋_GB2312" w:hAnsi="宋体" w:eastAsia="仿宋_GB2312" w:cs="宋体"/>
          <w:bCs/>
          <w:sz w:val="32"/>
          <w:szCs w:val="32"/>
        </w:rPr>
        <w:t>（一）收入支出预算安排情况</w:t>
      </w:r>
    </w:p>
    <w:p>
      <w:pPr>
        <w:pageBreakBefore w:val="0"/>
        <w:kinsoku/>
        <w:wordWrap/>
        <w:overflowPunct/>
        <w:topLinePunct w:val="0"/>
        <w:bidi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w:t>
      </w:r>
      <w:r>
        <w:rPr>
          <w:rFonts w:hint="eastAsia" w:ascii="仿宋_GB2312" w:hAnsi="宋体" w:eastAsia="仿宋_GB2312"/>
          <w:sz w:val="32"/>
          <w:szCs w:val="32"/>
          <w:lang w:eastAsia="zh-CN"/>
        </w:rPr>
        <w:t>松潘县科学技术和农业畜牧</w:t>
      </w:r>
      <w:r>
        <w:rPr>
          <w:rFonts w:hint="eastAsia" w:ascii="仿宋_GB2312" w:hAnsi="宋体" w:eastAsia="仿宋_GB2312"/>
          <w:sz w:val="32"/>
          <w:szCs w:val="32"/>
        </w:rPr>
        <w:t>局本年收入合计</w:t>
      </w:r>
      <w:r>
        <w:rPr>
          <w:rFonts w:hint="eastAsia" w:ascii="仿宋_GB2312" w:hAnsi="宋体" w:eastAsia="仿宋_GB2312"/>
          <w:sz w:val="32"/>
          <w:szCs w:val="32"/>
          <w:lang w:val="en-US" w:eastAsia="zh-CN"/>
        </w:rPr>
        <w:t>10191.54</w:t>
      </w:r>
      <w:r>
        <w:rPr>
          <w:rFonts w:hint="eastAsia" w:ascii="仿宋_GB2312" w:hAnsi="宋体" w:eastAsia="仿宋_GB2312"/>
          <w:sz w:val="32"/>
          <w:szCs w:val="32"/>
        </w:rPr>
        <w:t>万元，其中：财政拨款收入</w:t>
      </w:r>
      <w:r>
        <w:rPr>
          <w:rFonts w:hint="eastAsia" w:ascii="仿宋_GB2312" w:hAnsi="宋体" w:eastAsia="仿宋_GB2312"/>
          <w:sz w:val="32"/>
          <w:szCs w:val="32"/>
          <w:lang w:val="en-US" w:eastAsia="zh-CN"/>
        </w:rPr>
        <w:t>10191.54</w:t>
      </w:r>
      <w:r>
        <w:rPr>
          <w:rFonts w:hint="eastAsia" w:ascii="仿宋_GB2312" w:hAnsi="宋体" w:eastAsia="仿宋_GB2312"/>
          <w:sz w:val="32"/>
          <w:szCs w:val="32"/>
        </w:rPr>
        <w:t>万元，占100%。</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松潘县科学技术和农业畜牧局</w:t>
      </w:r>
      <w:r>
        <w:rPr>
          <w:rFonts w:hint="eastAsia" w:ascii="仿宋_GB2312" w:eastAsia="仿宋_GB2312"/>
          <w:sz w:val="32"/>
          <w:szCs w:val="32"/>
        </w:rPr>
        <w:t>局本年支出合计</w:t>
      </w:r>
      <w:r>
        <w:rPr>
          <w:rFonts w:hint="eastAsia" w:ascii="仿宋_GB2312" w:eastAsia="仿宋_GB2312"/>
          <w:sz w:val="32"/>
          <w:szCs w:val="32"/>
          <w:lang w:val="en-US" w:eastAsia="zh-CN"/>
        </w:rPr>
        <w:t>8398.6</w:t>
      </w:r>
      <w:r>
        <w:rPr>
          <w:rFonts w:hint="eastAsia" w:ascii="仿宋_GB2312" w:eastAsia="仿宋_GB2312"/>
          <w:sz w:val="32"/>
          <w:szCs w:val="32"/>
        </w:rPr>
        <w:t>万元，其中：基本支出</w:t>
      </w:r>
      <w:r>
        <w:rPr>
          <w:rFonts w:hint="eastAsia" w:ascii="仿宋_GB2312" w:eastAsia="仿宋_GB2312"/>
          <w:sz w:val="32"/>
          <w:szCs w:val="32"/>
          <w:lang w:val="en-US" w:eastAsia="zh-CN"/>
        </w:rPr>
        <w:t>2952.68</w:t>
      </w:r>
      <w:r>
        <w:rPr>
          <w:rFonts w:hint="eastAsia" w:ascii="仿宋_GB2312" w:eastAsia="仿宋_GB2312"/>
          <w:sz w:val="32"/>
          <w:szCs w:val="32"/>
        </w:rPr>
        <w:t>万元，占</w:t>
      </w:r>
      <w:r>
        <w:rPr>
          <w:rFonts w:hint="eastAsia" w:ascii="仿宋_GB2312" w:eastAsia="仿宋_GB2312"/>
          <w:sz w:val="32"/>
          <w:szCs w:val="32"/>
          <w:lang w:val="en-US" w:eastAsia="zh-CN"/>
        </w:rPr>
        <w:t>35</w:t>
      </w:r>
      <w:r>
        <w:rPr>
          <w:rFonts w:hint="eastAsia" w:ascii="仿宋_GB2312" w:eastAsia="仿宋_GB2312"/>
          <w:sz w:val="32"/>
          <w:szCs w:val="32"/>
        </w:rPr>
        <w:t>%；项目支出</w:t>
      </w:r>
      <w:r>
        <w:rPr>
          <w:rFonts w:hint="eastAsia" w:ascii="仿宋_GB2312" w:eastAsia="仿宋_GB2312"/>
          <w:sz w:val="32"/>
          <w:szCs w:val="32"/>
          <w:lang w:val="en-US" w:eastAsia="zh-CN"/>
        </w:rPr>
        <w:t>5445.91</w:t>
      </w:r>
      <w:r>
        <w:rPr>
          <w:rFonts w:hint="eastAsia" w:ascii="仿宋_GB2312" w:eastAsia="仿宋_GB2312"/>
          <w:sz w:val="32"/>
          <w:szCs w:val="32"/>
        </w:rPr>
        <w:t>万元，占</w:t>
      </w:r>
      <w:r>
        <w:rPr>
          <w:rFonts w:hint="eastAsia" w:ascii="仿宋_GB2312" w:eastAsia="仿宋_GB2312"/>
          <w:sz w:val="32"/>
          <w:szCs w:val="32"/>
          <w:lang w:val="en-US" w:eastAsia="zh-CN"/>
        </w:rPr>
        <w:t>65</w:t>
      </w:r>
      <w:r>
        <w:rPr>
          <w:rFonts w:hint="eastAsia" w:ascii="仿宋_GB2312" w:eastAsia="仿宋_GB2312"/>
          <w:sz w:val="32"/>
          <w:szCs w:val="32"/>
        </w:rPr>
        <w:t>%。</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(二)支出预算执行情况</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松潘县科学技术和农业畜牧局</w:t>
      </w:r>
      <w:r>
        <w:rPr>
          <w:rFonts w:hint="eastAsia" w:ascii="仿宋_GB2312" w:eastAsia="仿宋_GB2312"/>
          <w:sz w:val="32"/>
          <w:szCs w:val="32"/>
        </w:rPr>
        <w:t>财政拨款本年支出合计</w:t>
      </w:r>
      <w:r>
        <w:rPr>
          <w:rFonts w:hint="eastAsia" w:ascii="仿宋_GB2312" w:eastAsia="仿宋_GB2312"/>
          <w:sz w:val="32"/>
          <w:szCs w:val="32"/>
          <w:lang w:val="en-US" w:eastAsia="zh-CN"/>
        </w:rPr>
        <w:t>8398.6</w:t>
      </w:r>
      <w:r>
        <w:rPr>
          <w:rFonts w:hint="eastAsia" w:ascii="仿宋_GB2312" w:eastAsia="仿宋_GB2312"/>
          <w:sz w:val="32"/>
          <w:szCs w:val="32"/>
        </w:rPr>
        <w:t>万元，</w:t>
      </w:r>
      <w:r>
        <w:rPr>
          <w:rFonts w:hint="eastAsia" w:ascii="仿宋_GB2312" w:eastAsia="仿宋_GB2312"/>
          <w:color w:val="000000"/>
          <w:sz w:val="32"/>
          <w:szCs w:val="32"/>
        </w:rPr>
        <w:t xml:space="preserve"> 基本支出</w:t>
      </w:r>
      <w:r>
        <w:rPr>
          <w:rFonts w:hint="eastAsia" w:ascii="仿宋_GB2312" w:eastAsia="仿宋_GB2312"/>
          <w:sz w:val="32"/>
          <w:szCs w:val="32"/>
          <w:lang w:val="en-US" w:eastAsia="zh-CN"/>
        </w:rPr>
        <w:t>2952.68</w:t>
      </w:r>
      <w:r>
        <w:rPr>
          <w:rFonts w:hint="eastAsia" w:ascii="仿宋_GB2312" w:eastAsia="仿宋_GB2312"/>
          <w:color w:val="000000"/>
          <w:sz w:val="32"/>
          <w:szCs w:val="32"/>
        </w:rPr>
        <w:t>万元。</w:t>
      </w:r>
    </w:p>
    <w:p>
      <w:pPr>
        <w:pStyle w:val="17"/>
        <w:pageBreakBefore w:val="0"/>
        <w:numPr>
          <w:ilvl w:val="0"/>
          <w:numId w:val="0"/>
        </w:numPr>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人员支出</w:t>
      </w:r>
      <w:r>
        <w:rPr>
          <w:rFonts w:hint="eastAsia" w:ascii="仿宋_GB2312" w:eastAsia="仿宋_GB2312"/>
          <w:sz w:val="32"/>
          <w:szCs w:val="32"/>
          <w:lang w:val="en-US" w:eastAsia="zh-CN"/>
        </w:rPr>
        <w:t>2858.87</w:t>
      </w:r>
      <w:r>
        <w:rPr>
          <w:rFonts w:hint="eastAsia" w:ascii="仿宋_GB2312" w:eastAsia="仿宋_GB2312"/>
          <w:color w:val="000000"/>
          <w:sz w:val="32"/>
          <w:szCs w:val="32"/>
        </w:rPr>
        <w:t>万元(包括：工资、津贴、绩效工资、医疗保险等福利支出</w:t>
      </w:r>
      <w:r>
        <w:rPr>
          <w:rFonts w:hint="eastAsia" w:ascii="仿宋_GB2312" w:eastAsia="仿宋_GB2312"/>
          <w:color w:val="000000"/>
          <w:sz w:val="32"/>
          <w:szCs w:val="32"/>
          <w:lang w:val="en-US" w:eastAsia="zh-CN"/>
        </w:rPr>
        <w:t>2833.18</w:t>
      </w:r>
      <w:r>
        <w:rPr>
          <w:rFonts w:hint="eastAsia" w:ascii="仿宋_GB2312" w:eastAsia="仿宋_GB2312"/>
          <w:color w:val="000000"/>
          <w:sz w:val="32"/>
          <w:szCs w:val="32"/>
        </w:rPr>
        <w:t>万元，全部按照国家规定的工资福利政策标准，严格按照在册人数执行;对个人和家庭补助支出</w:t>
      </w:r>
      <w:r>
        <w:rPr>
          <w:rFonts w:hint="eastAsia" w:ascii="仿宋_GB2312" w:eastAsia="仿宋_GB2312"/>
          <w:color w:val="000000"/>
          <w:sz w:val="32"/>
          <w:szCs w:val="32"/>
          <w:lang w:val="en-US" w:eastAsia="zh-CN"/>
        </w:rPr>
        <w:t>225.01</w:t>
      </w:r>
      <w:r>
        <w:rPr>
          <w:rFonts w:hint="eastAsia" w:ascii="仿宋_GB2312" w:eastAsia="仿宋_GB2312"/>
          <w:color w:val="000000"/>
          <w:sz w:val="32"/>
          <w:szCs w:val="32"/>
        </w:rPr>
        <w:t>万元，主要是住房公积金、其他对个人和家庭的补助支出)。</w:t>
      </w:r>
    </w:p>
    <w:p>
      <w:pPr>
        <w:pStyle w:val="17"/>
        <w:pageBreakBefore w:val="0"/>
        <w:numPr>
          <w:ilvl w:val="0"/>
          <w:numId w:val="0"/>
        </w:numPr>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2、公用支出</w:t>
      </w:r>
      <w:r>
        <w:rPr>
          <w:rFonts w:hint="eastAsia" w:ascii="仿宋_GB2312" w:eastAsia="仿宋_GB2312"/>
          <w:color w:val="000000"/>
          <w:sz w:val="32"/>
          <w:szCs w:val="32"/>
          <w:lang w:val="en-US" w:eastAsia="zh-CN"/>
        </w:rPr>
        <w:t>93.8</w:t>
      </w:r>
      <w:r>
        <w:rPr>
          <w:rFonts w:hint="eastAsia" w:ascii="仿宋_GB2312" w:eastAsia="仿宋_GB2312"/>
          <w:color w:val="000000"/>
          <w:sz w:val="32"/>
          <w:szCs w:val="32"/>
        </w:rPr>
        <w:t>万元(包括：办公费</w:t>
      </w:r>
      <w:r>
        <w:rPr>
          <w:rFonts w:hint="eastAsia" w:ascii="仿宋_GB2312" w:eastAsia="仿宋_GB2312"/>
          <w:color w:val="000000"/>
          <w:sz w:val="32"/>
          <w:szCs w:val="32"/>
          <w:lang w:val="en-US" w:eastAsia="zh-CN"/>
        </w:rPr>
        <w:t>22.72</w:t>
      </w:r>
      <w:r>
        <w:rPr>
          <w:rFonts w:hint="eastAsia" w:ascii="仿宋_GB2312" w:eastAsia="仿宋_GB2312"/>
          <w:color w:val="000000"/>
          <w:sz w:val="32"/>
          <w:szCs w:val="32"/>
        </w:rPr>
        <w:t>万元、水费</w:t>
      </w:r>
      <w:r>
        <w:rPr>
          <w:rFonts w:hint="eastAsia" w:ascii="仿宋_GB2312" w:eastAsia="仿宋_GB2312"/>
          <w:color w:val="000000"/>
          <w:sz w:val="32"/>
          <w:szCs w:val="32"/>
          <w:lang w:val="en-US" w:eastAsia="zh-CN"/>
        </w:rPr>
        <w:t>0.94</w:t>
      </w:r>
      <w:r>
        <w:rPr>
          <w:rFonts w:hint="eastAsia" w:ascii="仿宋_GB2312" w:eastAsia="仿宋_GB2312"/>
          <w:color w:val="000000"/>
          <w:sz w:val="32"/>
          <w:szCs w:val="32"/>
        </w:rPr>
        <w:t>万元、电费</w:t>
      </w:r>
      <w:r>
        <w:rPr>
          <w:rFonts w:hint="eastAsia" w:ascii="仿宋_GB2312" w:eastAsia="仿宋_GB2312"/>
          <w:color w:val="000000"/>
          <w:sz w:val="32"/>
          <w:szCs w:val="32"/>
          <w:lang w:val="en-US" w:eastAsia="zh-CN"/>
        </w:rPr>
        <w:t>3.27</w:t>
      </w:r>
      <w:r>
        <w:rPr>
          <w:rFonts w:hint="eastAsia" w:ascii="仿宋_GB2312" w:eastAsia="仿宋_GB2312"/>
          <w:color w:val="000000"/>
          <w:sz w:val="32"/>
          <w:szCs w:val="32"/>
        </w:rPr>
        <w:t>万元、差旅费</w:t>
      </w:r>
      <w:r>
        <w:rPr>
          <w:rFonts w:hint="eastAsia" w:ascii="仿宋_GB2312" w:eastAsia="仿宋_GB2312"/>
          <w:color w:val="000000"/>
          <w:sz w:val="32"/>
          <w:szCs w:val="32"/>
          <w:lang w:val="en-US" w:eastAsia="zh-CN"/>
        </w:rPr>
        <w:t>61.36</w:t>
      </w:r>
      <w:r>
        <w:rPr>
          <w:rFonts w:hint="eastAsia" w:ascii="仿宋_GB2312" w:eastAsia="仿宋_GB2312"/>
          <w:color w:val="000000"/>
          <w:sz w:val="32"/>
          <w:szCs w:val="32"/>
        </w:rPr>
        <w:t>万元、公务用车</w:t>
      </w:r>
      <w:r>
        <w:rPr>
          <w:rFonts w:hint="eastAsia" w:ascii="仿宋_GB2312" w:eastAsia="仿宋_GB2312"/>
          <w:color w:val="000000"/>
          <w:sz w:val="32"/>
          <w:szCs w:val="32"/>
          <w:lang w:val="en-US" w:eastAsia="zh-CN"/>
        </w:rPr>
        <w:t>21.88</w:t>
      </w:r>
      <w:r>
        <w:rPr>
          <w:rFonts w:hint="eastAsia" w:ascii="仿宋_GB2312" w:eastAsia="仿宋_GB2312"/>
          <w:color w:val="000000"/>
          <w:sz w:val="32"/>
          <w:szCs w:val="32"/>
        </w:rPr>
        <w:t>万元、培训费</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万元)是根据单位正常运转和日常培训任务需要列支。</w:t>
      </w:r>
    </w:p>
    <w:p>
      <w:pPr>
        <w:pStyle w:val="17"/>
        <w:pageBreakBefore w:val="0"/>
        <w:kinsoku/>
        <w:wordWrap/>
        <w:overflowPunct/>
        <w:topLinePunct w:val="0"/>
        <w:bidi w:val="0"/>
        <w:spacing w:beforeAutospacing="0" w:afterAutospacing="0" w:line="560" w:lineRule="exact"/>
        <w:ind w:firstLine="480"/>
        <w:rPr>
          <w:rFonts w:hint="eastAsia" w:ascii="仿宋_GB2312" w:eastAsia="仿宋_GB2312"/>
          <w:color w:val="000000"/>
          <w:sz w:val="32"/>
          <w:szCs w:val="32"/>
        </w:rPr>
      </w:pPr>
      <w:r>
        <w:rPr>
          <w:rFonts w:hint="eastAsia" w:ascii="仿宋_GB2312" w:eastAsia="仿宋_GB2312"/>
          <w:color w:val="000000"/>
          <w:sz w:val="32"/>
          <w:szCs w:val="32"/>
        </w:rPr>
        <w:t>(三) 项目支出</w:t>
      </w:r>
      <w:r>
        <w:rPr>
          <w:rFonts w:hint="eastAsia" w:ascii="仿宋_GB2312" w:eastAsia="仿宋_GB2312"/>
          <w:sz w:val="32"/>
          <w:szCs w:val="32"/>
          <w:lang w:val="en-US" w:eastAsia="zh-CN"/>
        </w:rPr>
        <w:t>5445.91</w:t>
      </w:r>
      <w:r>
        <w:rPr>
          <w:rFonts w:hint="eastAsia" w:ascii="仿宋_GB2312" w:eastAsia="仿宋_GB2312"/>
          <w:color w:val="000000"/>
          <w:sz w:val="32"/>
          <w:szCs w:val="32"/>
        </w:rPr>
        <w:t>万元</w:t>
      </w:r>
    </w:p>
    <w:p>
      <w:pPr>
        <w:pageBreakBefore w:val="0"/>
        <w:kinsoku/>
        <w:wordWrap/>
        <w:overflowPunct/>
        <w:topLinePunct w:val="0"/>
        <w:bidi w:val="0"/>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年总支出</w:t>
      </w:r>
      <w:r>
        <w:rPr>
          <w:rFonts w:hint="eastAsia" w:ascii="仿宋_GB2312" w:eastAsia="仿宋_GB2312"/>
          <w:sz w:val="32"/>
          <w:szCs w:val="32"/>
          <w:lang w:val="en-US" w:eastAsia="zh-CN"/>
        </w:rPr>
        <w:t>8398.6</w:t>
      </w:r>
      <w:r>
        <w:rPr>
          <w:rFonts w:hint="eastAsia" w:ascii="仿宋_GB2312" w:hAnsi="宋体" w:eastAsia="仿宋_GB2312" w:cs="宋体"/>
          <w:kern w:val="0"/>
          <w:sz w:val="32"/>
          <w:szCs w:val="32"/>
        </w:rPr>
        <w:t>万元，其中基本支出</w:t>
      </w:r>
      <w:r>
        <w:rPr>
          <w:rFonts w:hint="eastAsia" w:ascii="仿宋_GB2312" w:eastAsia="仿宋_GB2312"/>
          <w:sz w:val="32"/>
          <w:szCs w:val="32"/>
          <w:lang w:val="en-US" w:eastAsia="zh-CN"/>
        </w:rPr>
        <w:t>2952.68</w:t>
      </w:r>
      <w:r>
        <w:rPr>
          <w:rFonts w:hint="eastAsia" w:ascii="仿宋_GB2312" w:hAnsi="宋体" w:eastAsia="仿宋_GB2312" w:cs="宋体"/>
          <w:kern w:val="0"/>
          <w:sz w:val="32"/>
          <w:szCs w:val="32"/>
        </w:rPr>
        <w:t>万元（基本支出中人员支出</w:t>
      </w:r>
      <w:r>
        <w:rPr>
          <w:rFonts w:hint="eastAsia" w:ascii="仿宋_GB2312" w:eastAsia="仿宋_GB2312"/>
          <w:sz w:val="32"/>
          <w:szCs w:val="32"/>
          <w:lang w:val="en-US" w:eastAsia="zh-CN"/>
        </w:rPr>
        <w:t>2858.87</w:t>
      </w:r>
      <w:r>
        <w:rPr>
          <w:rFonts w:hint="eastAsia" w:ascii="仿宋_GB2312" w:hAnsi="宋体" w:eastAsia="仿宋_GB2312" w:cs="宋体"/>
          <w:kern w:val="0"/>
          <w:sz w:val="32"/>
          <w:szCs w:val="32"/>
        </w:rPr>
        <w:t>万元，公用支出</w:t>
      </w:r>
      <w:r>
        <w:rPr>
          <w:rFonts w:hint="eastAsia" w:ascii="仿宋_GB2312" w:eastAsia="仿宋_GB2312"/>
          <w:color w:val="000000"/>
          <w:sz w:val="32"/>
          <w:szCs w:val="32"/>
          <w:lang w:val="en-US" w:eastAsia="zh-CN"/>
        </w:rPr>
        <w:t>93.8</w:t>
      </w:r>
      <w:r>
        <w:rPr>
          <w:rFonts w:hint="eastAsia" w:ascii="仿宋_GB2312" w:hAnsi="宋体" w:eastAsia="仿宋_GB2312" w:cs="宋体"/>
          <w:kern w:val="0"/>
          <w:sz w:val="32"/>
          <w:szCs w:val="32"/>
        </w:rPr>
        <w:t>万元），项目支出</w:t>
      </w:r>
      <w:r>
        <w:rPr>
          <w:rFonts w:hint="eastAsia" w:ascii="仿宋_GB2312" w:eastAsia="仿宋_GB2312"/>
          <w:sz w:val="32"/>
          <w:szCs w:val="32"/>
          <w:lang w:val="en-US" w:eastAsia="zh-CN"/>
        </w:rPr>
        <w:t>5445.91</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2.公用支出</w:t>
      </w:r>
      <w:r>
        <w:rPr>
          <w:rFonts w:hint="eastAsia" w:ascii="仿宋_GB2312" w:eastAsia="仿宋_GB2312"/>
          <w:color w:val="000000"/>
          <w:sz w:val="32"/>
          <w:szCs w:val="32"/>
          <w:lang w:val="en-US" w:eastAsia="zh-CN"/>
        </w:rPr>
        <w:t>93.8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ageBreakBefore w:val="0"/>
        <w:kinsoku/>
        <w:wordWrap/>
        <w:overflowPunct/>
        <w:topLinePunct w:val="0"/>
        <w:bidi w:val="0"/>
        <w:snapToGrid w:val="0"/>
        <w:spacing w:line="560" w:lineRule="exact"/>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3．收入支出与预算对比分析</w:t>
      </w:r>
    </w:p>
    <w:p>
      <w:pPr>
        <w:pageBreakBefore w:val="0"/>
        <w:kinsoku/>
        <w:wordWrap/>
        <w:overflowPunct/>
        <w:topLinePunct w:val="0"/>
        <w:bidi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（1）20</w:t>
      </w:r>
      <w:r>
        <w:rPr>
          <w:rFonts w:hint="eastAsia" w:ascii="仿宋_GB2312" w:hAnsi="宋体" w:eastAsia="仿宋_GB2312" w:cs="宋体"/>
          <w:sz w:val="32"/>
          <w:szCs w:val="32"/>
          <w:lang w:val="en-US" w:eastAsia="zh-CN"/>
        </w:rPr>
        <w:t>20</w:t>
      </w:r>
      <w:r>
        <w:rPr>
          <w:rFonts w:hint="eastAsia" w:ascii="仿宋_GB2312" w:hAnsi="宋体" w:eastAsia="仿宋_GB2312" w:cs="宋体"/>
          <w:sz w:val="32"/>
          <w:szCs w:val="32"/>
        </w:rPr>
        <w:t>年度财政局年初下达我局预算</w:t>
      </w:r>
      <w:r>
        <w:rPr>
          <w:rFonts w:hint="eastAsia" w:ascii="仿宋_GB2312" w:hAnsi="宋体" w:eastAsia="仿宋_GB2312" w:cs="宋体"/>
          <w:sz w:val="32"/>
          <w:szCs w:val="32"/>
          <w:lang w:val="en-US" w:eastAsia="zh-CN"/>
        </w:rPr>
        <w:t>2970.77</w:t>
      </w:r>
      <w:r>
        <w:rPr>
          <w:rFonts w:hint="eastAsia" w:ascii="仿宋_GB2312" w:hAnsi="宋体" w:eastAsia="仿宋_GB2312" w:cs="宋体"/>
          <w:sz w:val="32"/>
          <w:szCs w:val="32"/>
        </w:rPr>
        <w:t>万元，其中：人员经费支出</w:t>
      </w:r>
      <w:r>
        <w:rPr>
          <w:rFonts w:hint="eastAsia" w:ascii="仿宋_GB2312" w:hAnsi="宋体" w:eastAsia="仿宋_GB2312" w:cs="宋体"/>
          <w:sz w:val="32"/>
          <w:szCs w:val="32"/>
          <w:lang w:val="en-US" w:eastAsia="zh-CN"/>
        </w:rPr>
        <w:t>2824.68</w:t>
      </w:r>
      <w:r>
        <w:rPr>
          <w:rFonts w:hint="eastAsia" w:ascii="仿宋_GB2312" w:hAnsi="宋体" w:eastAsia="仿宋_GB2312" w:cs="宋体"/>
          <w:sz w:val="32"/>
          <w:szCs w:val="32"/>
        </w:rPr>
        <w:t>万元，公用经费支出</w:t>
      </w:r>
      <w:r>
        <w:rPr>
          <w:rFonts w:hint="eastAsia" w:ascii="仿宋_GB2312" w:hAnsi="宋体" w:eastAsia="仿宋_GB2312" w:cs="宋体"/>
          <w:sz w:val="32"/>
          <w:szCs w:val="32"/>
          <w:lang w:val="en-US" w:eastAsia="zh-CN"/>
        </w:rPr>
        <w:t>122.06</w:t>
      </w:r>
      <w:r>
        <w:rPr>
          <w:rFonts w:hint="eastAsia" w:ascii="仿宋_GB2312" w:hAnsi="宋体" w:eastAsia="仿宋_GB2312" w:cs="宋体"/>
          <w:sz w:val="32"/>
          <w:szCs w:val="32"/>
        </w:rPr>
        <w:t>万元。</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（2）差异原因分析。</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主要是由调资和正常晋升造成的差额。</w:t>
      </w:r>
    </w:p>
    <w:p>
      <w:pPr>
        <w:pageBreakBefore w:val="0"/>
        <w:numPr>
          <w:ilvl w:val="0"/>
          <w:numId w:val="7"/>
        </w:numPr>
        <w:tabs>
          <w:tab w:val="left" w:pos="840"/>
          <w:tab w:val="clear" w:pos="312"/>
        </w:tabs>
        <w:kinsoku/>
        <w:wordWrap/>
        <w:overflowPunct/>
        <w:topLinePunct w:val="0"/>
        <w:bidi w:val="0"/>
        <w:snapToGrid w:val="0"/>
        <w:spacing w:line="560" w:lineRule="exact"/>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重点经济分类支出执行情况</w:t>
      </w:r>
    </w:p>
    <w:p>
      <w:pPr>
        <w:pageBreakBefore w:val="0"/>
        <w:numPr>
          <w:ilvl w:val="0"/>
          <w:numId w:val="0"/>
        </w:numPr>
        <w:tabs>
          <w:tab w:val="left" w:pos="840"/>
        </w:tabs>
        <w:kinsoku/>
        <w:wordWrap/>
        <w:overflowPunct/>
        <w:topLinePunct w:val="0"/>
        <w:bidi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（1）“三公”经费支出情况。</w:t>
      </w:r>
    </w:p>
    <w:p>
      <w:pPr>
        <w:pageBreakBefore w:val="0"/>
        <w:kinsoku/>
        <w:wordWrap/>
        <w:overflowPunct/>
        <w:topLinePunct w:val="0"/>
        <w:bidi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“三公”经费财政拨款支出决算总体情况说明 </w:t>
      </w:r>
    </w:p>
    <w:p>
      <w:pPr>
        <w:pageBreakBefore w:val="0"/>
        <w:kinsoku/>
        <w:wordWrap/>
        <w:overflowPunct/>
        <w:topLinePunct w:val="0"/>
        <w:bidi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eastAsia="zh-CN"/>
        </w:rPr>
        <w:t>松潘县科学技术和农业畜牧局</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年度“三公”经费财政拨款支出决算为</w:t>
      </w:r>
      <w:r>
        <w:rPr>
          <w:rFonts w:hint="eastAsia" w:ascii="仿宋_GB2312" w:hAnsi="宋体" w:eastAsia="仿宋_GB2312"/>
          <w:sz w:val="32"/>
          <w:szCs w:val="32"/>
          <w:lang w:val="en-US" w:eastAsia="zh-CN"/>
        </w:rPr>
        <w:t>21.88</w:t>
      </w:r>
      <w:r>
        <w:rPr>
          <w:rFonts w:hint="eastAsia" w:ascii="仿宋_GB2312" w:hAnsi="宋体" w:eastAsia="仿宋_GB2312"/>
          <w:sz w:val="32"/>
          <w:szCs w:val="32"/>
        </w:rPr>
        <w:t>万元，其中：因公出国（境）费支出决算为0万元，公务用车购置费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万元，公务用车运行维护费支出决算为</w:t>
      </w:r>
      <w:r>
        <w:rPr>
          <w:rFonts w:hint="eastAsia" w:ascii="仿宋_GB2312" w:hAnsi="宋体" w:eastAsia="仿宋_GB2312"/>
          <w:sz w:val="32"/>
          <w:szCs w:val="32"/>
          <w:lang w:val="en-US" w:eastAsia="zh-CN"/>
        </w:rPr>
        <w:t>21.88</w:t>
      </w:r>
      <w:r>
        <w:rPr>
          <w:rFonts w:hint="eastAsia" w:ascii="仿宋_GB2312" w:hAnsi="宋体" w:eastAsia="仿宋_GB2312"/>
          <w:sz w:val="32"/>
          <w:szCs w:val="32"/>
        </w:rPr>
        <w:t>万元，公务接待费支出决算为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万元。20</w:t>
      </w:r>
      <w:r>
        <w:rPr>
          <w:rFonts w:hint="eastAsia" w:ascii="仿宋_GB2312" w:hAnsi="宋体" w:eastAsia="仿宋_GB2312"/>
          <w:sz w:val="32"/>
          <w:szCs w:val="32"/>
          <w:lang w:val="en-US" w:eastAsia="zh-CN"/>
        </w:rPr>
        <w:t>20</w:t>
      </w:r>
      <w:r>
        <w:rPr>
          <w:rFonts w:hint="eastAsia" w:ascii="仿宋_GB2312" w:hAnsi="宋体" w:eastAsia="仿宋_GB2312"/>
          <w:sz w:val="32"/>
          <w:szCs w:val="32"/>
        </w:rPr>
        <w:t xml:space="preserve">年度“三公”经费支出决算数小于预算数（或与预算数持平）的主要原因是严格按照中央八项规定和行政单位会计制度执行。 </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（2）重点经济分类支出中存在的问题及改进措施。</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无</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（3）其他对部门（单位）影响较大的支出情况。</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无</w:t>
      </w:r>
    </w:p>
    <w:p>
      <w:pPr>
        <w:pageBreakBefore w:val="0"/>
        <w:kinsoku/>
        <w:wordWrap/>
        <w:overflowPunct/>
        <w:topLinePunct w:val="0"/>
        <w:bidi w:val="0"/>
        <w:adjustRightInd w:val="0"/>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年1-6月公共预算财政拨款支出</w:t>
      </w:r>
      <w:r>
        <w:rPr>
          <w:rFonts w:hint="eastAsia" w:ascii="仿宋_GB2312" w:hAnsi="宋体" w:eastAsia="仿宋_GB2312" w:cs="宋体"/>
          <w:sz w:val="32"/>
          <w:szCs w:val="32"/>
          <w:lang w:val="en-US" w:eastAsia="zh-CN"/>
        </w:rPr>
        <w:t>656.93</w:t>
      </w:r>
      <w:r>
        <w:rPr>
          <w:rFonts w:hint="eastAsia" w:ascii="仿宋_GB2312" w:hAnsi="宋体" w:eastAsia="仿宋_GB2312" w:cs="宋体"/>
          <w:sz w:val="32"/>
          <w:szCs w:val="32"/>
        </w:rPr>
        <w:t>万元。</w:t>
      </w:r>
    </w:p>
    <w:p>
      <w:pPr>
        <w:pageBreakBefore w:val="0"/>
        <w:kinsoku/>
        <w:wordWrap/>
        <w:overflowPunct/>
        <w:topLinePunct w:val="0"/>
        <w:bidi w:val="0"/>
        <w:adjustRightInd w:val="0"/>
        <w:snapToGrid w:val="0"/>
        <w:spacing w:line="560" w:lineRule="exact"/>
        <w:ind w:firstLine="643" w:firstLineChars="200"/>
        <w:jc w:val="left"/>
        <w:rPr>
          <w:rFonts w:hint="eastAsia" w:ascii="仿宋_GB2312" w:hAnsi="宋体" w:eastAsia="仿宋_GB2312" w:cs="宋体"/>
          <w:b/>
          <w:bCs/>
          <w:sz w:val="32"/>
          <w:szCs w:val="32"/>
        </w:rPr>
      </w:pPr>
      <w:r>
        <w:rPr>
          <w:rFonts w:hint="eastAsia" w:ascii="仿宋_GB2312" w:hAnsi="宋体" w:eastAsia="仿宋_GB2312" w:cs="宋体"/>
          <w:b/>
          <w:bCs/>
          <w:color w:val="000000"/>
          <w:kern w:val="0"/>
          <w:sz w:val="32"/>
          <w:szCs w:val="32"/>
        </w:rPr>
        <w:t>三、部门财政支出管理情况</w:t>
      </w:r>
    </w:p>
    <w:p>
      <w:pPr>
        <w:pageBreakBefore w:val="0"/>
        <w:kinsoku/>
        <w:wordWrap/>
        <w:overflowPunct/>
        <w:topLinePunct w:val="0"/>
        <w:bidi w:val="0"/>
        <w:adjustRightInd w:val="0"/>
        <w:snapToGrid w:val="0"/>
        <w:spacing w:line="560" w:lineRule="exac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（一）预算编制情况。</w:t>
      </w:r>
    </w:p>
    <w:p>
      <w:pPr>
        <w:pageBreakBefore w:val="0"/>
        <w:kinsoku/>
        <w:wordWrap/>
        <w:overflowPunct/>
        <w:topLinePunct w:val="0"/>
        <w:bidi w:val="0"/>
        <w:adjustRightInd w:val="0"/>
        <w:snapToGrid w:val="0"/>
        <w:spacing w:line="560" w:lineRule="exac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包括预算编制质量、绩效目标填报、转移支付提前下达及专项转移支付分地区分项目编制情况等。</w:t>
      </w:r>
    </w:p>
    <w:p>
      <w:pPr>
        <w:pageBreakBefore w:val="0"/>
        <w:kinsoku/>
        <w:wordWrap/>
        <w:overflowPunct/>
        <w:topLinePunct w:val="0"/>
        <w:bidi w:val="0"/>
        <w:adjustRightInd w:val="0"/>
        <w:snapToGrid w:val="0"/>
        <w:spacing w:line="56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（二）执行管理情况。</w:t>
      </w:r>
      <w:r>
        <w:rPr>
          <w:rFonts w:hint="eastAsia" w:ascii="仿宋_GB2312" w:hAnsi="宋体" w:eastAsia="仿宋_GB2312" w:cs="宋体"/>
          <w:color w:val="000000"/>
          <w:kern w:val="0"/>
          <w:sz w:val="32"/>
          <w:szCs w:val="32"/>
          <w:lang w:val="zh-CN"/>
        </w:rPr>
        <w:tab/>
      </w:r>
    </w:p>
    <w:p>
      <w:pPr>
        <w:pageBreakBefore w:val="0"/>
        <w:kinsoku/>
        <w:wordWrap/>
        <w:overflowPunct/>
        <w:topLinePunct w:val="0"/>
        <w:bidi w:val="0"/>
        <w:adjustRightInd w:val="0"/>
        <w:snapToGrid w:val="0"/>
        <w:spacing w:line="56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sz w:val="32"/>
          <w:szCs w:val="32"/>
        </w:rPr>
        <w:t>从整体情况来看，我办严格按照年初预算进行部门整体支出。在支出过程中，能严格遵守各项规章制度，“三公经费”明显下降。实行了先有预算、后有执行、“用钱必问效、无效必问责”的新常态。</w:t>
      </w:r>
    </w:p>
    <w:p>
      <w:pPr>
        <w:pageBreakBefore w:val="0"/>
        <w:kinsoku/>
        <w:wordWrap/>
        <w:overflowPunct/>
        <w:topLinePunct w:val="0"/>
        <w:bidi w:val="0"/>
        <w:adjustRightInd w:val="0"/>
        <w:snapToGrid w:val="0"/>
        <w:spacing w:line="56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（三）综合管理情况。</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预决算公开：20</w:t>
      </w:r>
      <w:r>
        <w:rPr>
          <w:rFonts w:hint="eastAsia" w:ascii="仿宋_GB2312" w:eastAsia="仿宋_GB2312"/>
          <w:sz w:val="32"/>
          <w:szCs w:val="32"/>
          <w:lang w:val="en-US" w:eastAsia="zh-CN"/>
        </w:rPr>
        <w:t>20</w:t>
      </w:r>
      <w:r>
        <w:rPr>
          <w:rFonts w:hint="eastAsia" w:ascii="仿宋_GB2312" w:eastAsia="仿宋_GB2312"/>
          <w:sz w:val="32"/>
          <w:szCs w:val="32"/>
        </w:rPr>
        <w:t>年，我办按照财政要求，在网站上进行了预决算公开。</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资产管理：20</w:t>
      </w:r>
      <w:r>
        <w:rPr>
          <w:rFonts w:hint="eastAsia" w:ascii="仿宋_GB2312" w:eastAsia="仿宋_GB2312"/>
          <w:sz w:val="32"/>
          <w:szCs w:val="32"/>
          <w:lang w:val="en-US" w:eastAsia="zh-CN"/>
        </w:rPr>
        <w:t>20</w:t>
      </w:r>
      <w:r>
        <w:rPr>
          <w:rFonts w:hint="eastAsia" w:ascii="仿宋_GB2312" w:eastAsia="仿宋_GB2312"/>
          <w:sz w:val="32"/>
          <w:szCs w:val="32"/>
        </w:rPr>
        <w:t>年进行全面的资产清查，并就清查中发现的问题进行全面整改。完善了单位财务管理制度，确保各项资产核算准确、帐实相符、管理到位。</w:t>
      </w:r>
    </w:p>
    <w:p>
      <w:pPr>
        <w:pageBreakBefore w:val="0"/>
        <w:kinsoku/>
        <w:wordWrap/>
        <w:overflowPunct/>
        <w:topLinePunct w:val="0"/>
        <w:bidi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“三公经费”控制情况：贯彻落实上级有关精神，严格控制“三公经费”支出，取得了良好效果。</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lang w:val="zh-CN"/>
        </w:rPr>
      </w:pPr>
      <w:r>
        <w:rPr>
          <w:rFonts w:hint="eastAsia" w:ascii="仿宋_GB2312" w:eastAsia="仿宋_GB2312"/>
          <w:sz w:val="32"/>
          <w:szCs w:val="32"/>
        </w:rPr>
        <w:t>内部管理制度建设情况：近年来，我办制定、完善了财务管理制度、车辆管理制度、差旅费管理实施办法等内部制度。</w:t>
      </w:r>
    </w:p>
    <w:p>
      <w:pPr>
        <w:pageBreakBefore w:val="0"/>
        <w:kinsoku/>
        <w:wordWrap/>
        <w:overflowPunct/>
        <w:topLinePunct w:val="0"/>
        <w:bidi w:val="0"/>
        <w:adjustRightInd w:val="0"/>
        <w:snapToGrid w:val="0"/>
        <w:spacing w:line="56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（四）整体绩效。</w:t>
      </w:r>
    </w:p>
    <w:p>
      <w:pPr>
        <w:pageBreakBefore w:val="0"/>
        <w:kinsoku/>
        <w:wordWrap/>
        <w:overflowPunct/>
        <w:topLinePunct w:val="0"/>
        <w:bidi w:val="0"/>
        <w:adjustRightInd w:val="0"/>
        <w:snapToGrid w:val="0"/>
        <w:spacing w:line="56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包括部门职责履行结果、重点项目绩效评价结果和服务对象满意度等。</w:t>
      </w:r>
    </w:p>
    <w:p>
      <w:pPr>
        <w:pStyle w:val="17"/>
        <w:pageBreakBefore w:val="0"/>
        <w:kinsoku/>
        <w:wordWrap/>
        <w:overflowPunct/>
        <w:topLinePunct w:val="0"/>
        <w:bidi w:val="0"/>
        <w:spacing w:beforeAutospacing="0" w:afterAutospacing="0" w:line="560" w:lineRule="exact"/>
        <w:ind w:firstLine="579" w:firstLineChars="181"/>
        <w:rPr>
          <w:rFonts w:hint="eastAsia" w:ascii="仿宋_GB2312" w:eastAsia="仿宋_GB2312"/>
          <w:sz w:val="32"/>
          <w:szCs w:val="32"/>
        </w:rPr>
      </w:pPr>
      <w:r>
        <w:rPr>
          <w:rFonts w:hint="eastAsia" w:ascii="仿宋_GB2312" w:eastAsia="仿宋_GB2312"/>
          <w:color w:val="000000"/>
          <w:sz w:val="32"/>
          <w:szCs w:val="32"/>
          <w:lang w:val="zh-CN"/>
        </w:rPr>
        <w:t>（</w:t>
      </w:r>
      <w:r>
        <w:rPr>
          <w:rFonts w:hint="eastAsia" w:ascii="仿宋_GB2312" w:eastAsia="仿宋_GB2312"/>
          <w:sz w:val="32"/>
          <w:szCs w:val="32"/>
        </w:rPr>
        <w:t>一）绩效评价目的:</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此次绩效评价的目的是：严格落实《预算法》及省、州绩效管理工作的有关规定，进一步规范财政资金的管理，强化财政支出绩效理念，提升部门责任意识，提高资金使用效益。</w:t>
      </w:r>
    </w:p>
    <w:p>
      <w:pPr>
        <w:pStyle w:val="17"/>
        <w:pageBreakBefore w:val="0"/>
        <w:kinsoku/>
        <w:wordWrap/>
        <w:overflowPunct/>
        <w:topLinePunct w:val="0"/>
        <w:bidi w:val="0"/>
        <w:spacing w:beforeAutospacing="0" w:afterAutospacing="0" w:line="560" w:lineRule="exact"/>
        <w:ind w:firstLine="420"/>
        <w:rPr>
          <w:rFonts w:hint="eastAsia" w:ascii="仿宋_GB2312" w:eastAsia="仿宋_GB2312"/>
          <w:sz w:val="32"/>
          <w:szCs w:val="32"/>
        </w:rPr>
      </w:pPr>
      <w:r>
        <w:rPr>
          <w:rFonts w:hint="eastAsia" w:ascii="仿宋_GB2312" w:eastAsia="仿宋_GB2312"/>
          <w:sz w:val="32"/>
          <w:szCs w:val="32"/>
        </w:rPr>
        <w:t>（二）绩效评价的主要过程:</w:t>
      </w:r>
    </w:p>
    <w:p>
      <w:pPr>
        <w:pStyle w:val="17"/>
        <w:pageBreakBefore w:val="0"/>
        <w:kinsoku/>
        <w:wordWrap/>
        <w:overflowPunct/>
        <w:topLinePunct w:val="0"/>
        <w:bidi w:val="0"/>
        <w:spacing w:beforeAutospacing="0" w:afterAutospacing="0" w:line="560" w:lineRule="exact"/>
        <w:ind w:firstLine="640" w:firstLineChars="200"/>
        <w:rPr>
          <w:rFonts w:hint="eastAsia" w:ascii="仿宋_GB2312" w:eastAsia="仿宋_GB2312"/>
          <w:color w:val="000000"/>
          <w:sz w:val="32"/>
          <w:szCs w:val="32"/>
          <w:lang w:val="zh-CN"/>
        </w:rPr>
      </w:pPr>
      <w:r>
        <w:rPr>
          <w:rFonts w:hint="eastAsia" w:ascii="仿宋_GB2312" w:eastAsia="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pageBreakBefore w:val="0"/>
        <w:kinsoku/>
        <w:wordWrap/>
        <w:overflowPunct/>
        <w:topLinePunct w:val="0"/>
        <w:bidi w:val="0"/>
        <w:adjustRightInd w:val="0"/>
        <w:snapToGrid w:val="0"/>
        <w:spacing w:line="560" w:lineRule="exact"/>
        <w:ind w:firstLine="643" w:firstLineChars="200"/>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四、评价结论及建议</w:t>
      </w:r>
    </w:p>
    <w:p>
      <w:pPr>
        <w:pStyle w:val="17"/>
        <w:pageBreakBefore w:val="0"/>
        <w:kinsoku/>
        <w:wordWrap/>
        <w:overflowPunct/>
        <w:topLinePunct w:val="0"/>
        <w:bidi w:val="0"/>
        <w:spacing w:beforeAutospacing="0" w:afterAutospacing="0" w:line="560" w:lineRule="exact"/>
        <w:ind w:firstLine="480" w:firstLineChars="150"/>
        <w:rPr>
          <w:rFonts w:hint="eastAsia" w:ascii="仿宋_GB2312" w:eastAsia="仿宋_GB2312"/>
          <w:color w:val="000000"/>
          <w:sz w:val="32"/>
          <w:szCs w:val="32"/>
          <w:lang w:val="zh-CN"/>
        </w:rPr>
      </w:pPr>
      <w:r>
        <w:rPr>
          <w:rFonts w:hint="eastAsia" w:ascii="仿宋_GB2312" w:eastAsia="仿宋_GB2312"/>
          <w:color w:val="000000"/>
          <w:sz w:val="32"/>
          <w:szCs w:val="32"/>
          <w:lang w:val="zh-CN"/>
        </w:rPr>
        <w:t>（一）评价结论。</w:t>
      </w:r>
      <w:r>
        <w:rPr>
          <w:rFonts w:hint="eastAsia" w:ascii="仿宋_GB2312" w:eastAsia="仿宋_GB2312"/>
          <w:sz w:val="32"/>
          <w:szCs w:val="32"/>
        </w:rPr>
        <w:t>规范了财政资金的管理，强化财政支出绩效理念，提升任意识，提高资金使用效益。</w:t>
      </w:r>
    </w:p>
    <w:p>
      <w:pPr>
        <w:pageBreakBefore w:val="0"/>
        <w:kinsoku/>
        <w:wordWrap/>
        <w:overflowPunct/>
        <w:topLinePunct w:val="0"/>
        <w:bidi w:val="0"/>
        <w:adjustRightInd w:val="0"/>
        <w:snapToGrid w:val="0"/>
        <w:spacing w:line="560" w:lineRule="exac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(二)存在问题。</w:t>
      </w:r>
    </w:p>
    <w:p>
      <w:pPr>
        <w:pageBreakBefore w:val="0"/>
        <w:kinsoku/>
        <w:wordWrap/>
        <w:overflowPunct/>
        <w:topLinePunct w:val="0"/>
        <w:bidi w:val="0"/>
        <w:adjustRightInd w:val="0"/>
        <w:snapToGrid w:val="0"/>
        <w:spacing w:line="56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无</w:t>
      </w:r>
    </w:p>
    <w:p>
      <w:pPr>
        <w:pageBreakBefore w:val="0"/>
        <w:kinsoku/>
        <w:wordWrap/>
        <w:overflowPunct/>
        <w:topLinePunct w:val="0"/>
        <w:bidi w:val="0"/>
        <w:adjustRightInd w:val="0"/>
        <w:snapToGrid w:val="0"/>
        <w:spacing w:line="560" w:lineRule="exac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(三)改进建议。</w:t>
      </w:r>
    </w:p>
    <w:p>
      <w:pPr>
        <w:pageBreakBefore w:val="0"/>
        <w:kinsoku/>
        <w:wordWrap/>
        <w:overflowPunct/>
        <w:topLinePunct w:val="0"/>
        <w:bidi w:val="0"/>
        <w:adjustRightInd w:val="0"/>
        <w:snapToGrid w:val="0"/>
        <w:spacing w:line="560" w:lineRule="exact"/>
        <w:ind w:left="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无</w:t>
      </w: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ascii="仿宋" w:hAnsi="仿宋" w:eastAsia="仿宋"/>
          <w:color w:val="000000" w:themeColor="text1"/>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第</w:t>
      </w:r>
      <w:r>
        <w:rPr>
          <w:rStyle w:val="31"/>
          <w:rFonts w:hint="eastAsia" w:ascii="黑体" w:hAnsi="黑体" w:eastAsia="黑体"/>
          <w:b w:val="0"/>
          <w:color w:val="000000" w:themeColor="text1"/>
          <w14:textFill>
            <w14:solidFill>
              <w14:schemeClr w14:val="tx1"/>
            </w14:solidFill>
          </w14:textFill>
        </w:rPr>
        <w:t>五部分 附表</w:t>
      </w:r>
    </w:p>
    <w:bookmarkEnd w:id="43"/>
    <w:p>
      <w:pPr>
        <w:pStyle w:val="5"/>
        <w:rPr>
          <w:rFonts w:ascii="仿宋" w:hAnsi="仿宋" w:eastAsia="仿宋"/>
          <w:color w:val="000000" w:themeColor="text1"/>
          <w14:textFill>
            <w14:solidFill>
              <w14:schemeClr w14:val="tx1"/>
            </w14:solidFill>
          </w14:textFill>
        </w:rPr>
      </w:pPr>
      <w:r>
        <w:rPr>
          <w:rFonts w:hint="eastAsia" w:ascii="仿宋" w:hAnsi="仿宋" w:eastAsia="仿宋"/>
          <w:b w:val="0"/>
          <w:color w:val="000000" w:themeColor="text1"/>
          <w14:textFill>
            <w14:solidFill>
              <w14:schemeClr w14:val="tx1"/>
            </w14:solidFill>
          </w14:textFill>
        </w:rPr>
        <w:t>一、收</w:t>
      </w:r>
      <w:r>
        <w:rPr>
          <w:rStyle w:val="32"/>
          <w:rFonts w:hint="eastAsia" w:ascii="仿宋" w:hAnsi="仿宋" w:eastAsia="仿宋"/>
          <w:b w:val="0"/>
          <w:bCs w:val="0"/>
          <w:color w:val="000000" w:themeColor="text1"/>
          <w14:textFill>
            <w14:solidFill>
              <w14:schemeClr w14:val="tx1"/>
            </w14:solidFill>
          </w14:textFill>
        </w:rPr>
        <w:t>入支出决算总表</w:t>
      </w:r>
    </w:p>
    <w:p>
      <w:pPr>
        <w:pStyle w:val="5"/>
        <w:rPr>
          <w:rFonts w:ascii="仿宋" w:hAnsi="仿宋" w:eastAsia="仿宋"/>
          <w:color w:val="000000" w:themeColor="text1"/>
          <w14:textFill>
            <w14:solidFill>
              <w14:schemeClr w14:val="tx1"/>
            </w14:solidFill>
          </w14:textFill>
        </w:rPr>
      </w:pPr>
      <w:bookmarkStart w:id="44" w:name="_Toc15396620"/>
      <w:r>
        <w:rPr>
          <w:rFonts w:hint="eastAsia" w:ascii="仿宋" w:hAnsi="仿宋" w:eastAsia="仿宋"/>
          <w:b w:val="0"/>
          <w:color w:val="000000" w:themeColor="text1"/>
          <w14:textFill>
            <w14:solidFill>
              <w14:schemeClr w14:val="tx1"/>
            </w14:solidFill>
          </w14:textFill>
        </w:rPr>
        <w:t>二、收</w:t>
      </w:r>
      <w:r>
        <w:rPr>
          <w:rStyle w:val="32"/>
          <w:rFonts w:hint="eastAsia" w:ascii="仿宋" w:hAnsi="仿宋" w:eastAsia="仿宋"/>
          <w:b w:val="0"/>
          <w:bCs w:val="0"/>
          <w:color w:val="000000" w:themeColor="text1"/>
          <w14:textFill>
            <w14:solidFill>
              <w14:schemeClr w14:val="tx1"/>
            </w14:solidFill>
          </w14:textFill>
        </w:rPr>
        <w:t>入决算表</w:t>
      </w:r>
      <w:bookmarkEnd w:id="44"/>
    </w:p>
    <w:p>
      <w:pPr>
        <w:pStyle w:val="5"/>
        <w:rPr>
          <w:rFonts w:ascii="仿宋" w:hAnsi="仿宋" w:eastAsia="仿宋"/>
          <w:color w:val="000000" w:themeColor="text1"/>
          <w14:textFill>
            <w14:solidFill>
              <w14:schemeClr w14:val="tx1"/>
            </w14:solidFill>
          </w14:textFill>
        </w:rPr>
      </w:pPr>
      <w:bookmarkStart w:id="45" w:name="_Toc15396621"/>
      <w:r>
        <w:rPr>
          <w:rStyle w:val="32"/>
          <w:rFonts w:hint="eastAsia" w:ascii="仿宋" w:hAnsi="仿宋" w:eastAsia="仿宋"/>
          <w:b w:val="0"/>
          <w:bCs w:val="0"/>
          <w:color w:val="000000" w:themeColor="text1"/>
          <w14:textFill>
            <w14:solidFill>
              <w14:schemeClr w14:val="tx1"/>
            </w14:solidFill>
          </w14:textFill>
        </w:rPr>
        <w:t>三、</w:t>
      </w:r>
      <w:r>
        <w:rPr>
          <w:rFonts w:hint="eastAsia" w:ascii="仿宋" w:hAnsi="仿宋" w:eastAsia="仿宋"/>
          <w:b w:val="0"/>
          <w:color w:val="000000" w:themeColor="text1"/>
          <w14:textFill>
            <w14:solidFill>
              <w14:schemeClr w14:val="tx1"/>
            </w14:solidFill>
          </w14:textFill>
        </w:rPr>
        <w:t>支</w:t>
      </w:r>
      <w:r>
        <w:rPr>
          <w:rStyle w:val="32"/>
          <w:rFonts w:hint="eastAsia" w:ascii="仿宋" w:hAnsi="仿宋" w:eastAsia="仿宋"/>
          <w:b w:val="0"/>
          <w:bCs w:val="0"/>
          <w:color w:val="000000" w:themeColor="text1"/>
          <w14:textFill>
            <w14:solidFill>
              <w14:schemeClr w14:val="tx1"/>
            </w14:solidFill>
          </w14:textFill>
        </w:rPr>
        <w:t>出决算表</w:t>
      </w:r>
      <w:bookmarkEnd w:id="45"/>
    </w:p>
    <w:p>
      <w:pPr>
        <w:pStyle w:val="5"/>
        <w:rPr>
          <w:rFonts w:ascii="仿宋" w:hAnsi="仿宋" w:eastAsia="仿宋"/>
          <w:b w:val="0"/>
          <w:color w:val="000000" w:themeColor="text1"/>
          <w14:textFill>
            <w14:solidFill>
              <w14:schemeClr w14:val="tx1"/>
            </w14:solidFill>
          </w14:textFill>
        </w:rPr>
      </w:pPr>
      <w:bookmarkStart w:id="46" w:name="_Toc15396622"/>
      <w:r>
        <w:rPr>
          <w:rStyle w:val="32"/>
          <w:rFonts w:hint="eastAsia" w:ascii="仿宋" w:hAnsi="仿宋" w:eastAsia="仿宋"/>
          <w:b w:val="0"/>
          <w:bCs w:val="0"/>
          <w:color w:val="000000" w:themeColor="text1"/>
          <w14:textFill>
            <w14:solidFill>
              <w14:schemeClr w14:val="tx1"/>
            </w14:solidFill>
          </w14:textFill>
        </w:rPr>
        <w:t>四、</w:t>
      </w:r>
      <w:r>
        <w:rPr>
          <w:rFonts w:hint="eastAsia" w:ascii="仿宋" w:hAnsi="仿宋" w:eastAsia="仿宋"/>
          <w:b w:val="0"/>
          <w:color w:val="000000" w:themeColor="text1"/>
          <w14:textFill>
            <w14:solidFill>
              <w14:schemeClr w14:val="tx1"/>
            </w14:solidFill>
          </w14:textFill>
        </w:rPr>
        <w:t>财</w:t>
      </w:r>
      <w:r>
        <w:rPr>
          <w:rStyle w:val="32"/>
          <w:rFonts w:hint="eastAsia" w:ascii="仿宋" w:hAnsi="仿宋" w:eastAsia="仿宋"/>
          <w:b w:val="0"/>
          <w:bCs w:val="0"/>
          <w:color w:val="000000" w:themeColor="text1"/>
          <w14:textFill>
            <w14:solidFill>
              <w14:schemeClr w14:val="tx1"/>
            </w14:solidFill>
          </w14:textFill>
        </w:rPr>
        <w:t>政拨款收入支出决算总表</w:t>
      </w:r>
      <w:bookmarkEnd w:id="46"/>
    </w:p>
    <w:p>
      <w:pPr>
        <w:pStyle w:val="5"/>
        <w:rPr>
          <w:rStyle w:val="32"/>
          <w:rFonts w:ascii="仿宋" w:hAnsi="仿宋" w:eastAsia="仿宋"/>
          <w:b w:val="0"/>
          <w:bCs w:val="0"/>
          <w:color w:val="000000" w:themeColor="text1"/>
          <w14:textFill>
            <w14:solidFill>
              <w14:schemeClr w14:val="tx1"/>
            </w14:solidFill>
          </w14:textFill>
        </w:rPr>
      </w:pPr>
      <w:bookmarkStart w:id="47" w:name="_Toc15396623"/>
      <w:r>
        <w:rPr>
          <w:rStyle w:val="32"/>
          <w:rFonts w:hint="eastAsia" w:ascii="仿宋" w:hAnsi="仿宋" w:eastAsia="仿宋"/>
          <w:b w:val="0"/>
          <w:bCs w:val="0"/>
          <w:color w:val="000000" w:themeColor="text1"/>
          <w14:textFill>
            <w14:solidFill>
              <w14:schemeClr w14:val="tx1"/>
            </w14:solidFill>
          </w14:textFill>
        </w:rPr>
        <w:t>五、</w:t>
      </w:r>
      <w:r>
        <w:rPr>
          <w:rFonts w:hint="eastAsia" w:ascii="仿宋" w:hAnsi="仿宋" w:eastAsia="仿宋"/>
          <w:b w:val="0"/>
          <w:color w:val="000000" w:themeColor="text1"/>
          <w14:textFill>
            <w14:solidFill>
              <w14:schemeClr w14:val="tx1"/>
            </w14:solidFill>
          </w14:textFill>
        </w:rPr>
        <w:t>财</w:t>
      </w:r>
      <w:r>
        <w:rPr>
          <w:rStyle w:val="32"/>
          <w:rFonts w:hint="eastAsia" w:ascii="仿宋" w:hAnsi="仿宋" w:eastAsia="仿宋"/>
          <w:b w:val="0"/>
          <w:bCs w:val="0"/>
          <w:color w:val="000000" w:themeColor="text1"/>
          <w14:textFill>
            <w14:solidFill>
              <w14:schemeClr w14:val="tx1"/>
            </w14:solidFill>
          </w14:textFill>
        </w:rPr>
        <w:t>政拨款支出决算明细表</w:t>
      </w:r>
      <w:bookmarkEnd w:id="47"/>
      <w:bookmarkStart w:id="48" w:name="_Toc15396624"/>
    </w:p>
    <w:p>
      <w:pPr>
        <w:pStyle w:val="5"/>
        <w:rPr>
          <w:rFonts w:ascii="仿宋" w:hAnsi="仿宋" w:eastAsia="仿宋"/>
          <w:color w:val="000000" w:themeColor="text1"/>
          <w14:textFill>
            <w14:solidFill>
              <w14:schemeClr w14:val="tx1"/>
            </w14:solidFill>
          </w14:textFill>
        </w:rPr>
      </w:pPr>
      <w:r>
        <w:rPr>
          <w:rStyle w:val="32"/>
          <w:rFonts w:hint="eastAsia" w:ascii="仿宋" w:hAnsi="仿宋" w:eastAsia="仿宋"/>
          <w:b w:val="0"/>
          <w:bCs w:val="0"/>
          <w:color w:val="000000" w:themeColor="text1"/>
          <w14:textFill>
            <w14:solidFill>
              <w14:schemeClr w14:val="tx1"/>
            </w14:solidFill>
          </w14:textFill>
        </w:rPr>
        <w:t>六、</w:t>
      </w:r>
      <w:r>
        <w:rPr>
          <w:rFonts w:hint="eastAsia" w:ascii="仿宋" w:hAnsi="仿宋" w:eastAsia="仿宋"/>
          <w:b w:val="0"/>
          <w:color w:val="000000" w:themeColor="text1"/>
          <w14:textFill>
            <w14:solidFill>
              <w14:schemeClr w14:val="tx1"/>
            </w14:solidFill>
          </w14:textFill>
        </w:rPr>
        <w:t>一</w:t>
      </w:r>
      <w:r>
        <w:rPr>
          <w:rStyle w:val="32"/>
          <w:rFonts w:hint="eastAsia" w:ascii="仿宋" w:hAnsi="仿宋" w:eastAsia="仿宋"/>
          <w:b w:val="0"/>
          <w:bCs w:val="0"/>
          <w:color w:val="000000" w:themeColor="text1"/>
          <w14:textFill>
            <w14:solidFill>
              <w14:schemeClr w14:val="tx1"/>
            </w14:solidFill>
          </w14:textFill>
        </w:rPr>
        <w:t>般公共预算财政拨款支出决算表</w:t>
      </w:r>
      <w:bookmarkEnd w:id="48"/>
    </w:p>
    <w:p>
      <w:pPr>
        <w:pStyle w:val="5"/>
        <w:rPr>
          <w:rFonts w:ascii="仿宋" w:hAnsi="仿宋" w:eastAsia="仿宋"/>
          <w:color w:val="000000" w:themeColor="text1"/>
          <w14:textFill>
            <w14:solidFill>
              <w14:schemeClr w14:val="tx1"/>
            </w14:solidFill>
          </w14:textFill>
        </w:rPr>
      </w:pPr>
      <w:bookmarkStart w:id="49" w:name="_Toc15396625"/>
      <w:r>
        <w:rPr>
          <w:rStyle w:val="32"/>
          <w:rFonts w:hint="eastAsia" w:ascii="仿宋" w:hAnsi="仿宋" w:eastAsia="仿宋"/>
          <w:b w:val="0"/>
          <w:bCs w:val="0"/>
          <w:color w:val="000000" w:themeColor="text1"/>
          <w14:textFill>
            <w14:solidFill>
              <w14:schemeClr w14:val="tx1"/>
            </w14:solidFill>
          </w14:textFill>
        </w:rPr>
        <w:t>七、</w:t>
      </w:r>
      <w:r>
        <w:rPr>
          <w:rFonts w:hint="eastAsia" w:ascii="仿宋" w:hAnsi="仿宋" w:eastAsia="仿宋"/>
          <w:b w:val="0"/>
          <w:color w:val="000000" w:themeColor="text1"/>
          <w14:textFill>
            <w14:solidFill>
              <w14:schemeClr w14:val="tx1"/>
            </w14:solidFill>
          </w14:textFill>
        </w:rPr>
        <w:t>一</w:t>
      </w:r>
      <w:r>
        <w:rPr>
          <w:rStyle w:val="32"/>
          <w:rFonts w:hint="eastAsia" w:ascii="仿宋" w:hAnsi="仿宋" w:eastAsia="仿宋"/>
          <w:b w:val="0"/>
          <w:bCs w:val="0"/>
          <w:color w:val="000000" w:themeColor="text1"/>
          <w14:textFill>
            <w14:solidFill>
              <w14:schemeClr w14:val="tx1"/>
            </w14:solidFill>
          </w14:textFill>
        </w:rPr>
        <w:t>般公共预算财政拨款支出决算明细表</w:t>
      </w:r>
      <w:bookmarkEnd w:id="49"/>
    </w:p>
    <w:p>
      <w:pPr>
        <w:pStyle w:val="5"/>
        <w:rPr>
          <w:rFonts w:ascii="仿宋" w:hAnsi="仿宋" w:eastAsia="仿宋"/>
          <w:color w:val="000000" w:themeColor="text1"/>
          <w14:textFill>
            <w14:solidFill>
              <w14:schemeClr w14:val="tx1"/>
            </w14:solidFill>
          </w14:textFill>
        </w:rPr>
      </w:pPr>
      <w:bookmarkStart w:id="50" w:name="_Toc15396626"/>
      <w:r>
        <w:rPr>
          <w:rStyle w:val="32"/>
          <w:rFonts w:hint="eastAsia" w:ascii="仿宋" w:hAnsi="仿宋" w:eastAsia="仿宋"/>
          <w:b w:val="0"/>
          <w:bCs w:val="0"/>
          <w:color w:val="000000" w:themeColor="text1"/>
          <w14:textFill>
            <w14:solidFill>
              <w14:schemeClr w14:val="tx1"/>
            </w14:solidFill>
          </w14:textFill>
        </w:rPr>
        <w:t>八、</w:t>
      </w:r>
      <w:r>
        <w:rPr>
          <w:rFonts w:hint="eastAsia" w:ascii="仿宋" w:hAnsi="仿宋" w:eastAsia="仿宋"/>
          <w:b w:val="0"/>
          <w:color w:val="000000" w:themeColor="text1"/>
          <w14:textFill>
            <w14:solidFill>
              <w14:schemeClr w14:val="tx1"/>
            </w14:solidFill>
          </w14:textFill>
        </w:rPr>
        <w:t>一</w:t>
      </w:r>
      <w:r>
        <w:rPr>
          <w:rStyle w:val="32"/>
          <w:rFonts w:hint="eastAsia" w:ascii="仿宋" w:hAnsi="仿宋" w:eastAsia="仿宋"/>
          <w:b w:val="0"/>
          <w:bCs w:val="0"/>
          <w:color w:val="000000" w:themeColor="text1"/>
          <w14:textFill>
            <w14:solidFill>
              <w14:schemeClr w14:val="tx1"/>
            </w14:solidFill>
          </w14:textFill>
        </w:rPr>
        <w:t>般公共预算财政拨款基本支出决算表</w:t>
      </w:r>
      <w:bookmarkEnd w:id="50"/>
    </w:p>
    <w:p>
      <w:pPr>
        <w:pStyle w:val="5"/>
        <w:rPr>
          <w:rFonts w:ascii="仿宋" w:hAnsi="仿宋" w:eastAsia="仿宋"/>
          <w:color w:val="000000" w:themeColor="text1"/>
          <w14:textFill>
            <w14:solidFill>
              <w14:schemeClr w14:val="tx1"/>
            </w14:solidFill>
          </w14:textFill>
        </w:rPr>
      </w:pPr>
      <w:bookmarkStart w:id="51" w:name="_Toc15396627"/>
      <w:r>
        <w:rPr>
          <w:rStyle w:val="32"/>
          <w:rFonts w:hint="eastAsia" w:ascii="仿宋" w:hAnsi="仿宋" w:eastAsia="仿宋"/>
          <w:b w:val="0"/>
          <w:bCs w:val="0"/>
          <w:color w:val="000000" w:themeColor="text1"/>
          <w14:textFill>
            <w14:solidFill>
              <w14:schemeClr w14:val="tx1"/>
            </w14:solidFill>
          </w14:textFill>
        </w:rPr>
        <w:t>九、</w:t>
      </w:r>
      <w:r>
        <w:rPr>
          <w:rFonts w:hint="eastAsia" w:ascii="仿宋" w:hAnsi="仿宋" w:eastAsia="仿宋"/>
          <w:b w:val="0"/>
          <w:color w:val="000000" w:themeColor="text1"/>
          <w14:textFill>
            <w14:solidFill>
              <w14:schemeClr w14:val="tx1"/>
            </w14:solidFill>
          </w14:textFill>
        </w:rPr>
        <w:t>一</w:t>
      </w:r>
      <w:r>
        <w:rPr>
          <w:rStyle w:val="32"/>
          <w:rFonts w:hint="eastAsia" w:ascii="仿宋" w:hAnsi="仿宋" w:eastAsia="仿宋"/>
          <w:b w:val="0"/>
          <w:bCs w:val="0"/>
          <w:color w:val="000000" w:themeColor="text1"/>
          <w14:textFill>
            <w14:solidFill>
              <w14:schemeClr w14:val="tx1"/>
            </w14:solidFill>
          </w14:textFill>
        </w:rPr>
        <w:t>般公共预算财政拨款项目支出决算表</w:t>
      </w:r>
      <w:bookmarkEnd w:id="51"/>
    </w:p>
    <w:p>
      <w:pPr>
        <w:pStyle w:val="5"/>
        <w:rPr>
          <w:rFonts w:ascii="仿宋" w:hAnsi="仿宋" w:eastAsia="仿宋"/>
          <w:color w:val="000000" w:themeColor="text1"/>
          <w14:textFill>
            <w14:solidFill>
              <w14:schemeClr w14:val="tx1"/>
            </w14:solidFill>
          </w14:textFill>
        </w:rPr>
      </w:pPr>
      <w:bookmarkStart w:id="52" w:name="_Toc15396628"/>
      <w:r>
        <w:rPr>
          <w:rStyle w:val="32"/>
          <w:rFonts w:hint="eastAsia" w:ascii="仿宋" w:hAnsi="仿宋" w:eastAsia="仿宋"/>
          <w:b w:val="0"/>
          <w:bCs w:val="0"/>
          <w:color w:val="000000" w:themeColor="text1"/>
          <w14:textFill>
            <w14:solidFill>
              <w14:schemeClr w14:val="tx1"/>
            </w14:solidFill>
          </w14:textFill>
        </w:rPr>
        <w:t>十、</w:t>
      </w:r>
      <w:r>
        <w:rPr>
          <w:rFonts w:hint="eastAsia" w:ascii="仿宋" w:hAnsi="仿宋" w:eastAsia="仿宋"/>
          <w:b w:val="0"/>
          <w:color w:val="000000" w:themeColor="text1"/>
          <w14:textFill>
            <w14:solidFill>
              <w14:schemeClr w14:val="tx1"/>
            </w14:solidFill>
          </w14:textFill>
        </w:rPr>
        <w:t>一</w:t>
      </w:r>
      <w:r>
        <w:rPr>
          <w:rStyle w:val="32"/>
          <w:rFonts w:hint="eastAsia" w:ascii="仿宋" w:hAnsi="仿宋" w:eastAsia="仿宋"/>
          <w:b w:val="0"/>
          <w:bCs w:val="0"/>
          <w:color w:val="000000" w:themeColor="text1"/>
          <w14:textFill>
            <w14:solidFill>
              <w14:schemeClr w14:val="tx1"/>
            </w14:solidFill>
          </w14:textFill>
        </w:rPr>
        <w:t>般公共预算财政拨款“三公”经费支出决算表</w:t>
      </w:r>
      <w:bookmarkEnd w:id="52"/>
    </w:p>
    <w:p>
      <w:pPr>
        <w:pStyle w:val="5"/>
        <w:rPr>
          <w:rFonts w:ascii="仿宋" w:hAnsi="仿宋" w:eastAsia="仿宋"/>
          <w:color w:val="000000" w:themeColor="text1"/>
          <w14:textFill>
            <w14:solidFill>
              <w14:schemeClr w14:val="tx1"/>
            </w14:solidFill>
          </w14:textFill>
        </w:rPr>
      </w:pPr>
      <w:bookmarkStart w:id="53" w:name="_Toc15396629"/>
      <w:r>
        <w:rPr>
          <w:rStyle w:val="32"/>
          <w:rFonts w:hint="eastAsia" w:ascii="仿宋" w:hAnsi="仿宋" w:eastAsia="仿宋"/>
          <w:b w:val="0"/>
          <w:bCs w:val="0"/>
          <w:color w:val="000000" w:themeColor="text1"/>
          <w14:textFill>
            <w14:solidFill>
              <w14:schemeClr w14:val="tx1"/>
            </w14:solidFill>
          </w14:textFill>
        </w:rPr>
        <w:t>十一、</w:t>
      </w:r>
      <w:r>
        <w:rPr>
          <w:rFonts w:hint="eastAsia" w:ascii="仿宋" w:hAnsi="仿宋" w:eastAsia="仿宋"/>
          <w:b w:val="0"/>
          <w:color w:val="000000" w:themeColor="text1"/>
          <w14:textFill>
            <w14:solidFill>
              <w14:schemeClr w14:val="tx1"/>
            </w14:solidFill>
          </w14:textFill>
        </w:rPr>
        <w:t>政</w:t>
      </w:r>
      <w:r>
        <w:rPr>
          <w:rStyle w:val="32"/>
          <w:rFonts w:hint="eastAsia" w:ascii="仿宋" w:hAnsi="仿宋" w:eastAsia="仿宋"/>
          <w:b w:val="0"/>
          <w:bCs w:val="0"/>
          <w:color w:val="000000" w:themeColor="text1"/>
          <w14:textFill>
            <w14:solidFill>
              <w14:schemeClr w14:val="tx1"/>
            </w14:solidFill>
          </w14:textFill>
        </w:rPr>
        <w:t>府性基金预算财政拨款收入支出决算表</w:t>
      </w:r>
      <w:bookmarkEnd w:id="53"/>
    </w:p>
    <w:p>
      <w:pPr>
        <w:pStyle w:val="5"/>
        <w:rPr>
          <w:rFonts w:ascii="仿宋" w:hAnsi="仿宋" w:eastAsia="仿宋"/>
          <w:color w:val="000000" w:themeColor="text1"/>
          <w14:textFill>
            <w14:solidFill>
              <w14:schemeClr w14:val="tx1"/>
            </w14:solidFill>
          </w14:textFill>
        </w:rPr>
      </w:pPr>
      <w:bookmarkStart w:id="54" w:name="_Toc15396630"/>
      <w:r>
        <w:rPr>
          <w:rStyle w:val="32"/>
          <w:rFonts w:hint="eastAsia" w:ascii="仿宋" w:hAnsi="仿宋" w:eastAsia="仿宋"/>
          <w:b w:val="0"/>
          <w:bCs w:val="0"/>
          <w:color w:val="000000" w:themeColor="text1"/>
          <w14:textFill>
            <w14:solidFill>
              <w14:schemeClr w14:val="tx1"/>
            </w14:solidFill>
          </w14:textFill>
        </w:rPr>
        <w:t>十二、</w:t>
      </w:r>
      <w:r>
        <w:rPr>
          <w:rFonts w:hint="eastAsia" w:ascii="仿宋" w:hAnsi="仿宋" w:eastAsia="仿宋"/>
          <w:b w:val="0"/>
          <w:color w:val="000000" w:themeColor="text1"/>
          <w14:textFill>
            <w14:solidFill>
              <w14:schemeClr w14:val="tx1"/>
            </w14:solidFill>
          </w14:textFill>
        </w:rPr>
        <w:t>政</w:t>
      </w:r>
      <w:r>
        <w:rPr>
          <w:rStyle w:val="32"/>
          <w:rFonts w:hint="eastAsia" w:ascii="仿宋" w:hAnsi="仿宋" w:eastAsia="仿宋"/>
          <w:b w:val="0"/>
          <w:bCs w:val="0"/>
          <w:color w:val="000000" w:themeColor="text1"/>
          <w14:textFill>
            <w14:solidFill>
              <w14:schemeClr w14:val="tx1"/>
            </w14:solidFill>
          </w14:textFill>
        </w:rPr>
        <w:t>府性基金预算财政拨款“三公”经费支出决算表</w:t>
      </w:r>
      <w:bookmarkEnd w:id="54"/>
    </w:p>
    <w:p>
      <w:pPr>
        <w:pStyle w:val="5"/>
        <w:rPr>
          <w:rStyle w:val="32"/>
          <w:rFonts w:hint="eastAsia" w:ascii="仿宋" w:hAnsi="仿宋" w:eastAsia="仿宋"/>
          <w:b w:val="0"/>
          <w:bCs w:val="0"/>
          <w:color w:val="000000" w:themeColor="text1"/>
          <w:lang w:val="en-US" w:eastAsia="zh-CN"/>
          <w14:textFill>
            <w14:solidFill>
              <w14:schemeClr w14:val="tx1"/>
            </w14:solidFill>
          </w14:textFill>
        </w:rPr>
      </w:pPr>
      <w:r>
        <w:rPr>
          <w:rStyle w:val="32"/>
          <w:rFonts w:hint="eastAsia" w:ascii="仿宋" w:hAnsi="仿宋" w:eastAsia="仿宋"/>
          <w:b w:val="0"/>
          <w:bCs w:val="0"/>
          <w:color w:val="000000" w:themeColor="text1"/>
          <w:lang w:val="en-US" w:eastAsia="zh-CN"/>
          <w14:textFill>
            <w14:solidFill>
              <w14:schemeClr w14:val="tx1"/>
            </w14:solidFill>
          </w14:textFill>
        </w:rPr>
        <w:t>十三、国有资产经营预算财政拨款收入支出决算表</w:t>
      </w:r>
    </w:p>
    <w:p>
      <w:pPr>
        <w:pStyle w:val="5"/>
        <w:rPr>
          <w:rStyle w:val="32"/>
          <w:rFonts w:hint="eastAsia" w:ascii="仿宋" w:hAnsi="仿宋" w:eastAsia="仿宋"/>
          <w:b w:val="0"/>
          <w:bCs w:val="0"/>
          <w:color w:val="000000" w:themeColor="text1"/>
          <w14:textFill>
            <w14:solidFill>
              <w14:schemeClr w14:val="tx1"/>
            </w14:solidFill>
          </w14:textFill>
        </w:rPr>
      </w:pPr>
      <w:r>
        <w:rPr>
          <w:rStyle w:val="32"/>
          <w:rFonts w:hint="eastAsia" w:ascii="仿宋" w:hAnsi="仿宋" w:eastAsia="仿宋"/>
          <w:b w:val="0"/>
          <w:bCs w:val="0"/>
          <w:color w:val="000000" w:themeColor="text1"/>
          <w:lang w:val="en-US" w:eastAsia="zh-CN"/>
          <w14:textFill>
            <w14:solidFill>
              <w14:schemeClr w14:val="tx1"/>
            </w14:solidFill>
          </w14:textFill>
        </w:rPr>
        <w:t>十四、国有资产经营预算财政拨款支出决算表</w:t>
      </w:r>
    </w:p>
    <w:p>
      <w:pPr>
        <w:pStyle w:val="5"/>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066" w:bottom="1440" w:left="11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28</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FAADBB4A"/>
    <w:multiLevelType w:val="singleLevel"/>
    <w:tmpl w:val="FAADBB4A"/>
    <w:lvl w:ilvl="0" w:tentative="0">
      <w:start w:val="3"/>
      <w:numFmt w:val="chineseCounting"/>
      <w:suff w:val="nothing"/>
      <w:lvlText w:val="（%1）"/>
      <w:lvlJc w:val="left"/>
      <w:rPr>
        <w:rFonts w:hint="eastAsia"/>
      </w:rPr>
    </w:lvl>
  </w:abstractNum>
  <w:abstractNum w:abstractNumId="2">
    <w:nsid w:val="008789F6"/>
    <w:multiLevelType w:val="singleLevel"/>
    <w:tmpl w:val="008789F6"/>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3906CDC"/>
    <w:multiLevelType w:val="singleLevel"/>
    <w:tmpl w:val="43906CDC"/>
    <w:lvl w:ilvl="0" w:tentative="0">
      <w:start w:val="4"/>
      <w:numFmt w:val="decimal"/>
      <w:lvlText w:val="%1."/>
      <w:lvlJc w:val="left"/>
      <w:pPr>
        <w:tabs>
          <w:tab w:val="left" w:pos="312"/>
        </w:tabs>
      </w:pPr>
    </w:lvl>
  </w:abstractNum>
  <w:abstractNum w:abstractNumId="5">
    <w:nsid w:val="6B930280"/>
    <w:multiLevelType w:val="singleLevel"/>
    <w:tmpl w:val="6B930280"/>
    <w:lvl w:ilvl="0" w:tentative="0">
      <w:start w:val="4"/>
      <w:numFmt w:val="chineseCounting"/>
      <w:suff w:val="nothing"/>
      <w:lvlText w:val="（%1）"/>
      <w:lvlJc w:val="left"/>
      <w:rPr>
        <w:rFonts w:hint="eastAsia"/>
      </w:rPr>
    </w:lvl>
  </w:abstractNum>
  <w:abstractNum w:abstractNumId="6">
    <w:nsid w:val="78AB54BA"/>
    <w:multiLevelType w:val="singleLevel"/>
    <w:tmpl w:val="78AB54BA"/>
    <w:lvl w:ilvl="0" w:tentative="0">
      <w:start w:val="5"/>
      <w:numFmt w:val="chineseCounting"/>
      <w:suff w:val="nothing"/>
      <w:lvlText w:val="%1、"/>
      <w:lvlJc w:val="left"/>
      <w:rPr>
        <w:rFonts w:hint="eastAsia"/>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YzViYjJjZGQ2MmU0NTRiOTc3NjE0OWI3NDA3NWU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288C"/>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3FE0"/>
    <w:rsid w:val="003216A9"/>
    <w:rsid w:val="00361959"/>
    <w:rsid w:val="0037013F"/>
    <w:rsid w:val="00380C92"/>
    <w:rsid w:val="003A01FD"/>
    <w:rsid w:val="003A484F"/>
    <w:rsid w:val="003A5684"/>
    <w:rsid w:val="003B0BE0"/>
    <w:rsid w:val="003B0C1B"/>
    <w:rsid w:val="003B688C"/>
    <w:rsid w:val="003C0291"/>
    <w:rsid w:val="003C39AE"/>
    <w:rsid w:val="003C7B60"/>
    <w:rsid w:val="003D1FB2"/>
    <w:rsid w:val="003D66DA"/>
    <w:rsid w:val="003E1310"/>
    <w:rsid w:val="003E6F55"/>
    <w:rsid w:val="00406254"/>
    <w:rsid w:val="004134CF"/>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5AD"/>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5719C"/>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A4513"/>
    <w:rsid w:val="008B768C"/>
    <w:rsid w:val="008C4DB1"/>
    <w:rsid w:val="008C4EAF"/>
    <w:rsid w:val="008C5176"/>
    <w:rsid w:val="008C7FD0"/>
    <w:rsid w:val="008D4996"/>
    <w:rsid w:val="008E1DE7"/>
    <w:rsid w:val="008E707C"/>
    <w:rsid w:val="00900B08"/>
    <w:rsid w:val="00902155"/>
    <w:rsid w:val="00902FA3"/>
    <w:rsid w:val="009224FE"/>
    <w:rsid w:val="00923564"/>
    <w:rsid w:val="0092392E"/>
    <w:rsid w:val="009315F9"/>
    <w:rsid w:val="00946945"/>
    <w:rsid w:val="00951248"/>
    <w:rsid w:val="0095152F"/>
    <w:rsid w:val="00954C49"/>
    <w:rsid w:val="0097099F"/>
    <w:rsid w:val="00971997"/>
    <w:rsid w:val="00971FFC"/>
    <w:rsid w:val="0098660A"/>
    <w:rsid w:val="0099249F"/>
    <w:rsid w:val="009931C3"/>
    <w:rsid w:val="009B2C43"/>
    <w:rsid w:val="009B4EAE"/>
    <w:rsid w:val="009B7573"/>
    <w:rsid w:val="009C22F4"/>
    <w:rsid w:val="009C2E98"/>
    <w:rsid w:val="009D3447"/>
    <w:rsid w:val="009D4711"/>
    <w:rsid w:val="009F0157"/>
    <w:rsid w:val="009F1185"/>
    <w:rsid w:val="009F18CD"/>
    <w:rsid w:val="009F2A13"/>
    <w:rsid w:val="00A04EB0"/>
    <w:rsid w:val="00A13CC1"/>
    <w:rsid w:val="00A16847"/>
    <w:rsid w:val="00A237D8"/>
    <w:rsid w:val="00A268C4"/>
    <w:rsid w:val="00A307CD"/>
    <w:rsid w:val="00A40A00"/>
    <w:rsid w:val="00A4142F"/>
    <w:rsid w:val="00A56DF2"/>
    <w:rsid w:val="00A67AB5"/>
    <w:rsid w:val="00A82232"/>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4F2"/>
    <w:rsid w:val="00C35554"/>
    <w:rsid w:val="00C42709"/>
    <w:rsid w:val="00C533CC"/>
    <w:rsid w:val="00C5751C"/>
    <w:rsid w:val="00C61BFC"/>
    <w:rsid w:val="00C62B85"/>
    <w:rsid w:val="00C65438"/>
    <w:rsid w:val="00C70366"/>
    <w:rsid w:val="00C84F2C"/>
    <w:rsid w:val="00C91CBB"/>
    <w:rsid w:val="00CA5F47"/>
    <w:rsid w:val="00CC09B6"/>
    <w:rsid w:val="00CC666F"/>
    <w:rsid w:val="00CD1E3F"/>
    <w:rsid w:val="00CE44F6"/>
    <w:rsid w:val="00CE49DA"/>
    <w:rsid w:val="00CE7B61"/>
    <w:rsid w:val="00D00095"/>
    <w:rsid w:val="00D20620"/>
    <w:rsid w:val="00D26091"/>
    <w:rsid w:val="00D34E7C"/>
    <w:rsid w:val="00D35489"/>
    <w:rsid w:val="00D40F24"/>
    <w:rsid w:val="00D51276"/>
    <w:rsid w:val="00D7035F"/>
    <w:rsid w:val="00DA65AC"/>
    <w:rsid w:val="00DB1913"/>
    <w:rsid w:val="00DC410D"/>
    <w:rsid w:val="00DC5B42"/>
    <w:rsid w:val="00DC604F"/>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C4F07"/>
    <w:rsid w:val="00FD3CC1"/>
    <w:rsid w:val="00FF1E02"/>
    <w:rsid w:val="00FF30B4"/>
    <w:rsid w:val="011C5CF9"/>
    <w:rsid w:val="01EF28A3"/>
    <w:rsid w:val="03BA19F2"/>
    <w:rsid w:val="03FC47B6"/>
    <w:rsid w:val="04043290"/>
    <w:rsid w:val="04126867"/>
    <w:rsid w:val="047B7213"/>
    <w:rsid w:val="05BD0F92"/>
    <w:rsid w:val="06383705"/>
    <w:rsid w:val="06C77388"/>
    <w:rsid w:val="080A5427"/>
    <w:rsid w:val="08CE3609"/>
    <w:rsid w:val="093B0B27"/>
    <w:rsid w:val="0A0C6AFB"/>
    <w:rsid w:val="0A9816A5"/>
    <w:rsid w:val="0AC949C7"/>
    <w:rsid w:val="0C073B1B"/>
    <w:rsid w:val="0C3E708E"/>
    <w:rsid w:val="0D82748E"/>
    <w:rsid w:val="0DAF3015"/>
    <w:rsid w:val="0DD75DFA"/>
    <w:rsid w:val="0DEB346B"/>
    <w:rsid w:val="0E6B3626"/>
    <w:rsid w:val="0EB63B25"/>
    <w:rsid w:val="0ECF13E3"/>
    <w:rsid w:val="0F2752BD"/>
    <w:rsid w:val="100D315F"/>
    <w:rsid w:val="10572C73"/>
    <w:rsid w:val="10602865"/>
    <w:rsid w:val="109F164E"/>
    <w:rsid w:val="10C055FF"/>
    <w:rsid w:val="11250A76"/>
    <w:rsid w:val="1157610A"/>
    <w:rsid w:val="116B47DA"/>
    <w:rsid w:val="11837056"/>
    <w:rsid w:val="11C049A9"/>
    <w:rsid w:val="11CE0850"/>
    <w:rsid w:val="11DA6ACC"/>
    <w:rsid w:val="1290491C"/>
    <w:rsid w:val="13084545"/>
    <w:rsid w:val="13685315"/>
    <w:rsid w:val="13F022A0"/>
    <w:rsid w:val="143A01DA"/>
    <w:rsid w:val="14A01005"/>
    <w:rsid w:val="161F72B5"/>
    <w:rsid w:val="168B0CF9"/>
    <w:rsid w:val="168C3FC5"/>
    <w:rsid w:val="16BB723D"/>
    <w:rsid w:val="16D262AD"/>
    <w:rsid w:val="198F48F2"/>
    <w:rsid w:val="19910AB4"/>
    <w:rsid w:val="199B50A0"/>
    <w:rsid w:val="19DA03B9"/>
    <w:rsid w:val="1A032AA1"/>
    <w:rsid w:val="1A1A50C7"/>
    <w:rsid w:val="1A4C3708"/>
    <w:rsid w:val="1AC61ED4"/>
    <w:rsid w:val="1B2D3CF6"/>
    <w:rsid w:val="1BA47517"/>
    <w:rsid w:val="1C5B3251"/>
    <w:rsid w:val="1C644879"/>
    <w:rsid w:val="1CAE3B7F"/>
    <w:rsid w:val="1D7F7B8D"/>
    <w:rsid w:val="1DD00EB2"/>
    <w:rsid w:val="1E1708BA"/>
    <w:rsid w:val="1E185402"/>
    <w:rsid w:val="1E1E7366"/>
    <w:rsid w:val="1E572BF2"/>
    <w:rsid w:val="1EEB6848"/>
    <w:rsid w:val="1F552C1D"/>
    <w:rsid w:val="1F881244"/>
    <w:rsid w:val="1FD1248D"/>
    <w:rsid w:val="1FDE5D28"/>
    <w:rsid w:val="20623995"/>
    <w:rsid w:val="20BB7CD2"/>
    <w:rsid w:val="21021B25"/>
    <w:rsid w:val="21104932"/>
    <w:rsid w:val="21197FC0"/>
    <w:rsid w:val="211A762B"/>
    <w:rsid w:val="21244BD2"/>
    <w:rsid w:val="2200011E"/>
    <w:rsid w:val="22536AC3"/>
    <w:rsid w:val="22A427AC"/>
    <w:rsid w:val="231C4C21"/>
    <w:rsid w:val="235E66B5"/>
    <w:rsid w:val="240371BF"/>
    <w:rsid w:val="261B0206"/>
    <w:rsid w:val="282B7BB5"/>
    <w:rsid w:val="28AF3297"/>
    <w:rsid w:val="29865CD9"/>
    <w:rsid w:val="29883002"/>
    <w:rsid w:val="299B6018"/>
    <w:rsid w:val="299F012B"/>
    <w:rsid w:val="29AA6BA3"/>
    <w:rsid w:val="29F36422"/>
    <w:rsid w:val="29FD04D3"/>
    <w:rsid w:val="2A3260DD"/>
    <w:rsid w:val="2A777A30"/>
    <w:rsid w:val="2A925F68"/>
    <w:rsid w:val="2ADC359D"/>
    <w:rsid w:val="2B7863F2"/>
    <w:rsid w:val="2C9F5A67"/>
    <w:rsid w:val="2D125029"/>
    <w:rsid w:val="2DBE5937"/>
    <w:rsid w:val="2E787F96"/>
    <w:rsid w:val="2EBB008D"/>
    <w:rsid w:val="2FA00544"/>
    <w:rsid w:val="304F7314"/>
    <w:rsid w:val="30C0092D"/>
    <w:rsid w:val="319F7F4E"/>
    <w:rsid w:val="31B00431"/>
    <w:rsid w:val="31EA2A3D"/>
    <w:rsid w:val="31ED4F37"/>
    <w:rsid w:val="33B73BDF"/>
    <w:rsid w:val="33DE3B5F"/>
    <w:rsid w:val="343719AD"/>
    <w:rsid w:val="343F5BD1"/>
    <w:rsid w:val="34FF7787"/>
    <w:rsid w:val="35001912"/>
    <w:rsid w:val="35242F08"/>
    <w:rsid w:val="3580211E"/>
    <w:rsid w:val="358A6C6B"/>
    <w:rsid w:val="3619454C"/>
    <w:rsid w:val="372B274A"/>
    <w:rsid w:val="38125B86"/>
    <w:rsid w:val="381902DD"/>
    <w:rsid w:val="385162D8"/>
    <w:rsid w:val="389B56ED"/>
    <w:rsid w:val="394A5431"/>
    <w:rsid w:val="3A19119B"/>
    <w:rsid w:val="3A252414"/>
    <w:rsid w:val="3AF00018"/>
    <w:rsid w:val="3B0D4761"/>
    <w:rsid w:val="3B7D25B0"/>
    <w:rsid w:val="3BA42B0A"/>
    <w:rsid w:val="3CA8682B"/>
    <w:rsid w:val="3CCA71C3"/>
    <w:rsid w:val="3E896438"/>
    <w:rsid w:val="3EB65352"/>
    <w:rsid w:val="3F9737B6"/>
    <w:rsid w:val="41A96FC1"/>
    <w:rsid w:val="426055D7"/>
    <w:rsid w:val="42FF3E5C"/>
    <w:rsid w:val="431C6A0C"/>
    <w:rsid w:val="432977EA"/>
    <w:rsid w:val="439B0B7F"/>
    <w:rsid w:val="44524E72"/>
    <w:rsid w:val="44527FBC"/>
    <w:rsid w:val="456A1376"/>
    <w:rsid w:val="45CF49A6"/>
    <w:rsid w:val="47523A73"/>
    <w:rsid w:val="4779105A"/>
    <w:rsid w:val="478F06BF"/>
    <w:rsid w:val="48043D18"/>
    <w:rsid w:val="482B15C5"/>
    <w:rsid w:val="49C45786"/>
    <w:rsid w:val="49E8524F"/>
    <w:rsid w:val="4B230C15"/>
    <w:rsid w:val="4B920F4B"/>
    <w:rsid w:val="4B934DB2"/>
    <w:rsid w:val="4BBD2332"/>
    <w:rsid w:val="4BC30262"/>
    <w:rsid w:val="4BF44F1F"/>
    <w:rsid w:val="4CC2604B"/>
    <w:rsid w:val="4D7C2426"/>
    <w:rsid w:val="4D9D239B"/>
    <w:rsid w:val="4EE92922"/>
    <w:rsid w:val="4EFF2C5B"/>
    <w:rsid w:val="4F2A4649"/>
    <w:rsid w:val="4F404EF0"/>
    <w:rsid w:val="4F482152"/>
    <w:rsid w:val="4F7C71E4"/>
    <w:rsid w:val="4FA5645F"/>
    <w:rsid w:val="4FBD366A"/>
    <w:rsid w:val="504F02CC"/>
    <w:rsid w:val="509C604E"/>
    <w:rsid w:val="50F80249"/>
    <w:rsid w:val="52334308"/>
    <w:rsid w:val="529524B4"/>
    <w:rsid w:val="52D10A96"/>
    <w:rsid w:val="536A5C27"/>
    <w:rsid w:val="543C1451"/>
    <w:rsid w:val="54D24F7C"/>
    <w:rsid w:val="5502784F"/>
    <w:rsid w:val="550E5A70"/>
    <w:rsid w:val="553F64D6"/>
    <w:rsid w:val="558E56B7"/>
    <w:rsid w:val="569D3857"/>
    <w:rsid w:val="56A43EEC"/>
    <w:rsid w:val="56BF45C5"/>
    <w:rsid w:val="56BF4B18"/>
    <w:rsid w:val="57D613A4"/>
    <w:rsid w:val="58F43BC8"/>
    <w:rsid w:val="59630B48"/>
    <w:rsid w:val="5A24166B"/>
    <w:rsid w:val="5BD15037"/>
    <w:rsid w:val="5C1B7E07"/>
    <w:rsid w:val="5C552ABB"/>
    <w:rsid w:val="5ED657C7"/>
    <w:rsid w:val="5FCB6BEE"/>
    <w:rsid w:val="60055F12"/>
    <w:rsid w:val="60A85667"/>
    <w:rsid w:val="60BE55A0"/>
    <w:rsid w:val="60E813A7"/>
    <w:rsid w:val="6106332B"/>
    <w:rsid w:val="61371FE9"/>
    <w:rsid w:val="61B9555C"/>
    <w:rsid w:val="62416333"/>
    <w:rsid w:val="6363261F"/>
    <w:rsid w:val="639B3A9B"/>
    <w:rsid w:val="646B7DB9"/>
    <w:rsid w:val="64894ADC"/>
    <w:rsid w:val="64E04239"/>
    <w:rsid w:val="65EE528E"/>
    <w:rsid w:val="65FD27F7"/>
    <w:rsid w:val="66E00263"/>
    <w:rsid w:val="69B435A1"/>
    <w:rsid w:val="6AF030B8"/>
    <w:rsid w:val="6B5466EC"/>
    <w:rsid w:val="6B954A4C"/>
    <w:rsid w:val="6C125222"/>
    <w:rsid w:val="6C1825D5"/>
    <w:rsid w:val="6D642BFA"/>
    <w:rsid w:val="6D6C6A1E"/>
    <w:rsid w:val="6D7155AC"/>
    <w:rsid w:val="6D814640"/>
    <w:rsid w:val="6DEE29D7"/>
    <w:rsid w:val="6E161169"/>
    <w:rsid w:val="6EB524DD"/>
    <w:rsid w:val="6ED83478"/>
    <w:rsid w:val="6F222EF6"/>
    <w:rsid w:val="6F9C1451"/>
    <w:rsid w:val="6FAC09E0"/>
    <w:rsid w:val="70A0138C"/>
    <w:rsid w:val="71D56B69"/>
    <w:rsid w:val="726B5957"/>
    <w:rsid w:val="72C23FE3"/>
    <w:rsid w:val="734C47CD"/>
    <w:rsid w:val="7388680A"/>
    <w:rsid w:val="742A112D"/>
    <w:rsid w:val="76035BCF"/>
    <w:rsid w:val="764741E2"/>
    <w:rsid w:val="774403BC"/>
    <w:rsid w:val="77FC78D5"/>
    <w:rsid w:val="796226DA"/>
    <w:rsid w:val="79BC0CF8"/>
    <w:rsid w:val="79C127E2"/>
    <w:rsid w:val="79D840D7"/>
    <w:rsid w:val="7AD85FB9"/>
    <w:rsid w:val="7AFC1120"/>
    <w:rsid w:val="7BA158DD"/>
    <w:rsid w:val="7C791A52"/>
    <w:rsid w:val="7C927624"/>
    <w:rsid w:val="7D4C7996"/>
    <w:rsid w:val="7E301A00"/>
    <w:rsid w:val="7E46664E"/>
    <w:rsid w:val="7EA8278A"/>
    <w:rsid w:val="7F275D16"/>
    <w:rsid w:val="7F5941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1I2"/>
    <w:basedOn w:val="3"/>
    <w:next w:val="1"/>
    <w:qFormat/>
    <w:uiPriority w:val="0"/>
    <w:pPr>
      <w:spacing w:after="120"/>
      <w:ind w:left="420" w:leftChars="200" w:firstLine="420" w:firstLineChars="200"/>
      <w:jc w:val="both"/>
      <w:textAlignment w:val="baseline"/>
    </w:pPr>
  </w:style>
  <w:style w:type="paragraph" w:customStyle="1" w:styleId="3">
    <w:name w:val="BodyTextIndent"/>
    <w:basedOn w:val="1"/>
    <w:next w:val="2"/>
    <w:qFormat/>
    <w:uiPriority w:val="0"/>
    <w:pPr>
      <w:spacing w:after="120"/>
      <w:ind w:left="420" w:leftChars="200"/>
      <w:jc w:val="both"/>
      <w:textAlignment w:val="baseline"/>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line="600" w:lineRule="exact"/>
      <w:ind w:firstLine="702"/>
    </w:pPr>
    <w:rPr>
      <w:rFonts w:ascii="仿宋_GB2312" w:eastAsia="仿宋_GB2312"/>
      <w:sz w:val="32"/>
      <w:szCs w:val="2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Body Text First Indent 2"/>
    <w:basedOn w:val="8"/>
    <w:unhideWhenUsed/>
    <w:qFormat/>
    <w:uiPriority w:val="99"/>
    <w:pPr>
      <w:ind w:firstLine="420" w:firstLineChars="200"/>
    </w:p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jc w:val="left"/>
    </w:pPr>
    <w:rPr>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Char"/>
    <w:basedOn w:val="1"/>
    <w:qFormat/>
    <w:uiPriority w:val="0"/>
    <w:pPr>
      <w:widowControl/>
      <w:spacing w:line="240" w:lineRule="exact"/>
      <w:jc w:val="left"/>
    </w:pPr>
    <w:rPr>
      <w:rFonts w:ascii="Verdana" w:hAnsi="Verdana" w:eastAsia="仿宋_GB2312"/>
      <w:kern w:val="0"/>
      <w:sz w:val="24"/>
      <w:szCs w:val="20"/>
      <w:lang w:eastAsia="en-US"/>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列出段落1"/>
    <w:basedOn w:val="1"/>
    <w:qFormat/>
    <w:uiPriority w:val="34"/>
    <w:pPr>
      <w:ind w:firstLine="420" w:firstLineChars="200"/>
    </w:pPr>
  </w:style>
  <w:style w:type="character" w:customStyle="1" w:styleId="31">
    <w:name w:val="标题 1 Char"/>
    <w:basedOn w:val="18"/>
    <w:link w:val="4"/>
    <w:qFormat/>
    <w:uiPriority w:val="9"/>
    <w:rPr>
      <w:rFonts w:ascii="Times New Roman" w:hAnsi="Times New Roman"/>
      <w:b/>
      <w:bCs/>
      <w:kern w:val="44"/>
      <w:sz w:val="44"/>
      <w:szCs w:val="44"/>
    </w:rPr>
  </w:style>
  <w:style w:type="character" w:customStyle="1" w:styleId="32">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6"/>
    <w:qFormat/>
    <w:uiPriority w:val="9"/>
    <w:rPr>
      <w:rFonts w:ascii="Times New Roman" w:hAnsi="Times New Roman"/>
      <w:b/>
      <w:bCs/>
      <w:kern w:val="2"/>
      <w:sz w:val="32"/>
      <w:szCs w:val="32"/>
    </w:rPr>
  </w:style>
  <w:style w:type="paragraph" w:customStyle="1" w:styleId="36">
    <w:name w:val="四号正文"/>
    <w:basedOn w:val="1"/>
    <w:link w:val="38"/>
    <w:qFormat/>
    <w:uiPriority w:val="0"/>
    <w:pPr>
      <w:spacing w:line="360" w:lineRule="auto"/>
    </w:pPr>
    <w:rPr>
      <w:rFonts w:ascii="??" w:hAnsi="??"/>
      <w:color w:val="000000"/>
      <w:kern w:val="0"/>
      <w:sz w:val="28"/>
      <w:szCs w:val="21"/>
    </w:rPr>
  </w:style>
  <w:style w:type="paragraph" w:customStyle="1" w:styleId="37">
    <w:name w:val="List Paragraph"/>
    <w:basedOn w:val="1"/>
    <w:unhideWhenUsed/>
    <w:qFormat/>
    <w:uiPriority w:val="99"/>
    <w:pPr>
      <w:ind w:firstLine="420" w:firstLineChars="200"/>
    </w:pPr>
  </w:style>
  <w:style w:type="character" w:customStyle="1" w:styleId="38">
    <w:name w:val="四号正文 Char"/>
    <w:basedOn w:val="18"/>
    <w:link w:val="36"/>
    <w:qFormat/>
    <w:uiPriority w:val="0"/>
    <w:rPr>
      <w:rFonts w:ascii="??" w:hAnsi="??"/>
      <w:color w:val="000000"/>
      <w:sz w:val="28"/>
      <w:szCs w:val="21"/>
    </w:rPr>
  </w:style>
  <w:style w:type="paragraph" w:customStyle="1" w:styleId="3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2AF6E-1AAD-465F-8AAF-C8C3E2BEAFB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10669</Words>
  <Characters>11725</Characters>
  <Lines>93</Lines>
  <Paragraphs>26</Paragraphs>
  <TotalTime>0</TotalTime>
  <ScaleCrop>false</ScaleCrop>
  <LinksUpToDate>false</LinksUpToDate>
  <CharactersWithSpaces>11864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2020-09-24T08:14:00Z</dcterms:created>
  <dc:creator>张彬茜</dc:creator>
  <cp:lastModifiedBy>123</cp:lastModifiedBy>
  <cp:lastPrinted>2020-09-24T08:07:00Z</cp:lastPrinted>
  <dcterms:modified xsi:type="dcterms:W3CDTF">2022-09-27T06:15:39Z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75315EC505F743B4AFBD9F333FDE457F</vt:lpwstr>
  </property>
</Properties>
</file>