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B1FD9">
      <w:pPr>
        <w:rPr>
          <w:rFonts w:asciiTheme="minorEastAsia" w:hAnsiTheme="minorEastAsia" w:eastAsiaTheme="minorEastAsia"/>
          <w:b/>
          <w:sz w:val="72"/>
          <w:szCs w:val="72"/>
        </w:rPr>
      </w:pPr>
      <w:bookmarkStart w:id="0" w:name="_Toc15306267"/>
      <w:bookmarkStart w:id="1" w:name="_Toc15396475"/>
      <w:bookmarkStart w:id="2" w:name="_Toc15396597"/>
      <w:bookmarkStart w:id="3" w:name="_Toc15377193"/>
      <w:bookmarkStart w:id="4" w:name="_Toc15377425"/>
      <w:bookmarkStart w:id="5" w:name="_Toc15378441"/>
    </w:p>
    <w:p w14:paraId="749E7F6B">
      <w:pPr>
        <w:pStyle w:val="6"/>
        <w:ind w:firstLine="0"/>
      </w:pPr>
    </w:p>
    <w:p w14:paraId="58634DD5">
      <w:pPr>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End w:id="0"/>
      <w:bookmarkEnd w:id="1"/>
      <w:bookmarkEnd w:id="2"/>
      <w:bookmarkEnd w:id="3"/>
      <w:bookmarkEnd w:id="4"/>
      <w:bookmarkStart w:id="6" w:name="_Toc15396598"/>
      <w:bookmarkStart w:id="7" w:name="_Toc15377426"/>
      <w:bookmarkStart w:id="8" w:name="_Toc15377194"/>
      <w:bookmarkStart w:id="9" w:name="_Toc15378442"/>
      <w:bookmarkStart w:id="10" w:name="_Toc15306268"/>
      <w:bookmarkStart w:id="11" w:name="_Toc15396476"/>
    </w:p>
    <w:p w14:paraId="243988F6">
      <w:pPr>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四川省阿坝州松潘县统计局单位决算</w:t>
      </w:r>
      <w:bookmarkEnd w:id="6"/>
      <w:bookmarkEnd w:id="7"/>
      <w:bookmarkEnd w:id="8"/>
      <w:bookmarkEnd w:id="9"/>
      <w:bookmarkEnd w:id="10"/>
      <w:bookmarkEnd w:id="11"/>
    </w:p>
    <w:p w14:paraId="3B4FFCFB">
      <w:pPr>
        <w:pStyle w:val="6"/>
      </w:pPr>
    </w:p>
    <w:p w14:paraId="2EEEADB5">
      <w:pPr>
        <w:pStyle w:val="6"/>
      </w:pPr>
    </w:p>
    <w:p w14:paraId="07E7054B">
      <w:pPr>
        <w:pStyle w:val="6"/>
      </w:pPr>
    </w:p>
    <w:p w14:paraId="0AE6101F">
      <w:pPr>
        <w:pStyle w:val="6"/>
      </w:pPr>
    </w:p>
    <w:p w14:paraId="389E22B4">
      <w:pPr>
        <w:pStyle w:val="6"/>
      </w:pPr>
    </w:p>
    <w:p w14:paraId="4E18CD7F">
      <w:pPr>
        <w:pStyle w:val="6"/>
      </w:pPr>
    </w:p>
    <w:p w14:paraId="5372DAB8">
      <w:pPr>
        <w:pStyle w:val="6"/>
      </w:pPr>
    </w:p>
    <w:p w14:paraId="14094E15">
      <w:pPr>
        <w:pStyle w:val="6"/>
      </w:pPr>
    </w:p>
    <w:p w14:paraId="3F513B49">
      <w:pPr>
        <w:pStyle w:val="6"/>
      </w:pPr>
    </w:p>
    <w:p w14:paraId="257E592B">
      <w:pPr>
        <w:pStyle w:val="6"/>
        <w:tabs>
          <w:tab w:val="left" w:pos="3600"/>
        </w:tabs>
      </w:pPr>
      <w:r>
        <w:tab/>
      </w:r>
    </w:p>
    <w:p w14:paraId="16881DA7">
      <w:pPr>
        <w:pStyle w:val="6"/>
      </w:pPr>
    </w:p>
    <w:p w14:paraId="188E1BE5">
      <w:pPr>
        <w:pStyle w:val="6"/>
      </w:pPr>
    </w:p>
    <w:p w14:paraId="5F591D48">
      <w:pPr>
        <w:pStyle w:val="6"/>
      </w:pPr>
    </w:p>
    <w:p w14:paraId="5A0312CB">
      <w:pPr>
        <w:pStyle w:val="6"/>
      </w:pPr>
    </w:p>
    <w:p w14:paraId="63BFA111">
      <w:pPr>
        <w:pStyle w:val="6"/>
      </w:pPr>
    </w:p>
    <w:p w14:paraId="661FCEC3">
      <w:pPr>
        <w:pStyle w:val="6"/>
      </w:pPr>
    </w:p>
    <w:p w14:paraId="4C314B19">
      <w:pPr>
        <w:pStyle w:val="6"/>
      </w:pPr>
    </w:p>
    <w:p w14:paraId="647AFD87">
      <w:pPr>
        <w:pStyle w:val="6"/>
      </w:pPr>
    </w:p>
    <w:p w14:paraId="5D08321F">
      <w:pPr>
        <w:pStyle w:val="6"/>
      </w:pPr>
    </w:p>
    <w:p w14:paraId="11663DF5">
      <w:pPr>
        <w:widowControl/>
        <w:jc w:val="center"/>
        <w:rPr>
          <w:rFonts w:ascii="黑体" w:hAnsi="黑体" w:eastAsia="黑体"/>
          <w:color w:val="auto"/>
          <w:sz w:val="48"/>
          <w:szCs w:val="48"/>
          <w:highlight w:val="none"/>
        </w:rPr>
      </w:pPr>
      <w:r>
        <w:rPr>
          <w:rFonts w:ascii="方正小标宋简体" w:hAnsi="宋体" w:eastAsia="方正小标宋简体"/>
          <w:color w:val="000000"/>
          <w:sz w:val="36"/>
          <w:szCs w:val="36"/>
        </w:rPr>
        <w:br w:type="page"/>
      </w:r>
      <w:bookmarkStart w:id="12" w:name="_Toc15377196"/>
      <w:r>
        <w:rPr>
          <w:rFonts w:hint="eastAsia" w:ascii="黑体" w:hAnsi="黑体" w:eastAsia="黑体"/>
          <w:color w:val="auto"/>
          <w:sz w:val="48"/>
          <w:szCs w:val="48"/>
          <w:highlight w:val="none"/>
        </w:rPr>
        <w:t>目录</w:t>
      </w:r>
    </w:p>
    <w:p w14:paraId="6A457039">
      <w:pPr>
        <w:widowControl/>
        <w:jc w:val="center"/>
        <w:rPr>
          <w:rFonts w:ascii="黑体" w:hAnsi="黑体" w:eastAsia="黑体" w:cs="Times New Roman"/>
          <w:color w:val="auto"/>
          <w:sz w:val="28"/>
          <w:szCs w:val="28"/>
          <w:highlight w:val="none"/>
        </w:rPr>
      </w:pPr>
    </w:p>
    <w:p w14:paraId="03179100">
      <w:pPr>
        <w:pStyle w:val="15"/>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16</w:t>
      </w:r>
      <w:r>
        <w:rPr>
          <w:rFonts w:hint="eastAsia"/>
          <w:color w:val="auto"/>
          <w:highlight w:val="none"/>
        </w:rPr>
        <w:t>日</w:t>
      </w:r>
    </w:p>
    <w:p w14:paraId="5B84A5CE">
      <w:pPr>
        <w:rPr>
          <w:color w:val="auto"/>
          <w:highlight w:val="none"/>
        </w:rPr>
      </w:pPr>
    </w:p>
    <w:p w14:paraId="5A5B5AFD">
      <w:pPr>
        <w:pStyle w:val="15"/>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14:paraId="344C48E3">
      <w:pPr>
        <w:pStyle w:val="18"/>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p>
    <w:p w14:paraId="1D34D0FC">
      <w:pPr>
        <w:pStyle w:val="18"/>
        <w:adjustRightInd w:val="0"/>
        <w:snapToGrid w:val="0"/>
        <w:spacing w:line="440" w:lineRule="exact"/>
        <w:jc w:val="left"/>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p>
    <w:p w14:paraId="2EEF98EE">
      <w:pPr>
        <w:pStyle w:val="15"/>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lang w:eastAsia="zh-CN"/>
        </w:rPr>
        <w:t>单位</w:t>
      </w:r>
      <w:r>
        <w:rPr>
          <w:rFonts w:hint="eastAsia"/>
          <w:color w:val="auto"/>
          <w:sz w:val="24"/>
          <w:highlight w:val="none"/>
        </w:rPr>
        <w:t>决算情况说明</w:t>
      </w:r>
    </w:p>
    <w:p w14:paraId="4BD9E6B4">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一、收入支出决算总体情况说明</w:t>
      </w:r>
    </w:p>
    <w:p w14:paraId="6C3329B6">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二、收入决算情况说明</w:t>
      </w:r>
    </w:p>
    <w:p w14:paraId="6F0587A4">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三、支出决算情况说明</w:t>
      </w:r>
    </w:p>
    <w:p w14:paraId="063ED584">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四、财政拨款收入支出决算总体情况说明</w:t>
      </w:r>
    </w:p>
    <w:p w14:paraId="50F818D6">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五、一般公共预算财政拨款支出决算情况说明</w:t>
      </w:r>
    </w:p>
    <w:p w14:paraId="7AEF01FF">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六、一般公共预算财政拨款基本支出决算情况说明</w:t>
      </w:r>
    </w:p>
    <w:p w14:paraId="2DD04EFB">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p>
    <w:p w14:paraId="2F0C03AA">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八、政府性基金预算支出决算情况说明</w:t>
      </w:r>
    </w:p>
    <w:p w14:paraId="54923C9D">
      <w:pPr>
        <w:pStyle w:val="18"/>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p>
    <w:p w14:paraId="399EA504">
      <w:pPr>
        <w:pStyle w:val="18"/>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p>
    <w:p w14:paraId="11DADE4B">
      <w:pPr>
        <w:pStyle w:val="15"/>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14:paraId="6E97FC68">
      <w:pPr>
        <w:pStyle w:val="15"/>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14:paraId="6578C704">
      <w:pPr>
        <w:pStyle w:val="15"/>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14:paraId="19CD3822">
      <w:pPr>
        <w:pStyle w:val="18"/>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45C69271">
      <w:pPr>
        <w:pStyle w:val="18"/>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1CB4EDA1">
      <w:pPr>
        <w:pStyle w:val="18"/>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60A7FE30">
      <w:pPr>
        <w:pStyle w:val="18"/>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631BBEAE">
      <w:pPr>
        <w:pStyle w:val="18"/>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5B0C2460">
      <w:pPr>
        <w:pStyle w:val="18"/>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5F8492E2">
      <w:pPr>
        <w:pStyle w:val="18"/>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4079CC57">
      <w:pPr>
        <w:pStyle w:val="18"/>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5C4C94BC">
      <w:pPr>
        <w:pStyle w:val="18"/>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14CBB5E4">
      <w:pPr>
        <w:pStyle w:val="18"/>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00EF5100">
      <w:pPr>
        <w:pStyle w:val="18"/>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43F67858">
      <w:pPr>
        <w:pStyle w:val="18"/>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6EE6714D">
      <w:pPr>
        <w:pStyle w:val="18"/>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14:paraId="24AFC524">
      <w:pPr>
        <w:pStyle w:val="6"/>
      </w:pPr>
      <w:r>
        <w:rPr>
          <w:rFonts w:ascii="仿宋" w:hAnsi="仿宋" w:eastAsia="仿宋"/>
          <w:b/>
          <w:color w:val="auto"/>
          <w:sz w:val="24"/>
          <w:highlight w:val="none"/>
        </w:rPr>
        <w:br w:type="page"/>
      </w:r>
    </w:p>
    <w:p w14:paraId="1D444F34">
      <w:pPr>
        <w:pStyle w:val="3"/>
        <w:jc w:val="center"/>
        <w:rPr>
          <w:rFonts w:ascii="黑体" w:hAnsi="黑体" w:eastAsia="黑体" w:cs="黑体"/>
          <w:b w:val="0"/>
          <w:bCs w:val="0"/>
        </w:rPr>
      </w:pPr>
      <w:bookmarkStart w:id="13" w:name="_Toc111208495"/>
      <w:bookmarkStart w:id="14" w:name="_Toc113981009"/>
      <w:r>
        <w:rPr>
          <w:rFonts w:hint="eastAsia" w:ascii="黑体" w:hAnsi="黑体" w:eastAsia="黑体" w:cs="黑体"/>
        </w:rPr>
        <w:t xml:space="preserve">第一部分 </w:t>
      </w:r>
      <w:r>
        <w:rPr>
          <w:rStyle w:val="32"/>
          <w:rFonts w:hint="eastAsia" w:ascii="黑体" w:hAnsi="黑体" w:eastAsia="黑体" w:cs="黑体"/>
          <w:b/>
          <w:bCs w:val="0"/>
          <w:lang w:eastAsia="zh-CN"/>
        </w:rPr>
        <w:t>单位</w:t>
      </w:r>
      <w:r>
        <w:rPr>
          <w:rStyle w:val="32"/>
          <w:rFonts w:hint="eastAsia" w:ascii="黑体" w:hAnsi="黑体" w:eastAsia="黑体" w:cs="黑体"/>
          <w:b/>
          <w:bCs w:val="0"/>
        </w:rPr>
        <w:t>概况</w:t>
      </w:r>
      <w:bookmarkEnd w:id="12"/>
      <w:bookmarkEnd w:id="13"/>
      <w:bookmarkEnd w:id="14"/>
    </w:p>
    <w:p w14:paraId="6FFB303F">
      <w:pPr>
        <w:pStyle w:val="4"/>
        <w:ind w:firstLine="643" w:firstLineChars="200"/>
        <w:rPr>
          <w:rFonts w:hint="eastAsia" w:ascii="黑体" w:eastAsia="黑体" w:cs="Times New Roman"/>
          <w:bCs w:val="0"/>
          <w:color w:val="000000"/>
          <w:lang w:eastAsia="zh-CN"/>
        </w:rPr>
      </w:pPr>
      <w:bookmarkStart w:id="15" w:name="_Toc113981010"/>
      <w:bookmarkStart w:id="16" w:name="_Toc15377197"/>
      <w:bookmarkStart w:id="17" w:name="_Toc111208496"/>
      <w:r>
        <w:rPr>
          <w:rFonts w:hint="eastAsia" w:ascii="黑体" w:eastAsia="黑体" w:cs="Times New Roman"/>
          <w:bCs w:val="0"/>
          <w:color w:val="000000"/>
        </w:rPr>
        <w:t>一、</w:t>
      </w:r>
      <w:bookmarkEnd w:id="15"/>
      <w:bookmarkEnd w:id="16"/>
      <w:bookmarkEnd w:id="17"/>
      <w:bookmarkStart w:id="18" w:name="_Toc15378445"/>
      <w:bookmarkStart w:id="19" w:name="_Toc15377198"/>
      <w:r>
        <w:rPr>
          <w:rFonts w:hint="eastAsia" w:ascii="黑体" w:eastAsia="黑体" w:cs="Times New Roman"/>
          <w:bCs w:val="0"/>
          <w:color w:val="000000"/>
          <w:lang w:eastAsia="zh-CN"/>
        </w:rPr>
        <w:t>主要职责</w:t>
      </w:r>
    </w:p>
    <w:bookmarkEnd w:id="18"/>
    <w:bookmarkEnd w:id="19"/>
    <w:p w14:paraId="53307A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1.贯彻执行国家有关统计工作的方针、政策和</w:t>
      </w:r>
      <w:r>
        <w:rPr>
          <w:rFonts w:hint="eastAsia" w:ascii="仿宋" w:hAnsi="仿宋" w:eastAsia="仿宋"/>
          <w:color w:val="000000"/>
          <w:sz w:val="32"/>
          <w:szCs w:val="32"/>
          <w:lang w:eastAsia="zh-CN"/>
        </w:rPr>
        <w:t>法律法规</w:t>
      </w:r>
      <w:r>
        <w:rPr>
          <w:rFonts w:ascii="仿宋" w:hAnsi="仿宋" w:eastAsia="仿宋"/>
          <w:color w:val="000000"/>
          <w:sz w:val="32"/>
          <w:szCs w:val="32"/>
        </w:rPr>
        <w:t>，承担组织领导和综合协调全县统计工作，确保统计数据真实、准确、及时的责任。</w:t>
      </w:r>
    </w:p>
    <w:p w14:paraId="0DCACD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2.建立健全全县国民经济核算体系，组织实施全县国民经济核算制度，核算全县生产总值，整理提供国民经济核算资料，开展分析研究。</w:t>
      </w:r>
    </w:p>
    <w:p w14:paraId="10AA16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3.组织实施农林牧渔业、工业、建筑业、批发和零售业、住宿和餐饮业、房地产业等国民经济行业以及能源、投资、人口、收入、科技、社会发展基本情况、环境基本状况等领域的统计调查，建立全县经济社会发展监测评价制度及指标体系，对重点区域和重要领域实施监测评价，牵头综合整理和提供资源、房屋、旅游、教育、卫生、邮电、交通运输、社会保障、公用事业、对外贸易、对外经济等全县基本统计资料。</w:t>
      </w:r>
    </w:p>
    <w:p w14:paraId="61C084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4.组织实施人口、经济、农业等普查和重大国情国力专项调查，组织实施全县投入产出调查。
</w:t>
      </w:r>
    </w:p>
    <w:p w14:paraId="0A58E7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5.建立健全全县统计数据质量审核、监控和评估制度，依法对各乡镇、各部门重要统计数据进行审核、监控和评估，组织指导统计基层基础建设。
</w:t>
      </w:r>
    </w:p>
    <w:p w14:paraId="795F4C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6.对国民经济、社会发展、科技进步和资源环境等情况进行统计分析和预测，定期发布全县统计社会发展情况的统计信息，向县委、县政府及有关部门提供统计咨询建议，向社会公众提供统计信息服务。
</w:t>
      </w:r>
    </w:p>
    <w:p w14:paraId="309632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7.协助州局做好全县统计专业资格考试和从业资格认定工作，指导全县统计专业人才队伍建设及职务评聘，开展统计交流与合作，监督管理地方政府统计部门由省级财政和县级财政提供的统计经费。
</w:t>
      </w:r>
    </w:p>
    <w:p w14:paraId="2E68EB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8.制定全县各乡镇、各部门统计数据库网络的基本标准和运行规则；建立健全全县统计数据库系统的统计信息自动化系统，建立健全县直部门统计信息共享制度，指导地方统计住处化建设。
</w:t>
      </w:r>
    </w:p>
    <w:p w14:paraId="631681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pPr>
      <w:r>
        <w:rPr>
          <w:rFonts w:ascii="仿宋" w:hAnsi="仿宋" w:eastAsia="仿宋"/>
          <w:color w:val="000000"/>
          <w:sz w:val="32"/>
          <w:szCs w:val="32"/>
        </w:rPr>
        <w:t xml:space="preserve">9.承办县政府交办的其他事项。 </w:t>
      </w:r>
    </w:p>
    <w:p w14:paraId="1E97B1A5">
      <w:pPr>
        <w:pStyle w:val="4"/>
        <w:ind w:firstLine="643" w:firstLineChars="200"/>
        <w:rPr>
          <w:rFonts w:ascii="黑体" w:eastAsia="黑体" w:cs="Times New Roman"/>
          <w:bCs w:val="0"/>
          <w:color w:val="000000"/>
        </w:rPr>
      </w:pPr>
      <w:bookmarkStart w:id="20" w:name="_Toc113981011"/>
      <w:bookmarkStart w:id="21" w:name="_Toc15377200"/>
      <w:bookmarkStart w:id="22" w:name="_Toc111208497"/>
      <w:r>
        <w:rPr>
          <w:rFonts w:hint="eastAsia" w:ascii="黑体" w:eastAsia="黑体" w:cs="Times New Roman"/>
          <w:bCs w:val="0"/>
          <w:color w:val="000000"/>
        </w:rPr>
        <w:t>二、机构设置</w:t>
      </w:r>
      <w:bookmarkEnd w:id="20"/>
      <w:bookmarkEnd w:id="21"/>
      <w:bookmarkEnd w:id="22"/>
    </w:p>
    <w:p w14:paraId="62EBF0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办公室：协助局领导处理日常工作，综合协调管理局机关行政工作，负责行政效能建设、政务督办和绩效管理工作，承担文秘、会务、政务信息、目标管理、档案管理以及保密、信访、维稳、应急处理和社会治安综合治理等工作；负责局机关后勤保障、车辆管理；配合有关部门组织管理本系统专业资格考试</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统计</w:t>
      </w:r>
      <w:r>
        <w:rPr>
          <w:rFonts w:ascii="仿宋" w:hAnsi="仿宋" w:eastAsia="仿宋"/>
          <w:color w:val="000000"/>
          <w:sz w:val="32"/>
          <w:szCs w:val="32"/>
        </w:rPr>
        <w:t>岗位培训、继续教育和职称评聘工作；负责局机关离退休人员的管理和服务工作；指导本系统的精神文明建设和统计宣传工作。承担机关财务管理；监督管理机关及直属事业单位的国有资产；承担机关和直属事业单位的机构编制和人事管理工作；会同有关部门开展统计专业资格考试、职称评聘工作；协助州局开展统计从业资格认定和继续教育工作，指导全县统计专业人才队伍建设。</w:t>
      </w:r>
    </w:p>
    <w:p w14:paraId="226CB7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国民经济核算综合股：负责对全县国民经济运行状况进行统计、监测、预测和综合分析研究，提出宏观调控咨询建议；对统计数据的使用和提供进行管理、审查；汇总、整理全县的经济、科技、社会综合性统计资料并发布全县统计数据资料。整理提供民族地区综合统计资料。负责全县统计业务目标管理与考核评比工作；研究改革统计调查方法，归口管理部门统计。组织实施全县国民经济、民营经济核算工作；承担国内生产总值、民营经济、投入产出核算工作；提供全县国民经济核算和民营经济资料及有关综合平衡状况分析研究报告；统一核定、管理、公布、出版全县性的基本统计资料，定期发布全县国民经济和社会发展情况的统计信息；组织实施全县统计基层基础建设；对有关数据质量进行检查、评估和统计分析。贯彻执行国家统计</w:t>
      </w:r>
      <w:r>
        <w:rPr>
          <w:rFonts w:hint="eastAsia" w:ascii="仿宋" w:hAnsi="仿宋" w:eastAsia="仿宋"/>
          <w:color w:val="000000"/>
          <w:sz w:val="32"/>
          <w:szCs w:val="32"/>
          <w:lang w:eastAsia="zh-CN"/>
        </w:rPr>
        <w:t>法律法规</w:t>
      </w:r>
      <w:r>
        <w:rPr>
          <w:rFonts w:ascii="仿宋" w:hAnsi="仿宋" w:eastAsia="仿宋"/>
          <w:color w:val="000000"/>
          <w:sz w:val="32"/>
          <w:szCs w:val="32"/>
        </w:rPr>
        <w:t>、制度和国家统计标准；制订地方统计制度和地方统计标准；组织实施全县统计业务的监督管理；依法审批地方的统计调查项目。起草地方统计法规、规章草案，对本局起草的规范性文件进行审核；组织全县统计</w:t>
      </w:r>
      <w:r>
        <w:rPr>
          <w:rFonts w:hint="eastAsia" w:ascii="仿宋" w:hAnsi="仿宋" w:eastAsia="仿宋"/>
          <w:color w:val="000000"/>
          <w:sz w:val="32"/>
          <w:szCs w:val="32"/>
          <w:lang w:eastAsia="zh-CN"/>
        </w:rPr>
        <w:t>法律法规</w:t>
      </w:r>
      <w:r>
        <w:rPr>
          <w:rFonts w:ascii="仿宋" w:hAnsi="仿宋" w:eastAsia="仿宋"/>
          <w:color w:val="000000"/>
          <w:sz w:val="32"/>
          <w:szCs w:val="32"/>
        </w:rPr>
        <w:t>的宣传贯彻和执行检查监督工作；会同有关部门检查处理违反统计法律法规的案件和事件。 
</w:t>
      </w:r>
    </w:p>
    <w:p w14:paraId="63AA43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投资、贸易统计股：负责组织实施全县固定资产投资、建筑业、房地产业、贸易业、餐饮业、旅游业、人口、工资、劳动力的统计；组织实施全县城镇居民收支调查并进行监督检查和预警分析；搜集、整理服务业统计数据，核算全县服务业增加值并提出分析建议；整理和提供固定资产投资、建筑业、房地产、贸易、餐饮企业生产经营活动，服务业、外经外贸、旅游等调查统计数据；组织实施相关专业数据质量检查、评估和统计分析。  
</w:t>
      </w:r>
    </w:p>
    <w:p w14:paraId="7DF6CD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能源、工业、交通、农村经济统计股：实施全县能源、环境基本状况统计，对节能减排、单位GDP能耗，资源循环利用等进行统计监测；配合有关部门开展节能降耗和主要污染物减排目标考核；收集、整理和提供有关统计数据，对有关数据质量进行检查和评估，检查指导有关专业统计基础工作，开展统计分析。负责组织实施全县工业、交通运输、邮电、科技统计和《中国妇女发展纲要</w:t>
      </w:r>
      <w:bookmarkStart w:id="73" w:name="_GoBack"/>
      <w:r>
        <w:rPr>
          <w:rFonts w:hint="eastAsia" w:ascii="仿宋" w:hAnsi="仿宋" w:eastAsia="仿宋"/>
          <w:color w:val="000000"/>
          <w:sz w:val="32"/>
          <w:szCs w:val="32"/>
          <w:lang w:eastAsia="zh-CN"/>
        </w:rPr>
        <w:t>》和</w:t>
      </w:r>
      <w:bookmarkEnd w:id="73"/>
      <w:r>
        <w:rPr>
          <w:rFonts w:hint="eastAsia" w:ascii="仿宋" w:hAnsi="仿宋" w:eastAsia="仿宋"/>
          <w:color w:val="000000"/>
          <w:sz w:val="32"/>
          <w:szCs w:val="32"/>
          <w:lang w:eastAsia="zh-CN"/>
        </w:rPr>
        <w:t>《</w:t>
      </w:r>
      <w:r>
        <w:rPr>
          <w:rFonts w:ascii="仿宋" w:hAnsi="仿宋" w:eastAsia="仿宋"/>
          <w:color w:val="000000"/>
          <w:sz w:val="32"/>
          <w:szCs w:val="32"/>
        </w:rPr>
        <w:t>中国儿童发展纲要》统计调查；整理提供工业、运输、邮电企业生产经营活动及其全行业统计数据，对有关统计数据质量进行检查与评估；负责对全县工业经济产品、产量、产值等各项效益指标的考核，并为县政府提供工业经济目标管理考核依据；组织指导有关专业统计基础工作；进行统计分析。负责全县农村社会和经济统计调查任务，搜集、整理、审核和上报农村经济统计调查数据；对全县农村社会经济运行情况、发展水平、农牧民收入水平进行统计、监测、预测和分析；负责全县乡镇信息系统建设工作；负责对全县农村统计调查人员业务指导和抽样调查网点的管理；开展农村社会经济发展和焦点问题的分析研究并提供相关信息资料。</w:t>
      </w:r>
    </w:p>
    <w:p w14:paraId="077BDD70">
      <w:pPr>
        <w:widowControl/>
        <w:jc w:val="left"/>
        <w:rPr>
          <w:rFonts w:ascii="仿宋_GB2312" w:hAnsi="黑体" w:eastAsia="仿宋_GB2312"/>
          <w:b/>
          <w:bCs/>
          <w:color w:val="000000"/>
          <w:kern w:val="44"/>
          <w:sz w:val="44"/>
          <w:szCs w:val="44"/>
        </w:rPr>
      </w:pPr>
      <w:bookmarkStart w:id="23" w:name="_Toc15377204"/>
      <w:r>
        <w:rPr>
          <w:rFonts w:ascii="仿宋_GB2312" w:hAnsi="黑体" w:eastAsia="仿宋_GB2312"/>
          <w:color w:val="000000"/>
        </w:rPr>
        <w:br w:type="page"/>
      </w:r>
    </w:p>
    <w:p w14:paraId="1E5F38E7">
      <w:pPr>
        <w:pStyle w:val="3"/>
        <w:jc w:val="center"/>
        <w:rPr>
          <w:rFonts w:ascii="黑体" w:hAnsi="黑体" w:eastAsia="黑体" w:cs="黑体"/>
        </w:rPr>
      </w:pPr>
      <w:bookmarkStart w:id="24" w:name="_Toc113981012"/>
      <w:bookmarkStart w:id="25" w:name="_Toc111208498"/>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w:t>
      </w:r>
      <w:r>
        <w:rPr>
          <w:rFonts w:hint="eastAsia" w:ascii="黑体" w:hAnsi="黑体" w:eastAsia="黑体" w:cs="黑体"/>
          <w:lang w:val="en-US" w:eastAsia="zh-CN"/>
        </w:rPr>
        <w:t>4</w:t>
      </w:r>
      <w:r>
        <w:rPr>
          <w:rFonts w:hint="eastAsia" w:ascii="黑体" w:hAnsi="黑体" w:eastAsia="黑体" w:cs="黑体"/>
        </w:rPr>
        <w:t>年度</w:t>
      </w:r>
      <w:r>
        <w:rPr>
          <w:rFonts w:hint="eastAsia" w:ascii="黑体" w:hAnsi="黑体" w:eastAsia="黑体" w:cs="黑体"/>
          <w:lang w:eastAsia="zh-CN"/>
        </w:rPr>
        <w:t>单位</w:t>
      </w:r>
      <w:r>
        <w:rPr>
          <w:rFonts w:hint="eastAsia" w:ascii="黑体" w:hAnsi="黑体" w:eastAsia="黑体" w:cs="黑体"/>
        </w:rPr>
        <w:t>决算情况说明</w:t>
      </w:r>
      <w:bookmarkEnd w:id="23"/>
      <w:bookmarkEnd w:id="24"/>
      <w:bookmarkEnd w:id="25"/>
    </w:p>
    <w:p w14:paraId="62DFD759">
      <w:pPr>
        <w:pStyle w:val="4"/>
        <w:ind w:firstLine="643" w:firstLineChars="200"/>
        <w:rPr>
          <w:rFonts w:ascii="黑体" w:eastAsia="黑体" w:cs="Times New Roman"/>
          <w:bCs w:val="0"/>
          <w:color w:val="000000"/>
        </w:rPr>
      </w:pPr>
      <w:bookmarkStart w:id="26" w:name="_Toc15377205"/>
      <w:bookmarkStart w:id="27" w:name="_Toc113981013"/>
      <w:bookmarkStart w:id="28" w:name="_Toc111208499"/>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14:paraId="1E410F55">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479.7万元，上年结转0万元；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auto"/>
          <w:sz w:val="32"/>
          <w:szCs w:val="32"/>
        </w:rPr>
        <w:t>总计</w:t>
      </w:r>
      <w:r>
        <w:rPr>
          <w:rFonts w:hint="eastAsia" w:ascii="仿宋" w:hAnsi="仿宋" w:eastAsia="仿宋"/>
          <w:color w:val="000000"/>
          <w:sz w:val="32"/>
          <w:szCs w:val="32"/>
          <w:lang w:val="en-US" w:eastAsia="zh-CN"/>
        </w:rPr>
        <w:t>479.7</w:t>
      </w:r>
      <w:r>
        <w:rPr>
          <w:rFonts w:hint="eastAsia" w:ascii="仿宋" w:hAnsi="仿宋" w:eastAsia="仿宋"/>
          <w:color w:val="auto"/>
          <w:sz w:val="32"/>
          <w:szCs w:val="32"/>
        </w:rPr>
        <w:t>万元。与</w:t>
      </w: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200.15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71.6</w:t>
      </w: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66.87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16.2</w:t>
      </w:r>
      <w:r>
        <w:rPr>
          <w:rFonts w:hint="eastAsia" w:ascii="仿宋" w:hAnsi="仿宋" w:eastAsia="仿宋"/>
          <w:color w:val="000000"/>
          <w:sz w:val="32"/>
          <w:szCs w:val="32"/>
        </w:rPr>
        <w:t xml:space="preserve">%。 </w:t>
      </w:r>
    </w:p>
    <w:p w14:paraId="7185AE0B">
      <w:pPr>
        <w:spacing w:line="600" w:lineRule="exact"/>
        <w:ind w:firstLine="640" w:firstLineChars="200"/>
        <w:rPr>
          <w:rFonts w:ascii="仿宋_GB2312" w:hAnsi="仿宋" w:eastAsia="仿宋_GB2312"/>
          <w:color w:val="000000" w:themeColor="text1"/>
          <w:sz w:val="28"/>
          <w:szCs w:val="28"/>
        </w:rPr>
      </w:pPr>
      <w:r>
        <w:rPr>
          <w:rFonts w:hint="eastAsia" w:ascii="仿宋" w:hAnsi="仿宋" w:eastAsia="仿宋"/>
          <w:color w:val="000000"/>
          <w:sz w:val="32"/>
          <w:szCs w:val="32"/>
        </w:rPr>
        <w:t>（图1：收、支决算总计变动情况图）</w:t>
      </w:r>
    </w:p>
    <w:p w14:paraId="31215C8B">
      <w:pPr>
        <w:spacing w:line="600" w:lineRule="exact"/>
        <w:ind w:firstLine="560" w:firstLineChars="200"/>
        <w:jc w:val="center"/>
        <w:rPr>
          <w:rFonts w:ascii="仿宋_GB2312" w:eastAsia="仿宋_GB2312"/>
          <w:color w:val="000000"/>
          <w:sz w:val="28"/>
          <w:szCs w:val="28"/>
        </w:rPr>
      </w:pPr>
    </w:p>
    <w:p w14:paraId="023B952A">
      <w:pPr>
        <w:pStyle w:val="6"/>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109C9E5">
      <w:pPr>
        <w:pStyle w:val="4"/>
        <w:ind w:firstLine="643" w:firstLineChars="200"/>
        <w:rPr>
          <w:rFonts w:ascii="黑体" w:eastAsia="黑体" w:cs="Times New Roman"/>
          <w:bCs w:val="0"/>
          <w:color w:val="000000"/>
        </w:rPr>
      </w:pPr>
      <w:bookmarkStart w:id="29" w:name="_Toc113981014"/>
      <w:bookmarkStart w:id="30" w:name="_Toc15377206"/>
      <w:bookmarkStart w:id="31" w:name="_Toc111208500"/>
      <w:r>
        <w:rPr>
          <w:rFonts w:hint="eastAsia" w:ascii="黑体" w:eastAsia="黑体" w:cs="Times New Roman"/>
          <w:bCs w:val="0"/>
          <w:color w:val="000000"/>
        </w:rPr>
        <w:t>二、收入决算情况说明</w:t>
      </w:r>
      <w:bookmarkEnd w:id="29"/>
      <w:bookmarkEnd w:id="30"/>
      <w:bookmarkEnd w:id="31"/>
    </w:p>
    <w:p w14:paraId="707A0EEC">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479.7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479.7</w:t>
      </w:r>
      <w:r>
        <w:rPr>
          <w:rFonts w:hint="eastAsia" w:ascii="仿宋" w:hAnsi="仿宋" w:eastAsia="仿宋"/>
          <w:color w:val="000000"/>
          <w:sz w:val="32"/>
          <w:szCs w:val="32"/>
        </w:rPr>
        <w:t>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14:paraId="2E2511F3">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14:paraId="79D7C0F0">
      <w:pPr>
        <w:pStyle w:val="17"/>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3570CF">
      <w:pPr>
        <w:pStyle w:val="4"/>
        <w:ind w:firstLine="643" w:firstLineChars="200"/>
        <w:rPr>
          <w:rFonts w:ascii="黑体" w:eastAsia="黑体" w:cs="Times New Roman"/>
          <w:bCs w:val="0"/>
          <w:color w:val="000000"/>
        </w:rPr>
      </w:pPr>
      <w:bookmarkStart w:id="32" w:name="_Toc15377207"/>
      <w:bookmarkStart w:id="33" w:name="_Toc113981015"/>
      <w:bookmarkStart w:id="34" w:name="_Toc111208501"/>
      <w:r>
        <w:rPr>
          <w:rFonts w:hint="eastAsia" w:ascii="黑体" w:eastAsia="黑体" w:cs="Times New Roman"/>
          <w:bCs w:val="0"/>
          <w:color w:val="000000"/>
        </w:rPr>
        <w:t>三、支出决算情况说明</w:t>
      </w:r>
      <w:bookmarkEnd w:id="32"/>
      <w:bookmarkEnd w:id="33"/>
      <w:bookmarkEnd w:id="34"/>
    </w:p>
    <w:p w14:paraId="3DA93A54">
      <w:pPr>
        <w:pStyle w:val="6"/>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szCs w:val="32"/>
        </w:rPr>
        <w:t>年本年支出合计</w:t>
      </w:r>
      <w:r>
        <w:rPr>
          <w:rFonts w:hint="eastAsia" w:ascii="仿宋" w:hAnsi="仿宋" w:eastAsia="仿宋"/>
          <w:color w:val="000000"/>
          <w:sz w:val="32"/>
          <w:szCs w:val="32"/>
          <w:lang w:val="en-US" w:eastAsia="zh-CN"/>
        </w:rPr>
        <w:t>479.7</w:t>
      </w:r>
      <w:r>
        <w:rPr>
          <w:rFonts w:ascii="仿宋" w:hAnsi="仿宋" w:eastAsia="仿宋"/>
          <w:color w:val="000000"/>
          <w:sz w:val="32"/>
          <w:szCs w:val="32"/>
        </w:rPr>
        <w:t>万元，其中：基本支出</w:t>
      </w:r>
      <w:r>
        <w:rPr>
          <w:rFonts w:hint="eastAsia" w:ascii="仿宋" w:hAnsi="仿宋" w:eastAsia="仿宋"/>
          <w:color w:val="000000"/>
          <w:sz w:val="32"/>
          <w:szCs w:val="32"/>
          <w:lang w:val="en-US" w:eastAsia="zh-CN"/>
        </w:rPr>
        <w:t>321.27</w:t>
      </w:r>
      <w:r>
        <w:rPr>
          <w:rFonts w:ascii="仿宋" w:hAnsi="仿宋" w:eastAsia="仿宋"/>
          <w:color w:val="000000"/>
          <w:sz w:val="32"/>
          <w:szCs w:val="32"/>
        </w:rPr>
        <w:t>万元，占</w:t>
      </w:r>
      <w:r>
        <w:rPr>
          <w:rFonts w:hint="eastAsia" w:ascii="仿宋" w:hAnsi="仿宋" w:eastAsia="仿宋"/>
          <w:color w:val="000000"/>
          <w:sz w:val="32"/>
          <w:szCs w:val="32"/>
          <w:lang w:val="en-US" w:eastAsia="zh-CN"/>
        </w:rPr>
        <w:t>66.97</w:t>
      </w:r>
      <w:r>
        <w:rPr>
          <w:rFonts w:ascii="仿宋" w:hAnsi="仿宋" w:eastAsia="仿宋"/>
          <w:color w:val="000000"/>
          <w:sz w:val="32"/>
          <w:szCs w:val="32"/>
        </w:rPr>
        <w:t>%；项目支出</w:t>
      </w:r>
      <w:r>
        <w:rPr>
          <w:rFonts w:hint="eastAsia" w:ascii="仿宋" w:hAnsi="仿宋" w:eastAsia="仿宋"/>
          <w:color w:val="000000"/>
          <w:sz w:val="32"/>
          <w:szCs w:val="32"/>
          <w:lang w:val="en-US" w:eastAsia="zh-CN"/>
        </w:rPr>
        <w:t>158.43</w:t>
      </w:r>
      <w:r>
        <w:rPr>
          <w:rFonts w:ascii="仿宋" w:hAnsi="仿宋" w:eastAsia="仿宋"/>
          <w:color w:val="000000"/>
          <w:sz w:val="32"/>
          <w:szCs w:val="32"/>
        </w:rPr>
        <w:t>万元，占</w:t>
      </w:r>
      <w:r>
        <w:rPr>
          <w:rFonts w:hint="eastAsia" w:ascii="仿宋" w:hAnsi="仿宋" w:eastAsia="仿宋"/>
          <w:color w:val="000000"/>
          <w:sz w:val="32"/>
          <w:szCs w:val="32"/>
          <w:lang w:val="en-US" w:eastAsia="zh-CN"/>
        </w:rPr>
        <w:t>33.03</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14:paraId="03D2D831">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14:paraId="72C7F2F4">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523DD0">
      <w:pPr>
        <w:pStyle w:val="6"/>
      </w:pPr>
    </w:p>
    <w:p w14:paraId="2405A345">
      <w:pPr>
        <w:pStyle w:val="4"/>
        <w:ind w:firstLine="643" w:firstLineChars="200"/>
        <w:rPr>
          <w:rFonts w:ascii="黑体" w:eastAsia="黑体" w:cs="Times New Roman"/>
          <w:bCs w:val="0"/>
          <w:color w:val="000000"/>
        </w:rPr>
      </w:pPr>
      <w:bookmarkStart w:id="35" w:name="_Toc111208502"/>
      <w:bookmarkStart w:id="36" w:name="_Toc113981016"/>
      <w:bookmarkStart w:id="37" w:name="_Toc15377208"/>
      <w:r>
        <w:rPr>
          <w:rFonts w:hint="eastAsia" w:ascii="黑体" w:eastAsia="黑体" w:cs="Times New Roman"/>
          <w:bCs w:val="0"/>
          <w:color w:val="000000"/>
        </w:rPr>
        <w:t>四、财政拨款收入支出决算总体情况说明</w:t>
      </w:r>
      <w:bookmarkEnd w:id="35"/>
      <w:bookmarkEnd w:id="36"/>
      <w:bookmarkEnd w:id="37"/>
    </w:p>
    <w:p w14:paraId="7A2AB60D">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479.7万元，上年结转0万元；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auto"/>
          <w:sz w:val="32"/>
          <w:szCs w:val="32"/>
        </w:rPr>
        <w:t>总计</w:t>
      </w:r>
      <w:r>
        <w:rPr>
          <w:rFonts w:hint="eastAsia" w:ascii="仿宋" w:hAnsi="仿宋" w:eastAsia="仿宋"/>
          <w:color w:val="000000"/>
          <w:sz w:val="32"/>
          <w:szCs w:val="32"/>
          <w:lang w:val="en-US" w:eastAsia="zh-CN"/>
        </w:rPr>
        <w:t>479.7</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000000"/>
          <w:sz w:val="32"/>
          <w:szCs w:val="32"/>
        </w:rPr>
        <w:t>与202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200.15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71.6</w:t>
      </w:r>
      <w:r>
        <w:rPr>
          <w:rFonts w:hint="eastAsia" w:ascii="仿宋" w:hAnsi="仿宋" w:eastAsia="仿宋"/>
          <w:color w:val="000000"/>
          <w:sz w:val="32"/>
          <w:szCs w:val="32"/>
        </w:rPr>
        <w:t xml:space="preserve"> %</w:t>
      </w:r>
      <w:r>
        <w:rPr>
          <w:rFonts w:hint="eastAsia" w:ascii="仿宋" w:hAnsi="仿宋" w:eastAsia="仿宋"/>
          <w:color w:val="000000"/>
          <w:sz w:val="32"/>
          <w:szCs w:val="32"/>
          <w:lang w:eastAsia="zh-CN"/>
        </w:rPr>
        <w:t>，</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66.87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16.2</w:t>
      </w:r>
      <w:r>
        <w:rPr>
          <w:rFonts w:hint="eastAsia" w:ascii="仿宋" w:hAnsi="仿宋" w:eastAsia="仿宋"/>
          <w:color w:val="000000"/>
          <w:sz w:val="32"/>
          <w:szCs w:val="32"/>
        </w:rPr>
        <w:t>%。 （图4：财政拨款收、支决算总计变动情况）</w:t>
      </w:r>
    </w:p>
    <w:p w14:paraId="53F72AEC">
      <w:pPr>
        <w:pStyle w:val="6"/>
        <w:ind w:firstLine="0"/>
      </w:pPr>
    </w:p>
    <w:p w14:paraId="59B36A72">
      <w:pPr>
        <w:pStyle w:val="6"/>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E03A95">
      <w:pPr>
        <w:pStyle w:val="6"/>
        <w:jc w:val="center"/>
      </w:pPr>
    </w:p>
    <w:p w14:paraId="1AB3D55A">
      <w:pPr>
        <w:pStyle w:val="4"/>
        <w:ind w:firstLine="643" w:firstLineChars="200"/>
        <w:rPr>
          <w:rFonts w:ascii="黑体" w:eastAsia="黑体" w:cs="Times New Roman"/>
          <w:bCs w:val="0"/>
          <w:color w:val="000000"/>
        </w:rPr>
      </w:pPr>
      <w:bookmarkStart w:id="38" w:name="_Toc15377209"/>
      <w:bookmarkStart w:id="39" w:name="_Toc111208503"/>
      <w:bookmarkStart w:id="40" w:name="_Toc113981017"/>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14:paraId="25F25404">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14:paraId="36EE08E6">
      <w:pPr>
        <w:spacing w:line="600" w:lineRule="exact"/>
        <w:ind w:firstLine="640" w:firstLineChars="200"/>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479.7</w:t>
      </w:r>
      <w:r>
        <w:rPr>
          <w:rFonts w:hint="eastAsia" w:ascii="仿宋" w:hAnsi="仿宋" w:eastAsia="仿宋"/>
          <w:color w:val="000000"/>
          <w:sz w:val="32"/>
          <w:szCs w:val="32"/>
        </w:rPr>
        <w:t>万元，占本年支出合计的100.00%。与202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相比，一般公共预算财政拨款</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66.87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16.2</w:t>
      </w:r>
      <w:r>
        <w:rPr>
          <w:rFonts w:hint="eastAsia" w:ascii="仿宋" w:hAnsi="仿宋" w:eastAsia="仿宋"/>
          <w:color w:val="000000"/>
          <w:sz w:val="32"/>
          <w:szCs w:val="32"/>
        </w:rPr>
        <w:t>%。</w:t>
      </w:r>
    </w:p>
    <w:p w14:paraId="50B1519D">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14:paraId="5C818C95">
      <w:pPr>
        <w:pStyle w:val="6"/>
        <w:ind w:firstLine="0"/>
        <w:rPr>
          <w:rFonts w:ascii="仿宋_GB2312" w:hAnsi="仿宋" w:eastAsia="仿宋_GB2312"/>
          <w:b/>
          <w:color w:val="000000"/>
          <w:sz w:val="32"/>
          <w:szCs w:val="32"/>
        </w:rPr>
      </w:pPr>
    </w:p>
    <w:p w14:paraId="67811BCF">
      <w:pPr>
        <w:pStyle w:val="6"/>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D2888D">
      <w:pPr>
        <w:pStyle w:val="6"/>
        <w:ind w:firstLine="0"/>
        <w:rPr>
          <w:rFonts w:ascii="仿宋_GB2312" w:hAnsi="仿宋" w:eastAsia="仿宋_GB2312"/>
          <w:b/>
          <w:color w:val="000000"/>
          <w:sz w:val="32"/>
          <w:szCs w:val="32"/>
        </w:rPr>
      </w:pPr>
    </w:p>
    <w:p w14:paraId="35C49323">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p>
    <w:p w14:paraId="556DBF67">
      <w:pPr>
        <w:spacing w:line="600" w:lineRule="exact"/>
        <w:ind w:firstLine="640" w:firstLineChars="200"/>
        <w:rPr>
          <w:rFonts w:ascii="仿宋_GB2312" w:hAnsi="仿宋" w:eastAsia="仿宋_GB2312"/>
          <w:color w:val="000000" w:themeColor="text1"/>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479.7</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一般公共服务支出</w:t>
      </w:r>
      <w:r>
        <w:rPr>
          <w:rFonts w:hint="eastAsia" w:ascii="仿宋" w:hAnsi="仿宋" w:eastAsia="仿宋"/>
          <w:color w:val="000000"/>
          <w:sz w:val="32"/>
          <w:szCs w:val="32"/>
          <w:lang w:val="en-US" w:eastAsia="zh-CN"/>
        </w:rPr>
        <w:t>401.37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83.67</w:t>
      </w:r>
      <w:r>
        <w:rPr>
          <w:rFonts w:hint="eastAsia" w:ascii="仿宋" w:hAnsi="仿宋" w:eastAsia="仿宋"/>
          <w:color w:val="000000"/>
          <w:sz w:val="32"/>
          <w:szCs w:val="32"/>
        </w:rPr>
        <w:t>%；社会保障和就业支出</w:t>
      </w:r>
      <w:r>
        <w:rPr>
          <w:rFonts w:hint="eastAsia" w:ascii="仿宋" w:hAnsi="仿宋" w:eastAsia="仿宋"/>
          <w:color w:val="000000"/>
          <w:sz w:val="32"/>
          <w:szCs w:val="32"/>
          <w:lang w:val="en-US" w:eastAsia="zh-CN"/>
        </w:rPr>
        <w:t>40.21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8.38</w:t>
      </w:r>
      <w:r>
        <w:rPr>
          <w:rFonts w:hint="eastAsia" w:ascii="仿宋" w:hAnsi="仿宋" w:eastAsia="仿宋"/>
          <w:color w:val="000000"/>
          <w:sz w:val="32"/>
          <w:szCs w:val="32"/>
        </w:rPr>
        <w:t>%；卫生健康支出</w:t>
      </w:r>
      <w:r>
        <w:rPr>
          <w:rFonts w:hint="eastAsia" w:ascii="仿宋" w:hAnsi="仿宋" w:eastAsia="仿宋"/>
          <w:color w:val="000000"/>
          <w:sz w:val="32"/>
          <w:szCs w:val="32"/>
          <w:lang w:val="en-US" w:eastAsia="zh-CN"/>
        </w:rPr>
        <w:t>16.47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3.43</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21.65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4.51</w:t>
      </w:r>
      <w:r>
        <w:rPr>
          <w:rFonts w:hint="eastAsia" w:ascii="仿宋" w:hAnsi="仿宋" w:eastAsia="仿宋"/>
          <w:color w:val="000000"/>
          <w:sz w:val="32"/>
          <w:szCs w:val="32"/>
        </w:rPr>
        <w:t>%。</w:t>
      </w:r>
    </w:p>
    <w:p w14:paraId="2AF96C9D">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14:paraId="58F8629E">
      <w:pPr>
        <w:pStyle w:val="6"/>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2929CC">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14:paraId="06DF61FE">
      <w:pPr>
        <w:spacing w:line="600" w:lineRule="exact"/>
        <w:ind w:firstLine="640"/>
        <w:rPr>
          <w:rFonts w:ascii="仿宋" w:hAnsi="仿宋" w:eastAsia="仿宋"/>
          <w:color w:val="000000"/>
          <w:sz w:val="32"/>
          <w:szCs w:val="32"/>
        </w:rPr>
      </w:pPr>
      <w:bookmarkStart w:id="44" w:name="_Toc15378460"/>
      <w:bookmarkStart w:id="45" w:name="_Toc15377444"/>
      <w:bookmarkStart w:id="46" w:name="_Toc15377213"/>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年一般公共预算支出决算数为</w:t>
      </w:r>
      <w:r>
        <w:rPr>
          <w:rFonts w:hint="eastAsia" w:ascii="仿宋" w:hAnsi="仿宋" w:eastAsia="仿宋"/>
          <w:color w:val="000000"/>
          <w:sz w:val="32"/>
          <w:szCs w:val="32"/>
          <w:lang w:val="en-US" w:eastAsia="zh-CN"/>
        </w:rPr>
        <w:t>479.7</w:t>
      </w:r>
      <w:r>
        <w:rPr>
          <w:rFonts w:hint="eastAsia" w:ascii="仿宋" w:hAnsi="仿宋" w:eastAsia="仿宋"/>
          <w:color w:val="000000"/>
          <w:sz w:val="32"/>
          <w:szCs w:val="32"/>
        </w:rPr>
        <w:t>万，完成预算100%。其中：</w:t>
      </w:r>
      <w:bookmarkEnd w:id="44"/>
      <w:bookmarkEnd w:id="45"/>
      <w:bookmarkEnd w:id="46"/>
    </w:p>
    <w:p w14:paraId="2E61711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320" w:firstLineChars="1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rPr>
        <w:t>一般公共服务支出（201）统计信息事务（20105）行政运行（2010501）支出决算</w:t>
      </w:r>
      <w:r>
        <w:rPr>
          <w:rFonts w:hint="eastAsia" w:ascii="仿宋" w:hAnsi="仿宋" w:eastAsia="仿宋"/>
          <w:color w:val="000000"/>
          <w:sz w:val="32"/>
          <w:szCs w:val="32"/>
          <w:lang w:val="en-US" w:eastAsia="zh-CN"/>
        </w:rPr>
        <w:t>232.74</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2.</w:t>
      </w:r>
      <w:r>
        <w:rPr>
          <w:rFonts w:hint="eastAsia" w:ascii="仿宋" w:hAnsi="仿宋" w:eastAsia="仿宋"/>
          <w:color w:val="000000"/>
          <w:sz w:val="32"/>
          <w:szCs w:val="32"/>
        </w:rPr>
        <w:t>一般公共服务支出（201）统计信息事务（20105）</w:t>
      </w:r>
      <w:r>
        <w:rPr>
          <w:rFonts w:hint="eastAsia" w:ascii="仿宋" w:hAnsi="仿宋" w:eastAsia="仿宋"/>
          <w:color w:val="000000"/>
          <w:sz w:val="32"/>
          <w:szCs w:val="32"/>
          <w:lang w:eastAsia="zh-CN"/>
        </w:rPr>
        <w:t>一般行政管理事务</w:t>
      </w:r>
      <w:r>
        <w:rPr>
          <w:rFonts w:hint="eastAsia" w:ascii="仿宋" w:hAnsi="仿宋" w:eastAsia="仿宋"/>
          <w:color w:val="000000"/>
          <w:sz w:val="32"/>
          <w:szCs w:val="32"/>
        </w:rPr>
        <w:t>（201050</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19.89</w:t>
      </w:r>
      <w:r>
        <w:rPr>
          <w:rFonts w:hint="eastAsia" w:ascii="仿宋" w:hAnsi="仿宋" w:eastAsia="仿宋"/>
          <w:color w:val="000000"/>
          <w:sz w:val="32"/>
          <w:szCs w:val="32"/>
        </w:rPr>
        <w:t>万元，完成预算100%。</w:t>
      </w:r>
    </w:p>
    <w:p w14:paraId="0329D2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一般公共服务支出（201）统计信息事务（20105）</w:t>
      </w:r>
      <w:r>
        <w:rPr>
          <w:rFonts w:hint="eastAsia" w:ascii="仿宋" w:hAnsi="仿宋" w:eastAsia="仿宋"/>
          <w:color w:val="000000"/>
          <w:sz w:val="32"/>
          <w:szCs w:val="32"/>
          <w:lang w:eastAsia="zh-CN"/>
        </w:rPr>
        <w:t>专项统计业务</w:t>
      </w:r>
      <w:r>
        <w:rPr>
          <w:rFonts w:hint="eastAsia" w:ascii="仿宋" w:hAnsi="仿宋" w:eastAsia="仿宋"/>
          <w:color w:val="000000"/>
          <w:sz w:val="32"/>
          <w:szCs w:val="32"/>
        </w:rPr>
        <w:t>（201050</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75.22</w:t>
      </w:r>
      <w:r>
        <w:rPr>
          <w:rFonts w:hint="eastAsia" w:ascii="仿宋" w:hAnsi="仿宋" w:eastAsia="仿宋"/>
          <w:color w:val="000000"/>
          <w:sz w:val="32"/>
          <w:szCs w:val="32"/>
        </w:rPr>
        <w:t>万元，完成预算100%。</w:t>
      </w:r>
    </w:p>
    <w:p w14:paraId="5A3E6A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textAlignment w:val="auto"/>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一般公共服务支出（201）统计信息事务（20105）统计管理（2010506）支出决算</w:t>
      </w:r>
      <w:r>
        <w:rPr>
          <w:rFonts w:hint="eastAsia" w:ascii="仿宋" w:hAnsi="仿宋" w:eastAsia="仿宋"/>
          <w:color w:val="000000"/>
          <w:sz w:val="32"/>
          <w:szCs w:val="32"/>
          <w:lang w:val="en-US" w:eastAsia="zh-CN"/>
        </w:rPr>
        <w:t>37.71</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一般公共服务支出（201）统计信息事务（20105）专项普查活动（2010507）支出决算</w:t>
      </w:r>
      <w:r>
        <w:rPr>
          <w:rFonts w:hint="eastAsia" w:ascii="仿宋" w:hAnsi="仿宋" w:eastAsia="仿宋"/>
          <w:color w:val="000000"/>
          <w:sz w:val="32"/>
          <w:szCs w:val="32"/>
          <w:lang w:val="en-US" w:eastAsia="zh-CN"/>
        </w:rPr>
        <w:t>30.47</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一般公共服务支出（201）统计信息事务（20105）其他统计信息事务支出（2010599）支出决算</w:t>
      </w:r>
      <w:r>
        <w:rPr>
          <w:rFonts w:hint="eastAsia" w:ascii="仿宋" w:hAnsi="仿宋" w:eastAsia="仿宋"/>
          <w:color w:val="000000"/>
          <w:sz w:val="32"/>
          <w:szCs w:val="32"/>
          <w:lang w:val="en-US" w:eastAsia="zh-CN"/>
        </w:rPr>
        <w:t>5.34</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7.</w:t>
      </w:r>
      <w:r>
        <w:rPr>
          <w:rFonts w:hint="eastAsia" w:ascii="仿宋" w:hAnsi="仿宋" w:eastAsia="仿宋"/>
          <w:color w:val="000000"/>
          <w:sz w:val="32"/>
          <w:szCs w:val="32"/>
        </w:rPr>
        <w:t>社会保障和就业支出（208）行政事业单位养老支出（20805）机关事业单位基本养老保险缴费支出（2080505）支出决算</w:t>
      </w:r>
      <w:r>
        <w:rPr>
          <w:rFonts w:hint="eastAsia" w:ascii="仿宋" w:hAnsi="仿宋" w:eastAsia="仿宋"/>
          <w:color w:val="000000"/>
          <w:sz w:val="32"/>
          <w:szCs w:val="32"/>
          <w:lang w:val="en-US" w:eastAsia="zh-CN"/>
        </w:rPr>
        <w:t>26.87</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社会保障和就业支出（208）行政事业单位养老支出（20805）机关事业单位职业年金缴费支出（2080506）支出决算</w:t>
      </w:r>
      <w:r>
        <w:rPr>
          <w:rFonts w:hint="eastAsia" w:ascii="仿宋" w:hAnsi="仿宋" w:eastAsia="仿宋"/>
          <w:color w:val="000000"/>
          <w:sz w:val="32"/>
          <w:szCs w:val="32"/>
          <w:lang w:val="en-US" w:eastAsia="zh-CN"/>
        </w:rPr>
        <w:t>13.34</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卫生健康支出（210）行政事业单位医疗（21011）行政单位医疗（2101101）支出决算</w:t>
      </w:r>
      <w:r>
        <w:rPr>
          <w:rFonts w:hint="eastAsia" w:ascii="仿宋" w:hAnsi="仿宋" w:eastAsia="仿宋"/>
          <w:color w:val="000000"/>
          <w:sz w:val="32"/>
          <w:szCs w:val="32"/>
          <w:lang w:val="en-US" w:eastAsia="zh-CN"/>
        </w:rPr>
        <w:t>12.73</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卫生健康支出（210）行政事业单位医疗（21011）公务员医疗补助（2101103）支出决算</w:t>
      </w:r>
      <w:r>
        <w:rPr>
          <w:rFonts w:hint="eastAsia" w:ascii="仿宋" w:hAnsi="仿宋" w:eastAsia="仿宋"/>
          <w:color w:val="000000"/>
          <w:sz w:val="32"/>
          <w:szCs w:val="32"/>
          <w:lang w:val="en-US" w:eastAsia="zh-CN"/>
        </w:rPr>
        <w:t>3.74</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住房保障支出（221）住房改革支出（22102）住房公积金（2210201）支出决算</w:t>
      </w:r>
      <w:r>
        <w:rPr>
          <w:rFonts w:hint="eastAsia" w:ascii="仿宋" w:hAnsi="仿宋" w:eastAsia="仿宋"/>
          <w:color w:val="000000"/>
          <w:sz w:val="32"/>
          <w:szCs w:val="32"/>
          <w:lang w:val="en-US" w:eastAsia="zh-CN"/>
        </w:rPr>
        <w:t>21.65</w:t>
      </w:r>
      <w:r>
        <w:rPr>
          <w:rFonts w:hint="eastAsia" w:ascii="仿宋" w:hAnsi="仿宋" w:eastAsia="仿宋"/>
          <w:color w:val="000000"/>
          <w:sz w:val="32"/>
          <w:szCs w:val="32"/>
        </w:rPr>
        <w:t>万元，完成预算100%。</w:t>
      </w:r>
    </w:p>
    <w:p w14:paraId="3E335E95">
      <w:pPr>
        <w:pStyle w:val="4"/>
        <w:ind w:firstLine="643" w:firstLineChars="200"/>
        <w:rPr>
          <w:rFonts w:ascii="黑体" w:eastAsia="黑体" w:cs="Times New Roman"/>
          <w:b w:val="0"/>
          <w:color w:val="000000"/>
        </w:rPr>
      </w:pPr>
      <w:bookmarkStart w:id="47" w:name="_Toc15377214"/>
      <w:bookmarkStart w:id="48" w:name="_Toc113981018"/>
      <w:bookmarkStart w:id="49" w:name="_Toc111208504"/>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14:paraId="5DC06CA0">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479.7</w:t>
      </w:r>
      <w:r>
        <w:rPr>
          <w:rFonts w:hint="eastAsia" w:ascii="仿宋" w:hAnsi="仿宋" w:eastAsia="仿宋"/>
          <w:color w:val="000000"/>
          <w:sz w:val="32"/>
          <w:szCs w:val="32"/>
        </w:rPr>
        <w:t>万元，其中：</w:t>
      </w:r>
    </w:p>
    <w:p w14:paraId="63962588">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379.59</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53.06</w:t>
      </w:r>
      <w:r>
        <w:rPr>
          <w:rFonts w:hint="eastAsia" w:ascii="仿宋" w:hAnsi="仿宋" w:eastAsia="仿宋"/>
          <w:color w:val="000000"/>
          <w:sz w:val="32"/>
          <w:szCs w:val="32"/>
        </w:rPr>
        <w:t>万元、津贴补贴</w:t>
      </w:r>
      <w:r>
        <w:rPr>
          <w:rFonts w:hint="eastAsia" w:ascii="仿宋" w:hAnsi="仿宋" w:eastAsia="仿宋"/>
          <w:color w:val="000000"/>
          <w:sz w:val="32"/>
          <w:szCs w:val="32"/>
          <w:lang w:val="en-US" w:eastAsia="zh-CN"/>
        </w:rPr>
        <w:t>69.54</w:t>
      </w:r>
      <w:r>
        <w:rPr>
          <w:rFonts w:hint="eastAsia" w:ascii="仿宋" w:hAnsi="仿宋" w:eastAsia="仿宋"/>
          <w:color w:val="000000"/>
          <w:sz w:val="32"/>
          <w:szCs w:val="32"/>
        </w:rPr>
        <w:t>万元、奖金</w:t>
      </w:r>
      <w:r>
        <w:rPr>
          <w:rFonts w:hint="eastAsia" w:ascii="仿宋" w:hAnsi="仿宋" w:eastAsia="仿宋"/>
          <w:color w:val="000000"/>
          <w:sz w:val="32"/>
          <w:szCs w:val="32"/>
          <w:lang w:val="en-US" w:eastAsia="zh-CN"/>
        </w:rPr>
        <w:t>72.3</w:t>
      </w:r>
      <w:r>
        <w:rPr>
          <w:rFonts w:hint="eastAsia" w:ascii="仿宋" w:hAnsi="仿宋" w:eastAsia="仿宋"/>
          <w:color w:val="000000"/>
          <w:sz w:val="32"/>
          <w:szCs w:val="32"/>
        </w:rPr>
        <w:t>万元、机关事业单位基本养老保险缴费</w:t>
      </w:r>
      <w:r>
        <w:rPr>
          <w:rFonts w:hint="eastAsia" w:ascii="仿宋" w:hAnsi="仿宋" w:eastAsia="仿宋"/>
          <w:color w:val="000000"/>
          <w:sz w:val="32"/>
          <w:szCs w:val="32"/>
          <w:lang w:val="en-US" w:eastAsia="zh-CN"/>
        </w:rPr>
        <w:t>26.87</w:t>
      </w:r>
      <w:r>
        <w:rPr>
          <w:rFonts w:hint="eastAsia" w:ascii="仿宋" w:hAnsi="仿宋" w:eastAsia="仿宋"/>
          <w:color w:val="000000"/>
          <w:sz w:val="32"/>
          <w:szCs w:val="32"/>
        </w:rPr>
        <w:t>万元、职业年金缴费</w:t>
      </w:r>
      <w:r>
        <w:rPr>
          <w:rFonts w:hint="eastAsia" w:ascii="仿宋" w:hAnsi="仿宋" w:eastAsia="仿宋"/>
          <w:color w:val="000000"/>
          <w:sz w:val="32"/>
          <w:szCs w:val="32"/>
          <w:lang w:val="en-US" w:eastAsia="zh-CN"/>
        </w:rPr>
        <w:t>13.34</w:t>
      </w:r>
      <w:r>
        <w:rPr>
          <w:rFonts w:hint="eastAsia" w:ascii="仿宋" w:hAnsi="仿宋" w:eastAsia="仿宋"/>
          <w:color w:val="000000"/>
          <w:sz w:val="32"/>
          <w:szCs w:val="32"/>
        </w:rPr>
        <w:t>万元、职工基本医疗保险缴费</w:t>
      </w:r>
      <w:r>
        <w:rPr>
          <w:rFonts w:hint="eastAsia" w:ascii="仿宋" w:hAnsi="仿宋" w:eastAsia="仿宋"/>
          <w:color w:val="000000"/>
          <w:sz w:val="32"/>
          <w:szCs w:val="32"/>
          <w:lang w:val="en-US" w:eastAsia="zh-CN"/>
        </w:rPr>
        <w:t>12.73</w:t>
      </w:r>
      <w:r>
        <w:rPr>
          <w:rFonts w:hint="eastAsia" w:ascii="仿宋" w:hAnsi="仿宋" w:eastAsia="仿宋"/>
          <w:color w:val="000000"/>
          <w:sz w:val="32"/>
          <w:szCs w:val="32"/>
        </w:rPr>
        <w:t>万元、公务员医疗补助缴费</w:t>
      </w:r>
      <w:r>
        <w:rPr>
          <w:rFonts w:hint="eastAsia" w:ascii="仿宋" w:hAnsi="仿宋" w:eastAsia="仿宋"/>
          <w:color w:val="000000"/>
          <w:sz w:val="32"/>
          <w:szCs w:val="32"/>
          <w:lang w:val="en-US" w:eastAsia="zh-CN"/>
        </w:rPr>
        <w:t>3.74</w:t>
      </w:r>
      <w:r>
        <w:rPr>
          <w:rFonts w:hint="eastAsia" w:ascii="仿宋" w:hAnsi="仿宋" w:eastAsia="仿宋"/>
          <w:color w:val="000000"/>
          <w:sz w:val="32"/>
          <w:szCs w:val="32"/>
        </w:rPr>
        <w:t>万元、其他社会保障缴费</w:t>
      </w:r>
      <w:r>
        <w:rPr>
          <w:rFonts w:hint="eastAsia" w:ascii="仿宋" w:hAnsi="仿宋" w:eastAsia="仿宋"/>
          <w:color w:val="000000"/>
          <w:sz w:val="32"/>
          <w:szCs w:val="32"/>
          <w:lang w:val="en-US" w:eastAsia="zh-CN"/>
        </w:rPr>
        <w:t>3.13</w:t>
      </w:r>
      <w:r>
        <w:rPr>
          <w:rFonts w:hint="eastAsia" w:ascii="仿宋" w:hAnsi="仿宋" w:eastAsia="仿宋"/>
          <w:color w:val="000000"/>
          <w:sz w:val="32"/>
          <w:szCs w:val="32"/>
        </w:rPr>
        <w:t>万元、住房公积金</w:t>
      </w:r>
      <w:r>
        <w:rPr>
          <w:rFonts w:hint="eastAsia" w:ascii="仿宋" w:hAnsi="仿宋" w:eastAsia="仿宋"/>
          <w:color w:val="000000"/>
          <w:sz w:val="32"/>
          <w:szCs w:val="32"/>
          <w:lang w:val="en-US" w:eastAsia="zh-CN"/>
        </w:rPr>
        <w:t>21.65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其他工资福利支出</w:t>
      </w:r>
      <w:r>
        <w:rPr>
          <w:rFonts w:hint="eastAsia" w:ascii="仿宋" w:hAnsi="仿宋" w:eastAsia="仿宋"/>
          <w:color w:val="000000"/>
          <w:sz w:val="32"/>
          <w:szCs w:val="32"/>
          <w:lang w:val="en-US" w:eastAsia="zh-CN"/>
        </w:rPr>
        <w:t>20.97</w:t>
      </w:r>
      <w:r>
        <w:rPr>
          <w:rFonts w:hint="eastAsia" w:ascii="仿宋" w:hAnsi="仿宋" w:eastAsia="仿宋"/>
          <w:color w:val="000000"/>
          <w:sz w:val="32"/>
          <w:szCs w:val="32"/>
        </w:rPr>
        <w:t>万元、生活补助</w:t>
      </w:r>
      <w:r>
        <w:rPr>
          <w:rFonts w:hint="eastAsia" w:ascii="仿宋" w:hAnsi="仿宋" w:eastAsia="仿宋"/>
          <w:color w:val="000000"/>
          <w:sz w:val="32"/>
          <w:szCs w:val="32"/>
          <w:lang w:val="en-US" w:eastAsia="zh-CN"/>
        </w:rPr>
        <w:t>82.24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，奖励金</w:t>
      </w:r>
      <w:r>
        <w:rPr>
          <w:rFonts w:hint="eastAsia" w:ascii="仿宋" w:hAnsi="仿宋" w:eastAsia="仿宋"/>
          <w:color w:val="000000"/>
          <w:sz w:val="32"/>
          <w:szCs w:val="32"/>
          <w:lang w:val="en-US" w:eastAsia="zh-CN"/>
        </w:rPr>
        <w:t>0.01万元。</w:t>
      </w:r>
    </w:p>
    <w:p w14:paraId="55947677">
      <w:pPr>
        <w:spacing w:line="600" w:lineRule="exact"/>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rPr>
        <w:t>公用经费</w:t>
      </w:r>
      <w:r>
        <w:rPr>
          <w:rFonts w:hint="eastAsia" w:ascii="仿宋" w:hAnsi="仿宋" w:eastAsia="仿宋"/>
          <w:color w:val="000000"/>
          <w:sz w:val="32"/>
          <w:szCs w:val="32"/>
          <w:lang w:val="en-US" w:eastAsia="zh-CN"/>
        </w:rPr>
        <w:t>100.11</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32.21</w:t>
      </w:r>
      <w:r>
        <w:rPr>
          <w:rFonts w:hint="eastAsia" w:ascii="仿宋" w:hAnsi="仿宋" w:eastAsia="仿宋"/>
          <w:color w:val="000000"/>
          <w:sz w:val="32"/>
          <w:szCs w:val="32"/>
        </w:rPr>
        <w:t>万元、水费</w:t>
      </w:r>
      <w:r>
        <w:rPr>
          <w:rFonts w:hint="eastAsia" w:ascii="仿宋" w:hAnsi="仿宋" w:eastAsia="仿宋"/>
          <w:color w:val="000000"/>
          <w:sz w:val="32"/>
          <w:szCs w:val="32"/>
          <w:lang w:val="en-US" w:eastAsia="zh-CN"/>
        </w:rPr>
        <w:t>0.06</w:t>
      </w:r>
      <w:r>
        <w:rPr>
          <w:rFonts w:hint="eastAsia" w:ascii="仿宋" w:hAnsi="仿宋" w:eastAsia="仿宋"/>
          <w:color w:val="000000"/>
          <w:sz w:val="32"/>
          <w:szCs w:val="32"/>
        </w:rPr>
        <w:t>万元、电费</w:t>
      </w:r>
      <w:r>
        <w:rPr>
          <w:rFonts w:hint="eastAsia" w:ascii="仿宋" w:hAnsi="仿宋" w:eastAsia="仿宋"/>
          <w:color w:val="000000"/>
          <w:sz w:val="32"/>
          <w:szCs w:val="32"/>
          <w:lang w:val="en-US" w:eastAsia="zh-CN"/>
        </w:rPr>
        <w:t>0.98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邮电费</w:t>
      </w:r>
      <w:r>
        <w:rPr>
          <w:rFonts w:hint="eastAsia" w:ascii="仿宋" w:hAnsi="仿宋" w:eastAsia="仿宋"/>
          <w:color w:val="000000"/>
          <w:sz w:val="32"/>
          <w:szCs w:val="32"/>
          <w:lang w:val="en-US" w:eastAsia="zh-CN"/>
        </w:rPr>
        <w:t>3.76万元、</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14.8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维修（护）费</w:t>
      </w:r>
      <w:r>
        <w:rPr>
          <w:rFonts w:hint="eastAsia" w:ascii="仿宋" w:hAnsi="仿宋" w:eastAsia="仿宋"/>
          <w:color w:val="000000"/>
          <w:sz w:val="32"/>
          <w:szCs w:val="32"/>
          <w:lang w:val="en-US" w:eastAsia="zh-CN"/>
        </w:rPr>
        <w:t>19.89万元、培训费2.51万元、劳务费16万元、工会经费2.12万元、</w:t>
      </w:r>
      <w:r>
        <w:rPr>
          <w:rFonts w:hint="eastAsia" w:ascii="仿宋" w:hAnsi="仿宋" w:eastAsia="仿宋"/>
          <w:color w:val="000000"/>
          <w:sz w:val="32"/>
          <w:szCs w:val="32"/>
        </w:rPr>
        <w:t>公务用车运行维护费</w:t>
      </w:r>
      <w:r>
        <w:rPr>
          <w:rFonts w:hint="eastAsia" w:ascii="仿宋" w:hAnsi="仿宋" w:eastAsia="仿宋"/>
          <w:color w:val="000000"/>
          <w:sz w:val="32"/>
          <w:szCs w:val="32"/>
          <w:lang w:val="en-US" w:eastAsia="zh-CN"/>
        </w:rPr>
        <w:t>2.82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、其他交通费用</w:t>
      </w:r>
      <w:r>
        <w:rPr>
          <w:rFonts w:hint="eastAsia" w:ascii="仿宋" w:hAnsi="仿宋" w:eastAsia="仿宋"/>
          <w:color w:val="000000"/>
          <w:sz w:val="32"/>
          <w:szCs w:val="32"/>
          <w:lang w:val="en-US" w:eastAsia="zh-CN"/>
        </w:rPr>
        <w:t>4.96万元。</w:t>
      </w:r>
    </w:p>
    <w:p w14:paraId="47A19634">
      <w:pPr>
        <w:pStyle w:val="4"/>
        <w:ind w:firstLine="643" w:firstLineChars="200"/>
        <w:rPr>
          <w:rFonts w:ascii="黑体" w:eastAsia="黑体" w:cs="Times New Roman"/>
          <w:bCs w:val="0"/>
          <w:color w:val="000000"/>
        </w:rPr>
      </w:pPr>
      <w:bookmarkStart w:id="50" w:name="_Toc15377215"/>
      <w:bookmarkStart w:id="51" w:name="_Toc113981019"/>
      <w:bookmarkStart w:id="52" w:name="_Toc111208505"/>
      <w:r>
        <w:rPr>
          <w:rFonts w:hint="eastAsia" w:ascii="黑体" w:eastAsia="黑体" w:cs="Times New Roman"/>
          <w:bCs w:val="0"/>
          <w:color w:val="000000"/>
        </w:rPr>
        <w:t>七、</w:t>
      </w:r>
      <w:r>
        <w:rPr>
          <w:rFonts w:hint="eastAsia" w:ascii="黑体" w:eastAsia="黑体" w:cs="Times New Roman"/>
          <w:bCs w:val="0"/>
          <w:color w:val="000000"/>
          <w:lang w:eastAsia="zh-CN"/>
        </w:rPr>
        <w:t>财政拨款</w:t>
      </w:r>
      <w:r>
        <w:rPr>
          <w:rFonts w:hint="eastAsia" w:ascii="黑体" w:eastAsia="黑体" w:cs="Times New Roman"/>
          <w:bCs w:val="0"/>
          <w:color w:val="000000"/>
        </w:rPr>
        <w:t>“三公”经费支出决算情况说明</w:t>
      </w:r>
      <w:bookmarkEnd w:id="50"/>
      <w:bookmarkEnd w:id="51"/>
      <w:bookmarkEnd w:id="52"/>
    </w:p>
    <w:p w14:paraId="3DC38FE8">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14:paraId="0D1770A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2.82</w:t>
      </w:r>
      <w:r>
        <w:rPr>
          <w:rFonts w:hint="eastAsia" w:ascii="仿宋" w:hAnsi="仿宋" w:eastAsia="仿宋"/>
          <w:color w:val="000000"/>
          <w:sz w:val="32"/>
          <w:szCs w:val="32"/>
        </w:rPr>
        <w:t>万元，完成预算100.00%。</w:t>
      </w:r>
      <w:bookmarkStart w:id="54" w:name="_Toc15377217"/>
    </w:p>
    <w:p w14:paraId="71E3AA0D">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14:paraId="1D13817B">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w:t>
      </w:r>
      <w:r>
        <w:rPr>
          <w:rFonts w:hint="eastAsia" w:ascii="仿宋" w:hAnsi="仿宋" w:eastAsia="仿宋"/>
          <w:color w:val="000000"/>
          <w:sz w:val="32"/>
          <w:szCs w:val="32"/>
          <w:lang w:val="en-US" w:eastAsia="zh-CN"/>
        </w:rPr>
        <w:t>2.82万元</w:t>
      </w:r>
      <w:r>
        <w:rPr>
          <w:rFonts w:hint="eastAsia" w:ascii="仿宋" w:hAnsi="仿宋" w:eastAsia="仿宋"/>
          <w:color w:val="000000"/>
          <w:sz w:val="32"/>
          <w:szCs w:val="32"/>
        </w:rPr>
        <w:t>，因公出国（境）费支出决算0.00万元，占0.00%；公务用车购置及运行维护费支出决算</w:t>
      </w:r>
      <w:r>
        <w:rPr>
          <w:rFonts w:hint="eastAsia" w:ascii="仿宋" w:hAnsi="仿宋" w:eastAsia="仿宋"/>
          <w:color w:val="000000"/>
          <w:sz w:val="32"/>
          <w:szCs w:val="32"/>
          <w:lang w:val="en-US" w:eastAsia="zh-CN"/>
        </w:rPr>
        <w:t>2.82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万元，占0.00%%。具体情况如下：</w:t>
      </w:r>
    </w:p>
    <w:p w14:paraId="6896F750">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w:t>
      </w:r>
    </w:p>
    <w:p w14:paraId="75E5A9D4">
      <w:pPr>
        <w:pStyle w:val="2"/>
        <w:rPr>
          <w:rFonts w:ascii="仿宋_GB2312" w:hAnsi="仿宋" w:eastAsia="仿宋_GB2312"/>
          <w:color w:val="000000"/>
          <w:sz w:val="32"/>
          <w:szCs w:val="32"/>
        </w:rPr>
      </w:pPr>
      <w:r>
        <w:rPr>
          <w:rFonts w:hint="eastAsia"/>
          <w:lang w:val="en-US" w:eastAsia="zh-CN"/>
        </w:rPr>
        <w:t xml:space="preserve">        </w:t>
      </w:r>
      <w:r>
        <w:drawing>
          <wp:inline distT="0" distB="0" distL="0" distR="0">
            <wp:extent cx="4333240" cy="2886075"/>
            <wp:effectExtent l="0" t="0" r="1016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05A847">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1.因公出国（境）经费支出0.00万元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完成预算100%。全年安排因公出国（境）团组0次，出国（境）0人。因公出国（境）支出决算比202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年增加0.00万元，增加100.00%。</w:t>
      </w:r>
    </w:p>
    <w:p w14:paraId="2E1D364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hint="eastAsia" w:ascii="仿宋" w:hAnsi="仿宋" w:eastAsia="仿宋"/>
          <w:color w:val="000000"/>
          <w:sz w:val="32"/>
          <w:szCs w:val="32"/>
          <w:lang w:val="en-US" w:eastAsia="zh-CN"/>
        </w:rPr>
        <w:t>2.82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完成预算100.00%。公务用车购置及运行维护费支出决算比202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0.18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w:t>
      </w:r>
    </w:p>
    <w:p w14:paraId="61B69AF5">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万元。截至</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月底，单位共有公务用车1辆，其中：轿车0辆、越野车1辆、载客汽车0辆。</w:t>
      </w:r>
    </w:p>
    <w:p w14:paraId="26DA469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hint="eastAsia" w:ascii="仿宋" w:hAnsi="仿宋" w:eastAsia="仿宋"/>
          <w:color w:val="000000"/>
          <w:sz w:val="32"/>
          <w:szCs w:val="32"/>
          <w:lang w:val="en-US" w:eastAsia="zh-CN"/>
        </w:rPr>
        <w:t>2.82</w:t>
      </w:r>
      <w:r>
        <w:rPr>
          <w:rFonts w:hint="eastAsia" w:ascii="仿宋" w:hAnsi="仿宋" w:eastAsia="仿宋"/>
          <w:color w:val="000000"/>
          <w:sz w:val="32"/>
          <w:szCs w:val="32"/>
        </w:rPr>
        <w:t>万元。主要用于</w:t>
      </w:r>
      <w:r>
        <w:rPr>
          <w:rFonts w:hint="eastAsia" w:ascii="仿宋" w:hAnsi="仿宋" w:eastAsia="仿宋"/>
          <w:color w:val="000000"/>
          <w:sz w:val="32"/>
          <w:szCs w:val="32"/>
          <w:lang w:val="en-US" w:eastAsia="zh-CN"/>
        </w:rPr>
        <w:t>公务用车油费、洗车过路费</w:t>
      </w:r>
      <w:r>
        <w:rPr>
          <w:rFonts w:hint="eastAsia" w:ascii="仿宋" w:hAnsi="仿宋" w:eastAsia="仿宋"/>
          <w:color w:val="000000"/>
          <w:sz w:val="32"/>
          <w:szCs w:val="32"/>
        </w:rPr>
        <w:t>。</w:t>
      </w:r>
    </w:p>
    <w:p w14:paraId="49CC7FA0">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.00%。公务接待费支出决算比202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年减少</w:t>
      </w:r>
      <w:r>
        <w:rPr>
          <w:rFonts w:hint="eastAsia" w:ascii="仿宋" w:hAnsi="仿宋" w:eastAsia="仿宋"/>
          <w:color w:val="000000"/>
          <w:sz w:val="32"/>
          <w:szCs w:val="32"/>
          <w:lang w:val="en-US" w:eastAsia="zh-CN"/>
        </w:rPr>
        <w:t>0.18</w:t>
      </w:r>
      <w:r>
        <w:rPr>
          <w:rFonts w:hint="eastAsia" w:ascii="仿宋" w:hAnsi="仿宋" w:eastAsia="仿宋"/>
          <w:color w:val="000000"/>
          <w:sz w:val="32"/>
          <w:szCs w:val="32"/>
        </w:rPr>
        <w:t>万元，减少</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bookmarkStart w:id="55" w:name="_Toc15377218"/>
      <w:r>
        <w:rPr>
          <w:rFonts w:hint="eastAsia" w:ascii="仿宋" w:hAnsi="仿宋" w:eastAsia="仿宋"/>
          <w:color w:val="000000"/>
          <w:sz w:val="32"/>
          <w:szCs w:val="32"/>
        </w:rPr>
        <w:t xml:space="preserve"> </w:t>
      </w:r>
    </w:p>
    <w:p w14:paraId="4D1ACE0B">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国内公务接待支出0.00万元。国内公务接待</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人次（不包括陪同人员），共计支出0.00万元。</w:t>
      </w:r>
    </w:p>
    <w:p w14:paraId="145744EC">
      <w:pPr>
        <w:pStyle w:val="6"/>
        <w:rPr>
          <w:rFonts w:ascii="仿宋" w:hAnsi="仿宋" w:eastAsia="仿宋"/>
          <w:color w:val="000000"/>
          <w:sz w:val="32"/>
          <w:szCs w:val="32"/>
        </w:rPr>
      </w:pPr>
      <w:r>
        <w:rPr>
          <w:rFonts w:hint="eastAsia" w:ascii="仿宋" w:hAnsi="仿宋" w:eastAsia="仿宋"/>
          <w:color w:val="000000"/>
          <w:sz w:val="32"/>
          <w:szCs w:val="32"/>
        </w:rPr>
        <w:t>外事接待支出0.00万元，外事接待0批次，0人，共计支出0.00万元。</w:t>
      </w:r>
    </w:p>
    <w:p w14:paraId="5020DD4B">
      <w:pPr>
        <w:pStyle w:val="4"/>
        <w:ind w:firstLine="643" w:firstLineChars="200"/>
        <w:rPr>
          <w:rFonts w:ascii="黑体" w:eastAsia="黑体" w:cs="Times New Roman"/>
          <w:bCs w:val="0"/>
          <w:color w:val="000000"/>
        </w:rPr>
      </w:pPr>
      <w:bookmarkStart w:id="56" w:name="_Toc111208506"/>
      <w:bookmarkStart w:id="57" w:name="_Toc113981020"/>
      <w:r>
        <w:rPr>
          <w:rFonts w:hint="eastAsia" w:ascii="黑体" w:eastAsia="黑体" w:cs="Times New Roman"/>
          <w:bCs w:val="0"/>
          <w:color w:val="000000"/>
        </w:rPr>
        <w:t>八、政府性基金预算支出决算情况说明</w:t>
      </w:r>
      <w:bookmarkEnd w:id="55"/>
      <w:bookmarkEnd w:id="56"/>
      <w:bookmarkEnd w:id="57"/>
    </w:p>
    <w:p w14:paraId="3F740922">
      <w:pPr>
        <w:spacing w:line="600" w:lineRule="exact"/>
        <w:ind w:firstLine="640"/>
        <w:rPr>
          <w:rFonts w:ascii="仿宋" w:hAnsi="仿宋" w:eastAsia="仿宋"/>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年政府性基金预算拨款支出0.00万元。</w:t>
      </w:r>
      <w:bookmarkStart w:id="58" w:name="_Toc15377219"/>
    </w:p>
    <w:p w14:paraId="3ABD845C">
      <w:pPr>
        <w:pStyle w:val="4"/>
        <w:ind w:firstLine="643" w:firstLineChars="200"/>
        <w:rPr>
          <w:rFonts w:ascii="黑体" w:eastAsia="黑体" w:cs="Times New Roman"/>
          <w:bCs w:val="0"/>
          <w:color w:val="000000"/>
        </w:rPr>
      </w:pPr>
      <w:bookmarkStart w:id="59" w:name="_Toc111208507"/>
      <w:bookmarkStart w:id="60" w:name="_Toc113981021"/>
      <w:r>
        <w:rPr>
          <w:rFonts w:hint="eastAsia" w:ascii="黑体" w:eastAsia="黑体" w:cs="Times New Roman"/>
          <w:bCs w:val="0"/>
          <w:color w:val="000000"/>
        </w:rPr>
        <w:t>九、国有资本经营预算支出决算情况说明</w:t>
      </w:r>
      <w:bookmarkEnd w:id="58"/>
      <w:bookmarkEnd w:id="59"/>
      <w:bookmarkEnd w:id="60"/>
    </w:p>
    <w:p w14:paraId="3E79AE49">
      <w:pPr>
        <w:spacing w:line="600" w:lineRule="exact"/>
        <w:ind w:firstLine="640"/>
        <w:rPr>
          <w:rFonts w:ascii="仿宋" w:hAnsi="仿宋" w:eastAsia="仿宋"/>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年国有资本经营预算拨款支出0.00万元。</w:t>
      </w:r>
    </w:p>
    <w:p w14:paraId="4120B36D">
      <w:pPr>
        <w:pStyle w:val="4"/>
        <w:ind w:firstLine="643" w:firstLineChars="200"/>
        <w:rPr>
          <w:rFonts w:ascii="黑体" w:eastAsia="黑体" w:cs="Times New Roman"/>
          <w:bCs w:val="0"/>
          <w:color w:val="000000"/>
        </w:rPr>
      </w:pPr>
      <w:bookmarkStart w:id="61" w:name="_Toc111208508"/>
      <w:bookmarkStart w:id="62" w:name="_Toc113981022"/>
      <w:bookmarkStart w:id="63" w:name="_Toc15377221"/>
      <w:r>
        <w:rPr>
          <w:rFonts w:hint="eastAsia" w:ascii="黑体" w:eastAsia="黑体" w:cs="Times New Roman"/>
          <w:bCs w:val="0"/>
          <w:color w:val="000000"/>
        </w:rPr>
        <w:t>十、其他重要事项的情况说明</w:t>
      </w:r>
      <w:bookmarkEnd w:id="61"/>
      <w:bookmarkEnd w:id="62"/>
      <w:bookmarkEnd w:id="63"/>
    </w:p>
    <w:p w14:paraId="71E7B740">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14:paraId="408A7D7E">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年，机关运行经费支出</w:t>
      </w:r>
      <w:r>
        <w:rPr>
          <w:rFonts w:hint="eastAsia" w:ascii="仿宋" w:hAnsi="仿宋" w:eastAsia="仿宋"/>
          <w:color w:val="000000"/>
          <w:sz w:val="32"/>
          <w:szCs w:val="32"/>
          <w:lang w:val="en-US" w:eastAsia="zh-CN"/>
        </w:rPr>
        <w:t>100.11</w:t>
      </w:r>
      <w:r>
        <w:rPr>
          <w:rFonts w:hint="eastAsia" w:ascii="仿宋" w:hAnsi="仿宋" w:eastAsia="仿宋"/>
          <w:color w:val="000000"/>
          <w:sz w:val="32"/>
          <w:szCs w:val="32"/>
        </w:rPr>
        <w:t>万元，比202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年增加</w:t>
      </w:r>
      <w:r>
        <w:rPr>
          <w:rFonts w:hint="eastAsia" w:ascii="仿宋" w:hAnsi="仿宋" w:eastAsia="仿宋"/>
          <w:color w:val="000000"/>
          <w:sz w:val="32"/>
          <w:szCs w:val="32"/>
          <w:lang w:val="en-US" w:eastAsia="zh-CN"/>
        </w:rPr>
        <w:t>34.05</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51.54</w:t>
      </w:r>
      <w:r>
        <w:rPr>
          <w:rFonts w:hint="eastAsia" w:ascii="仿宋" w:hAnsi="仿宋" w:eastAsia="仿宋"/>
          <w:color w:val="000000"/>
          <w:sz w:val="32"/>
          <w:szCs w:val="32"/>
        </w:rPr>
        <w:t xml:space="preserve"> %。 </w:t>
      </w:r>
    </w:p>
    <w:p w14:paraId="414FAA41">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14:paraId="0D85F3FB">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政府采购支出总额0.00万元，其中：政府采购货物支出0.00万元、政府采购工程支出0.00万元、政府采购服务支出0.00万元。授予中小企业合同金额0.00万元，其中：授予小微企业合同金额0.00万元，占总合同的0.00%。</w:t>
      </w:r>
    </w:p>
    <w:p w14:paraId="5603B291">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14:paraId="0FF5AA9A">
      <w:pPr>
        <w:spacing w:line="600" w:lineRule="exact"/>
        <w:ind w:firstLine="640"/>
      </w:pPr>
      <w:r>
        <w:rPr>
          <w:rFonts w:hint="eastAsia" w:ascii="仿宋" w:hAnsi="仿宋" w:eastAsia="仿宋"/>
          <w:color w:val="000000"/>
          <w:sz w:val="32"/>
          <w:szCs w:val="32"/>
        </w:rPr>
        <w:t>截至202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日，共有车辆1辆，其中：主要领导干部用车0辆、机要通信用车0辆、应急保障用车0辆、其他用车1辆。单价</w:t>
      </w:r>
      <w:r>
        <w:rPr>
          <w:rFonts w:ascii="仿宋" w:hAnsi="仿宋" w:eastAsia="仿宋"/>
          <w:color w:val="000000"/>
          <w:sz w:val="32"/>
          <w:szCs w:val="32"/>
        </w:rPr>
        <w:t>50</w:t>
      </w:r>
      <w:r>
        <w:rPr>
          <w:rFonts w:hint="eastAsia" w:ascii="仿宋" w:hAnsi="仿宋" w:eastAsia="仿宋"/>
          <w:color w:val="000000"/>
          <w:sz w:val="32"/>
          <w:szCs w:val="32"/>
        </w:rPr>
        <w:t>万元以上通用设备0台（套），单价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r>
        <w:rPr>
          <w:rFonts w:hint="eastAsia"/>
        </w:rPr>
        <w:t xml:space="preserve"> </w:t>
      </w:r>
    </w:p>
    <w:p w14:paraId="30D99085">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0DC6400E">
      <w:pPr>
        <w:pStyle w:val="3"/>
        <w:jc w:val="center"/>
        <w:rPr>
          <w:rFonts w:ascii="黑体" w:hAnsi="黑体" w:eastAsia="黑体" w:cs="黑体"/>
        </w:rPr>
      </w:pPr>
      <w:bookmarkStart w:id="67" w:name="_Toc111208509"/>
      <w:bookmarkStart w:id="68" w:name="_Toc15377225"/>
      <w:bookmarkStart w:id="69" w:name="_Toc113981023"/>
      <w:r>
        <w:rPr>
          <w:rFonts w:hint="eastAsia" w:ascii="黑体" w:hAnsi="黑体" w:eastAsia="黑体" w:cs="黑体"/>
        </w:rPr>
        <w:t>第三部分 名词解释</w:t>
      </w:r>
      <w:bookmarkEnd w:id="67"/>
      <w:bookmarkEnd w:id="68"/>
      <w:bookmarkEnd w:id="69"/>
    </w:p>
    <w:p w14:paraId="4B4BF80D">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14:paraId="7EDC8955">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14:paraId="7F897DCD">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14:paraId="63924AF6">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14:paraId="0B2685E6">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14:paraId="6DD66C9B">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14:paraId="4409ECEA">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14:paraId="7553B20E">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14:paraId="3E7B93C9">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9.一般公共服务支出（201）统计信息事务（20105）行政运行（2010501）：反映行政单位（包括实行公务员管理的事业单位）的基本支出。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10.一般公共服务支出（201）统计信息事务（20105）统计管理（2010506）：反映统计信息化建设、统计执法、统计人员上岗资格认定、职称考试等方面支出。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11.一般公共服务支出（201）统计信息事务（20105）专项普查活动（2010507）：反映统计部门开展</w:t>
      </w:r>
      <w:r>
        <w:rPr>
          <w:rFonts w:hint="eastAsia" w:ascii="仿宋" w:hAnsi="仿宋" w:eastAsia="仿宋"/>
          <w:color w:val="000000"/>
          <w:sz w:val="32"/>
          <w:szCs w:val="32"/>
          <w:lang w:eastAsia="zh-CN"/>
        </w:rPr>
        <w:t>人口普查</w:t>
      </w:r>
      <w:r>
        <w:rPr>
          <w:rFonts w:hint="eastAsia" w:ascii="仿宋" w:hAnsi="仿宋" w:eastAsia="仿宋"/>
          <w:color w:val="000000"/>
          <w:sz w:val="32"/>
          <w:szCs w:val="32"/>
        </w:rPr>
        <w:t>、经济</w:t>
      </w:r>
      <w:r>
        <w:rPr>
          <w:rFonts w:hint="eastAsia" w:ascii="仿宋" w:hAnsi="仿宋" w:eastAsia="仿宋"/>
          <w:color w:val="000000"/>
          <w:sz w:val="32"/>
          <w:szCs w:val="32"/>
          <w:lang w:eastAsia="zh-CN"/>
        </w:rPr>
        <w:t>普查</w:t>
      </w:r>
      <w:r>
        <w:rPr>
          <w:rFonts w:hint="eastAsia" w:ascii="仿宋" w:hAnsi="仿宋" w:eastAsia="仿宋"/>
          <w:color w:val="000000"/>
          <w:sz w:val="32"/>
          <w:szCs w:val="32"/>
        </w:rPr>
        <w:t>、农业</w:t>
      </w:r>
      <w:r>
        <w:rPr>
          <w:rFonts w:hint="eastAsia" w:ascii="仿宋" w:hAnsi="仿宋" w:eastAsia="仿宋"/>
          <w:color w:val="000000"/>
          <w:sz w:val="32"/>
          <w:szCs w:val="32"/>
          <w:lang w:eastAsia="zh-CN"/>
        </w:rPr>
        <w:t>普查</w:t>
      </w:r>
      <w:r>
        <w:rPr>
          <w:rFonts w:hint="eastAsia" w:ascii="仿宋" w:hAnsi="仿宋" w:eastAsia="仿宋"/>
          <w:color w:val="000000"/>
          <w:sz w:val="32"/>
          <w:szCs w:val="32"/>
        </w:rPr>
        <w:t>、投入产出</w:t>
      </w:r>
      <w:r>
        <w:rPr>
          <w:rFonts w:hint="eastAsia" w:ascii="仿宋" w:hAnsi="仿宋" w:eastAsia="仿宋"/>
          <w:color w:val="000000"/>
          <w:sz w:val="32"/>
          <w:szCs w:val="32"/>
          <w:lang w:eastAsia="zh-CN"/>
        </w:rPr>
        <w:t>调查</w:t>
      </w:r>
      <w:r>
        <w:rPr>
          <w:rFonts w:hint="eastAsia" w:ascii="仿宋" w:hAnsi="仿宋" w:eastAsia="仿宋"/>
          <w:color w:val="000000"/>
          <w:sz w:val="32"/>
          <w:szCs w:val="32"/>
        </w:rPr>
        <w:t>等周期性</w:t>
      </w:r>
      <w:r>
        <w:rPr>
          <w:rFonts w:hint="eastAsia" w:ascii="仿宋" w:hAnsi="仿宋" w:eastAsia="仿宋"/>
          <w:color w:val="000000"/>
          <w:sz w:val="32"/>
          <w:szCs w:val="32"/>
          <w:lang w:eastAsia="zh-CN"/>
        </w:rPr>
        <w:t>普查</w:t>
      </w:r>
      <w:r>
        <w:rPr>
          <w:rFonts w:hint="eastAsia" w:ascii="仿宋" w:hAnsi="仿宋" w:eastAsia="仿宋"/>
          <w:color w:val="000000"/>
          <w:sz w:val="32"/>
          <w:szCs w:val="32"/>
        </w:rPr>
        <w:t>工作的支出。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12.一般公共服务支出（201）统计信息事务（20105）其他统计信息事务支出（2010599）：反映除上述项目以外的其他统计信息事务支出。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13.社会保障和就业支出（208）行政事业单位养老支出（20805）机关事业单位基本养老保险缴费支出（2080505）：反映机关事业单位实施养老保险制度由单位缴纳的基本养老保险费支出。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14.社会保障和就业支出（208）行政事业单位养老支出（20805）机关事业单位职业年金缴费支出（2080506）：反映机关事业单位实施养老保险制度由单位实际缴纳的职业年金支出。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15.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16.卫生健康支出（210）行政事业单位医疗（21011）公务员医疗补助（2101103）：反映财政部门安排的公务员医疗补助经费。</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17.住房保障支出（221）住房改革支出（22102）住房公积金（2210201）：反映行政事业单位按人力资源和社会保障部、财政部规定的基本工资和津贴补贴以及规定比例为职工缴纳的住房公积金。</w:t>
      </w:r>
    </w:p>
    <w:p w14:paraId="55E8F00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18.基本支出：指为保障机构正常运转、完成日常工作任务而发生的人员支出和公用支出。</w:t>
      </w:r>
    </w:p>
    <w:p w14:paraId="2EE70A9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14:paraId="57B994C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19.经营支出：指事业单位在专业业务活动及其辅助活动之外开展非独立核算经营活动发生的支出。</w:t>
      </w:r>
    </w:p>
    <w:p w14:paraId="401BFD2C">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29977B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CB9999E">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22.财政应返还额度：为行政事业单位会计核算科目，用于核算实行国库集中支付的行政事业单位应收财政返还的资金额度。</w:t>
      </w:r>
    </w:p>
    <w:p w14:paraId="510067F1">
      <w:pPr>
        <w:widowControl/>
        <w:jc w:val="left"/>
        <w:rPr>
          <w:rStyle w:val="32"/>
          <w:rFonts w:ascii="黑体" w:hAnsi="黑体" w:eastAsia="黑体"/>
        </w:rPr>
      </w:pPr>
      <w:r>
        <w:rPr>
          <w:rStyle w:val="32"/>
          <w:rFonts w:ascii="黑体" w:hAnsi="黑体" w:eastAsia="黑体"/>
        </w:rPr>
        <w:br w:type="page"/>
      </w:r>
    </w:p>
    <w:bookmarkEnd w:id="5"/>
    <w:p w14:paraId="6B98F20D">
      <w:pPr>
        <w:pStyle w:val="3"/>
        <w:jc w:val="center"/>
        <w:rPr>
          <w:rFonts w:ascii="黑体" w:hAnsi="黑体" w:eastAsia="黑体" w:cs="黑体"/>
        </w:rPr>
      </w:pPr>
      <w:bookmarkStart w:id="70" w:name="_Toc113981024"/>
      <w:bookmarkStart w:id="71" w:name="_Toc111208510"/>
      <w:r>
        <w:rPr>
          <w:rFonts w:hint="eastAsia" w:ascii="黑体" w:hAnsi="黑体" w:eastAsia="黑体" w:cs="黑体"/>
        </w:rPr>
        <w:t>第四部分 附件</w:t>
      </w:r>
      <w:bookmarkEnd w:id="70"/>
      <w:bookmarkEnd w:id="71"/>
    </w:p>
    <w:p w14:paraId="264502C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eastAsia="方正小标宋简体" w:cs="Times New Roman"/>
          <w:b w:val="0"/>
          <w:bCs/>
          <w:sz w:val="44"/>
          <w:szCs w:val="44"/>
          <w:highlight w:val="none"/>
          <w:shd w:val="clear" w:color="auto" w:fill="FFFFFF"/>
          <w:lang w:eastAsia="zh-CN"/>
        </w:rPr>
      </w:pPr>
    </w:p>
    <w:p w14:paraId="5B9C70D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eastAsia="方正小标宋简体" w:cs="Times New Roman"/>
          <w:b w:val="0"/>
          <w:bCs/>
          <w:sz w:val="44"/>
          <w:szCs w:val="44"/>
          <w:highlight w:val="none"/>
          <w:shd w:val="clear" w:color="auto" w:fill="FFFFFF"/>
          <w:lang w:eastAsia="zh-CN"/>
        </w:rPr>
      </w:pPr>
      <w:r>
        <w:rPr>
          <w:rFonts w:hint="eastAsia" w:eastAsia="方正小标宋简体" w:cs="Times New Roman"/>
          <w:b w:val="0"/>
          <w:bCs/>
          <w:sz w:val="44"/>
          <w:szCs w:val="44"/>
          <w:highlight w:val="none"/>
          <w:shd w:val="clear" w:color="auto" w:fill="FFFFFF"/>
          <w:lang w:eastAsia="zh-CN"/>
        </w:rPr>
        <w:t>松潘县统计局</w:t>
      </w:r>
    </w:p>
    <w:p w14:paraId="49504EE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cs="Times New Roman"/>
          <w:szCs w:val="32"/>
          <w:highlight w:val="none"/>
          <w:shd w:val="clear" w:color="auto" w:fill="FFFFFF"/>
        </w:rPr>
      </w:pPr>
      <w:r>
        <w:rPr>
          <w:rFonts w:hint="eastAsia" w:eastAsia="方正小标宋简体" w:cs="Times New Roman"/>
          <w:b w:val="0"/>
          <w:bCs/>
          <w:sz w:val="44"/>
          <w:szCs w:val="44"/>
          <w:highlight w:val="none"/>
          <w:shd w:val="clear" w:color="auto" w:fill="FFFFFF"/>
          <w:lang w:val="en-US" w:eastAsia="zh-CN"/>
        </w:rPr>
        <w:t>2024年</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eastAsia="方正小标宋简体" w:cs="Times New Roman"/>
          <w:b w:val="0"/>
          <w:bCs/>
          <w:sz w:val="44"/>
          <w:szCs w:val="44"/>
          <w:highlight w:val="none"/>
          <w:shd w:val="clear" w:color="auto" w:fill="FFFFFF"/>
          <w:lang w:eastAsia="zh-CN"/>
        </w:rPr>
        <w:t>自评</w:t>
      </w:r>
      <w:r>
        <w:rPr>
          <w:rFonts w:hint="default" w:ascii="Times New Roman" w:hAnsi="Times New Roman" w:eastAsia="方正小标宋简体" w:cs="Times New Roman"/>
          <w:b w:val="0"/>
          <w:bCs/>
          <w:sz w:val="44"/>
          <w:szCs w:val="44"/>
          <w:highlight w:val="none"/>
          <w:shd w:val="clear" w:color="auto" w:fill="FFFFFF"/>
        </w:rPr>
        <w:t>报告</w:t>
      </w:r>
    </w:p>
    <w:p w14:paraId="4AE0BEA4">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55B8301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黑体" w:eastAsia="黑体" w:cs="Times New Roman" w:hAnsiTheme="majorHAnsi"/>
          <w:b/>
          <w:bCs w:val="0"/>
          <w:color w:val="000000"/>
          <w:kern w:val="2"/>
          <w:sz w:val="32"/>
          <w:szCs w:val="32"/>
          <w:lang w:val="en-US" w:eastAsia="zh-CN" w:bidi="ar-SA"/>
        </w:rPr>
      </w:pPr>
      <w:r>
        <w:rPr>
          <w:rFonts w:hint="eastAsia" w:ascii="黑体" w:eastAsia="黑体" w:cs="Times New Roman" w:hAnsiTheme="majorHAnsi"/>
          <w:b/>
          <w:bCs w:val="0"/>
          <w:color w:val="000000"/>
          <w:kern w:val="2"/>
          <w:sz w:val="32"/>
          <w:szCs w:val="32"/>
          <w:lang w:val="zh-CN" w:eastAsia="zh-CN" w:bidi="ar-SA"/>
        </w:rPr>
        <w:t>一、</w:t>
      </w:r>
      <w:r>
        <w:rPr>
          <w:rFonts w:hint="default" w:ascii="黑体" w:eastAsia="黑体" w:cs="Times New Roman" w:hAnsiTheme="majorHAnsi"/>
          <w:b/>
          <w:bCs w:val="0"/>
          <w:color w:val="000000"/>
          <w:kern w:val="2"/>
          <w:sz w:val="32"/>
          <w:szCs w:val="32"/>
          <w:lang w:val="zh-CN" w:eastAsia="zh-CN" w:bidi="ar-SA"/>
        </w:rPr>
        <w:t>部门（单位）基本情况</w:t>
      </w:r>
    </w:p>
    <w:p w14:paraId="691CEB55">
      <w:pPr>
        <w:spacing w:line="600" w:lineRule="exact"/>
        <w:ind w:firstLine="643" w:firstLineChars="200"/>
        <w:outlineLvl w:val="2"/>
        <w:rPr>
          <w:rFonts w:hint="default" w:ascii="仿宋" w:hAnsi="仿宋" w:eastAsia="仿宋"/>
          <w:b/>
          <w:color w:val="000000"/>
          <w:sz w:val="32"/>
          <w:szCs w:val="32"/>
        </w:rPr>
      </w:pPr>
      <w:r>
        <w:rPr>
          <w:rFonts w:hint="eastAsia" w:ascii="仿宋" w:hAnsi="仿宋" w:eastAsia="仿宋"/>
          <w:b/>
          <w:color w:val="000000"/>
          <w:sz w:val="32"/>
          <w:szCs w:val="32"/>
          <w:lang w:val="zh-CN"/>
        </w:rPr>
        <w:t>（一）</w:t>
      </w:r>
      <w:r>
        <w:rPr>
          <w:rFonts w:hint="default" w:ascii="仿宋" w:hAnsi="仿宋" w:eastAsia="仿宋"/>
          <w:b/>
          <w:color w:val="000000"/>
          <w:sz w:val="32"/>
          <w:szCs w:val="32"/>
          <w:lang w:val="zh-CN"/>
        </w:rPr>
        <w:t>机构组成。</w:t>
      </w:r>
    </w:p>
    <w:p w14:paraId="7A088ADC">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办公室</w:t>
      </w:r>
      <w:r>
        <w:rPr>
          <w:rFonts w:hint="eastAsia" w:ascii="仿宋" w:hAnsi="仿宋" w:eastAsia="仿宋"/>
          <w:color w:val="000000"/>
          <w:sz w:val="32"/>
          <w:szCs w:val="32"/>
          <w:lang w:eastAsia="zh-CN"/>
        </w:rPr>
        <w:t>：</w:t>
      </w:r>
      <w:r>
        <w:rPr>
          <w:rFonts w:hint="eastAsia" w:ascii="仿宋" w:hAnsi="仿宋" w:eastAsia="仿宋"/>
          <w:color w:val="000000"/>
          <w:sz w:val="32"/>
          <w:szCs w:val="32"/>
        </w:rPr>
        <w:t>协助局领导处理日常工作，综合协调管理局机关行政工作，负责行政效能建设、政务督办和绩效管理工作，承担文秘、会务、政务信息、目标管理、档案管理以及保密、信访、维稳、应急处理和社会治安综合治理等工作；负责局机关后勤保障、车辆管理；配合有关部门组织管理本系统专业资格考试、</w:t>
      </w:r>
      <w:r>
        <w:rPr>
          <w:rFonts w:hint="eastAsia" w:ascii="仿宋" w:hAnsi="仿宋" w:eastAsia="仿宋"/>
          <w:color w:val="000000"/>
          <w:sz w:val="32"/>
          <w:szCs w:val="32"/>
          <w:lang w:eastAsia="zh-CN"/>
        </w:rPr>
        <w:t>统计</w:t>
      </w:r>
      <w:r>
        <w:rPr>
          <w:rFonts w:hint="eastAsia" w:ascii="仿宋" w:hAnsi="仿宋" w:eastAsia="仿宋"/>
          <w:color w:val="000000"/>
          <w:sz w:val="32"/>
          <w:szCs w:val="32"/>
        </w:rPr>
        <w:t>岗位培训、继续教育和职称评聘工作；负责局机关离退休人员的管理和服务工作；指导本系统的精神文明建设和统计宣传工作。承担机关财务管理；监督管理机关及直属事业单位的国有资产；承担机关和直属事业单位的机构编制和人事管理工作；会同有关部门开展统计专业资格考试、职称评聘工作；协助州局开展统计从业资格认定和继续教育工作，指导全县统计专业人才队伍建设。</w:t>
      </w:r>
    </w:p>
    <w:p w14:paraId="0FA259C1">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国民经济核算综合股</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对全县国民经济运行状况进行统计、监测、预测和综合分析研究，提出宏观调控咨询建议；对统计数据的使用和提供进行管理、审查；汇总、整理全县的经济、科技、社会综合性统计资料并发布全县统计数据资料。整理提供民族地区综合统计资料。负责全县统计业务目标管理与考核评比工作；研究改革统计调查方法，归口管理部门统计。组织实施全县国民经济、民营经济核算工作；承担国内生产总值、民营经济、投入产出核算工作；提供全县国民经济核算和民营经济资料及有关综合平衡状况分析研究报告；统一核定、管理、公布、出版全县性的基本统计资料，定期发布全县国民经济和社会发展情况的统计信息；组织实施全县统计基层基础建设；对有关数据质量进行检查、评估和统计分析</w:t>
      </w:r>
      <w:r>
        <w:rPr>
          <w:rFonts w:hint="eastAsia" w:ascii="仿宋" w:hAnsi="仿宋" w:eastAsia="仿宋"/>
          <w:color w:val="000000"/>
          <w:sz w:val="32"/>
          <w:szCs w:val="32"/>
          <w:lang w:eastAsia="zh-CN"/>
        </w:rPr>
        <w:t>。</w:t>
      </w:r>
      <w:r>
        <w:rPr>
          <w:rFonts w:hint="eastAsia" w:ascii="仿宋" w:hAnsi="仿宋" w:eastAsia="仿宋"/>
          <w:color w:val="000000"/>
          <w:sz w:val="32"/>
          <w:szCs w:val="32"/>
        </w:rPr>
        <w:t>贯彻执行国家统计</w:t>
      </w:r>
      <w:r>
        <w:rPr>
          <w:rFonts w:hint="eastAsia" w:ascii="仿宋" w:hAnsi="仿宋" w:eastAsia="仿宋"/>
          <w:color w:val="000000"/>
          <w:sz w:val="32"/>
          <w:szCs w:val="32"/>
          <w:lang w:eastAsia="zh-CN"/>
        </w:rPr>
        <w:t>法律法规</w:t>
      </w:r>
      <w:r>
        <w:rPr>
          <w:rFonts w:hint="eastAsia" w:ascii="仿宋" w:hAnsi="仿宋" w:eastAsia="仿宋"/>
          <w:color w:val="000000"/>
          <w:sz w:val="32"/>
          <w:szCs w:val="32"/>
        </w:rPr>
        <w:t>、制度和国家统计标准；制订地方统计制度和地方统计标准；组织实施全县统计业务的监督管理；依法审批地方的统计调查项目。起草地方统计法规、规章草案，对本局起草的规范性文件进行审核；组织全县统计</w:t>
      </w:r>
      <w:r>
        <w:rPr>
          <w:rFonts w:hint="eastAsia" w:ascii="仿宋" w:hAnsi="仿宋" w:eastAsia="仿宋"/>
          <w:color w:val="000000"/>
          <w:sz w:val="32"/>
          <w:szCs w:val="32"/>
          <w:lang w:eastAsia="zh-CN"/>
        </w:rPr>
        <w:t>法律法规</w:t>
      </w:r>
      <w:r>
        <w:rPr>
          <w:rFonts w:hint="eastAsia" w:ascii="仿宋" w:hAnsi="仿宋" w:eastAsia="仿宋"/>
          <w:color w:val="000000"/>
          <w:sz w:val="32"/>
          <w:szCs w:val="32"/>
        </w:rPr>
        <w:t xml:space="preserve">的宣传贯彻和执行检查监督工作；会同有关部门检查处理违反统计法律法规的案件和事件。 </w:t>
      </w:r>
    </w:p>
    <w:p w14:paraId="278E2BD7">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投资、贸易统计股</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负责组织实施全县固定资产投资、建筑业、房地产业、贸易业、餐饮业、旅游业、人口、工资、劳动力的统计；组织实施全县城镇居民收支调查并进行监督检查和预警分析；搜集、整理服务业统计数据，核算全县服务业增加值并提出分析建议；整理和提供固定资产投资、建筑业、房地产、贸易、餐饮企业生产经营活动，服务业、外经外贸、旅游等调查统计数据；组织实施相关专业数据质量检查、评估和统计分析。  </w:t>
      </w:r>
    </w:p>
    <w:p w14:paraId="61EC3CD1">
      <w:pPr>
        <w:spacing w:line="600" w:lineRule="exact"/>
        <w:ind w:firstLine="640"/>
        <w:rPr>
          <w:rFonts w:hint="default" w:ascii="仿宋" w:hAnsi="仿宋" w:eastAsia="仿宋"/>
          <w:color w:val="000000"/>
          <w:sz w:val="32"/>
          <w:szCs w:val="32"/>
          <w:lang w:val="zh-CN"/>
        </w:rPr>
      </w:pPr>
      <w:r>
        <w:rPr>
          <w:rFonts w:hint="eastAsia" w:ascii="仿宋" w:hAnsi="仿宋" w:eastAsia="仿宋"/>
          <w:color w:val="000000"/>
          <w:sz w:val="32"/>
          <w:szCs w:val="32"/>
        </w:rPr>
        <w:t>能源、工业、交通、农村经济统计股</w:t>
      </w:r>
      <w:r>
        <w:rPr>
          <w:rFonts w:hint="eastAsia" w:ascii="仿宋" w:hAnsi="仿宋" w:eastAsia="仿宋"/>
          <w:color w:val="000000"/>
          <w:sz w:val="32"/>
          <w:szCs w:val="32"/>
          <w:lang w:eastAsia="zh-CN"/>
        </w:rPr>
        <w:t>：</w:t>
      </w:r>
      <w:r>
        <w:rPr>
          <w:rFonts w:hint="eastAsia" w:ascii="仿宋" w:hAnsi="仿宋" w:eastAsia="仿宋"/>
          <w:color w:val="000000"/>
          <w:sz w:val="32"/>
          <w:szCs w:val="32"/>
        </w:rPr>
        <w:t>实施全县能源、环境基本状况统计，对节能减排、单位GDP能耗，资源循环利用等进行统计监测；配合有关部门开展节能降耗和主要污染物减排目标考核；收集、整理和提供有关统计数据，对有关数据质量进行检查和评估，检查指导有关专业统计基础工作，开展统计分析。负责组织实施全县工业、交通运输、邮电、科技统计和《中国妇女发展纲要</w:t>
      </w:r>
      <w:r>
        <w:rPr>
          <w:rFonts w:hint="eastAsia" w:ascii="仿宋" w:hAnsi="仿宋" w:eastAsia="仿宋"/>
          <w:color w:val="000000"/>
          <w:sz w:val="32"/>
          <w:szCs w:val="32"/>
          <w:lang w:eastAsia="zh-CN"/>
        </w:rPr>
        <w:t>》《</w:t>
      </w:r>
      <w:r>
        <w:rPr>
          <w:rFonts w:hint="eastAsia" w:ascii="仿宋" w:hAnsi="仿宋" w:eastAsia="仿宋"/>
          <w:color w:val="000000"/>
          <w:sz w:val="32"/>
          <w:szCs w:val="32"/>
        </w:rPr>
        <w:t>中国儿童发展纲要》统计调查；整理提供工业、运输、邮电企业生产经营活动及其全行业统计数据，对有关统计数据质量进行检查与评估；负责对全县工业经济产品、产量、产值等各项效益指标的考核，并为县政府提供工业经济目标管理考核依据；组织指导有关专业统计基础工作；进行统计分析。负责全县农村社会和经济统计调查任务，搜集、整理、审核和上报农村经济统计调查数据；对全县农村社会经济运行情况、发展水平、农牧民收入水平进行统计、监测、预测和分析；负责全县乡镇信息系统建设工作；负责对全县农村统计调查人员业务指导和抽样调查网点的管理；开展农村社会经济发展和焦点问题的分析研究并提供相关信息资料。</w:t>
      </w:r>
    </w:p>
    <w:p w14:paraId="71748A8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仿宋" w:hAnsi="仿宋" w:eastAsia="仿宋"/>
          <w:b/>
          <w:color w:val="000000"/>
          <w:sz w:val="32"/>
          <w:szCs w:val="32"/>
          <w:lang w:val="zh-CN"/>
        </w:rPr>
      </w:pPr>
      <w:r>
        <w:rPr>
          <w:rFonts w:hint="default" w:ascii="仿宋" w:hAnsi="仿宋" w:eastAsia="仿宋"/>
          <w:b/>
          <w:color w:val="000000"/>
          <w:sz w:val="32"/>
          <w:szCs w:val="32"/>
          <w:lang w:val="zh-CN"/>
        </w:rPr>
        <w:t>（二）机构职能</w:t>
      </w:r>
      <w:r>
        <w:rPr>
          <w:rFonts w:hint="eastAsia" w:ascii="仿宋" w:hAnsi="仿宋" w:eastAsia="仿宋"/>
          <w:b/>
          <w:color w:val="000000"/>
          <w:sz w:val="32"/>
          <w:szCs w:val="32"/>
          <w:lang w:val="zh-CN"/>
        </w:rPr>
        <w:t>。</w:t>
      </w:r>
    </w:p>
    <w:p w14:paraId="3F96DD5C">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贯彻执行国家有关统计工作的方针、政策和</w:t>
      </w:r>
      <w:r>
        <w:rPr>
          <w:rFonts w:hint="eastAsia" w:ascii="仿宋" w:hAnsi="仿宋" w:eastAsia="仿宋"/>
          <w:color w:val="000000"/>
          <w:sz w:val="32"/>
          <w:szCs w:val="32"/>
          <w:lang w:eastAsia="zh-CN"/>
        </w:rPr>
        <w:t>法律法规</w:t>
      </w:r>
      <w:r>
        <w:rPr>
          <w:rFonts w:hint="eastAsia" w:ascii="仿宋" w:hAnsi="仿宋" w:eastAsia="仿宋"/>
          <w:color w:val="000000"/>
          <w:sz w:val="32"/>
          <w:szCs w:val="32"/>
        </w:rPr>
        <w:t>，承担组织领导和综合协调全县统计工作，确保统计数据真实、准确、及时的责任。</w:t>
      </w:r>
    </w:p>
    <w:p w14:paraId="08D85EDD">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建立健全全县国民经济核算体系，组织实施全县国民经济核算制度，核算全县生产总值，整理提供国民经济核算资料，开展分析研究。</w:t>
      </w:r>
    </w:p>
    <w:p w14:paraId="02D83584">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组织实施农林牧渔业、工业、建筑业、批发和零售业、住宿和餐饮业、房地产业等国民经济行业以及能源、投资、人口、收入、科技、社会发展基本情况、环境基本状况等领域的统计调查，建立全县经济社会发展监测评价制度及指标体系，对重点区域和重要领域实施监测评价，牵头综合整理和提供资源、房屋、旅游、教育、卫生、邮电、交通运输、社会保障、公用事业、对外贸易、对外经济等全县基本统计资料。</w:t>
      </w:r>
    </w:p>
    <w:p w14:paraId="71E0EE26">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组织实施人口、经济、农业等普查和重大国情国力专项调查，组织实施全县投入产出调查。</w:t>
      </w:r>
    </w:p>
    <w:p w14:paraId="639EA6C4">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建立健全全县统计数据质量审核、监控和评估制度，依法对各乡镇、各部门重要统计数据进行审核、监控和评估，组织指导统计基层基础建设。</w:t>
      </w:r>
    </w:p>
    <w:p w14:paraId="094086AE">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对国民经济、社会发展、科技进步和资源环境等情况进行统计分析和预测，定期发布全县统计社会发展情况的统计信息，向县委、县政府及有关部门提供统计咨询建议，向社会公众提供统计信息服务。</w:t>
      </w:r>
    </w:p>
    <w:p w14:paraId="27B67927">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协助州局做好全县统计专业资格考试和从业资格认定工作，指导全县统计专业人才队伍建设及职务评聘，开展统计交流与合作，监督管理地方政府统计部门由省级财政和县级财政提供的统计经费。</w:t>
      </w:r>
    </w:p>
    <w:p w14:paraId="7E8474CE">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制定全县各乡镇、各部门统计数据库网络的基本标准和运行规则；建立健全全县统计数据库系统的统计信息自动化系统，建立健全县直部门统计信息共享制度，指导地方统计住处化建设。</w:t>
      </w:r>
    </w:p>
    <w:p w14:paraId="50E166BB">
      <w:pPr>
        <w:spacing w:line="600" w:lineRule="exact"/>
        <w:ind w:firstLine="640"/>
        <w:rPr>
          <w:rFonts w:hint="default" w:ascii="仿宋" w:hAnsi="仿宋" w:eastAsia="仿宋"/>
          <w:color w:val="000000"/>
          <w:sz w:val="32"/>
          <w:szCs w:val="32"/>
          <w:lang w:val="zh-CN"/>
        </w:rPr>
      </w:pP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 xml:space="preserve">承办县政府交办的其他事项。 </w:t>
      </w:r>
    </w:p>
    <w:p w14:paraId="0694C9F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b/>
          <w:color w:val="000000"/>
          <w:sz w:val="32"/>
          <w:szCs w:val="32"/>
          <w:lang w:val="zh-CN"/>
        </w:rPr>
      </w:pPr>
      <w:r>
        <w:rPr>
          <w:rFonts w:hint="default" w:ascii="仿宋" w:hAnsi="仿宋" w:eastAsia="仿宋"/>
          <w:b/>
          <w:color w:val="000000"/>
          <w:sz w:val="32"/>
          <w:szCs w:val="32"/>
          <w:lang w:val="zh-CN"/>
        </w:rPr>
        <w:t>（</w:t>
      </w:r>
      <w:r>
        <w:rPr>
          <w:rFonts w:hint="eastAsia" w:ascii="仿宋" w:hAnsi="仿宋" w:eastAsia="仿宋"/>
          <w:b/>
          <w:color w:val="000000"/>
          <w:sz w:val="32"/>
          <w:szCs w:val="32"/>
          <w:lang w:val="zh-CN"/>
        </w:rPr>
        <w:t>三</w:t>
      </w:r>
      <w:r>
        <w:rPr>
          <w:rFonts w:hint="default" w:ascii="仿宋" w:hAnsi="仿宋" w:eastAsia="仿宋"/>
          <w:b/>
          <w:color w:val="000000"/>
          <w:sz w:val="32"/>
          <w:szCs w:val="32"/>
          <w:lang w:val="zh-CN"/>
        </w:rPr>
        <w:t>）人员概况</w:t>
      </w:r>
      <w:r>
        <w:rPr>
          <w:rFonts w:hint="eastAsia" w:ascii="仿宋" w:hAnsi="仿宋" w:eastAsia="仿宋"/>
          <w:b/>
          <w:color w:val="000000"/>
          <w:sz w:val="32"/>
          <w:szCs w:val="32"/>
          <w:lang w:val="zh-CN"/>
        </w:rPr>
        <w:t>。</w:t>
      </w:r>
    </w:p>
    <w:p w14:paraId="58D0FA28">
      <w:pPr>
        <w:spacing w:line="600" w:lineRule="exact"/>
        <w:ind w:firstLine="640"/>
        <w:rPr>
          <w:rFonts w:hint="default" w:ascii="仿宋" w:hAnsi="仿宋" w:eastAsia="仿宋"/>
          <w:color w:val="000000"/>
          <w:sz w:val="32"/>
          <w:szCs w:val="32"/>
        </w:rPr>
      </w:pPr>
      <w:r>
        <w:rPr>
          <w:rFonts w:hint="eastAsia" w:ascii="仿宋" w:hAnsi="仿宋" w:eastAsia="仿宋"/>
          <w:color w:val="000000"/>
          <w:sz w:val="32"/>
          <w:szCs w:val="32"/>
          <w:lang w:val="en-US" w:eastAsia="zh-CN"/>
        </w:rPr>
        <w:t>县统计局行政编制7名，机关工勤编制1名，参公编制5名，事业编制3名；应在编人数为16人，实有人数17人。</w:t>
      </w:r>
    </w:p>
    <w:p w14:paraId="7D02D37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黑体" w:eastAsia="黑体" w:cs="Times New Roman" w:hAnsiTheme="majorHAnsi"/>
          <w:b/>
          <w:bCs w:val="0"/>
          <w:color w:val="000000"/>
          <w:kern w:val="2"/>
          <w:sz w:val="32"/>
          <w:szCs w:val="32"/>
          <w:lang w:val="zh-CN" w:eastAsia="zh-CN" w:bidi="ar-SA"/>
        </w:rPr>
      </w:pPr>
      <w:r>
        <w:rPr>
          <w:rFonts w:hint="default" w:ascii="黑体" w:eastAsia="黑体" w:cs="Times New Roman" w:hAnsiTheme="majorHAnsi"/>
          <w:b/>
          <w:bCs w:val="0"/>
          <w:color w:val="000000"/>
          <w:kern w:val="2"/>
          <w:sz w:val="32"/>
          <w:szCs w:val="32"/>
          <w:lang w:val="zh-CN" w:eastAsia="zh-CN" w:bidi="ar-SA"/>
        </w:rPr>
        <w:t>二、部门资金收支情况</w:t>
      </w:r>
    </w:p>
    <w:p w14:paraId="41C7EEA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仿宋" w:hAnsi="仿宋" w:eastAsia="仿宋"/>
          <w:b/>
          <w:color w:val="000000"/>
          <w:sz w:val="32"/>
          <w:szCs w:val="32"/>
          <w:lang w:val="zh-CN"/>
        </w:rPr>
        <w:t>（一）</w:t>
      </w:r>
      <w:r>
        <w:rPr>
          <w:rFonts w:hint="eastAsia" w:ascii="仿宋" w:hAnsi="仿宋" w:eastAsia="仿宋"/>
          <w:b/>
          <w:color w:val="000000"/>
          <w:sz w:val="32"/>
          <w:szCs w:val="32"/>
          <w:lang w:val="zh-CN"/>
        </w:rPr>
        <w:t>收入情况</w:t>
      </w:r>
      <w:r>
        <w:rPr>
          <w:rFonts w:hint="default" w:ascii="仿宋" w:hAnsi="仿宋" w:eastAsia="仿宋"/>
          <w:b/>
          <w:color w:val="000000"/>
          <w:sz w:val="32"/>
          <w:szCs w:val="32"/>
          <w:lang w:val="zh-CN"/>
        </w:rPr>
        <w:t>。</w:t>
      </w:r>
    </w:p>
    <w:p w14:paraId="17399D1E">
      <w:pPr>
        <w:spacing w:line="600" w:lineRule="exact"/>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2024年松潘县统计局本级财政资金收入540.28万元。其中二级核算单位统计局财政资金收入479.7万元；统计局社情民意调查中心财政资金收入60.58万元。</w:t>
      </w:r>
    </w:p>
    <w:p w14:paraId="31DE368B">
      <w:pPr>
        <w:spacing w:line="600" w:lineRule="exact"/>
        <w:ind w:firstLine="640"/>
        <w:rPr>
          <w:rFonts w:hint="default" w:ascii="仿宋" w:hAnsi="仿宋" w:eastAsia="仿宋"/>
          <w:color w:val="000000"/>
          <w:sz w:val="32"/>
          <w:szCs w:val="32"/>
          <w:lang w:val="zh-CN" w:eastAsia="zh-CN"/>
        </w:rPr>
      </w:pPr>
      <w:r>
        <w:rPr>
          <w:rFonts w:hint="eastAsia" w:ascii="仿宋" w:hAnsi="仿宋" w:eastAsia="仿宋"/>
          <w:color w:val="000000"/>
          <w:sz w:val="32"/>
          <w:szCs w:val="32"/>
          <w:lang w:val="en-US" w:eastAsia="zh-CN"/>
        </w:rPr>
        <w:t>基本支出是用于保障县统计局行政机构的正常运转的日常支出，包括基本工资、津贴补贴、基本养老保险、医疗保险等人员经费以及办公费、印刷费、水电费等日常公用经费。松潘县统计局本级2024年财政资金收入数540.28万元，其中：基本支出381.85万元，项目支出158.43万元。</w:t>
      </w:r>
    </w:p>
    <w:p w14:paraId="1A78CB4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仿宋" w:hAnsi="仿宋" w:eastAsia="仿宋"/>
          <w:b/>
          <w:color w:val="000000"/>
          <w:sz w:val="32"/>
          <w:szCs w:val="32"/>
          <w:lang w:val="zh-CN" w:eastAsia="zh-CN"/>
        </w:rPr>
      </w:pPr>
      <w:r>
        <w:rPr>
          <w:rFonts w:hint="default" w:ascii="仿宋" w:hAnsi="仿宋" w:eastAsia="仿宋"/>
          <w:b/>
          <w:color w:val="000000"/>
          <w:sz w:val="32"/>
          <w:szCs w:val="32"/>
          <w:lang w:val="zh-CN"/>
        </w:rPr>
        <w:t>（</w:t>
      </w:r>
      <w:r>
        <w:rPr>
          <w:rFonts w:hint="eastAsia" w:ascii="仿宋" w:hAnsi="仿宋" w:eastAsia="仿宋"/>
          <w:b/>
          <w:color w:val="000000"/>
          <w:sz w:val="32"/>
          <w:szCs w:val="32"/>
          <w:lang w:val="zh-CN"/>
        </w:rPr>
        <w:t>二</w:t>
      </w:r>
      <w:r>
        <w:rPr>
          <w:rFonts w:hint="default" w:ascii="仿宋" w:hAnsi="仿宋" w:eastAsia="仿宋"/>
          <w:b/>
          <w:color w:val="000000"/>
          <w:sz w:val="32"/>
          <w:szCs w:val="32"/>
          <w:lang w:val="zh-CN"/>
        </w:rPr>
        <w:t>）</w:t>
      </w:r>
      <w:r>
        <w:rPr>
          <w:rFonts w:hint="eastAsia" w:ascii="仿宋" w:hAnsi="仿宋" w:eastAsia="仿宋"/>
          <w:b/>
          <w:color w:val="000000"/>
          <w:sz w:val="32"/>
          <w:szCs w:val="32"/>
          <w:lang w:val="zh-CN"/>
        </w:rPr>
        <w:t>支出情况</w:t>
      </w:r>
      <w:r>
        <w:rPr>
          <w:rFonts w:hint="default" w:ascii="仿宋" w:hAnsi="仿宋" w:eastAsia="仿宋"/>
          <w:b/>
          <w:color w:val="000000"/>
          <w:sz w:val="32"/>
          <w:szCs w:val="32"/>
          <w:lang w:val="zh-CN"/>
        </w:rPr>
        <w:t>。</w:t>
      </w:r>
    </w:p>
    <w:p w14:paraId="3DDC2676">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2024年松潘县统计局本级本年支出合计540.28万元，其中：基本支出381.85万元，占70.68%；项目支出158.43万元，占29.32%。</w:t>
      </w:r>
    </w:p>
    <w:p w14:paraId="4C5AFA5B">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松潘县统计局本级2024年一般公共预算财政拨款支出540.28万元，主要用于以下方面：一般公共服务支出445.04万元，占82.37%；社会保障和就业支出48.82万元，占9.04%；卫生健康支出19.96万元，占3.69%：住房保障支出26.46万元，占4.9%。</w:t>
      </w:r>
    </w:p>
    <w:p w14:paraId="284497CC">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其中：二级核算单位统计局2024年本年支出合计479.7万元，其中：基本支出321.27万元，占66.97%；项目支出158.43万元，占33.03%。2024年一般公共预算财政拨款支出479.7万元，主要用于以下方面：一般公共服务支出401.37万元，占83.67%；社会保障和就业支出40.21万元，占8.38%；卫生健康支出16.47万元，占3.43%；住房保障支出21.65万元，占4.51%。</w:t>
      </w:r>
    </w:p>
    <w:p w14:paraId="5AAEB1B5">
      <w:pPr>
        <w:spacing w:line="600" w:lineRule="exact"/>
        <w:ind w:firstLine="640"/>
        <w:rPr>
          <w:rFonts w:hint="default" w:ascii="仿宋" w:hAnsi="仿宋" w:eastAsia="仿宋"/>
          <w:color w:val="000000"/>
          <w:sz w:val="32"/>
          <w:szCs w:val="32"/>
          <w:lang w:val="zh-CN" w:eastAsia="zh-CN"/>
        </w:rPr>
      </w:pPr>
      <w:r>
        <w:rPr>
          <w:rFonts w:hint="eastAsia" w:ascii="仿宋" w:hAnsi="仿宋" w:eastAsia="仿宋"/>
          <w:color w:val="000000"/>
          <w:sz w:val="32"/>
          <w:szCs w:val="32"/>
          <w:lang w:val="en-US" w:eastAsia="zh-CN"/>
        </w:rPr>
        <w:t>二级核算单位统计局社情民意调查中心2024年本年支出合计60.58万元，其中：基本支出60.58万元，占100%。2024年一般公共预算财政拨款支出60.58万元，主要用于以下方面：一般公共服务支出43.67万元，占72.09%；社会保障和就业支出8.61万元，占14.21%；卫生健康支出3.49万元，占5.76%；住房保障支出4.81万元，占7.94%。</w:t>
      </w:r>
    </w:p>
    <w:p w14:paraId="201E773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黑体" w:eastAsia="黑体" w:cs="Times New Roman" w:hAnsiTheme="majorHAnsi"/>
          <w:b/>
          <w:bCs w:val="0"/>
          <w:color w:val="000000"/>
          <w:kern w:val="2"/>
          <w:sz w:val="32"/>
          <w:szCs w:val="32"/>
          <w:lang w:val="zh-CN" w:eastAsia="zh-CN" w:bidi="ar-SA"/>
        </w:rPr>
      </w:pPr>
      <w:r>
        <w:rPr>
          <w:rFonts w:hint="default" w:ascii="黑体" w:eastAsia="黑体" w:cs="Times New Roman" w:hAnsiTheme="majorHAnsi"/>
          <w:b/>
          <w:bCs w:val="0"/>
          <w:color w:val="000000"/>
          <w:kern w:val="2"/>
          <w:sz w:val="32"/>
          <w:szCs w:val="32"/>
          <w:lang w:val="zh-CN" w:eastAsia="zh-CN" w:bidi="ar-SA"/>
        </w:rPr>
        <w:t>三、部门预算绩效分析</w:t>
      </w:r>
    </w:p>
    <w:p w14:paraId="51D23C5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仿宋" w:hAnsi="仿宋" w:eastAsia="仿宋"/>
          <w:b/>
          <w:color w:val="000000"/>
          <w:sz w:val="32"/>
          <w:szCs w:val="32"/>
          <w:lang w:val="zh-CN"/>
        </w:rPr>
      </w:pPr>
      <w:r>
        <w:rPr>
          <w:rFonts w:hint="default" w:ascii="仿宋" w:hAnsi="仿宋" w:eastAsia="仿宋"/>
          <w:b/>
          <w:color w:val="000000"/>
          <w:sz w:val="32"/>
          <w:szCs w:val="32"/>
          <w:lang w:val="zh-CN"/>
        </w:rPr>
        <w:t>（一）</w:t>
      </w:r>
      <w:r>
        <w:rPr>
          <w:rFonts w:hint="eastAsia" w:ascii="仿宋" w:hAnsi="仿宋" w:eastAsia="仿宋"/>
          <w:b/>
          <w:color w:val="000000"/>
          <w:sz w:val="32"/>
          <w:szCs w:val="32"/>
          <w:lang w:val="zh-CN"/>
        </w:rPr>
        <w:t>部门预算</w:t>
      </w:r>
      <w:r>
        <w:rPr>
          <w:rFonts w:hint="default" w:ascii="仿宋" w:hAnsi="仿宋" w:eastAsia="仿宋"/>
          <w:b/>
          <w:color w:val="000000"/>
          <w:sz w:val="32"/>
          <w:szCs w:val="32"/>
          <w:lang w:val="zh-CN"/>
        </w:rPr>
        <w:t>总体绩效分析。</w:t>
      </w:r>
    </w:p>
    <w:p w14:paraId="3C5073E5">
      <w:pPr>
        <w:spacing w:line="600" w:lineRule="exact"/>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1.预算编制情况</w:t>
      </w:r>
    </w:p>
    <w:p w14:paraId="4E5362AD">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按照预算管理有关规定，目前部门预算的编制实行综合预算制度，即全部收入和支出都反映在预算中。本部门预算编制是由部门财务严格按照《中华人民共和国预算法》的规定和财政部门预算股的要求，在既能保证本部门日常业务工作顺利开展的需要，又不浪费资金的前提下，合理编制出本部门的年度预算。</w:t>
      </w:r>
    </w:p>
    <w:p w14:paraId="42ABCDD3">
      <w:pPr>
        <w:spacing w:line="600" w:lineRule="exact"/>
        <w:ind w:firstLine="640"/>
        <w:rPr>
          <w:rFonts w:hint="eastAsia" w:ascii="仿宋" w:hAnsi="仿宋" w:eastAsia="仿宋"/>
          <w:color w:val="000000"/>
          <w:sz w:val="32"/>
          <w:szCs w:val="32"/>
          <w:lang w:val="zh-CN" w:eastAsia="zh-CN"/>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val="zh-CN" w:eastAsia="zh-CN"/>
        </w:rPr>
        <w:t>执行管理情况</w:t>
      </w:r>
    </w:p>
    <w:p w14:paraId="69682BA1">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县财政及时足额下达年初预算，在上级部门下达转移支付专项资金指标后，也能及时将资金落实给部门，为部门的业务工作顺利开展提供了强有力的财力保障。</w:t>
      </w:r>
    </w:p>
    <w:p w14:paraId="482BFD47">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2024年松潘县统计局本级本年支出合计540.28万元，其中：基本支出381.85万元；项目支出158.43万元，完成预算100%。二级核算单位统计局2024年本年支出合计479.7万元，其中：基本支出321.27万元；项目支出158.43万元，完成预算100%。二级核算单位统计局社情民意调查中心2024年本年支出合计60.58万元，其中：基本支出60.58万元，完成预算100%。</w:t>
      </w:r>
    </w:p>
    <w:p w14:paraId="04322BD1">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2024年松潘县统计局本级本年项目支出158.43万元，其中：专项普查活动经费支出14.47万元，完成预算100%；两员劳动报酬补助经费支出16万元，完成预算100%；一套表改革及信息化建设经费支出9.85万元，完成预算100%；城乡一体化住户调查经费支出75.22万元，完成预算100%；劳动力调查工作经费支出5.34万元，完成预算100%；社会公众满意度评价工作经费支出17.66万元，完成预算100%。办公区域维修改造经费支出19.89万元，完成预算100%。</w:t>
      </w:r>
    </w:p>
    <w:p w14:paraId="25A750F4">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本部门一直提倡厉行节约，节能降耗的原则，促进了统计局事业行政工作上了一个新台阶，未超出预算，严格执行了中央八项规定。</w:t>
      </w:r>
    </w:p>
    <w:p w14:paraId="7F432EAD">
      <w:pPr>
        <w:spacing w:line="600" w:lineRule="exact"/>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松潘县统计局本级2024年度“三公”经费财政拨款支出2.82万元，完成预算100%，其中：因公出国（境）费支出数为0万元，完成预算0%；公务用车费支出数为2.82万元（其中：公务用车运行维护费2.82万元），完成预算100%；公务接待费支出数为0万元，完成预算0%。二级核算单位统计局2024年度“三公”经费财政拨款支出为2.82万元，完成预算100%，其中：因公出国（境）费支出数为0万元，完成预算0%；公务用车费支出数为2.82万元（其中：公务用车运行维护费2.82万元），完成预算100%；公务接待费支出数为0万元，完成预算0%。本单位严格按照中央八项规定和行政单位会计制度执行。</w:t>
      </w:r>
    </w:p>
    <w:p w14:paraId="025ADE2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b/>
          <w:color w:val="000000"/>
          <w:sz w:val="32"/>
          <w:szCs w:val="32"/>
          <w:lang w:val="zh-CN" w:eastAsia="zh-CN"/>
        </w:rPr>
      </w:pPr>
      <w:r>
        <w:rPr>
          <w:rFonts w:hint="eastAsia" w:ascii="仿宋" w:hAnsi="仿宋" w:eastAsia="仿宋"/>
          <w:b/>
          <w:color w:val="000000"/>
          <w:sz w:val="32"/>
          <w:szCs w:val="32"/>
          <w:lang w:val="zh-CN" w:eastAsia="zh-CN"/>
        </w:rPr>
        <w:t>（二）综合管理情况</w:t>
      </w:r>
    </w:p>
    <w:p w14:paraId="47E16149">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1.我单位无政府性债务。</w:t>
      </w:r>
    </w:p>
    <w:p w14:paraId="0169A170">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2.我单位无非税收收入。</w:t>
      </w:r>
    </w:p>
    <w:p w14:paraId="72D1AF94">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3.政府采购严格按照相关采购规定执行。</w:t>
      </w:r>
    </w:p>
    <w:p w14:paraId="195DC24B">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4.资产管理严格按照资产管理制度执行，严格执行法律法规和有关规章制度；与行政单位履行职能需要相适应；科学合理，充分发挥资产使用效益；勤俭节约，从严控制。</w:t>
      </w:r>
    </w:p>
    <w:p w14:paraId="24213C62">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建立单位内控制度，在单位内部控制不断完善的基础上，针对行政事业单位内部控制的独特性开展内部控制自我评价工作，可以使单位全体人员及时发现内部控制存在的问题，并采取有效改进措施，加大内部控制执行力度，保证行政事业单位内部控制目标的实现。</w:t>
      </w:r>
    </w:p>
    <w:p w14:paraId="602F2AF3">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我部门将同级财政部门批复的本部门预决算报表及相关说明全部在政府门户网站公开，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37E76374">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我部门财务各项工作自觉配合县财政和上级部门的监督检查，对检查中存在的问题，严肃对待，认真开展整改落实。</w:t>
      </w:r>
    </w:p>
    <w:p w14:paraId="1663C63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b/>
          <w:color w:val="000000"/>
          <w:sz w:val="32"/>
          <w:szCs w:val="32"/>
          <w:lang w:val="zh-CN" w:eastAsia="zh-CN"/>
        </w:rPr>
      </w:pPr>
      <w:r>
        <w:rPr>
          <w:rFonts w:hint="eastAsia" w:ascii="仿宋" w:hAnsi="仿宋" w:eastAsia="仿宋"/>
          <w:b/>
          <w:color w:val="000000"/>
          <w:sz w:val="32"/>
          <w:szCs w:val="32"/>
          <w:lang w:val="zh-CN" w:eastAsia="zh-CN"/>
        </w:rPr>
        <w:t>（</w:t>
      </w:r>
      <w:r>
        <w:rPr>
          <w:rFonts w:hint="eastAsia" w:ascii="仿宋" w:hAnsi="仿宋" w:eastAsia="仿宋"/>
          <w:b/>
          <w:color w:val="000000"/>
          <w:sz w:val="32"/>
          <w:szCs w:val="32"/>
          <w:lang w:val="en-US" w:eastAsia="zh-CN"/>
        </w:rPr>
        <w:t>三</w:t>
      </w:r>
      <w:r>
        <w:rPr>
          <w:rFonts w:hint="eastAsia" w:ascii="仿宋" w:hAnsi="仿宋" w:eastAsia="仿宋"/>
          <w:b/>
          <w:color w:val="000000"/>
          <w:sz w:val="32"/>
          <w:szCs w:val="32"/>
          <w:lang w:val="zh-CN" w:eastAsia="zh-CN"/>
        </w:rPr>
        <w:t>）整体绩效</w:t>
      </w:r>
    </w:p>
    <w:p w14:paraId="37B14EC0">
      <w:pPr>
        <w:spacing w:line="600" w:lineRule="exact"/>
        <w:ind w:firstLine="640"/>
        <w:rPr>
          <w:rFonts w:hint="default" w:ascii="仿宋" w:hAnsi="仿宋" w:eastAsia="仿宋"/>
          <w:color w:val="000000"/>
          <w:sz w:val="32"/>
          <w:szCs w:val="32"/>
          <w:lang w:val="zh-CN" w:eastAsia="zh-CN"/>
        </w:rPr>
      </w:pPr>
      <w:r>
        <w:rPr>
          <w:rFonts w:hint="eastAsia" w:ascii="仿宋" w:hAnsi="仿宋" w:eastAsia="仿宋"/>
          <w:color w:val="000000"/>
          <w:sz w:val="32"/>
          <w:szCs w:val="32"/>
          <w:lang w:val="en-US" w:eastAsia="zh-CN"/>
        </w:rPr>
        <w:t>2024年我单位在县委、县政府的领导下、州统计局的指导下，深入贯彻党的十九大、十九届二中、三中全会、习近平总书记来川视察重要讲话精神、以习近平新时代中国特色社会主义思想为指导，紧紧围绕县委、县政府中心工作和构建和谐社会的总体目标，按照为非公经济人士服务的要求，维护非公经济人士和民营企业的合法权益，为民营企业和非公经济人士服务的思想，切实改进工作作风，做到观念上有新转变，思想上有新飞跃，思路上有新调整，工作上有新突破，提升干部形象上有新发展，更好地为我县经济发展和社会和谐稳定提供优质、高效、便捷的服务。</w:t>
      </w:r>
    </w:p>
    <w:p w14:paraId="036A3A0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黑体" w:eastAsia="黑体" w:cs="Times New Roman" w:hAnsiTheme="majorHAnsi"/>
          <w:b/>
          <w:bCs w:val="0"/>
          <w:color w:val="000000"/>
          <w:kern w:val="2"/>
          <w:sz w:val="32"/>
          <w:szCs w:val="32"/>
          <w:lang w:val="zh-CN" w:eastAsia="zh-CN" w:bidi="ar-SA"/>
        </w:rPr>
      </w:pPr>
      <w:r>
        <w:rPr>
          <w:rFonts w:hint="default" w:ascii="黑体" w:eastAsia="黑体" w:cs="Times New Roman" w:hAnsiTheme="majorHAnsi"/>
          <w:b/>
          <w:bCs w:val="0"/>
          <w:color w:val="000000"/>
          <w:kern w:val="2"/>
          <w:sz w:val="32"/>
          <w:szCs w:val="32"/>
          <w:lang w:val="zh-CN" w:eastAsia="zh-CN" w:bidi="ar-SA"/>
        </w:rPr>
        <w:t>四、</w:t>
      </w:r>
      <w:r>
        <w:rPr>
          <w:rFonts w:hint="eastAsia" w:ascii="黑体" w:eastAsia="黑体" w:cs="Times New Roman" w:hAnsiTheme="majorHAnsi"/>
          <w:b/>
          <w:bCs w:val="0"/>
          <w:color w:val="000000"/>
          <w:kern w:val="2"/>
          <w:sz w:val="32"/>
          <w:szCs w:val="32"/>
          <w:lang w:val="zh-CN" w:eastAsia="zh-CN" w:bidi="ar-SA"/>
        </w:rPr>
        <w:t>问题</w:t>
      </w:r>
      <w:r>
        <w:rPr>
          <w:rFonts w:hint="default" w:ascii="黑体" w:eastAsia="黑体" w:cs="Times New Roman" w:hAnsiTheme="majorHAnsi"/>
          <w:b/>
          <w:bCs w:val="0"/>
          <w:color w:val="000000"/>
          <w:kern w:val="2"/>
          <w:sz w:val="32"/>
          <w:szCs w:val="32"/>
          <w:lang w:val="zh-CN" w:eastAsia="zh-CN" w:bidi="ar-SA"/>
        </w:rPr>
        <w:t>及建议</w:t>
      </w:r>
    </w:p>
    <w:p w14:paraId="6C2B903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b/>
          <w:color w:val="000000"/>
          <w:sz w:val="32"/>
          <w:szCs w:val="32"/>
          <w:lang w:val="en-US" w:eastAsia="zh-CN"/>
        </w:rPr>
      </w:pPr>
      <w:r>
        <w:rPr>
          <w:rFonts w:hint="default" w:ascii="仿宋" w:hAnsi="仿宋" w:eastAsia="仿宋"/>
          <w:b/>
          <w:color w:val="000000"/>
          <w:sz w:val="32"/>
          <w:szCs w:val="32"/>
          <w:lang w:val="zh-CN" w:eastAsia="zh-CN"/>
        </w:rPr>
        <w:t>（</w:t>
      </w:r>
      <w:r>
        <w:rPr>
          <w:rFonts w:hint="eastAsia" w:ascii="仿宋" w:hAnsi="仿宋" w:eastAsia="仿宋"/>
          <w:b/>
          <w:color w:val="000000"/>
          <w:sz w:val="32"/>
          <w:szCs w:val="32"/>
          <w:lang w:val="zh-CN" w:eastAsia="zh-CN"/>
        </w:rPr>
        <w:t>一</w:t>
      </w:r>
      <w:r>
        <w:rPr>
          <w:rFonts w:hint="default" w:ascii="仿宋" w:hAnsi="仿宋" w:eastAsia="仿宋"/>
          <w:b/>
          <w:color w:val="000000"/>
          <w:sz w:val="32"/>
          <w:szCs w:val="32"/>
          <w:lang w:val="zh-CN" w:eastAsia="zh-CN"/>
        </w:rPr>
        <w:t>）存在问题。</w:t>
      </w:r>
    </w:p>
    <w:p w14:paraId="11501C60">
      <w:pPr>
        <w:spacing w:line="600" w:lineRule="exact"/>
        <w:ind w:firstLine="640"/>
        <w:rPr>
          <w:rFonts w:hint="default" w:ascii="仿宋" w:hAnsi="仿宋" w:eastAsia="仿宋"/>
          <w:color w:val="000000"/>
          <w:sz w:val="32"/>
          <w:szCs w:val="32"/>
          <w:lang w:val="zh-CN" w:eastAsia="zh-CN"/>
        </w:rPr>
      </w:pPr>
      <w:r>
        <w:rPr>
          <w:rFonts w:hint="eastAsia" w:ascii="仿宋" w:hAnsi="仿宋" w:eastAsia="仿宋"/>
          <w:color w:val="000000"/>
          <w:sz w:val="32"/>
          <w:szCs w:val="32"/>
          <w:lang w:val="en-US" w:eastAsia="zh-CN"/>
        </w:rPr>
        <w:t>由于业务工作的特殊性，资金使用管理的局限性，部分项目资金未支付。</w:t>
      </w:r>
    </w:p>
    <w:p w14:paraId="60D356B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b/>
          <w:color w:val="000000"/>
          <w:sz w:val="32"/>
          <w:szCs w:val="32"/>
          <w:lang w:val="en" w:eastAsia="zh-CN"/>
        </w:rPr>
      </w:pPr>
      <w:r>
        <w:rPr>
          <w:rFonts w:hint="default" w:ascii="仿宋" w:hAnsi="仿宋" w:eastAsia="仿宋"/>
          <w:b/>
          <w:color w:val="000000"/>
          <w:sz w:val="32"/>
          <w:szCs w:val="32"/>
          <w:lang w:val="zh-CN" w:eastAsia="zh-CN"/>
        </w:rPr>
        <w:t>（</w:t>
      </w:r>
      <w:r>
        <w:rPr>
          <w:rFonts w:hint="eastAsia" w:ascii="仿宋" w:hAnsi="仿宋" w:eastAsia="仿宋"/>
          <w:b/>
          <w:color w:val="000000"/>
          <w:sz w:val="32"/>
          <w:szCs w:val="32"/>
          <w:lang w:val="zh-CN" w:eastAsia="zh-CN"/>
        </w:rPr>
        <w:t>二</w:t>
      </w:r>
      <w:r>
        <w:rPr>
          <w:rFonts w:hint="default" w:ascii="仿宋" w:hAnsi="仿宋" w:eastAsia="仿宋"/>
          <w:b/>
          <w:color w:val="000000"/>
          <w:sz w:val="32"/>
          <w:szCs w:val="32"/>
          <w:lang w:val="zh-CN" w:eastAsia="zh-CN"/>
        </w:rPr>
        <w:t>）改进建议。</w:t>
      </w:r>
      <w:bookmarkStart w:id="72" w:name="_Hlk110546638"/>
    </w:p>
    <w:bookmarkEnd w:id="72"/>
    <w:p w14:paraId="2AE697F2">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建议财政部门组织各单位财务人员进行业务培训，不断提升各单位财务人员的业务素质和职业道德。</w:t>
      </w:r>
    </w:p>
    <w:p w14:paraId="721B9568">
      <w:pPr>
        <w:spacing w:line="600" w:lineRule="exact"/>
        <w:ind w:firstLine="640"/>
        <w:rPr>
          <w:rFonts w:hint="eastAsia" w:ascii="仿宋" w:hAnsi="仿宋" w:eastAsia="仿宋"/>
          <w:color w:val="000000"/>
          <w:sz w:val="32"/>
          <w:szCs w:val="32"/>
          <w:lang w:val="en-US" w:eastAsia="zh-CN"/>
        </w:rPr>
      </w:pPr>
    </w:p>
    <w:p w14:paraId="7756F655">
      <w:pPr>
        <w:spacing w:line="600" w:lineRule="exact"/>
        <w:ind w:firstLine="640"/>
        <w:rPr>
          <w:rFonts w:hint="eastAsia" w:ascii="仿宋" w:hAnsi="仿宋" w:eastAsia="仿宋"/>
          <w:color w:val="000000"/>
          <w:sz w:val="32"/>
          <w:szCs w:val="32"/>
          <w:lang w:val="en-US" w:eastAsia="zh-CN"/>
        </w:rPr>
      </w:pPr>
    </w:p>
    <w:p w14:paraId="4CAF5785">
      <w:pPr>
        <w:spacing w:line="600" w:lineRule="exact"/>
        <w:ind w:firstLine="640"/>
        <w:jc w:val="righ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松潘县统计局</w:t>
      </w:r>
    </w:p>
    <w:p w14:paraId="14F777DC">
      <w:pPr>
        <w:spacing w:line="600" w:lineRule="exact"/>
        <w:ind w:firstLine="640"/>
        <w:jc w:val="righ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2025年10月15日</w:t>
      </w:r>
    </w:p>
    <w:p w14:paraId="75A3E7C8">
      <w:pPr>
        <w:spacing w:line="600" w:lineRule="exact"/>
        <w:ind w:firstLine="640"/>
        <w:rPr>
          <w:rFonts w:hint="default" w:ascii="仿宋" w:hAnsi="仿宋" w:eastAsia="仿宋"/>
          <w:color w:val="000000"/>
          <w:sz w:val="32"/>
          <w:szCs w:val="32"/>
          <w:lang w:val="zh-CN" w:eastAsia="zh-CN"/>
        </w:rPr>
      </w:pPr>
    </w:p>
    <w:p w14:paraId="2EFDF4FB">
      <w:pPr>
        <w:keepNext w:val="0"/>
        <w:keepLines w:val="0"/>
        <w:pageBreakBefore w:val="0"/>
        <w:kinsoku/>
        <w:wordWrap/>
        <w:overflowPunct/>
        <w:topLinePunct w:val="0"/>
        <w:autoSpaceDE/>
        <w:autoSpaceDN/>
        <w:bidi w:val="0"/>
        <w:spacing w:line="578" w:lineRule="exact"/>
        <w:contextualSpacing/>
        <w:textAlignment w:val="auto"/>
        <w:outlineLvl w:val="9"/>
        <w:rPr>
          <w:rFonts w:hint="default" w:ascii="Times New Roman" w:hAnsi="Times New Roman" w:eastAsia="黑体" w:cs="Times New Roman"/>
          <w:szCs w:val="32"/>
          <w:highlight w:val="none"/>
          <w:lang w:val="en-US" w:eastAsia="zh-CN"/>
        </w:rPr>
      </w:pPr>
    </w:p>
    <w:p w14:paraId="22FA047D">
      <w:pPr>
        <w:pStyle w:val="2"/>
        <w:rPr>
          <w:rFonts w:hint="default"/>
          <w:lang w:val="en-US" w:eastAsia="zh-CN"/>
        </w:rPr>
      </w:pPr>
    </w:p>
    <w:p w14:paraId="61A357CE">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r>
        <w:rPr>
          <w:rFonts w:hint="eastAsia" w:ascii="仿宋" w:hAnsi="仿宋" w:eastAsia="仿宋"/>
          <w:color w:val="000000"/>
          <w:sz w:val="32"/>
          <w:szCs w:val="32"/>
          <w:lang w:val="en-US" w:eastAsia="zh-CN"/>
        </w:rPr>
        <w:t>附表：</w:t>
      </w:r>
      <w:r>
        <w:rPr>
          <w:rFonts w:hint="default" w:ascii="仿宋" w:hAnsi="仿宋" w:eastAsia="仿宋"/>
          <w:color w:val="000000"/>
          <w:sz w:val="32"/>
          <w:szCs w:val="32"/>
          <w:lang w:val="en-US" w:eastAsia="zh-CN"/>
        </w:rPr>
        <w:t>部门整体支出绩效目标完成情况自评表</w:t>
      </w:r>
      <w:r>
        <w:rPr>
          <w:rFonts w:hint="default" w:ascii="仿宋" w:hAnsi="仿宋" w:eastAsia="仿宋"/>
          <w:color w:val="000000"/>
          <w:sz w:val="32"/>
          <w:szCs w:val="32"/>
          <w:lang w:val="en-US" w:eastAsia="zh-CN"/>
        </w:rPr>
        <w:br w:type="page"/>
      </w:r>
      <w:r>
        <w:rPr>
          <w:rFonts w:hint="eastAsia" w:ascii="黑体" w:hAnsi="黑体" w:eastAsia="黑体" w:cs="黑体"/>
          <w:kern w:val="2"/>
          <w:sz w:val="32"/>
          <w:szCs w:val="24"/>
          <w:highlight w:val="none"/>
          <w:lang w:val="en-US" w:eastAsia="zh-CN" w:bidi="ar-SA"/>
        </w:rPr>
        <w:t>附表</w:t>
      </w:r>
    </w:p>
    <w:tbl>
      <w:tblPr>
        <w:tblStyle w:val="19"/>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1273"/>
        <w:gridCol w:w="1533"/>
        <w:gridCol w:w="711"/>
        <w:gridCol w:w="1"/>
        <w:gridCol w:w="1289"/>
        <w:gridCol w:w="1058"/>
        <w:gridCol w:w="926"/>
        <w:gridCol w:w="1113"/>
      </w:tblGrid>
      <w:tr w14:paraId="347A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10560" w:type="dxa"/>
            <w:gridSpan w:val="10"/>
            <w:shd w:val="clear" w:color="auto" w:fill="auto"/>
            <w:vAlign w:val="center"/>
          </w:tcPr>
          <w:p w14:paraId="2D6A8B8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2FEC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14:paraId="33D8F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36AD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shd w:val="clear" w:color="auto" w:fill="auto"/>
            <w:vAlign w:val="center"/>
          </w:tcPr>
          <w:p w14:paraId="6925600E">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3A02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3F6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57D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松潘县统计局</w:t>
            </w:r>
          </w:p>
        </w:tc>
      </w:tr>
      <w:tr w14:paraId="3DD9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975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111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3BA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6CA3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2A33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1448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7F0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540.28</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2C1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540.28</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21F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0</w:t>
            </w:r>
          </w:p>
        </w:tc>
      </w:tr>
      <w:tr w14:paraId="6AE8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2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4358D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0B12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提高预算编制质量，严格执行预算，保障单位日常运转。</w:t>
            </w:r>
          </w:p>
        </w:tc>
      </w:tr>
      <w:tr w14:paraId="1B77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43E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1914E9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F94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A0F2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78F97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AFE7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BF8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工资性支出</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A84D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严格执行相关政策，保障工资及时、足额发放或社保及时、足额缴纳，预算编制科学合理，减少结余资金。</w:t>
            </w:r>
          </w:p>
        </w:tc>
      </w:tr>
      <w:tr w14:paraId="4A70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5801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1742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日常公用经费</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8DAFA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提高预算编制质量，严格执行预算，保障单位日常运转。</w:t>
            </w:r>
          </w:p>
        </w:tc>
      </w:tr>
      <w:tr w14:paraId="0E67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56A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7AC954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1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47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D0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851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1BF94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F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39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4B130F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3D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10587F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7C00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BAED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E4C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DA0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3F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科目调整次数</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066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A1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04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9E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20%</w:t>
            </w:r>
          </w:p>
        </w:tc>
        <w:tc>
          <w:tcPr>
            <w:tcW w:w="1113" w:type="dxa"/>
            <w:tcBorders>
              <w:left w:val="single" w:color="000000" w:sz="4" w:space="0"/>
              <w:bottom w:val="single" w:color="000000" w:sz="4" w:space="0"/>
              <w:right w:val="single" w:color="000000" w:sz="4" w:space="0"/>
            </w:tcBorders>
            <w:shd w:val="clear" w:color="auto" w:fill="auto"/>
            <w:vAlign w:val="center"/>
          </w:tcPr>
          <w:p w14:paraId="70F377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w:t>
            </w:r>
          </w:p>
        </w:tc>
      </w:tr>
      <w:tr w14:paraId="562A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8"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BE00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72A7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024F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F77A">
            <w:pPr>
              <w:pStyle w:val="10"/>
              <w:ind w:left="0" w:leftChars="0" w:firstLine="0" w:firstLineChars="0"/>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预算编制准确率（计算方法为：∣（执行数</w:t>
            </w:r>
            <w:r>
              <w:rPr>
                <w:rFonts w:hint="eastAsia" w:ascii="Times New Roman" w:cs="Times New Roman"/>
                <w:i w:val="0"/>
                <w:color w:val="000000"/>
                <w:kern w:val="0"/>
                <w:sz w:val="24"/>
                <w:szCs w:val="24"/>
                <w:u w:val="none"/>
                <w:lang w:val="en-US" w:eastAsia="zh-CN" w:bidi="ar"/>
              </w:rPr>
              <w:t>－</w:t>
            </w:r>
            <w:r>
              <w:rPr>
                <w:rFonts w:hint="eastAsia" w:ascii="Times New Roman" w:hAnsi="Times New Roman" w:eastAsia="宋体" w:cs="Times New Roman"/>
                <w:i w:val="0"/>
                <w:color w:val="000000"/>
                <w:kern w:val="0"/>
                <w:sz w:val="24"/>
                <w:szCs w:val="24"/>
                <w:u w:val="none"/>
                <w:lang w:val="en-US" w:eastAsia="zh-CN" w:bidi="ar"/>
              </w:rPr>
              <w:t>预算数）/预算数∣）</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3F1C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86B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5E3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264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30%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8D1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0</w:t>
            </w:r>
          </w:p>
        </w:tc>
      </w:tr>
      <w:tr w14:paraId="74D19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6E43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92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14:paraId="2D92B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124DA2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8E55">
            <w:pPr>
              <w:pStyle w:val="10"/>
              <w:ind w:left="0" w:leftChars="0" w:firstLine="0" w:firstLineChars="0"/>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运转保障率</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C88D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19D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64A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7E1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2E5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34C0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BE9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E398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25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经济</w:t>
            </w:r>
            <w:r>
              <w:rPr>
                <w:rFonts w:hint="default" w:ascii="Times New Roman" w:hAnsi="Times New Roman" w:eastAsia="宋体" w:cs="Times New Roman"/>
                <w:i w:val="0"/>
                <w:color w:val="000000"/>
                <w:kern w:val="0"/>
                <w:sz w:val="24"/>
                <w:szCs w:val="24"/>
                <w:u w:val="none"/>
                <w:lang w:val="en-US" w:eastAsia="zh-CN" w:bidi="ar"/>
              </w:rPr>
              <w:t>效益</w:t>
            </w:r>
          </w:p>
          <w:p w14:paraId="3FB732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822B">
            <w:pPr>
              <w:pStyle w:val="10"/>
              <w:ind w:left="0" w:leftChars="0" w:firstLine="0" w:firstLineChars="0"/>
              <w:rPr>
                <w:rFonts w:hint="default" w:ascii="Times New Roman" w:hAnsi="Times New Roman" w:eastAsia="宋体" w:cs="Times New Roman"/>
                <w:i w:val="0"/>
                <w:color w:val="000000"/>
                <w:sz w:val="24"/>
                <w:szCs w:val="24"/>
                <w:u w:val="none"/>
              </w:rPr>
            </w:pPr>
            <w:r>
              <w:rPr>
                <w:rFonts w:hint="eastAsia" w:ascii="Times New Roman" w:cs="Times New Roman"/>
                <w:i w:val="0"/>
                <w:color w:val="000000"/>
                <w:kern w:val="0"/>
                <w:sz w:val="24"/>
                <w:szCs w:val="24"/>
                <w:u w:val="none"/>
                <w:lang w:val="en-US" w:eastAsia="zh-CN" w:bidi="ar"/>
              </w:rPr>
              <w:t>“三公”经费</w:t>
            </w:r>
            <w:r>
              <w:rPr>
                <w:rFonts w:hint="eastAsia" w:ascii="Times New Roman" w:hAnsi="Times New Roman" w:eastAsia="宋体" w:cs="Times New Roman"/>
                <w:i w:val="0"/>
                <w:color w:val="000000"/>
                <w:kern w:val="0"/>
                <w:sz w:val="24"/>
                <w:szCs w:val="24"/>
                <w:u w:val="none"/>
                <w:lang w:val="en-US" w:eastAsia="zh-CN" w:bidi="ar"/>
              </w:rPr>
              <w:t>控制率[计算方法为：（</w:t>
            </w:r>
            <w:r>
              <w:rPr>
                <w:rFonts w:hint="eastAsia" w:ascii="Times New Roman" w:cs="Times New Roman"/>
                <w:i w:val="0"/>
                <w:color w:val="000000"/>
                <w:kern w:val="0"/>
                <w:sz w:val="24"/>
                <w:szCs w:val="24"/>
                <w:u w:val="none"/>
                <w:lang w:val="en-US" w:eastAsia="zh-CN" w:bidi="ar"/>
              </w:rPr>
              <w:t>“三公”经费</w:t>
            </w:r>
            <w:r>
              <w:rPr>
                <w:rFonts w:hint="eastAsia" w:ascii="Times New Roman" w:hAnsi="Times New Roman" w:eastAsia="宋体" w:cs="Times New Roman"/>
                <w:i w:val="0"/>
                <w:color w:val="000000"/>
                <w:kern w:val="0"/>
                <w:sz w:val="24"/>
                <w:szCs w:val="24"/>
                <w:u w:val="none"/>
                <w:lang w:val="en-US" w:eastAsia="zh-CN" w:bidi="ar"/>
              </w:rPr>
              <w:t>实际支出数/预算安排数]×100%）</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6568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D04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CDE9">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E11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4D6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100%</w:t>
            </w:r>
          </w:p>
        </w:tc>
      </w:tr>
    </w:tbl>
    <w:p w14:paraId="710AC333">
      <w:pPr>
        <w:pStyle w:val="10"/>
        <w:ind w:left="0" w:leftChars="0" w:firstLine="0" w:firstLineChars="0"/>
        <w:rPr>
          <w:rFonts w:hint="default" w:ascii="Times New Roman" w:hAnsi="Times New Roman" w:eastAsia="宋体" w:cs="Times New Roman"/>
          <w:i w:val="0"/>
          <w:color w:val="000000"/>
          <w:kern w:val="0"/>
          <w:sz w:val="24"/>
          <w:szCs w:val="24"/>
          <w:u w:val="none"/>
          <w:lang w:val="en-US" w:eastAsia="zh-CN" w:bidi="ar"/>
        </w:rPr>
      </w:pPr>
    </w:p>
    <w:p w14:paraId="6DCCE468">
      <w:pPr>
        <w:spacing w:line="600" w:lineRule="exact"/>
        <w:jc w:val="center"/>
        <w:outlineLvl w:val="0"/>
        <w:rPr>
          <w:rFonts w:hint="eastAsia" w:ascii="黑体" w:hAnsi="黑体" w:eastAsia="黑体"/>
          <w:color w:val="auto"/>
          <w:sz w:val="44"/>
          <w:szCs w:val="44"/>
          <w:highlight w:val="none"/>
        </w:rPr>
      </w:pPr>
    </w:p>
    <w:p w14:paraId="549EFA17">
      <w:pPr>
        <w:spacing w:line="600" w:lineRule="exact"/>
        <w:jc w:val="both"/>
        <w:outlineLvl w:val="0"/>
        <w:rPr>
          <w:rFonts w:hint="eastAsia" w:ascii="黑体" w:hAnsi="黑体" w:eastAsia="黑体"/>
          <w:color w:val="auto"/>
          <w:sz w:val="44"/>
          <w:szCs w:val="44"/>
          <w:highlight w:val="none"/>
        </w:rPr>
      </w:pPr>
    </w:p>
    <w:p w14:paraId="2BFA3DA3">
      <w:pPr>
        <w:spacing w:line="600" w:lineRule="exact"/>
        <w:jc w:val="center"/>
        <w:outlineLvl w:val="0"/>
        <w:rPr>
          <w:rFonts w:hint="eastAsia" w:ascii="黑体" w:hAnsi="黑体" w:eastAsia="黑体"/>
          <w:color w:val="auto"/>
          <w:sz w:val="44"/>
          <w:szCs w:val="44"/>
          <w:highlight w:val="none"/>
        </w:rPr>
      </w:pPr>
    </w:p>
    <w:p w14:paraId="2C139ECA">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51"/>
          <w:rFonts w:hint="eastAsia" w:ascii="黑体" w:hAnsi="黑体" w:eastAsia="黑体"/>
          <w:b w:val="0"/>
          <w:color w:val="auto"/>
          <w:highlight w:val="none"/>
        </w:rPr>
        <w:t>五部分 附表</w:t>
      </w:r>
    </w:p>
    <w:p w14:paraId="38EACC93">
      <w:pPr>
        <w:pStyle w:val="4"/>
        <w:rPr>
          <w:rFonts w:ascii="仿宋" w:hAnsi="仿宋" w:eastAsia="仿宋"/>
          <w:color w:val="auto"/>
          <w:highlight w:val="none"/>
        </w:rPr>
      </w:pPr>
      <w:r>
        <w:rPr>
          <w:rFonts w:hint="eastAsia" w:ascii="仿宋" w:hAnsi="仿宋" w:eastAsia="仿宋"/>
          <w:b w:val="0"/>
          <w:color w:val="auto"/>
          <w:highlight w:val="none"/>
        </w:rPr>
        <w:t>一、收</w:t>
      </w:r>
      <w:r>
        <w:rPr>
          <w:rStyle w:val="52"/>
          <w:rFonts w:hint="eastAsia" w:ascii="仿宋" w:hAnsi="仿宋" w:eastAsia="仿宋"/>
          <w:b w:val="0"/>
          <w:bCs w:val="0"/>
          <w:color w:val="auto"/>
          <w:highlight w:val="none"/>
        </w:rPr>
        <w:t>入支出决算总表</w:t>
      </w:r>
    </w:p>
    <w:p w14:paraId="497CF76F">
      <w:pPr>
        <w:pStyle w:val="4"/>
        <w:rPr>
          <w:rFonts w:ascii="仿宋" w:hAnsi="仿宋" w:eastAsia="仿宋"/>
          <w:color w:val="auto"/>
          <w:highlight w:val="none"/>
        </w:rPr>
      </w:pPr>
      <w:r>
        <w:rPr>
          <w:rFonts w:hint="eastAsia" w:ascii="仿宋" w:hAnsi="仿宋" w:eastAsia="仿宋"/>
          <w:b w:val="0"/>
          <w:color w:val="auto"/>
          <w:highlight w:val="none"/>
        </w:rPr>
        <w:t>二、收</w:t>
      </w:r>
      <w:r>
        <w:rPr>
          <w:rStyle w:val="52"/>
          <w:rFonts w:hint="eastAsia" w:ascii="仿宋" w:hAnsi="仿宋" w:eastAsia="仿宋"/>
          <w:b w:val="0"/>
          <w:bCs w:val="0"/>
          <w:color w:val="auto"/>
          <w:highlight w:val="none"/>
        </w:rPr>
        <w:t>入决算表</w:t>
      </w:r>
    </w:p>
    <w:p w14:paraId="72D2994A">
      <w:pPr>
        <w:pStyle w:val="4"/>
        <w:rPr>
          <w:rFonts w:ascii="仿宋" w:hAnsi="仿宋" w:eastAsia="仿宋"/>
          <w:color w:val="auto"/>
          <w:highlight w:val="none"/>
        </w:rPr>
      </w:pPr>
      <w:r>
        <w:rPr>
          <w:rStyle w:val="5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52"/>
          <w:rFonts w:hint="eastAsia" w:ascii="仿宋" w:hAnsi="仿宋" w:eastAsia="仿宋"/>
          <w:b w:val="0"/>
          <w:bCs w:val="0"/>
          <w:color w:val="auto"/>
          <w:highlight w:val="none"/>
        </w:rPr>
        <w:t>出决算表</w:t>
      </w:r>
    </w:p>
    <w:p w14:paraId="3DE5A8A9">
      <w:pPr>
        <w:pStyle w:val="4"/>
        <w:rPr>
          <w:rFonts w:ascii="仿宋" w:hAnsi="仿宋" w:eastAsia="仿宋"/>
          <w:b w:val="0"/>
          <w:color w:val="auto"/>
          <w:highlight w:val="none"/>
        </w:rPr>
      </w:pPr>
      <w:r>
        <w:rPr>
          <w:rStyle w:val="5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52"/>
          <w:rFonts w:hint="eastAsia" w:ascii="仿宋" w:hAnsi="仿宋" w:eastAsia="仿宋"/>
          <w:b w:val="0"/>
          <w:bCs w:val="0"/>
          <w:color w:val="auto"/>
          <w:highlight w:val="none"/>
        </w:rPr>
        <w:t>政拨款收入支出决算总表</w:t>
      </w:r>
    </w:p>
    <w:p w14:paraId="4EAE646E">
      <w:pPr>
        <w:pStyle w:val="4"/>
        <w:rPr>
          <w:rStyle w:val="52"/>
          <w:rFonts w:ascii="仿宋" w:hAnsi="仿宋" w:eastAsia="仿宋"/>
          <w:b w:val="0"/>
          <w:bCs w:val="0"/>
          <w:color w:val="auto"/>
          <w:highlight w:val="none"/>
        </w:rPr>
      </w:pPr>
      <w:r>
        <w:rPr>
          <w:rStyle w:val="5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52"/>
          <w:rFonts w:hint="eastAsia" w:ascii="仿宋" w:hAnsi="仿宋" w:eastAsia="仿宋"/>
          <w:b w:val="0"/>
          <w:bCs w:val="0"/>
          <w:color w:val="auto"/>
          <w:highlight w:val="none"/>
        </w:rPr>
        <w:t>政拨款支出决算明细表</w:t>
      </w:r>
    </w:p>
    <w:p w14:paraId="1091D59F">
      <w:pPr>
        <w:pStyle w:val="4"/>
        <w:rPr>
          <w:rFonts w:ascii="仿宋" w:hAnsi="仿宋" w:eastAsia="仿宋"/>
          <w:color w:val="auto"/>
          <w:highlight w:val="none"/>
        </w:rPr>
      </w:pPr>
      <w:r>
        <w:rPr>
          <w:rStyle w:val="5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52"/>
          <w:rFonts w:hint="eastAsia" w:ascii="仿宋" w:hAnsi="仿宋" w:eastAsia="仿宋"/>
          <w:b w:val="0"/>
          <w:bCs w:val="0"/>
          <w:color w:val="auto"/>
          <w:highlight w:val="none"/>
        </w:rPr>
        <w:t>般公共预算财政拨款支出决算表</w:t>
      </w:r>
    </w:p>
    <w:p w14:paraId="410EDE53">
      <w:pPr>
        <w:pStyle w:val="4"/>
        <w:rPr>
          <w:rFonts w:ascii="仿宋" w:hAnsi="仿宋" w:eastAsia="仿宋"/>
          <w:color w:val="auto"/>
          <w:highlight w:val="none"/>
        </w:rPr>
      </w:pPr>
      <w:r>
        <w:rPr>
          <w:rStyle w:val="5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52"/>
          <w:rFonts w:hint="eastAsia" w:ascii="仿宋" w:hAnsi="仿宋" w:eastAsia="仿宋"/>
          <w:b w:val="0"/>
          <w:bCs w:val="0"/>
          <w:color w:val="auto"/>
          <w:highlight w:val="none"/>
        </w:rPr>
        <w:t>般公共预算财政拨款支出决算明细表</w:t>
      </w:r>
    </w:p>
    <w:p w14:paraId="2CBEEB7E">
      <w:pPr>
        <w:pStyle w:val="4"/>
        <w:rPr>
          <w:rFonts w:ascii="仿宋" w:hAnsi="仿宋" w:eastAsia="仿宋"/>
          <w:color w:val="auto"/>
          <w:highlight w:val="none"/>
        </w:rPr>
      </w:pPr>
      <w:r>
        <w:rPr>
          <w:rStyle w:val="5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52"/>
          <w:rFonts w:hint="eastAsia" w:ascii="仿宋" w:hAnsi="仿宋" w:eastAsia="仿宋"/>
          <w:b w:val="0"/>
          <w:bCs w:val="0"/>
          <w:color w:val="auto"/>
          <w:highlight w:val="none"/>
        </w:rPr>
        <w:t>般公共预算财政拨款基本支出决算表</w:t>
      </w:r>
    </w:p>
    <w:p w14:paraId="0340DEFC">
      <w:pPr>
        <w:pStyle w:val="4"/>
        <w:rPr>
          <w:rFonts w:ascii="仿宋" w:hAnsi="仿宋" w:eastAsia="仿宋"/>
          <w:color w:val="auto"/>
          <w:highlight w:val="none"/>
        </w:rPr>
      </w:pPr>
      <w:r>
        <w:rPr>
          <w:rStyle w:val="5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52"/>
          <w:rFonts w:hint="eastAsia" w:ascii="仿宋" w:hAnsi="仿宋" w:eastAsia="仿宋"/>
          <w:b w:val="0"/>
          <w:bCs w:val="0"/>
          <w:color w:val="auto"/>
          <w:highlight w:val="none"/>
        </w:rPr>
        <w:t>般公共预算财政拨款项目支出决算表</w:t>
      </w:r>
    </w:p>
    <w:p w14:paraId="5162DD61">
      <w:pPr>
        <w:pStyle w:val="4"/>
        <w:rPr>
          <w:rFonts w:ascii="仿宋" w:hAnsi="仿宋" w:eastAsia="仿宋"/>
          <w:color w:val="auto"/>
          <w:highlight w:val="none"/>
        </w:rPr>
      </w:pPr>
      <w:r>
        <w:rPr>
          <w:rStyle w:val="52"/>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52"/>
          <w:rFonts w:hint="eastAsia" w:ascii="仿宋" w:hAnsi="仿宋" w:eastAsia="仿宋"/>
          <w:b w:val="0"/>
          <w:bCs w:val="0"/>
          <w:color w:val="auto"/>
          <w:highlight w:val="none"/>
        </w:rPr>
        <w:t>府性基金预算财政拨款收入支出决算表</w:t>
      </w:r>
    </w:p>
    <w:p w14:paraId="009FCCC1">
      <w:pPr>
        <w:pStyle w:val="4"/>
        <w:rPr>
          <w:rFonts w:ascii="仿宋" w:hAnsi="仿宋" w:eastAsia="仿宋"/>
          <w:color w:val="auto"/>
          <w:highlight w:val="none"/>
        </w:rPr>
      </w:pPr>
      <w:r>
        <w:rPr>
          <w:rStyle w:val="52"/>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52"/>
          <w:rFonts w:hint="eastAsia" w:ascii="仿宋" w:hAnsi="仿宋" w:eastAsia="仿宋"/>
          <w:b w:val="0"/>
          <w:bCs w:val="0"/>
          <w:color w:val="auto"/>
          <w:highlight w:val="none"/>
        </w:rPr>
        <w:t>有资本经营预算</w:t>
      </w:r>
      <w:r>
        <w:rPr>
          <w:rStyle w:val="52"/>
          <w:rFonts w:hint="eastAsia" w:ascii="仿宋" w:hAnsi="仿宋" w:eastAsia="仿宋"/>
          <w:b w:val="0"/>
          <w:bCs w:val="0"/>
          <w:color w:val="auto"/>
          <w:highlight w:val="none"/>
          <w:lang w:eastAsia="zh-CN"/>
        </w:rPr>
        <w:t>财政拨款收入</w:t>
      </w:r>
      <w:r>
        <w:rPr>
          <w:rStyle w:val="52"/>
          <w:rFonts w:hint="eastAsia" w:ascii="仿宋" w:hAnsi="仿宋" w:eastAsia="仿宋"/>
          <w:b w:val="0"/>
          <w:bCs w:val="0"/>
          <w:color w:val="auto"/>
          <w:highlight w:val="none"/>
        </w:rPr>
        <w:t>支出决算表</w:t>
      </w:r>
    </w:p>
    <w:p w14:paraId="1E0E6F5D">
      <w:pPr>
        <w:pStyle w:val="4"/>
        <w:rPr>
          <w:rFonts w:ascii="仿宋" w:hAnsi="仿宋" w:eastAsia="仿宋"/>
          <w:color w:val="auto"/>
          <w:highlight w:val="none"/>
        </w:rPr>
      </w:pPr>
      <w:r>
        <w:rPr>
          <w:rStyle w:val="52"/>
          <w:rFonts w:hint="eastAsia" w:ascii="仿宋" w:hAnsi="仿宋" w:eastAsia="仿宋"/>
          <w:b w:val="0"/>
          <w:bCs w:val="0"/>
          <w:color w:val="auto"/>
          <w:highlight w:val="none"/>
        </w:rPr>
        <w:t>十二、</w:t>
      </w:r>
      <w:r>
        <w:rPr>
          <w:rStyle w:val="52"/>
          <w:rFonts w:hint="eastAsia" w:ascii="仿宋" w:hAnsi="仿宋" w:eastAsia="仿宋"/>
          <w:b w:val="0"/>
          <w:bCs w:val="0"/>
          <w:color w:val="auto"/>
          <w:highlight w:val="none"/>
          <w:lang w:eastAsia="zh-CN"/>
        </w:rPr>
        <w:t>国有资本经营预算财政拨款支出决算表</w:t>
      </w:r>
    </w:p>
    <w:p w14:paraId="47EF5A74">
      <w:pPr>
        <w:pStyle w:val="4"/>
        <w:rPr>
          <w:rFonts w:hint="eastAsia" w:eastAsia="仿宋"/>
          <w:color w:val="auto"/>
          <w:highlight w:val="none"/>
          <w:lang w:eastAsia="zh-CN"/>
        </w:rPr>
      </w:pPr>
      <w:r>
        <w:rPr>
          <w:rStyle w:val="52"/>
          <w:rFonts w:hint="eastAsia" w:ascii="仿宋" w:hAnsi="仿宋" w:eastAsia="仿宋"/>
          <w:b w:val="0"/>
          <w:bCs w:val="0"/>
          <w:color w:val="auto"/>
          <w:highlight w:val="none"/>
        </w:rPr>
        <w:t>十三、</w:t>
      </w:r>
      <w:r>
        <w:rPr>
          <w:rStyle w:val="52"/>
          <w:rFonts w:hint="eastAsia" w:ascii="仿宋" w:hAnsi="仿宋" w:eastAsia="仿宋"/>
          <w:b w:val="0"/>
          <w:bCs w:val="0"/>
          <w:color w:val="auto"/>
          <w:highlight w:val="none"/>
          <w:lang w:eastAsia="zh-CN"/>
        </w:rPr>
        <w:t>财政拨款“三公”经费支出决算表</w:t>
      </w:r>
    </w:p>
    <w:p w14:paraId="0980D0D4">
      <w:pPr>
        <w:pStyle w:val="4"/>
        <w:rPr>
          <w:rFonts w:ascii="黑体" w:eastAsia="黑体" w:cs="Times New Roman"/>
          <w:b w:val="0"/>
          <w:color w:val="00000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FE7EEF-3A87-4F93-87CD-42C0FC7E78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D17C6794-43D7-43A8-9A3F-D2757F6BAB97}"/>
  </w:font>
  <w:font w:name="仿宋_GB2312">
    <w:panose1 w:val="02010609030101010101"/>
    <w:charset w:val="86"/>
    <w:family w:val="modern"/>
    <w:pitch w:val="default"/>
    <w:sig w:usb0="00000001" w:usb1="080E0000" w:usb2="00000000" w:usb3="00000000" w:csb0="00040000" w:csb1="00000000"/>
    <w:embedRegular r:id="rId3" w:fontKey="{E1101705-88B1-4BF9-842A-EF7D48740BDD}"/>
  </w:font>
  <w:font w:name="仿宋">
    <w:panose1 w:val="02010609060101010101"/>
    <w:charset w:val="86"/>
    <w:family w:val="modern"/>
    <w:pitch w:val="default"/>
    <w:sig w:usb0="800002BF" w:usb1="38CF7CFA" w:usb2="00000016" w:usb3="00000000" w:csb0="00040001" w:csb1="00000000"/>
    <w:embedRegular r:id="rId4" w:fontKey="{04DC2771-0E55-428A-B5FE-B0CAB5FA1E48}"/>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95581040-86BC-41AE-9C7C-8DE5F6CC071C}"/>
  </w:font>
  <w:font w:name="楷体_GB2312">
    <w:panose1 w:val="02010609030101010101"/>
    <w:charset w:val="86"/>
    <w:family w:val="auto"/>
    <w:pitch w:val="default"/>
    <w:sig w:usb0="00000001" w:usb1="080E0000" w:usb2="00000000" w:usb3="00000000" w:csb0="00040000" w:csb1="00000000"/>
    <w:embedRegular r:id="rId6" w:fontKey="{6280C4A6-4323-4F2D-8F16-906C8B559A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4573063">
        <w:pPr>
          <w:pStyle w:val="13"/>
          <w:jc w:val="center"/>
        </w:pPr>
        <w:r>
          <w:fldChar w:fldCharType="begin"/>
        </w:r>
        <w:r>
          <w:instrText xml:space="preserve">PAGE   \* MERGEFORMAT</w:instrText>
        </w:r>
        <w:r>
          <w:fldChar w:fldCharType="separate"/>
        </w:r>
        <w:r>
          <w:rPr>
            <w:lang w:val="zh-CN"/>
          </w:rPr>
          <w:t>4</w:t>
        </w:r>
        <w:r>
          <w:fldChar w:fldCharType="end"/>
        </w:r>
      </w:p>
    </w:sdtContent>
  </w:sdt>
  <w:p w14:paraId="34A45E1D">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6AA8C">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598D9"/>
    <w:multiLevelType w:val="singleLevel"/>
    <w:tmpl w:val="D57598D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yNTUwMGM4MjA3OTY5NGU5YWQ3OWJmNTYyYTVmYzEifQ=="/>
  </w:docVars>
  <w:rsids>
    <w:rsidRoot w:val="00F1361C"/>
    <w:rsid w:val="000000BC"/>
    <w:rsid w:val="00000665"/>
    <w:rsid w:val="00000B38"/>
    <w:rsid w:val="000015A2"/>
    <w:rsid w:val="00003E5B"/>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213E"/>
    <w:rsid w:val="001544D9"/>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5CF3"/>
    <w:rsid w:val="001A63BB"/>
    <w:rsid w:val="001B1840"/>
    <w:rsid w:val="001B1FA9"/>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496"/>
    <w:rsid w:val="00283D63"/>
    <w:rsid w:val="002856F9"/>
    <w:rsid w:val="002866CA"/>
    <w:rsid w:val="00286C21"/>
    <w:rsid w:val="002875BF"/>
    <w:rsid w:val="0029076F"/>
    <w:rsid w:val="0029094E"/>
    <w:rsid w:val="00291DC2"/>
    <w:rsid w:val="00292626"/>
    <w:rsid w:val="00292E6B"/>
    <w:rsid w:val="00295495"/>
    <w:rsid w:val="002A0D55"/>
    <w:rsid w:val="002A0E88"/>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5025"/>
    <w:rsid w:val="00386455"/>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2FDA"/>
    <w:rsid w:val="00513ED7"/>
    <w:rsid w:val="0051467D"/>
    <w:rsid w:val="00520DA0"/>
    <w:rsid w:val="005225FC"/>
    <w:rsid w:val="00524AC4"/>
    <w:rsid w:val="0052729E"/>
    <w:rsid w:val="0052733D"/>
    <w:rsid w:val="00530E19"/>
    <w:rsid w:val="00530F71"/>
    <w:rsid w:val="005322EB"/>
    <w:rsid w:val="0053459C"/>
    <w:rsid w:val="00550726"/>
    <w:rsid w:val="0055106D"/>
    <w:rsid w:val="005559A4"/>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2830"/>
    <w:rsid w:val="006256DB"/>
    <w:rsid w:val="00630AEF"/>
    <w:rsid w:val="006325F8"/>
    <w:rsid w:val="00633AE4"/>
    <w:rsid w:val="006348B1"/>
    <w:rsid w:val="00634C9A"/>
    <w:rsid w:val="00635FC7"/>
    <w:rsid w:val="00636040"/>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471C"/>
    <w:rsid w:val="006B533E"/>
    <w:rsid w:val="006C1937"/>
    <w:rsid w:val="006C397F"/>
    <w:rsid w:val="006C6427"/>
    <w:rsid w:val="006C76DB"/>
    <w:rsid w:val="006D1F0B"/>
    <w:rsid w:val="006D42C6"/>
    <w:rsid w:val="006E0081"/>
    <w:rsid w:val="006E3700"/>
    <w:rsid w:val="006E6C66"/>
    <w:rsid w:val="006F020C"/>
    <w:rsid w:val="006F3DF7"/>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182A"/>
    <w:rsid w:val="00763BC1"/>
    <w:rsid w:val="0076499D"/>
    <w:rsid w:val="007656DB"/>
    <w:rsid w:val="007676D8"/>
    <w:rsid w:val="00767A7D"/>
    <w:rsid w:val="00767B7E"/>
    <w:rsid w:val="00767BE6"/>
    <w:rsid w:val="00775A39"/>
    <w:rsid w:val="00776900"/>
    <w:rsid w:val="007770C3"/>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A58"/>
    <w:rsid w:val="008918AA"/>
    <w:rsid w:val="008918C9"/>
    <w:rsid w:val="008939CD"/>
    <w:rsid w:val="00893E7C"/>
    <w:rsid w:val="00895862"/>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AED"/>
    <w:rsid w:val="00BA22CD"/>
    <w:rsid w:val="00BA3028"/>
    <w:rsid w:val="00BA3356"/>
    <w:rsid w:val="00BA49E7"/>
    <w:rsid w:val="00BA5298"/>
    <w:rsid w:val="00BB1990"/>
    <w:rsid w:val="00BB2D7E"/>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955"/>
    <w:rsid w:val="00C77D1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8058B"/>
    <w:rsid w:val="00D811F1"/>
    <w:rsid w:val="00D81CF0"/>
    <w:rsid w:val="00D86259"/>
    <w:rsid w:val="00D9128F"/>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1865F9"/>
    <w:rsid w:val="089C4B49"/>
    <w:rsid w:val="09081517"/>
    <w:rsid w:val="091B747D"/>
    <w:rsid w:val="0A19737C"/>
    <w:rsid w:val="0ACF434F"/>
    <w:rsid w:val="0B7218AA"/>
    <w:rsid w:val="0B99373B"/>
    <w:rsid w:val="0BA37CB5"/>
    <w:rsid w:val="0C2D23E3"/>
    <w:rsid w:val="0CF54274"/>
    <w:rsid w:val="0D0429D6"/>
    <w:rsid w:val="0D093B48"/>
    <w:rsid w:val="0D322E51"/>
    <w:rsid w:val="0D6C338E"/>
    <w:rsid w:val="0DB37F58"/>
    <w:rsid w:val="0E547045"/>
    <w:rsid w:val="0F5E6610"/>
    <w:rsid w:val="10C055FF"/>
    <w:rsid w:val="11D56DF6"/>
    <w:rsid w:val="11ED6591"/>
    <w:rsid w:val="12095EA3"/>
    <w:rsid w:val="13367661"/>
    <w:rsid w:val="14306F19"/>
    <w:rsid w:val="15DE5A32"/>
    <w:rsid w:val="16BB723D"/>
    <w:rsid w:val="17BC7656"/>
    <w:rsid w:val="17EA348C"/>
    <w:rsid w:val="1840212F"/>
    <w:rsid w:val="18ED2DC7"/>
    <w:rsid w:val="19943114"/>
    <w:rsid w:val="19D7036E"/>
    <w:rsid w:val="1AB026BC"/>
    <w:rsid w:val="1ABB32B6"/>
    <w:rsid w:val="1B003C01"/>
    <w:rsid w:val="1BA3785E"/>
    <w:rsid w:val="1BF70747"/>
    <w:rsid w:val="1C06153F"/>
    <w:rsid w:val="1C986C96"/>
    <w:rsid w:val="1D322648"/>
    <w:rsid w:val="1D7371C3"/>
    <w:rsid w:val="1DDC2BB3"/>
    <w:rsid w:val="1E34479D"/>
    <w:rsid w:val="1E7C7BBC"/>
    <w:rsid w:val="1EF81F78"/>
    <w:rsid w:val="1F620905"/>
    <w:rsid w:val="201A6AB0"/>
    <w:rsid w:val="203B66A0"/>
    <w:rsid w:val="211A679A"/>
    <w:rsid w:val="23902475"/>
    <w:rsid w:val="240371BF"/>
    <w:rsid w:val="2435534E"/>
    <w:rsid w:val="24534F10"/>
    <w:rsid w:val="24DF6C66"/>
    <w:rsid w:val="25021151"/>
    <w:rsid w:val="253D03DB"/>
    <w:rsid w:val="256F01CA"/>
    <w:rsid w:val="25A20B86"/>
    <w:rsid w:val="25B1070F"/>
    <w:rsid w:val="25DD571A"/>
    <w:rsid w:val="265C1D1F"/>
    <w:rsid w:val="26BB36DB"/>
    <w:rsid w:val="271C5A93"/>
    <w:rsid w:val="276F1834"/>
    <w:rsid w:val="27B459F9"/>
    <w:rsid w:val="27C51E91"/>
    <w:rsid w:val="27C82525"/>
    <w:rsid w:val="28513369"/>
    <w:rsid w:val="2883323E"/>
    <w:rsid w:val="28BF6D42"/>
    <w:rsid w:val="29FD04D3"/>
    <w:rsid w:val="2A446451"/>
    <w:rsid w:val="2AB5122E"/>
    <w:rsid w:val="2BE55328"/>
    <w:rsid w:val="2CAE1BBE"/>
    <w:rsid w:val="2CCF04B2"/>
    <w:rsid w:val="2E4C04E0"/>
    <w:rsid w:val="2F803D16"/>
    <w:rsid w:val="31810DA9"/>
    <w:rsid w:val="31903F88"/>
    <w:rsid w:val="319F7F4E"/>
    <w:rsid w:val="329448A6"/>
    <w:rsid w:val="32F45598"/>
    <w:rsid w:val="34B951A7"/>
    <w:rsid w:val="35117FAC"/>
    <w:rsid w:val="35244754"/>
    <w:rsid w:val="364D41F6"/>
    <w:rsid w:val="36CE6CBD"/>
    <w:rsid w:val="36FB44E5"/>
    <w:rsid w:val="36FD0156"/>
    <w:rsid w:val="38376184"/>
    <w:rsid w:val="38F8371D"/>
    <w:rsid w:val="39226F5F"/>
    <w:rsid w:val="39902098"/>
    <w:rsid w:val="3A3A0F35"/>
    <w:rsid w:val="3A4D633A"/>
    <w:rsid w:val="3A4E1148"/>
    <w:rsid w:val="3AB26776"/>
    <w:rsid w:val="3C0C6411"/>
    <w:rsid w:val="3C8D2F9D"/>
    <w:rsid w:val="3CE0510E"/>
    <w:rsid w:val="3D1E4B3E"/>
    <w:rsid w:val="3DE62EF8"/>
    <w:rsid w:val="3DF02037"/>
    <w:rsid w:val="3E03620E"/>
    <w:rsid w:val="3E343C22"/>
    <w:rsid w:val="3EE250BD"/>
    <w:rsid w:val="3F512FA9"/>
    <w:rsid w:val="3FAC4683"/>
    <w:rsid w:val="3FEA5DFB"/>
    <w:rsid w:val="401C35B7"/>
    <w:rsid w:val="4119235A"/>
    <w:rsid w:val="41677310"/>
    <w:rsid w:val="422C2C46"/>
    <w:rsid w:val="4251506E"/>
    <w:rsid w:val="425F778B"/>
    <w:rsid w:val="43684120"/>
    <w:rsid w:val="436A63E7"/>
    <w:rsid w:val="444F07DA"/>
    <w:rsid w:val="44601E28"/>
    <w:rsid w:val="475E72DC"/>
    <w:rsid w:val="47F514AF"/>
    <w:rsid w:val="4839282C"/>
    <w:rsid w:val="48FD75BD"/>
    <w:rsid w:val="49103530"/>
    <w:rsid w:val="4A745623"/>
    <w:rsid w:val="4C8846F5"/>
    <w:rsid w:val="4C9E7102"/>
    <w:rsid w:val="4CCC3C6F"/>
    <w:rsid w:val="4D135D42"/>
    <w:rsid w:val="4D846266"/>
    <w:rsid w:val="4D8D78A2"/>
    <w:rsid w:val="4DF123A8"/>
    <w:rsid w:val="4E832A53"/>
    <w:rsid w:val="4F10585E"/>
    <w:rsid w:val="4F171C79"/>
    <w:rsid w:val="4F457D08"/>
    <w:rsid w:val="4F6F7A34"/>
    <w:rsid w:val="4FD74194"/>
    <w:rsid w:val="4FDA49F5"/>
    <w:rsid w:val="50AE413E"/>
    <w:rsid w:val="51E1640E"/>
    <w:rsid w:val="51EE42CA"/>
    <w:rsid w:val="52302EF2"/>
    <w:rsid w:val="52ED6284"/>
    <w:rsid w:val="5322283B"/>
    <w:rsid w:val="532B0C13"/>
    <w:rsid w:val="53BE2B80"/>
    <w:rsid w:val="541505F1"/>
    <w:rsid w:val="54992FD0"/>
    <w:rsid w:val="55872E29"/>
    <w:rsid w:val="558914F6"/>
    <w:rsid w:val="56D0674C"/>
    <w:rsid w:val="570908AC"/>
    <w:rsid w:val="5875340D"/>
    <w:rsid w:val="58BA52C3"/>
    <w:rsid w:val="59511546"/>
    <w:rsid w:val="59D933C8"/>
    <w:rsid w:val="59E11CD3"/>
    <w:rsid w:val="5BE202EA"/>
    <w:rsid w:val="5CFA7F1D"/>
    <w:rsid w:val="5D177708"/>
    <w:rsid w:val="5E2506F8"/>
    <w:rsid w:val="5EA316D6"/>
    <w:rsid w:val="5F0F0BAC"/>
    <w:rsid w:val="5F3A07D2"/>
    <w:rsid w:val="5F593A88"/>
    <w:rsid w:val="60651EAC"/>
    <w:rsid w:val="60BB3927"/>
    <w:rsid w:val="612A5106"/>
    <w:rsid w:val="62A42EE2"/>
    <w:rsid w:val="630D013F"/>
    <w:rsid w:val="63347FC4"/>
    <w:rsid w:val="63604CB9"/>
    <w:rsid w:val="64264155"/>
    <w:rsid w:val="64A36D0B"/>
    <w:rsid w:val="64C656C1"/>
    <w:rsid w:val="65C307EF"/>
    <w:rsid w:val="65DF63C9"/>
    <w:rsid w:val="662A7F2C"/>
    <w:rsid w:val="68DA2DB6"/>
    <w:rsid w:val="69725134"/>
    <w:rsid w:val="6A271296"/>
    <w:rsid w:val="6B4666B6"/>
    <w:rsid w:val="6B7632CC"/>
    <w:rsid w:val="6C6B4E21"/>
    <w:rsid w:val="6CA708D5"/>
    <w:rsid w:val="6CC85DA9"/>
    <w:rsid w:val="6D013069"/>
    <w:rsid w:val="6D6A6E1B"/>
    <w:rsid w:val="6D8F2D6B"/>
    <w:rsid w:val="6DC31436"/>
    <w:rsid w:val="6ECB49CF"/>
    <w:rsid w:val="6ECB5A2B"/>
    <w:rsid w:val="70202A42"/>
    <w:rsid w:val="70F01D72"/>
    <w:rsid w:val="72227D09"/>
    <w:rsid w:val="726D3138"/>
    <w:rsid w:val="72A84A14"/>
    <w:rsid w:val="72E476B5"/>
    <w:rsid w:val="72EF049A"/>
    <w:rsid w:val="73BE3A62"/>
    <w:rsid w:val="746C7E4B"/>
    <w:rsid w:val="74B56FE4"/>
    <w:rsid w:val="750E6C6B"/>
    <w:rsid w:val="755E374E"/>
    <w:rsid w:val="76377F56"/>
    <w:rsid w:val="764B35A7"/>
    <w:rsid w:val="771A70DD"/>
    <w:rsid w:val="780A5FB7"/>
    <w:rsid w:val="78A4106B"/>
    <w:rsid w:val="79975481"/>
    <w:rsid w:val="79F24465"/>
    <w:rsid w:val="7A1B4027"/>
    <w:rsid w:val="7A965738"/>
    <w:rsid w:val="7ABC1C9C"/>
    <w:rsid w:val="7B022DCE"/>
    <w:rsid w:val="7B272834"/>
    <w:rsid w:val="7B700013"/>
    <w:rsid w:val="7B8F71DF"/>
    <w:rsid w:val="7CB2612E"/>
    <w:rsid w:val="7CBF483B"/>
    <w:rsid w:val="7CC25607"/>
    <w:rsid w:val="7CEF2EDE"/>
    <w:rsid w:val="7D1E0EF5"/>
    <w:rsid w:val="7DB87774"/>
    <w:rsid w:val="7DD8666A"/>
    <w:rsid w:val="7DE859ED"/>
    <w:rsid w:val="7DF86705"/>
    <w:rsid w:val="7E4C610E"/>
    <w:rsid w:val="7EEB13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Normal Indent"/>
    <w:basedOn w:val="1"/>
    <w:unhideWhenUsed/>
    <w:qFormat/>
    <w:uiPriority w:val="99"/>
    <w:pPr>
      <w:ind w:firstLine="680"/>
    </w:pPr>
  </w:style>
  <w:style w:type="paragraph" w:styleId="7">
    <w:name w:val="annotation text"/>
    <w:basedOn w:val="1"/>
    <w:unhideWhenUsed/>
    <w:qFormat/>
    <w:uiPriority w:val="99"/>
    <w:pPr>
      <w:jc w:val="left"/>
    </w:pPr>
  </w:style>
  <w:style w:type="paragraph" w:styleId="8">
    <w:name w:val="Body Text"/>
    <w:basedOn w:val="1"/>
    <w:link w:val="30"/>
    <w:qFormat/>
    <w:uiPriority w:val="99"/>
    <w:pPr>
      <w:spacing w:beforeLines="30"/>
    </w:pPr>
    <w:rPr>
      <w:rFonts w:ascii="仿宋_GB2312" w:eastAsia="仿宋_GB2312"/>
      <w:kern w:val="0"/>
      <w:sz w:val="30"/>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5"/>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able of figures"/>
    <w:basedOn w:val="1"/>
    <w:next w:val="1"/>
    <w:qFormat/>
    <w:uiPriority w:val="0"/>
    <w:pPr>
      <w:ind w:left="200" w:leftChars="200" w:hanging="200" w:hangingChars="200"/>
    </w:pPr>
  </w:style>
  <w:style w:type="paragraph" w:styleId="18">
    <w:name w:val="toc 2"/>
    <w:basedOn w:val="1"/>
    <w:next w:val="1"/>
    <w:unhideWhenUsed/>
    <w:qFormat/>
    <w:uiPriority w:val="39"/>
    <w:pPr>
      <w:tabs>
        <w:tab w:val="right" w:leader="dot" w:pos="8296"/>
      </w:tabs>
      <w:ind w:left="420" w:leftChars="200"/>
    </w:p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rPr>
  </w:style>
  <w:style w:type="character" w:styleId="23">
    <w:name w:val="annotation reference"/>
    <w:basedOn w:val="20"/>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4"/>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字符"/>
    <w:link w:val="13"/>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8"/>
    <w:qFormat/>
    <w:locked/>
    <w:uiPriority w:val="99"/>
    <w:rPr>
      <w:rFonts w:ascii="仿宋_GB2312" w:hAnsi="Times New Roman" w:eastAsia="仿宋_GB2312"/>
      <w:sz w:val="24"/>
    </w:rPr>
  </w:style>
  <w:style w:type="paragraph" w:customStyle="1" w:styleId="31">
    <w:name w:val="List Paragraph"/>
    <w:basedOn w:val="1"/>
    <w:qFormat/>
    <w:uiPriority w:val="34"/>
    <w:pPr>
      <w:ind w:firstLine="420" w:firstLineChars="200"/>
    </w:pPr>
  </w:style>
  <w:style w:type="character" w:customStyle="1" w:styleId="32">
    <w:name w:val="标题 1 字符"/>
    <w:basedOn w:val="20"/>
    <w:link w:val="3"/>
    <w:qFormat/>
    <w:uiPriority w:val="9"/>
    <w:rPr>
      <w:rFonts w:ascii="Times New Roman" w:hAnsi="Times New Roman"/>
      <w:b/>
      <w:bCs/>
      <w:kern w:val="44"/>
      <w:sz w:val="44"/>
      <w:szCs w:val="44"/>
    </w:rPr>
  </w:style>
  <w:style w:type="character" w:customStyle="1" w:styleId="33">
    <w:name w:val="标题 2 字符"/>
    <w:basedOn w:val="20"/>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字符"/>
    <w:basedOn w:val="20"/>
    <w:link w:val="12"/>
    <w:semiHidden/>
    <w:qFormat/>
    <w:uiPriority w:val="99"/>
    <w:rPr>
      <w:rFonts w:ascii="Times New Roman" w:hAnsi="Times New Roman"/>
      <w:kern w:val="2"/>
      <w:sz w:val="18"/>
      <w:szCs w:val="18"/>
    </w:rPr>
  </w:style>
  <w:style w:type="character" w:customStyle="1" w:styleId="36">
    <w:name w:val="标题 3 字符"/>
    <w:basedOn w:val="20"/>
    <w:link w:val="5"/>
    <w:qFormat/>
    <w:uiPriority w:val="9"/>
    <w:rPr>
      <w:rFonts w:ascii="Times New Roman" w:hAnsi="Times New Roman"/>
      <w:b/>
      <w:bCs/>
      <w:kern w:val="2"/>
      <w:sz w:val="32"/>
      <w:szCs w:val="32"/>
    </w:rPr>
  </w:style>
  <w:style w:type="paragraph" w:customStyle="1" w:styleId="37">
    <w:name w:val="Normald73128dd"/>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8">
    <w:name w:val="heading 1522e04e7"/>
    <w:basedOn w:val="37"/>
    <w:next w:val="3"/>
    <w:qFormat/>
    <w:uiPriority w:val="0"/>
    <w:pPr>
      <w:keepNext/>
      <w:keepLines/>
      <w:spacing w:before="340" w:after="330" w:line="578" w:lineRule="auto"/>
      <w:outlineLvl w:val="0"/>
    </w:pPr>
    <w:rPr>
      <w:b/>
      <w:bCs/>
      <w:kern w:val="44"/>
      <w:sz w:val="44"/>
    </w:rPr>
  </w:style>
  <w:style w:type="paragraph" w:customStyle="1" w:styleId="39">
    <w:name w:val="heading 238bf3d58"/>
    <w:basedOn w:val="37"/>
    <w:next w:val="3"/>
    <w:qFormat/>
    <w:uiPriority w:val="0"/>
    <w:pPr>
      <w:keepNext/>
      <w:keepLines/>
      <w:spacing w:before="260" w:after="260" w:line="415" w:lineRule="auto"/>
      <w:outlineLvl w:val="1"/>
    </w:pPr>
    <w:rPr>
      <w:rFonts w:ascii="Arial" w:hAnsi="Arial" w:eastAsia="黑体"/>
      <w:b/>
      <w:sz w:val="32"/>
    </w:rPr>
  </w:style>
  <w:style w:type="paragraph" w:customStyle="1" w:styleId="40">
    <w:name w:val="heading 34"/>
    <w:basedOn w:val="37"/>
    <w:next w:val="3"/>
    <w:qFormat/>
    <w:uiPriority w:val="0"/>
    <w:pPr>
      <w:keepNext/>
      <w:keepLines/>
      <w:spacing w:before="260" w:after="260" w:line="415" w:lineRule="auto"/>
      <w:outlineLvl w:val="2"/>
    </w:pPr>
    <w:rPr>
      <w:b/>
      <w:sz w:val="32"/>
    </w:rPr>
  </w:style>
  <w:style w:type="character" w:customStyle="1" w:styleId="41">
    <w:name w:val="Default Paragraph Fontd79680fa"/>
    <w:qFormat/>
    <w:uiPriority w:val="0"/>
  </w:style>
  <w:style w:type="table" w:customStyle="1" w:styleId="42">
    <w:name w:val="Normal Table9"/>
    <w:semiHidden/>
    <w:qFormat/>
    <w:uiPriority w:val="0"/>
    <w:tblPr>
      <w:tblCellMar>
        <w:top w:w="0" w:type="dxa"/>
        <w:left w:w="108" w:type="dxa"/>
        <w:bottom w:w="0" w:type="dxa"/>
        <w:right w:w="108" w:type="dxa"/>
      </w:tblCellMar>
    </w:tblPr>
  </w:style>
  <w:style w:type="paragraph" w:customStyle="1" w:styleId="43">
    <w:name w:val="Document Map5"/>
    <w:basedOn w:val="37"/>
    <w:qFormat/>
    <w:uiPriority w:val="0"/>
    <w:rPr>
      <w:rFonts w:ascii="宋体" w:eastAsia="宋体"/>
      <w:sz w:val="18"/>
      <w:szCs w:val="18"/>
    </w:rPr>
  </w:style>
  <w:style w:type="paragraph" w:customStyle="1" w:styleId="44">
    <w:name w:val="Balloon Text6"/>
    <w:basedOn w:val="37"/>
    <w:qFormat/>
    <w:uiPriority w:val="0"/>
    <w:rPr>
      <w:sz w:val="18"/>
      <w:szCs w:val="18"/>
    </w:rPr>
  </w:style>
  <w:style w:type="paragraph" w:customStyle="1" w:styleId="45">
    <w:name w:val="footer7"/>
    <w:basedOn w:val="37"/>
    <w:qFormat/>
    <w:uiPriority w:val="0"/>
    <w:pPr>
      <w:tabs>
        <w:tab w:val="center" w:pos="4153"/>
        <w:tab w:val="right" w:pos="8306"/>
      </w:tabs>
      <w:snapToGrid w:val="0"/>
      <w:jc w:val="left"/>
    </w:pPr>
    <w:rPr>
      <w:rFonts w:eastAsia="宋体"/>
      <w:sz w:val="18"/>
      <w:szCs w:val="18"/>
    </w:rPr>
  </w:style>
  <w:style w:type="paragraph" w:customStyle="1" w:styleId="46">
    <w:name w:val="header8"/>
    <w:basedOn w:val="37"/>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47">
    <w:name w:val="page number11"/>
    <w:basedOn w:val="41"/>
    <w:qFormat/>
    <w:uiPriority w:val="0"/>
  </w:style>
  <w:style w:type="paragraph" w:customStyle="1" w:styleId="48">
    <w:name w:val="四号正文12"/>
    <w:basedOn w:val="37"/>
    <w:qFormat/>
    <w:uiPriority w:val="0"/>
    <w:pPr>
      <w:spacing w:line="360" w:lineRule="auto"/>
    </w:pPr>
    <w:rPr>
      <w:rFonts w:ascii="??" w:hAnsi="??" w:eastAsia="宋体" w:cs="宋体"/>
      <w:color w:val="000000"/>
      <w:kern w:val="0"/>
      <w:sz w:val="28"/>
      <w:szCs w:val="21"/>
    </w:rPr>
  </w:style>
  <w:style w:type="paragraph" w:customStyle="1" w:styleId="49">
    <w:name w:val="a13"/>
    <w:basedOn w:val="37"/>
    <w:qFormat/>
    <w:uiPriority w:val="0"/>
    <w:pPr>
      <w:widowControl/>
      <w:spacing w:before="100" w:beforeAutospacing="1" w:after="100" w:afterAutospacing="1"/>
      <w:jc w:val="left"/>
    </w:pPr>
    <w:rPr>
      <w:rFonts w:ascii="宋体" w:eastAsia="宋体" w:cs="宋体"/>
      <w:kern w:val="0"/>
      <w:sz w:val="24"/>
    </w:rPr>
  </w:style>
  <w:style w:type="paragraph" w:customStyle="1" w:styleId="50">
    <w:name w:val="Normal (Web)14"/>
    <w:basedOn w:val="37"/>
    <w:qFormat/>
    <w:uiPriority w:val="0"/>
    <w:pPr>
      <w:spacing w:before="100" w:beforeAutospacing="1" w:after="100" w:afterAutospacing="1"/>
    </w:pPr>
  </w:style>
  <w:style w:type="character" w:customStyle="1" w:styleId="51">
    <w:name w:val="标题 1 Char"/>
    <w:basedOn w:val="20"/>
    <w:link w:val="3"/>
    <w:qFormat/>
    <w:uiPriority w:val="9"/>
    <w:rPr>
      <w:b/>
      <w:bCs/>
      <w:kern w:val="44"/>
      <w:sz w:val="44"/>
      <w:szCs w:val="44"/>
    </w:rPr>
  </w:style>
  <w:style w:type="character" w:customStyle="1" w:styleId="52">
    <w:name w:val="标题 2 Char"/>
    <w:basedOn w:val="20"/>
    <w:link w:val="4"/>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479.7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{"2024","2023"}</c:f>
              <c:numCache>
                <c:formatCode>General</c:formatCode>
                <c:ptCount val="2"/>
                <c:pt idx="0">
                  <c:v>2024</c:v>
                </c:pt>
                <c:pt idx="1">
                  <c:v>2023</c:v>
                </c:pt>
              </c:numCache>
            </c:numRef>
          </c:cat>
          <c:val>
            <c:numRef>
              <c:f>{479.7,279.55}</c:f>
              <c:numCache>
                <c:formatCode>General</c:formatCode>
                <c:ptCount val="2"/>
                <c:pt idx="0">
                  <c:v>479.7</c:v>
                </c:pt>
                <c:pt idx="1">
                  <c:v>279.55</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{"2024","2023"}</c:f>
              <c:numCache>
                <c:formatCode>General</c:formatCode>
                <c:ptCount val="2"/>
                <c:pt idx="0">
                  <c:v>2024</c:v>
                </c:pt>
                <c:pt idx="1">
                  <c:v>2023</c:v>
                </c:pt>
              </c:numCache>
            </c:numRef>
          </c:cat>
          <c:val>
            <c:numRef>
              <c:f>{479.7,412.83}</c:f>
              <c:numCache>
                <c:formatCode>General</c:formatCode>
                <c:ptCount val="2"/>
                <c:pt idx="0">
                  <c:v>479.7</c:v>
                </c:pt>
                <c:pt idx="1">
                  <c:v>412.83</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aa36e67-1d89-4005-90a1-28592055aabb}"/>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{4168465,0,0,0,0,0,0,0}</c:f>
              <c:numCache>
                <c:formatCode>General</c:formatCode>
                <c:ptCount val="8"/>
                <c:pt idx="0">
                  <c:v>4168465</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0c1cf79b-614a-4b54-9fda-9b984e6c6abf}"/>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{321.27,158.43,0,0,0}</c:f>
              <c:numCache>
                <c:formatCode>General</c:formatCode>
                <c:ptCount val="5"/>
                <c:pt idx="0">
                  <c:v>321.27</c:v>
                </c:pt>
                <c:pt idx="1">
                  <c:v>158.43</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7521eabe-153d-41f7-8ff1-d31de2ca7d3b}"/>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{"2024","2023"}</c:f>
              <c:numCache>
                <c:formatCode>General</c:formatCode>
                <c:ptCount val="2"/>
                <c:pt idx="0">
                  <c:v>2024</c:v>
                </c:pt>
                <c:pt idx="1">
                  <c:v>2023</c:v>
                </c:pt>
              </c:numCache>
            </c:numRef>
          </c:cat>
          <c:val>
            <c:numRef>
              <c:f>{479.7,279.55}</c:f>
              <c:numCache>
                <c:formatCode>General</c:formatCode>
                <c:ptCount val="2"/>
                <c:pt idx="0">
                  <c:v>479.7</c:v>
                </c:pt>
                <c:pt idx="1">
                  <c:v>279.55</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{"2024","2023"}</c:f>
              <c:numCache>
                <c:formatCode>General</c:formatCode>
                <c:ptCount val="2"/>
                <c:pt idx="0">
                  <c:v>2024</c:v>
                </c:pt>
                <c:pt idx="1">
                  <c:v>2023</c:v>
                </c:pt>
              </c:numCache>
            </c:numRef>
          </c:cat>
          <c:val>
            <c:numRef>
              <c:f>{479.7,412.83}</c:f>
              <c:numCache>
                <c:formatCode>General</c:formatCode>
                <c:ptCount val="2"/>
                <c:pt idx="0">
                  <c:v>479.7</c:v>
                </c:pt>
                <c:pt idx="1">
                  <c:v>412.83</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043befe7-a2ec-47e7-9d70-29854c5d19ed}"/>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"2024"</c:f>
              <c:strCache>
                <c:ptCount val="1"/>
                <c:pt idx="0">
                  <c:v>2024</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{479.7}</c:f>
              <c:numCache>
                <c:formatCode>General</c:formatCode>
                <c:ptCount val="1"/>
                <c:pt idx="0">
                  <c:v>479.7</c:v>
                </c:pt>
              </c:numCache>
            </c:numRef>
          </c:val>
        </c:ser>
        <c:ser>
          <c:idx val="2"/>
          <c:order val="1"/>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{412.83}</c:f>
              <c:numCache>
                <c:formatCode>General</c:formatCode>
                <c:ptCount val="1"/>
                <c:pt idx="0">
                  <c:v>412.83</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c0d3550-8f9c-4349-b377-bef5c88f922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{"一般公共服务支出","社会保障和就业支出","卫生健康支出","住房保障支出"}</c:f>
              <c:strCache>
                <c:ptCount val="4"/>
                <c:pt idx="0">
                  <c:v>一般公共服务支出</c:v>
                </c:pt>
                <c:pt idx="1">
                  <c:v>社会保障和就业支出</c:v>
                </c:pt>
                <c:pt idx="2">
                  <c:v>卫生健康支出</c:v>
                </c:pt>
                <c:pt idx="3">
                  <c:v>住房保障支出</c:v>
                </c:pt>
              </c:strCache>
            </c:strRef>
          </c:cat>
          <c:val>
            <c:numRef>
              <c:f>{401.37,40.21,16.47,21.65}</c:f>
              <c:numCache>
                <c:formatCode>General</c:formatCode>
                <c:ptCount val="4"/>
                <c:pt idx="0">
                  <c:v>401.37</c:v>
                </c:pt>
                <c:pt idx="1">
                  <c:v>40.21</c:v>
                </c:pt>
                <c:pt idx="2">
                  <c:v>16.47</c:v>
                </c:pt>
                <c:pt idx="3">
                  <c:v>21.65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f01d3184-cc2c-4b55-b9d4-8d18f4f83a1e}"/>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{0,2.82,0}</c:f>
              <c:numCache>
                <c:formatCode>General</c:formatCode>
                <c:ptCount val="3"/>
                <c:pt idx="0">
                  <c:v>0</c:v>
                </c:pt>
                <c:pt idx="1">
                  <c:v>2.82</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707916e7-f2c4-4cf3-9ff3-c676f7f743b2}"/>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11616</Words>
  <Characters>12949</Characters>
  <Lines>51</Lines>
  <Paragraphs>14</Paragraphs>
  <TotalTime>0</TotalTime>
  <ScaleCrop>false</ScaleCrop>
  <LinksUpToDate>false</LinksUpToDate>
  <CharactersWithSpaces>13040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2022-08-17T01:31:00Z</dcterms:created>
  <dc:creator>lgk</dc:creator>
  <cp:lastModifiedBy>奕夕^_^</cp:lastModifiedBy>
  <cp:lastPrinted>2021-09-26T08:39:00Z</cp:lastPrinted>
  <dcterms:modified xsi:type="dcterms:W3CDTF">2025-10-16T07:23:16Z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B93CA6F4BEAD4F359769D1203595D585</vt:lpwstr>
  </property>
  <property fmtid="{D5CDD505-2E9C-101B-9397-08002B2CF9AE}" pid="4" name="KSOTemplateDocerSaveRecord">
    <vt:lpwstr>eyJoZGlkIjoiNTU1MWNhN2ZmY2ZhZmY3ODhlYTg0MWU5OGMyY2QwZmUiLCJ1c2VySWQiOiI0MzQ2NTM0NzEifQ==</vt:lpwstr>
  </property>
</Properties>
</file>