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D3514A">
      <w:pPr>
        <w:rPr>
          <w:rFonts w:asciiTheme="minorEastAsia" w:hAnsiTheme="minorEastAsia" w:eastAsiaTheme="minorEastAsia"/>
          <w:b/>
          <w:sz w:val="72"/>
          <w:szCs w:val="72"/>
        </w:rPr>
      </w:pPr>
      <w:bookmarkStart w:id="0" w:name="_Toc15396597"/>
      <w:bookmarkStart w:id="1" w:name="_Toc15377425"/>
      <w:bookmarkStart w:id="2" w:name="_Toc15396475"/>
      <w:bookmarkStart w:id="3" w:name="_Toc15377193"/>
      <w:bookmarkStart w:id="4" w:name="_Toc15306267"/>
      <w:bookmarkStart w:id="5" w:name="_Toc15378441"/>
    </w:p>
    <w:p w14:paraId="137685A9">
      <w:pPr>
        <w:pStyle w:val="7"/>
        <w:ind w:firstLine="0"/>
      </w:pPr>
    </w:p>
    <w:p w14:paraId="23323B09">
      <w:pPr>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2024年度</w:t>
      </w:r>
      <w:bookmarkEnd w:id="0"/>
      <w:bookmarkEnd w:id="1"/>
      <w:bookmarkEnd w:id="2"/>
      <w:bookmarkEnd w:id="3"/>
    </w:p>
    <w:bookmarkEnd w:id="4"/>
    <w:p w14:paraId="2495FA72">
      <w:pPr>
        <w:jc w:val="center"/>
        <w:rPr>
          <w:rFonts w:hint="eastAsia" w:ascii="方正小标宋简体" w:hAnsi="宋体" w:eastAsia="方正小标宋简体" w:cs="Times New Roman"/>
          <w:color w:val="auto"/>
          <w:kern w:val="2"/>
          <w:sz w:val="44"/>
          <w:szCs w:val="44"/>
          <w:highlight w:val="none"/>
          <w:lang w:val="en-US" w:eastAsia="zh-CN" w:bidi="ar-SA"/>
        </w:rPr>
      </w:pPr>
      <w:bookmarkStart w:id="6" w:name="_Toc15378442"/>
      <w:bookmarkStart w:id="7" w:name="_Toc15306268"/>
      <w:bookmarkStart w:id="8" w:name="_Toc15396476"/>
      <w:bookmarkStart w:id="9" w:name="_Toc15377194"/>
      <w:bookmarkStart w:id="10" w:name="_Toc15377426"/>
      <w:bookmarkStart w:id="11" w:name="_Toc15396598"/>
      <w:r>
        <w:rPr>
          <w:rFonts w:hint="eastAsia" w:ascii="方正小标宋简体" w:hAnsi="宋体" w:eastAsia="方正小标宋简体" w:cs="Times New Roman"/>
          <w:color w:val="auto"/>
          <w:kern w:val="2"/>
          <w:sz w:val="44"/>
          <w:szCs w:val="44"/>
          <w:highlight w:val="none"/>
          <w:lang w:val="en-US" w:eastAsia="zh-CN" w:bidi="ar-SA"/>
        </w:rPr>
        <w:t>四川省阿坝州松潘县统计局单位决算</w:t>
      </w:r>
      <w:bookmarkEnd w:id="6"/>
      <w:bookmarkEnd w:id="7"/>
      <w:bookmarkEnd w:id="8"/>
      <w:bookmarkEnd w:id="9"/>
      <w:bookmarkEnd w:id="10"/>
      <w:bookmarkEnd w:id="11"/>
    </w:p>
    <w:p w14:paraId="2D330F75">
      <w:pPr>
        <w:pStyle w:val="7"/>
      </w:pPr>
    </w:p>
    <w:p w14:paraId="35FD5746">
      <w:pPr>
        <w:pStyle w:val="7"/>
      </w:pPr>
    </w:p>
    <w:p w14:paraId="67EB6B02">
      <w:pPr>
        <w:pStyle w:val="7"/>
      </w:pPr>
    </w:p>
    <w:p w14:paraId="5D1D2DB7">
      <w:pPr>
        <w:pStyle w:val="7"/>
      </w:pPr>
    </w:p>
    <w:p w14:paraId="5EBCB117">
      <w:pPr>
        <w:pStyle w:val="7"/>
      </w:pPr>
    </w:p>
    <w:p w14:paraId="238FFECF">
      <w:pPr>
        <w:pStyle w:val="7"/>
      </w:pPr>
    </w:p>
    <w:p w14:paraId="05F1D49D">
      <w:pPr>
        <w:pStyle w:val="7"/>
      </w:pPr>
    </w:p>
    <w:p w14:paraId="79BE5A4E">
      <w:pPr>
        <w:pStyle w:val="7"/>
      </w:pPr>
    </w:p>
    <w:p w14:paraId="3569752D">
      <w:pPr>
        <w:pStyle w:val="7"/>
      </w:pPr>
    </w:p>
    <w:p w14:paraId="14285C39">
      <w:pPr>
        <w:pStyle w:val="7"/>
        <w:tabs>
          <w:tab w:val="left" w:pos="3600"/>
        </w:tabs>
      </w:pPr>
      <w:r>
        <w:tab/>
      </w:r>
    </w:p>
    <w:p w14:paraId="48D609B2">
      <w:pPr>
        <w:pStyle w:val="7"/>
      </w:pPr>
    </w:p>
    <w:p w14:paraId="201A9013">
      <w:pPr>
        <w:pStyle w:val="7"/>
      </w:pPr>
    </w:p>
    <w:p w14:paraId="09FBC077">
      <w:pPr>
        <w:pStyle w:val="7"/>
      </w:pPr>
    </w:p>
    <w:p w14:paraId="7B688228">
      <w:pPr>
        <w:pStyle w:val="7"/>
      </w:pPr>
    </w:p>
    <w:p w14:paraId="77DF87F7">
      <w:pPr>
        <w:pStyle w:val="7"/>
      </w:pPr>
    </w:p>
    <w:p w14:paraId="50AFFCEE">
      <w:pPr>
        <w:pStyle w:val="7"/>
      </w:pPr>
    </w:p>
    <w:p w14:paraId="006B4CCD">
      <w:pPr>
        <w:pStyle w:val="7"/>
      </w:pPr>
    </w:p>
    <w:p w14:paraId="0E4CC8A0">
      <w:pPr>
        <w:pStyle w:val="7"/>
      </w:pPr>
    </w:p>
    <w:p w14:paraId="5918C56B">
      <w:pPr>
        <w:pStyle w:val="7"/>
      </w:pPr>
    </w:p>
    <w:p w14:paraId="7DAD6D9F">
      <w:pPr>
        <w:widowControl/>
        <w:jc w:val="center"/>
        <w:rPr>
          <w:rFonts w:ascii="黑体" w:hAnsi="黑体" w:eastAsia="黑体"/>
          <w:color w:val="auto"/>
          <w:sz w:val="48"/>
          <w:szCs w:val="48"/>
          <w:highlight w:val="none"/>
        </w:rPr>
      </w:pPr>
      <w:r>
        <w:rPr>
          <w:rFonts w:ascii="方正小标宋简体" w:hAnsi="宋体" w:eastAsia="方正小标宋简体"/>
          <w:color w:val="000000"/>
          <w:sz w:val="36"/>
          <w:szCs w:val="36"/>
        </w:rPr>
        <w:br w:type="page"/>
      </w:r>
      <w:bookmarkStart w:id="12" w:name="_Toc15377196"/>
      <w:r>
        <w:rPr>
          <w:rFonts w:hint="eastAsia" w:ascii="黑体" w:hAnsi="黑体" w:eastAsia="黑体"/>
          <w:color w:val="auto"/>
          <w:sz w:val="48"/>
          <w:szCs w:val="48"/>
          <w:highlight w:val="none"/>
        </w:rPr>
        <w:t>目录</w:t>
      </w:r>
    </w:p>
    <w:p w14:paraId="21D27052">
      <w:pPr>
        <w:widowControl/>
        <w:jc w:val="center"/>
        <w:rPr>
          <w:rFonts w:ascii="黑体" w:hAnsi="黑体" w:eastAsia="黑体" w:cs="Times New Roman"/>
          <w:color w:val="auto"/>
          <w:sz w:val="28"/>
          <w:szCs w:val="28"/>
          <w:highlight w:val="none"/>
        </w:rPr>
      </w:pPr>
    </w:p>
    <w:p w14:paraId="0B53D6E6">
      <w:pPr>
        <w:pStyle w:val="14"/>
        <w:rPr>
          <w:color w:val="auto"/>
          <w:highlight w:val="none"/>
        </w:rPr>
      </w:pPr>
      <w:r>
        <w:rPr>
          <w:rFonts w:hint="eastAsia"/>
          <w:color w:val="auto"/>
          <w:highlight w:val="none"/>
        </w:rPr>
        <w:t>公开时间：20</w:t>
      </w:r>
      <w:r>
        <w:rPr>
          <w:rFonts w:hint="eastAsia"/>
          <w:color w:val="auto"/>
          <w:highlight w:val="none"/>
          <w:lang w:val="en-US" w:eastAsia="zh-CN"/>
        </w:rPr>
        <w:t>25</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16</w:t>
      </w:r>
      <w:r>
        <w:rPr>
          <w:rFonts w:hint="eastAsia"/>
          <w:color w:val="auto"/>
          <w:highlight w:val="none"/>
        </w:rPr>
        <w:t>日</w:t>
      </w:r>
    </w:p>
    <w:p w14:paraId="15B38EAF">
      <w:pPr>
        <w:rPr>
          <w:color w:val="auto"/>
          <w:highlight w:val="none"/>
        </w:rPr>
      </w:pPr>
    </w:p>
    <w:p w14:paraId="77A0E30C">
      <w:pPr>
        <w:pStyle w:val="14"/>
        <w:adjustRightInd w:val="0"/>
        <w:snapToGrid w:val="0"/>
        <w:spacing w:before="0" w:line="440" w:lineRule="exact"/>
        <w:jc w:val="left"/>
        <w:rPr>
          <w:rFonts w:cs="Times New Roman"/>
          <w:color w:val="auto"/>
          <w:sz w:val="24"/>
          <w:szCs w:val="24"/>
          <w:highlight w:val="none"/>
        </w:rPr>
      </w:pPr>
      <w:r>
        <w:rPr>
          <w:rFonts w:hint="eastAsia"/>
          <w:color w:val="auto"/>
          <w:sz w:val="24"/>
          <w:highlight w:val="none"/>
        </w:rPr>
        <w:t>第一部分</w:t>
      </w:r>
      <w:r>
        <w:rPr>
          <w:color w:val="auto"/>
          <w:sz w:val="24"/>
          <w:highlight w:val="none"/>
        </w:rPr>
        <w:t xml:space="preserve"> </w:t>
      </w:r>
      <w:r>
        <w:rPr>
          <w:rFonts w:hint="eastAsia"/>
          <w:color w:val="auto"/>
          <w:sz w:val="24"/>
          <w:highlight w:val="none"/>
          <w:lang w:eastAsia="zh-CN"/>
        </w:rPr>
        <w:t>单位</w:t>
      </w:r>
      <w:r>
        <w:rPr>
          <w:rFonts w:hint="eastAsia"/>
          <w:color w:val="auto"/>
          <w:sz w:val="24"/>
          <w:highlight w:val="none"/>
        </w:rPr>
        <w:t>概况</w:t>
      </w:r>
    </w:p>
    <w:p w14:paraId="490C7065">
      <w:pPr>
        <w:pStyle w:val="17"/>
        <w:adjustRightInd w:val="0"/>
        <w:snapToGrid w:val="0"/>
        <w:spacing w:line="440" w:lineRule="exact"/>
        <w:jc w:val="left"/>
        <w:rPr>
          <w:rFonts w:hint="eastAsia" w:eastAsia="宋体"/>
          <w:color w:val="auto"/>
          <w:sz w:val="24"/>
          <w:highlight w:val="none"/>
          <w:lang w:eastAsia="zh-CN"/>
        </w:rPr>
      </w:pPr>
      <w:r>
        <w:rPr>
          <w:rFonts w:hint="eastAsia"/>
          <w:color w:val="auto"/>
          <w:sz w:val="24"/>
          <w:highlight w:val="none"/>
        </w:rPr>
        <w:t>一、</w:t>
      </w:r>
      <w:r>
        <w:rPr>
          <w:rFonts w:hint="eastAsia"/>
          <w:color w:val="auto"/>
          <w:sz w:val="24"/>
          <w:highlight w:val="none"/>
          <w:lang w:eastAsia="zh-CN"/>
        </w:rPr>
        <w:t>主要职责</w:t>
      </w:r>
    </w:p>
    <w:p w14:paraId="6AE2294C">
      <w:pPr>
        <w:pStyle w:val="17"/>
        <w:adjustRightInd w:val="0"/>
        <w:snapToGrid w:val="0"/>
        <w:spacing w:line="440" w:lineRule="exact"/>
        <w:jc w:val="left"/>
        <w:rPr>
          <w:rFonts w:hint="eastAsia" w:eastAsia="宋体"/>
          <w:color w:val="auto"/>
          <w:lang w:eastAsia="zh-CN"/>
        </w:rPr>
      </w:pPr>
      <w:r>
        <w:rPr>
          <w:rFonts w:hint="eastAsia"/>
          <w:color w:val="auto"/>
          <w:sz w:val="24"/>
          <w:highlight w:val="none"/>
          <w:lang w:eastAsia="zh-CN"/>
        </w:rPr>
        <w:t>二</w:t>
      </w:r>
      <w:r>
        <w:rPr>
          <w:rFonts w:hint="eastAsia"/>
          <w:color w:val="auto"/>
          <w:sz w:val="24"/>
          <w:highlight w:val="none"/>
        </w:rPr>
        <w:t>、</w:t>
      </w:r>
      <w:r>
        <w:rPr>
          <w:rFonts w:hint="eastAsia"/>
          <w:color w:val="auto"/>
          <w:sz w:val="24"/>
          <w:highlight w:val="none"/>
          <w:lang w:eastAsia="zh-CN"/>
        </w:rPr>
        <w:t>机构设置</w:t>
      </w:r>
    </w:p>
    <w:p w14:paraId="1568E041">
      <w:pPr>
        <w:pStyle w:val="14"/>
        <w:adjustRightInd w:val="0"/>
        <w:snapToGrid w:val="0"/>
        <w:spacing w:before="0" w:line="440" w:lineRule="exact"/>
        <w:jc w:val="left"/>
        <w:rPr>
          <w:color w:val="auto"/>
          <w:sz w:val="24"/>
          <w:szCs w:val="24"/>
          <w:highlight w:val="none"/>
        </w:rPr>
      </w:pPr>
      <w:r>
        <w:rPr>
          <w:rFonts w:hint="eastAsia"/>
          <w:color w:val="auto"/>
          <w:sz w:val="24"/>
          <w:highlight w:val="none"/>
        </w:rPr>
        <w:t>第二部分</w:t>
      </w:r>
      <w:r>
        <w:rPr>
          <w:rFonts w:hint="eastAsia"/>
          <w:color w:val="auto"/>
          <w:sz w:val="24"/>
          <w:highlight w:val="none"/>
          <w:lang w:val="en-US" w:eastAsia="zh-CN"/>
        </w:rPr>
        <w:t xml:space="preserve"> 2024年度</w:t>
      </w:r>
      <w:r>
        <w:rPr>
          <w:rFonts w:hint="eastAsia"/>
          <w:color w:val="auto"/>
          <w:sz w:val="24"/>
          <w:highlight w:val="none"/>
          <w:lang w:eastAsia="zh-CN"/>
        </w:rPr>
        <w:t>单位</w:t>
      </w:r>
      <w:r>
        <w:rPr>
          <w:rFonts w:hint="eastAsia"/>
          <w:color w:val="auto"/>
          <w:sz w:val="24"/>
          <w:highlight w:val="none"/>
        </w:rPr>
        <w:t>决算情况说明</w:t>
      </w:r>
    </w:p>
    <w:p w14:paraId="6EF25B02">
      <w:pPr>
        <w:pStyle w:val="17"/>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一、收入支出决算总体情况说明</w:t>
      </w:r>
    </w:p>
    <w:p w14:paraId="468CD93B">
      <w:pPr>
        <w:pStyle w:val="17"/>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二、收入决算情况说明</w:t>
      </w:r>
    </w:p>
    <w:p w14:paraId="36B8D5A9">
      <w:pPr>
        <w:pStyle w:val="17"/>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三、支出决算情况说明</w:t>
      </w:r>
    </w:p>
    <w:p w14:paraId="5360A032">
      <w:pPr>
        <w:pStyle w:val="17"/>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四、财政拨款收入支出决算总体情况说明</w:t>
      </w:r>
    </w:p>
    <w:p w14:paraId="49A49B2D">
      <w:pPr>
        <w:pStyle w:val="17"/>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五、一般公共预算财政拨款支出决算情况说明</w:t>
      </w:r>
    </w:p>
    <w:p w14:paraId="1585A7F8">
      <w:pPr>
        <w:pStyle w:val="17"/>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六、一般公共预算财政拨款基本支出决算情况说明</w:t>
      </w:r>
    </w:p>
    <w:p w14:paraId="2F06D88B">
      <w:pPr>
        <w:pStyle w:val="17"/>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七、财政拨款</w:t>
      </w:r>
      <w:r>
        <w:rPr>
          <w:rFonts w:hint="eastAsia"/>
          <w:color w:val="auto"/>
          <w:sz w:val="24"/>
          <w:highlight w:val="none"/>
          <w:lang w:eastAsia="zh-CN"/>
        </w:rPr>
        <w:t>“</w:t>
      </w:r>
      <w:r>
        <w:rPr>
          <w:rFonts w:hint="eastAsia"/>
          <w:color w:val="auto"/>
          <w:sz w:val="24"/>
          <w:highlight w:val="none"/>
        </w:rPr>
        <w:t>三公”经费支出决算情况说明</w:t>
      </w:r>
    </w:p>
    <w:p w14:paraId="6CC538EA">
      <w:pPr>
        <w:pStyle w:val="17"/>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八、政府性基金预算支出决算情况说明</w:t>
      </w:r>
    </w:p>
    <w:p w14:paraId="46D44555">
      <w:pPr>
        <w:pStyle w:val="17"/>
        <w:adjustRightInd w:val="0"/>
        <w:snapToGrid w:val="0"/>
        <w:spacing w:line="440" w:lineRule="exact"/>
        <w:jc w:val="left"/>
        <w:rPr>
          <w:rFonts w:hint="eastAsia"/>
          <w:color w:val="auto"/>
          <w:sz w:val="24"/>
          <w:highlight w:val="none"/>
        </w:rPr>
      </w:pPr>
      <w:r>
        <w:rPr>
          <w:rFonts w:hint="eastAsia"/>
          <w:color w:val="auto"/>
          <w:sz w:val="24"/>
          <w:highlight w:val="none"/>
        </w:rPr>
        <w:t>九、国有资本经营预算支出决算情况说明</w:t>
      </w:r>
    </w:p>
    <w:p w14:paraId="2B2930AC">
      <w:pPr>
        <w:pStyle w:val="17"/>
        <w:adjustRightInd w:val="0"/>
        <w:snapToGrid w:val="0"/>
        <w:spacing w:line="440" w:lineRule="exact"/>
        <w:jc w:val="left"/>
        <w:rPr>
          <w:rFonts w:hint="eastAsia"/>
          <w:color w:val="auto"/>
          <w:sz w:val="24"/>
          <w:highlight w:val="none"/>
          <w:lang w:eastAsia="zh-CN"/>
        </w:rPr>
      </w:pPr>
      <w:r>
        <w:rPr>
          <w:rFonts w:hint="eastAsia"/>
          <w:color w:val="auto"/>
          <w:sz w:val="24"/>
          <w:highlight w:val="none"/>
        </w:rPr>
        <w:t>十、其他重要事项的情况说明</w:t>
      </w:r>
    </w:p>
    <w:p w14:paraId="15F4848C">
      <w:pPr>
        <w:pStyle w:val="14"/>
        <w:adjustRightInd w:val="0"/>
        <w:snapToGrid w:val="0"/>
        <w:spacing w:before="0" w:line="440" w:lineRule="exact"/>
        <w:jc w:val="left"/>
        <w:rPr>
          <w:rFonts w:cs="Times New Roman"/>
          <w:color w:val="auto"/>
          <w:sz w:val="24"/>
          <w:szCs w:val="24"/>
          <w:highlight w:val="none"/>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p>
    <w:p w14:paraId="34469915">
      <w:pPr>
        <w:pStyle w:val="14"/>
        <w:adjustRightInd w:val="0"/>
        <w:snapToGrid w:val="0"/>
        <w:spacing w:before="0" w:line="440" w:lineRule="exact"/>
        <w:jc w:val="left"/>
        <w:rPr>
          <w:rFonts w:cs="Times New Roman"/>
          <w:color w:val="auto"/>
          <w:sz w:val="24"/>
          <w:szCs w:val="24"/>
          <w:highlight w:val="none"/>
        </w:rPr>
      </w:pPr>
      <w:r>
        <w:rPr>
          <w:rFonts w:hint="eastAsia"/>
          <w:color w:val="auto"/>
          <w:sz w:val="24"/>
          <w:highlight w:val="none"/>
        </w:rPr>
        <w:t>第</w:t>
      </w:r>
      <w:r>
        <w:rPr>
          <w:rFonts w:hint="eastAsia"/>
          <w:color w:val="auto"/>
          <w:sz w:val="24"/>
          <w:highlight w:val="none"/>
          <w:lang w:eastAsia="zh-CN"/>
        </w:rPr>
        <w:t>四</w:t>
      </w:r>
      <w:r>
        <w:rPr>
          <w:rFonts w:hint="eastAsia"/>
          <w:color w:val="auto"/>
          <w:sz w:val="24"/>
          <w:highlight w:val="none"/>
        </w:rPr>
        <w:t>部分</w:t>
      </w:r>
      <w:r>
        <w:rPr>
          <w:color w:val="auto"/>
          <w:sz w:val="24"/>
          <w:highlight w:val="none"/>
        </w:rPr>
        <w:t xml:space="preserve"> </w:t>
      </w:r>
      <w:r>
        <w:rPr>
          <w:rFonts w:hint="eastAsia"/>
          <w:color w:val="auto"/>
          <w:sz w:val="24"/>
          <w:highlight w:val="none"/>
        </w:rPr>
        <w:t>附表</w:t>
      </w:r>
    </w:p>
    <w:p w14:paraId="48247786">
      <w:pPr>
        <w:pStyle w:val="17"/>
        <w:adjustRightInd w:val="0"/>
        <w:snapToGrid w:val="0"/>
        <w:spacing w:line="440" w:lineRule="exact"/>
        <w:jc w:val="left"/>
        <w:rPr>
          <w:rFonts w:hint="eastAsia"/>
          <w:color w:val="auto"/>
          <w:sz w:val="24"/>
          <w:highlight w:val="none"/>
        </w:rPr>
      </w:pPr>
      <w:r>
        <w:rPr>
          <w:rFonts w:hint="eastAsia"/>
          <w:color w:val="auto"/>
          <w:sz w:val="24"/>
          <w:highlight w:val="none"/>
        </w:rPr>
        <w:t>一、收入支出决算总表</w:t>
      </w:r>
    </w:p>
    <w:p w14:paraId="09207FFC">
      <w:pPr>
        <w:pStyle w:val="17"/>
        <w:adjustRightInd w:val="0"/>
        <w:snapToGrid w:val="0"/>
        <w:spacing w:line="440" w:lineRule="exact"/>
        <w:jc w:val="left"/>
        <w:rPr>
          <w:rFonts w:hint="eastAsia"/>
          <w:color w:val="auto"/>
          <w:sz w:val="24"/>
          <w:highlight w:val="none"/>
        </w:rPr>
      </w:pPr>
      <w:r>
        <w:rPr>
          <w:rFonts w:hint="eastAsia"/>
          <w:color w:val="auto"/>
          <w:sz w:val="24"/>
          <w:highlight w:val="none"/>
        </w:rPr>
        <w:t>二、收入决算表</w:t>
      </w:r>
    </w:p>
    <w:p w14:paraId="68C96C22">
      <w:pPr>
        <w:pStyle w:val="17"/>
        <w:adjustRightInd w:val="0"/>
        <w:snapToGrid w:val="0"/>
        <w:spacing w:line="440" w:lineRule="exact"/>
        <w:jc w:val="left"/>
        <w:rPr>
          <w:rFonts w:hint="eastAsia"/>
          <w:color w:val="auto"/>
          <w:sz w:val="24"/>
          <w:highlight w:val="none"/>
        </w:rPr>
      </w:pPr>
      <w:r>
        <w:rPr>
          <w:rFonts w:hint="eastAsia"/>
          <w:color w:val="auto"/>
          <w:sz w:val="24"/>
          <w:highlight w:val="none"/>
        </w:rPr>
        <w:t>三、支出决算表</w:t>
      </w:r>
    </w:p>
    <w:p w14:paraId="000DEDBD">
      <w:pPr>
        <w:pStyle w:val="17"/>
        <w:adjustRightInd w:val="0"/>
        <w:snapToGrid w:val="0"/>
        <w:spacing w:line="440" w:lineRule="exact"/>
        <w:jc w:val="left"/>
        <w:rPr>
          <w:rFonts w:hint="eastAsia"/>
          <w:color w:val="auto"/>
          <w:sz w:val="24"/>
          <w:highlight w:val="none"/>
        </w:rPr>
      </w:pPr>
      <w:r>
        <w:rPr>
          <w:rFonts w:hint="eastAsia"/>
          <w:color w:val="auto"/>
          <w:sz w:val="24"/>
          <w:highlight w:val="none"/>
        </w:rPr>
        <w:t>四、财政拨款收入支出决算总表</w:t>
      </w:r>
    </w:p>
    <w:p w14:paraId="2990A23A">
      <w:pPr>
        <w:pStyle w:val="17"/>
        <w:adjustRightInd w:val="0"/>
        <w:snapToGrid w:val="0"/>
        <w:spacing w:line="440" w:lineRule="exact"/>
        <w:jc w:val="left"/>
        <w:rPr>
          <w:rFonts w:hint="eastAsia"/>
          <w:color w:val="auto"/>
          <w:sz w:val="24"/>
          <w:highlight w:val="none"/>
        </w:rPr>
      </w:pPr>
      <w:r>
        <w:rPr>
          <w:rFonts w:hint="eastAsia"/>
          <w:color w:val="auto"/>
          <w:sz w:val="24"/>
          <w:highlight w:val="none"/>
        </w:rPr>
        <w:t>五、财政拨款支出决算明细表</w:t>
      </w:r>
    </w:p>
    <w:p w14:paraId="076685DA">
      <w:pPr>
        <w:pStyle w:val="17"/>
        <w:adjustRightInd w:val="0"/>
        <w:snapToGrid w:val="0"/>
        <w:spacing w:line="440" w:lineRule="exact"/>
        <w:jc w:val="left"/>
        <w:rPr>
          <w:rFonts w:hint="eastAsia"/>
          <w:color w:val="auto"/>
          <w:sz w:val="24"/>
          <w:highlight w:val="none"/>
        </w:rPr>
      </w:pPr>
      <w:r>
        <w:rPr>
          <w:rFonts w:hint="eastAsia"/>
          <w:color w:val="auto"/>
          <w:sz w:val="24"/>
          <w:highlight w:val="none"/>
        </w:rPr>
        <w:t>六、一般公共预算财政拨款支出决算表</w:t>
      </w:r>
    </w:p>
    <w:p w14:paraId="273BDA98">
      <w:pPr>
        <w:pStyle w:val="17"/>
        <w:adjustRightInd w:val="0"/>
        <w:snapToGrid w:val="0"/>
        <w:spacing w:line="440" w:lineRule="exact"/>
        <w:jc w:val="left"/>
        <w:rPr>
          <w:rFonts w:hint="eastAsia"/>
          <w:color w:val="auto"/>
          <w:sz w:val="24"/>
          <w:highlight w:val="none"/>
        </w:rPr>
      </w:pPr>
      <w:r>
        <w:rPr>
          <w:rFonts w:hint="eastAsia"/>
          <w:color w:val="auto"/>
          <w:sz w:val="24"/>
          <w:highlight w:val="none"/>
        </w:rPr>
        <w:t>七、一般公共预算财政拨款支出决算明细表</w:t>
      </w:r>
    </w:p>
    <w:p w14:paraId="16811840">
      <w:pPr>
        <w:pStyle w:val="17"/>
        <w:adjustRightInd w:val="0"/>
        <w:snapToGrid w:val="0"/>
        <w:spacing w:line="440" w:lineRule="exact"/>
        <w:jc w:val="left"/>
        <w:rPr>
          <w:rFonts w:hint="eastAsia"/>
          <w:color w:val="auto"/>
          <w:sz w:val="24"/>
          <w:highlight w:val="none"/>
        </w:rPr>
      </w:pPr>
      <w:r>
        <w:rPr>
          <w:rFonts w:hint="eastAsia"/>
          <w:color w:val="auto"/>
          <w:sz w:val="24"/>
          <w:highlight w:val="none"/>
        </w:rPr>
        <w:t>八、一般公共预算财政拨款基本支出决算</w:t>
      </w:r>
      <w:r>
        <w:rPr>
          <w:rFonts w:hint="eastAsia"/>
          <w:color w:val="auto"/>
          <w:sz w:val="24"/>
          <w:highlight w:val="none"/>
          <w:lang w:eastAsia="zh-CN"/>
        </w:rPr>
        <w:t>明细</w:t>
      </w:r>
      <w:r>
        <w:rPr>
          <w:rFonts w:hint="eastAsia"/>
          <w:color w:val="auto"/>
          <w:sz w:val="24"/>
          <w:highlight w:val="none"/>
        </w:rPr>
        <w:t>表</w:t>
      </w:r>
    </w:p>
    <w:p w14:paraId="1EA34501">
      <w:pPr>
        <w:pStyle w:val="17"/>
        <w:adjustRightInd w:val="0"/>
        <w:snapToGrid w:val="0"/>
        <w:spacing w:line="440" w:lineRule="exact"/>
        <w:jc w:val="left"/>
        <w:rPr>
          <w:rFonts w:hint="eastAsia"/>
          <w:color w:val="auto"/>
          <w:sz w:val="24"/>
          <w:highlight w:val="none"/>
        </w:rPr>
      </w:pPr>
      <w:r>
        <w:rPr>
          <w:rFonts w:hint="eastAsia"/>
          <w:color w:val="auto"/>
          <w:sz w:val="24"/>
          <w:highlight w:val="none"/>
        </w:rPr>
        <w:t>九、一般公共预算财政拨款项目支出决算表</w:t>
      </w:r>
    </w:p>
    <w:p w14:paraId="086EF9DF">
      <w:pPr>
        <w:pStyle w:val="17"/>
        <w:adjustRightInd w:val="0"/>
        <w:snapToGrid w:val="0"/>
        <w:spacing w:line="440" w:lineRule="exact"/>
        <w:jc w:val="left"/>
        <w:rPr>
          <w:rFonts w:hint="eastAsia"/>
          <w:color w:val="auto"/>
          <w:sz w:val="24"/>
          <w:highlight w:val="none"/>
        </w:rPr>
      </w:pPr>
      <w:r>
        <w:rPr>
          <w:rFonts w:hint="eastAsia"/>
          <w:color w:val="auto"/>
          <w:sz w:val="24"/>
          <w:highlight w:val="none"/>
        </w:rPr>
        <w:t>十、政府性基金预算财政拨款收入支出决算表</w:t>
      </w:r>
    </w:p>
    <w:p w14:paraId="13EC2D49">
      <w:pPr>
        <w:pStyle w:val="17"/>
        <w:adjustRightInd w:val="0"/>
        <w:snapToGrid w:val="0"/>
        <w:spacing w:line="440" w:lineRule="exact"/>
        <w:jc w:val="left"/>
        <w:rPr>
          <w:rFonts w:hint="eastAsia"/>
          <w:color w:val="auto"/>
          <w:sz w:val="24"/>
          <w:highlight w:val="none"/>
        </w:rPr>
      </w:pPr>
      <w:r>
        <w:rPr>
          <w:rFonts w:hint="eastAsia"/>
          <w:color w:val="auto"/>
          <w:sz w:val="24"/>
          <w:highlight w:val="none"/>
        </w:rPr>
        <w:t>十一、国有资本经营预算财政拨款收入支出决算表</w:t>
      </w:r>
    </w:p>
    <w:p w14:paraId="3F694436">
      <w:pPr>
        <w:pStyle w:val="17"/>
        <w:adjustRightInd w:val="0"/>
        <w:snapToGrid w:val="0"/>
        <w:spacing w:line="440" w:lineRule="exact"/>
        <w:jc w:val="left"/>
        <w:rPr>
          <w:rFonts w:hint="eastAsia"/>
          <w:color w:val="auto"/>
          <w:sz w:val="24"/>
          <w:highlight w:val="none"/>
        </w:rPr>
      </w:pPr>
      <w:r>
        <w:rPr>
          <w:rFonts w:hint="eastAsia"/>
          <w:color w:val="auto"/>
          <w:sz w:val="24"/>
          <w:highlight w:val="none"/>
        </w:rPr>
        <w:t>十二、</w:t>
      </w:r>
      <w:r>
        <w:rPr>
          <w:rFonts w:hint="eastAsia"/>
          <w:color w:val="auto"/>
          <w:sz w:val="24"/>
          <w:highlight w:val="none"/>
          <w:lang w:val="en-US" w:eastAsia="zh-CN"/>
        </w:rPr>
        <w:t>国有资本经营预算财政拨款支出决算表</w:t>
      </w:r>
    </w:p>
    <w:p w14:paraId="104527CE">
      <w:pPr>
        <w:pStyle w:val="17"/>
        <w:adjustRightInd w:val="0"/>
        <w:snapToGrid w:val="0"/>
        <w:spacing w:line="440" w:lineRule="exact"/>
        <w:jc w:val="left"/>
        <w:rPr>
          <w:rFonts w:hint="eastAsia"/>
          <w:color w:val="auto"/>
          <w:sz w:val="24"/>
          <w:highlight w:val="none"/>
        </w:rPr>
      </w:pPr>
      <w:r>
        <w:rPr>
          <w:rFonts w:hint="eastAsia"/>
          <w:color w:val="auto"/>
          <w:sz w:val="24"/>
          <w:highlight w:val="none"/>
        </w:rPr>
        <w:t>十三、财政拨款“三公”经费支出决算表</w:t>
      </w:r>
    </w:p>
    <w:p w14:paraId="39AED58A">
      <w:pPr>
        <w:pStyle w:val="7"/>
      </w:pPr>
      <w:r>
        <w:rPr>
          <w:rFonts w:ascii="仿宋" w:hAnsi="仿宋" w:eastAsia="仿宋"/>
          <w:b/>
          <w:color w:val="auto"/>
          <w:sz w:val="24"/>
          <w:highlight w:val="none"/>
        </w:rPr>
        <w:br w:type="page"/>
      </w:r>
    </w:p>
    <w:p w14:paraId="50B11A0B">
      <w:pPr>
        <w:pStyle w:val="4"/>
        <w:jc w:val="center"/>
        <w:rPr>
          <w:rFonts w:ascii="黑体" w:hAnsi="黑体" w:eastAsia="黑体" w:cs="黑体"/>
          <w:b w:val="0"/>
          <w:bCs w:val="0"/>
        </w:rPr>
      </w:pPr>
      <w:bookmarkStart w:id="13" w:name="_Toc113981009"/>
      <w:bookmarkStart w:id="14" w:name="_Toc111208495"/>
      <w:r>
        <w:rPr>
          <w:rFonts w:hint="eastAsia" w:ascii="黑体" w:hAnsi="黑体" w:eastAsia="黑体" w:cs="黑体"/>
        </w:rPr>
        <w:t xml:space="preserve">第一部分 </w:t>
      </w:r>
      <w:r>
        <w:rPr>
          <w:rStyle w:val="31"/>
          <w:rFonts w:hint="eastAsia" w:ascii="黑体" w:hAnsi="黑体" w:eastAsia="黑体" w:cs="黑体"/>
          <w:b/>
          <w:bCs w:val="0"/>
          <w:lang w:eastAsia="zh-CN"/>
        </w:rPr>
        <w:t>单位</w:t>
      </w:r>
      <w:r>
        <w:rPr>
          <w:rStyle w:val="31"/>
          <w:rFonts w:hint="eastAsia" w:ascii="黑体" w:hAnsi="黑体" w:eastAsia="黑体" w:cs="黑体"/>
          <w:b/>
          <w:bCs w:val="0"/>
        </w:rPr>
        <w:t>概况</w:t>
      </w:r>
      <w:bookmarkEnd w:id="12"/>
      <w:bookmarkEnd w:id="13"/>
      <w:bookmarkEnd w:id="14"/>
    </w:p>
    <w:p w14:paraId="6631BEC6">
      <w:pPr>
        <w:pStyle w:val="5"/>
        <w:ind w:firstLine="643" w:firstLineChars="200"/>
        <w:rPr>
          <w:rFonts w:hint="eastAsia" w:ascii="黑体" w:eastAsia="黑体" w:cs="Times New Roman"/>
          <w:bCs w:val="0"/>
          <w:color w:val="000000"/>
          <w:lang w:eastAsia="zh-CN"/>
        </w:rPr>
      </w:pPr>
      <w:bookmarkStart w:id="15" w:name="_Toc15377197"/>
      <w:bookmarkStart w:id="16" w:name="_Toc111208496"/>
      <w:bookmarkStart w:id="17" w:name="_Toc113981010"/>
      <w:r>
        <w:rPr>
          <w:rFonts w:hint="eastAsia" w:ascii="黑体" w:eastAsia="黑体" w:cs="Times New Roman"/>
          <w:bCs w:val="0"/>
          <w:color w:val="000000"/>
        </w:rPr>
        <w:t>一、</w:t>
      </w:r>
      <w:bookmarkEnd w:id="15"/>
      <w:bookmarkEnd w:id="16"/>
      <w:bookmarkEnd w:id="17"/>
      <w:bookmarkStart w:id="18" w:name="_Toc15378445"/>
      <w:bookmarkStart w:id="19" w:name="_Toc15377198"/>
      <w:r>
        <w:rPr>
          <w:rFonts w:hint="eastAsia" w:ascii="黑体" w:eastAsia="黑体" w:cs="Times New Roman"/>
          <w:bCs w:val="0"/>
          <w:color w:val="000000"/>
          <w:lang w:eastAsia="zh-CN"/>
        </w:rPr>
        <w:t>主要职责</w:t>
      </w:r>
    </w:p>
    <w:bookmarkEnd w:id="18"/>
    <w:bookmarkEnd w:id="19"/>
    <w:p w14:paraId="17D4DC0E">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Times New Roman"/>
          <w:color w:val="000000"/>
          <w:sz w:val="32"/>
          <w:szCs w:val="32"/>
        </w:rPr>
      </w:pPr>
      <w:r>
        <w:rPr>
          <w:rFonts w:hint="eastAsia" w:ascii="仿宋" w:hAnsi="仿宋" w:eastAsia="仿宋" w:cs="Times New Roman"/>
          <w:color w:val="000000"/>
          <w:sz w:val="32"/>
          <w:szCs w:val="32"/>
          <w:lang w:val="en-US" w:eastAsia="zh-CN"/>
        </w:rPr>
        <w:t>县统计局社情民意调查中心的主要责任：</w:t>
      </w:r>
      <w:r>
        <w:rPr>
          <w:rFonts w:hint="eastAsia" w:ascii="仿宋" w:hAnsi="仿宋" w:eastAsia="仿宋" w:cs="Times New Roman"/>
          <w:color w:val="000000"/>
          <w:sz w:val="32"/>
          <w:szCs w:val="32"/>
        </w:rPr>
        <w:t>社情民意调查中心主要利用“12340”全国社情民意调查热线及问卷调查、入户调查等多种方式进行调查，承担县委、县政府布置和交办的有关社情民意方面的调查任务；收集提供社会动态、舆情信息以及人民群众对重大决策、决定的意见和建议，</w:t>
      </w:r>
      <w:r>
        <w:rPr>
          <w:rFonts w:hint="eastAsia" w:ascii="仿宋" w:hAnsi="仿宋" w:eastAsia="仿宋" w:cs="Times New Roman"/>
          <w:color w:val="000000"/>
          <w:sz w:val="32"/>
          <w:szCs w:val="32"/>
          <w:lang w:eastAsia="zh-CN"/>
        </w:rPr>
        <w:t>做好</w:t>
      </w:r>
      <w:r>
        <w:rPr>
          <w:rFonts w:hint="eastAsia" w:ascii="仿宋" w:hAnsi="仿宋" w:eastAsia="仿宋" w:cs="Times New Roman"/>
          <w:color w:val="000000"/>
          <w:sz w:val="32"/>
          <w:szCs w:val="32"/>
        </w:rPr>
        <w:t>舆情监测、预警；收集人民群众对社会热点问题的认识和反映；调查提供县委、县政府决策部门所需要的信息及其他重要情况；针对社会关注的热点、难点问题开展专项民意调查。调查结果将作为县委、县政府决策部署和有关政策制定的参考依据。</w:t>
      </w:r>
    </w:p>
    <w:p w14:paraId="1867E935">
      <w:pPr>
        <w:pStyle w:val="5"/>
        <w:ind w:firstLine="643" w:firstLineChars="200"/>
        <w:rPr>
          <w:rFonts w:ascii="黑体" w:eastAsia="黑体" w:cs="Times New Roman"/>
          <w:bCs w:val="0"/>
          <w:color w:val="000000"/>
        </w:rPr>
      </w:pPr>
      <w:bookmarkStart w:id="20" w:name="_Toc15377200"/>
      <w:bookmarkStart w:id="21" w:name="_Toc113981011"/>
      <w:bookmarkStart w:id="22" w:name="_Toc111208497"/>
      <w:r>
        <w:rPr>
          <w:rFonts w:hint="eastAsia" w:ascii="黑体" w:eastAsia="黑体" w:cs="Times New Roman"/>
          <w:bCs w:val="0"/>
          <w:color w:val="000000"/>
        </w:rPr>
        <w:t>二、机构设置</w:t>
      </w:r>
      <w:bookmarkEnd w:id="20"/>
      <w:bookmarkEnd w:id="21"/>
      <w:bookmarkEnd w:id="22"/>
    </w:p>
    <w:p w14:paraId="626A175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松潘县</w:t>
      </w:r>
      <w:r>
        <w:rPr>
          <w:rFonts w:hint="eastAsia" w:ascii="仿宋" w:hAnsi="仿宋" w:eastAsia="仿宋" w:cs="Times New Roman"/>
          <w:color w:val="000000"/>
          <w:sz w:val="32"/>
          <w:szCs w:val="32"/>
          <w:lang w:eastAsia="zh-CN"/>
        </w:rPr>
        <w:t>统计局</w:t>
      </w:r>
      <w:r>
        <w:rPr>
          <w:rFonts w:hint="eastAsia" w:ascii="仿宋" w:hAnsi="仿宋" w:eastAsia="仿宋" w:cs="Times New Roman"/>
          <w:color w:val="000000"/>
          <w:sz w:val="32"/>
          <w:szCs w:val="32"/>
        </w:rPr>
        <w:t>社情民意调查中心属</w:t>
      </w:r>
      <w:r>
        <w:rPr>
          <w:rFonts w:hint="eastAsia" w:ascii="仿宋" w:hAnsi="仿宋" w:eastAsia="仿宋" w:cs="Times New Roman"/>
          <w:color w:val="000000"/>
          <w:sz w:val="32"/>
          <w:szCs w:val="32"/>
          <w:lang w:eastAsia="zh-CN"/>
        </w:rPr>
        <w:t>统计局下面的二</w:t>
      </w:r>
      <w:r>
        <w:rPr>
          <w:rFonts w:hint="eastAsia" w:ascii="仿宋" w:hAnsi="仿宋" w:eastAsia="仿宋" w:cs="Times New Roman"/>
          <w:color w:val="000000"/>
          <w:sz w:val="32"/>
          <w:szCs w:val="32"/>
        </w:rPr>
        <w:t>级预算单位，松潘县</w:t>
      </w:r>
      <w:r>
        <w:rPr>
          <w:rFonts w:hint="eastAsia" w:ascii="仿宋" w:hAnsi="仿宋" w:eastAsia="仿宋" w:cs="Times New Roman"/>
          <w:color w:val="000000"/>
          <w:sz w:val="32"/>
          <w:szCs w:val="32"/>
          <w:lang w:eastAsia="zh-CN"/>
        </w:rPr>
        <w:t>统计局</w:t>
      </w:r>
      <w:r>
        <w:rPr>
          <w:rFonts w:hint="eastAsia" w:ascii="仿宋" w:hAnsi="仿宋" w:eastAsia="仿宋" w:cs="Times New Roman"/>
          <w:color w:val="000000"/>
          <w:sz w:val="32"/>
          <w:szCs w:val="32"/>
        </w:rPr>
        <w:t>社情民意调查中心设调查中心主任1名</w:t>
      </w:r>
      <w:r>
        <w:rPr>
          <w:rFonts w:hint="eastAsia" w:ascii="仿宋" w:hAnsi="仿宋" w:eastAsia="仿宋" w:cs="Times New Roman"/>
          <w:color w:val="000000"/>
          <w:sz w:val="32"/>
          <w:szCs w:val="32"/>
          <w:lang w:eastAsia="zh-CN"/>
        </w:rPr>
        <w:t>和</w:t>
      </w:r>
      <w:r>
        <w:rPr>
          <w:rFonts w:hint="eastAsia" w:ascii="仿宋" w:hAnsi="仿宋" w:eastAsia="仿宋" w:cs="Times New Roman"/>
          <w:color w:val="000000"/>
          <w:sz w:val="32"/>
          <w:szCs w:val="32"/>
        </w:rPr>
        <w:t>调查业务股</w:t>
      </w:r>
      <w:r>
        <w:rPr>
          <w:rFonts w:hint="eastAsia" w:ascii="仿宋" w:hAnsi="仿宋" w:eastAsia="仿宋" w:cs="Times New Roman"/>
          <w:color w:val="000000"/>
          <w:sz w:val="32"/>
          <w:szCs w:val="32"/>
          <w:lang w:eastAsia="zh-CN"/>
        </w:rPr>
        <w:t>（</w:t>
      </w:r>
      <w:r>
        <w:rPr>
          <w:rFonts w:hint="eastAsia" w:ascii="仿宋" w:hAnsi="仿宋" w:eastAsia="仿宋" w:cs="Times New Roman"/>
          <w:color w:val="000000"/>
          <w:sz w:val="32"/>
          <w:szCs w:val="32"/>
        </w:rPr>
        <w:t>调查人员</w:t>
      </w:r>
      <w:r>
        <w:rPr>
          <w:rFonts w:hint="eastAsia" w:ascii="仿宋" w:hAnsi="仿宋" w:eastAsia="仿宋" w:cs="Times New Roman"/>
          <w:color w:val="000000"/>
          <w:sz w:val="32"/>
          <w:szCs w:val="32"/>
          <w:lang w:eastAsia="zh-CN"/>
        </w:rPr>
        <w:t>）</w:t>
      </w:r>
      <w:r>
        <w:rPr>
          <w:rFonts w:hint="eastAsia" w:ascii="仿宋" w:hAnsi="仿宋" w:eastAsia="仿宋" w:cs="Times New Roman"/>
          <w:color w:val="000000"/>
          <w:sz w:val="32"/>
          <w:szCs w:val="32"/>
        </w:rPr>
        <w:t>。统计局社情民意调查中心独立编制机构数1个，独立核算机构数1个。</w:t>
      </w:r>
    </w:p>
    <w:p w14:paraId="0245F256">
      <w:pPr>
        <w:widowControl/>
        <w:jc w:val="left"/>
        <w:rPr>
          <w:rFonts w:ascii="仿宋_GB2312" w:hAnsi="黑体" w:eastAsia="仿宋_GB2312"/>
          <w:b/>
          <w:bCs/>
          <w:color w:val="000000"/>
          <w:kern w:val="44"/>
          <w:sz w:val="44"/>
          <w:szCs w:val="44"/>
        </w:rPr>
      </w:pPr>
      <w:bookmarkStart w:id="23" w:name="_Toc15377204"/>
      <w:r>
        <w:rPr>
          <w:rFonts w:ascii="仿宋_GB2312" w:hAnsi="黑体" w:eastAsia="仿宋_GB2312"/>
          <w:color w:val="000000"/>
        </w:rPr>
        <w:br w:type="page"/>
      </w:r>
    </w:p>
    <w:p w14:paraId="45D7C673">
      <w:pPr>
        <w:pStyle w:val="4"/>
        <w:jc w:val="center"/>
        <w:rPr>
          <w:rFonts w:ascii="黑体" w:hAnsi="黑体" w:eastAsia="黑体" w:cs="黑体"/>
        </w:rPr>
      </w:pPr>
      <w:bookmarkStart w:id="24" w:name="_Toc111208498"/>
      <w:bookmarkStart w:id="25" w:name="_Toc113981012"/>
      <w:r>
        <w:rPr>
          <w:rFonts w:hint="eastAsia" w:ascii="黑体" w:hAnsi="黑体" w:eastAsia="黑体" w:cs="黑体"/>
        </w:rPr>
        <w:t>第二部分</w:t>
      </w:r>
      <w:r>
        <w:rPr>
          <w:rFonts w:ascii="黑体" w:hAnsi="黑体" w:eastAsia="黑体" w:cs="黑体"/>
        </w:rPr>
        <w:t xml:space="preserve"> </w:t>
      </w:r>
      <w:r>
        <w:rPr>
          <w:rFonts w:hint="eastAsia" w:ascii="黑体" w:hAnsi="黑体" w:eastAsia="黑体" w:cs="黑体"/>
        </w:rPr>
        <w:t>202</w:t>
      </w:r>
      <w:r>
        <w:rPr>
          <w:rFonts w:hint="eastAsia" w:ascii="黑体" w:hAnsi="黑体" w:eastAsia="黑体" w:cs="黑体"/>
          <w:lang w:val="en-US" w:eastAsia="zh-CN"/>
        </w:rPr>
        <w:t>4</w:t>
      </w:r>
      <w:r>
        <w:rPr>
          <w:rFonts w:hint="eastAsia" w:ascii="黑体" w:hAnsi="黑体" w:eastAsia="黑体" w:cs="黑体"/>
        </w:rPr>
        <w:t>年度</w:t>
      </w:r>
      <w:r>
        <w:rPr>
          <w:rFonts w:hint="eastAsia" w:ascii="黑体" w:hAnsi="黑体" w:eastAsia="黑体" w:cs="黑体"/>
          <w:lang w:eastAsia="zh-CN"/>
        </w:rPr>
        <w:t>单位</w:t>
      </w:r>
      <w:r>
        <w:rPr>
          <w:rFonts w:hint="eastAsia" w:ascii="黑体" w:hAnsi="黑体" w:eastAsia="黑体" w:cs="黑体"/>
        </w:rPr>
        <w:t>决算情况说明</w:t>
      </w:r>
      <w:bookmarkEnd w:id="23"/>
      <w:bookmarkEnd w:id="24"/>
      <w:bookmarkEnd w:id="25"/>
    </w:p>
    <w:p w14:paraId="379B9E11">
      <w:pPr>
        <w:pStyle w:val="5"/>
        <w:ind w:firstLine="643" w:firstLineChars="200"/>
        <w:rPr>
          <w:rFonts w:ascii="黑体" w:eastAsia="黑体" w:cs="Times New Roman"/>
          <w:bCs w:val="0"/>
          <w:color w:val="000000"/>
        </w:rPr>
      </w:pPr>
      <w:bookmarkStart w:id="26" w:name="_Toc15377205"/>
      <w:bookmarkStart w:id="27" w:name="_Toc113981013"/>
      <w:bookmarkStart w:id="28" w:name="_Toc111208499"/>
      <w:r>
        <w:rPr>
          <w:rFonts w:hint="eastAsia" w:ascii="黑体" w:eastAsia="黑体" w:cs="Times New Roman"/>
          <w:bCs w:val="0"/>
          <w:color w:val="000000"/>
        </w:rPr>
        <w:t>一、收入支出决算总体情况说</w:t>
      </w:r>
      <w:bookmarkEnd w:id="26"/>
      <w:r>
        <w:rPr>
          <w:rFonts w:hint="eastAsia" w:ascii="黑体" w:eastAsia="黑体" w:cs="Times New Roman"/>
          <w:bCs w:val="0"/>
          <w:color w:val="000000"/>
        </w:rPr>
        <w:t>明</w:t>
      </w:r>
      <w:bookmarkEnd w:id="27"/>
      <w:bookmarkEnd w:id="28"/>
    </w:p>
    <w:p w14:paraId="0AD9D04C">
      <w:pPr>
        <w:spacing w:line="600" w:lineRule="exact"/>
        <w:ind w:firstLine="640" w:firstLineChars="200"/>
        <w:rPr>
          <w:rFonts w:ascii="仿宋_GB2312" w:hAnsi="仿宋" w:eastAsia="仿宋_GB2312"/>
          <w:color w:val="00B0F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年度收</w:t>
      </w:r>
      <w:r>
        <w:rPr>
          <w:rFonts w:hint="eastAsia" w:ascii="仿宋" w:hAnsi="仿宋" w:eastAsia="仿宋"/>
          <w:color w:val="000000"/>
          <w:sz w:val="32"/>
          <w:szCs w:val="32"/>
          <w:lang w:eastAsia="zh-CN"/>
        </w:rPr>
        <w:t>入总计</w:t>
      </w:r>
      <w:r>
        <w:rPr>
          <w:rFonts w:hint="eastAsia" w:ascii="仿宋" w:hAnsi="仿宋" w:eastAsia="仿宋"/>
          <w:color w:val="000000"/>
          <w:sz w:val="32"/>
          <w:szCs w:val="32"/>
          <w:lang w:val="en-US" w:eastAsia="zh-CN"/>
        </w:rPr>
        <w:t>60.58万元，上年结转0万元；</w:t>
      </w:r>
      <w:r>
        <w:rPr>
          <w:rFonts w:hint="eastAsia" w:ascii="仿宋" w:hAnsi="仿宋" w:eastAsia="仿宋"/>
          <w:color w:val="000000"/>
          <w:sz w:val="32"/>
          <w:szCs w:val="32"/>
        </w:rPr>
        <w:t>支</w:t>
      </w:r>
      <w:r>
        <w:rPr>
          <w:rFonts w:hint="eastAsia" w:ascii="仿宋" w:hAnsi="仿宋" w:eastAsia="仿宋"/>
          <w:color w:val="000000"/>
          <w:sz w:val="32"/>
          <w:szCs w:val="32"/>
          <w:lang w:eastAsia="zh-CN"/>
        </w:rPr>
        <w:t>出</w:t>
      </w:r>
      <w:r>
        <w:rPr>
          <w:rFonts w:hint="eastAsia" w:ascii="仿宋" w:hAnsi="仿宋" w:eastAsia="仿宋"/>
          <w:color w:val="auto"/>
          <w:sz w:val="32"/>
          <w:szCs w:val="32"/>
        </w:rPr>
        <w:t>总计</w:t>
      </w:r>
      <w:r>
        <w:rPr>
          <w:rFonts w:hint="eastAsia" w:ascii="仿宋" w:hAnsi="仿宋" w:eastAsia="仿宋"/>
          <w:color w:val="000000"/>
          <w:sz w:val="32"/>
          <w:szCs w:val="32"/>
          <w:lang w:val="en-US" w:eastAsia="zh-CN"/>
        </w:rPr>
        <w:t>60.58</w:t>
      </w:r>
      <w:r>
        <w:rPr>
          <w:rFonts w:hint="eastAsia" w:ascii="仿宋" w:hAnsi="仿宋" w:eastAsia="仿宋"/>
          <w:color w:val="auto"/>
          <w:sz w:val="32"/>
          <w:szCs w:val="32"/>
        </w:rPr>
        <w:t>万元。</w:t>
      </w:r>
      <w:r>
        <w:rPr>
          <w:rFonts w:hint="eastAsia" w:ascii="仿宋" w:hAnsi="仿宋" w:eastAsia="仿宋"/>
          <w:color w:val="000000"/>
          <w:sz w:val="32"/>
          <w:szCs w:val="32"/>
        </w:rPr>
        <w:t>与</w:t>
      </w:r>
      <w:r>
        <w:rPr>
          <w:rFonts w:ascii="仿宋" w:hAnsi="仿宋" w:eastAsia="仿宋"/>
          <w:color w:val="000000"/>
          <w:sz w:val="32"/>
          <w:szCs w:val="32"/>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年相比，收、支总计各</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1.79</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2.87</w:t>
      </w:r>
      <w:r>
        <w:rPr>
          <w:rFonts w:hint="eastAsia" w:ascii="仿宋" w:hAnsi="仿宋" w:eastAsia="仿宋"/>
          <w:color w:val="000000"/>
          <w:sz w:val="32"/>
          <w:szCs w:val="32"/>
        </w:rPr>
        <w:t xml:space="preserve">%。 </w:t>
      </w:r>
    </w:p>
    <w:p w14:paraId="5F6D8B8C">
      <w:pPr>
        <w:spacing w:line="600" w:lineRule="exact"/>
        <w:ind w:firstLine="640" w:firstLineChars="200"/>
        <w:rPr>
          <w:rFonts w:ascii="仿宋_GB2312" w:hAnsi="仿宋" w:eastAsia="仿宋_GB2312"/>
          <w:color w:val="000000" w:themeColor="text1"/>
          <w:sz w:val="28"/>
          <w:szCs w:val="28"/>
        </w:rPr>
      </w:pPr>
      <w:r>
        <w:rPr>
          <w:rFonts w:hint="eastAsia" w:ascii="仿宋" w:hAnsi="仿宋" w:eastAsia="仿宋"/>
          <w:color w:val="000000"/>
          <w:sz w:val="32"/>
          <w:szCs w:val="32"/>
        </w:rPr>
        <w:t>（图1：收、支决算总计变动情况图）</w:t>
      </w:r>
    </w:p>
    <w:p w14:paraId="7BF8C87D">
      <w:pPr>
        <w:spacing w:line="600" w:lineRule="exact"/>
        <w:ind w:firstLine="560" w:firstLineChars="200"/>
        <w:jc w:val="center"/>
        <w:rPr>
          <w:rFonts w:ascii="仿宋_GB2312" w:eastAsia="仿宋_GB2312"/>
          <w:color w:val="000000"/>
          <w:sz w:val="28"/>
          <w:szCs w:val="28"/>
        </w:rPr>
      </w:pPr>
    </w:p>
    <w:p w14:paraId="0005344A">
      <w:pPr>
        <w:pStyle w:val="7"/>
      </w:pPr>
      <w:r>
        <w:drawing>
          <wp:inline distT="0" distB="0" distL="114300" distR="114300">
            <wp:extent cx="5343525" cy="2933700"/>
            <wp:effectExtent l="0" t="0" r="9525" b="0"/>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BB059DF">
      <w:pPr>
        <w:pStyle w:val="5"/>
        <w:ind w:firstLine="643" w:firstLineChars="200"/>
        <w:rPr>
          <w:rFonts w:ascii="黑体" w:eastAsia="黑体" w:cs="Times New Roman"/>
          <w:bCs w:val="0"/>
          <w:color w:val="000000"/>
        </w:rPr>
      </w:pPr>
      <w:bookmarkStart w:id="29" w:name="_Toc111208500"/>
      <w:bookmarkStart w:id="30" w:name="_Toc113981014"/>
      <w:bookmarkStart w:id="31" w:name="_Toc15377206"/>
      <w:r>
        <w:rPr>
          <w:rFonts w:hint="eastAsia" w:ascii="黑体" w:eastAsia="黑体" w:cs="Times New Roman"/>
          <w:bCs w:val="0"/>
          <w:color w:val="000000"/>
        </w:rPr>
        <w:t>二、收入决算情况说明</w:t>
      </w:r>
      <w:bookmarkEnd w:id="29"/>
      <w:bookmarkEnd w:id="30"/>
      <w:bookmarkEnd w:id="31"/>
    </w:p>
    <w:p w14:paraId="1EF3729A">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60.58</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60.58</w:t>
      </w:r>
      <w:r>
        <w:rPr>
          <w:rFonts w:hint="eastAsia" w:ascii="仿宋" w:hAnsi="仿宋" w:eastAsia="仿宋"/>
          <w:color w:val="000000"/>
          <w:sz w:val="32"/>
          <w:szCs w:val="32"/>
        </w:rPr>
        <w:t>万元，占100.00%；政府性基金预算财政拨款收入0.00万元，占0.00%；国有资本经营预算财政拨款收入0.00万元，占0.00%；上级补助收入0.00万元，占0.00%；事业收入0.00万元，占%；经营收入0.00万元，占0.00%；附属单位上缴收入0.00万元，占0.00%；其他收入0.00万元，占0.00%。</w:t>
      </w:r>
    </w:p>
    <w:p w14:paraId="59EB9ED8">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（图2：收入决算结构图）</w:t>
      </w:r>
    </w:p>
    <w:p w14:paraId="651ACCFD">
      <w:pPr>
        <w:pStyle w:val="16"/>
        <w:ind w:left="1060" w:hanging="640"/>
        <w:jc w:val="center"/>
      </w:pPr>
      <w:r>
        <w:rPr>
          <w:rFonts w:hint="eastAsia" w:ascii="仿宋_GB2312" w:eastAsia="仿宋_GB2312"/>
          <w:color w:val="FF0000"/>
          <w:sz w:val="32"/>
          <w:szCs w:val="32"/>
        </w:rPr>
        <w:drawing>
          <wp:inline distT="0" distB="0" distL="114300" distR="114300">
            <wp:extent cx="5332730" cy="3400425"/>
            <wp:effectExtent l="0" t="0" r="1270" b="95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142B847">
      <w:pPr>
        <w:pStyle w:val="5"/>
        <w:ind w:firstLine="643" w:firstLineChars="200"/>
        <w:rPr>
          <w:rFonts w:ascii="黑体" w:eastAsia="黑体" w:cs="Times New Roman"/>
          <w:bCs w:val="0"/>
          <w:color w:val="000000"/>
        </w:rPr>
      </w:pPr>
      <w:bookmarkStart w:id="32" w:name="_Toc111208501"/>
      <w:bookmarkStart w:id="33" w:name="_Toc113981015"/>
      <w:bookmarkStart w:id="34" w:name="_Toc15377207"/>
      <w:r>
        <w:rPr>
          <w:rFonts w:hint="eastAsia" w:ascii="黑体" w:eastAsia="黑体" w:cs="Times New Roman"/>
          <w:bCs w:val="0"/>
          <w:color w:val="000000"/>
        </w:rPr>
        <w:t>三、支出决算情况说明</w:t>
      </w:r>
      <w:bookmarkEnd w:id="32"/>
      <w:bookmarkEnd w:id="33"/>
      <w:bookmarkEnd w:id="34"/>
    </w:p>
    <w:p w14:paraId="56A15B89">
      <w:pPr>
        <w:pStyle w:val="7"/>
        <w:rPr>
          <w:rFonts w:ascii="仿宋" w:hAnsi="仿宋" w:eastAsia="仿宋"/>
          <w:color w:val="000000"/>
          <w:sz w:val="32"/>
          <w:szCs w:val="32"/>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4</w:t>
      </w:r>
      <w:r>
        <w:rPr>
          <w:rFonts w:ascii="仿宋" w:hAnsi="仿宋" w:eastAsia="仿宋"/>
          <w:color w:val="000000"/>
          <w:sz w:val="32"/>
          <w:szCs w:val="32"/>
        </w:rPr>
        <w:t>年本年支出合计</w:t>
      </w:r>
      <w:r>
        <w:rPr>
          <w:rFonts w:hint="eastAsia" w:ascii="仿宋" w:hAnsi="仿宋" w:eastAsia="仿宋"/>
          <w:color w:val="000000"/>
          <w:sz w:val="32"/>
          <w:szCs w:val="32"/>
          <w:lang w:val="en-US" w:eastAsia="zh-CN"/>
        </w:rPr>
        <w:t>60.58</w:t>
      </w:r>
      <w:r>
        <w:rPr>
          <w:rFonts w:ascii="仿宋" w:hAnsi="仿宋" w:eastAsia="仿宋"/>
          <w:color w:val="000000"/>
          <w:sz w:val="32"/>
          <w:szCs w:val="32"/>
        </w:rPr>
        <w:t>万元，其中：基本支出</w:t>
      </w:r>
      <w:r>
        <w:rPr>
          <w:rFonts w:hint="eastAsia" w:ascii="仿宋" w:hAnsi="仿宋" w:eastAsia="仿宋"/>
          <w:color w:val="000000"/>
          <w:sz w:val="32"/>
          <w:szCs w:val="32"/>
          <w:lang w:val="en-US" w:eastAsia="zh-CN"/>
        </w:rPr>
        <w:t>60.58</w:t>
      </w:r>
      <w:r>
        <w:rPr>
          <w:rFonts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%；项目支出</w:t>
      </w:r>
      <w:r>
        <w:rPr>
          <w:rFonts w:hint="eastAsia" w:ascii="仿宋" w:hAnsi="仿宋" w:eastAsia="仿宋"/>
          <w:color w:val="000000"/>
          <w:sz w:val="32"/>
          <w:szCs w:val="32"/>
        </w:rPr>
        <w:t>0.00</w:t>
      </w:r>
      <w:r>
        <w:rPr>
          <w:rFonts w:ascii="仿宋" w:hAnsi="仿宋" w:eastAsia="仿宋"/>
          <w:color w:val="000000"/>
          <w:sz w:val="32"/>
          <w:szCs w:val="32"/>
        </w:rPr>
        <w:t>万元，占</w:t>
      </w:r>
      <w:r>
        <w:rPr>
          <w:rFonts w:hint="eastAsia" w:ascii="仿宋" w:hAnsi="仿宋" w:eastAsia="仿宋"/>
          <w:color w:val="000000"/>
          <w:sz w:val="32"/>
          <w:szCs w:val="32"/>
        </w:rPr>
        <w:t>0.00</w:t>
      </w:r>
      <w:r>
        <w:rPr>
          <w:rFonts w:ascii="仿宋" w:hAnsi="仿宋" w:eastAsia="仿宋"/>
          <w:color w:val="000000"/>
          <w:sz w:val="32"/>
          <w:szCs w:val="32"/>
        </w:rPr>
        <w:t>%；上缴上级支出</w:t>
      </w:r>
      <w:r>
        <w:rPr>
          <w:rFonts w:hint="eastAsia" w:ascii="仿宋" w:hAnsi="仿宋" w:eastAsia="仿宋"/>
          <w:color w:val="000000"/>
          <w:sz w:val="32"/>
          <w:szCs w:val="32"/>
        </w:rPr>
        <w:t>0.00</w:t>
      </w:r>
      <w:r>
        <w:rPr>
          <w:rFonts w:ascii="仿宋" w:hAnsi="仿宋" w:eastAsia="仿宋"/>
          <w:color w:val="000000"/>
          <w:sz w:val="32"/>
          <w:szCs w:val="32"/>
        </w:rPr>
        <w:t>万元，占</w:t>
      </w:r>
      <w:r>
        <w:rPr>
          <w:rFonts w:hint="eastAsia" w:ascii="仿宋" w:hAnsi="仿宋" w:eastAsia="仿宋"/>
          <w:color w:val="000000"/>
          <w:sz w:val="32"/>
          <w:szCs w:val="32"/>
        </w:rPr>
        <w:t>0.00</w:t>
      </w:r>
      <w:r>
        <w:rPr>
          <w:rFonts w:ascii="仿宋" w:hAnsi="仿宋" w:eastAsia="仿宋"/>
          <w:color w:val="000000"/>
          <w:sz w:val="32"/>
          <w:szCs w:val="32"/>
        </w:rPr>
        <w:t>%；经营支出</w:t>
      </w:r>
      <w:r>
        <w:rPr>
          <w:rFonts w:hint="eastAsia" w:ascii="仿宋" w:hAnsi="仿宋" w:eastAsia="仿宋"/>
          <w:color w:val="000000"/>
          <w:sz w:val="32"/>
          <w:szCs w:val="32"/>
        </w:rPr>
        <w:t>0.00</w:t>
      </w:r>
      <w:r>
        <w:rPr>
          <w:rFonts w:ascii="仿宋" w:hAnsi="仿宋" w:eastAsia="仿宋"/>
          <w:color w:val="000000"/>
          <w:sz w:val="32"/>
          <w:szCs w:val="32"/>
        </w:rPr>
        <w:t>万元，占</w:t>
      </w:r>
      <w:r>
        <w:rPr>
          <w:rFonts w:hint="eastAsia" w:ascii="仿宋" w:hAnsi="仿宋" w:eastAsia="仿宋"/>
          <w:color w:val="000000"/>
          <w:sz w:val="32"/>
          <w:szCs w:val="32"/>
        </w:rPr>
        <w:t>0.00</w:t>
      </w:r>
      <w:r>
        <w:rPr>
          <w:rFonts w:ascii="仿宋" w:hAnsi="仿宋" w:eastAsia="仿宋"/>
          <w:color w:val="000000"/>
          <w:sz w:val="32"/>
          <w:szCs w:val="32"/>
        </w:rPr>
        <w:t>%；对附属单位补助支出</w:t>
      </w:r>
      <w:r>
        <w:rPr>
          <w:rFonts w:hint="eastAsia" w:ascii="仿宋" w:hAnsi="仿宋" w:eastAsia="仿宋"/>
          <w:color w:val="000000"/>
          <w:sz w:val="32"/>
          <w:szCs w:val="32"/>
        </w:rPr>
        <w:t>0.00</w:t>
      </w:r>
      <w:r>
        <w:rPr>
          <w:rFonts w:ascii="仿宋" w:hAnsi="仿宋" w:eastAsia="仿宋"/>
          <w:color w:val="000000"/>
          <w:sz w:val="32"/>
          <w:szCs w:val="32"/>
        </w:rPr>
        <w:t>万元，占</w:t>
      </w:r>
      <w:r>
        <w:rPr>
          <w:rFonts w:hint="eastAsia" w:ascii="仿宋" w:hAnsi="仿宋" w:eastAsia="仿宋"/>
          <w:color w:val="000000"/>
          <w:sz w:val="32"/>
          <w:szCs w:val="32"/>
        </w:rPr>
        <w:t>0.00</w:t>
      </w:r>
      <w:r>
        <w:rPr>
          <w:rFonts w:ascii="仿宋" w:hAnsi="仿宋" w:eastAsia="仿宋"/>
          <w:color w:val="000000"/>
          <w:sz w:val="32"/>
          <w:szCs w:val="32"/>
        </w:rPr>
        <w:t>%。</w:t>
      </w:r>
    </w:p>
    <w:p w14:paraId="63863670">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（图3：支出决算结构图）</w:t>
      </w:r>
    </w:p>
    <w:p w14:paraId="67538F41">
      <w:pPr>
        <w:jc w:val="center"/>
        <w:rPr>
          <w:rFonts w:ascii="仿宋_GB2312" w:eastAsia="仿宋_GB2312"/>
          <w:color w:val="FF0000"/>
          <w:sz w:val="32"/>
          <w:szCs w:val="32"/>
        </w:rPr>
      </w:pPr>
      <w:r>
        <w:rPr>
          <w:rFonts w:hint="eastAsia" w:ascii="仿宋_GB2312" w:eastAsia="仿宋_GB2312"/>
          <w:color w:val="FF0000"/>
          <w:sz w:val="32"/>
          <w:szCs w:val="32"/>
        </w:rPr>
        <w:drawing>
          <wp:inline distT="0" distB="0" distL="114300" distR="114300">
            <wp:extent cx="5304155" cy="3429000"/>
            <wp:effectExtent l="0" t="0" r="10795"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9E94D70">
      <w:pPr>
        <w:pStyle w:val="7"/>
      </w:pPr>
    </w:p>
    <w:p w14:paraId="453F93D9">
      <w:pPr>
        <w:pStyle w:val="5"/>
        <w:ind w:firstLine="643" w:firstLineChars="200"/>
        <w:rPr>
          <w:rFonts w:ascii="黑体" w:eastAsia="黑体" w:cs="Times New Roman"/>
          <w:bCs w:val="0"/>
          <w:color w:val="000000"/>
        </w:rPr>
      </w:pPr>
      <w:bookmarkStart w:id="35" w:name="_Toc113981016"/>
      <w:bookmarkStart w:id="36" w:name="_Toc111208502"/>
      <w:bookmarkStart w:id="37" w:name="_Toc15377208"/>
      <w:r>
        <w:rPr>
          <w:rFonts w:hint="eastAsia" w:ascii="黑体" w:eastAsia="黑体" w:cs="Times New Roman"/>
          <w:bCs w:val="0"/>
          <w:color w:val="000000"/>
        </w:rPr>
        <w:t>四、财政拨款收入支出决算总体情况说明</w:t>
      </w:r>
      <w:bookmarkEnd w:id="35"/>
      <w:bookmarkEnd w:id="36"/>
      <w:bookmarkEnd w:id="37"/>
    </w:p>
    <w:p w14:paraId="555FF45D">
      <w:pPr>
        <w:spacing w:line="600" w:lineRule="exact"/>
        <w:ind w:firstLine="640" w:firstLineChars="200"/>
        <w:rPr>
          <w:rFonts w:ascii="仿宋_GB2312" w:hAnsi="仿宋" w:eastAsia="仿宋_GB2312"/>
          <w:color w:val="00B0F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年度收</w:t>
      </w:r>
      <w:r>
        <w:rPr>
          <w:rFonts w:hint="eastAsia" w:ascii="仿宋" w:hAnsi="仿宋" w:eastAsia="仿宋"/>
          <w:color w:val="000000"/>
          <w:sz w:val="32"/>
          <w:szCs w:val="32"/>
          <w:lang w:eastAsia="zh-CN"/>
        </w:rPr>
        <w:t>入总计</w:t>
      </w:r>
      <w:r>
        <w:rPr>
          <w:rFonts w:hint="eastAsia" w:ascii="仿宋" w:hAnsi="仿宋" w:eastAsia="仿宋"/>
          <w:color w:val="000000"/>
          <w:sz w:val="32"/>
          <w:szCs w:val="32"/>
          <w:lang w:val="en-US" w:eastAsia="zh-CN"/>
        </w:rPr>
        <w:t>60.58万元，上年结转0万元；</w:t>
      </w:r>
      <w:r>
        <w:rPr>
          <w:rFonts w:hint="eastAsia" w:ascii="仿宋" w:hAnsi="仿宋" w:eastAsia="仿宋"/>
          <w:color w:val="000000"/>
          <w:sz w:val="32"/>
          <w:szCs w:val="32"/>
        </w:rPr>
        <w:t>支</w:t>
      </w:r>
      <w:r>
        <w:rPr>
          <w:rFonts w:hint="eastAsia" w:ascii="仿宋" w:hAnsi="仿宋" w:eastAsia="仿宋"/>
          <w:color w:val="000000"/>
          <w:sz w:val="32"/>
          <w:szCs w:val="32"/>
          <w:lang w:eastAsia="zh-CN"/>
        </w:rPr>
        <w:t>出</w:t>
      </w:r>
      <w:r>
        <w:rPr>
          <w:rFonts w:hint="eastAsia" w:ascii="仿宋" w:hAnsi="仿宋" w:eastAsia="仿宋"/>
          <w:color w:val="auto"/>
          <w:sz w:val="32"/>
          <w:szCs w:val="32"/>
        </w:rPr>
        <w:t>总计</w:t>
      </w:r>
      <w:r>
        <w:rPr>
          <w:rFonts w:hint="eastAsia" w:ascii="仿宋" w:hAnsi="仿宋" w:eastAsia="仿宋"/>
          <w:color w:val="000000"/>
          <w:sz w:val="32"/>
          <w:szCs w:val="32"/>
          <w:lang w:val="en-US" w:eastAsia="zh-CN"/>
        </w:rPr>
        <w:t>60.58</w:t>
      </w:r>
      <w:r>
        <w:rPr>
          <w:rFonts w:hint="eastAsia" w:ascii="仿宋" w:hAnsi="仿宋" w:eastAsia="仿宋"/>
          <w:color w:val="auto"/>
          <w:sz w:val="32"/>
          <w:szCs w:val="32"/>
        </w:rPr>
        <w:t>万元</w:t>
      </w:r>
      <w:r>
        <w:rPr>
          <w:rFonts w:hint="eastAsia" w:ascii="仿宋" w:hAnsi="仿宋" w:eastAsia="仿宋"/>
          <w:color w:val="auto"/>
          <w:sz w:val="32"/>
          <w:szCs w:val="32"/>
          <w:lang w:eastAsia="zh-CN"/>
        </w:rPr>
        <w:t>。</w:t>
      </w:r>
      <w:r>
        <w:rPr>
          <w:rFonts w:hint="eastAsia" w:ascii="仿宋" w:hAnsi="仿宋" w:eastAsia="仿宋"/>
          <w:color w:val="000000"/>
          <w:sz w:val="32"/>
          <w:szCs w:val="32"/>
        </w:rPr>
        <w:t>与202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年相比，财政拨款收、支总计各</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1.79</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2.87</w:t>
      </w:r>
      <w:r>
        <w:rPr>
          <w:rFonts w:hint="eastAsia" w:ascii="仿宋" w:hAnsi="仿宋" w:eastAsia="仿宋"/>
          <w:color w:val="000000"/>
          <w:sz w:val="32"/>
          <w:szCs w:val="32"/>
        </w:rPr>
        <w:t xml:space="preserve">%。 </w:t>
      </w:r>
    </w:p>
    <w:p w14:paraId="5866A955">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（图4：财政拨款收、支决算总计变动情况）</w:t>
      </w:r>
    </w:p>
    <w:p w14:paraId="40162B85">
      <w:pPr>
        <w:pStyle w:val="7"/>
        <w:ind w:firstLine="0"/>
      </w:pPr>
    </w:p>
    <w:p w14:paraId="4FCDB3CB">
      <w:pPr>
        <w:pStyle w:val="7"/>
        <w:jc w:val="left"/>
      </w:pPr>
      <w:r>
        <w:rPr>
          <w:rFonts w:hint="eastAsia" w:ascii="仿宋_GB2312" w:hAnsi="仿宋" w:eastAsia="仿宋_GB2312"/>
          <w:color w:val="000000"/>
          <w:sz w:val="32"/>
          <w:szCs w:val="32"/>
        </w:rPr>
        <w:drawing>
          <wp:inline distT="0" distB="0" distL="0" distR="0">
            <wp:extent cx="4981575" cy="3171825"/>
            <wp:effectExtent l="0" t="0" r="9525" b="952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5F80D6A">
      <w:pPr>
        <w:pStyle w:val="7"/>
        <w:jc w:val="center"/>
      </w:pPr>
    </w:p>
    <w:p w14:paraId="7BC21FC6">
      <w:pPr>
        <w:pStyle w:val="5"/>
        <w:ind w:firstLine="643" w:firstLineChars="200"/>
        <w:rPr>
          <w:rFonts w:ascii="黑体" w:eastAsia="黑体" w:cs="Times New Roman"/>
          <w:bCs w:val="0"/>
          <w:color w:val="000000"/>
        </w:rPr>
      </w:pPr>
      <w:bookmarkStart w:id="38" w:name="_Toc15377209"/>
      <w:bookmarkStart w:id="39" w:name="_Toc111208503"/>
      <w:bookmarkStart w:id="40" w:name="_Toc113981017"/>
      <w:r>
        <w:rPr>
          <w:rFonts w:hint="eastAsia" w:ascii="黑体" w:eastAsia="黑体" w:cs="Times New Roman"/>
          <w:bCs w:val="0"/>
          <w:color w:val="000000"/>
        </w:rPr>
        <w:t>五、一般公共预算财政拨款支出决算情况说</w:t>
      </w:r>
      <w:bookmarkEnd w:id="38"/>
      <w:r>
        <w:rPr>
          <w:rFonts w:hint="eastAsia" w:ascii="黑体" w:eastAsia="黑体" w:cs="Times New Roman"/>
          <w:bCs w:val="0"/>
          <w:color w:val="000000"/>
        </w:rPr>
        <w:t>明</w:t>
      </w:r>
      <w:bookmarkEnd w:id="39"/>
      <w:bookmarkEnd w:id="40"/>
    </w:p>
    <w:p w14:paraId="3E83839B">
      <w:pPr>
        <w:spacing w:line="600" w:lineRule="exact"/>
        <w:ind w:firstLine="643" w:firstLineChars="200"/>
        <w:outlineLvl w:val="2"/>
        <w:rPr>
          <w:rFonts w:ascii="仿宋" w:hAnsi="仿宋" w:eastAsia="仿宋"/>
          <w:b/>
          <w:color w:val="000000"/>
          <w:sz w:val="32"/>
          <w:szCs w:val="32"/>
        </w:rPr>
      </w:pPr>
      <w:bookmarkStart w:id="41" w:name="_Toc15377210"/>
      <w:r>
        <w:rPr>
          <w:rFonts w:hint="eastAsia" w:ascii="仿宋" w:hAnsi="仿宋" w:eastAsia="仿宋"/>
          <w:b/>
          <w:color w:val="000000"/>
          <w:sz w:val="32"/>
          <w:szCs w:val="32"/>
        </w:rPr>
        <w:t>（一）一般公共预算财政拨款支出决算总体情况</w:t>
      </w:r>
      <w:bookmarkEnd w:id="41"/>
    </w:p>
    <w:p w14:paraId="7076BE40">
      <w:pPr>
        <w:spacing w:line="600" w:lineRule="exact"/>
        <w:ind w:firstLine="640" w:firstLineChars="200"/>
        <w:rPr>
          <w:rFonts w:ascii="仿宋_GB2312" w:hAnsi="仿宋" w:eastAsia="仿宋_GB2312"/>
          <w:color w:val="000000"/>
          <w:sz w:val="32"/>
          <w:szCs w:val="32"/>
        </w:rPr>
      </w:pPr>
      <w:bookmarkStart w:id="42" w:name="_Toc15377211"/>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60.58</w:t>
      </w:r>
      <w:r>
        <w:rPr>
          <w:rFonts w:hint="eastAsia" w:ascii="仿宋" w:hAnsi="仿宋" w:eastAsia="仿宋"/>
          <w:color w:val="000000"/>
          <w:sz w:val="32"/>
          <w:szCs w:val="32"/>
        </w:rPr>
        <w:t>万元，占本年支出合计的100.00%。与202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相比，一般公共预算财政拨款</w:t>
      </w:r>
      <w:r>
        <w:rPr>
          <w:rFonts w:hint="eastAsia" w:ascii="仿宋" w:hAnsi="仿宋" w:eastAsia="仿宋"/>
          <w:color w:val="000000"/>
          <w:sz w:val="32"/>
          <w:szCs w:val="32"/>
          <w:lang w:eastAsia="zh-CN"/>
        </w:rPr>
        <w:t>支出减少</w:t>
      </w:r>
      <w:r>
        <w:rPr>
          <w:rFonts w:hint="eastAsia" w:ascii="仿宋" w:hAnsi="仿宋" w:eastAsia="仿宋"/>
          <w:color w:val="000000"/>
          <w:sz w:val="32"/>
          <w:szCs w:val="32"/>
          <w:lang w:val="en-US" w:eastAsia="zh-CN"/>
        </w:rPr>
        <w:t>1.79</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2.87</w:t>
      </w:r>
      <w:r>
        <w:rPr>
          <w:rFonts w:hint="eastAsia" w:ascii="仿宋" w:hAnsi="仿宋" w:eastAsia="仿宋"/>
          <w:color w:val="000000"/>
          <w:sz w:val="32"/>
          <w:szCs w:val="32"/>
        </w:rPr>
        <w:t>%。</w:t>
      </w:r>
    </w:p>
    <w:p w14:paraId="4E77732B">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（图5：一般公共预算财政拨款支出决算变动情况）</w:t>
      </w:r>
    </w:p>
    <w:p w14:paraId="27CA6AA8">
      <w:pPr>
        <w:pStyle w:val="7"/>
        <w:ind w:firstLine="0"/>
        <w:rPr>
          <w:rFonts w:ascii="仿宋_GB2312" w:hAnsi="仿宋" w:eastAsia="仿宋_GB2312"/>
          <w:b/>
          <w:color w:val="000000"/>
          <w:sz w:val="32"/>
          <w:szCs w:val="32"/>
        </w:rPr>
      </w:pPr>
    </w:p>
    <w:p w14:paraId="4E36C91D">
      <w:pPr>
        <w:pStyle w:val="7"/>
        <w:ind w:firstLine="0"/>
        <w:rPr>
          <w:rFonts w:ascii="仿宋_GB2312" w:hAnsi="仿宋" w:eastAsia="仿宋_GB2312"/>
          <w:b/>
          <w:color w:val="000000"/>
          <w:sz w:val="32"/>
          <w:szCs w:val="32"/>
        </w:rPr>
      </w:pPr>
      <w:r>
        <w:rPr>
          <w:rFonts w:hint="eastAsia" w:ascii="仿宋_GB2312" w:hAnsi="仿宋" w:eastAsia="仿宋_GB2312"/>
          <w:b/>
          <w:color w:val="000000"/>
          <w:sz w:val="32"/>
          <w:szCs w:val="32"/>
        </w:rPr>
        <w:drawing>
          <wp:inline distT="0" distB="0" distL="0" distR="0">
            <wp:extent cx="4905375" cy="3569970"/>
            <wp:effectExtent l="0" t="0" r="9525" b="1143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1E13913">
      <w:pPr>
        <w:pStyle w:val="7"/>
        <w:ind w:firstLine="0"/>
        <w:rPr>
          <w:rFonts w:ascii="仿宋_GB2312" w:hAnsi="仿宋" w:eastAsia="仿宋_GB2312"/>
          <w:b/>
          <w:color w:val="000000"/>
          <w:sz w:val="32"/>
          <w:szCs w:val="32"/>
        </w:rPr>
      </w:pPr>
    </w:p>
    <w:p w14:paraId="3E712F7C">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42"/>
    </w:p>
    <w:p w14:paraId="3D04CE5B">
      <w:pPr>
        <w:spacing w:line="600" w:lineRule="exact"/>
        <w:ind w:firstLine="640" w:firstLineChars="200"/>
        <w:rPr>
          <w:rFonts w:ascii="仿宋_GB2312" w:hAnsi="仿宋" w:eastAsia="仿宋_GB2312"/>
          <w:color w:val="000000" w:themeColor="text1"/>
          <w:sz w:val="32"/>
          <w:szCs w:val="32"/>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60.58</w:t>
      </w:r>
      <w:r>
        <w:rPr>
          <w:rFonts w:hint="eastAsia" w:ascii="仿宋" w:hAnsi="仿宋" w:eastAsia="仿宋"/>
          <w:color w:val="000000"/>
          <w:sz w:val="32"/>
          <w:szCs w:val="32"/>
        </w:rPr>
        <w:t>万元，主要用于以下方面</w:t>
      </w:r>
      <w:r>
        <w:rPr>
          <w:rFonts w:hint="eastAsia" w:ascii="仿宋" w:hAnsi="仿宋" w:eastAsia="仿宋"/>
          <w:color w:val="000000"/>
          <w:sz w:val="32"/>
          <w:szCs w:val="32"/>
          <w:lang w:eastAsia="zh-CN"/>
        </w:rPr>
        <w:t>：</w:t>
      </w:r>
      <w:r>
        <w:rPr>
          <w:rFonts w:hint="eastAsia" w:ascii="仿宋" w:hAnsi="仿宋" w:eastAsia="仿宋"/>
          <w:color w:val="000000"/>
          <w:sz w:val="32"/>
          <w:szCs w:val="32"/>
        </w:rPr>
        <w:t>一般公共服务支出</w:t>
      </w:r>
      <w:r>
        <w:rPr>
          <w:rFonts w:hint="eastAsia" w:ascii="仿宋" w:hAnsi="仿宋" w:eastAsia="仿宋"/>
          <w:color w:val="000000"/>
          <w:sz w:val="32"/>
          <w:szCs w:val="32"/>
          <w:lang w:val="en-US" w:eastAsia="zh-CN"/>
        </w:rPr>
        <w:t>43.67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72.09</w:t>
      </w:r>
      <w:r>
        <w:rPr>
          <w:rFonts w:hint="eastAsia" w:ascii="仿宋" w:hAnsi="仿宋" w:eastAsia="仿宋"/>
          <w:color w:val="000000"/>
          <w:sz w:val="32"/>
          <w:szCs w:val="32"/>
        </w:rPr>
        <w:t>%；社会保障和就业支出</w:t>
      </w:r>
      <w:r>
        <w:rPr>
          <w:rFonts w:hint="eastAsia" w:ascii="仿宋" w:hAnsi="仿宋" w:eastAsia="仿宋"/>
          <w:color w:val="000000"/>
          <w:sz w:val="32"/>
          <w:szCs w:val="32"/>
          <w:lang w:val="en-US" w:eastAsia="zh-CN"/>
        </w:rPr>
        <w:t>8.61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14.21</w:t>
      </w:r>
      <w:r>
        <w:rPr>
          <w:rFonts w:hint="eastAsia" w:ascii="仿宋" w:hAnsi="仿宋" w:eastAsia="仿宋"/>
          <w:color w:val="000000"/>
          <w:sz w:val="32"/>
          <w:szCs w:val="32"/>
        </w:rPr>
        <w:t>%；卫生健康支出</w:t>
      </w:r>
      <w:r>
        <w:rPr>
          <w:rFonts w:hint="eastAsia" w:ascii="仿宋" w:hAnsi="仿宋" w:eastAsia="仿宋"/>
          <w:color w:val="000000"/>
          <w:sz w:val="32"/>
          <w:szCs w:val="32"/>
          <w:lang w:val="en-US" w:eastAsia="zh-CN"/>
        </w:rPr>
        <w:t>3.49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5.76</w:t>
      </w:r>
      <w:r>
        <w:rPr>
          <w:rFonts w:hint="eastAsia" w:ascii="仿宋" w:hAnsi="仿宋" w:eastAsia="仿宋"/>
          <w:color w:val="000000"/>
          <w:sz w:val="32"/>
          <w:szCs w:val="32"/>
        </w:rPr>
        <w:t>%；住房保障支出</w:t>
      </w:r>
      <w:r>
        <w:rPr>
          <w:rFonts w:hint="eastAsia" w:ascii="仿宋" w:hAnsi="仿宋" w:eastAsia="仿宋"/>
          <w:color w:val="000000"/>
          <w:sz w:val="32"/>
          <w:szCs w:val="32"/>
          <w:lang w:val="en-US" w:eastAsia="zh-CN"/>
        </w:rPr>
        <w:t>4.81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7.94</w:t>
      </w:r>
      <w:r>
        <w:rPr>
          <w:rFonts w:hint="eastAsia" w:ascii="仿宋" w:hAnsi="仿宋" w:eastAsia="仿宋"/>
          <w:color w:val="000000"/>
          <w:sz w:val="32"/>
          <w:szCs w:val="32"/>
        </w:rPr>
        <w:t>%。</w:t>
      </w:r>
    </w:p>
    <w:p w14:paraId="64E5AB3C">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w:t>
      </w:r>
      <w:bookmarkStart w:id="43" w:name="_Toc15377212"/>
    </w:p>
    <w:p w14:paraId="4959C3B6">
      <w:pPr>
        <w:pStyle w:val="7"/>
      </w:pPr>
      <w:r>
        <w:drawing>
          <wp:inline distT="0" distB="0" distL="0" distR="0">
            <wp:extent cx="4333240" cy="2886075"/>
            <wp:effectExtent l="0" t="0" r="10160" b="95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0B72313">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（三）一般公共预算财政拨款支出决算具体情况</w:t>
      </w:r>
      <w:bookmarkEnd w:id="43"/>
    </w:p>
    <w:p w14:paraId="378F70BE">
      <w:pPr>
        <w:spacing w:line="600" w:lineRule="exact"/>
        <w:ind w:firstLine="640"/>
        <w:rPr>
          <w:rFonts w:ascii="仿宋" w:hAnsi="仿宋" w:eastAsia="仿宋"/>
          <w:color w:val="000000"/>
          <w:sz w:val="32"/>
          <w:szCs w:val="32"/>
        </w:rPr>
      </w:pPr>
      <w:bookmarkStart w:id="44" w:name="_Toc15377213"/>
      <w:bookmarkStart w:id="45" w:name="_Toc15377444"/>
      <w:bookmarkStart w:id="46" w:name="_Toc15378460"/>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年一般公共预算支出决算数为</w:t>
      </w:r>
      <w:r>
        <w:rPr>
          <w:rFonts w:hint="eastAsia" w:ascii="仿宋" w:hAnsi="仿宋" w:eastAsia="仿宋"/>
          <w:color w:val="000000"/>
          <w:sz w:val="32"/>
          <w:szCs w:val="32"/>
          <w:lang w:val="en-US" w:eastAsia="zh-CN"/>
        </w:rPr>
        <w:t>60.58</w:t>
      </w:r>
      <w:r>
        <w:rPr>
          <w:rFonts w:hint="eastAsia" w:ascii="仿宋" w:hAnsi="仿宋" w:eastAsia="仿宋"/>
          <w:color w:val="000000"/>
          <w:sz w:val="32"/>
          <w:szCs w:val="32"/>
        </w:rPr>
        <w:t>万，完成预算100%。其中：</w:t>
      </w:r>
      <w:bookmarkEnd w:id="44"/>
      <w:bookmarkEnd w:id="45"/>
      <w:bookmarkEnd w:id="46"/>
    </w:p>
    <w:p w14:paraId="5010E859">
      <w:pPr>
        <w:spacing w:line="600" w:lineRule="exact"/>
        <w:ind w:firstLine="320" w:firstLineChars="100"/>
        <w:rPr>
          <w:rFonts w:ascii="仿宋" w:hAnsi="仿宋" w:eastAsia="仿宋"/>
          <w:color w:val="000000"/>
          <w:sz w:val="32"/>
          <w:szCs w:val="32"/>
        </w:rPr>
      </w:pPr>
      <w:r>
        <w:rPr>
          <w:rFonts w:hint="eastAsia" w:ascii="仿宋" w:hAnsi="仿宋" w:eastAsia="仿宋"/>
          <w:color w:val="000000"/>
          <w:sz w:val="32"/>
          <w:szCs w:val="32"/>
        </w:rPr>
        <w:t>1.一般公共服务支出（201）统计信息事务（20105）</w:t>
      </w:r>
      <w:r>
        <w:rPr>
          <w:rFonts w:hint="eastAsia" w:ascii="仿宋" w:hAnsi="仿宋" w:eastAsia="仿宋"/>
          <w:color w:val="000000"/>
          <w:sz w:val="32"/>
          <w:szCs w:val="32"/>
          <w:lang w:eastAsia="zh-CN"/>
        </w:rPr>
        <w:t>事业</w:t>
      </w:r>
      <w:r>
        <w:rPr>
          <w:rFonts w:hint="eastAsia" w:ascii="仿宋" w:hAnsi="仿宋" w:eastAsia="仿宋"/>
          <w:color w:val="000000"/>
          <w:sz w:val="32"/>
          <w:szCs w:val="32"/>
        </w:rPr>
        <w:t>运行（20105</w:t>
      </w:r>
      <w:r>
        <w:rPr>
          <w:rFonts w:hint="eastAsia" w:ascii="仿宋" w:hAnsi="仿宋" w:eastAsia="仿宋"/>
          <w:color w:val="000000"/>
          <w:sz w:val="32"/>
          <w:szCs w:val="32"/>
          <w:lang w:val="en-US" w:eastAsia="zh-CN"/>
        </w:rPr>
        <w:t>50</w:t>
      </w:r>
      <w:r>
        <w:rPr>
          <w:rFonts w:hint="eastAsia" w:ascii="仿宋" w:hAnsi="仿宋" w:eastAsia="仿宋"/>
          <w:color w:val="000000"/>
          <w:sz w:val="32"/>
          <w:szCs w:val="32"/>
        </w:rPr>
        <w:t>）支出决算</w:t>
      </w:r>
      <w:r>
        <w:rPr>
          <w:rFonts w:hint="eastAsia" w:ascii="仿宋" w:hAnsi="仿宋" w:eastAsia="仿宋"/>
          <w:color w:val="000000"/>
          <w:sz w:val="32"/>
          <w:szCs w:val="32"/>
          <w:lang w:val="en-US" w:eastAsia="zh-CN"/>
        </w:rPr>
        <w:t>43.67</w:t>
      </w:r>
      <w:r>
        <w:rPr>
          <w:rFonts w:hint="eastAsia" w:ascii="仿宋" w:hAnsi="仿宋" w:eastAsia="仿宋"/>
          <w:color w:val="000000"/>
          <w:sz w:val="32"/>
          <w:szCs w:val="32"/>
        </w:rPr>
        <w:t>万元，完成预算100%。</w:t>
      </w:r>
      <w:r>
        <w:rPr>
          <w:rFonts w:hint="eastAsia" w:ascii="仿宋" w:hAnsi="仿宋" w:eastAsia="仿宋"/>
          <w:color w:val="000000"/>
          <w:sz w:val="32"/>
          <w:szCs w:val="32"/>
        </w:rPr>
        <w:br w:type="textWrapping"/>
      </w:r>
      <w:r>
        <w:rPr>
          <w:rFonts w:hint="eastAsia" w:ascii="仿宋" w:hAnsi="仿宋" w:eastAsia="仿宋"/>
          <w:color w:val="000000"/>
          <w:sz w:val="32"/>
          <w:szCs w:val="32"/>
        </w:rPr>
        <w:tab/>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.社会保障和就业支出（208）行政事业单位养老支出（20805）机关事业单位基本养老保险缴费支出（2080505）支出决算</w:t>
      </w:r>
      <w:r>
        <w:rPr>
          <w:rFonts w:hint="eastAsia" w:ascii="仿宋" w:hAnsi="仿宋" w:eastAsia="仿宋"/>
          <w:color w:val="000000"/>
          <w:sz w:val="32"/>
          <w:szCs w:val="32"/>
          <w:lang w:val="en-US" w:eastAsia="zh-CN"/>
        </w:rPr>
        <w:t>5.68</w:t>
      </w:r>
      <w:r>
        <w:rPr>
          <w:rFonts w:hint="eastAsia" w:ascii="仿宋" w:hAnsi="仿宋" w:eastAsia="仿宋"/>
          <w:color w:val="000000"/>
          <w:sz w:val="32"/>
          <w:szCs w:val="32"/>
        </w:rPr>
        <w:t>万元，完成预算100%。</w:t>
      </w:r>
      <w:r>
        <w:rPr>
          <w:rFonts w:hint="eastAsia" w:ascii="仿宋" w:hAnsi="仿宋" w:eastAsia="仿宋"/>
          <w:color w:val="000000"/>
          <w:sz w:val="32"/>
          <w:szCs w:val="32"/>
        </w:rPr>
        <w:br w:type="textWrapping"/>
      </w:r>
      <w:r>
        <w:rPr>
          <w:rFonts w:hint="eastAsia" w:ascii="仿宋" w:hAnsi="仿宋" w:eastAsia="仿宋"/>
          <w:color w:val="000000"/>
          <w:sz w:val="32"/>
          <w:szCs w:val="32"/>
        </w:rPr>
        <w:tab/>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.社会保障和就业支出（208）行政事业单位养老支出（20805）机关事业单位职业年金缴费支出（2080506）支出决算</w:t>
      </w:r>
      <w:r>
        <w:rPr>
          <w:rFonts w:hint="eastAsia" w:ascii="仿宋" w:hAnsi="仿宋" w:eastAsia="仿宋"/>
          <w:color w:val="000000"/>
          <w:sz w:val="32"/>
          <w:szCs w:val="32"/>
          <w:lang w:val="en-US" w:eastAsia="zh-CN"/>
        </w:rPr>
        <w:t>2.93</w:t>
      </w:r>
      <w:r>
        <w:rPr>
          <w:rFonts w:hint="eastAsia" w:ascii="仿宋" w:hAnsi="仿宋" w:eastAsia="仿宋"/>
          <w:color w:val="000000"/>
          <w:sz w:val="32"/>
          <w:szCs w:val="32"/>
        </w:rPr>
        <w:t>万元，完成预算100%。</w:t>
      </w:r>
      <w:r>
        <w:rPr>
          <w:rFonts w:hint="eastAsia" w:ascii="仿宋" w:hAnsi="仿宋" w:eastAsia="仿宋"/>
          <w:color w:val="000000"/>
          <w:sz w:val="32"/>
          <w:szCs w:val="32"/>
        </w:rPr>
        <w:br w:type="textWrapping"/>
      </w:r>
      <w:r>
        <w:rPr>
          <w:rFonts w:hint="eastAsia" w:ascii="仿宋" w:hAnsi="仿宋" w:eastAsia="仿宋"/>
          <w:color w:val="000000"/>
          <w:sz w:val="32"/>
          <w:szCs w:val="32"/>
        </w:rPr>
        <w:tab/>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.卫生健康支出（210）行政事业单位医疗（21011）</w:t>
      </w:r>
      <w:r>
        <w:rPr>
          <w:rFonts w:hint="eastAsia" w:ascii="仿宋" w:hAnsi="仿宋" w:eastAsia="仿宋"/>
          <w:color w:val="000000"/>
          <w:sz w:val="32"/>
          <w:szCs w:val="32"/>
          <w:lang w:eastAsia="zh-CN"/>
        </w:rPr>
        <w:t>事业</w:t>
      </w:r>
      <w:r>
        <w:rPr>
          <w:rFonts w:hint="eastAsia" w:ascii="仿宋" w:hAnsi="仿宋" w:eastAsia="仿宋"/>
          <w:color w:val="000000"/>
          <w:sz w:val="32"/>
          <w:szCs w:val="32"/>
        </w:rPr>
        <w:t>单位医疗（210110</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）支出决算</w:t>
      </w:r>
      <w:r>
        <w:rPr>
          <w:rFonts w:hint="eastAsia" w:ascii="仿宋" w:hAnsi="仿宋" w:eastAsia="仿宋"/>
          <w:color w:val="000000"/>
          <w:sz w:val="32"/>
          <w:szCs w:val="32"/>
          <w:lang w:val="en-US" w:eastAsia="zh-CN"/>
        </w:rPr>
        <w:t>2.83</w:t>
      </w:r>
      <w:r>
        <w:rPr>
          <w:rFonts w:hint="eastAsia" w:ascii="仿宋" w:hAnsi="仿宋" w:eastAsia="仿宋"/>
          <w:color w:val="000000"/>
          <w:sz w:val="32"/>
          <w:szCs w:val="32"/>
        </w:rPr>
        <w:t>万元，完成预算100%。</w:t>
      </w:r>
      <w:r>
        <w:rPr>
          <w:rFonts w:hint="eastAsia" w:ascii="仿宋" w:hAnsi="仿宋" w:eastAsia="仿宋"/>
          <w:color w:val="000000"/>
          <w:sz w:val="32"/>
          <w:szCs w:val="32"/>
        </w:rPr>
        <w:br w:type="textWrapping"/>
      </w:r>
      <w:r>
        <w:rPr>
          <w:rFonts w:hint="eastAsia" w:ascii="仿宋" w:hAnsi="仿宋" w:eastAsia="仿宋"/>
          <w:color w:val="000000"/>
          <w:sz w:val="32"/>
          <w:szCs w:val="32"/>
        </w:rPr>
        <w:tab/>
      </w:r>
      <w:r>
        <w:rPr>
          <w:rFonts w:hint="eastAsia" w:ascii="仿宋" w:hAnsi="仿宋" w:eastAsia="仿宋"/>
          <w:color w:val="000000"/>
          <w:sz w:val="32"/>
          <w:szCs w:val="32"/>
          <w:lang w:val="en-US" w:eastAsia="zh-CN"/>
        </w:rPr>
        <w:t>5</w:t>
      </w:r>
      <w:r>
        <w:rPr>
          <w:rFonts w:hint="eastAsia" w:ascii="仿宋" w:hAnsi="仿宋" w:eastAsia="仿宋"/>
          <w:color w:val="000000"/>
          <w:sz w:val="32"/>
          <w:szCs w:val="32"/>
        </w:rPr>
        <w:t>.卫生健康支出（210）行政事业单位医疗（21011）其他行政事业单位医疗支出（21011</w:t>
      </w:r>
      <w:r>
        <w:rPr>
          <w:rFonts w:hint="eastAsia" w:ascii="仿宋" w:hAnsi="仿宋" w:eastAsia="仿宋"/>
          <w:color w:val="000000"/>
          <w:sz w:val="32"/>
          <w:szCs w:val="32"/>
          <w:lang w:val="en-US" w:eastAsia="zh-CN"/>
        </w:rPr>
        <w:t>99</w:t>
      </w:r>
      <w:r>
        <w:rPr>
          <w:rFonts w:hint="eastAsia" w:ascii="仿宋" w:hAnsi="仿宋" w:eastAsia="仿宋"/>
          <w:color w:val="000000"/>
          <w:sz w:val="32"/>
          <w:szCs w:val="32"/>
        </w:rPr>
        <w:t>）支出决算</w:t>
      </w:r>
      <w:r>
        <w:rPr>
          <w:rFonts w:hint="eastAsia" w:ascii="仿宋" w:hAnsi="仿宋" w:eastAsia="仿宋"/>
          <w:color w:val="000000"/>
          <w:sz w:val="32"/>
          <w:szCs w:val="32"/>
          <w:lang w:val="en-US" w:eastAsia="zh-CN"/>
        </w:rPr>
        <w:t>0.66</w:t>
      </w:r>
      <w:r>
        <w:rPr>
          <w:rFonts w:hint="eastAsia" w:ascii="仿宋" w:hAnsi="仿宋" w:eastAsia="仿宋"/>
          <w:color w:val="000000"/>
          <w:sz w:val="32"/>
          <w:szCs w:val="32"/>
        </w:rPr>
        <w:t>万元，完成预算100%。</w:t>
      </w:r>
      <w:r>
        <w:rPr>
          <w:rFonts w:hint="eastAsia" w:ascii="仿宋" w:hAnsi="仿宋" w:eastAsia="仿宋"/>
          <w:color w:val="000000"/>
          <w:sz w:val="32"/>
          <w:szCs w:val="32"/>
        </w:rPr>
        <w:br w:type="textWrapping"/>
      </w:r>
      <w:r>
        <w:rPr>
          <w:rFonts w:hint="eastAsia" w:ascii="仿宋" w:hAnsi="仿宋" w:eastAsia="仿宋"/>
          <w:color w:val="000000"/>
          <w:sz w:val="32"/>
          <w:szCs w:val="32"/>
        </w:rPr>
        <w:tab/>
      </w:r>
      <w:r>
        <w:rPr>
          <w:rFonts w:hint="eastAsia" w:ascii="仿宋" w:hAnsi="仿宋" w:eastAsia="仿宋"/>
          <w:color w:val="000000"/>
          <w:sz w:val="32"/>
          <w:szCs w:val="32"/>
          <w:lang w:val="en-US" w:eastAsia="zh-CN"/>
        </w:rPr>
        <w:t>6</w:t>
      </w:r>
      <w:r>
        <w:rPr>
          <w:rFonts w:hint="eastAsia" w:ascii="仿宋" w:hAnsi="仿宋" w:eastAsia="仿宋"/>
          <w:color w:val="000000"/>
          <w:sz w:val="32"/>
          <w:szCs w:val="32"/>
        </w:rPr>
        <w:t>.住房保障支出（221）住房改革支出（22102）住房公积金（2210201）支出决算</w:t>
      </w:r>
      <w:r>
        <w:rPr>
          <w:rFonts w:hint="eastAsia" w:ascii="仿宋" w:hAnsi="仿宋" w:eastAsia="仿宋"/>
          <w:color w:val="000000"/>
          <w:sz w:val="32"/>
          <w:szCs w:val="32"/>
          <w:lang w:val="en-US" w:eastAsia="zh-CN"/>
        </w:rPr>
        <w:t>4.81</w:t>
      </w:r>
      <w:r>
        <w:rPr>
          <w:rFonts w:hint="eastAsia" w:ascii="仿宋" w:hAnsi="仿宋" w:eastAsia="仿宋"/>
          <w:color w:val="000000"/>
          <w:sz w:val="32"/>
          <w:szCs w:val="32"/>
        </w:rPr>
        <w:t>万元，完成预算100%。</w:t>
      </w:r>
    </w:p>
    <w:p w14:paraId="53E22FB4">
      <w:pPr>
        <w:pStyle w:val="5"/>
        <w:ind w:firstLine="643" w:firstLineChars="200"/>
        <w:rPr>
          <w:rFonts w:ascii="黑体" w:eastAsia="黑体" w:cs="Times New Roman"/>
          <w:b w:val="0"/>
          <w:color w:val="000000"/>
        </w:rPr>
      </w:pPr>
      <w:bookmarkStart w:id="47" w:name="_Toc15377214"/>
      <w:bookmarkStart w:id="48" w:name="_Toc113981018"/>
      <w:bookmarkStart w:id="49" w:name="_Toc111208504"/>
      <w:r>
        <w:rPr>
          <w:rFonts w:hint="eastAsia" w:ascii="黑体" w:eastAsia="黑体" w:cs="Times New Roman"/>
          <w:bCs w:val="0"/>
          <w:color w:val="000000"/>
        </w:rPr>
        <w:t>六、一般公共预算财政拨款基本支出决算情况说</w:t>
      </w:r>
      <w:bookmarkEnd w:id="47"/>
      <w:r>
        <w:rPr>
          <w:rFonts w:hint="eastAsia" w:ascii="黑体" w:eastAsia="黑体" w:cs="Times New Roman"/>
          <w:bCs w:val="0"/>
          <w:color w:val="000000"/>
        </w:rPr>
        <w:t>明</w:t>
      </w:r>
      <w:bookmarkEnd w:id="48"/>
      <w:bookmarkEnd w:id="49"/>
    </w:p>
    <w:p w14:paraId="11685BA1">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60.58</w:t>
      </w:r>
      <w:r>
        <w:rPr>
          <w:rFonts w:hint="eastAsia" w:ascii="仿宋" w:hAnsi="仿宋" w:eastAsia="仿宋"/>
          <w:color w:val="000000"/>
          <w:sz w:val="32"/>
          <w:szCs w:val="32"/>
        </w:rPr>
        <w:t>万元，其中：</w:t>
      </w:r>
    </w:p>
    <w:p w14:paraId="0E67D399">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58.91</w:t>
      </w:r>
      <w:r>
        <w:rPr>
          <w:rFonts w:hint="eastAsia" w:ascii="仿宋" w:hAnsi="仿宋" w:eastAsia="仿宋"/>
          <w:color w:val="000000"/>
          <w:sz w:val="32"/>
          <w:szCs w:val="32"/>
        </w:rPr>
        <w:t>万元，主要包括：基本工资</w:t>
      </w:r>
      <w:r>
        <w:rPr>
          <w:rFonts w:hint="eastAsia" w:ascii="仿宋" w:hAnsi="仿宋" w:eastAsia="仿宋"/>
          <w:color w:val="000000"/>
          <w:sz w:val="32"/>
          <w:szCs w:val="32"/>
          <w:lang w:val="en-US" w:eastAsia="zh-CN"/>
        </w:rPr>
        <w:t>11.96</w:t>
      </w:r>
      <w:r>
        <w:rPr>
          <w:rFonts w:hint="eastAsia" w:ascii="仿宋" w:hAnsi="仿宋" w:eastAsia="仿宋"/>
          <w:color w:val="000000"/>
          <w:sz w:val="32"/>
          <w:szCs w:val="32"/>
        </w:rPr>
        <w:t>万元、津贴补贴</w:t>
      </w:r>
      <w:r>
        <w:rPr>
          <w:rFonts w:hint="eastAsia" w:ascii="仿宋" w:hAnsi="仿宋" w:eastAsia="仿宋"/>
          <w:color w:val="000000"/>
          <w:sz w:val="32"/>
          <w:szCs w:val="32"/>
          <w:lang w:val="en-US" w:eastAsia="zh-CN"/>
        </w:rPr>
        <w:t>6.6</w:t>
      </w:r>
      <w:r>
        <w:rPr>
          <w:rFonts w:hint="eastAsia" w:ascii="仿宋" w:hAnsi="仿宋" w:eastAsia="仿宋"/>
          <w:color w:val="000000"/>
          <w:sz w:val="32"/>
          <w:szCs w:val="32"/>
        </w:rPr>
        <w:t>万元、奖金</w:t>
      </w:r>
      <w:r>
        <w:rPr>
          <w:rFonts w:hint="eastAsia" w:ascii="仿宋" w:hAnsi="仿宋" w:eastAsia="仿宋"/>
          <w:color w:val="000000"/>
          <w:sz w:val="32"/>
          <w:szCs w:val="32"/>
          <w:lang w:val="en-US" w:eastAsia="zh-CN"/>
        </w:rPr>
        <w:t>13.83</w:t>
      </w:r>
      <w:r>
        <w:rPr>
          <w:rFonts w:hint="eastAsia" w:ascii="仿宋" w:hAnsi="仿宋" w:eastAsia="仿宋"/>
          <w:color w:val="000000"/>
          <w:sz w:val="32"/>
          <w:szCs w:val="32"/>
        </w:rPr>
        <w:t>万元、绩效工资</w:t>
      </w:r>
      <w:r>
        <w:rPr>
          <w:rFonts w:hint="eastAsia" w:ascii="仿宋" w:hAnsi="仿宋" w:eastAsia="仿宋"/>
          <w:color w:val="000000"/>
          <w:sz w:val="32"/>
          <w:szCs w:val="32"/>
          <w:lang w:val="en-US" w:eastAsia="zh-CN"/>
        </w:rPr>
        <w:t>9.32万元、</w:t>
      </w:r>
      <w:r>
        <w:rPr>
          <w:rFonts w:hint="eastAsia" w:ascii="仿宋" w:hAnsi="仿宋" w:eastAsia="仿宋"/>
          <w:color w:val="000000"/>
          <w:sz w:val="32"/>
          <w:szCs w:val="32"/>
        </w:rPr>
        <w:t>机关事业单位基本养老保险缴费</w:t>
      </w:r>
      <w:r>
        <w:rPr>
          <w:rFonts w:hint="eastAsia" w:ascii="仿宋" w:hAnsi="仿宋" w:eastAsia="仿宋"/>
          <w:color w:val="000000"/>
          <w:sz w:val="32"/>
          <w:szCs w:val="32"/>
          <w:lang w:val="en-US" w:eastAsia="zh-CN"/>
        </w:rPr>
        <w:t>5.68</w:t>
      </w:r>
      <w:r>
        <w:rPr>
          <w:rFonts w:hint="eastAsia" w:ascii="仿宋" w:hAnsi="仿宋" w:eastAsia="仿宋"/>
          <w:color w:val="000000"/>
          <w:sz w:val="32"/>
          <w:szCs w:val="32"/>
        </w:rPr>
        <w:t>万元、职业年金缴费</w:t>
      </w:r>
      <w:r>
        <w:rPr>
          <w:rFonts w:hint="eastAsia" w:ascii="仿宋" w:hAnsi="仿宋" w:eastAsia="仿宋"/>
          <w:color w:val="000000"/>
          <w:sz w:val="32"/>
          <w:szCs w:val="32"/>
          <w:lang w:val="en-US" w:eastAsia="zh-CN"/>
        </w:rPr>
        <w:t>2.93</w:t>
      </w:r>
      <w:r>
        <w:rPr>
          <w:rFonts w:hint="eastAsia" w:ascii="仿宋" w:hAnsi="仿宋" w:eastAsia="仿宋"/>
          <w:color w:val="000000"/>
          <w:sz w:val="32"/>
          <w:szCs w:val="32"/>
        </w:rPr>
        <w:t>万元、职工基本医疗保险缴费</w:t>
      </w:r>
      <w:r>
        <w:rPr>
          <w:rFonts w:hint="eastAsia" w:ascii="仿宋" w:hAnsi="仿宋" w:eastAsia="仿宋"/>
          <w:color w:val="000000"/>
          <w:sz w:val="32"/>
          <w:szCs w:val="32"/>
          <w:lang w:val="en-US" w:eastAsia="zh-CN"/>
        </w:rPr>
        <w:t>2.83</w:t>
      </w:r>
      <w:r>
        <w:rPr>
          <w:rFonts w:hint="eastAsia" w:ascii="仿宋" w:hAnsi="仿宋" w:eastAsia="仿宋"/>
          <w:color w:val="000000"/>
          <w:sz w:val="32"/>
          <w:szCs w:val="32"/>
        </w:rPr>
        <w:t>万元、其他社会保障缴费</w:t>
      </w:r>
      <w:r>
        <w:rPr>
          <w:rFonts w:hint="eastAsia" w:ascii="仿宋" w:hAnsi="仿宋" w:eastAsia="仿宋"/>
          <w:color w:val="000000"/>
          <w:sz w:val="32"/>
          <w:szCs w:val="32"/>
          <w:lang w:val="en-US" w:eastAsia="zh-CN"/>
        </w:rPr>
        <w:t>0.28</w:t>
      </w:r>
      <w:r>
        <w:rPr>
          <w:rFonts w:hint="eastAsia" w:ascii="仿宋" w:hAnsi="仿宋" w:eastAsia="仿宋"/>
          <w:color w:val="000000"/>
          <w:sz w:val="32"/>
          <w:szCs w:val="32"/>
        </w:rPr>
        <w:t>万元、住房公积金</w:t>
      </w:r>
      <w:r>
        <w:rPr>
          <w:rFonts w:hint="eastAsia" w:ascii="仿宋" w:hAnsi="仿宋" w:eastAsia="仿宋"/>
          <w:color w:val="000000"/>
          <w:sz w:val="32"/>
          <w:szCs w:val="32"/>
          <w:lang w:val="en-US" w:eastAsia="zh-CN"/>
        </w:rPr>
        <w:t>4.81</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、医疗费</w:t>
      </w:r>
      <w:r>
        <w:rPr>
          <w:rFonts w:hint="eastAsia" w:ascii="仿宋" w:hAnsi="仿宋" w:eastAsia="仿宋"/>
          <w:color w:val="000000"/>
          <w:sz w:val="32"/>
          <w:szCs w:val="32"/>
          <w:lang w:val="en-US" w:eastAsia="zh-CN"/>
        </w:rPr>
        <w:t>0.66万元</w:t>
      </w:r>
      <w:r>
        <w:rPr>
          <w:rFonts w:hint="eastAsia" w:ascii="仿宋" w:hAnsi="仿宋" w:eastAsia="仿宋"/>
          <w:color w:val="000000"/>
          <w:sz w:val="32"/>
          <w:szCs w:val="32"/>
        </w:rPr>
        <w:t>。</w:t>
      </w:r>
    </w:p>
    <w:p w14:paraId="309B10C8">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公用经费</w:t>
      </w:r>
      <w:r>
        <w:rPr>
          <w:rFonts w:hint="eastAsia" w:ascii="仿宋" w:hAnsi="仿宋" w:eastAsia="仿宋"/>
          <w:color w:val="000000"/>
          <w:sz w:val="32"/>
          <w:szCs w:val="32"/>
          <w:lang w:val="en-US" w:eastAsia="zh-CN"/>
        </w:rPr>
        <w:t>1.68</w:t>
      </w:r>
      <w:r>
        <w:rPr>
          <w:rFonts w:hint="eastAsia" w:ascii="仿宋" w:hAnsi="仿宋" w:eastAsia="仿宋"/>
          <w:color w:val="000000"/>
          <w:sz w:val="32"/>
          <w:szCs w:val="32"/>
        </w:rPr>
        <w:t>万元，主要包括：办公费</w:t>
      </w:r>
      <w:r>
        <w:rPr>
          <w:rFonts w:hint="eastAsia" w:ascii="仿宋" w:hAnsi="仿宋" w:eastAsia="仿宋"/>
          <w:color w:val="000000"/>
          <w:sz w:val="32"/>
          <w:szCs w:val="32"/>
          <w:lang w:val="en-US" w:eastAsia="zh-CN"/>
        </w:rPr>
        <w:t>0.73</w:t>
      </w:r>
      <w:r>
        <w:rPr>
          <w:rFonts w:hint="eastAsia" w:ascii="仿宋" w:hAnsi="仿宋" w:eastAsia="仿宋"/>
          <w:color w:val="000000"/>
          <w:sz w:val="32"/>
          <w:szCs w:val="32"/>
        </w:rPr>
        <w:t>万元、差旅费</w:t>
      </w:r>
      <w:r>
        <w:rPr>
          <w:rFonts w:hint="eastAsia" w:ascii="仿宋" w:hAnsi="仿宋" w:eastAsia="仿宋"/>
          <w:color w:val="000000"/>
          <w:sz w:val="32"/>
          <w:szCs w:val="32"/>
          <w:lang w:val="en-US" w:eastAsia="zh-CN"/>
        </w:rPr>
        <w:t>0.45</w:t>
      </w:r>
      <w:r>
        <w:rPr>
          <w:rFonts w:hint="eastAsia" w:ascii="仿宋" w:hAnsi="仿宋" w:eastAsia="仿宋"/>
          <w:color w:val="000000"/>
          <w:sz w:val="32"/>
          <w:szCs w:val="32"/>
        </w:rPr>
        <w:t>万元、工会经费</w:t>
      </w:r>
      <w:r>
        <w:rPr>
          <w:rFonts w:hint="eastAsia" w:ascii="仿宋" w:hAnsi="仿宋" w:eastAsia="仿宋"/>
          <w:color w:val="000000"/>
          <w:sz w:val="32"/>
          <w:szCs w:val="32"/>
          <w:lang w:val="en-US" w:eastAsia="zh-CN"/>
        </w:rPr>
        <w:t>0.21万元、</w:t>
      </w:r>
      <w:r>
        <w:rPr>
          <w:rFonts w:hint="eastAsia" w:ascii="仿宋" w:hAnsi="仿宋" w:eastAsia="仿宋"/>
          <w:color w:val="000000"/>
          <w:sz w:val="32"/>
          <w:szCs w:val="32"/>
          <w:lang w:eastAsia="zh-CN"/>
        </w:rPr>
        <w:t>其他交通费用</w:t>
      </w:r>
      <w:r>
        <w:rPr>
          <w:rFonts w:hint="eastAsia" w:ascii="仿宋" w:hAnsi="仿宋" w:eastAsia="仿宋"/>
          <w:color w:val="000000"/>
          <w:sz w:val="32"/>
          <w:szCs w:val="32"/>
          <w:lang w:val="en-US" w:eastAsia="zh-CN"/>
        </w:rPr>
        <w:t>0.29</w:t>
      </w:r>
      <w:r>
        <w:rPr>
          <w:rFonts w:hint="eastAsia" w:ascii="仿宋" w:hAnsi="仿宋" w:eastAsia="仿宋"/>
          <w:color w:val="000000"/>
          <w:sz w:val="32"/>
          <w:szCs w:val="32"/>
        </w:rPr>
        <w:t>万元。</w:t>
      </w:r>
    </w:p>
    <w:p w14:paraId="61C9B308">
      <w:pPr>
        <w:pStyle w:val="5"/>
        <w:ind w:firstLine="643" w:firstLineChars="200"/>
        <w:rPr>
          <w:rFonts w:ascii="黑体" w:eastAsia="黑体" w:cs="Times New Roman"/>
          <w:bCs w:val="0"/>
          <w:color w:val="000000"/>
        </w:rPr>
      </w:pPr>
      <w:bookmarkStart w:id="50" w:name="_Toc113981019"/>
      <w:bookmarkStart w:id="51" w:name="_Toc111208505"/>
      <w:bookmarkStart w:id="52" w:name="_Toc15377215"/>
      <w:r>
        <w:rPr>
          <w:rFonts w:hint="eastAsia" w:ascii="黑体" w:eastAsia="黑体" w:cs="Times New Roman"/>
          <w:bCs w:val="0"/>
          <w:color w:val="000000"/>
        </w:rPr>
        <w:t>七、财政拨款“三公”经费支出决算情况说明</w:t>
      </w:r>
      <w:bookmarkEnd w:id="50"/>
      <w:bookmarkEnd w:id="51"/>
      <w:bookmarkEnd w:id="52"/>
    </w:p>
    <w:p w14:paraId="4D4DC582">
      <w:pPr>
        <w:spacing w:line="600" w:lineRule="exact"/>
        <w:ind w:firstLine="643" w:firstLineChars="200"/>
        <w:outlineLvl w:val="2"/>
        <w:rPr>
          <w:rFonts w:ascii="仿宋" w:hAnsi="仿宋" w:eastAsia="仿宋"/>
          <w:b/>
          <w:color w:val="000000"/>
          <w:sz w:val="32"/>
          <w:szCs w:val="32"/>
        </w:rPr>
      </w:pPr>
      <w:bookmarkStart w:id="53" w:name="_Toc15377216"/>
      <w:r>
        <w:rPr>
          <w:rFonts w:hint="eastAsia" w:ascii="仿宋" w:hAnsi="仿宋" w:eastAsia="仿宋"/>
          <w:b/>
          <w:color w:val="000000"/>
          <w:sz w:val="32"/>
          <w:szCs w:val="32"/>
        </w:rPr>
        <w:t>（一）“三公”经费财政拨款支出决算总体情况说明</w:t>
      </w:r>
      <w:bookmarkEnd w:id="53"/>
    </w:p>
    <w:p w14:paraId="0DB78231">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年“三公”经费财政拨款支出决算为0.00万元，完成预算100.00%。</w:t>
      </w:r>
      <w:bookmarkStart w:id="54" w:name="_Toc15377217"/>
    </w:p>
    <w:p w14:paraId="31B9A89D">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（二）“三公”经费财政拨款支出决算具体情况说明</w:t>
      </w:r>
      <w:bookmarkEnd w:id="54"/>
    </w:p>
    <w:p w14:paraId="22CC99BF">
      <w:pPr>
        <w:spacing w:line="600" w:lineRule="exact"/>
        <w:ind w:firstLine="640"/>
        <w:rPr>
          <w:rFonts w:ascii="仿宋_GB2312" w:hAnsi="仿宋" w:eastAsia="仿宋_GB2312"/>
          <w:color w:val="000000"/>
          <w:sz w:val="32"/>
          <w:szCs w:val="32"/>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年“三公”经费财政拨款支出0.00</w:t>
      </w:r>
      <w:bookmarkStart w:id="70" w:name="_GoBack"/>
      <w:r>
        <w:rPr>
          <w:rFonts w:hint="eastAsia" w:ascii="仿宋" w:hAnsi="仿宋" w:eastAsia="仿宋"/>
          <w:color w:val="000000"/>
          <w:sz w:val="32"/>
          <w:szCs w:val="32"/>
          <w:lang w:eastAsia="zh-CN"/>
        </w:rPr>
        <w:t>万元</w:t>
      </w:r>
      <w:bookmarkEnd w:id="70"/>
      <w:r>
        <w:rPr>
          <w:rFonts w:hint="eastAsia" w:ascii="仿宋" w:hAnsi="仿宋" w:eastAsia="仿宋"/>
          <w:color w:val="000000"/>
          <w:sz w:val="32"/>
          <w:szCs w:val="32"/>
        </w:rPr>
        <w:t>，因公出国（境）费支出决算0.00万元，占0.00%；公务用车购置及运行维护费支出决算0.00万元，占0.00%；公务接待费支出决算0.00万元，占0.00%。具体情况如下：</w:t>
      </w:r>
    </w:p>
    <w:p w14:paraId="1474E2F1">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1.因公出国（境）经费支出0.00万元</w:t>
      </w:r>
      <w:r>
        <w:rPr>
          <w:rFonts w:hint="eastAsia" w:ascii="仿宋" w:hAnsi="仿宋" w:eastAsia="仿宋"/>
          <w:color w:val="000000"/>
          <w:sz w:val="32"/>
          <w:szCs w:val="32"/>
          <w:lang w:eastAsia="zh-CN"/>
        </w:rPr>
        <w:t>，</w:t>
      </w:r>
      <w:r>
        <w:rPr>
          <w:rFonts w:hint="eastAsia" w:ascii="仿宋" w:hAnsi="仿宋" w:eastAsia="仿宋"/>
          <w:color w:val="000000"/>
          <w:sz w:val="32"/>
          <w:szCs w:val="32"/>
        </w:rPr>
        <w:t>完成预算100%。全年安排因公出国（境）团组0次，出国（境）0人。因公出国（境）支出决算比202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年增加0.00万元，增加100.00%。</w:t>
      </w:r>
    </w:p>
    <w:p w14:paraId="333FC02E">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2.公务用车购置及运行维护费支出0.00万元</w:t>
      </w:r>
      <w:r>
        <w:rPr>
          <w:rFonts w:hint="eastAsia" w:ascii="仿宋" w:hAnsi="仿宋" w:eastAsia="仿宋"/>
          <w:color w:val="000000"/>
          <w:sz w:val="32"/>
          <w:szCs w:val="32"/>
          <w:lang w:eastAsia="zh-CN"/>
        </w:rPr>
        <w:t>，</w:t>
      </w:r>
      <w:r>
        <w:rPr>
          <w:rFonts w:hint="eastAsia" w:ascii="仿宋" w:hAnsi="仿宋" w:eastAsia="仿宋"/>
          <w:color w:val="000000"/>
          <w:sz w:val="32"/>
          <w:szCs w:val="32"/>
        </w:rPr>
        <w:t>完成预算100.00%。公务用车购置及运行维护费支出决算</w:t>
      </w:r>
      <w:r>
        <w:rPr>
          <w:rFonts w:hint="eastAsia" w:ascii="仿宋" w:hAnsi="仿宋" w:eastAsia="仿宋"/>
          <w:color w:val="000000"/>
          <w:sz w:val="32"/>
          <w:szCs w:val="32"/>
          <w:lang w:eastAsia="zh-CN"/>
        </w:rPr>
        <w:t>与</w:t>
      </w: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w:t>
      </w:r>
      <w:r>
        <w:rPr>
          <w:rFonts w:hint="eastAsia" w:ascii="仿宋" w:hAnsi="仿宋" w:eastAsia="仿宋"/>
          <w:color w:val="000000"/>
          <w:sz w:val="32"/>
          <w:szCs w:val="32"/>
          <w:lang w:eastAsia="zh-CN"/>
        </w:rPr>
        <w:t>持平</w:t>
      </w:r>
      <w:r>
        <w:rPr>
          <w:rFonts w:hint="eastAsia" w:ascii="仿宋" w:hAnsi="仿宋" w:eastAsia="仿宋"/>
          <w:color w:val="000000"/>
          <w:sz w:val="32"/>
          <w:szCs w:val="32"/>
        </w:rPr>
        <w:t>。</w:t>
      </w:r>
    </w:p>
    <w:p w14:paraId="7952DAF9">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其中：公务用车购置支出0.00万元</w:t>
      </w:r>
      <w:r>
        <w:rPr>
          <w:rFonts w:hint="eastAsia" w:ascii="仿宋" w:hAnsi="仿宋" w:eastAsia="仿宋"/>
          <w:color w:val="000000"/>
          <w:sz w:val="32"/>
          <w:szCs w:val="32"/>
          <w:lang w:eastAsia="zh-CN"/>
        </w:rPr>
        <w:t>，</w:t>
      </w:r>
      <w:r>
        <w:rPr>
          <w:rFonts w:hint="eastAsia" w:ascii="仿宋" w:hAnsi="仿宋" w:eastAsia="仿宋"/>
          <w:color w:val="000000"/>
          <w:sz w:val="32"/>
          <w:szCs w:val="32"/>
        </w:rPr>
        <w:t>公务用车运行维护费支出0.00万元。</w:t>
      </w:r>
    </w:p>
    <w:p w14:paraId="3C8EBDAA">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3.公务接待费支出0.00万元，完成预算100.00%。公务接待费支出决算</w:t>
      </w:r>
      <w:bookmarkStart w:id="55" w:name="_Toc15377218"/>
      <w:r>
        <w:rPr>
          <w:rFonts w:hint="eastAsia" w:ascii="仿宋" w:hAnsi="仿宋" w:eastAsia="仿宋"/>
          <w:color w:val="000000"/>
          <w:sz w:val="32"/>
          <w:szCs w:val="32"/>
          <w:lang w:eastAsia="zh-CN"/>
        </w:rPr>
        <w:t>与</w:t>
      </w: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w:t>
      </w:r>
      <w:r>
        <w:rPr>
          <w:rFonts w:hint="eastAsia" w:ascii="仿宋" w:hAnsi="仿宋" w:eastAsia="仿宋"/>
          <w:color w:val="000000"/>
          <w:sz w:val="32"/>
          <w:szCs w:val="32"/>
          <w:lang w:eastAsia="zh-CN"/>
        </w:rPr>
        <w:t>持平</w:t>
      </w:r>
      <w:r>
        <w:rPr>
          <w:rFonts w:hint="eastAsia" w:ascii="仿宋" w:hAnsi="仿宋" w:eastAsia="仿宋"/>
          <w:color w:val="000000"/>
          <w:sz w:val="32"/>
          <w:szCs w:val="32"/>
        </w:rPr>
        <w:t xml:space="preserve">。 </w:t>
      </w:r>
    </w:p>
    <w:p w14:paraId="05A1984F">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国内公务接待支出0.00万元。国内公务接待0批次，</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人次（不包括陪同人员），共计支出0.00万元。</w:t>
      </w:r>
    </w:p>
    <w:p w14:paraId="78FC3FA2">
      <w:pPr>
        <w:pStyle w:val="7"/>
        <w:rPr>
          <w:rFonts w:ascii="仿宋" w:hAnsi="仿宋" w:eastAsia="仿宋"/>
          <w:color w:val="000000"/>
          <w:sz w:val="32"/>
          <w:szCs w:val="32"/>
        </w:rPr>
      </w:pPr>
      <w:r>
        <w:rPr>
          <w:rFonts w:hint="eastAsia" w:ascii="仿宋" w:hAnsi="仿宋" w:eastAsia="仿宋"/>
          <w:color w:val="000000"/>
          <w:sz w:val="32"/>
          <w:szCs w:val="32"/>
        </w:rPr>
        <w:t>外事接待支出0.00万元，外事接待0批次，0人，共计支出0.00万元。</w:t>
      </w:r>
    </w:p>
    <w:p w14:paraId="77786EAA">
      <w:pPr>
        <w:pStyle w:val="5"/>
        <w:ind w:firstLine="643" w:firstLineChars="200"/>
        <w:rPr>
          <w:rFonts w:ascii="黑体" w:eastAsia="黑体" w:cs="Times New Roman"/>
          <w:bCs w:val="0"/>
          <w:color w:val="000000"/>
        </w:rPr>
      </w:pPr>
      <w:bookmarkStart w:id="56" w:name="_Toc113981020"/>
      <w:bookmarkStart w:id="57" w:name="_Toc111208506"/>
      <w:r>
        <w:rPr>
          <w:rFonts w:hint="eastAsia" w:ascii="黑体" w:eastAsia="黑体" w:cs="Times New Roman"/>
          <w:bCs w:val="0"/>
          <w:color w:val="000000"/>
        </w:rPr>
        <w:t>八、政府性基金预算支出决算情况说明</w:t>
      </w:r>
      <w:bookmarkEnd w:id="55"/>
      <w:bookmarkEnd w:id="56"/>
      <w:bookmarkEnd w:id="57"/>
    </w:p>
    <w:p w14:paraId="189D9412">
      <w:pPr>
        <w:spacing w:line="600" w:lineRule="exact"/>
        <w:ind w:firstLine="640"/>
        <w:rPr>
          <w:rFonts w:ascii="仿宋" w:hAnsi="仿宋" w:eastAsia="仿宋"/>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年政府性基金预算拨款支出0.00万元。</w:t>
      </w:r>
      <w:bookmarkStart w:id="58" w:name="_Toc15377219"/>
    </w:p>
    <w:p w14:paraId="49657EAA">
      <w:pPr>
        <w:pStyle w:val="5"/>
        <w:ind w:firstLine="643" w:firstLineChars="200"/>
        <w:rPr>
          <w:rFonts w:ascii="黑体" w:eastAsia="黑体" w:cs="Times New Roman"/>
          <w:bCs w:val="0"/>
          <w:color w:val="000000"/>
        </w:rPr>
      </w:pPr>
      <w:bookmarkStart w:id="59" w:name="_Toc111208507"/>
      <w:bookmarkStart w:id="60" w:name="_Toc113981021"/>
      <w:r>
        <w:rPr>
          <w:rFonts w:hint="eastAsia" w:ascii="黑体" w:eastAsia="黑体" w:cs="Times New Roman"/>
          <w:bCs w:val="0"/>
          <w:color w:val="000000"/>
        </w:rPr>
        <w:t>九、国有资本经营预算支出决算情况说明</w:t>
      </w:r>
      <w:bookmarkEnd w:id="58"/>
      <w:bookmarkEnd w:id="59"/>
      <w:bookmarkEnd w:id="60"/>
    </w:p>
    <w:p w14:paraId="50270E1A">
      <w:pPr>
        <w:spacing w:line="600" w:lineRule="exact"/>
        <w:ind w:firstLine="640"/>
        <w:rPr>
          <w:rFonts w:ascii="仿宋" w:hAnsi="仿宋" w:eastAsia="仿宋"/>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年国有资本经营预算拨款支出0.00万元。</w:t>
      </w:r>
    </w:p>
    <w:p w14:paraId="53FB86B3">
      <w:pPr>
        <w:pStyle w:val="5"/>
        <w:ind w:firstLine="643" w:firstLineChars="200"/>
        <w:rPr>
          <w:rFonts w:ascii="黑体" w:eastAsia="黑体" w:cs="Times New Roman"/>
          <w:bCs w:val="0"/>
          <w:color w:val="000000"/>
        </w:rPr>
      </w:pPr>
      <w:bookmarkStart w:id="61" w:name="_Toc15377221"/>
      <w:bookmarkStart w:id="62" w:name="_Toc113981022"/>
      <w:bookmarkStart w:id="63" w:name="_Toc111208508"/>
      <w:r>
        <w:rPr>
          <w:rFonts w:hint="eastAsia" w:ascii="黑体" w:eastAsia="黑体" w:cs="Times New Roman"/>
          <w:bCs w:val="0"/>
          <w:color w:val="000000"/>
        </w:rPr>
        <w:t>十、其他重要事项的情况说明</w:t>
      </w:r>
      <w:bookmarkEnd w:id="61"/>
      <w:bookmarkEnd w:id="62"/>
      <w:bookmarkEnd w:id="63"/>
    </w:p>
    <w:p w14:paraId="035FBA67">
      <w:pPr>
        <w:spacing w:line="600" w:lineRule="exact"/>
        <w:ind w:firstLine="643" w:firstLineChars="200"/>
        <w:outlineLvl w:val="2"/>
        <w:rPr>
          <w:rFonts w:ascii="仿宋" w:hAnsi="仿宋" w:eastAsia="仿宋"/>
          <w:b/>
          <w:color w:val="000000"/>
          <w:sz w:val="32"/>
          <w:szCs w:val="32"/>
        </w:rPr>
      </w:pPr>
      <w:bookmarkStart w:id="64" w:name="_Toc15377222"/>
      <w:r>
        <w:rPr>
          <w:rFonts w:hint="eastAsia" w:ascii="仿宋" w:hAnsi="仿宋" w:eastAsia="仿宋"/>
          <w:b/>
          <w:color w:val="000000"/>
          <w:sz w:val="32"/>
          <w:szCs w:val="32"/>
        </w:rPr>
        <w:t>（一）机关运行经费支出情况</w:t>
      </w:r>
      <w:bookmarkEnd w:id="64"/>
    </w:p>
    <w:p w14:paraId="6B7A65E6">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年，机关运行经费支出</w:t>
      </w:r>
      <w:r>
        <w:rPr>
          <w:rFonts w:hint="eastAsia" w:ascii="仿宋" w:hAnsi="仿宋" w:eastAsia="仿宋"/>
          <w:color w:val="000000"/>
          <w:sz w:val="32"/>
          <w:szCs w:val="32"/>
          <w:lang w:val="en-US" w:eastAsia="zh-CN"/>
        </w:rPr>
        <w:t>1.68</w:t>
      </w:r>
      <w:r>
        <w:rPr>
          <w:rFonts w:hint="eastAsia" w:ascii="仿宋" w:hAnsi="仿宋" w:eastAsia="仿宋"/>
          <w:color w:val="000000"/>
          <w:sz w:val="32"/>
          <w:szCs w:val="32"/>
        </w:rPr>
        <w:t>万元，比202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0.83</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33.07</w:t>
      </w:r>
      <w:r>
        <w:rPr>
          <w:rFonts w:hint="eastAsia" w:ascii="仿宋" w:hAnsi="仿宋" w:eastAsia="仿宋"/>
          <w:color w:val="000000"/>
          <w:sz w:val="32"/>
          <w:szCs w:val="32"/>
        </w:rPr>
        <w:t xml:space="preserve">%。 </w:t>
      </w:r>
    </w:p>
    <w:p w14:paraId="6D7F6580">
      <w:pPr>
        <w:spacing w:line="600" w:lineRule="exact"/>
        <w:ind w:firstLine="643" w:firstLineChars="200"/>
        <w:outlineLvl w:val="2"/>
        <w:rPr>
          <w:rFonts w:ascii="仿宋" w:hAnsi="仿宋" w:eastAsia="仿宋"/>
          <w:b/>
          <w:color w:val="000000"/>
          <w:sz w:val="32"/>
          <w:szCs w:val="32"/>
        </w:rPr>
      </w:pPr>
      <w:bookmarkStart w:id="65" w:name="_Toc15377223"/>
      <w:r>
        <w:rPr>
          <w:rFonts w:hint="eastAsia" w:ascii="仿宋" w:hAnsi="仿宋" w:eastAsia="仿宋"/>
          <w:b/>
          <w:color w:val="000000"/>
          <w:sz w:val="32"/>
          <w:szCs w:val="32"/>
        </w:rPr>
        <w:t>（二）政府采购支出情况</w:t>
      </w:r>
      <w:bookmarkEnd w:id="65"/>
      <w:r>
        <w:rPr>
          <w:rFonts w:hint="eastAsia" w:ascii="仿宋" w:hAnsi="仿宋" w:eastAsia="仿宋"/>
          <w:b/>
          <w:color w:val="000000"/>
          <w:sz w:val="32"/>
          <w:szCs w:val="32"/>
          <w:lang w:eastAsia="zh-CN"/>
        </w:rPr>
        <w:t>（</w:t>
      </w:r>
      <w:r>
        <w:rPr>
          <w:rFonts w:hint="eastAsia" w:ascii="仿宋" w:hAnsi="仿宋" w:eastAsia="仿宋"/>
          <w:b/>
          <w:color w:val="000000"/>
          <w:sz w:val="32"/>
          <w:szCs w:val="32"/>
        </w:rPr>
        <w:t>机构运行信息表</w:t>
      </w:r>
      <w:r>
        <w:rPr>
          <w:rFonts w:hint="eastAsia" w:ascii="仿宋" w:hAnsi="仿宋" w:eastAsia="仿宋"/>
          <w:b/>
          <w:color w:val="000000"/>
          <w:sz w:val="32"/>
          <w:szCs w:val="32"/>
          <w:lang w:eastAsia="zh-CN"/>
        </w:rPr>
        <w:t>）</w:t>
      </w:r>
    </w:p>
    <w:p w14:paraId="008E567C">
      <w:pPr>
        <w:spacing w:line="600" w:lineRule="exact"/>
        <w:ind w:firstLine="640"/>
        <w:rPr>
          <w:rFonts w:ascii="仿宋_GB2312" w:eastAsia="仿宋_GB2312"/>
          <w:color w:val="000000"/>
          <w:sz w:val="32"/>
          <w:szCs w:val="32"/>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政府采购支出总额0.00万元，其中：政府采购货物支出0.00万元、政府采购工程支出0.00万元、政府采购服务支出0.00万元。授予中小企业合同金额0.00万元，其中：授予小微企业合同金额0.00万元，占总合同的0.00%。</w:t>
      </w:r>
    </w:p>
    <w:p w14:paraId="7C1B5787">
      <w:pPr>
        <w:spacing w:line="600" w:lineRule="exact"/>
        <w:ind w:firstLine="643" w:firstLineChars="200"/>
        <w:outlineLvl w:val="2"/>
        <w:rPr>
          <w:rFonts w:ascii="仿宋" w:hAnsi="仿宋" w:eastAsia="仿宋"/>
          <w:b/>
          <w:color w:val="000000"/>
          <w:sz w:val="32"/>
          <w:szCs w:val="32"/>
        </w:rPr>
      </w:pPr>
      <w:bookmarkStart w:id="66" w:name="_Toc15377224"/>
      <w:r>
        <w:rPr>
          <w:rFonts w:hint="eastAsia" w:ascii="仿宋" w:hAnsi="仿宋" w:eastAsia="仿宋"/>
          <w:b/>
          <w:color w:val="000000"/>
          <w:sz w:val="32"/>
          <w:szCs w:val="32"/>
        </w:rPr>
        <w:t>（三）国有资产占有使用情况</w:t>
      </w:r>
      <w:bookmarkEnd w:id="66"/>
    </w:p>
    <w:p w14:paraId="70A1581E">
      <w:pPr>
        <w:spacing w:line="600" w:lineRule="exact"/>
        <w:ind w:firstLine="640"/>
      </w:pPr>
      <w:r>
        <w:rPr>
          <w:rFonts w:hint="eastAsia" w:ascii="仿宋" w:hAnsi="仿宋" w:eastAsia="仿宋"/>
          <w:color w:val="000000"/>
          <w:sz w:val="32"/>
          <w:szCs w:val="32"/>
        </w:rPr>
        <w:t>截至202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w:t>
      </w:r>
      <w:r>
        <w:rPr>
          <w:rFonts w:ascii="仿宋" w:hAnsi="仿宋" w:eastAsia="仿宋"/>
          <w:color w:val="000000"/>
          <w:sz w:val="32"/>
          <w:szCs w:val="32"/>
        </w:rPr>
        <w:t>12</w:t>
      </w:r>
      <w:r>
        <w:rPr>
          <w:rFonts w:hint="eastAsia" w:ascii="仿宋" w:hAnsi="仿宋" w:eastAsia="仿宋"/>
          <w:color w:val="000000"/>
          <w:sz w:val="32"/>
          <w:szCs w:val="32"/>
        </w:rPr>
        <w:t>月</w:t>
      </w:r>
      <w:r>
        <w:rPr>
          <w:rFonts w:ascii="仿宋" w:hAnsi="仿宋" w:eastAsia="仿宋"/>
          <w:color w:val="000000"/>
          <w:sz w:val="32"/>
          <w:szCs w:val="32"/>
        </w:rPr>
        <w:t>31</w:t>
      </w:r>
      <w:r>
        <w:rPr>
          <w:rFonts w:hint="eastAsia" w:ascii="仿宋" w:hAnsi="仿宋" w:eastAsia="仿宋"/>
          <w:color w:val="000000"/>
          <w:sz w:val="32"/>
          <w:szCs w:val="32"/>
        </w:rPr>
        <w:t>日，共有车辆</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辆，其中：主要领导干部用车0辆、机要通信用车0辆、应急保障用车0辆、其他用车</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辆。单价</w:t>
      </w:r>
      <w:r>
        <w:rPr>
          <w:rFonts w:ascii="仿宋" w:hAnsi="仿宋" w:eastAsia="仿宋"/>
          <w:color w:val="000000"/>
          <w:sz w:val="32"/>
          <w:szCs w:val="32"/>
        </w:rPr>
        <w:t>50</w:t>
      </w:r>
      <w:r>
        <w:rPr>
          <w:rFonts w:hint="eastAsia" w:ascii="仿宋" w:hAnsi="仿宋" w:eastAsia="仿宋"/>
          <w:color w:val="000000"/>
          <w:sz w:val="32"/>
          <w:szCs w:val="32"/>
        </w:rPr>
        <w:t>万元以上通用设备0台（套），单价</w:t>
      </w:r>
      <w:r>
        <w:rPr>
          <w:rFonts w:ascii="仿宋" w:hAnsi="仿宋" w:eastAsia="仿宋"/>
          <w:color w:val="000000"/>
          <w:sz w:val="32"/>
          <w:szCs w:val="32"/>
        </w:rPr>
        <w:t>100</w:t>
      </w:r>
      <w:r>
        <w:rPr>
          <w:rFonts w:hint="eastAsia" w:ascii="仿宋" w:hAnsi="仿宋" w:eastAsia="仿宋"/>
          <w:color w:val="000000"/>
          <w:sz w:val="32"/>
          <w:szCs w:val="32"/>
        </w:rPr>
        <w:t>万元以上专用设备0台（套）。</w:t>
      </w:r>
      <w:r>
        <w:rPr>
          <w:rFonts w:hint="eastAsia"/>
        </w:rPr>
        <w:t xml:space="preserve"> </w:t>
      </w:r>
    </w:p>
    <w:p w14:paraId="01296E27">
      <w:pPr>
        <w:widowControl/>
        <w:jc w:val="left"/>
        <w:rPr>
          <w:rFonts w:ascii="仿宋_GB2312" w:eastAsia="仿宋_GB2312"/>
          <w:b/>
          <w:color w:val="000000"/>
          <w:sz w:val="32"/>
          <w:szCs w:val="32"/>
        </w:rPr>
      </w:pPr>
      <w:r>
        <w:rPr>
          <w:rFonts w:ascii="仿宋_GB2312" w:eastAsia="仿宋_GB2312"/>
          <w:b/>
          <w:color w:val="000000"/>
          <w:sz w:val="32"/>
          <w:szCs w:val="32"/>
        </w:rPr>
        <w:br w:type="page"/>
      </w:r>
    </w:p>
    <w:p w14:paraId="59BEE1B8">
      <w:pPr>
        <w:pStyle w:val="4"/>
        <w:jc w:val="center"/>
        <w:rPr>
          <w:rFonts w:ascii="黑体" w:hAnsi="黑体" w:eastAsia="黑体" w:cs="黑体"/>
        </w:rPr>
      </w:pPr>
      <w:bookmarkStart w:id="67" w:name="_Toc113981023"/>
      <w:bookmarkStart w:id="68" w:name="_Toc111208509"/>
      <w:bookmarkStart w:id="69" w:name="_Toc15377225"/>
      <w:r>
        <w:rPr>
          <w:rFonts w:hint="eastAsia" w:ascii="黑体" w:hAnsi="黑体" w:eastAsia="黑体" w:cs="黑体"/>
        </w:rPr>
        <w:t>第三部分 名词解释</w:t>
      </w:r>
      <w:bookmarkEnd w:id="67"/>
      <w:bookmarkEnd w:id="68"/>
      <w:bookmarkEnd w:id="69"/>
    </w:p>
    <w:p w14:paraId="51E06CB2">
      <w:pPr>
        <w:spacing w:line="600" w:lineRule="exact"/>
        <w:ind w:firstLine="640"/>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财政拨款收入：指单位从同级财政部门取得的财政预算资金。</w:t>
      </w:r>
    </w:p>
    <w:p w14:paraId="08AA2E1D">
      <w:pPr>
        <w:spacing w:line="600" w:lineRule="exact"/>
        <w:ind w:firstLine="64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事业收入：指事业单位开展专业业务活动及辅助活动取得的收入。</w:t>
      </w:r>
    </w:p>
    <w:p w14:paraId="206E4A3A">
      <w:pPr>
        <w:spacing w:line="600" w:lineRule="exact"/>
        <w:ind w:firstLine="640"/>
        <w:rPr>
          <w:rFonts w:ascii="仿宋" w:hAnsi="仿宋" w:eastAsia="仿宋"/>
          <w:color w:val="000000"/>
          <w:sz w:val="32"/>
          <w:szCs w:val="32"/>
        </w:rPr>
      </w:pPr>
      <w:r>
        <w:rPr>
          <w:rFonts w:ascii="仿宋" w:hAnsi="仿宋" w:eastAsia="仿宋"/>
          <w:color w:val="000000"/>
          <w:sz w:val="32"/>
          <w:szCs w:val="32"/>
        </w:rPr>
        <w:t>3.</w:t>
      </w:r>
      <w:r>
        <w:rPr>
          <w:rFonts w:hint="eastAsia" w:ascii="仿宋" w:hAnsi="仿宋" w:eastAsia="仿宋"/>
          <w:color w:val="000000"/>
          <w:sz w:val="32"/>
          <w:szCs w:val="32"/>
        </w:rPr>
        <w:t>经营收入：指事业单位在专业业务活动及其辅助活动之外开展非独立核算经营活动取得的收入</w:t>
      </w:r>
    </w:p>
    <w:p w14:paraId="088B1AE0">
      <w:pPr>
        <w:spacing w:line="600" w:lineRule="exact"/>
        <w:ind w:firstLine="640"/>
        <w:rPr>
          <w:rFonts w:ascii="仿宋" w:hAnsi="仿宋" w:eastAsia="仿宋"/>
          <w:color w:val="000000"/>
          <w:sz w:val="32"/>
          <w:szCs w:val="32"/>
        </w:rPr>
      </w:pPr>
      <w:r>
        <w:rPr>
          <w:rFonts w:ascii="仿宋" w:hAnsi="仿宋" w:eastAsia="仿宋"/>
          <w:color w:val="000000"/>
          <w:sz w:val="32"/>
          <w:szCs w:val="32"/>
        </w:rPr>
        <w:t>4.</w:t>
      </w:r>
      <w:r>
        <w:rPr>
          <w:rFonts w:hint="eastAsia" w:ascii="仿宋" w:hAnsi="仿宋" w:eastAsia="仿宋"/>
          <w:color w:val="000000"/>
          <w:sz w:val="32"/>
          <w:szCs w:val="32"/>
        </w:rPr>
        <w:t>其他收入：指单位取得的除上述收入以外的各项收入。</w:t>
      </w:r>
    </w:p>
    <w:p w14:paraId="061DE652">
      <w:pPr>
        <w:spacing w:line="600" w:lineRule="exact"/>
        <w:ind w:firstLine="640"/>
        <w:rPr>
          <w:rFonts w:ascii="仿宋" w:hAnsi="仿宋" w:eastAsia="仿宋"/>
          <w:color w:val="000000"/>
          <w:sz w:val="32"/>
          <w:szCs w:val="32"/>
        </w:rPr>
      </w:pPr>
      <w:r>
        <w:rPr>
          <w:rFonts w:ascii="仿宋" w:hAnsi="仿宋" w:eastAsia="仿宋"/>
          <w:color w:val="000000"/>
          <w:sz w:val="32"/>
          <w:szCs w:val="32"/>
        </w:rPr>
        <w:t>5.</w:t>
      </w:r>
      <w:r>
        <w:rPr>
          <w:rFonts w:hint="eastAsia" w:ascii="仿宋" w:hAnsi="仿宋" w:eastAsia="仿宋"/>
          <w:color w:val="000000"/>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 w:hAnsi="仿宋" w:eastAsia="仿宋"/>
          <w:color w:val="000000"/>
          <w:sz w:val="32"/>
          <w:szCs w:val="32"/>
        </w:rPr>
        <w:t xml:space="preserve"> </w:t>
      </w:r>
    </w:p>
    <w:p w14:paraId="44E7DA79">
      <w:pPr>
        <w:spacing w:line="600" w:lineRule="exact"/>
        <w:ind w:firstLine="640"/>
        <w:rPr>
          <w:rFonts w:ascii="仿宋" w:hAnsi="仿宋" w:eastAsia="仿宋"/>
          <w:color w:val="000000"/>
          <w:sz w:val="32"/>
          <w:szCs w:val="32"/>
        </w:rPr>
      </w:pPr>
      <w:r>
        <w:rPr>
          <w:rFonts w:ascii="仿宋" w:hAnsi="仿宋" w:eastAsia="仿宋"/>
          <w:color w:val="000000"/>
          <w:sz w:val="32"/>
          <w:szCs w:val="32"/>
        </w:rPr>
        <w:t>6.</w:t>
      </w:r>
      <w:r>
        <w:rPr>
          <w:rFonts w:hint="eastAsia" w:ascii="仿宋" w:hAnsi="仿宋" w:eastAsia="仿宋"/>
          <w:color w:val="000000"/>
          <w:sz w:val="32"/>
          <w:szCs w:val="32"/>
        </w:rPr>
        <w:t>年初结转和结余：指以前年度尚未完成、结转到本年按有关规定继续使用的资金。</w:t>
      </w:r>
      <w:r>
        <w:rPr>
          <w:rFonts w:ascii="仿宋" w:hAnsi="仿宋" w:eastAsia="仿宋"/>
          <w:color w:val="000000"/>
          <w:sz w:val="32"/>
          <w:szCs w:val="32"/>
        </w:rPr>
        <w:t xml:space="preserve"> </w:t>
      </w:r>
    </w:p>
    <w:p w14:paraId="04B56041">
      <w:pPr>
        <w:spacing w:line="600" w:lineRule="exact"/>
        <w:ind w:firstLine="640"/>
        <w:rPr>
          <w:rFonts w:ascii="仿宋" w:hAnsi="仿宋" w:eastAsia="仿宋"/>
          <w:color w:val="000000"/>
          <w:sz w:val="32"/>
          <w:szCs w:val="32"/>
        </w:rPr>
      </w:pPr>
      <w:r>
        <w:rPr>
          <w:rFonts w:ascii="仿宋" w:hAnsi="仿宋" w:eastAsia="仿宋"/>
          <w:color w:val="000000"/>
          <w:sz w:val="32"/>
          <w:szCs w:val="32"/>
        </w:rPr>
        <w:t>7.</w:t>
      </w:r>
      <w:r>
        <w:rPr>
          <w:rFonts w:hint="eastAsia" w:ascii="仿宋" w:hAnsi="仿宋" w:eastAsia="仿宋"/>
          <w:color w:val="000000"/>
          <w:sz w:val="32"/>
          <w:szCs w:val="32"/>
        </w:rPr>
        <w:t>结余分配：指事业单位按照事业单位会计制度的规定从非财政补助结余中分配的事业基金和职工福利基金等。</w:t>
      </w:r>
    </w:p>
    <w:p w14:paraId="3D40E088">
      <w:pPr>
        <w:spacing w:line="600" w:lineRule="exact"/>
        <w:ind w:firstLine="640"/>
        <w:rPr>
          <w:rFonts w:ascii="仿宋" w:hAnsi="仿宋" w:eastAsia="仿宋"/>
          <w:color w:val="000000"/>
          <w:sz w:val="32"/>
          <w:szCs w:val="32"/>
        </w:rPr>
      </w:pPr>
      <w:r>
        <w:rPr>
          <w:rFonts w:ascii="仿宋" w:hAnsi="仿宋" w:eastAsia="仿宋"/>
          <w:color w:val="000000"/>
          <w:sz w:val="32"/>
          <w:szCs w:val="32"/>
        </w:rPr>
        <w:t>8</w:t>
      </w:r>
      <w:r>
        <w:rPr>
          <w:rFonts w:hint="eastAsia" w:ascii="仿宋" w:hAnsi="仿宋" w:eastAsia="仿宋"/>
          <w:color w:val="000000"/>
          <w:sz w:val="32"/>
          <w:szCs w:val="32"/>
        </w:rPr>
        <w:t>.年末结转和结余：指单位按有关规定结转到下年或以后年度继续使用的资金。</w:t>
      </w:r>
    </w:p>
    <w:p w14:paraId="6430E102">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9.一般公共服务支出（201）统计信息事务（20105）行政运行（2010501）：反映行政单位（包括实行公务员管理的事业单位）的基本支出。</w:t>
      </w:r>
      <w:r>
        <w:rPr>
          <w:rFonts w:hint="eastAsia" w:ascii="仿宋" w:hAnsi="仿宋" w:eastAsia="仿宋"/>
          <w:color w:val="000000"/>
          <w:sz w:val="32"/>
          <w:szCs w:val="32"/>
        </w:rPr>
        <w:br w:type="textWrapping"/>
      </w:r>
      <w:r>
        <w:rPr>
          <w:rFonts w:hint="eastAsia" w:ascii="仿宋" w:hAnsi="仿宋" w:eastAsia="仿宋"/>
          <w:color w:val="000000"/>
          <w:sz w:val="32"/>
          <w:szCs w:val="32"/>
        </w:rPr>
        <w:tab/>
      </w:r>
      <w:r>
        <w:rPr>
          <w:rFonts w:hint="eastAsia" w:ascii="仿宋" w:hAnsi="仿宋" w:eastAsia="仿宋"/>
          <w:color w:val="000000"/>
          <w:sz w:val="32"/>
          <w:szCs w:val="32"/>
        </w:rPr>
        <w:t>10.一般公共服务支出（201）统计信息事务（20105）统计管理（2010506）：反映统计信息化建设、统计执法、统计人员上岗资格认定、职称考试等方面支出。</w:t>
      </w:r>
      <w:r>
        <w:rPr>
          <w:rFonts w:hint="eastAsia" w:ascii="仿宋" w:hAnsi="仿宋" w:eastAsia="仿宋"/>
          <w:color w:val="000000"/>
          <w:sz w:val="32"/>
          <w:szCs w:val="32"/>
        </w:rPr>
        <w:br w:type="textWrapping"/>
      </w:r>
      <w:r>
        <w:rPr>
          <w:rFonts w:hint="eastAsia" w:ascii="仿宋" w:hAnsi="仿宋" w:eastAsia="仿宋"/>
          <w:color w:val="000000"/>
          <w:sz w:val="32"/>
          <w:szCs w:val="32"/>
        </w:rPr>
        <w:tab/>
      </w:r>
      <w:r>
        <w:rPr>
          <w:rFonts w:hint="eastAsia" w:ascii="仿宋" w:hAnsi="仿宋" w:eastAsia="仿宋"/>
          <w:color w:val="000000"/>
          <w:sz w:val="32"/>
          <w:szCs w:val="32"/>
        </w:rPr>
        <w:t>11.一般公共服务支出（201）统计信息事务（20105）专项普查活动（2010507）：反映统计部门开展</w:t>
      </w:r>
      <w:r>
        <w:rPr>
          <w:rFonts w:hint="eastAsia" w:ascii="仿宋" w:hAnsi="仿宋" w:eastAsia="仿宋"/>
          <w:color w:val="000000"/>
          <w:sz w:val="32"/>
          <w:szCs w:val="32"/>
          <w:lang w:eastAsia="zh-CN"/>
        </w:rPr>
        <w:t>人口普查</w:t>
      </w:r>
      <w:r>
        <w:rPr>
          <w:rFonts w:hint="eastAsia" w:ascii="仿宋" w:hAnsi="仿宋" w:eastAsia="仿宋"/>
          <w:color w:val="000000"/>
          <w:sz w:val="32"/>
          <w:szCs w:val="32"/>
        </w:rPr>
        <w:t>、经济</w:t>
      </w:r>
      <w:r>
        <w:rPr>
          <w:rFonts w:hint="eastAsia" w:ascii="仿宋" w:hAnsi="仿宋" w:eastAsia="仿宋"/>
          <w:color w:val="000000"/>
          <w:sz w:val="32"/>
          <w:szCs w:val="32"/>
          <w:lang w:eastAsia="zh-CN"/>
        </w:rPr>
        <w:t>普查</w:t>
      </w:r>
      <w:r>
        <w:rPr>
          <w:rFonts w:hint="eastAsia" w:ascii="仿宋" w:hAnsi="仿宋" w:eastAsia="仿宋"/>
          <w:color w:val="000000"/>
          <w:sz w:val="32"/>
          <w:szCs w:val="32"/>
        </w:rPr>
        <w:t>、农业</w:t>
      </w:r>
      <w:r>
        <w:rPr>
          <w:rFonts w:hint="eastAsia" w:ascii="仿宋" w:hAnsi="仿宋" w:eastAsia="仿宋"/>
          <w:color w:val="000000"/>
          <w:sz w:val="32"/>
          <w:szCs w:val="32"/>
          <w:lang w:eastAsia="zh-CN"/>
        </w:rPr>
        <w:t>普查</w:t>
      </w:r>
      <w:r>
        <w:rPr>
          <w:rFonts w:hint="eastAsia" w:ascii="仿宋" w:hAnsi="仿宋" w:eastAsia="仿宋"/>
          <w:color w:val="000000"/>
          <w:sz w:val="32"/>
          <w:szCs w:val="32"/>
        </w:rPr>
        <w:t>、投入产出</w:t>
      </w:r>
      <w:r>
        <w:rPr>
          <w:rFonts w:hint="eastAsia" w:ascii="仿宋" w:hAnsi="仿宋" w:eastAsia="仿宋"/>
          <w:color w:val="000000"/>
          <w:sz w:val="32"/>
          <w:szCs w:val="32"/>
          <w:lang w:eastAsia="zh-CN"/>
        </w:rPr>
        <w:t>调查</w:t>
      </w:r>
      <w:r>
        <w:rPr>
          <w:rFonts w:hint="eastAsia" w:ascii="仿宋" w:hAnsi="仿宋" w:eastAsia="仿宋"/>
          <w:color w:val="000000"/>
          <w:sz w:val="32"/>
          <w:szCs w:val="32"/>
        </w:rPr>
        <w:t>等周期性</w:t>
      </w:r>
      <w:r>
        <w:rPr>
          <w:rFonts w:hint="eastAsia" w:ascii="仿宋" w:hAnsi="仿宋" w:eastAsia="仿宋"/>
          <w:color w:val="000000"/>
          <w:sz w:val="32"/>
          <w:szCs w:val="32"/>
          <w:lang w:eastAsia="zh-CN"/>
        </w:rPr>
        <w:t>普查</w:t>
      </w:r>
      <w:r>
        <w:rPr>
          <w:rFonts w:hint="eastAsia" w:ascii="仿宋" w:hAnsi="仿宋" w:eastAsia="仿宋"/>
          <w:color w:val="000000"/>
          <w:sz w:val="32"/>
          <w:szCs w:val="32"/>
        </w:rPr>
        <w:t>工作的支出。</w:t>
      </w:r>
      <w:r>
        <w:rPr>
          <w:rFonts w:hint="eastAsia" w:ascii="仿宋" w:hAnsi="仿宋" w:eastAsia="仿宋"/>
          <w:color w:val="000000"/>
          <w:sz w:val="32"/>
          <w:szCs w:val="32"/>
        </w:rPr>
        <w:br w:type="textWrapping"/>
      </w:r>
      <w:r>
        <w:rPr>
          <w:rFonts w:hint="eastAsia" w:ascii="仿宋" w:hAnsi="仿宋" w:eastAsia="仿宋"/>
          <w:color w:val="000000"/>
          <w:sz w:val="32"/>
          <w:szCs w:val="32"/>
        </w:rPr>
        <w:tab/>
      </w:r>
      <w:r>
        <w:rPr>
          <w:rFonts w:hint="eastAsia" w:ascii="仿宋" w:hAnsi="仿宋" w:eastAsia="仿宋"/>
          <w:color w:val="000000"/>
          <w:sz w:val="32"/>
          <w:szCs w:val="32"/>
        </w:rPr>
        <w:t>12.一般公共服务支出（201）统计信息事务（20105）其他统计信息事务支出（2010599）：反映除上述项目以外的其他统计信息事务支出。</w:t>
      </w:r>
      <w:r>
        <w:rPr>
          <w:rFonts w:hint="eastAsia" w:ascii="仿宋" w:hAnsi="仿宋" w:eastAsia="仿宋"/>
          <w:color w:val="000000"/>
          <w:sz w:val="32"/>
          <w:szCs w:val="32"/>
        </w:rPr>
        <w:br w:type="textWrapping"/>
      </w:r>
      <w:r>
        <w:rPr>
          <w:rFonts w:hint="eastAsia" w:ascii="仿宋" w:hAnsi="仿宋" w:eastAsia="仿宋"/>
          <w:color w:val="000000"/>
          <w:sz w:val="32"/>
          <w:szCs w:val="32"/>
        </w:rPr>
        <w:tab/>
      </w:r>
      <w:r>
        <w:rPr>
          <w:rFonts w:hint="eastAsia" w:ascii="仿宋" w:hAnsi="仿宋" w:eastAsia="仿宋"/>
          <w:color w:val="000000"/>
          <w:sz w:val="32"/>
          <w:szCs w:val="32"/>
        </w:rPr>
        <w:t>13.社会保障和就业支出（208）行政事业单位养老支出（20805）机关事业单位基本养老保险缴费支出（2080505）：反映机关事业单位实施养老保险制度由单位缴纳的基本养老保险费支出。</w:t>
      </w:r>
      <w:r>
        <w:rPr>
          <w:rFonts w:hint="eastAsia" w:ascii="仿宋" w:hAnsi="仿宋" w:eastAsia="仿宋"/>
          <w:color w:val="000000"/>
          <w:sz w:val="32"/>
          <w:szCs w:val="32"/>
        </w:rPr>
        <w:br w:type="textWrapping"/>
      </w:r>
      <w:r>
        <w:rPr>
          <w:rFonts w:hint="eastAsia" w:ascii="仿宋" w:hAnsi="仿宋" w:eastAsia="仿宋"/>
          <w:color w:val="000000"/>
          <w:sz w:val="32"/>
          <w:szCs w:val="32"/>
        </w:rPr>
        <w:tab/>
      </w:r>
      <w:r>
        <w:rPr>
          <w:rFonts w:hint="eastAsia" w:ascii="仿宋" w:hAnsi="仿宋" w:eastAsia="仿宋"/>
          <w:color w:val="000000"/>
          <w:sz w:val="32"/>
          <w:szCs w:val="32"/>
        </w:rPr>
        <w:t>14.社会保障和就业支出（208）行政事业单位养老支出（20805）机关事业单位职业年金缴费支出（2080506）：反映机关事业单位实施养老保险制度由单位实际缴纳的职业年金支出。</w:t>
      </w:r>
      <w:r>
        <w:rPr>
          <w:rFonts w:hint="eastAsia" w:ascii="仿宋" w:hAnsi="仿宋" w:eastAsia="仿宋"/>
          <w:color w:val="000000"/>
          <w:sz w:val="32"/>
          <w:szCs w:val="32"/>
        </w:rPr>
        <w:br w:type="textWrapping"/>
      </w:r>
      <w:r>
        <w:rPr>
          <w:rFonts w:hint="eastAsia" w:ascii="仿宋" w:hAnsi="仿宋" w:eastAsia="仿宋"/>
          <w:color w:val="000000"/>
          <w:sz w:val="32"/>
          <w:szCs w:val="32"/>
        </w:rPr>
        <w:tab/>
      </w:r>
      <w:r>
        <w:rPr>
          <w:rFonts w:hint="eastAsia" w:ascii="仿宋" w:hAnsi="仿宋" w:eastAsia="仿宋"/>
          <w:color w:val="000000"/>
          <w:sz w:val="32"/>
          <w:szCs w:val="32"/>
        </w:rPr>
        <w:t>15.卫生健康支出（210）行政事业单位医疗（21011）行政单位医疗（2101101）：反映财政部门安排的行政单位（包括实行公务员管理的事业单位，下同）基本医疗保险缴费经费，未参加医疗保险的行政单位的公费医疗经费，按国家规定享受离休人员、红军老战士待遇人员的医疗经费。</w:t>
      </w:r>
      <w:r>
        <w:rPr>
          <w:rFonts w:hint="eastAsia" w:ascii="仿宋" w:hAnsi="仿宋" w:eastAsia="仿宋"/>
          <w:color w:val="000000"/>
          <w:sz w:val="32"/>
          <w:szCs w:val="32"/>
        </w:rPr>
        <w:br w:type="textWrapping"/>
      </w:r>
      <w:r>
        <w:rPr>
          <w:rFonts w:hint="eastAsia" w:ascii="仿宋" w:hAnsi="仿宋" w:eastAsia="仿宋"/>
          <w:color w:val="000000"/>
          <w:sz w:val="32"/>
          <w:szCs w:val="32"/>
        </w:rPr>
        <w:tab/>
      </w:r>
      <w:r>
        <w:rPr>
          <w:rFonts w:hint="eastAsia" w:ascii="仿宋" w:hAnsi="仿宋" w:eastAsia="仿宋"/>
          <w:color w:val="000000"/>
          <w:sz w:val="32"/>
          <w:szCs w:val="32"/>
        </w:rPr>
        <w:t>16.卫生健康支出（210）行政事业单位医疗（21011）公务员医疗补助（2101103）：反映财政部门安排的公务员医疗补助经费。</w:t>
      </w:r>
      <w:r>
        <w:rPr>
          <w:rFonts w:hint="eastAsia" w:ascii="仿宋" w:hAnsi="仿宋" w:eastAsia="仿宋"/>
          <w:color w:val="000000"/>
          <w:sz w:val="32"/>
          <w:szCs w:val="32"/>
        </w:rPr>
        <w:br w:type="textWrapping"/>
      </w:r>
      <w:r>
        <w:rPr>
          <w:rFonts w:hint="eastAsia" w:ascii="仿宋" w:hAnsi="仿宋" w:eastAsia="仿宋"/>
          <w:color w:val="000000"/>
          <w:sz w:val="32"/>
          <w:szCs w:val="32"/>
        </w:rPr>
        <w:tab/>
      </w:r>
      <w:r>
        <w:rPr>
          <w:rFonts w:hint="eastAsia" w:ascii="仿宋" w:hAnsi="仿宋" w:eastAsia="仿宋"/>
          <w:color w:val="000000"/>
          <w:sz w:val="32"/>
          <w:szCs w:val="32"/>
        </w:rPr>
        <w:t>17.住房保障支出（221）住房改革支出（22102）住房公积金（2210201）：反映行政事业单位按人力资源和社会保障部、财政部规定的基本工资和津贴补贴以及规定比例为职工缴纳的住房公积金。</w:t>
      </w:r>
    </w:p>
    <w:p w14:paraId="5C6117C8">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18.基本支出：指为保障机构正常运转、完成日常工作任务而发生的人员支出和公用支出。</w:t>
      </w:r>
    </w:p>
    <w:p w14:paraId="7489E19A">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 xml:space="preserve">25.项目支出：指在基本支出之外为完成特定行政任务和事业发展目标所发生的支出。 </w:t>
      </w:r>
    </w:p>
    <w:p w14:paraId="55547EF9">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19.经营支出：指事业单位在专业业务活动及其辅助活动之外开展非独立核算经营活动发生的支出。</w:t>
      </w:r>
    </w:p>
    <w:p w14:paraId="106D3AB5">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C91017E">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52A8618">
      <w:pPr>
        <w:spacing w:line="600" w:lineRule="exact"/>
        <w:ind w:firstLine="640"/>
        <w:rPr>
          <w:rFonts w:ascii="仿宋_GB2312" w:eastAsia="仿宋_GB2312" w:cs="黑体"/>
          <w:sz w:val="32"/>
          <w:szCs w:val="32"/>
        </w:rPr>
      </w:pPr>
      <w:r>
        <w:rPr>
          <w:rFonts w:hint="eastAsia" w:ascii="仿宋" w:hAnsi="仿宋" w:eastAsia="仿宋"/>
          <w:color w:val="000000"/>
          <w:sz w:val="32"/>
          <w:szCs w:val="32"/>
        </w:rPr>
        <w:t>22.财政应返还额度：为行政事业单位会计核算科目，用于核算实行国库集中支付的行政事业单位应收财政返还的资金额度。</w:t>
      </w:r>
    </w:p>
    <w:p w14:paraId="3E525B84">
      <w:pPr>
        <w:widowControl/>
        <w:jc w:val="left"/>
        <w:rPr>
          <w:rFonts w:hint="eastAsia" w:ascii="黑体" w:hAnsi="黑体" w:eastAsia="黑体"/>
          <w:color w:val="auto"/>
          <w:sz w:val="44"/>
          <w:szCs w:val="44"/>
          <w:highlight w:val="none"/>
        </w:rPr>
      </w:pPr>
      <w:r>
        <w:rPr>
          <w:rStyle w:val="31"/>
          <w:rFonts w:ascii="黑体" w:hAnsi="黑体" w:eastAsia="黑体"/>
        </w:rPr>
        <w:br w:type="page"/>
      </w:r>
      <w:bookmarkEnd w:id="5"/>
    </w:p>
    <w:p w14:paraId="6F16E76E">
      <w:pPr>
        <w:spacing w:line="600" w:lineRule="exact"/>
        <w:jc w:val="center"/>
        <w:outlineLvl w:val="0"/>
        <w:rPr>
          <w:rFonts w:hint="eastAsia" w:ascii="黑体" w:hAnsi="黑体" w:eastAsia="黑体"/>
          <w:color w:val="auto"/>
          <w:sz w:val="44"/>
          <w:szCs w:val="44"/>
          <w:highlight w:val="none"/>
        </w:rPr>
      </w:pPr>
    </w:p>
    <w:p w14:paraId="24C4820E">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50"/>
          <w:rFonts w:hint="eastAsia" w:ascii="黑体" w:hAnsi="黑体" w:eastAsia="黑体"/>
          <w:b w:val="0"/>
          <w:color w:val="auto"/>
          <w:highlight w:val="none"/>
          <w:lang w:eastAsia="zh-CN"/>
        </w:rPr>
        <w:t>四</w:t>
      </w:r>
      <w:r>
        <w:rPr>
          <w:rStyle w:val="50"/>
          <w:rFonts w:hint="eastAsia" w:ascii="黑体" w:hAnsi="黑体" w:eastAsia="黑体"/>
          <w:b w:val="0"/>
          <w:color w:val="auto"/>
          <w:highlight w:val="none"/>
        </w:rPr>
        <w:t>部分 附表</w:t>
      </w:r>
    </w:p>
    <w:p w14:paraId="491CA859">
      <w:pPr>
        <w:pStyle w:val="5"/>
        <w:rPr>
          <w:rFonts w:ascii="仿宋" w:hAnsi="仿宋" w:eastAsia="仿宋"/>
          <w:color w:val="auto"/>
          <w:highlight w:val="none"/>
        </w:rPr>
      </w:pPr>
      <w:r>
        <w:rPr>
          <w:rFonts w:hint="eastAsia" w:ascii="仿宋" w:hAnsi="仿宋" w:eastAsia="仿宋"/>
          <w:b w:val="0"/>
          <w:color w:val="auto"/>
          <w:highlight w:val="none"/>
        </w:rPr>
        <w:t>一、收</w:t>
      </w:r>
      <w:r>
        <w:rPr>
          <w:rStyle w:val="51"/>
          <w:rFonts w:hint="eastAsia" w:ascii="仿宋" w:hAnsi="仿宋" w:eastAsia="仿宋"/>
          <w:b w:val="0"/>
          <w:bCs w:val="0"/>
          <w:color w:val="auto"/>
          <w:highlight w:val="none"/>
        </w:rPr>
        <w:t>入支出决算总表</w:t>
      </w:r>
    </w:p>
    <w:p w14:paraId="3A7F9C8D">
      <w:pPr>
        <w:pStyle w:val="5"/>
        <w:rPr>
          <w:rFonts w:ascii="仿宋" w:hAnsi="仿宋" w:eastAsia="仿宋"/>
          <w:color w:val="auto"/>
          <w:highlight w:val="none"/>
        </w:rPr>
      </w:pPr>
      <w:r>
        <w:rPr>
          <w:rFonts w:hint="eastAsia" w:ascii="仿宋" w:hAnsi="仿宋" w:eastAsia="仿宋"/>
          <w:b w:val="0"/>
          <w:color w:val="auto"/>
          <w:highlight w:val="none"/>
        </w:rPr>
        <w:t>二、收</w:t>
      </w:r>
      <w:r>
        <w:rPr>
          <w:rStyle w:val="51"/>
          <w:rFonts w:hint="eastAsia" w:ascii="仿宋" w:hAnsi="仿宋" w:eastAsia="仿宋"/>
          <w:b w:val="0"/>
          <w:bCs w:val="0"/>
          <w:color w:val="auto"/>
          <w:highlight w:val="none"/>
        </w:rPr>
        <w:t>入决算表</w:t>
      </w:r>
    </w:p>
    <w:p w14:paraId="534D8B7D">
      <w:pPr>
        <w:pStyle w:val="5"/>
        <w:rPr>
          <w:rFonts w:ascii="仿宋" w:hAnsi="仿宋" w:eastAsia="仿宋"/>
          <w:color w:val="auto"/>
          <w:highlight w:val="none"/>
        </w:rPr>
      </w:pPr>
      <w:r>
        <w:rPr>
          <w:rStyle w:val="51"/>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51"/>
          <w:rFonts w:hint="eastAsia" w:ascii="仿宋" w:hAnsi="仿宋" w:eastAsia="仿宋"/>
          <w:b w:val="0"/>
          <w:bCs w:val="0"/>
          <w:color w:val="auto"/>
          <w:highlight w:val="none"/>
        </w:rPr>
        <w:t>出决算表</w:t>
      </w:r>
    </w:p>
    <w:p w14:paraId="0517AB62">
      <w:pPr>
        <w:pStyle w:val="5"/>
        <w:rPr>
          <w:rFonts w:ascii="仿宋" w:hAnsi="仿宋" w:eastAsia="仿宋"/>
          <w:b w:val="0"/>
          <w:color w:val="auto"/>
          <w:highlight w:val="none"/>
        </w:rPr>
      </w:pPr>
      <w:r>
        <w:rPr>
          <w:rStyle w:val="51"/>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51"/>
          <w:rFonts w:hint="eastAsia" w:ascii="仿宋" w:hAnsi="仿宋" w:eastAsia="仿宋"/>
          <w:b w:val="0"/>
          <w:bCs w:val="0"/>
          <w:color w:val="auto"/>
          <w:highlight w:val="none"/>
        </w:rPr>
        <w:t>政拨款收入支出决算总表</w:t>
      </w:r>
    </w:p>
    <w:p w14:paraId="4E930EA7">
      <w:pPr>
        <w:pStyle w:val="5"/>
        <w:rPr>
          <w:rStyle w:val="51"/>
          <w:rFonts w:ascii="仿宋" w:hAnsi="仿宋" w:eastAsia="仿宋"/>
          <w:b w:val="0"/>
          <w:bCs w:val="0"/>
          <w:color w:val="auto"/>
          <w:highlight w:val="none"/>
        </w:rPr>
      </w:pPr>
      <w:r>
        <w:rPr>
          <w:rStyle w:val="51"/>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51"/>
          <w:rFonts w:hint="eastAsia" w:ascii="仿宋" w:hAnsi="仿宋" w:eastAsia="仿宋"/>
          <w:b w:val="0"/>
          <w:bCs w:val="0"/>
          <w:color w:val="auto"/>
          <w:highlight w:val="none"/>
        </w:rPr>
        <w:t>政拨款支出决算明细表</w:t>
      </w:r>
    </w:p>
    <w:p w14:paraId="6AEEB5AF">
      <w:pPr>
        <w:pStyle w:val="5"/>
        <w:rPr>
          <w:rFonts w:ascii="仿宋" w:hAnsi="仿宋" w:eastAsia="仿宋"/>
          <w:color w:val="auto"/>
          <w:highlight w:val="none"/>
        </w:rPr>
      </w:pPr>
      <w:r>
        <w:rPr>
          <w:rStyle w:val="51"/>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51"/>
          <w:rFonts w:hint="eastAsia" w:ascii="仿宋" w:hAnsi="仿宋" w:eastAsia="仿宋"/>
          <w:b w:val="0"/>
          <w:bCs w:val="0"/>
          <w:color w:val="auto"/>
          <w:highlight w:val="none"/>
        </w:rPr>
        <w:t>般公共预算财政拨款支出决算表</w:t>
      </w:r>
    </w:p>
    <w:p w14:paraId="2D67B5B3">
      <w:pPr>
        <w:pStyle w:val="5"/>
        <w:rPr>
          <w:rFonts w:ascii="仿宋" w:hAnsi="仿宋" w:eastAsia="仿宋"/>
          <w:color w:val="auto"/>
          <w:highlight w:val="none"/>
        </w:rPr>
      </w:pPr>
      <w:r>
        <w:rPr>
          <w:rStyle w:val="51"/>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51"/>
          <w:rFonts w:hint="eastAsia" w:ascii="仿宋" w:hAnsi="仿宋" w:eastAsia="仿宋"/>
          <w:b w:val="0"/>
          <w:bCs w:val="0"/>
          <w:color w:val="auto"/>
          <w:highlight w:val="none"/>
        </w:rPr>
        <w:t>般公共预算财政拨款支出决算明细表</w:t>
      </w:r>
    </w:p>
    <w:p w14:paraId="1EDCDE92">
      <w:pPr>
        <w:pStyle w:val="5"/>
        <w:rPr>
          <w:rFonts w:ascii="仿宋" w:hAnsi="仿宋" w:eastAsia="仿宋"/>
          <w:color w:val="auto"/>
          <w:highlight w:val="none"/>
        </w:rPr>
      </w:pPr>
      <w:r>
        <w:rPr>
          <w:rStyle w:val="51"/>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51"/>
          <w:rFonts w:hint="eastAsia" w:ascii="仿宋" w:hAnsi="仿宋" w:eastAsia="仿宋"/>
          <w:b w:val="0"/>
          <w:bCs w:val="0"/>
          <w:color w:val="auto"/>
          <w:highlight w:val="none"/>
        </w:rPr>
        <w:t>般公共预算财政拨款基本支出决算表</w:t>
      </w:r>
    </w:p>
    <w:p w14:paraId="4733D94D">
      <w:pPr>
        <w:pStyle w:val="5"/>
        <w:rPr>
          <w:rFonts w:ascii="仿宋" w:hAnsi="仿宋" w:eastAsia="仿宋"/>
          <w:color w:val="auto"/>
          <w:highlight w:val="none"/>
        </w:rPr>
      </w:pPr>
      <w:r>
        <w:rPr>
          <w:rStyle w:val="51"/>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51"/>
          <w:rFonts w:hint="eastAsia" w:ascii="仿宋" w:hAnsi="仿宋" w:eastAsia="仿宋"/>
          <w:b w:val="0"/>
          <w:bCs w:val="0"/>
          <w:color w:val="auto"/>
          <w:highlight w:val="none"/>
        </w:rPr>
        <w:t>般公共预算财政拨款项目支出决算表</w:t>
      </w:r>
    </w:p>
    <w:p w14:paraId="3B1999CD">
      <w:pPr>
        <w:pStyle w:val="5"/>
        <w:rPr>
          <w:rFonts w:ascii="仿宋" w:hAnsi="仿宋" w:eastAsia="仿宋"/>
          <w:color w:val="auto"/>
          <w:highlight w:val="none"/>
        </w:rPr>
      </w:pPr>
      <w:r>
        <w:rPr>
          <w:rStyle w:val="51"/>
          <w:rFonts w:hint="eastAsia" w:ascii="仿宋" w:hAnsi="仿宋" w:eastAsia="仿宋"/>
          <w:b w:val="0"/>
          <w:bCs w:val="0"/>
          <w:color w:val="auto"/>
          <w:highlight w:val="none"/>
        </w:rPr>
        <w:t>十、</w:t>
      </w:r>
      <w:r>
        <w:rPr>
          <w:rFonts w:hint="eastAsia" w:ascii="仿宋" w:hAnsi="仿宋" w:eastAsia="仿宋"/>
          <w:b w:val="0"/>
          <w:color w:val="auto"/>
          <w:highlight w:val="none"/>
        </w:rPr>
        <w:t>政</w:t>
      </w:r>
      <w:r>
        <w:rPr>
          <w:rStyle w:val="51"/>
          <w:rFonts w:hint="eastAsia" w:ascii="仿宋" w:hAnsi="仿宋" w:eastAsia="仿宋"/>
          <w:b w:val="0"/>
          <w:bCs w:val="0"/>
          <w:color w:val="auto"/>
          <w:highlight w:val="none"/>
        </w:rPr>
        <w:t>府性基金预算财政拨款收入支出决算表</w:t>
      </w:r>
    </w:p>
    <w:p w14:paraId="743CC11B">
      <w:pPr>
        <w:pStyle w:val="5"/>
        <w:rPr>
          <w:rFonts w:ascii="仿宋" w:hAnsi="仿宋" w:eastAsia="仿宋"/>
          <w:color w:val="auto"/>
          <w:highlight w:val="none"/>
        </w:rPr>
      </w:pPr>
      <w:r>
        <w:rPr>
          <w:rStyle w:val="51"/>
          <w:rFonts w:hint="eastAsia" w:ascii="仿宋" w:hAnsi="仿宋" w:eastAsia="仿宋"/>
          <w:b w:val="0"/>
          <w:bCs w:val="0"/>
          <w:color w:val="auto"/>
          <w:highlight w:val="none"/>
        </w:rPr>
        <w:t>十一、</w:t>
      </w:r>
      <w:r>
        <w:rPr>
          <w:rFonts w:hint="eastAsia" w:ascii="仿宋" w:hAnsi="仿宋" w:eastAsia="仿宋"/>
          <w:b w:val="0"/>
          <w:color w:val="auto"/>
          <w:highlight w:val="none"/>
        </w:rPr>
        <w:t>国</w:t>
      </w:r>
      <w:r>
        <w:rPr>
          <w:rStyle w:val="51"/>
          <w:rFonts w:hint="eastAsia" w:ascii="仿宋" w:hAnsi="仿宋" w:eastAsia="仿宋"/>
          <w:b w:val="0"/>
          <w:bCs w:val="0"/>
          <w:color w:val="auto"/>
          <w:highlight w:val="none"/>
        </w:rPr>
        <w:t>有资本经营预算</w:t>
      </w:r>
      <w:r>
        <w:rPr>
          <w:rStyle w:val="51"/>
          <w:rFonts w:hint="eastAsia" w:ascii="仿宋" w:hAnsi="仿宋" w:eastAsia="仿宋"/>
          <w:b w:val="0"/>
          <w:bCs w:val="0"/>
          <w:color w:val="auto"/>
          <w:highlight w:val="none"/>
          <w:lang w:eastAsia="zh-CN"/>
        </w:rPr>
        <w:t>财政拨款收入</w:t>
      </w:r>
      <w:r>
        <w:rPr>
          <w:rStyle w:val="51"/>
          <w:rFonts w:hint="eastAsia" w:ascii="仿宋" w:hAnsi="仿宋" w:eastAsia="仿宋"/>
          <w:b w:val="0"/>
          <w:bCs w:val="0"/>
          <w:color w:val="auto"/>
          <w:highlight w:val="none"/>
        </w:rPr>
        <w:t>支出决算表</w:t>
      </w:r>
    </w:p>
    <w:p w14:paraId="3FB2ED39">
      <w:pPr>
        <w:pStyle w:val="5"/>
        <w:rPr>
          <w:rFonts w:ascii="仿宋" w:hAnsi="仿宋" w:eastAsia="仿宋"/>
          <w:color w:val="auto"/>
          <w:highlight w:val="none"/>
        </w:rPr>
      </w:pPr>
      <w:r>
        <w:rPr>
          <w:rStyle w:val="51"/>
          <w:rFonts w:hint="eastAsia" w:ascii="仿宋" w:hAnsi="仿宋" w:eastAsia="仿宋"/>
          <w:b w:val="0"/>
          <w:bCs w:val="0"/>
          <w:color w:val="auto"/>
          <w:highlight w:val="none"/>
        </w:rPr>
        <w:t>十二、</w:t>
      </w:r>
      <w:r>
        <w:rPr>
          <w:rStyle w:val="51"/>
          <w:rFonts w:hint="eastAsia" w:ascii="仿宋" w:hAnsi="仿宋" w:eastAsia="仿宋"/>
          <w:b w:val="0"/>
          <w:bCs w:val="0"/>
          <w:color w:val="auto"/>
          <w:highlight w:val="none"/>
          <w:lang w:eastAsia="zh-CN"/>
        </w:rPr>
        <w:t>国有资本经营预算财政拨款支出决算表</w:t>
      </w:r>
    </w:p>
    <w:p w14:paraId="25FFF3AC">
      <w:pPr>
        <w:pStyle w:val="5"/>
        <w:rPr>
          <w:rFonts w:hint="eastAsia" w:eastAsia="仿宋"/>
          <w:color w:val="auto"/>
          <w:highlight w:val="none"/>
          <w:lang w:eastAsia="zh-CN"/>
        </w:rPr>
      </w:pPr>
      <w:r>
        <w:rPr>
          <w:rStyle w:val="51"/>
          <w:rFonts w:hint="eastAsia" w:ascii="仿宋" w:hAnsi="仿宋" w:eastAsia="仿宋"/>
          <w:b w:val="0"/>
          <w:bCs w:val="0"/>
          <w:color w:val="auto"/>
          <w:highlight w:val="none"/>
        </w:rPr>
        <w:t>十三、</w:t>
      </w:r>
      <w:r>
        <w:rPr>
          <w:rStyle w:val="51"/>
          <w:rFonts w:hint="eastAsia" w:ascii="仿宋" w:hAnsi="仿宋" w:eastAsia="仿宋"/>
          <w:b w:val="0"/>
          <w:bCs w:val="0"/>
          <w:color w:val="auto"/>
          <w:highlight w:val="none"/>
          <w:lang w:eastAsia="zh-CN"/>
        </w:rPr>
        <w:t>财政拨款“三公”经费支出决算表</w:t>
      </w:r>
    </w:p>
    <w:p w14:paraId="0386D4E5">
      <w:pPr>
        <w:pStyle w:val="5"/>
        <w:ind w:firstLine="640" w:firstLineChars="200"/>
        <w:rPr>
          <w:rFonts w:ascii="黑体" w:eastAsia="黑体" w:cs="Times New Roman"/>
          <w:b w:val="0"/>
          <w:color w:val="000000"/>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249D0F4-1BB4-4F3B-9A37-5B94020EF62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33CC4C5C-53EC-4ECC-945C-6E7E03DD8391}"/>
  </w:font>
  <w:font w:name="仿宋">
    <w:panose1 w:val="02010609060101010101"/>
    <w:charset w:val="86"/>
    <w:family w:val="modern"/>
    <w:pitch w:val="default"/>
    <w:sig w:usb0="800002BF" w:usb1="38CF7CFA" w:usb2="00000016" w:usb3="00000000" w:csb0="00040001" w:csb1="00000000"/>
    <w:embedRegular r:id="rId3" w:fontKey="{E151B2C0-3437-4151-9058-14BAB6DF3832}"/>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0010101010101"/>
    <w:charset w:val="86"/>
    <w:family w:val="script"/>
    <w:pitch w:val="default"/>
    <w:sig w:usb0="00000001" w:usb1="080E0000" w:usb2="00000000" w:usb3="00000000" w:csb0="00040000" w:csb1="00000000"/>
    <w:embedRegular r:id="rId4" w:fontKey="{509EFD06-D76A-43A3-B2EF-97FD604A24E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4548EF63">
        <w:pPr>
          <w:pStyle w:val="12"/>
          <w:jc w:val="center"/>
        </w:pPr>
        <w:r>
          <w:fldChar w:fldCharType="begin"/>
        </w:r>
        <w:r>
          <w:instrText xml:space="preserve">PAGE   \* MERGEFORMAT</w:instrText>
        </w:r>
        <w:r>
          <w:fldChar w:fldCharType="separate"/>
        </w:r>
        <w:r>
          <w:rPr>
            <w:lang w:val="zh-CN"/>
          </w:rPr>
          <w:t>4</w:t>
        </w:r>
        <w:r>
          <w:fldChar w:fldCharType="end"/>
        </w:r>
      </w:p>
    </w:sdtContent>
  </w:sdt>
  <w:p w14:paraId="2F718124">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BFE99">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IyNTUwMGM4MjA3OTY5NGU5YWQ3OWJmNTYyYTVmYzEifQ=="/>
  </w:docVars>
  <w:rsids>
    <w:rsidRoot w:val="00F1361C"/>
    <w:rsid w:val="000000BC"/>
    <w:rsid w:val="00000665"/>
    <w:rsid w:val="00000B38"/>
    <w:rsid w:val="000015A2"/>
    <w:rsid w:val="00003E5B"/>
    <w:rsid w:val="00007EA6"/>
    <w:rsid w:val="00012FB7"/>
    <w:rsid w:val="00013357"/>
    <w:rsid w:val="00013C9E"/>
    <w:rsid w:val="00015450"/>
    <w:rsid w:val="000175E6"/>
    <w:rsid w:val="00017F98"/>
    <w:rsid w:val="00020F07"/>
    <w:rsid w:val="000222C6"/>
    <w:rsid w:val="00022FC0"/>
    <w:rsid w:val="000230B2"/>
    <w:rsid w:val="0002359B"/>
    <w:rsid w:val="00023DEB"/>
    <w:rsid w:val="00025226"/>
    <w:rsid w:val="0002549F"/>
    <w:rsid w:val="00025F1E"/>
    <w:rsid w:val="0002749D"/>
    <w:rsid w:val="0003013F"/>
    <w:rsid w:val="00031598"/>
    <w:rsid w:val="00031926"/>
    <w:rsid w:val="000326D5"/>
    <w:rsid w:val="00033414"/>
    <w:rsid w:val="00034ABC"/>
    <w:rsid w:val="00034D24"/>
    <w:rsid w:val="00035A69"/>
    <w:rsid w:val="000366B3"/>
    <w:rsid w:val="00036E57"/>
    <w:rsid w:val="00047195"/>
    <w:rsid w:val="00047C09"/>
    <w:rsid w:val="00052D93"/>
    <w:rsid w:val="000551CF"/>
    <w:rsid w:val="000571AC"/>
    <w:rsid w:val="00063AA8"/>
    <w:rsid w:val="0006487A"/>
    <w:rsid w:val="00065F8F"/>
    <w:rsid w:val="00066365"/>
    <w:rsid w:val="00066A65"/>
    <w:rsid w:val="00070C93"/>
    <w:rsid w:val="00070D58"/>
    <w:rsid w:val="00070F40"/>
    <w:rsid w:val="00071796"/>
    <w:rsid w:val="00072BEC"/>
    <w:rsid w:val="00073345"/>
    <w:rsid w:val="000768F2"/>
    <w:rsid w:val="00077C80"/>
    <w:rsid w:val="00081156"/>
    <w:rsid w:val="000815F6"/>
    <w:rsid w:val="00083B72"/>
    <w:rsid w:val="000846FF"/>
    <w:rsid w:val="0008503A"/>
    <w:rsid w:val="000851B4"/>
    <w:rsid w:val="000859F0"/>
    <w:rsid w:val="00087C06"/>
    <w:rsid w:val="00090134"/>
    <w:rsid w:val="00090DB7"/>
    <w:rsid w:val="0009184B"/>
    <w:rsid w:val="00091AAC"/>
    <w:rsid w:val="000925CB"/>
    <w:rsid w:val="0009389E"/>
    <w:rsid w:val="0009593C"/>
    <w:rsid w:val="000A1370"/>
    <w:rsid w:val="000A17C4"/>
    <w:rsid w:val="000A37A2"/>
    <w:rsid w:val="000A500C"/>
    <w:rsid w:val="000B007F"/>
    <w:rsid w:val="000B047F"/>
    <w:rsid w:val="000B071C"/>
    <w:rsid w:val="000B1716"/>
    <w:rsid w:val="000B202D"/>
    <w:rsid w:val="000B26BE"/>
    <w:rsid w:val="000B2D44"/>
    <w:rsid w:val="000B2FD8"/>
    <w:rsid w:val="000B44F0"/>
    <w:rsid w:val="000B5923"/>
    <w:rsid w:val="000B5A48"/>
    <w:rsid w:val="000B6FF3"/>
    <w:rsid w:val="000C0A06"/>
    <w:rsid w:val="000C148A"/>
    <w:rsid w:val="000C2B6A"/>
    <w:rsid w:val="000C3467"/>
    <w:rsid w:val="000C3CA6"/>
    <w:rsid w:val="000C4E3D"/>
    <w:rsid w:val="000C7136"/>
    <w:rsid w:val="000D1267"/>
    <w:rsid w:val="000D1D50"/>
    <w:rsid w:val="000D304F"/>
    <w:rsid w:val="000D4033"/>
    <w:rsid w:val="000D5782"/>
    <w:rsid w:val="000D620F"/>
    <w:rsid w:val="000D74AA"/>
    <w:rsid w:val="000E3AC5"/>
    <w:rsid w:val="000E4C84"/>
    <w:rsid w:val="000E6613"/>
    <w:rsid w:val="000E6663"/>
    <w:rsid w:val="000E7119"/>
    <w:rsid w:val="000E75B2"/>
    <w:rsid w:val="000F0D1B"/>
    <w:rsid w:val="000F3E1D"/>
    <w:rsid w:val="000F7336"/>
    <w:rsid w:val="00101546"/>
    <w:rsid w:val="00106B75"/>
    <w:rsid w:val="0010727E"/>
    <w:rsid w:val="00107CCA"/>
    <w:rsid w:val="00110310"/>
    <w:rsid w:val="00112787"/>
    <w:rsid w:val="00114E9B"/>
    <w:rsid w:val="0011649B"/>
    <w:rsid w:val="00116E5E"/>
    <w:rsid w:val="0012218E"/>
    <w:rsid w:val="0012398F"/>
    <w:rsid w:val="00124113"/>
    <w:rsid w:val="00124BFE"/>
    <w:rsid w:val="0012516D"/>
    <w:rsid w:val="00125224"/>
    <w:rsid w:val="00130F18"/>
    <w:rsid w:val="00133C7A"/>
    <w:rsid w:val="0013434B"/>
    <w:rsid w:val="00137E3C"/>
    <w:rsid w:val="001418EE"/>
    <w:rsid w:val="00142F42"/>
    <w:rsid w:val="00143AE1"/>
    <w:rsid w:val="00143C8F"/>
    <w:rsid w:val="001446FE"/>
    <w:rsid w:val="00144A59"/>
    <w:rsid w:val="00146A3D"/>
    <w:rsid w:val="0014729F"/>
    <w:rsid w:val="00147410"/>
    <w:rsid w:val="001506F6"/>
    <w:rsid w:val="0015213E"/>
    <w:rsid w:val="001544D9"/>
    <w:rsid w:val="00156D5D"/>
    <w:rsid w:val="00157BAB"/>
    <w:rsid w:val="0016151A"/>
    <w:rsid w:val="00163B54"/>
    <w:rsid w:val="001654D1"/>
    <w:rsid w:val="00166A14"/>
    <w:rsid w:val="00166F25"/>
    <w:rsid w:val="0016730C"/>
    <w:rsid w:val="0017190C"/>
    <w:rsid w:val="00174145"/>
    <w:rsid w:val="0018106D"/>
    <w:rsid w:val="0018125C"/>
    <w:rsid w:val="00181856"/>
    <w:rsid w:val="00183B64"/>
    <w:rsid w:val="00184B52"/>
    <w:rsid w:val="001877A7"/>
    <w:rsid w:val="00187CD2"/>
    <w:rsid w:val="00191536"/>
    <w:rsid w:val="00191B2C"/>
    <w:rsid w:val="001927B3"/>
    <w:rsid w:val="00193E73"/>
    <w:rsid w:val="00193FE2"/>
    <w:rsid w:val="001959D9"/>
    <w:rsid w:val="00195AB7"/>
    <w:rsid w:val="00196687"/>
    <w:rsid w:val="001A0107"/>
    <w:rsid w:val="001A0B9F"/>
    <w:rsid w:val="001A0EA2"/>
    <w:rsid w:val="001A1DBF"/>
    <w:rsid w:val="001A5CF3"/>
    <w:rsid w:val="001A63BB"/>
    <w:rsid w:val="001B1840"/>
    <w:rsid w:val="001B1FA9"/>
    <w:rsid w:val="001B6640"/>
    <w:rsid w:val="001B7FF7"/>
    <w:rsid w:val="001C0962"/>
    <w:rsid w:val="001C1941"/>
    <w:rsid w:val="001C1A81"/>
    <w:rsid w:val="001C38A5"/>
    <w:rsid w:val="001C597C"/>
    <w:rsid w:val="001C6464"/>
    <w:rsid w:val="001C746B"/>
    <w:rsid w:val="001D14B6"/>
    <w:rsid w:val="001D342B"/>
    <w:rsid w:val="001D6C1E"/>
    <w:rsid w:val="001D7531"/>
    <w:rsid w:val="001E0A1B"/>
    <w:rsid w:val="001E1402"/>
    <w:rsid w:val="001E2922"/>
    <w:rsid w:val="001E3680"/>
    <w:rsid w:val="001E737D"/>
    <w:rsid w:val="001F0592"/>
    <w:rsid w:val="001F0C89"/>
    <w:rsid w:val="001F7506"/>
    <w:rsid w:val="002006CD"/>
    <w:rsid w:val="0020075A"/>
    <w:rsid w:val="00202B36"/>
    <w:rsid w:val="00202C44"/>
    <w:rsid w:val="00202F80"/>
    <w:rsid w:val="002030A5"/>
    <w:rsid w:val="00204B7A"/>
    <w:rsid w:val="00206616"/>
    <w:rsid w:val="0020689D"/>
    <w:rsid w:val="00206B0E"/>
    <w:rsid w:val="00207949"/>
    <w:rsid w:val="0021101A"/>
    <w:rsid w:val="0021190F"/>
    <w:rsid w:val="0021334C"/>
    <w:rsid w:val="00216B50"/>
    <w:rsid w:val="00220536"/>
    <w:rsid w:val="00220C02"/>
    <w:rsid w:val="00224F1D"/>
    <w:rsid w:val="00225CB7"/>
    <w:rsid w:val="0023060C"/>
    <w:rsid w:val="00234E40"/>
    <w:rsid w:val="00235629"/>
    <w:rsid w:val="00237AE4"/>
    <w:rsid w:val="00240C43"/>
    <w:rsid w:val="00240C5D"/>
    <w:rsid w:val="00243589"/>
    <w:rsid w:val="002527B1"/>
    <w:rsid w:val="0025301B"/>
    <w:rsid w:val="00253FF8"/>
    <w:rsid w:val="00260A32"/>
    <w:rsid w:val="00260C38"/>
    <w:rsid w:val="00260F84"/>
    <w:rsid w:val="002616C0"/>
    <w:rsid w:val="002620C0"/>
    <w:rsid w:val="002662AA"/>
    <w:rsid w:val="00267E1C"/>
    <w:rsid w:val="00272FB2"/>
    <w:rsid w:val="0027313F"/>
    <w:rsid w:val="00273F8B"/>
    <w:rsid w:val="002740FA"/>
    <w:rsid w:val="0027692F"/>
    <w:rsid w:val="0027703A"/>
    <w:rsid w:val="00277BF4"/>
    <w:rsid w:val="00280496"/>
    <w:rsid w:val="00283D63"/>
    <w:rsid w:val="002856F9"/>
    <w:rsid w:val="002866CA"/>
    <w:rsid w:val="00286C21"/>
    <w:rsid w:val="002875BF"/>
    <w:rsid w:val="0029076F"/>
    <w:rsid w:val="0029094E"/>
    <w:rsid w:val="00291DC2"/>
    <w:rsid w:val="00292626"/>
    <w:rsid w:val="00292E6B"/>
    <w:rsid w:val="00295495"/>
    <w:rsid w:val="002A0D55"/>
    <w:rsid w:val="002A0E88"/>
    <w:rsid w:val="002A3F4C"/>
    <w:rsid w:val="002A70D7"/>
    <w:rsid w:val="002A77B7"/>
    <w:rsid w:val="002A7AE1"/>
    <w:rsid w:val="002B133E"/>
    <w:rsid w:val="002B1B6D"/>
    <w:rsid w:val="002B2613"/>
    <w:rsid w:val="002B2C2A"/>
    <w:rsid w:val="002B2F51"/>
    <w:rsid w:val="002B44FC"/>
    <w:rsid w:val="002B5438"/>
    <w:rsid w:val="002B544A"/>
    <w:rsid w:val="002B5F40"/>
    <w:rsid w:val="002B79B7"/>
    <w:rsid w:val="002C00BF"/>
    <w:rsid w:val="002C0137"/>
    <w:rsid w:val="002C1004"/>
    <w:rsid w:val="002C1E97"/>
    <w:rsid w:val="002C4022"/>
    <w:rsid w:val="002C5275"/>
    <w:rsid w:val="002C6074"/>
    <w:rsid w:val="002D1F9E"/>
    <w:rsid w:val="002D30E8"/>
    <w:rsid w:val="002E0F9C"/>
    <w:rsid w:val="002E1F75"/>
    <w:rsid w:val="002E202A"/>
    <w:rsid w:val="002E5C3A"/>
    <w:rsid w:val="002E64D0"/>
    <w:rsid w:val="002F1818"/>
    <w:rsid w:val="002F1A28"/>
    <w:rsid w:val="002F2C84"/>
    <w:rsid w:val="002F335F"/>
    <w:rsid w:val="002F567B"/>
    <w:rsid w:val="002F66D8"/>
    <w:rsid w:val="002F7353"/>
    <w:rsid w:val="0030080A"/>
    <w:rsid w:val="0030298F"/>
    <w:rsid w:val="00305126"/>
    <w:rsid w:val="0030593B"/>
    <w:rsid w:val="00310306"/>
    <w:rsid w:val="0031156F"/>
    <w:rsid w:val="00317FD1"/>
    <w:rsid w:val="00321358"/>
    <w:rsid w:val="003216A9"/>
    <w:rsid w:val="00322D89"/>
    <w:rsid w:val="00325332"/>
    <w:rsid w:val="00325856"/>
    <w:rsid w:val="00325985"/>
    <w:rsid w:val="003278AA"/>
    <w:rsid w:val="00332726"/>
    <w:rsid w:val="0033309F"/>
    <w:rsid w:val="00335ED6"/>
    <w:rsid w:val="00337694"/>
    <w:rsid w:val="003431B7"/>
    <w:rsid w:val="0034381A"/>
    <w:rsid w:val="003440C6"/>
    <w:rsid w:val="00350C26"/>
    <w:rsid w:val="003515CF"/>
    <w:rsid w:val="00353569"/>
    <w:rsid w:val="0035612F"/>
    <w:rsid w:val="00356A32"/>
    <w:rsid w:val="0035779A"/>
    <w:rsid w:val="00360394"/>
    <w:rsid w:val="0036392A"/>
    <w:rsid w:val="003663FE"/>
    <w:rsid w:val="0036688B"/>
    <w:rsid w:val="00366A86"/>
    <w:rsid w:val="00367683"/>
    <w:rsid w:val="00367B91"/>
    <w:rsid w:val="0037013F"/>
    <w:rsid w:val="00373FCE"/>
    <w:rsid w:val="00377A4C"/>
    <w:rsid w:val="003802FF"/>
    <w:rsid w:val="00380C92"/>
    <w:rsid w:val="00385025"/>
    <w:rsid w:val="00386455"/>
    <w:rsid w:val="00390F3B"/>
    <w:rsid w:val="0039111A"/>
    <w:rsid w:val="003936B4"/>
    <w:rsid w:val="00393AFD"/>
    <w:rsid w:val="003A079E"/>
    <w:rsid w:val="003A10FA"/>
    <w:rsid w:val="003A163E"/>
    <w:rsid w:val="003A32EC"/>
    <w:rsid w:val="003A36AE"/>
    <w:rsid w:val="003A3ACA"/>
    <w:rsid w:val="003A4404"/>
    <w:rsid w:val="003A484F"/>
    <w:rsid w:val="003A4F96"/>
    <w:rsid w:val="003A5540"/>
    <w:rsid w:val="003B0BE0"/>
    <w:rsid w:val="003B0C1A"/>
    <w:rsid w:val="003B0C1B"/>
    <w:rsid w:val="003B5601"/>
    <w:rsid w:val="003B688C"/>
    <w:rsid w:val="003C0291"/>
    <w:rsid w:val="003C2ECB"/>
    <w:rsid w:val="003C350E"/>
    <w:rsid w:val="003C39AE"/>
    <w:rsid w:val="003C6D0D"/>
    <w:rsid w:val="003C76CC"/>
    <w:rsid w:val="003C7B60"/>
    <w:rsid w:val="003D0821"/>
    <w:rsid w:val="003D1FB2"/>
    <w:rsid w:val="003D2303"/>
    <w:rsid w:val="003D3CC9"/>
    <w:rsid w:val="003D4221"/>
    <w:rsid w:val="003D644D"/>
    <w:rsid w:val="003D66DA"/>
    <w:rsid w:val="003E10D3"/>
    <w:rsid w:val="003E1310"/>
    <w:rsid w:val="003E2E1C"/>
    <w:rsid w:val="003E5BD3"/>
    <w:rsid w:val="003E6348"/>
    <w:rsid w:val="003E6F55"/>
    <w:rsid w:val="003F133D"/>
    <w:rsid w:val="003F2794"/>
    <w:rsid w:val="003F339D"/>
    <w:rsid w:val="003F363F"/>
    <w:rsid w:val="003F3A2A"/>
    <w:rsid w:val="003F3DED"/>
    <w:rsid w:val="003F3E94"/>
    <w:rsid w:val="003F44B8"/>
    <w:rsid w:val="003F7CD6"/>
    <w:rsid w:val="00400549"/>
    <w:rsid w:val="00401C71"/>
    <w:rsid w:val="004026F9"/>
    <w:rsid w:val="00402FCE"/>
    <w:rsid w:val="00405639"/>
    <w:rsid w:val="00406254"/>
    <w:rsid w:val="004071E0"/>
    <w:rsid w:val="00407AD0"/>
    <w:rsid w:val="00410C16"/>
    <w:rsid w:val="00422023"/>
    <w:rsid w:val="004223DE"/>
    <w:rsid w:val="004234B2"/>
    <w:rsid w:val="00426FA8"/>
    <w:rsid w:val="00427162"/>
    <w:rsid w:val="0043341C"/>
    <w:rsid w:val="004343F3"/>
    <w:rsid w:val="00434489"/>
    <w:rsid w:val="0043475E"/>
    <w:rsid w:val="0043497B"/>
    <w:rsid w:val="00435137"/>
    <w:rsid w:val="00436E88"/>
    <w:rsid w:val="00437085"/>
    <w:rsid w:val="004370D1"/>
    <w:rsid w:val="00440872"/>
    <w:rsid w:val="00440A29"/>
    <w:rsid w:val="00441C18"/>
    <w:rsid w:val="004422EF"/>
    <w:rsid w:val="00443880"/>
    <w:rsid w:val="00444CE1"/>
    <w:rsid w:val="0044578E"/>
    <w:rsid w:val="0044581C"/>
    <w:rsid w:val="004464F4"/>
    <w:rsid w:val="00446FA9"/>
    <w:rsid w:val="00447035"/>
    <w:rsid w:val="00450BFF"/>
    <w:rsid w:val="00454FA9"/>
    <w:rsid w:val="0045723A"/>
    <w:rsid w:val="00460A67"/>
    <w:rsid w:val="00461A98"/>
    <w:rsid w:val="00462B33"/>
    <w:rsid w:val="0046346E"/>
    <w:rsid w:val="004708B9"/>
    <w:rsid w:val="00471401"/>
    <w:rsid w:val="00471CBB"/>
    <w:rsid w:val="00473F31"/>
    <w:rsid w:val="00474218"/>
    <w:rsid w:val="004750E8"/>
    <w:rsid w:val="00476F1B"/>
    <w:rsid w:val="0047729B"/>
    <w:rsid w:val="0048263A"/>
    <w:rsid w:val="0048368B"/>
    <w:rsid w:val="0048372E"/>
    <w:rsid w:val="00483F46"/>
    <w:rsid w:val="00484CD3"/>
    <w:rsid w:val="004857E4"/>
    <w:rsid w:val="00486073"/>
    <w:rsid w:val="0048694C"/>
    <w:rsid w:val="00486E3E"/>
    <w:rsid w:val="00487E5D"/>
    <w:rsid w:val="00491181"/>
    <w:rsid w:val="00492070"/>
    <w:rsid w:val="004941B6"/>
    <w:rsid w:val="00497E59"/>
    <w:rsid w:val="004A2A48"/>
    <w:rsid w:val="004A4A66"/>
    <w:rsid w:val="004A4B01"/>
    <w:rsid w:val="004A5576"/>
    <w:rsid w:val="004A6B85"/>
    <w:rsid w:val="004A711F"/>
    <w:rsid w:val="004A7B2B"/>
    <w:rsid w:val="004B01AE"/>
    <w:rsid w:val="004B199D"/>
    <w:rsid w:val="004B2279"/>
    <w:rsid w:val="004B25B9"/>
    <w:rsid w:val="004B3F00"/>
    <w:rsid w:val="004B4690"/>
    <w:rsid w:val="004B7108"/>
    <w:rsid w:val="004B778F"/>
    <w:rsid w:val="004B785F"/>
    <w:rsid w:val="004C01B1"/>
    <w:rsid w:val="004C062D"/>
    <w:rsid w:val="004C4638"/>
    <w:rsid w:val="004C5745"/>
    <w:rsid w:val="004C5DBD"/>
    <w:rsid w:val="004C62FA"/>
    <w:rsid w:val="004C6FB9"/>
    <w:rsid w:val="004D1DC6"/>
    <w:rsid w:val="004D31FB"/>
    <w:rsid w:val="004D4BB1"/>
    <w:rsid w:val="004D4D6E"/>
    <w:rsid w:val="004D4DA3"/>
    <w:rsid w:val="004D798C"/>
    <w:rsid w:val="004D7AEF"/>
    <w:rsid w:val="004E028C"/>
    <w:rsid w:val="004E0815"/>
    <w:rsid w:val="004E0A2D"/>
    <w:rsid w:val="004E206B"/>
    <w:rsid w:val="004E3DEC"/>
    <w:rsid w:val="004E67E0"/>
    <w:rsid w:val="004E6DF7"/>
    <w:rsid w:val="004F0FBD"/>
    <w:rsid w:val="00501436"/>
    <w:rsid w:val="00501B3E"/>
    <w:rsid w:val="00502053"/>
    <w:rsid w:val="005020BB"/>
    <w:rsid w:val="00505843"/>
    <w:rsid w:val="00505A47"/>
    <w:rsid w:val="0050679E"/>
    <w:rsid w:val="0051166F"/>
    <w:rsid w:val="00512FDA"/>
    <w:rsid w:val="00513ED7"/>
    <w:rsid w:val="0051467D"/>
    <w:rsid w:val="00520DA0"/>
    <w:rsid w:val="005225FC"/>
    <w:rsid w:val="00524AC4"/>
    <w:rsid w:val="0052729E"/>
    <w:rsid w:val="0052733D"/>
    <w:rsid w:val="00530E19"/>
    <w:rsid w:val="00530F71"/>
    <w:rsid w:val="005322EB"/>
    <w:rsid w:val="0053459C"/>
    <w:rsid w:val="00550726"/>
    <w:rsid w:val="0055106D"/>
    <w:rsid w:val="005559A4"/>
    <w:rsid w:val="00565D17"/>
    <w:rsid w:val="005664BB"/>
    <w:rsid w:val="00566C08"/>
    <w:rsid w:val="0056722F"/>
    <w:rsid w:val="00567B67"/>
    <w:rsid w:val="00570C62"/>
    <w:rsid w:val="00572EB1"/>
    <w:rsid w:val="00572EC9"/>
    <w:rsid w:val="00573576"/>
    <w:rsid w:val="0057481D"/>
    <w:rsid w:val="0057798B"/>
    <w:rsid w:val="00577A75"/>
    <w:rsid w:val="00577DF2"/>
    <w:rsid w:val="00580D35"/>
    <w:rsid w:val="0058486E"/>
    <w:rsid w:val="00584F2B"/>
    <w:rsid w:val="005935E9"/>
    <w:rsid w:val="005939BC"/>
    <w:rsid w:val="00593D4E"/>
    <w:rsid w:val="005975DB"/>
    <w:rsid w:val="00597919"/>
    <w:rsid w:val="005A0204"/>
    <w:rsid w:val="005A0CF8"/>
    <w:rsid w:val="005A324B"/>
    <w:rsid w:val="005B186A"/>
    <w:rsid w:val="005B553C"/>
    <w:rsid w:val="005B57DB"/>
    <w:rsid w:val="005B58F9"/>
    <w:rsid w:val="005B5ACB"/>
    <w:rsid w:val="005C0AF7"/>
    <w:rsid w:val="005C0B82"/>
    <w:rsid w:val="005C0D5C"/>
    <w:rsid w:val="005C4A4C"/>
    <w:rsid w:val="005C52C6"/>
    <w:rsid w:val="005C7204"/>
    <w:rsid w:val="005D1C8B"/>
    <w:rsid w:val="005D5CED"/>
    <w:rsid w:val="005D6054"/>
    <w:rsid w:val="005E1522"/>
    <w:rsid w:val="005E3365"/>
    <w:rsid w:val="005E5517"/>
    <w:rsid w:val="005F0705"/>
    <w:rsid w:val="005F0C83"/>
    <w:rsid w:val="005F1A4C"/>
    <w:rsid w:val="005F1F76"/>
    <w:rsid w:val="005F2C70"/>
    <w:rsid w:val="005F32B6"/>
    <w:rsid w:val="005F4162"/>
    <w:rsid w:val="005F44C7"/>
    <w:rsid w:val="005F632F"/>
    <w:rsid w:val="00600946"/>
    <w:rsid w:val="006044AC"/>
    <w:rsid w:val="00604551"/>
    <w:rsid w:val="00605688"/>
    <w:rsid w:val="006070AF"/>
    <w:rsid w:val="00607816"/>
    <w:rsid w:val="00607E6C"/>
    <w:rsid w:val="006101B1"/>
    <w:rsid w:val="00611AD3"/>
    <w:rsid w:val="00612209"/>
    <w:rsid w:val="00614423"/>
    <w:rsid w:val="00614E44"/>
    <w:rsid w:val="006155B0"/>
    <w:rsid w:val="006205F4"/>
    <w:rsid w:val="00622830"/>
    <w:rsid w:val="006256DB"/>
    <w:rsid w:val="00630AEF"/>
    <w:rsid w:val="006325F8"/>
    <w:rsid w:val="00633AE4"/>
    <w:rsid w:val="006348B1"/>
    <w:rsid w:val="00634C9A"/>
    <w:rsid w:val="00635FC7"/>
    <w:rsid w:val="00636040"/>
    <w:rsid w:val="0064301E"/>
    <w:rsid w:val="00643322"/>
    <w:rsid w:val="00643C0A"/>
    <w:rsid w:val="006440E4"/>
    <w:rsid w:val="00645301"/>
    <w:rsid w:val="00645F78"/>
    <w:rsid w:val="0064753B"/>
    <w:rsid w:val="00650D36"/>
    <w:rsid w:val="00650F17"/>
    <w:rsid w:val="006511E7"/>
    <w:rsid w:val="0065182B"/>
    <w:rsid w:val="00660339"/>
    <w:rsid w:val="00660F57"/>
    <w:rsid w:val="00661830"/>
    <w:rsid w:val="0066343B"/>
    <w:rsid w:val="00663BDD"/>
    <w:rsid w:val="00664777"/>
    <w:rsid w:val="00664ED7"/>
    <w:rsid w:val="0066615D"/>
    <w:rsid w:val="00666366"/>
    <w:rsid w:val="0066748A"/>
    <w:rsid w:val="0067155A"/>
    <w:rsid w:val="00671D25"/>
    <w:rsid w:val="00672345"/>
    <w:rsid w:val="00673381"/>
    <w:rsid w:val="006740AB"/>
    <w:rsid w:val="00674446"/>
    <w:rsid w:val="006748A4"/>
    <w:rsid w:val="006757D8"/>
    <w:rsid w:val="00680EF7"/>
    <w:rsid w:val="00683E73"/>
    <w:rsid w:val="0068590F"/>
    <w:rsid w:val="00686CF0"/>
    <w:rsid w:val="00687CAC"/>
    <w:rsid w:val="00691D82"/>
    <w:rsid w:val="006931FE"/>
    <w:rsid w:val="006947FC"/>
    <w:rsid w:val="006950FD"/>
    <w:rsid w:val="00695AD3"/>
    <w:rsid w:val="00696ACE"/>
    <w:rsid w:val="006A01D3"/>
    <w:rsid w:val="006A04FE"/>
    <w:rsid w:val="006A0C2C"/>
    <w:rsid w:val="006A0C51"/>
    <w:rsid w:val="006A1E7E"/>
    <w:rsid w:val="006A2BCD"/>
    <w:rsid w:val="006A3141"/>
    <w:rsid w:val="006A5E34"/>
    <w:rsid w:val="006A75B7"/>
    <w:rsid w:val="006B0ABA"/>
    <w:rsid w:val="006B2422"/>
    <w:rsid w:val="006B2B9A"/>
    <w:rsid w:val="006B471C"/>
    <w:rsid w:val="006B533E"/>
    <w:rsid w:val="006C1937"/>
    <w:rsid w:val="006C397F"/>
    <w:rsid w:val="006C6427"/>
    <w:rsid w:val="006C76DB"/>
    <w:rsid w:val="006D1F0B"/>
    <w:rsid w:val="006D42C6"/>
    <w:rsid w:val="006E0081"/>
    <w:rsid w:val="006E3700"/>
    <w:rsid w:val="006E6C66"/>
    <w:rsid w:val="006F020C"/>
    <w:rsid w:val="006F3DF7"/>
    <w:rsid w:val="006F7CBD"/>
    <w:rsid w:val="0070094B"/>
    <w:rsid w:val="007040F2"/>
    <w:rsid w:val="00705B7C"/>
    <w:rsid w:val="00705E24"/>
    <w:rsid w:val="00707EEC"/>
    <w:rsid w:val="007115FE"/>
    <w:rsid w:val="007127B7"/>
    <w:rsid w:val="00713977"/>
    <w:rsid w:val="00714DBE"/>
    <w:rsid w:val="007220F2"/>
    <w:rsid w:val="007231D9"/>
    <w:rsid w:val="007244D2"/>
    <w:rsid w:val="00725B08"/>
    <w:rsid w:val="007355BA"/>
    <w:rsid w:val="0074019B"/>
    <w:rsid w:val="007403C2"/>
    <w:rsid w:val="007410FA"/>
    <w:rsid w:val="007416B6"/>
    <w:rsid w:val="007426C0"/>
    <w:rsid w:val="00746F48"/>
    <w:rsid w:val="0074730D"/>
    <w:rsid w:val="0075129E"/>
    <w:rsid w:val="00751951"/>
    <w:rsid w:val="00751EE9"/>
    <w:rsid w:val="007522D6"/>
    <w:rsid w:val="007525C3"/>
    <w:rsid w:val="007537B3"/>
    <w:rsid w:val="00753DC2"/>
    <w:rsid w:val="0075404D"/>
    <w:rsid w:val="0075503D"/>
    <w:rsid w:val="0076078E"/>
    <w:rsid w:val="0076182A"/>
    <w:rsid w:val="00763BC1"/>
    <w:rsid w:val="0076499D"/>
    <w:rsid w:val="007656DB"/>
    <w:rsid w:val="007676D8"/>
    <w:rsid w:val="00767A7D"/>
    <w:rsid w:val="00767B7E"/>
    <w:rsid w:val="00767BE6"/>
    <w:rsid w:val="00775A39"/>
    <w:rsid w:val="00776900"/>
    <w:rsid w:val="007770C3"/>
    <w:rsid w:val="00781060"/>
    <w:rsid w:val="0078143E"/>
    <w:rsid w:val="0078201F"/>
    <w:rsid w:val="007820E1"/>
    <w:rsid w:val="00784D24"/>
    <w:rsid w:val="00784D4C"/>
    <w:rsid w:val="00784E42"/>
    <w:rsid w:val="00785FBA"/>
    <w:rsid w:val="00786E4A"/>
    <w:rsid w:val="007875EB"/>
    <w:rsid w:val="00787E51"/>
    <w:rsid w:val="00792C26"/>
    <w:rsid w:val="0079426B"/>
    <w:rsid w:val="00794D8C"/>
    <w:rsid w:val="00794F74"/>
    <w:rsid w:val="0079655C"/>
    <w:rsid w:val="007A0619"/>
    <w:rsid w:val="007A762F"/>
    <w:rsid w:val="007B0CA2"/>
    <w:rsid w:val="007B5C15"/>
    <w:rsid w:val="007B6032"/>
    <w:rsid w:val="007B6B9B"/>
    <w:rsid w:val="007C014E"/>
    <w:rsid w:val="007C0C20"/>
    <w:rsid w:val="007C0E0A"/>
    <w:rsid w:val="007C26C9"/>
    <w:rsid w:val="007C57E7"/>
    <w:rsid w:val="007C6362"/>
    <w:rsid w:val="007C70B5"/>
    <w:rsid w:val="007C72D0"/>
    <w:rsid w:val="007D028D"/>
    <w:rsid w:val="007D0AE2"/>
    <w:rsid w:val="007D0C80"/>
    <w:rsid w:val="007D312A"/>
    <w:rsid w:val="007D3F19"/>
    <w:rsid w:val="007D40BF"/>
    <w:rsid w:val="007D598F"/>
    <w:rsid w:val="007D7F29"/>
    <w:rsid w:val="007E0391"/>
    <w:rsid w:val="007E2118"/>
    <w:rsid w:val="007E23B0"/>
    <w:rsid w:val="007E30F0"/>
    <w:rsid w:val="007E4E9E"/>
    <w:rsid w:val="007E4F63"/>
    <w:rsid w:val="007E5C1C"/>
    <w:rsid w:val="007E6821"/>
    <w:rsid w:val="007E6A33"/>
    <w:rsid w:val="007E6D1B"/>
    <w:rsid w:val="007F0CD6"/>
    <w:rsid w:val="007F0EAA"/>
    <w:rsid w:val="007F1991"/>
    <w:rsid w:val="007F1E4C"/>
    <w:rsid w:val="007F2C2F"/>
    <w:rsid w:val="007F2D6D"/>
    <w:rsid w:val="007F55FC"/>
    <w:rsid w:val="007F5665"/>
    <w:rsid w:val="007F57B1"/>
    <w:rsid w:val="007F5B1E"/>
    <w:rsid w:val="007F703A"/>
    <w:rsid w:val="007F772D"/>
    <w:rsid w:val="007F78DE"/>
    <w:rsid w:val="00800112"/>
    <w:rsid w:val="0080112E"/>
    <w:rsid w:val="008014B3"/>
    <w:rsid w:val="008031B0"/>
    <w:rsid w:val="008068DA"/>
    <w:rsid w:val="00806B6F"/>
    <w:rsid w:val="00807797"/>
    <w:rsid w:val="0081195D"/>
    <w:rsid w:val="00811C29"/>
    <w:rsid w:val="00812255"/>
    <w:rsid w:val="00813AEF"/>
    <w:rsid w:val="00815AF8"/>
    <w:rsid w:val="008169F8"/>
    <w:rsid w:val="00820AF4"/>
    <w:rsid w:val="008212F9"/>
    <w:rsid w:val="008244FA"/>
    <w:rsid w:val="008248EC"/>
    <w:rsid w:val="00824C90"/>
    <w:rsid w:val="00824CEE"/>
    <w:rsid w:val="008253BB"/>
    <w:rsid w:val="008273C2"/>
    <w:rsid w:val="00830A33"/>
    <w:rsid w:val="00830F24"/>
    <w:rsid w:val="0083234B"/>
    <w:rsid w:val="00833D7A"/>
    <w:rsid w:val="008347A0"/>
    <w:rsid w:val="00835B31"/>
    <w:rsid w:val="00836025"/>
    <w:rsid w:val="0083706E"/>
    <w:rsid w:val="00840550"/>
    <w:rsid w:val="008423A5"/>
    <w:rsid w:val="00843431"/>
    <w:rsid w:val="00845501"/>
    <w:rsid w:val="008503A5"/>
    <w:rsid w:val="00850625"/>
    <w:rsid w:val="008511F3"/>
    <w:rsid w:val="00851894"/>
    <w:rsid w:val="0085265B"/>
    <w:rsid w:val="00852C5C"/>
    <w:rsid w:val="00853718"/>
    <w:rsid w:val="00855221"/>
    <w:rsid w:val="00855AF5"/>
    <w:rsid w:val="00855E16"/>
    <w:rsid w:val="00857B79"/>
    <w:rsid w:val="00860645"/>
    <w:rsid w:val="00860C44"/>
    <w:rsid w:val="0086131A"/>
    <w:rsid w:val="00862A9D"/>
    <w:rsid w:val="00863483"/>
    <w:rsid w:val="00863CF0"/>
    <w:rsid w:val="00863D72"/>
    <w:rsid w:val="00865F20"/>
    <w:rsid w:val="00867695"/>
    <w:rsid w:val="00870000"/>
    <w:rsid w:val="00870C33"/>
    <w:rsid w:val="00871F71"/>
    <w:rsid w:val="008722FB"/>
    <w:rsid w:val="00872F95"/>
    <w:rsid w:val="00873D8F"/>
    <w:rsid w:val="0087464B"/>
    <w:rsid w:val="00875814"/>
    <w:rsid w:val="0088122F"/>
    <w:rsid w:val="00885AF4"/>
    <w:rsid w:val="00886435"/>
    <w:rsid w:val="00887A58"/>
    <w:rsid w:val="008918AA"/>
    <w:rsid w:val="008918C9"/>
    <w:rsid w:val="008939CD"/>
    <w:rsid w:val="00893E7C"/>
    <w:rsid w:val="00895862"/>
    <w:rsid w:val="00897199"/>
    <w:rsid w:val="008A04BB"/>
    <w:rsid w:val="008A6293"/>
    <w:rsid w:val="008A6BC0"/>
    <w:rsid w:val="008A7CE3"/>
    <w:rsid w:val="008B045D"/>
    <w:rsid w:val="008B2B26"/>
    <w:rsid w:val="008B5614"/>
    <w:rsid w:val="008B6287"/>
    <w:rsid w:val="008B69A5"/>
    <w:rsid w:val="008B768C"/>
    <w:rsid w:val="008B7992"/>
    <w:rsid w:val="008C1D33"/>
    <w:rsid w:val="008C33D9"/>
    <w:rsid w:val="008C4DB1"/>
    <w:rsid w:val="008C4EAF"/>
    <w:rsid w:val="008C5176"/>
    <w:rsid w:val="008C7FD0"/>
    <w:rsid w:val="008D06D5"/>
    <w:rsid w:val="008D08E5"/>
    <w:rsid w:val="008D2C92"/>
    <w:rsid w:val="008D2DE2"/>
    <w:rsid w:val="008D55A6"/>
    <w:rsid w:val="008E0EF3"/>
    <w:rsid w:val="008E1DC6"/>
    <w:rsid w:val="008E1DE7"/>
    <w:rsid w:val="008E2847"/>
    <w:rsid w:val="008E380B"/>
    <w:rsid w:val="008E707C"/>
    <w:rsid w:val="008E7651"/>
    <w:rsid w:val="008F24AB"/>
    <w:rsid w:val="00900B08"/>
    <w:rsid w:val="00901E1C"/>
    <w:rsid w:val="00902155"/>
    <w:rsid w:val="00902BCF"/>
    <w:rsid w:val="00902FA3"/>
    <w:rsid w:val="009109D0"/>
    <w:rsid w:val="00910FAA"/>
    <w:rsid w:val="00912DEB"/>
    <w:rsid w:val="00913706"/>
    <w:rsid w:val="00913A29"/>
    <w:rsid w:val="00915BE4"/>
    <w:rsid w:val="009205F5"/>
    <w:rsid w:val="009215C3"/>
    <w:rsid w:val="00923564"/>
    <w:rsid w:val="0092392E"/>
    <w:rsid w:val="00923F58"/>
    <w:rsid w:val="00924FB0"/>
    <w:rsid w:val="00930109"/>
    <w:rsid w:val="00930E8F"/>
    <w:rsid w:val="009315F9"/>
    <w:rsid w:val="009337F3"/>
    <w:rsid w:val="009339C3"/>
    <w:rsid w:val="00934AB8"/>
    <w:rsid w:val="00935D57"/>
    <w:rsid w:val="00936283"/>
    <w:rsid w:val="00940B88"/>
    <w:rsid w:val="00940F73"/>
    <w:rsid w:val="0094526A"/>
    <w:rsid w:val="00945399"/>
    <w:rsid w:val="00945492"/>
    <w:rsid w:val="00945EEC"/>
    <w:rsid w:val="009461EE"/>
    <w:rsid w:val="00946945"/>
    <w:rsid w:val="00947929"/>
    <w:rsid w:val="00947BF1"/>
    <w:rsid w:val="009500E2"/>
    <w:rsid w:val="00951248"/>
    <w:rsid w:val="0095152F"/>
    <w:rsid w:val="009534A8"/>
    <w:rsid w:val="009540C0"/>
    <w:rsid w:val="00954C49"/>
    <w:rsid w:val="00955EAD"/>
    <w:rsid w:val="0095708C"/>
    <w:rsid w:val="00957098"/>
    <w:rsid w:val="00960F20"/>
    <w:rsid w:val="009620B2"/>
    <w:rsid w:val="00962131"/>
    <w:rsid w:val="00962556"/>
    <w:rsid w:val="00964305"/>
    <w:rsid w:val="0096477D"/>
    <w:rsid w:val="00964EBA"/>
    <w:rsid w:val="0097099F"/>
    <w:rsid w:val="009710DA"/>
    <w:rsid w:val="00971997"/>
    <w:rsid w:val="00971FFC"/>
    <w:rsid w:val="00972A49"/>
    <w:rsid w:val="00973726"/>
    <w:rsid w:val="00974188"/>
    <w:rsid w:val="0098033F"/>
    <w:rsid w:val="00985645"/>
    <w:rsid w:val="0098595E"/>
    <w:rsid w:val="00985C49"/>
    <w:rsid w:val="0098660A"/>
    <w:rsid w:val="009869AA"/>
    <w:rsid w:val="009931C3"/>
    <w:rsid w:val="00995CE3"/>
    <w:rsid w:val="009B2C43"/>
    <w:rsid w:val="009B4EAE"/>
    <w:rsid w:val="009B6C92"/>
    <w:rsid w:val="009B7573"/>
    <w:rsid w:val="009C0EF0"/>
    <w:rsid w:val="009C1B2D"/>
    <w:rsid w:val="009C22F4"/>
    <w:rsid w:val="009C2AE3"/>
    <w:rsid w:val="009C2E98"/>
    <w:rsid w:val="009C5896"/>
    <w:rsid w:val="009C6399"/>
    <w:rsid w:val="009D3447"/>
    <w:rsid w:val="009D3AA6"/>
    <w:rsid w:val="009D4711"/>
    <w:rsid w:val="009D5EF4"/>
    <w:rsid w:val="009E0018"/>
    <w:rsid w:val="009E2320"/>
    <w:rsid w:val="009E576A"/>
    <w:rsid w:val="009E7FBF"/>
    <w:rsid w:val="009F1185"/>
    <w:rsid w:val="009F178D"/>
    <w:rsid w:val="009F18CD"/>
    <w:rsid w:val="009F2021"/>
    <w:rsid w:val="009F2A13"/>
    <w:rsid w:val="009F4A42"/>
    <w:rsid w:val="009F4D78"/>
    <w:rsid w:val="009F6A87"/>
    <w:rsid w:val="009F6B63"/>
    <w:rsid w:val="009F6F4A"/>
    <w:rsid w:val="00A02DD4"/>
    <w:rsid w:val="00A04EB0"/>
    <w:rsid w:val="00A05E7E"/>
    <w:rsid w:val="00A06741"/>
    <w:rsid w:val="00A06EF8"/>
    <w:rsid w:val="00A07DE7"/>
    <w:rsid w:val="00A1247B"/>
    <w:rsid w:val="00A13443"/>
    <w:rsid w:val="00A13CC1"/>
    <w:rsid w:val="00A15286"/>
    <w:rsid w:val="00A1571F"/>
    <w:rsid w:val="00A1637E"/>
    <w:rsid w:val="00A16684"/>
    <w:rsid w:val="00A16847"/>
    <w:rsid w:val="00A1745F"/>
    <w:rsid w:val="00A2301F"/>
    <w:rsid w:val="00A237D8"/>
    <w:rsid w:val="00A25634"/>
    <w:rsid w:val="00A268C4"/>
    <w:rsid w:val="00A27771"/>
    <w:rsid w:val="00A300FE"/>
    <w:rsid w:val="00A307CD"/>
    <w:rsid w:val="00A3233A"/>
    <w:rsid w:val="00A35068"/>
    <w:rsid w:val="00A3556D"/>
    <w:rsid w:val="00A35870"/>
    <w:rsid w:val="00A35FE0"/>
    <w:rsid w:val="00A40A00"/>
    <w:rsid w:val="00A4142F"/>
    <w:rsid w:val="00A41D4A"/>
    <w:rsid w:val="00A43522"/>
    <w:rsid w:val="00A4622C"/>
    <w:rsid w:val="00A462AA"/>
    <w:rsid w:val="00A46A63"/>
    <w:rsid w:val="00A47A0F"/>
    <w:rsid w:val="00A50F96"/>
    <w:rsid w:val="00A514F8"/>
    <w:rsid w:val="00A52260"/>
    <w:rsid w:val="00A53D20"/>
    <w:rsid w:val="00A54687"/>
    <w:rsid w:val="00A55073"/>
    <w:rsid w:val="00A55447"/>
    <w:rsid w:val="00A55ED8"/>
    <w:rsid w:val="00A56DF2"/>
    <w:rsid w:val="00A56E1B"/>
    <w:rsid w:val="00A57F63"/>
    <w:rsid w:val="00A61738"/>
    <w:rsid w:val="00A62ECF"/>
    <w:rsid w:val="00A63814"/>
    <w:rsid w:val="00A64138"/>
    <w:rsid w:val="00A64421"/>
    <w:rsid w:val="00A659FC"/>
    <w:rsid w:val="00A65DE6"/>
    <w:rsid w:val="00A67AB5"/>
    <w:rsid w:val="00A70317"/>
    <w:rsid w:val="00A72FA8"/>
    <w:rsid w:val="00A76B3A"/>
    <w:rsid w:val="00A77CB7"/>
    <w:rsid w:val="00A804D8"/>
    <w:rsid w:val="00A85003"/>
    <w:rsid w:val="00A85A0C"/>
    <w:rsid w:val="00A91460"/>
    <w:rsid w:val="00A91760"/>
    <w:rsid w:val="00A93902"/>
    <w:rsid w:val="00A93B00"/>
    <w:rsid w:val="00A93C21"/>
    <w:rsid w:val="00A94004"/>
    <w:rsid w:val="00A95D33"/>
    <w:rsid w:val="00A96D42"/>
    <w:rsid w:val="00AA1212"/>
    <w:rsid w:val="00AA14EC"/>
    <w:rsid w:val="00AA2E83"/>
    <w:rsid w:val="00AA6693"/>
    <w:rsid w:val="00AA6D23"/>
    <w:rsid w:val="00AA7B07"/>
    <w:rsid w:val="00AB1A65"/>
    <w:rsid w:val="00AB26EC"/>
    <w:rsid w:val="00AB2A36"/>
    <w:rsid w:val="00AB5E60"/>
    <w:rsid w:val="00AB5E86"/>
    <w:rsid w:val="00AB6DD7"/>
    <w:rsid w:val="00AC20D9"/>
    <w:rsid w:val="00AC3237"/>
    <w:rsid w:val="00AC3A9E"/>
    <w:rsid w:val="00AC3C6A"/>
    <w:rsid w:val="00AC40DA"/>
    <w:rsid w:val="00AD013F"/>
    <w:rsid w:val="00AD1561"/>
    <w:rsid w:val="00AD1E04"/>
    <w:rsid w:val="00AD4E89"/>
    <w:rsid w:val="00AD5090"/>
    <w:rsid w:val="00AD55F4"/>
    <w:rsid w:val="00AD5620"/>
    <w:rsid w:val="00AD654C"/>
    <w:rsid w:val="00AD712A"/>
    <w:rsid w:val="00AD7C1B"/>
    <w:rsid w:val="00AE16BA"/>
    <w:rsid w:val="00AE1B18"/>
    <w:rsid w:val="00AE1EBE"/>
    <w:rsid w:val="00AE3F47"/>
    <w:rsid w:val="00AE5217"/>
    <w:rsid w:val="00AE57E5"/>
    <w:rsid w:val="00AE5ACD"/>
    <w:rsid w:val="00AE7003"/>
    <w:rsid w:val="00AE78D4"/>
    <w:rsid w:val="00AF334F"/>
    <w:rsid w:val="00AF567D"/>
    <w:rsid w:val="00B03C9D"/>
    <w:rsid w:val="00B03D45"/>
    <w:rsid w:val="00B03DEF"/>
    <w:rsid w:val="00B04041"/>
    <w:rsid w:val="00B046DB"/>
    <w:rsid w:val="00B059FA"/>
    <w:rsid w:val="00B060AE"/>
    <w:rsid w:val="00B06EEB"/>
    <w:rsid w:val="00B07376"/>
    <w:rsid w:val="00B10406"/>
    <w:rsid w:val="00B10517"/>
    <w:rsid w:val="00B1323D"/>
    <w:rsid w:val="00B1364D"/>
    <w:rsid w:val="00B13D51"/>
    <w:rsid w:val="00B13F34"/>
    <w:rsid w:val="00B14E76"/>
    <w:rsid w:val="00B15718"/>
    <w:rsid w:val="00B15757"/>
    <w:rsid w:val="00B161B8"/>
    <w:rsid w:val="00B2048C"/>
    <w:rsid w:val="00B22224"/>
    <w:rsid w:val="00B22E19"/>
    <w:rsid w:val="00B268D9"/>
    <w:rsid w:val="00B30B06"/>
    <w:rsid w:val="00B310B9"/>
    <w:rsid w:val="00B3183E"/>
    <w:rsid w:val="00B330FA"/>
    <w:rsid w:val="00B35211"/>
    <w:rsid w:val="00B35F3F"/>
    <w:rsid w:val="00B36CBB"/>
    <w:rsid w:val="00B370EB"/>
    <w:rsid w:val="00B40532"/>
    <w:rsid w:val="00B425E0"/>
    <w:rsid w:val="00B440AA"/>
    <w:rsid w:val="00B44B70"/>
    <w:rsid w:val="00B47B8F"/>
    <w:rsid w:val="00B50563"/>
    <w:rsid w:val="00B507B7"/>
    <w:rsid w:val="00B53703"/>
    <w:rsid w:val="00B53C56"/>
    <w:rsid w:val="00B53E4F"/>
    <w:rsid w:val="00B54341"/>
    <w:rsid w:val="00B545A6"/>
    <w:rsid w:val="00B5556B"/>
    <w:rsid w:val="00B60A7E"/>
    <w:rsid w:val="00B6427E"/>
    <w:rsid w:val="00B67CE3"/>
    <w:rsid w:val="00B706F1"/>
    <w:rsid w:val="00B725E6"/>
    <w:rsid w:val="00B736DE"/>
    <w:rsid w:val="00B74FE7"/>
    <w:rsid w:val="00B753E0"/>
    <w:rsid w:val="00B7569F"/>
    <w:rsid w:val="00B75C09"/>
    <w:rsid w:val="00B76674"/>
    <w:rsid w:val="00B77EA6"/>
    <w:rsid w:val="00B80439"/>
    <w:rsid w:val="00B80BAB"/>
    <w:rsid w:val="00B81598"/>
    <w:rsid w:val="00B82F7D"/>
    <w:rsid w:val="00B839DA"/>
    <w:rsid w:val="00B83EE2"/>
    <w:rsid w:val="00B841F1"/>
    <w:rsid w:val="00B8480B"/>
    <w:rsid w:val="00B91D3E"/>
    <w:rsid w:val="00B92400"/>
    <w:rsid w:val="00B93AA8"/>
    <w:rsid w:val="00B944D6"/>
    <w:rsid w:val="00B96CD2"/>
    <w:rsid w:val="00BA054C"/>
    <w:rsid w:val="00BA0AED"/>
    <w:rsid w:val="00BA22CD"/>
    <w:rsid w:val="00BA3028"/>
    <w:rsid w:val="00BA3356"/>
    <w:rsid w:val="00BA49E7"/>
    <w:rsid w:val="00BA5298"/>
    <w:rsid w:val="00BB1990"/>
    <w:rsid w:val="00BB2D7E"/>
    <w:rsid w:val="00BB4DF0"/>
    <w:rsid w:val="00BC0AE4"/>
    <w:rsid w:val="00BC1202"/>
    <w:rsid w:val="00BC1A97"/>
    <w:rsid w:val="00BC2731"/>
    <w:rsid w:val="00BC289F"/>
    <w:rsid w:val="00BC5361"/>
    <w:rsid w:val="00BC5460"/>
    <w:rsid w:val="00BC6B50"/>
    <w:rsid w:val="00BD0E25"/>
    <w:rsid w:val="00BD2458"/>
    <w:rsid w:val="00BD5121"/>
    <w:rsid w:val="00BD6D67"/>
    <w:rsid w:val="00BD6E57"/>
    <w:rsid w:val="00BE01DE"/>
    <w:rsid w:val="00BE218A"/>
    <w:rsid w:val="00BE39F0"/>
    <w:rsid w:val="00BE5FB5"/>
    <w:rsid w:val="00BE7259"/>
    <w:rsid w:val="00BF060C"/>
    <w:rsid w:val="00BF2962"/>
    <w:rsid w:val="00BF2E85"/>
    <w:rsid w:val="00BF5BD6"/>
    <w:rsid w:val="00BF6316"/>
    <w:rsid w:val="00BF718F"/>
    <w:rsid w:val="00C01DBE"/>
    <w:rsid w:val="00C03E31"/>
    <w:rsid w:val="00C05BAF"/>
    <w:rsid w:val="00C05CAD"/>
    <w:rsid w:val="00C05F29"/>
    <w:rsid w:val="00C06A2B"/>
    <w:rsid w:val="00C11626"/>
    <w:rsid w:val="00C137AD"/>
    <w:rsid w:val="00C13B26"/>
    <w:rsid w:val="00C1480D"/>
    <w:rsid w:val="00C1658B"/>
    <w:rsid w:val="00C23BFD"/>
    <w:rsid w:val="00C24603"/>
    <w:rsid w:val="00C259D0"/>
    <w:rsid w:val="00C30983"/>
    <w:rsid w:val="00C30D73"/>
    <w:rsid w:val="00C313B9"/>
    <w:rsid w:val="00C31B41"/>
    <w:rsid w:val="00C33276"/>
    <w:rsid w:val="00C33E72"/>
    <w:rsid w:val="00C3423D"/>
    <w:rsid w:val="00C342CE"/>
    <w:rsid w:val="00C34C84"/>
    <w:rsid w:val="00C34EED"/>
    <w:rsid w:val="00C354B2"/>
    <w:rsid w:val="00C35554"/>
    <w:rsid w:val="00C36831"/>
    <w:rsid w:val="00C4133E"/>
    <w:rsid w:val="00C41611"/>
    <w:rsid w:val="00C41EB1"/>
    <w:rsid w:val="00C42709"/>
    <w:rsid w:val="00C516E5"/>
    <w:rsid w:val="00C5216D"/>
    <w:rsid w:val="00C533CC"/>
    <w:rsid w:val="00C54531"/>
    <w:rsid w:val="00C5751C"/>
    <w:rsid w:val="00C61BFC"/>
    <w:rsid w:val="00C62B85"/>
    <w:rsid w:val="00C634C6"/>
    <w:rsid w:val="00C63DE6"/>
    <w:rsid w:val="00C65438"/>
    <w:rsid w:val="00C65FA1"/>
    <w:rsid w:val="00C663B4"/>
    <w:rsid w:val="00C66789"/>
    <w:rsid w:val="00C677E0"/>
    <w:rsid w:val="00C71C3C"/>
    <w:rsid w:val="00C73C9E"/>
    <w:rsid w:val="00C77955"/>
    <w:rsid w:val="00C77D11"/>
    <w:rsid w:val="00C80E5E"/>
    <w:rsid w:val="00C87773"/>
    <w:rsid w:val="00C91BEF"/>
    <w:rsid w:val="00C91CBB"/>
    <w:rsid w:val="00C94460"/>
    <w:rsid w:val="00C94755"/>
    <w:rsid w:val="00C9494C"/>
    <w:rsid w:val="00C976D8"/>
    <w:rsid w:val="00C9779E"/>
    <w:rsid w:val="00CA1D7E"/>
    <w:rsid w:val="00CA4889"/>
    <w:rsid w:val="00CA6417"/>
    <w:rsid w:val="00CA7A47"/>
    <w:rsid w:val="00CA7CBE"/>
    <w:rsid w:val="00CB2258"/>
    <w:rsid w:val="00CB37D6"/>
    <w:rsid w:val="00CB5AA7"/>
    <w:rsid w:val="00CC09B6"/>
    <w:rsid w:val="00CC2ECC"/>
    <w:rsid w:val="00CC42AE"/>
    <w:rsid w:val="00CC5828"/>
    <w:rsid w:val="00CC666F"/>
    <w:rsid w:val="00CD0159"/>
    <w:rsid w:val="00CD1E3F"/>
    <w:rsid w:val="00CD2CD4"/>
    <w:rsid w:val="00CD2F8E"/>
    <w:rsid w:val="00CD33CA"/>
    <w:rsid w:val="00CD41F7"/>
    <w:rsid w:val="00CD7039"/>
    <w:rsid w:val="00CE07D1"/>
    <w:rsid w:val="00CE10F5"/>
    <w:rsid w:val="00CE245D"/>
    <w:rsid w:val="00CE298B"/>
    <w:rsid w:val="00CE41E9"/>
    <w:rsid w:val="00CE4476"/>
    <w:rsid w:val="00CE44F6"/>
    <w:rsid w:val="00CE49DA"/>
    <w:rsid w:val="00CE6166"/>
    <w:rsid w:val="00CE7B61"/>
    <w:rsid w:val="00CF0C95"/>
    <w:rsid w:val="00CF303D"/>
    <w:rsid w:val="00CF32A8"/>
    <w:rsid w:val="00CF47D0"/>
    <w:rsid w:val="00CF537A"/>
    <w:rsid w:val="00CF5A38"/>
    <w:rsid w:val="00D00095"/>
    <w:rsid w:val="00D007A3"/>
    <w:rsid w:val="00D00CD9"/>
    <w:rsid w:val="00D01872"/>
    <w:rsid w:val="00D01D1C"/>
    <w:rsid w:val="00D03F76"/>
    <w:rsid w:val="00D07457"/>
    <w:rsid w:val="00D120DF"/>
    <w:rsid w:val="00D12260"/>
    <w:rsid w:val="00D14981"/>
    <w:rsid w:val="00D17582"/>
    <w:rsid w:val="00D20620"/>
    <w:rsid w:val="00D21AB8"/>
    <w:rsid w:val="00D21B96"/>
    <w:rsid w:val="00D21FCA"/>
    <w:rsid w:val="00D23CC1"/>
    <w:rsid w:val="00D253CD"/>
    <w:rsid w:val="00D26091"/>
    <w:rsid w:val="00D26765"/>
    <w:rsid w:val="00D30031"/>
    <w:rsid w:val="00D34E7C"/>
    <w:rsid w:val="00D35489"/>
    <w:rsid w:val="00D41FB4"/>
    <w:rsid w:val="00D42D3C"/>
    <w:rsid w:val="00D43BB3"/>
    <w:rsid w:val="00D4531F"/>
    <w:rsid w:val="00D5056E"/>
    <w:rsid w:val="00D51276"/>
    <w:rsid w:val="00D577F9"/>
    <w:rsid w:val="00D6086D"/>
    <w:rsid w:val="00D60B63"/>
    <w:rsid w:val="00D6672E"/>
    <w:rsid w:val="00D66F3E"/>
    <w:rsid w:val="00D67949"/>
    <w:rsid w:val="00D70080"/>
    <w:rsid w:val="00D7035F"/>
    <w:rsid w:val="00D70D9E"/>
    <w:rsid w:val="00D7255A"/>
    <w:rsid w:val="00D729A5"/>
    <w:rsid w:val="00D7311E"/>
    <w:rsid w:val="00D74434"/>
    <w:rsid w:val="00D74948"/>
    <w:rsid w:val="00D75E52"/>
    <w:rsid w:val="00D8058B"/>
    <w:rsid w:val="00D811F1"/>
    <w:rsid w:val="00D81CF0"/>
    <w:rsid w:val="00D86259"/>
    <w:rsid w:val="00D9128F"/>
    <w:rsid w:val="00D95A81"/>
    <w:rsid w:val="00DA2414"/>
    <w:rsid w:val="00DA2E7B"/>
    <w:rsid w:val="00DA376F"/>
    <w:rsid w:val="00DA4CF4"/>
    <w:rsid w:val="00DA517E"/>
    <w:rsid w:val="00DA64CE"/>
    <w:rsid w:val="00DA65AC"/>
    <w:rsid w:val="00DA73F4"/>
    <w:rsid w:val="00DB1913"/>
    <w:rsid w:val="00DB23A2"/>
    <w:rsid w:val="00DB31AE"/>
    <w:rsid w:val="00DB469B"/>
    <w:rsid w:val="00DB6217"/>
    <w:rsid w:val="00DB7682"/>
    <w:rsid w:val="00DB774B"/>
    <w:rsid w:val="00DB7B27"/>
    <w:rsid w:val="00DB7ED3"/>
    <w:rsid w:val="00DC1D19"/>
    <w:rsid w:val="00DC29F0"/>
    <w:rsid w:val="00DC410D"/>
    <w:rsid w:val="00DC482F"/>
    <w:rsid w:val="00DC4E3B"/>
    <w:rsid w:val="00DC53AB"/>
    <w:rsid w:val="00DC68CA"/>
    <w:rsid w:val="00DC7CBA"/>
    <w:rsid w:val="00DD0F4D"/>
    <w:rsid w:val="00DD109B"/>
    <w:rsid w:val="00DD2D64"/>
    <w:rsid w:val="00DD73B7"/>
    <w:rsid w:val="00DE28E8"/>
    <w:rsid w:val="00DE57ED"/>
    <w:rsid w:val="00DE6D3D"/>
    <w:rsid w:val="00DF0369"/>
    <w:rsid w:val="00DF256A"/>
    <w:rsid w:val="00DF28BC"/>
    <w:rsid w:val="00DF2BBE"/>
    <w:rsid w:val="00DF34B9"/>
    <w:rsid w:val="00DF36DA"/>
    <w:rsid w:val="00DF4EE4"/>
    <w:rsid w:val="00DF69F2"/>
    <w:rsid w:val="00E00C0C"/>
    <w:rsid w:val="00E01053"/>
    <w:rsid w:val="00E032C4"/>
    <w:rsid w:val="00E03AB5"/>
    <w:rsid w:val="00E04FF6"/>
    <w:rsid w:val="00E07ACF"/>
    <w:rsid w:val="00E07C49"/>
    <w:rsid w:val="00E1142E"/>
    <w:rsid w:val="00E11EA9"/>
    <w:rsid w:val="00E13C23"/>
    <w:rsid w:val="00E17451"/>
    <w:rsid w:val="00E176E0"/>
    <w:rsid w:val="00E20F23"/>
    <w:rsid w:val="00E21189"/>
    <w:rsid w:val="00E22344"/>
    <w:rsid w:val="00E22D73"/>
    <w:rsid w:val="00E24A28"/>
    <w:rsid w:val="00E2598A"/>
    <w:rsid w:val="00E26D43"/>
    <w:rsid w:val="00E2719A"/>
    <w:rsid w:val="00E331A1"/>
    <w:rsid w:val="00E33202"/>
    <w:rsid w:val="00E336A9"/>
    <w:rsid w:val="00E339F9"/>
    <w:rsid w:val="00E34D61"/>
    <w:rsid w:val="00E352AD"/>
    <w:rsid w:val="00E35DF9"/>
    <w:rsid w:val="00E36162"/>
    <w:rsid w:val="00E4020E"/>
    <w:rsid w:val="00E41572"/>
    <w:rsid w:val="00E42E24"/>
    <w:rsid w:val="00E4326C"/>
    <w:rsid w:val="00E43716"/>
    <w:rsid w:val="00E43E83"/>
    <w:rsid w:val="00E4418C"/>
    <w:rsid w:val="00E442E7"/>
    <w:rsid w:val="00E47FEC"/>
    <w:rsid w:val="00E50624"/>
    <w:rsid w:val="00E50EC1"/>
    <w:rsid w:val="00E559C8"/>
    <w:rsid w:val="00E559F4"/>
    <w:rsid w:val="00E568DF"/>
    <w:rsid w:val="00E6091E"/>
    <w:rsid w:val="00E63E1C"/>
    <w:rsid w:val="00E64269"/>
    <w:rsid w:val="00E648BF"/>
    <w:rsid w:val="00E67B9B"/>
    <w:rsid w:val="00E70395"/>
    <w:rsid w:val="00E71182"/>
    <w:rsid w:val="00E7180C"/>
    <w:rsid w:val="00E71EE8"/>
    <w:rsid w:val="00E759C7"/>
    <w:rsid w:val="00E778AF"/>
    <w:rsid w:val="00E82267"/>
    <w:rsid w:val="00E82D19"/>
    <w:rsid w:val="00E8382C"/>
    <w:rsid w:val="00E84714"/>
    <w:rsid w:val="00E879E6"/>
    <w:rsid w:val="00E9375F"/>
    <w:rsid w:val="00E938AA"/>
    <w:rsid w:val="00E95984"/>
    <w:rsid w:val="00E96D03"/>
    <w:rsid w:val="00EA010F"/>
    <w:rsid w:val="00EA039B"/>
    <w:rsid w:val="00EA2455"/>
    <w:rsid w:val="00EA262D"/>
    <w:rsid w:val="00EA4AA3"/>
    <w:rsid w:val="00EA4BCA"/>
    <w:rsid w:val="00EA545A"/>
    <w:rsid w:val="00EB2461"/>
    <w:rsid w:val="00EC1C2C"/>
    <w:rsid w:val="00EC25B6"/>
    <w:rsid w:val="00EC38BD"/>
    <w:rsid w:val="00EC3F04"/>
    <w:rsid w:val="00ED1B63"/>
    <w:rsid w:val="00ED29E6"/>
    <w:rsid w:val="00ED29EA"/>
    <w:rsid w:val="00ED360C"/>
    <w:rsid w:val="00ED3C1F"/>
    <w:rsid w:val="00ED4085"/>
    <w:rsid w:val="00ED420E"/>
    <w:rsid w:val="00ED6AD8"/>
    <w:rsid w:val="00ED71DF"/>
    <w:rsid w:val="00EE0963"/>
    <w:rsid w:val="00EE1FC9"/>
    <w:rsid w:val="00EE24E3"/>
    <w:rsid w:val="00EE2F57"/>
    <w:rsid w:val="00EE6332"/>
    <w:rsid w:val="00EF132A"/>
    <w:rsid w:val="00EF4C34"/>
    <w:rsid w:val="00EF5291"/>
    <w:rsid w:val="00EF64E8"/>
    <w:rsid w:val="00EF659B"/>
    <w:rsid w:val="00EF77C6"/>
    <w:rsid w:val="00EF7BDE"/>
    <w:rsid w:val="00EF7CA7"/>
    <w:rsid w:val="00F022B4"/>
    <w:rsid w:val="00F0292C"/>
    <w:rsid w:val="00F05438"/>
    <w:rsid w:val="00F0746A"/>
    <w:rsid w:val="00F110A1"/>
    <w:rsid w:val="00F118C3"/>
    <w:rsid w:val="00F1361C"/>
    <w:rsid w:val="00F14902"/>
    <w:rsid w:val="00F160C7"/>
    <w:rsid w:val="00F16FDE"/>
    <w:rsid w:val="00F20320"/>
    <w:rsid w:val="00F20532"/>
    <w:rsid w:val="00F21001"/>
    <w:rsid w:val="00F228F9"/>
    <w:rsid w:val="00F248A8"/>
    <w:rsid w:val="00F24E3F"/>
    <w:rsid w:val="00F26D60"/>
    <w:rsid w:val="00F30138"/>
    <w:rsid w:val="00F301B6"/>
    <w:rsid w:val="00F31EA1"/>
    <w:rsid w:val="00F3294D"/>
    <w:rsid w:val="00F354A9"/>
    <w:rsid w:val="00F36D8F"/>
    <w:rsid w:val="00F3744E"/>
    <w:rsid w:val="00F40698"/>
    <w:rsid w:val="00F406E9"/>
    <w:rsid w:val="00F417B1"/>
    <w:rsid w:val="00F460AB"/>
    <w:rsid w:val="00F50AC5"/>
    <w:rsid w:val="00F53E68"/>
    <w:rsid w:val="00F5454E"/>
    <w:rsid w:val="00F559FA"/>
    <w:rsid w:val="00F57903"/>
    <w:rsid w:val="00F602DF"/>
    <w:rsid w:val="00F6390A"/>
    <w:rsid w:val="00F6529E"/>
    <w:rsid w:val="00F6641D"/>
    <w:rsid w:val="00F75CC0"/>
    <w:rsid w:val="00F75CCC"/>
    <w:rsid w:val="00F75F9D"/>
    <w:rsid w:val="00F81FD9"/>
    <w:rsid w:val="00F82490"/>
    <w:rsid w:val="00F8281D"/>
    <w:rsid w:val="00F835D4"/>
    <w:rsid w:val="00F841AA"/>
    <w:rsid w:val="00F845B5"/>
    <w:rsid w:val="00F86932"/>
    <w:rsid w:val="00F87E73"/>
    <w:rsid w:val="00F905A4"/>
    <w:rsid w:val="00F92C70"/>
    <w:rsid w:val="00F93633"/>
    <w:rsid w:val="00F93DF5"/>
    <w:rsid w:val="00FA0947"/>
    <w:rsid w:val="00FA23E8"/>
    <w:rsid w:val="00FA2F5B"/>
    <w:rsid w:val="00FA4421"/>
    <w:rsid w:val="00FA4B00"/>
    <w:rsid w:val="00FA525F"/>
    <w:rsid w:val="00FA77AD"/>
    <w:rsid w:val="00FB0BBA"/>
    <w:rsid w:val="00FB1FF4"/>
    <w:rsid w:val="00FB55E6"/>
    <w:rsid w:val="00FC124C"/>
    <w:rsid w:val="00FC1E02"/>
    <w:rsid w:val="00FC3048"/>
    <w:rsid w:val="00FC4660"/>
    <w:rsid w:val="00FC46BC"/>
    <w:rsid w:val="00FC7DEF"/>
    <w:rsid w:val="00FD020D"/>
    <w:rsid w:val="00FD3016"/>
    <w:rsid w:val="00FD3828"/>
    <w:rsid w:val="00FD3CC1"/>
    <w:rsid w:val="00FD5BFE"/>
    <w:rsid w:val="00FE17BC"/>
    <w:rsid w:val="00FE2AD1"/>
    <w:rsid w:val="00FE4DB0"/>
    <w:rsid w:val="00FE5493"/>
    <w:rsid w:val="00FE625C"/>
    <w:rsid w:val="00FF1E02"/>
    <w:rsid w:val="00FF30B4"/>
    <w:rsid w:val="00FF66E8"/>
    <w:rsid w:val="01CF32DE"/>
    <w:rsid w:val="01D74DB7"/>
    <w:rsid w:val="01D86637"/>
    <w:rsid w:val="01F04616"/>
    <w:rsid w:val="03F359AA"/>
    <w:rsid w:val="0463543B"/>
    <w:rsid w:val="04A56E6E"/>
    <w:rsid w:val="04B45025"/>
    <w:rsid w:val="051A6F96"/>
    <w:rsid w:val="06214398"/>
    <w:rsid w:val="06951176"/>
    <w:rsid w:val="07001BE1"/>
    <w:rsid w:val="07267DE7"/>
    <w:rsid w:val="089C4B49"/>
    <w:rsid w:val="08B72AE0"/>
    <w:rsid w:val="09081517"/>
    <w:rsid w:val="091B747D"/>
    <w:rsid w:val="0A19737C"/>
    <w:rsid w:val="0A624FA3"/>
    <w:rsid w:val="0ACF434F"/>
    <w:rsid w:val="0B211C14"/>
    <w:rsid w:val="0B7218AA"/>
    <w:rsid w:val="0B99373B"/>
    <w:rsid w:val="0BA37CB5"/>
    <w:rsid w:val="0D0429D6"/>
    <w:rsid w:val="0D093B48"/>
    <w:rsid w:val="0D322E51"/>
    <w:rsid w:val="0D3656C9"/>
    <w:rsid w:val="0D6C338E"/>
    <w:rsid w:val="0DB37F58"/>
    <w:rsid w:val="0E547045"/>
    <w:rsid w:val="0F5E6610"/>
    <w:rsid w:val="107F341E"/>
    <w:rsid w:val="10C055FF"/>
    <w:rsid w:val="11D56DF6"/>
    <w:rsid w:val="11ED6591"/>
    <w:rsid w:val="12EA3F95"/>
    <w:rsid w:val="13367661"/>
    <w:rsid w:val="13565DC5"/>
    <w:rsid w:val="16BB723D"/>
    <w:rsid w:val="17BC7656"/>
    <w:rsid w:val="17EA348C"/>
    <w:rsid w:val="1840212F"/>
    <w:rsid w:val="191C26AB"/>
    <w:rsid w:val="19943114"/>
    <w:rsid w:val="1AB026BC"/>
    <w:rsid w:val="1ABB32B6"/>
    <w:rsid w:val="1B003C01"/>
    <w:rsid w:val="1BA3785E"/>
    <w:rsid w:val="1BF70747"/>
    <w:rsid w:val="1C06153F"/>
    <w:rsid w:val="1C50591A"/>
    <w:rsid w:val="1C986C96"/>
    <w:rsid w:val="1D7371C3"/>
    <w:rsid w:val="1DDC2BB3"/>
    <w:rsid w:val="1E34479D"/>
    <w:rsid w:val="1E7C7BBC"/>
    <w:rsid w:val="1EF81F78"/>
    <w:rsid w:val="1F620905"/>
    <w:rsid w:val="201A6AB0"/>
    <w:rsid w:val="203B66A0"/>
    <w:rsid w:val="211A679A"/>
    <w:rsid w:val="22884230"/>
    <w:rsid w:val="23902475"/>
    <w:rsid w:val="240371BF"/>
    <w:rsid w:val="2435534E"/>
    <w:rsid w:val="24534F10"/>
    <w:rsid w:val="24DF6C66"/>
    <w:rsid w:val="25021151"/>
    <w:rsid w:val="253D03DB"/>
    <w:rsid w:val="256F01CA"/>
    <w:rsid w:val="25A20B86"/>
    <w:rsid w:val="25B1070F"/>
    <w:rsid w:val="25DD571A"/>
    <w:rsid w:val="265C1D1F"/>
    <w:rsid w:val="26BB36DB"/>
    <w:rsid w:val="271C5A93"/>
    <w:rsid w:val="276F1834"/>
    <w:rsid w:val="27B459F9"/>
    <w:rsid w:val="27C51E91"/>
    <w:rsid w:val="28513369"/>
    <w:rsid w:val="28BF6D42"/>
    <w:rsid w:val="29FD04D3"/>
    <w:rsid w:val="2AB5122E"/>
    <w:rsid w:val="2BE55328"/>
    <w:rsid w:val="2CAE1BBE"/>
    <w:rsid w:val="2CCF04B2"/>
    <w:rsid w:val="2D5D3868"/>
    <w:rsid w:val="2D6A3EE0"/>
    <w:rsid w:val="2E4C04E0"/>
    <w:rsid w:val="2F803D16"/>
    <w:rsid w:val="31810DA9"/>
    <w:rsid w:val="31903F88"/>
    <w:rsid w:val="319F7F4E"/>
    <w:rsid w:val="329448A6"/>
    <w:rsid w:val="32F45598"/>
    <w:rsid w:val="35244754"/>
    <w:rsid w:val="364D41F6"/>
    <w:rsid w:val="36CE6CBD"/>
    <w:rsid w:val="36FD0156"/>
    <w:rsid w:val="38F8371D"/>
    <w:rsid w:val="39226F5F"/>
    <w:rsid w:val="39902098"/>
    <w:rsid w:val="39D92627"/>
    <w:rsid w:val="3A3A0F35"/>
    <w:rsid w:val="3A4E1148"/>
    <w:rsid w:val="3C0C6411"/>
    <w:rsid w:val="3C8D2F9D"/>
    <w:rsid w:val="3CAA7C34"/>
    <w:rsid w:val="3CE0510E"/>
    <w:rsid w:val="3D1E4B3E"/>
    <w:rsid w:val="3DF02037"/>
    <w:rsid w:val="3E03620E"/>
    <w:rsid w:val="3E343C22"/>
    <w:rsid w:val="3F512FA9"/>
    <w:rsid w:val="3F71181F"/>
    <w:rsid w:val="3FAC4683"/>
    <w:rsid w:val="3FD76C72"/>
    <w:rsid w:val="3FEA5DFB"/>
    <w:rsid w:val="401C35B7"/>
    <w:rsid w:val="4119235A"/>
    <w:rsid w:val="41677310"/>
    <w:rsid w:val="422C2C46"/>
    <w:rsid w:val="4251506E"/>
    <w:rsid w:val="425F778B"/>
    <w:rsid w:val="43684120"/>
    <w:rsid w:val="436A63E7"/>
    <w:rsid w:val="444F07DA"/>
    <w:rsid w:val="44601E28"/>
    <w:rsid w:val="475E72DC"/>
    <w:rsid w:val="47F514AF"/>
    <w:rsid w:val="4839282C"/>
    <w:rsid w:val="48FD75BD"/>
    <w:rsid w:val="4A745623"/>
    <w:rsid w:val="4C9E7102"/>
    <w:rsid w:val="4CCC3C6F"/>
    <w:rsid w:val="4D135D42"/>
    <w:rsid w:val="4D846266"/>
    <w:rsid w:val="4D8D78A2"/>
    <w:rsid w:val="4DF123A8"/>
    <w:rsid w:val="4E832A53"/>
    <w:rsid w:val="4F164351"/>
    <w:rsid w:val="4F457D08"/>
    <w:rsid w:val="4F6F7A34"/>
    <w:rsid w:val="4FD74194"/>
    <w:rsid w:val="4FDA49F5"/>
    <w:rsid w:val="50AE413E"/>
    <w:rsid w:val="51B305F0"/>
    <w:rsid w:val="51E1640E"/>
    <w:rsid w:val="51EE42CA"/>
    <w:rsid w:val="52302EF2"/>
    <w:rsid w:val="52ED6284"/>
    <w:rsid w:val="5322283B"/>
    <w:rsid w:val="532B0C13"/>
    <w:rsid w:val="53BE2B80"/>
    <w:rsid w:val="541505F1"/>
    <w:rsid w:val="54620591"/>
    <w:rsid w:val="54992FD0"/>
    <w:rsid w:val="549C4FCF"/>
    <w:rsid w:val="55872E29"/>
    <w:rsid w:val="56D0674C"/>
    <w:rsid w:val="5875340D"/>
    <w:rsid w:val="589D26CC"/>
    <w:rsid w:val="58BA52C3"/>
    <w:rsid w:val="59E11CD3"/>
    <w:rsid w:val="5BE202EA"/>
    <w:rsid w:val="5CFA7F1D"/>
    <w:rsid w:val="5E2506F8"/>
    <w:rsid w:val="5E643E9E"/>
    <w:rsid w:val="5EA316D6"/>
    <w:rsid w:val="5EB2029F"/>
    <w:rsid w:val="5EE604C1"/>
    <w:rsid w:val="5F3A07D2"/>
    <w:rsid w:val="5F593A88"/>
    <w:rsid w:val="60651EAC"/>
    <w:rsid w:val="60BB3927"/>
    <w:rsid w:val="612A5106"/>
    <w:rsid w:val="61C40F61"/>
    <w:rsid w:val="62A42EE2"/>
    <w:rsid w:val="630D013F"/>
    <w:rsid w:val="63347FC4"/>
    <w:rsid w:val="63604CB9"/>
    <w:rsid w:val="64264155"/>
    <w:rsid w:val="64A36D0B"/>
    <w:rsid w:val="64C656C1"/>
    <w:rsid w:val="65DF63C9"/>
    <w:rsid w:val="662A7F2C"/>
    <w:rsid w:val="68DA2DB6"/>
    <w:rsid w:val="69725134"/>
    <w:rsid w:val="69D75BCF"/>
    <w:rsid w:val="6B4666B6"/>
    <w:rsid w:val="6B7632CC"/>
    <w:rsid w:val="6BD43ABC"/>
    <w:rsid w:val="6CA708D5"/>
    <w:rsid w:val="6CC85DA9"/>
    <w:rsid w:val="6D013069"/>
    <w:rsid w:val="6D8F2D6B"/>
    <w:rsid w:val="6DC31436"/>
    <w:rsid w:val="6DC94438"/>
    <w:rsid w:val="6ECB49CF"/>
    <w:rsid w:val="6ECB5A2B"/>
    <w:rsid w:val="6FE95270"/>
    <w:rsid w:val="70202A42"/>
    <w:rsid w:val="70F01D72"/>
    <w:rsid w:val="719B3A0D"/>
    <w:rsid w:val="72227D09"/>
    <w:rsid w:val="726D3138"/>
    <w:rsid w:val="72E476B5"/>
    <w:rsid w:val="735B2F62"/>
    <w:rsid w:val="73BE3A62"/>
    <w:rsid w:val="746C7E4B"/>
    <w:rsid w:val="750E6C6B"/>
    <w:rsid w:val="755E374E"/>
    <w:rsid w:val="76377F56"/>
    <w:rsid w:val="764B35A7"/>
    <w:rsid w:val="77C33320"/>
    <w:rsid w:val="780A5FB7"/>
    <w:rsid w:val="78A4106B"/>
    <w:rsid w:val="79975481"/>
    <w:rsid w:val="79F24465"/>
    <w:rsid w:val="7A1B4027"/>
    <w:rsid w:val="7A965738"/>
    <w:rsid w:val="7AAE2A1B"/>
    <w:rsid w:val="7AB651E7"/>
    <w:rsid w:val="7ABC1C9C"/>
    <w:rsid w:val="7B022DCE"/>
    <w:rsid w:val="7B272834"/>
    <w:rsid w:val="7B6C6656"/>
    <w:rsid w:val="7B8F71DF"/>
    <w:rsid w:val="7CB2612E"/>
    <w:rsid w:val="7CC25607"/>
    <w:rsid w:val="7CEF2EDE"/>
    <w:rsid w:val="7D1E0EF5"/>
    <w:rsid w:val="7DB87774"/>
    <w:rsid w:val="7DD8666A"/>
    <w:rsid w:val="7DE859ED"/>
    <w:rsid w:val="7DF86705"/>
    <w:rsid w:val="7E4C610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name="footnote text"/>
    <w:lsdException w:qFormat="1" w:uiPriority="99" w:semiHidden="0"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0"/>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5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9">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2"/>
    <w:qFormat/>
    <w:uiPriority w:val="0"/>
    <w:pPr>
      <w:spacing w:after="120"/>
      <w:ind w:leftChars="200"/>
    </w:pPr>
    <w:rPr>
      <w:rFonts w:ascii="仿宋_GB2312"/>
      <w:szCs w:val="32"/>
    </w:rPr>
  </w:style>
  <w:style w:type="paragraph" w:styleId="7">
    <w:name w:val="Normal Indent"/>
    <w:basedOn w:val="1"/>
    <w:unhideWhenUsed/>
    <w:qFormat/>
    <w:uiPriority w:val="99"/>
    <w:pPr>
      <w:ind w:firstLine="680"/>
    </w:pPr>
  </w:style>
  <w:style w:type="paragraph" w:styleId="8">
    <w:name w:val="annotation text"/>
    <w:basedOn w:val="1"/>
    <w:unhideWhenUsed/>
    <w:qFormat/>
    <w:uiPriority w:val="99"/>
    <w:pPr>
      <w:jc w:val="left"/>
    </w:pPr>
  </w:style>
  <w:style w:type="paragraph" w:styleId="9">
    <w:name w:val="Body Text"/>
    <w:basedOn w:val="1"/>
    <w:link w:val="29"/>
    <w:qFormat/>
    <w:uiPriority w:val="99"/>
    <w:pPr>
      <w:spacing w:beforeLines="30"/>
    </w:pPr>
    <w:rPr>
      <w:rFonts w:ascii="仿宋_GB2312" w:eastAsia="仿宋_GB2312"/>
      <w:kern w:val="0"/>
      <w:sz w:val="30"/>
    </w:r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4"/>
    <w:unhideWhenUsed/>
    <w:qFormat/>
    <w:uiPriority w:val="99"/>
    <w:rPr>
      <w:sz w:val="18"/>
      <w:szCs w:val="18"/>
    </w:rPr>
  </w:style>
  <w:style w:type="paragraph" w:styleId="12">
    <w:name w:val="footer"/>
    <w:basedOn w:val="1"/>
    <w:link w:val="27"/>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2"/>
    <w:semiHidden/>
    <w:qFormat/>
    <w:uiPriority w:val="0"/>
    <w:pPr>
      <w:snapToGrid w:val="0"/>
      <w:jc w:val="left"/>
    </w:pPr>
    <w:rPr>
      <w:sz w:val="18"/>
      <w:szCs w:val="18"/>
    </w:rPr>
  </w:style>
  <w:style w:type="paragraph" w:styleId="16">
    <w:name w:val="table of figures"/>
    <w:basedOn w:val="1"/>
    <w:next w:val="1"/>
    <w:qFormat/>
    <w:uiPriority w:val="0"/>
    <w:pPr>
      <w:ind w:left="200" w:leftChars="200" w:hanging="200" w:hangingChars="200"/>
    </w:pPr>
  </w:style>
  <w:style w:type="paragraph" w:styleId="17">
    <w:name w:val="toc 2"/>
    <w:basedOn w:val="1"/>
    <w:next w:val="1"/>
    <w:unhideWhenUsed/>
    <w:qFormat/>
    <w:uiPriority w:val="39"/>
    <w:pPr>
      <w:tabs>
        <w:tab w:val="right" w:leader="dot" w:pos="8296"/>
      </w:tabs>
      <w:ind w:left="420" w:leftChars="200"/>
    </w:p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rPr>
  </w:style>
  <w:style w:type="character" w:styleId="22">
    <w:name w:val="annotation reference"/>
    <w:basedOn w:val="19"/>
    <w:unhideWhenUsed/>
    <w:qFormat/>
    <w:uiPriority w:val="99"/>
    <w:rPr>
      <w:sz w:val="21"/>
      <w:szCs w:val="21"/>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4">
    <w:name w:val="Header Char"/>
    <w:basedOn w:val="19"/>
    <w:semiHidden/>
    <w:qFormat/>
    <w:uiPriority w:val="99"/>
    <w:rPr>
      <w:rFonts w:ascii="Times New Roman" w:hAnsi="Times New Roman"/>
      <w:sz w:val="18"/>
      <w:szCs w:val="18"/>
    </w:rPr>
  </w:style>
  <w:style w:type="character" w:customStyle="1" w:styleId="25">
    <w:name w:val="页眉 字符"/>
    <w:link w:val="13"/>
    <w:semiHidden/>
    <w:qFormat/>
    <w:locked/>
    <w:uiPriority w:val="99"/>
    <w:rPr>
      <w:sz w:val="18"/>
    </w:rPr>
  </w:style>
  <w:style w:type="character" w:customStyle="1" w:styleId="26">
    <w:name w:val="Footer Char"/>
    <w:basedOn w:val="19"/>
    <w:semiHidden/>
    <w:qFormat/>
    <w:uiPriority w:val="99"/>
    <w:rPr>
      <w:rFonts w:ascii="Times New Roman" w:hAnsi="Times New Roman"/>
      <w:sz w:val="18"/>
      <w:szCs w:val="18"/>
    </w:rPr>
  </w:style>
  <w:style w:type="character" w:customStyle="1" w:styleId="27">
    <w:name w:val="页脚 字符"/>
    <w:link w:val="12"/>
    <w:qFormat/>
    <w:locked/>
    <w:uiPriority w:val="99"/>
    <w:rPr>
      <w:sz w:val="18"/>
    </w:rPr>
  </w:style>
  <w:style w:type="character" w:customStyle="1" w:styleId="28">
    <w:name w:val="Body Text Char"/>
    <w:basedOn w:val="19"/>
    <w:semiHidden/>
    <w:qFormat/>
    <w:uiPriority w:val="99"/>
    <w:rPr>
      <w:rFonts w:ascii="Times New Roman" w:hAnsi="Times New Roman"/>
      <w:szCs w:val="24"/>
    </w:rPr>
  </w:style>
  <w:style w:type="character" w:customStyle="1" w:styleId="29">
    <w:name w:val="正文文本 字符"/>
    <w:link w:val="9"/>
    <w:qFormat/>
    <w:locked/>
    <w:uiPriority w:val="99"/>
    <w:rPr>
      <w:rFonts w:ascii="仿宋_GB2312" w:hAnsi="Times New Roman" w:eastAsia="仿宋_GB2312"/>
      <w:sz w:val="24"/>
    </w:rPr>
  </w:style>
  <w:style w:type="paragraph" w:customStyle="1" w:styleId="30">
    <w:name w:val="List Paragraph"/>
    <w:basedOn w:val="1"/>
    <w:qFormat/>
    <w:uiPriority w:val="34"/>
    <w:pPr>
      <w:ind w:firstLine="420" w:firstLineChars="200"/>
    </w:pPr>
  </w:style>
  <w:style w:type="character" w:customStyle="1" w:styleId="31">
    <w:name w:val="标题 1 字符"/>
    <w:basedOn w:val="19"/>
    <w:link w:val="4"/>
    <w:qFormat/>
    <w:uiPriority w:val="9"/>
    <w:rPr>
      <w:rFonts w:ascii="Times New Roman" w:hAnsi="Times New Roman"/>
      <w:b/>
      <w:bCs/>
      <w:kern w:val="44"/>
      <w:sz w:val="44"/>
      <w:szCs w:val="44"/>
    </w:rPr>
  </w:style>
  <w:style w:type="character" w:customStyle="1" w:styleId="32">
    <w:name w:val="标题 2 字符"/>
    <w:basedOn w:val="19"/>
    <w:link w:val="5"/>
    <w:qFormat/>
    <w:uiPriority w:val="9"/>
    <w:rPr>
      <w:rFonts w:asciiTheme="majorHAnsi" w:hAnsiTheme="majorHAnsi" w:eastAsiaTheme="majorEastAsia" w:cstheme="majorBidi"/>
      <w:b/>
      <w:bCs/>
      <w:kern w:val="2"/>
      <w:sz w:val="32"/>
      <w:szCs w:val="32"/>
    </w:rPr>
  </w:style>
  <w:style w:type="paragraph" w:customStyle="1" w:styleId="33">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4">
    <w:name w:val="批注框文本 字符"/>
    <w:basedOn w:val="19"/>
    <w:link w:val="11"/>
    <w:semiHidden/>
    <w:qFormat/>
    <w:uiPriority w:val="99"/>
    <w:rPr>
      <w:rFonts w:ascii="Times New Roman" w:hAnsi="Times New Roman"/>
      <w:kern w:val="2"/>
      <w:sz w:val="18"/>
      <w:szCs w:val="18"/>
    </w:rPr>
  </w:style>
  <w:style w:type="character" w:customStyle="1" w:styleId="35">
    <w:name w:val="标题 3 字符"/>
    <w:basedOn w:val="19"/>
    <w:link w:val="6"/>
    <w:qFormat/>
    <w:uiPriority w:val="9"/>
    <w:rPr>
      <w:rFonts w:ascii="Times New Roman" w:hAnsi="Times New Roman"/>
      <w:b/>
      <w:bCs/>
      <w:kern w:val="2"/>
      <w:sz w:val="32"/>
      <w:szCs w:val="32"/>
    </w:rPr>
  </w:style>
  <w:style w:type="paragraph" w:customStyle="1" w:styleId="36">
    <w:name w:val="Normald73128dd"/>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37">
    <w:name w:val="heading 1522e04e7"/>
    <w:basedOn w:val="36"/>
    <w:next w:val="4"/>
    <w:qFormat/>
    <w:uiPriority w:val="0"/>
    <w:pPr>
      <w:keepNext/>
      <w:keepLines/>
      <w:spacing w:before="340" w:after="330" w:line="578" w:lineRule="auto"/>
      <w:outlineLvl w:val="0"/>
    </w:pPr>
    <w:rPr>
      <w:b/>
      <w:bCs/>
      <w:kern w:val="44"/>
      <w:sz w:val="44"/>
    </w:rPr>
  </w:style>
  <w:style w:type="paragraph" w:customStyle="1" w:styleId="38">
    <w:name w:val="heading 238bf3d58"/>
    <w:basedOn w:val="36"/>
    <w:next w:val="4"/>
    <w:qFormat/>
    <w:uiPriority w:val="0"/>
    <w:pPr>
      <w:keepNext/>
      <w:keepLines/>
      <w:spacing w:before="260" w:after="260" w:line="415" w:lineRule="auto"/>
      <w:outlineLvl w:val="1"/>
    </w:pPr>
    <w:rPr>
      <w:rFonts w:ascii="Arial" w:hAnsi="Arial" w:eastAsia="黑体"/>
      <w:b/>
      <w:sz w:val="32"/>
    </w:rPr>
  </w:style>
  <w:style w:type="paragraph" w:customStyle="1" w:styleId="39">
    <w:name w:val="heading 34"/>
    <w:basedOn w:val="36"/>
    <w:next w:val="4"/>
    <w:qFormat/>
    <w:uiPriority w:val="0"/>
    <w:pPr>
      <w:keepNext/>
      <w:keepLines/>
      <w:spacing w:before="260" w:after="260" w:line="415" w:lineRule="auto"/>
      <w:outlineLvl w:val="2"/>
    </w:pPr>
    <w:rPr>
      <w:b/>
      <w:sz w:val="32"/>
    </w:rPr>
  </w:style>
  <w:style w:type="character" w:customStyle="1" w:styleId="40">
    <w:name w:val="Default Paragraph Fontd79680fa"/>
    <w:qFormat/>
    <w:uiPriority w:val="0"/>
  </w:style>
  <w:style w:type="table" w:customStyle="1" w:styleId="41">
    <w:name w:val="Normal Table9"/>
    <w:semiHidden/>
    <w:qFormat/>
    <w:uiPriority w:val="0"/>
    <w:tblPr>
      <w:tblCellMar>
        <w:top w:w="0" w:type="dxa"/>
        <w:left w:w="108" w:type="dxa"/>
        <w:bottom w:w="0" w:type="dxa"/>
        <w:right w:w="108" w:type="dxa"/>
      </w:tblCellMar>
    </w:tblPr>
  </w:style>
  <w:style w:type="paragraph" w:customStyle="1" w:styleId="42">
    <w:name w:val="Document Map5"/>
    <w:basedOn w:val="36"/>
    <w:qFormat/>
    <w:uiPriority w:val="0"/>
    <w:rPr>
      <w:rFonts w:ascii="宋体" w:eastAsia="宋体"/>
      <w:sz w:val="18"/>
      <w:szCs w:val="18"/>
    </w:rPr>
  </w:style>
  <w:style w:type="paragraph" w:customStyle="1" w:styleId="43">
    <w:name w:val="Balloon Text6"/>
    <w:basedOn w:val="36"/>
    <w:qFormat/>
    <w:uiPriority w:val="0"/>
    <w:rPr>
      <w:sz w:val="18"/>
      <w:szCs w:val="18"/>
    </w:rPr>
  </w:style>
  <w:style w:type="paragraph" w:customStyle="1" w:styleId="44">
    <w:name w:val="footer7"/>
    <w:basedOn w:val="36"/>
    <w:qFormat/>
    <w:uiPriority w:val="0"/>
    <w:pPr>
      <w:tabs>
        <w:tab w:val="center" w:pos="4153"/>
        <w:tab w:val="right" w:pos="8306"/>
      </w:tabs>
      <w:snapToGrid w:val="0"/>
      <w:jc w:val="left"/>
    </w:pPr>
    <w:rPr>
      <w:rFonts w:eastAsia="宋体"/>
      <w:sz w:val="18"/>
      <w:szCs w:val="18"/>
    </w:rPr>
  </w:style>
  <w:style w:type="paragraph" w:customStyle="1" w:styleId="45">
    <w:name w:val="header8"/>
    <w:basedOn w:val="36"/>
    <w:qFormat/>
    <w:uiPriority w:val="0"/>
    <w:pPr>
      <w:pBdr>
        <w:bottom w:val="single" w:color="auto" w:sz="6" w:space="1"/>
      </w:pBdr>
      <w:tabs>
        <w:tab w:val="center" w:pos="4153"/>
        <w:tab w:val="right" w:pos="8306"/>
      </w:tabs>
      <w:snapToGrid w:val="0"/>
      <w:jc w:val="center"/>
    </w:pPr>
    <w:rPr>
      <w:rFonts w:eastAsia="宋体"/>
      <w:sz w:val="18"/>
      <w:szCs w:val="18"/>
    </w:rPr>
  </w:style>
  <w:style w:type="character" w:customStyle="1" w:styleId="46">
    <w:name w:val="page number11"/>
    <w:basedOn w:val="40"/>
    <w:qFormat/>
    <w:uiPriority w:val="0"/>
  </w:style>
  <w:style w:type="paragraph" w:customStyle="1" w:styleId="47">
    <w:name w:val="四号正文12"/>
    <w:basedOn w:val="36"/>
    <w:qFormat/>
    <w:uiPriority w:val="0"/>
    <w:pPr>
      <w:spacing w:line="360" w:lineRule="auto"/>
    </w:pPr>
    <w:rPr>
      <w:rFonts w:ascii="??" w:hAnsi="??" w:eastAsia="宋体" w:cs="宋体"/>
      <w:color w:val="000000"/>
      <w:kern w:val="0"/>
      <w:sz w:val="28"/>
      <w:szCs w:val="21"/>
    </w:rPr>
  </w:style>
  <w:style w:type="paragraph" w:customStyle="1" w:styleId="48">
    <w:name w:val="a13"/>
    <w:basedOn w:val="36"/>
    <w:qFormat/>
    <w:uiPriority w:val="0"/>
    <w:pPr>
      <w:widowControl/>
      <w:spacing w:before="100" w:beforeAutospacing="1" w:after="100" w:afterAutospacing="1"/>
      <w:jc w:val="left"/>
    </w:pPr>
    <w:rPr>
      <w:rFonts w:ascii="宋体" w:eastAsia="宋体" w:cs="宋体"/>
      <w:kern w:val="0"/>
      <w:sz w:val="24"/>
    </w:rPr>
  </w:style>
  <w:style w:type="paragraph" w:customStyle="1" w:styleId="49">
    <w:name w:val="Normal (Web)14"/>
    <w:basedOn w:val="36"/>
    <w:qFormat/>
    <w:uiPriority w:val="0"/>
    <w:pPr>
      <w:spacing w:before="100" w:beforeAutospacing="1" w:after="100" w:afterAutospacing="1"/>
    </w:pPr>
  </w:style>
  <w:style w:type="character" w:customStyle="1" w:styleId="50">
    <w:name w:val="标题 1 Char"/>
    <w:basedOn w:val="19"/>
    <w:link w:val="4"/>
    <w:qFormat/>
    <w:uiPriority w:val="9"/>
    <w:rPr>
      <w:b/>
      <w:bCs/>
      <w:kern w:val="44"/>
      <w:sz w:val="44"/>
      <w:szCs w:val="44"/>
    </w:rPr>
  </w:style>
  <w:style w:type="character" w:customStyle="1" w:styleId="51">
    <w:name w:val="标题 2 Char"/>
    <w:basedOn w:val="19"/>
    <w:link w:val="5"/>
    <w:qFormat/>
    <w:uiPriority w:val="9"/>
    <w:rPr>
      <w:rFonts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收、支决算总计变动情况图</a:t>
            </a:r>
            <a:endParaRPr lang="en-US" sz="1100"/>
          </a:p>
        </c:rich>
      </c:tx>
      <c:layout/>
      <c:overlay val="0"/>
    </c:title>
    <c:autoTitleDeleted val="0"/>
    <c:plotArea>
      <c:layout>
        <c:manualLayout>
          <c:layoutTarget val="inner"/>
          <c:xMode val="edge"/>
          <c:yMode val="edge"/>
          <c:x val="0.0559816218099468"/>
          <c:y val="0.247865112907836"/>
          <c:w val="0.800713012477719"/>
          <c:h val="0.654027777777778"/>
        </c:manualLayout>
      </c:layout>
      <c:barChart>
        <c:barDir val="col"/>
        <c:grouping val="clustered"/>
        <c:varyColors val="0"/>
        <c:ser>
          <c:idx val="1"/>
          <c:order val="0"/>
          <c:tx>
            <c:strRef>
              <c:f>"收入"</c:f>
              <c:strCache>
                <c:ptCount val="1"/>
                <c:pt idx="0">
                  <c:v>收入</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{"2024","2023"}</c:f>
              <c:numCache>
                <c:formatCode>General</c:formatCode>
                <c:ptCount val="2"/>
                <c:pt idx="0">
                  <c:v>2024</c:v>
                </c:pt>
                <c:pt idx="1">
                  <c:v>2023</c:v>
                </c:pt>
              </c:numCache>
            </c:numRef>
          </c:cat>
          <c:val>
            <c:numRef>
              <c:f>{60.58,62.37}</c:f>
              <c:numCache>
                <c:formatCode>General</c:formatCode>
                <c:ptCount val="2"/>
                <c:pt idx="0">
                  <c:v>60.58</c:v>
                </c:pt>
                <c:pt idx="1">
                  <c:v>62.37</c:v>
                </c:pt>
              </c:numCache>
            </c:numRef>
          </c:val>
        </c:ser>
        <c:ser>
          <c:idx val="2"/>
          <c:order val="1"/>
          <c:tx>
            <c:strRef>
              <c:f>"支出"</c:f>
              <c:strCache>
                <c:ptCount val="1"/>
                <c:pt idx="0">
                  <c:v>支出</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{"2024","2023"}</c:f>
              <c:numCache>
                <c:formatCode>General</c:formatCode>
                <c:ptCount val="2"/>
                <c:pt idx="0">
                  <c:v>2024</c:v>
                </c:pt>
                <c:pt idx="1">
                  <c:v>2023</c:v>
                </c:pt>
              </c:numCache>
            </c:numRef>
          </c:cat>
          <c:val>
            <c:numRef>
              <c:f>{60.58,62.37}</c:f>
              <c:numCache>
                <c:formatCode>General</c:formatCode>
                <c:ptCount val="2"/>
                <c:pt idx="0">
                  <c:v>60.58</c:v>
                </c:pt>
                <c:pt idx="1">
                  <c:v>62.37</c:v>
                </c:pt>
              </c:numCache>
            </c:numRef>
          </c:val>
        </c:ser>
        <c:dLbls>
          <c:showLegendKey val="0"/>
          <c:showVal val="1"/>
          <c:showCatName val="0"/>
          <c:showSerName val="0"/>
          <c:showPercent val="0"/>
          <c:showBubbleSize val="0"/>
        </c:dLbls>
        <c:gapWidth val="41"/>
        <c:axId val="261387392"/>
        <c:axId val="261388928"/>
      </c:barChart>
      <c:catAx>
        <c:axId val="261387392"/>
        <c:scaling>
          <c:orientation val="minMax"/>
        </c:scaling>
        <c:delete val="0"/>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dk1">
                    <a:lumMod val="65000"/>
                    <a:lumOff val="35000"/>
                  </a:schemeClr>
                </a:solidFill>
                <a:effectLst/>
                <a:latin typeface="+mn-lt"/>
                <a:ea typeface="+mn-ea"/>
                <a:cs typeface="+mn-cs"/>
              </a:defRPr>
            </a:pPr>
          </a:p>
        </c:txPr>
        <c:crossAx val="261388928"/>
        <c:crosses val="autoZero"/>
        <c:auto val="1"/>
        <c:lblAlgn val="ctr"/>
        <c:lblOffset val="100"/>
        <c:noMultiLvlLbl val="0"/>
      </c:catAx>
      <c:valAx>
        <c:axId val="261388928"/>
        <c:scaling>
          <c:orientation val="minMax"/>
        </c:scaling>
        <c:delete val="1"/>
        <c:axPos val="l"/>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1387392"/>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9bd0c48-3a15-49e4-bb1f-b29cf12375d5}"/>
      </c:ext>
    </c:extLst>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收入决算结构图</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{"一般公共预算财政拨款收入","政府性基金预算财政拨款收入","国有资本经营预算财政拨款收入","上级补助收入","事业收入","经营收入","附属单位上缴收入","其他收入"}</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{60.58,0,0,0,0,0,0,0}</c:f>
              <c:numCache>
                <c:formatCode>General</c:formatCode>
                <c:ptCount val="8"/>
                <c:pt idx="0">
                  <c:v>60.58</c:v>
                </c:pt>
                <c:pt idx="1">
                  <c:v>0</c:v>
                </c:pt>
                <c:pt idx="2">
                  <c:v>0</c:v>
                </c:pt>
                <c:pt idx="3">
                  <c:v>0</c:v>
                </c:pt>
                <c:pt idx="4">
                  <c:v>0</c:v>
                </c:pt>
                <c:pt idx="5">
                  <c:v>0</c:v>
                </c:pt>
                <c:pt idx="6">
                  <c:v>0</c:v>
                </c:pt>
                <c:pt idx="7">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extLst>
      <c:ext uri="{0b15fc19-7d7d-44ad-8c2d-2c3a37ce22c3}">
        <chartProps xmlns="https://web.wps.cn/et/2018/main" chartId="{0f32e3da-c07d-43eb-9e85-9755fc5fe2d8}"/>
      </c:ext>
    </c:extLst>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支出决算结构图</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Pt>
            <c:idx val="3"/>
            <c:bubble3D val="0"/>
          </c:dPt>
          <c:dPt>
            <c:idx val="4"/>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{"基本支出","项目支出","上缴上级支出","经营支出","对附属单位补助支出"}</c:f>
              <c:strCache>
                <c:ptCount val="5"/>
                <c:pt idx="0">
                  <c:v>基本支出</c:v>
                </c:pt>
                <c:pt idx="1">
                  <c:v>项目支出</c:v>
                </c:pt>
                <c:pt idx="2">
                  <c:v>上缴上级支出</c:v>
                </c:pt>
                <c:pt idx="3">
                  <c:v>经营支出</c:v>
                </c:pt>
                <c:pt idx="4">
                  <c:v>对附属单位补助支出</c:v>
                </c:pt>
              </c:strCache>
            </c:strRef>
          </c:cat>
          <c:val>
            <c:numRef>
              <c:f>{60.58,0,0,0,0}</c:f>
              <c:numCache>
                <c:formatCode>General</c:formatCode>
                <c:ptCount val="5"/>
                <c:pt idx="0">
                  <c:v>60.58</c:v>
                </c:pt>
                <c:pt idx="1">
                  <c:v>0</c:v>
                </c:pt>
                <c:pt idx="2">
                  <c:v>0</c:v>
                </c:pt>
                <c:pt idx="3">
                  <c:v>0</c:v>
                </c:pt>
                <c:pt idx="4">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extLst>
      <c:ext uri="{0b15fc19-7d7d-44ad-8c2d-2c3a37ce22c3}">
        <chartProps xmlns="https://web.wps.cn/et/2018/main" chartId="{bc0f737a-e641-4f57-af5a-ca47ff055b09}"/>
      </c:ext>
    </c:extLst>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2"/>
                </a:solidFill>
                <a:latin typeface="+mn-lt"/>
                <a:ea typeface="+mn-ea"/>
                <a:cs typeface="+mn-cs"/>
              </a:defRPr>
            </a:pPr>
            <a:r>
              <a:rPr lang="en-US" altLang="zh-CN"/>
              <a:t>财政拨款收、支决算总计变动情况</a:t>
            </a:r>
            <a:endParaRPr lang="en-US" altLang="zh-CN"/>
          </a:p>
        </c:rich>
      </c:tx>
      <c:layout/>
      <c:overlay val="0"/>
      <c:spPr>
        <a:noFill/>
        <a:ln>
          <a:noFill/>
        </a:ln>
        <a:effectLst/>
      </c:spPr>
    </c:title>
    <c:autoTitleDeleted val="0"/>
    <c:plotArea>
      <c:layout/>
      <c:barChart>
        <c:barDir val="col"/>
        <c:grouping val="clustered"/>
        <c:varyColors val="0"/>
        <c:ser>
          <c:idx val="1"/>
          <c:order val="0"/>
          <c:tx>
            <c:strRef>
              <c:f>"收入"</c:f>
              <c:strCache>
                <c:ptCount val="1"/>
                <c:pt idx="0">
                  <c:v>收入</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{"2024","2023"}</c:f>
              <c:numCache>
                <c:formatCode>General</c:formatCode>
                <c:ptCount val="2"/>
                <c:pt idx="0">
                  <c:v>2024</c:v>
                </c:pt>
                <c:pt idx="1">
                  <c:v>2023</c:v>
                </c:pt>
              </c:numCache>
            </c:numRef>
          </c:cat>
          <c:val>
            <c:numRef>
              <c:f>{60.58,62.37}</c:f>
              <c:numCache>
                <c:formatCode>General</c:formatCode>
                <c:ptCount val="2"/>
                <c:pt idx="0">
                  <c:v>60.58</c:v>
                </c:pt>
                <c:pt idx="1">
                  <c:v>62.37</c:v>
                </c:pt>
              </c:numCache>
            </c:numRef>
          </c:val>
        </c:ser>
        <c:ser>
          <c:idx val="2"/>
          <c:order val="1"/>
          <c:tx>
            <c:strRef>
              <c:f>"支出"</c:f>
              <c:strCache>
                <c:ptCount val="1"/>
                <c:pt idx="0">
                  <c:v>支出</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{"2024","2023"}</c:f>
              <c:numCache>
                <c:formatCode>General</c:formatCode>
                <c:ptCount val="2"/>
                <c:pt idx="0">
                  <c:v>2024</c:v>
                </c:pt>
                <c:pt idx="1">
                  <c:v>2023</c:v>
                </c:pt>
              </c:numCache>
            </c:numRef>
          </c:cat>
          <c:val>
            <c:numRef>
              <c:f>{60.58,62.37}</c:f>
              <c:numCache>
                <c:formatCode>General</c:formatCode>
                <c:ptCount val="2"/>
                <c:pt idx="0">
                  <c:v>60.58</c:v>
                </c:pt>
                <c:pt idx="1">
                  <c:v>62.37</c:v>
                </c:pt>
              </c:numCache>
            </c:numRef>
          </c:val>
        </c:ser>
        <c:dLbls>
          <c:showLegendKey val="0"/>
          <c:showVal val="1"/>
          <c:showCatName val="0"/>
          <c:showSerName val="0"/>
          <c:showPercent val="0"/>
          <c:showBubbleSize val="0"/>
        </c:dLbls>
        <c:gapWidth val="100"/>
        <c:overlap val="-24"/>
        <c:axId val="263359104"/>
        <c:axId val="263373184"/>
      </c:barChart>
      <c:catAx>
        <c:axId val="263359104"/>
        <c:scaling>
          <c:orientation val="minMax"/>
        </c:scaling>
        <c:delete val="0"/>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extTo"/>
        <c:spPr>
          <a:noFill/>
          <a:ln w="9525" cap="flat" cmpd="sng" algn="ctr">
            <a:solidFill>
              <a:schemeClr val="tx2">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263373184"/>
        <c:crosses val="autoZero"/>
        <c:auto val="1"/>
        <c:lblAlgn val="ctr"/>
        <c:lblOffset val="100"/>
        <c:noMultiLvlLbl val="0"/>
      </c:catAx>
      <c:valAx>
        <c:axId val="263373184"/>
        <c:scaling>
          <c:orientation val="minMax"/>
        </c:scaling>
        <c:delete val="0"/>
        <c:axPos val="l"/>
        <c:majorGridlines>
          <c:spPr>
            <a:ln w="9525" cap="flat" cmpd="sng" algn="ctr">
              <a:solidFill>
                <a:schemeClr val="tx2">
                  <a:lumMod val="15000"/>
                  <a:lumOff val="85000"/>
                </a:schemeClr>
              </a:solidFill>
              <a:prstDash val="solid"/>
              <a:round/>
            </a:ln>
            <a:effectLst/>
          </c:spPr>
        </c:majorGridlines>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263359104"/>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extLst>
      <c:ext uri="{0b15fc19-7d7d-44ad-8c2d-2c3a37ce22c3}">
        <chartProps xmlns="https://web.wps.cn/et/2018/main" chartId="{945f5057-3778-4a65-883d-9e3667cbc903}"/>
      </c:ext>
    </c:extLst>
  </c:chart>
  <c:spPr>
    <a:solidFill>
      <a:schemeClr val="bg1"/>
    </a:solidFill>
    <a:ln w="9525" cap="flat" cmpd="sng" algn="ctr">
      <a:solidFill>
        <a:schemeClr val="tx2">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1">
                    <a:lumMod val="65000"/>
                    <a:lumOff val="35000"/>
                  </a:schemeClr>
                </a:solidFill>
                <a:latin typeface="+mn-lt"/>
                <a:ea typeface="+mn-ea"/>
                <a:cs typeface="+mn-cs"/>
              </a:defRPr>
            </a:pPr>
            <a:r>
              <a:rPr lang="zh-CN" altLang="en-US" sz="1200"/>
              <a:t>一般公共预算财政拨款支出</a:t>
            </a:r>
            <a:endParaRPr lang="zh-CN" altLang="en-US" sz="1200"/>
          </a:p>
        </c:rich>
      </c:tx>
      <c:layout/>
      <c:overlay val="0"/>
      <c:spPr>
        <a:noFill/>
        <a:ln>
          <a:noFill/>
        </a:ln>
        <a:effectLst/>
      </c:spPr>
    </c:title>
    <c:autoTitleDeleted val="0"/>
    <c:plotArea>
      <c:layout>
        <c:manualLayout>
          <c:layoutTarget val="inner"/>
          <c:xMode val="edge"/>
          <c:yMode val="edge"/>
          <c:x val="0.0736333103993069"/>
          <c:y val="0.199582873033408"/>
          <c:w val="0.767623678108199"/>
          <c:h val="0.708506514060342"/>
        </c:manualLayout>
      </c:layout>
      <c:barChart>
        <c:barDir val="col"/>
        <c:grouping val="clustered"/>
        <c:varyColors val="0"/>
        <c:ser>
          <c:idx val="1"/>
          <c:order val="0"/>
          <c:tx>
            <c:strRef>
              <c:f>"2024"</c:f>
              <c:strCache>
                <c:ptCount val="1"/>
                <c:pt idx="0">
                  <c:v>2024</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c:f>
              <c:strCache>
                <c:ptCount val="1"/>
                <c:pt idx="0">
                  <c:v>一般公共预算财政拨款支出</c:v>
                </c:pt>
              </c:strCache>
            </c:strRef>
          </c:cat>
          <c:val>
            <c:numRef>
              <c:f>{60.58}</c:f>
              <c:numCache>
                <c:formatCode>General</c:formatCode>
                <c:ptCount val="1"/>
                <c:pt idx="0">
                  <c:v>60.58</c:v>
                </c:pt>
              </c:numCache>
            </c:numRef>
          </c:val>
        </c:ser>
        <c:ser>
          <c:idx val="2"/>
          <c:order val="1"/>
          <c:tx>
            <c:strRef>
              <c:f>"2023"</c:f>
              <c:strCache>
                <c:ptCount val="1"/>
                <c:pt idx="0">
                  <c:v>2023</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c:f>
              <c:strCache>
                <c:ptCount val="1"/>
                <c:pt idx="0">
                  <c:v>一般公共预算财政拨款支出</c:v>
                </c:pt>
              </c:strCache>
            </c:strRef>
          </c:cat>
          <c:val>
            <c:numRef>
              <c:f>{62.37}</c:f>
              <c:numCache>
                <c:formatCode>General</c:formatCode>
                <c:ptCount val="1"/>
                <c:pt idx="0">
                  <c:v>62.37</c:v>
                </c:pt>
              </c:numCache>
            </c:numRef>
          </c:val>
        </c:ser>
        <c:dLbls>
          <c:showLegendKey val="0"/>
          <c:showVal val="1"/>
          <c:showCatName val="0"/>
          <c:showSerName val="0"/>
          <c:showPercent val="0"/>
          <c:showBubbleSize val="0"/>
        </c:dLbls>
        <c:gapWidth val="100"/>
        <c:overlap val="-24"/>
        <c:axId val="263440640"/>
        <c:axId val="263135232"/>
      </c:barChart>
      <c:catAx>
        <c:axId val="263440640"/>
        <c:scaling>
          <c:orientation val="minMax"/>
        </c:scaling>
        <c:delete val="1"/>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3135232"/>
        <c:crosses val="autoZero"/>
        <c:auto val="1"/>
        <c:lblAlgn val="ctr"/>
        <c:lblOffset val="100"/>
        <c:noMultiLvlLbl val="0"/>
      </c:catAx>
      <c:valAx>
        <c:axId val="263135232"/>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344064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24923b3-ab5e-49cc-8675-0f16bac213dc}"/>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一般公共预算财政拨款支出</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Pt>
            <c:idx val="3"/>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{"一般公共服务支出","社会保障和就业支出","卫生健康支出","住房保障支出"}</c:f>
              <c:strCache>
                <c:ptCount val="4"/>
                <c:pt idx="0">
                  <c:v>一般公共服务支出</c:v>
                </c:pt>
                <c:pt idx="1">
                  <c:v>社会保障和就业支出</c:v>
                </c:pt>
                <c:pt idx="2">
                  <c:v>卫生健康支出</c:v>
                </c:pt>
                <c:pt idx="3">
                  <c:v>住房保障支出</c:v>
                </c:pt>
              </c:strCache>
            </c:strRef>
          </c:cat>
          <c:val>
            <c:numRef>
              <c:f>{43.67,8.61,3.49,4.81}</c:f>
              <c:numCache>
                <c:formatCode>General</c:formatCode>
                <c:ptCount val="4"/>
                <c:pt idx="0">
                  <c:v>43.67</c:v>
                </c:pt>
                <c:pt idx="1">
                  <c:v>8.61</c:v>
                </c:pt>
                <c:pt idx="2">
                  <c:v>3.49</c:v>
                </c:pt>
                <c:pt idx="3">
                  <c:v>4.81</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21d65115-28f0-4c66-a43c-ea909eb50f0e}"/>
      </c:ext>
    </c:extLst>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FC5A5-8DE4-4565-B639-6D345C1D7E6D}">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18</Pages>
  <Words>4534</Words>
  <Characters>5250</Characters>
  <Lines>51</Lines>
  <Paragraphs>14</Paragraphs>
  <TotalTime>0</TotalTime>
  <ScaleCrop>false</ScaleCrop>
  <LinksUpToDate>false</LinksUpToDate>
  <CharactersWithSpaces>5280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2022-08-17T01:31:00Z</dcterms:created>
  <dc:creator>lgk</dc:creator>
  <cp:lastModifiedBy>奕夕^_^</cp:lastModifiedBy>
  <cp:lastPrinted>2021-09-26T08:39:00Z</cp:lastPrinted>
  <dcterms:modified xsi:type="dcterms:W3CDTF">2025-10-16T07:23:32Z</dcterms:modified>
  <dc:title>四川省决算编制说明</dc:title>
  <cp:revision>303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B93CA6F4BEAD4F359769D1203595D585</vt:lpwstr>
  </property>
  <property fmtid="{D5CDD505-2E9C-101B-9397-08002B2CF9AE}" pid="4" name="KSOTemplateDocerSaveRecord">
    <vt:lpwstr>eyJoZGlkIjoiNTU1MWNhN2ZmY2ZhZmY3ODhlYTg0MWU5OGMyY2QwZmUiLCJ1c2VySWQiOiI0MzQ2NTM0NzEifQ==</vt:lpwstr>
  </property>
</Properties>
</file>