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A0C36">
      <w:pPr>
        <w:pStyle w:val="5"/>
        <w:rPr>
          <w:rFonts w:hint="default"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77425"/>
      <w:bookmarkStart w:id="2" w:name="_Toc15396597"/>
      <w:bookmarkStart w:id="3" w:name="_Toc15306267"/>
      <w:bookmarkStart w:id="4" w:name="_Toc15396475"/>
      <w:bookmarkStart w:id="5" w:name="_Toc15378441"/>
    </w:p>
    <w:p w14:paraId="2BD1D914">
      <w:pPr>
        <w:pStyle w:val="5"/>
        <w:rPr>
          <w:rFonts w:hint="default" w:ascii="Times New Roman" w:hAnsi="Times New Roman" w:eastAsia="方正小标宋简体" w:cs="Times New Roman"/>
          <w:color w:val="auto"/>
          <w:kern w:val="2"/>
          <w:sz w:val="72"/>
          <w:szCs w:val="72"/>
          <w:highlight w:val="none"/>
          <w:lang w:val="en-US" w:eastAsia="zh-CN" w:bidi="ar-SA"/>
        </w:rPr>
      </w:pPr>
    </w:p>
    <w:p w14:paraId="23ED94FD">
      <w:pPr>
        <w:pStyle w:val="5"/>
        <w:rPr>
          <w:rFonts w:hint="default" w:ascii="Times New Roman" w:hAnsi="Times New Roman" w:eastAsia="方正小标宋简体" w:cs="Times New Roman"/>
          <w:color w:val="auto"/>
          <w:kern w:val="2"/>
          <w:sz w:val="72"/>
          <w:szCs w:val="72"/>
          <w:highlight w:val="none"/>
          <w:lang w:val="en-US" w:eastAsia="zh-CN" w:bidi="ar-SA"/>
        </w:rPr>
      </w:pPr>
    </w:p>
    <w:p w14:paraId="78A6859E">
      <w:pPr>
        <w:pStyle w:val="5"/>
        <w:jc w:val="center"/>
        <w:rPr>
          <w:rFonts w:hint="default" w:ascii="Times New Roman" w:hAnsi="Times New Roman" w:eastAsia="方正小标宋简体" w:cs="Times New Roman"/>
          <w:color w:val="auto"/>
          <w:kern w:val="2"/>
          <w:sz w:val="44"/>
          <w:szCs w:val="44"/>
          <w:highlight w:val="none"/>
          <w:lang w:val="en-US" w:eastAsia="zh-CN" w:bidi="ar-SA"/>
        </w:rPr>
      </w:pPr>
      <w:r>
        <w:rPr>
          <w:rFonts w:hint="default" w:ascii="Times New Roman" w:hAnsi="Times New Roman" w:eastAsia="方正小标宋简体" w:cs="Times New Roman"/>
          <w:color w:val="auto"/>
          <w:kern w:val="2"/>
          <w:sz w:val="44"/>
          <w:szCs w:val="44"/>
          <w:highlight w:val="none"/>
          <w:lang w:val="en-US" w:eastAsia="zh-CN" w:bidi="ar-SA"/>
        </w:rPr>
        <w:t>2024年度</w:t>
      </w:r>
    </w:p>
    <w:p w14:paraId="016F3450">
      <w:pPr>
        <w:pStyle w:val="5"/>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sz w:val="44"/>
          <w:szCs w:val="44"/>
          <w:lang w:val="en-US" w:eastAsia="zh-CN"/>
        </w:rPr>
        <w:t>四川省</w:t>
      </w:r>
      <w:r>
        <w:rPr>
          <w:rFonts w:hint="default" w:ascii="Times New Roman" w:hAnsi="Times New Roman" w:eastAsia="方正小标宋简体" w:cs="Times New Roman"/>
          <w:sz w:val="44"/>
          <w:szCs w:val="44"/>
          <w:lang w:val="en-US" w:eastAsia="zh-CN"/>
        </w:rPr>
        <w:t>阿坝州松潘县审计局</w:t>
      </w:r>
      <w:r>
        <w:rPr>
          <w:rFonts w:hint="default" w:ascii="Times New Roman" w:hAnsi="Times New Roman" w:eastAsia="方正小标宋简体" w:cs="Times New Roman"/>
          <w:color w:val="auto"/>
          <w:kern w:val="2"/>
          <w:sz w:val="44"/>
          <w:szCs w:val="44"/>
          <w:highlight w:val="none"/>
          <w:lang w:val="en-US" w:eastAsia="zh-CN" w:bidi="ar-SA"/>
        </w:rPr>
        <w:t>决算公开</w:t>
      </w:r>
    </w:p>
    <w:p w14:paraId="1B5DE340">
      <w:pPr>
        <w:spacing w:line="600" w:lineRule="exact"/>
        <w:jc w:val="center"/>
        <w:outlineLvl w:val="0"/>
        <w:rPr>
          <w:rFonts w:hint="default" w:ascii="Times New Roman" w:hAnsi="Times New Roman" w:eastAsia="方正小标宋简体" w:cs="Times New Roman"/>
          <w:color w:val="auto"/>
          <w:sz w:val="72"/>
          <w:szCs w:val="72"/>
          <w:highlight w:val="none"/>
        </w:rPr>
      </w:pPr>
    </w:p>
    <w:p w14:paraId="6B5CAF83">
      <w:pPr>
        <w:pStyle w:val="19"/>
        <w:rPr>
          <w:rFonts w:hint="default" w:ascii="Times New Roman" w:hAnsi="Times New Roman" w:cs="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41E9C454">
      <w:pPr>
        <w:widowControl/>
        <w:jc w:val="center"/>
        <w:outlineLvl w:val="0"/>
        <w:rPr>
          <w:rFonts w:hint="default" w:ascii="Times New Roman" w:hAnsi="Times New Roman" w:eastAsia="黑体" w:cs="Times New Roman"/>
          <w:color w:val="auto"/>
          <w:sz w:val="28"/>
          <w:szCs w:val="28"/>
          <w:highlight w:val="none"/>
        </w:rPr>
      </w:pPr>
      <w:r>
        <w:rPr>
          <w:rFonts w:hint="default" w:ascii="Times New Roman" w:hAnsi="Times New Roman" w:eastAsia="黑体" w:cs="Times New Roman"/>
          <w:sz w:val="32"/>
          <w:szCs w:val="32"/>
        </w:rPr>
        <w:t>目</w:t>
      </w:r>
      <w:r>
        <w:rPr>
          <w:rFonts w:hint="eastAsia" w:eastAsia="黑体" w:cs="Times New Roman"/>
          <w:sz w:val="32"/>
          <w:szCs w:val="32"/>
          <w:lang w:val="en-US" w:eastAsia="zh-CN"/>
        </w:rPr>
        <w:t xml:space="preserve">  </w:t>
      </w:r>
      <w:r>
        <w:rPr>
          <w:rFonts w:hint="default" w:ascii="Times New Roman" w:hAnsi="Times New Roman" w:eastAsia="黑体" w:cs="Times New Roman"/>
          <w:sz w:val="32"/>
          <w:szCs w:val="32"/>
        </w:rPr>
        <w:t>录</w:t>
      </w:r>
    </w:p>
    <w:p w14:paraId="4FA738A1">
      <w:pPr>
        <w:pStyle w:val="12"/>
        <w:rPr>
          <w:rFonts w:hint="default" w:ascii="Times New Roman" w:hAnsi="Times New Roman" w:cs="Times New Roman"/>
        </w:rPr>
      </w:pPr>
      <w:r>
        <w:rPr>
          <w:rFonts w:hint="default" w:ascii="Times New Roman" w:hAnsi="Times New Roman" w:cs="Times New Roman"/>
        </w:rPr>
        <w:t>公开时间：20</w:t>
      </w:r>
      <w:r>
        <w:rPr>
          <w:rFonts w:hint="default" w:ascii="Times New Roman" w:hAnsi="Times New Roman" w:cs="Times New Roman"/>
          <w:lang w:val="en-US" w:eastAsia="zh-CN"/>
        </w:rPr>
        <w:t>25</w:t>
      </w:r>
      <w:r>
        <w:rPr>
          <w:rFonts w:hint="default" w:ascii="Times New Roman" w:hAnsi="Times New Roman" w:cs="Times New Roman"/>
        </w:rPr>
        <w:t>年</w:t>
      </w:r>
      <w:r>
        <w:rPr>
          <w:rFonts w:hint="default" w:ascii="Times New Roman" w:hAnsi="Times New Roman" w:cs="Times New Roman"/>
          <w:lang w:val="en-US" w:eastAsia="zh-CN"/>
        </w:rPr>
        <w:t>10</w:t>
      </w:r>
      <w:r>
        <w:rPr>
          <w:rFonts w:hint="default" w:ascii="Times New Roman" w:hAnsi="Times New Roman" w:cs="Times New Roman"/>
        </w:rPr>
        <w:t>月</w:t>
      </w:r>
      <w:r>
        <w:rPr>
          <w:rFonts w:hint="default" w:ascii="Times New Roman" w:hAnsi="Times New Roman" w:cs="Times New Roman"/>
          <w:lang w:val="en-US" w:eastAsia="zh-CN"/>
        </w:rPr>
        <w:t>1</w:t>
      </w:r>
      <w:r>
        <w:rPr>
          <w:rFonts w:hint="eastAsia" w:ascii="Times New Roman" w:hAnsi="Times New Roman" w:cs="Times New Roman"/>
          <w:lang w:val="en-US" w:eastAsia="zh-CN"/>
        </w:rPr>
        <w:t>7</w:t>
      </w:r>
      <w:r>
        <w:rPr>
          <w:rFonts w:hint="default" w:ascii="Times New Roman" w:hAnsi="Times New Roman" w:cs="Times New Roman"/>
          <w:lang w:val="en-US" w:eastAsia="zh-CN"/>
        </w:rPr>
        <w:t xml:space="preserve"> </w:t>
      </w:r>
      <w:r>
        <w:rPr>
          <w:rFonts w:hint="default" w:ascii="Times New Roman" w:hAnsi="Times New Roman" w:cs="Times New Roman"/>
        </w:rPr>
        <w:t>日</w:t>
      </w:r>
    </w:p>
    <w:p w14:paraId="2BB2E40D">
      <w:pPr>
        <w:spacing w:before="0" w:beforeLines="0" w:after="0" w:afterLines="0" w:line="240" w:lineRule="auto"/>
        <w:ind w:left="0" w:leftChars="0" w:right="0" w:rightChars="0" w:firstLine="0" w:firstLineChars="0"/>
        <w:jc w:val="center"/>
        <w:rPr>
          <w:rFonts w:hint="default" w:ascii="Times New Roman" w:hAnsi="Times New Roman" w:eastAsia="宋体" w:cs="Times New Roman"/>
          <w:sz w:val="21"/>
        </w:rPr>
      </w:pPr>
    </w:p>
    <w:p w14:paraId="4D984054">
      <w:pPr>
        <w:pStyle w:val="12"/>
        <w:tabs>
          <w:tab w:val="right" w:leader="dot" w:pos="8306"/>
          <w:tab w:val="clear" w:pos="8296"/>
        </w:tabs>
      </w:pPr>
      <w:r>
        <w:rPr>
          <w:rFonts w:hint="default" w:ascii="Times New Roman" w:hAnsi="Times New Roman" w:cs="Times New Roman"/>
        </w:rPr>
        <w:fldChar w:fldCharType="begin"/>
      </w:r>
      <w:r>
        <w:rPr>
          <w:rFonts w:hint="default" w:ascii="Times New Roman" w:hAnsi="Times New Roman" w:cs="Times New Roman"/>
        </w:rPr>
        <w:instrText xml:space="preserve">TOC \o "1-3"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_Toc17585 </w:instrText>
      </w:r>
      <w:r>
        <w:rPr>
          <w:rFonts w:hint="default" w:ascii="Times New Roman" w:hAnsi="Times New Roman" w:cs="Times New Roman"/>
        </w:rPr>
        <w:fldChar w:fldCharType="separate"/>
      </w:r>
      <w:r>
        <w:rPr>
          <w:rFonts w:hint="default" w:ascii="Times New Roman" w:hAnsi="Times New Roman" w:eastAsia="方正小标宋简体" w:cs="Times New Roman"/>
          <w:highlight w:val="none"/>
        </w:rPr>
        <w:t>第一部分</w:t>
      </w:r>
      <w:r>
        <w:rPr>
          <w:rFonts w:hint="default" w:ascii="Times New Roman" w:hAnsi="Times New Roman" w:eastAsia="方正小标宋简体" w:cs="Times New Roman"/>
          <w:highlight w:val="none"/>
          <w:lang w:val="en-US" w:eastAsia="zh-CN"/>
        </w:rPr>
        <w:t xml:space="preserve"> </w:t>
      </w:r>
      <w:r>
        <w:rPr>
          <w:rFonts w:hint="default" w:ascii="Times New Roman" w:hAnsi="Times New Roman" w:eastAsia="方正小标宋简体" w:cs="Times New Roman"/>
          <w:highlight w:val="none"/>
        </w:rPr>
        <w:t xml:space="preserve"> </w:t>
      </w:r>
      <w:r>
        <w:rPr>
          <w:rFonts w:hint="default" w:ascii="Times New Roman" w:hAnsi="Times New Roman" w:eastAsia="方正小标宋简体" w:cs="Times New Roman"/>
          <w:bCs w:val="0"/>
          <w:highlight w:val="none"/>
        </w:rPr>
        <w:t>部门概况</w:t>
      </w:r>
      <w:r>
        <w:tab/>
      </w:r>
      <w:r>
        <w:fldChar w:fldCharType="begin"/>
      </w:r>
      <w:r>
        <w:instrText xml:space="preserve"> PAGEREF _Toc17585 \h </w:instrText>
      </w:r>
      <w:r>
        <w:fldChar w:fldCharType="separate"/>
      </w:r>
      <w:r>
        <w:t>1</w:t>
      </w:r>
      <w:r>
        <w:fldChar w:fldCharType="end"/>
      </w:r>
      <w:r>
        <w:rPr>
          <w:rFonts w:hint="default" w:ascii="Times New Roman" w:hAnsi="Times New Roman" w:cs="Times New Roman"/>
        </w:rPr>
        <w:fldChar w:fldCharType="end"/>
      </w:r>
    </w:p>
    <w:p w14:paraId="3EF2A9B8">
      <w:pPr>
        <w:pStyle w:val="14"/>
        <w:tabs>
          <w:tab w:val="right" w:leader="dot" w:pos="8306"/>
          <w:tab w:val="clear" w:pos="8296"/>
        </w:tabs>
      </w:pPr>
      <w:r>
        <w:rPr>
          <w:rFonts w:hint="default"/>
        </w:rPr>
        <w:fldChar w:fldCharType="begin"/>
      </w:r>
      <w:r>
        <w:rPr>
          <w:rFonts w:hint="default"/>
        </w:rPr>
        <w:instrText xml:space="preserve"> HYPERLINK \l _Toc2930 </w:instrText>
      </w:r>
      <w:r>
        <w:rPr>
          <w:rFonts w:hint="default"/>
        </w:rPr>
        <w:fldChar w:fldCharType="separate"/>
      </w:r>
      <w:r>
        <w:rPr>
          <w:rFonts w:hint="eastAsia" w:ascii="Times New Roman" w:hAnsi="Times New Roman" w:eastAsia="黑体" w:cs="Times New Roman"/>
          <w:bCs/>
          <w:kern w:val="2"/>
          <w:szCs w:val="32"/>
          <w:lang w:val="en-US" w:eastAsia="zh-CN" w:bidi="ar-SA"/>
        </w:rPr>
        <w:t>一、</w:t>
      </w:r>
      <w:r>
        <w:rPr>
          <w:rFonts w:hint="default" w:ascii="Times New Roman" w:hAnsi="Times New Roman" w:eastAsia="黑体" w:cs="Times New Roman"/>
          <w:highlight w:val="none"/>
          <w:lang w:eastAsia="zh-CN"/>
        </w:rPr>
        <w:t>部门职责</w:t>
      </w:r>
      <w:r>
        <w:tab/>
      </w:r>
      <w:r>
        <w:fldChar w:fldCharType="begin"/>
      </w:r>
      <w:r>
        <w:instrText xml:space="preserve"> PAGEREF _Toc2930 \h </w:instrText>
      </w:r>
      <w:r>
        <w:fldChar w:fldCharType="separate"/>
      </w:r>
      <w:r>
        <w:t>1</w:t>
      </w:r>
      <w:r>
        <w:fldChar w:fldCharType="end"/>
      </w:r>
      <w:r>
        <w:rPr>
          <w:rFonts w:hint="default"/>
        </w:rPr>
        <w:fldChar w:fldCharType="end"/>
      </w:r>
    </w:p>
    <w:p w14:paraId="74B20CA6">
      <w:pPr>
        <w:pStyle w:val="14"/>
        <w:tabs>
          <w:tab w:val="right" w:leader="dot" w:pos="8306"/>
          <w:tab w:val="clear" w:pos="8296"/>
        </w:tabs>
      </w:pPr>
      <w:r>
        <w:rPr>
          <w:rFonts w:hint="default"/>
        </w:rPr>
        <w:fldChar w:fldCharType="begin"/>
      </w:r>
      <w:r>
        <w:rPr>
          <w:rFonts w:hint="default"/>
        </w:rPr>
        <w:instrText xml:space="preserve"> HYPERLINK \l _Toc19346 </w:instrText>
      </w:r>
      <w:r>
        <w:rPr>
          <w:rFonts w:hint="default"/>
        </w:rPr>
        <w:fldChar w:fldCharType="separate"/>
      </w:r>
      <w:r>
        <w:rPr>
          <w:rFonts w:hint="default" w:ascii="Times New Roman" w:hAnsi="Times New Roman" w:eastAsia="黑体" w:cs="Times New Roman"/>
          <w:highlight w:val="none"/>
        </w:rPr>
        <w:t>二、机</w:t>
      </w:r>
      <w:r>
        <w:rPr>
          <w:rFonts w:hint="default" w:ascii="Times New Roman" w:hAnsi="Times New Roman" w:eastAsia="黑体" w:cs="Times New Roman"/>
          <w:bCs w:val="0"/>
          <w:highlight w:val="none"/>
        </w:rPr>
        <w:t>构设置</w:t>
      </w:r>
      <w:r>
        <w:tab/>
      </w:r>
      <w:r>
        <w:fldChar w:fldCharType="begin"/>
      </w:r>
      <w:r>
        <w:instrText xml:space="preserve"> PAGEREF _Toc19346 \h </w:instrText>
      </w:r>
      <w:r>
        <w:fldChar w:fldCharType="separate"/>
      </w:r>
      <w:r>
        <w:t>3</w:t>
      </w:r>
      <w:r>
        <w:fldChar w:fldCharType="end"/>
      </w:r>
      <w:r>
        <w:rPr>
          <w:rFonts w:hint="default"/>
        </w:rPr>
        <w:fldChar w:fldCharType="end"/>
      </w:r>
    </w:p>
    <w:p w14:paraId="7282AC15">
      <w:pPr>
        <w:pStyle w:val="12"/>
        <w:tabs>
          <w:tab w:val="right" w:leader="dot" w:pos="8306"/>
          <w:tab w:val="clear" w:pos="8296"/>
        </w:tabs>
      </w:pPr>
      <w:r>
        <w:rPr>
          <w:rFonts w:hint="default"/>
        </w:rPr>
        <w:fldChar w:fldCharType="begin"/>
      </w:r>
      <w:r>
        <w:rPr>
          <w:rFonts w:hint="default"/>
        </w:rPr>
        <w:instrText xml:space="preserve"> HYPERLINK \l _Toc2679 </w:instrText>
      </w:r>
      <w:r>
        <w:rPr>
          <w:rFonts w:hint="default"/>
        </w:rPr>
        <w:fldChar w:fldCharType="separate"/>
      </w:r>
      <w:r>
        <w:rPr>
          <w:rFonts w:hint="default" w:ascii="Times New Roman" w:hAnsi="Times New Roman" w:eastAsia="方正小标宋简体" w:cs="Times New Roman"/>
          <w:highlight w:val="none"/>
        </w:rPr>
        <w:t>第二部分</w:t>
      </w:r>
      <w:r>
        <w:rPr>
          <w:rFonts w:hint="default" w:ascii="Times New Roman" w:hAnsi="Times New Roman" w:eastAsia="方正小标宋简体" w:cs="Times New Roman"/>
          <w:highlight w:val="none"/>
          <w:lang w:val="en-US" w:eastAsia="zh-CN"/>
        </w:rPr>
        <w:t xml:space="preserve"> </w:t>
      </w:r>
      <w:r>
        <w:rPr>
          <w:rFonts w:hint="default" w:ascii="Times New Roman" w:hAnsi="Times New Roman" w:eastAsia="方正小标宋简体" w:cs="Times New Roman"/>
          <w:highlight w:val="none"/>
        </w:rPr>
        <w:t xml:space="preserve"> </w:t>
      </w:r>
      <w:r>
        <w:rPr>
          <w:rFonts w:hint="default" w:ascii="Times New Roman" w:hAnsi="Times New Roman" w:eastAsia="方正小标宋简体" w:cs="Times New Roman"/>
          <w:highlight w:val="none"/>
          <w:lang w:val="en-US" w:eastAsia="zh-CN"/>
        </w:rPr>
        <w:t>2024年度</w:t>
      </w:r>
      <w:r>
        <w:rPr>
          <w:rFonts w:hint="default" w:ascii="Times New Roman" w:hAnsi="Times New Roman" w:eastAsia="方正小标宋简体" w:cs="Times New Roman"/>
          <w:highlight w:val="none"/>
        </w:rPr>
        <w:t>部门决算情况说明</w:t>
      </w:r>
      <w:r>
        <w:tab/>
      </w:r>
      <w:r>
        <w:fldChar w:fldCharType="begin"/>
      </w:r>
      <w:r>
        <w:instrText xml:space="preserve"> PAGEREF _Toc2679 \h </w:instrText>
      </w:r>
      <w:r>
        <w:fldChar w:fldCharType="separate"/>
      </w:r>
      <w:r>
        <w:t>6</w:t>
      </w:r>
      <w:r>
        <w:fldChar w:fldCharType="end"/>
      </w:r>
      <w:r>
        <w:rPr>
          <w:rFonts w:hint="default"/>
        </w:rPr>
        <w:fldChar w:fldCharType="end"/>
      </w:r>
    </w:p>
    <w:p w14:paraId="0BE9CD58">
      <w:pPr>
        <w:pStyle w:val="14"/>
        <w:tabs>
          <w:tab w:val="right" w:leader="dot" w:pos="8306"/>
          <w:tab w:val="clear" w:pos="8296"/>
        </w:tabs>
      </w:pPr>
      <w:r>
        <w:rPr>
          <w:rFonts w:hint="default"/>
        </w:rPr>
        <w:fldChar w:fldCharType="begin"/>
      </w:r>
      <w:r>
        <w:rPr>
          <w:rFonts w:hint="default"/>
        </w:rPr>
        <w:instrText xml:space="preserve"> HYPERLINK \l _Toc23214 </w:instrText>
      </w:r>
      <w:r>
        <w:rPr>
          <w:rFonts w:hint="default"/>
        </w:rPr>
        <w:fldChar w:fldCharType="separate"/>
      </w:r>
      <w:r>
        <w:rPr>
          <w:rFonts w:hint="eastAsia" w:ascii="黑体" w:hAnsi="黑体" w:eastAsia="黑体" w:cs="黑体"/>
          <w:bCs w:val="0"/>
          <w:lang w:eastAsia="zh-CN"/>
        </w:rPr>
        <w:t>一、</w:t>
      </w:r>
      <w:r>
        <w:rPr>
          <w:rFonts w:hint="eastAsia" w:ascii="黑体" w:hAnsi="黑体" w:eastAsia="黑体" w:cs="黑体"/>
          <w:bCs w:val="0"/>
        </w:rPr>
        <w:t>收入支出决算总体情况说明</w:t>
      </w:r>
      <w:r>
        <w:tab/>
      </w:r>
      <w:r>
        <w:fldChar w:fldCharType="begin"/>
      </w:r>
      <w:r>
        <w:instrText xml:space="preserve"> PAGEREF _Toc23214 \h </w:instrText>
      </w:r>
      <w:r>
        <w:fldChar w:fldCharType="separate"/>
      </w:r>
      <w:r>
        <w:t>6</w:t>
      </w:r>
      <w:r>
        <w:fldChar w:fldCharType="end"/>
      </w:r>
      <w:r>
        <w:rPr>
          <w:rFonts w:hint="default"/>
        </w:rPr>
        <w:fldChar w:fldCharType="end"/>
      </w:r>
    </w:p>
    <w:p w14:paraId="2694B070">
      <w:pPr>
        <w:pStyle w:val="14"/>
        <w:tabs>
          <w:tab w:val="right" w:leader="dot" w:pos="8306"/>
          <w:tab w:val="clear" w:pos="8296"/>
        </w:tabs>
      </w:pPr>
      <w:r>
        <w:rPr>
          <w:rFonts w:hint="default"/>
        </w:rPr>
        <w:fldChar w:fldCharType="begin"/>
      </w:r>
      <w:r>
        <w:rPr>
          <w:rFonts w:hint="default"/>
        </w:rPr>
        <w:instrText xml:space="preserve"> HYPERLINK \l _Toc25410 </w:instrText>
      </w:r>
      <w:r>
        <w:rPr>
          <w:rFonts w:hint="default"/>
        </w:rPr>
        <w:fldChar w:fldCharType="separate"/>
      </w:r>
      <w:r>
        <w:rPr>
          <w:rFonts w:hint="default" w:ascii="Times New Roman" w:hAnsi="Times New Roman" w:eastAsia="黑体" w:cs="Times New Roman"/>
          <w:szCs w:val="32"/>
          <w:highlight w:val="none"/>
          <w:lang w:eastAsia="zh-CN"/>
        </w:rPr>
        <w:t>二、收入决算情况说明</w:t>
      </w:r>
      <w:r>
        <w:tab/>
      </w:r>
      <w:r>
        <w:fldChar w:fldCharType="begin"/>
      </w:r>
      <w:r>
        <w:instrText xml:space="preserve"> PAGEREF _Toc25410 \h </w:instrText>
      </w:r>
      <w:r>
        <w:fldChar w:fldCharType="separate"/>
      </w:r>
      <w:r>
        <w:t>6</w:t>
      </w:r>
      <w:r>
        <w:fldChar w:fldCharType="end"/>
      </w:r>
      <w:r>
        <w:rPr>
          <w:rFonts w:hint="default"/>
        </w:rPr>
        <w:fldChar w:fldCharType="end"/>
      </w:r>
    </w:p>
    <w:p w14:paraId="3D61A9AD">
      <w:pPr>
        <w:pStyle w:val="14"/>
        <w:tabs>
          <w:tab w:val="right" w:leader="dot" w:pos="8306"/>
          <w:tab w:val="clear" w:pos="8296"/>
        </w:tabs>
      </w:pPr>
      <w:r>
        <w:rPr>
          <w:rFonts w:hint="default"/>
        </w:rPr>
        <w:fldChar w:fldCharType="begin"/>
      </w:r>
      <w:r>
        <w:rPr>
          <w:rFonts w:hint="default"/>
        </w:rPr>
        <w:instrText xml:space="preserve"> HYPERLINK \l _Toc15880 </w:instrText>
      </w:r>
      <w:r>
        <w:rPr>
          <w:rFonts w:hint="default"/>
        </w:rPr>
        <w:fldChar w:fldCharType="separate"/>
      </w:r>
      <w:r>
        <w:rPr>
          <w:rFonts w:hint="default" w:ascii="Times New Roman" w:hAnsi="Times New Roman" w:eastAsia="黑体" w:cs="Times New Roman"/>
          <w:szCs w:val="32"/>
          <w:highlight w:val="none"/>
          <w:lang w:eastAsia="zh-CN"/>
        </w:rPr>
        <w:t>三、</w:t>
      </w:r>
      <w:r>
        <w:rPr>
          <w:rFonts w:hint="default" w:ascii="Times New Roman" w:hAnsi="Times New Roman" w:eastAsia="黑体" w:cs="Times New Roman"/>
          <w:szCs w:val="32"/>
          <w:highlight w:val="none"/>
        </w:rPr>
        <w:t>支</w:t>
      </w:r>
      <w:r>
        <w:rPr>
          <w:rFonts w:hint="default" w:ascii="Times New Roman" w:hAnsi="Times New Roman" w:eastAsia="黑体" w:cs="Times New Roman"/>
          <w:highlight w:val="none"/>
        </w:rPr>
        <w:t>出决算情况说明</w:t>
      </w:r>
      <w:r>
        <w:tab/>
      </w:r>
      <w:r>
        <w:fldChar w:fldCharType="begin"/>
      </w:r>
      <w:r>
        <w:instrText xml:space="preserve"> PAGEREF _Toc15880 \h </w:instrText>
      </w:r>
      <w:r>
        <w:fldChar w:fldCharType="separate"/>
      </w:r>
      <w:r>
        <w:t>7</w:t>
      </w:r>
      <w:r>
        <w:fldChar w:fldCharType="end"/>
      </w:r>
      <w:r>
        <w:rPr>
          <w:rFonts w:hint="default"/>
        </w:rPr>
        <w:fldChar w:fldCharType="end"/>
      </w:r>
    </w:p>
    <w:p w14:paraId="266ECC09">
      <w:pPr>
        <w:pStyle w:val="14"/>
        <w:tabs>
          <w:tab w:val="right" w:leader="dot" w:pos="8306"/>
          <w:tab w:val="clear" w:pos="8296"/>
        </w:tabs>
      </w:pPr>
      <w:r>
        <w:rPr>
          <w:rFonts w:hint="default"/>
        </w:rPr>
        <w:fldChar w:fldCharType="begin"/>
      </w:r>
      <w:r>
        <w:rPr>
          <w:rFonts w:hint="default"/>
        </w:rPr>
        <w:instrText xml:space="preserve"> HYPERLINK \l _Toc28578 </w:instrText>
      </w:r>
      <w:r>
        <w:rPr>
          <w:rFonts w:hint="default"/>
        </w:rPr>
        <w:fldChar w:fldCharType="separate"/>
      </w:r>
      <w:r>
        <w:rPr>
          <w:rFonts w:hint="default" w:ascii="Times New Roman" w:hAnsi="Times New Roman" w:eastAsia="黑体" w:cs="Times New Roman"/>
          <w:szCs w:val="32"/>
          <w:highlight w:val="none"/>
        </w:rPr>
        <w:t>四、财</w:t>
      </w:r>
      <w:r>
        <w:rPr>
          <w:rFonts w:hint="default" w:ascii="Times New Roman" w:hAnsi="Times New Roman" w:eastAsia="黑体" w:cs="Times New Roman"/>
          <w:highlight w:val="none"/>
        </w:rPr>
        <w:t>政拨款收入支出决算总体情况说明</w:t>
      </w:r>
      <w:r>
        <w:tab/>
      </w:r>
      <w:r>
        <w:fldChar w:fldCharType="begin"/>
      </w:r>
      <w:r>
        <w:instrText xml:space="preserve"> PAGEREF _Toc28578 \h </w:instrText>
      </w:r>
      <w:r>
        <w:fldChar w:fldCharType="separate"/>
      </w:r>
      <w:r>
        <w:t>7</w:t>
      </w:r>
      <w:r>
        <w:fldChar w:fldCharType="end"/>
      </w:r>
      <w:r>
        <w:rPr>
          <w:rFonts w:hint="default"/>
        </w:rPr>
        <w:fldChar w:fldCharType="end"/>
      </w:r>
    </w:p>
    <w:p w14:paraId="45EC89CB">
      <w:pPr>
        <w:pStyle w:val="14"/>
        <w:tabs>
          <w:tab w:val="right" w:leader="dot" w:pos="8306"/>
          <w:tab w:val="clear" w:pos="8296"/>
        </w:tabs>
      </w:pPr>
      <w:r>
        <w:rPr>
          <w:rFonts w:hint="default"/>
        </w:rPr>
        <w:fldChar w:fldCharType="begin"/>
      </w:r>
      <w:r>
        <w:rPr>
          <w:rFonts w:hint="default"/>
        </w:rPr>
        <w:instrText xml:space="preserve"> HYPERLINK \l _Toc30399 </w:instrText>
      </w:r>
      <w:r>
        <w:rPr>
          <w:rFonts w:hint="default"/>
        </w:rPr>
        <w:fldChar w:fldCharType="separate"/>
      </w:r>
      <w:r>
        <w:rPr>
          <w:rFonts w:hint="eastAsia" w:ascii="黑体" w:hAnsi="黑体" w:eastAsia="黑体" w:cs="黑体"/>
          <w:bCs w:val="0"/>
        </w:rPr>
        <w:t>五、一般公共预算财政拨款支出决算情况说明</w:t>
      </w:r>
      <w:r>
        <w:tab/>
      </w:r>
      <w:r>
        <w:fldChar w:fldCharType="begin"/>
      </w:r>
      <w:r>
        <w:instrText xml:space="preserve"> PAGEREF _Toc30399 \h </w:instrText>
      </w:r>
      <w:r>
        <w:fldChar w:fldCharType="separate"/>
      </w:r>
      <w:r>
        <w:t>8</w:t>
      </w:r>
      <w:r>
        <w:fldChar w:fldCharType="end"/>
      </w:r>
      <w:r>
        <w:rPr>
          <w:rFonts w:hint="default"/>
        </w:rPr>
        <w:fldChar w:fldCharType="end"/>
      </w:r>
    </w:p>
    <w:p w14:paraId="667A3ECD">
      <w:pPr>
        <w:pStyle w:val="8"/>
        <w:tabs>
          <w:tab w:val="right" w:leader="dot" w:pos="8306"/>
          <w:tab w:val="clear" w:pos="8296"/>
        </w:tabs>
      </w:pPr>
      <w:r>
        <w:rPr>
          <w:rFonts w:hint="default"/>
        </w:rPr>
        <w:fldChar w:fldCharType="begin"/>
      </w:r>
      <w:r>
        <w:rPr>
          <w:rFonts w:hint="default"/>
        </w:rPr>
        <w:instrText xml:space="preserve"> HYPERLINK \l _Toc10394 </w:instrText>
      </w:r>
      <w:r>
        <w:rPr>
          <w:rFonts w:hint="default"/>
        </w:rPr>
        <w:fldChar w:fldCharType="separate"/>
      </w:r>
      <w:r>
        <w:rPr>
          <w:rFonts w:hint="eastAsia" w:ascii="楷体_GB2312" w:hAnsi="楷体_GB2312" w:eastAsia="楷体_GB2312" w:cs="楷体_GB2312"/>
          <w:bCs/>
        </w:rPr>
        <w:t>（一）一般公共预算财政拨款支出决算总体情况</w:t>
      </w:r>
      <w:r>
        <w:tab/>
      </w:r>
      <w:r>
        <w:fldChar w:fldCharType="begin"/>
      </w:r>
      <w:r>
        <w:instrText xml:space="preserve"> PAGEREF _Toc10394 \h </w:instrText>
      </w:r>
      <w:r>
        <w:fldChar w:fldCharType="separate"/>
      </w:r>
      <w:r>
        <w:t>8</w:t>
      </w:r>
      <w:r>
        <w:fldChar w:fldCharType="end"/>
      </w:r>
      <w:r>
        <w:rPr>
          <w:rFonts w:hint="default"/>
        </w:rPr>
        <w:fldChar w:fldCharType="end"/>
      </w:r>
    </w:p>
    <w:p w14:paraId="40BB8FDE">
      <w:pPr>
        <w:pStyle w:val="8"/>
        <w:tabs>
          <w:tab w:val="right" w:leader="dot" w:pos="8306"/>
          <w:tab w:val="clear" w:pos="8296"/>
        </w:tabs>
      </w:pPr>
      <w:r>
        <w:rPr>
          <w:rFonts w:hint="default"/>
        </w:rPr>
        <w:fldChar w:fldCharType="begin"/>
      </w:r>
      <w:r>
        <w:rPr>
          <w:rFonts w:hint="default"/>
        </w:rPr>
        <w:instrText xml:space="preserve"> HYPERLINK \l _Toc11428 </w:instrText>
      </w:r>
      <w:r>
        <w:rPr>
          <w:rFonts w:hint="default"/>
        </w:rPr>
        <w:fldChar w:fldCharType="separate"/>
      </w:r>
      <w:r>
        <w:rPr>
          <w:rFonts w:hint="default" w:ascii="Times New Roman" w:hAnsi="Times New Roman" w:eastAsia="楷体_GB2312" w:cs="Times New Roman"/>
          <w:szCs w:val="32"/>
          <w:highlight w:val="none"/>
        </w:rPr>
        <w:t>（二）一般公共预算财政拨款支出决算结构情况</w:t>
      </w:r>
      <w:r>
        <w:tab/>
      </w:r>
      <w:r>
        <w:fldChar w:fldCharType="begin"/>
      </w:r>
      <w:r>
        <w:instrText xml:space="preserve"> PAGEREF _Toc11428 \h </w:instrText>
      </w:r>
      <w:r>
        <w:fldChar w:fldCharType="separate"/>
      </w:r>
      <w:r>
        <w:t>9</w:t>
      </w:r>
      <w:r>
        <w:fldChar w:fldCharType="end"/>
      </w:r>
      <w:r>
        <w:rPr>
          <w:rFonts w:hint="default"/>
        </w:rPr>
        <w:fldChar w:fldCharType="end"/>
      </w:r>
    </w:p>
    <w:p w14:paraId="518566E4">
      <w:pPr>
        <w:pStyle w:val="8"/>
        <w:tabs>
          <w:tab w:val="right" w:leader="dot" w:pos="8306"/>
          <w:tab w:val="clear" w:pos="8296"/>
        </w:tabs>
      </w:pPr>
      <w:r>
        <w:rPr>
          <w:rFonts w:hint="default"/>
        </w:rPr>
        <w:fldChar w:fldCharType="begin"/>
      </w:r>
      <w:r>
        <w:rPr>
          <w:rFonts w:hint="default"/>
        </w:rPr>
        <w:instrText xml:space="preserve"> HYPERLINK \l _Toc17960 </w:instrText>
      </w:r>
      <w:r>
        <w:rPr>
          <w:rFonts w:hint="default"/>
        </w:rPr>
        <w:fldChar w:fldCharType="separate"/>
      </w:r>
      <w:r>
        <w:rPr>
          <w:rFonts w:hint="default" w:ascii="Times New Roman" w:hAnsi="Times New Roman" w:eastAsia="楷体_GB2312" w:cs="Times New Roman"/>
          <w:szCs w:val="32"/>
          <w:highlight w:val="none"/>
        </w:rPr>
        <w:t>（三）一般公共预算财政拨款支出决算具体情况</w:t>
      </w:r>
      <w:r>
        <w:tab/>
      </w:r>
      <w:r>
        <w:fldChar w:fldCharType="begin"/>
      </w:r>
      <w:r>
        <w:instrText xml:space="preserve"> PAGEREF _Toc17960 \h </w:instrText>
      </w:r>
      <w:r>
        <w:fldChar w:fldCharType="separate"/>
      </w:r>
      <w:r>
        <w:t>9</w:t>
      </w:r>
      <w:r>
        <w:fldChar w:fldCharType="end"/>
      </w:r>
      <w:r>
        <w:rPr>
          <w:rFonts w:hint="default"/>
        </w:rPr>
        <w:fldChar w:fldCharType="end"/>
      </w:r>
    </w:p>
    <w:p w14:paraId="37D09D79">
      <w:pPr>
        <w:pStyle w:val="14"/>
        <w:tabs>
          <w:tab w:val="right" w:leader="dot" w:pos="8306"/>
          <w:tab w:val="clear" w:pos="8296"/>
        </w:tabs>
      </w:pPr>
      <w:r>
        <w:rPr>
          <w:rFonts w:hint="default"/>
        </w:rPr>
        <w:fldChar w:fldCharType="begin"/>
      </w:r>
      <w:r>
        <w:rPr>
          <w:rFonts w:hint="default"/>
        </w:rPr>
        <w:instrText xml:space="preserve"> HYPERLINK \l _Toc29030 </w:instrText>
      </w:r>
      <w:r>
        <w:rPr>
          <w:rFonts w:hint="default"/>
        </w:rPr>
        <w:fldChar w:fldCharType="separate"/>
      </w:r>
      <w:r>
        <w:rPr>
          <w:rFonts w:hint="eastAsia" w:ascii="楷体_GB2312" w:hAnsi="楷体_GB2312" w:eastAsia="楷体_GB2312" w:cs="楷体_GB2312"/>
          <w:bCs/>
        </w:rPr>
        <w:t>六、一般公共预算财政拨款基本支出决算情况说明</w:t>
      </w:r>
      <w:r>
        <w:tab/>
      </w:r>
      <w:r>
        <w:fldChar w:fldCharType="begin"/>
      </w:r>
      <w:r>
        <w:instrText xml:space="preserve"> PAGEREF _Toc29030 \h </w:instrText>
      </w:r>
      <w:r>
        <w:fldChar w:fldCharType="separate"/>
      </w:r>
      <w:r>
        <w:t>10</w:t>
      </w:r>
      <w:r>
        <w:fldChar w:fldCharType="end"/>
      </w:r>
      <w:r>
        <w:rPr>
          <w:rFonts w:hint="default"/>
        </w:rPr>
        <w:fldChar w:fldCharType="end"/>
      </w:r>
    </w:p>
    <w:p w14:paraId="3FD94D8E">
      <w:pPr>
        <w:pStyle w:val="14"/>
        <w:tabs>
          <w:tab w:val="right" w:leader="dot" w:pos="8306"/>
          <w:tab w:val="clear" w:pos="8296"/>
        </w:tabs>
      </w:pPr>
      <w:r>
        <w:rPr>
          <w:rFonts w:hint="default"/>
        </w:rPr>
        <w:fldChar w:fldCharType="begin"/>
      </w:r>
      <w:r>
        <w:rPr>
          <w:rFonts w:hint="default"/>
        </w:rPr>
        <w:instrText xml:space="preserve"> HYPERLINK \l _Toc3649 </w:instrText>
      </w:r>
      <w:r>
        <w:rPr>
          <w:rFonts w:hint="default"/>
        </w:rPr>
        <w:fldChar w:fldCharType="separate"/>
      </w:r>
      <w:r>
        <w:rPr>
          <w:rFonts w:hint="default" w:ascii="Times New Roman" w:hAnsi="Times New Roman" w:eastAsia="黑体" w:cs="Times New Roman"/>
          <w:szCs w:val="32"/>
          <w:highlight w:val="none"/>
        </w:rPr>
        <w:t>七、</w:t>
      </w:r>
      <w:r>
        <w:rPr>
          <w:rFonts w:hint="default" w:ascii="Times New Roman" w:hAnsi="Times New Roman" w:eastAsia="黑体" w:cs="Times New Roman"/>
          <w:highlight w:val="none"/>
        </w:rPr>
        <w:t>财政拨款“三公”经费支出决算情况说明</w:t>
      </w:r>
      <w:r>
        <w:tab/>
      </w:r>
      <w:r>
        <w:fldChar w:fldCharType="begin"/>
      </w:r>
      <w:r>
        <w:instrText xml:space="preserve"> PAGEREF _Toc3649 \h </w:instrText>
      </w:r>
      <w:r>
        <w:fldChar w:fldCharType="separate"/>
      </w:r>
      <w:r>
        <w:t>10</w:t>
      </w:r>
      <w:r>
        <w:fldChar w:fldCharType="end"/>
      </w:r>
      <w:r>
        <w:rPr>
          <w:rFonts w:hint="default"/>
        </w:rPr>
        <w:fldChar w:fldCharType="end"/>
      </w:r>
    </w:p>
    <w:p w14:paraId="3519430C">
      <w:pPr>
        <w:pStyle w:val="8"/>
        <w:tabs>
          <w:tab w:val="right" w:leader="dot" w:pos="8306"/>
          <w:tab w:val="clear" w:pos="8296"/>
        </w:tabs>
      </w:pPr>
      <w:r>
        <w:rPr>
          <w:rFonts w:hint="default"/>
        </w:rPr>
        <w:fldChar w:fldCharType="begin"/>
      </w:r>
      <w:r>
        <w:rPr>
          <w:rFonts w:hint="default"/>
        </w:rPr>
        <w:instrText xml:space="preserve"> HYPERLINK \l _Toc2590 </w:instrText>
      </w:r>
      <w:r>
        <w:rPr>
          <w:rFonts w:hint="default"/>
        </w:rPr>
        <w:fldChar w:fldCharType="separate"/>
      </w:r>
      <w:r>
        <w:rPr>
          <w:rFonts w:hint="default" w:ascii="Times New Roman" w:hAnsi="Times New Roman" w:eastAsia="楷体_GB2312" w:cs="Times New Roman"/>
          <w:szCs w:val="32"/>
          <w:highlight w:val="none"/>
        </w:rPr>
        <w:t>（一）“三公”经费财政拨款支出决算总体情况说明</w:t>
      </w:r>
      <w:r>
        <w:tab/>
      </w:r>
      <w:r>
        <w:fldChar w:fldCharType="begin"/>
      </w:r>
      <w:r>
        <w:instrText xml:space="preserve"> PAGEREF _Toc2590 \h </w:instrText>
      </w:r>
      <w:r>
        <w:fldChar w:fldCharType="separate"/>
      </w:r>
      <w:r>
        <w:t>10</w:t>
      </w:r>
      <w:r>
        <w:fldChar w:fldCharType="end"/>
      </w:r>
      <w:r>
        <w:rPr>
          <w:rFonts w:hint="default"/>
        </w:rPr>
        <w:fldChar w:fldCharType="end"/>
      </w:r>
    </w:p>
    <w:p w14:paraId="633222E5">
      <w:pPr>
        <w:pStyle w:val="8"/>
        <w:tabs>
          <w:tab w:val="right" w:leader="dot" w:pos="8306"/>
          <w:tab w:val="clear" w:pos="8296"/>
        </w:tabs>
      </w:pPr>
      <w:r>
        <w:rPr>
          <w:rFonts w:hint="default"/>
        </w:rPr>
        <w:fldChar w:fldCharType="begin"/>
      </w:r>
      <w:r>
        <w:rPr>
          <w:rFonts w:hint="default"/>
        </w:rPr>
        <w:instrText xml:space="preserve"> HYPERLINK \l _Toc21675 </w:instrText>
      </w:r>
      <w:r>
        <w:rPr>
          <w:rFonts w:hint="default"/>
        </w:rPr>
        <w:fldChar w:fldCharType="separate"/>
      </w:r>
      <w:r>
        <w:rPr>
          <w:rFonts w:hint="default" w:ascii="Times New Roman" w:hAnsi="Times New Roman" w:eastAsia="楷体_GB2312" w:cs="Times New Roman"/>
          <w:szCs w:val="32"/>
          <w:highlight w:val="none"/>
        </w:rPr>
        <w:t>（二）“三公”经费财政拨款支出决算具体情况说明</w:t>
      </w:r>
      <w:r>
        <w:tab/>
      </w:r>
      <w:r>
        <w:fldChar w:fldCharType="begin"/>
      </w:r>
      <w:r>
        <w:instrText xml:space="preserve"> PAGEREF _Toc21675 \h </w:instrText>
      </w:r>
      <w:r>
        <w:fldChar w:fldCharType="separate"/>
      </w:r>
      <w:r>
        <w:t>11</w:t>
      </w:r>
      <w:r>
        <w:fldChar w:fldCharType="end"/>
      </w:r>
      <w:r>
        <w:rPr>
          <w:rFonts w:hint="default"/>
        </w:rPr>
        <w:fldChar w:fldCharType="end"/>
      </w:r>
    </w:p>
    <w:p w14:paraId="58052252">
      <w:pPr>
        <w:pStyle w:val="14"/>
        <w:tabs>
          <w:tab w:val="right" w:leader="dot" w:pos="8306"/>
          <w:tab w:val="clear" w:pos="8296"/>
        </w:tabs>
      </w:pPr>
      <w:r>
        <w:rPr>
          <w:rFonts w:hint="default"/>
        </w:rPr>
        <w:fldChar w:fldCharType="begin"/>
      </w:r>
      <w:r>
        <w:rPr>
          <w:rFonts w:hint="default"/>
        </w:rPr>
        <w:instrText xml:space="preserve"> HYPERLINK \l _Toc23111 </w:instrText>
      </w:r>
      <w:r>
        <w:rPr>
          <w:rFonts w:hint="default"/>
        </w:rPr>
        <w:fldChar w:fldCharType="separate"/>
      </w:r>
      <w:r>
        <w:rPr>
          <w:rFonts w:hint="default" w:ascii="Times New Roman" w:hAnsi="Times New Roman" w:eastAsia="黑体" w:cs="Times New Roman"/>
          <w:szCs w:val="32"/>
          <w:highlight w:val="none"/>
        </w:rPr>
        <w:t>八、</w:t>
      </w:r>
      <w:r>
        <w:rPr>
          <w:rFonts w:hint="default" w:ascii="Times New Roman" w:hAnsi="Times New Roman" w:eastAsia="黑体" w:cs="Times New Roman"/>
          <w:highlight w:val="none"/>
        </w:rPr>
        <w:t>政府性基金预算支出决算情况说明</w:t>
      </w:r>
      <w:r>
        <w:tab/>
      </w:r>
      <w:r>
        <w:fldChar w:fldCharType="begin"/>
      </w:r>
      <w:r>
        <w:instrText xml:space="preserve"> PAGEREF _Toc23111 \h </w:instrText>
      </w:r>
      <w:r>
        <w:fldChar w:fldCharType="separate"/>
      </w:r>
      <w:r>
        <w:t>12</w:t>
      </w:r>
      <w:r>
        <w:fldChar w:fldCharType="end"/>
      </w:r>
      <w:r>
        <w:rPr>
          <w:rFonts w:hint="default"/>
        </w:rPr>
        <w:fldChar w:fldCharType="end"/>
      </w:r>
    </w:p>
    <w:p w14:paraId="2BC9FD61">
      <w:pPr>
        <w:pStyle w:val="14"/>
        <w:tabs>
          <w:tab w:val="right" w:leader="dot" w:pos="8306"/>
          <w:tab w:val="clear" w:pos="8296"/>
        </w:tabs>
      </w:pPr>
      <w:r>
        <w:rPr>
          <w:rFonts w:hint="default"/>
        </w:rPr>
        <w:fldChar w:fldCharType="begin"/>
      </w:r>
      <w:r>
        <w:rPr>
          <w:rFonts w:hint="default"/>
        </w:rPr>
        <w:instrText xml:space="preserve"> HYPERLINK \l _Toc31384 </w:instrText>
      </w:r>
      <w:r>
        <w:rPr>
          <w:rFonts w:hint="default"/>
        </w:rPr>
        <w:fldChar w:fldCharType="separate"/>
      </w:r>
      <w:r>
        <w:rPr>
          <w:rFonts w:hint="default" w:ascii="Times New Roman" w:hAnsi="Times New Roman" w:eastAsia="黑体" w:cs="Times New Roman"/>
          <w:highlight w:val="none"/>
          <w:lang w:eastAsia="zh-CN"/>
        </w:rPr>
        <w:t>九、</w:t>
      </w:r>
      <w:r>
        <w:rPr>
          <w:rFonts w:hint="default" w:ascii="Times New Roman" w:hAnsi="Times New Roman" w:eastAsia="黑体" w:cs="Times New Roman"/>
          <w:highlight w:val="none"/>
        </w:rPr>
        <w:t>国有资本经营预算支出决算情况说明</w:t>
      </w:r>
      <w:r>
        <w:tab/>
      </w:r>
      <w:r>
        <w:fldChar w:fldCharType="begin"/>
      </w:r>
      <w:r>
        <w:instrText xml:space="preserve"> PAGEREF _Toc31384 \h </w:instrText>
      </w:r>
      <w:r>
        <w:fldChar w:fldCharType="separate"/>
      </w:r>
      <w:r>
        <w:t>12</w:t>
      </w:r>
      <w:r>
        <w:fldChar w:fldCharType="end"/>
      </w:r>
      <w:r>
        <w:rPr>
          <w:rFonts w:hint="default"/>
        </w:rPr>
        <w:fldChar w:fldCharType="end"/>
      </w:r>
    </w:p>
    <w:p w14:paraId="6282B23B">
      <w:pPr>
        <w:pStyle w:val="14"/>
        <w:tabs>
          <w:tab w:val="right" w:leader="dot" w:pos="8306"/>
          <w:tab w:val="clear" w:pos="8296"/>
        </w:tabs>
      </w:pPr>
      <w:r>
        <w:rPr>
          <w:rFonts w:hint="default"/>
        </w:rPr>
        <w:fldChar w:fldCharType="begin"/>
      </w:r>
      <w:r>
        <w:rPr>
          <w:rFonts w:hint="default"/>
        </w:rPr>
        <w:instrText xml:space="preserve"> HYPERLINK \l _Toc9060 </w:instrText>
      </w:r>
      <w:r>
        <w:rPr>
          <w:rFonts w:hint="default"/>
        </w:rPr>
        <w:fldChar w:fldCharType="separate"/>
      </w:r>
      <w:r>
        <w:rPr>
          <w:rFonts w:hint="default" w:ascii="Times New Roman" w:hAnsi="Times New Roman" w:eastAsia="黑体" w:cs="Times New Roman"/>
          <w:highlight w:val="none"/>
          <w:lang w:eastAsia="zh-CN"/>
        </w:rPr>
        <w:t>十、</w:t>
      </w:r>
      <w:r>
        <w:rPr>
          <w:rFonts w:hint="default" w:ascii="Times New Roman" w:hAnsi="Times New Roman" w:eastAsia="黑体" w:cs="Times New Roman"/>
          <w:highlight w:val="none"/>
        </w:rPr>
        <w:t>其他重要事项的情况说明</w:t>
      </w:r>
      <w:r>
        <w:tab/>
      </w:r>
      <w:r>
        <w:fldChar w:fldCharType="begin"/>
      </w:r>
      <w:r>
        <w:instrText xml:space="preserve"> PAGEREF _Toc9060 \h </w:instrText>
      </w:r>
      <w:r>
        <w:fldChar w:fldCharType="separate"/>
      </w:r>
      <w:r>
        <w:t>12</w:t>
      </w:r>
      <w:r>
        <w:fldChar w:fldCharType="end"/>
      </w:r>
      <w:r>
        <w:rPr>
          <w:rFonts w:hint="default"/>
        </w:rPr>
        <w:fldChar w:fldCharType="end"/>
      </w:r>
    </w:p>
    <w:p w14:paraId="3775A5A3">
      <w:pPr>
        <w:pStyle w:val="8"/>
        <w:tabs>
          <w:tab w:val="right" w:leader="dot" w:pos="8306"/>
          <w:tab w:val="clear" w:pos="8296"/>
        </w:tabs>
      </w:pPr>
      <w:r>
        <w:rPr>
          <w:rFonts w:hint="default"/>
        </w:rPr>
        <w:fldChar w:fldCharType="begin"/>
      </w:r>
      <w:r>
        <w:rPr>
          <w:rFonts w:hint="default"/>
        </w:rPr>
        <w:instrText xml:space="preserve"> HYPERLINK \l _Toc29748 </w:instrText>
      </w:r>
      <w:r>
        <w:rPr>
          <w:rFonts w:hint="default"/>
        </w:rPr>
        <w:fldChar w:fldCharType="separate"/>
      </w:r>
      <w:r>
        <w:rPr>
          <w:rFonts w:hint="default" w:ascii="Times New Roman" w:hAnsi="Times New Roman" w:eastAsia="楷体_GB2312" w:cs="Times New Roman"/>
          <w:szCs w:val="32"/>
          <w:highlight w:val="none"/>
        </w:rPr>
        <w:t>（一）机关运行经费支出情况</w:t>
      </w:r>
      <w:r>
        <w:tab/>
      </w:r>
      <w:r>
        <w:fldChar w:fldCharType="begin"/>
      </w:r>
      <w:r>
        <w:instrText xml:space="preserve"> PAGEREF _Toc29748 \h </w:instrText>
      </w:r>
      <w:r>
        <w:fldChar w:fldCharType="separate"/>
      </w:r>
      <w:r>
        <w:t>12</w:t>
      </w:r>
      <w:r>
        <w:fldChar w:fldCharType="end"/>
      </w:r>
      <w:r>
        <w:rPr>
          <w:rFonts w:hint="default"/>
        </w:rPr>
        <w:fldChar w:fldCharType="end"/>
      </w:r>
    </w:p>
    <w:p w14:paraId="3D25B30D">
      <w:pPr>
        <w:pStyle w:val="8"/>
        <w:tabs>
          <w:tab w:val="right" w:leader="dot" w:pos="8306"/>
          <w:tab w:val="clear" w:pos="8296"/>
        </w:tabs>
      </w:pPr>
      <w:r>
        <w:rPr>
          <w:rFonts w:hint="default"/>
        </w:rPr>
        <w:fldChar w:fldCharType="begin"/>
      </w:r>
      <w:r>
        <w:rPr>
          <w:rFonts w:hint="default"/>
        </w:rPr>
        <w:instrText xml:space="preserve"> HYPERLINK \l _Toc9951 </w:instrText>
      </w:r>
      <w:r>
        <w:rPr>
          <w:rFonts w:hint="default"/>
        </w:rPr>
        <w:fldChar w:fldCharType="separate"/>
      </w:r>
      <w:r>
        <w:rPr>
          <w:rFonts w:hint="default" w:ascii="Times New Roman" w:hAnsi="Times New Roman" w:eastAsia="楷体_GB2312" w:cs="Times New Roman"/>
          <w:szCs w:val="32"/>
          <w:highlight w:val="none"/>
        </w:rPr>
        <w:t>（二）政府采购支出情况</w:t>
      </w:r>
      <w:r>
        <w:tab/>
      </w:r>
      <w:r>
        <w:fldChar w:fldCharType="begin"/>
      </w:r>
      <w:r>
        <w:instrText xml:space="preserve"> PAGEREF _Toc9951 \h </w:instrText>
      </w:r>
      <w:r>
        <w:fldChar w:fldCharType="separate"/>
      </w:r>
      <w:r>
        <w:t>12</w:t>
      </w:r>
      <w:r>
        <w:fldChar w:fldCharType="end"/>
      </w:r>
      <w:r>
        <w:rPr>
          <w:rFonts w:hint="default"/>
        </w:rPr>
        <w:fldChar w:fldCharType="end"/>
      </w:r>
    </w:p>
    <w:p w14:paraId="3AC33DAB">
      <w:pPr>
        <w:pStyle w:val="8"/>
        <w:tabs>
          <w:tab w:val="right" w:leader="dot" w:pos="8306"/>
          <w:tab w:val="clear" w:pos="8296"/>
        </w:tabs>
      </w:pPr>
      <w:r>
        <w:rPr>
          <w:rFonts w:hint="default"/>
        </w:rPr>
        <w:fldChar w:fldCharType="begin"/>
      </w:r>
      <w:r>
        <w:rPr>
          <w:rFonts w:hint="default"/>
        </w:rPr>
        <w:instrText xml:space="preserve"> HYPERLINK \l _Toc19326 </w:instrText>
      </w:r>
      <w:r>
        <w:rPr>
          <w:rFonts w:hint="default"/>
        </w:rPr>
        <w:fldChar w:fldCharType="separate"/>
      </w:r>
      <w:r>
        <w:rPr>
          <w:rFonts w:hint="default" w:ascii="Times New Roman" w:hAnsi="Times New Roman" w:eastAsia="楷体_GB2312" w:cs="Times New Roman"/>
          <w:szCs w:val="32"/>
          <w:highlight w:val="none"/>
        </w:rPr>
        <w:t>（三）国有资产占有使用情况</w:t>
      </w:r>
      <w:r>
        <w:tab/>
      </w:r>
      <w:r>
        <w:fldChar w:fldCharType="begin"/>
      </w:r>
      <w:r>
        <w:instrText xml:space="preserve"> PAGEREF _Toc19326 \h </w:instrText>
      </w:r>
      <w:r>
        <w:fldChar w:fldCharType="separate"/>
      </w:r>
      <w:r>
        <w:t>13</w:t>
      </w:r>
      <w:r>
        <w:fldChar w:fldCharType="end"/>
      </w:r>
      <w:r>
        <w:rPr>
          <w:rFonts w:hint="default"/>
        </w:rPr>
        <w:fldChar w:fldCharType="end"/>
      </w:r>
    </w:p>
    <w:p w14:paraId="557C9F26">
      <w:pPr>
        <w:pStyle w:val="12"/>
        <w:tabs>
          <w:tab w:val="right" w:leader="dot" w:pos="8306"/>
          <w:tab w:val="clear" w:pos="8296"/>
        </w:tabs>
      </w:pPr>
      <w:r>
        <w:rPr>
          <w:rFonts w:hint="default"/>
        </w:rPr>
        <w:fldChar w:fldCharType="begin"/>
      </w:r>
      <w:r>
        <w:rPr>
          <w:rFonts w:hint="default"/>
        </w:rPr>
        <w:instrText xml:space="preserve"> HYPERLINK \l _Toc25580 </w:instrText>
      </w:r>
      <w:r>
        <w:rPr>
          <w:rFonts w:hint="default"/>
        </w:rPr>
        <w:fldChar w:fldCharType="separate"/>
      </w:r>
      <w:r>
        <w:rPr>
          <w:rFonts w:hint="eastAsia" w:ascii="方正小标宋简体" w:hAnsi="方正小标宋简体" w:eastAsia="方正小标宋简体" w:cs="方正小标宋简体"/>
          <w:bCs w:val="0"/>
        </w:rPr>
        <w:t>第五部分 附表</w:t>
      </w:r>
      <w:r>
        <w:tab/>
      </w:r>
      <w:r>
        <w:fldChar w:fldCharType="begin"/>
      </w:r>
      <w:r>
        <w:instrText xml:space="preserve"> PAGEREF _Toc25580 \h </w:instrText>
      </w:r>
      <w:r>
        <w:fldChar w:fldCharType="separate"/>
      </w:r>
      <w:r>
        <w:t>16</w:t>
      </w:r>
      <w:r>
        <w:fldChar w:fldCharType="end"/>
      </w:r>
      <w:r>
        <w:rPr>
          <w:rFonts w:hint="default"/>
        </w:rPr>
        <w:fldChar w:fldCharType="end"/>
      </w:r>
    </w:p>
    <w:p w14:paraId="183AEE90">
      <w:pPr>
        <w:pStyle w:val="14"/>
        <w:tabs>
          <w:tab w:val="right" w:leader="dot" w:pos="8306"/>
          <w:tab w:val="clear" w:pos="8296"/>
        </w:tabs>
      </w:pPr>
      <w:r>
        <w:rPr>
          <w:rFonts w:hint="default"/>
        </w:rPr>
        <w:fldChar w:fldCharType="begin"/>
      </w:r>
      <w:r>
        <w:rPr>
          <w:rFonts w:hint="default"/>
        </w:rPr>
        <w:instrText xml:space="preserve"> HYPERLINK \l _Toc4911 </w:instrText>
      </w:r>
      <w:r>
        <w:rPr>
          <w:rFonts w:hint="default"/>
        </w:rPr>
        <w:fldChar w:fldCharType="separate"/>
      </w:r>
      <w:r>
        <w:rPr>
          <w:rFonts w:hint="eastAsia" w:ascii="仿宋_GB2312" w:hAnsi="仿宋_GB2312" w:eastAsia="仿宋_GB2312" w:cs="仿宋_GB2312"/>
          <w:bCs w:val="0"/>
        </w:rPr>
        <w:t>一、收入支出决算总表</w:t>
      </w:r>
      <w:r>
        <w:tab/>
      </w:r>
      <w:r>
        <w:fldChar w:fldCharType="begin"/>
      </w:r>
      <w:r>
        <w:instrText xml:space="preserve"> PAGEREF _Toc4911 \h </w:instrText>
      </w:r>
      <w:r>
        <w:fldChar w:fldCharType="separate"/>
      </w:r>
      <w:r>
        <w:t>16</w:t>
      </w:r>
      <w:r>
        <w:fldChar w:fldCharType="end"/>
      </w:r>
      <w:r>
        <w:rPr>
          <w:rFonts w:hint="default"/>
        </w:rPr>
        <w:fldChar w:fldCharType="end"/>
      </w:r>
    </w:p>
    <w:p w14:paraId="1BA2D196">
      <w:pPr>
        <w:pStyle w:val="14"/>
        <w:tabs>
          <w:tab w:val="right" w:leader="dot" w:pos="8306"/>
          <w:tab w:val="clear" w:pos="8296"/>
        </w:tabs>
      </w:pPr>
      <w:r>
        <w:rPr>
          <w:rFonts w:hint="default"/>
        </w:rPr>
        <w:fldChar w:fldCharType="begin"/>
      </w:r>
      <w:r>
        <w:rPr>
          <w:rFonts w:hint="default"/>
        </w:rPr>
        <w:instrText xml:space="preserve"> HYPERLINK \l _Toc14706 </w:instrText>
      </w:r>
      <w:r>
        <w:rPr>
          <w:rFonts w:hint="default"/>
        </w:rPr>
        <w:fldChar w:fldCharType="separate"/>
      </w:r>
      <w:r>
        <w:rPr>
          <w:rFonts w:hint="eastAsia" w:ascii="仿宋_GB2312" w:hAnsi="仿宋_GB2312" w:eastAsia="仿宋_GB2312" w:cs="仿宋_GB2312"/>
          <w:bCs w:val="0"/>
        </w:rPr>
        <w:t>二、收入决算表</w:t>
      </w:r>
      <w:r>
        <w:tab/>
      </w:r>
      <w:r>
        <w:fldChar w:fldCharType="begin"/>
      </w:r>
      <w:r>
        <w:instrText xml:space="preserve"> PAGEREF _Toc14706 \h </w:instrText>
      </w:r>
      <w:r>
        <w:fldChar w:fldCharType="separate"/>
      </w:r>
      <w:r>
        <w:t>16</w:t>
      </w:r>
      <w:r>
        <w:fldChar w:fldCharType="end"/>
      </w:r>
      <w:r>
        <w:rPr>
          <w:rFonts w:hint="default"/>
        </w:rPr>
        <w:fldChar w:fldCharType="end"/>
      </w:r>
    </w:p>
    <w:p w14:paraId="14DA3F5D">
      <w:pPr>
        <w:pStyle w:val="14"/>
        <w:tabs>
          <w:tab w:val="right" w:leader="dot" w:pos="8306"/>
          <w:tab w:val="clear" w:pos="8296"/>
        </w:tabs>
      </w:pPr>
      <w:r>
        <w:rPr>
          <w:rFonts w:hint="default"/>
        </w:rPr>
        <w:fldChar w:fldCharType="begin"/>
      </w:r>
      <w:r>
        <w:rPr>
          <w:rFonts w:hint="default"/>
        </w:rPr>
        <w:instrText xml:space="preserve"> HYPERLINK \l _Toc4466 </w:instrText>
      </w:r>
      <w:r>
        <w:rPr>
          <w:rFonts w:hint="default"/>
        </w:rPr>
        <w:fldChar w:fldCharType="separate"/>
      </w:r>
      <w:r>
        <w:rPr>
          <w:rFonts w:hint="eastAsia" w:ascii="仿宋_GB2312" w:hAnsi="仿宋_GB2312" w:eastAsia="仿宋_GB2312" w:cs="仿宋_GB2312"/>
          <w:bCs w:val="0"/>
        </w:rPr>
        <w:t>三、支出决算表</w:t>
      </w:r>
      <w:r>
        <w:tab/>
      </w:r>
      <w:r>
        <w:fldChar w:fldCharType="begin"/>
      </w:r>
      <w:r>
        <w:instrText xml:space="preserve"> PAGEREF _Toc4466 \h </w:instrText>
      </w:r>
      <w:r>
        <w:fldChar w:fldCharType="separate"/>
      </w:r>
      <w:r>
        <w:t>16</w:t>
      </w:r>
      <w:r>
        <w:fldChar w:fldCharType="end"/>
      </w:r>
      <w:r>
        <w:rPr>
          <w:rFonts w:hint="default"/>
        </w:rPr>
        <w:fldChar w:fldCharType="end"/>
      </w:r>
    </w:p>
    <w:p w14:paraId="64D501AE">
      <w:pPr>
        <w:pStyle w:val="14"/>
        <w:tabs>
          <w:tab w:val="right" w:leader="dot" w:pos="8306"/>
          <w:tab w:val="clear" w:pos="8296"/>
        </w:tabs>
      </w:pPr>
      <w:r>
        <w:rPr>
          <w:rFonts w:hint="default"/>
        </w:rPr>
        <w:fldChar w:fldCharType="begin"/>
      </w:r>
      <w:r>
        <w:rPr>
          <w:rFonts w:hint="default"/>
        </w:rPr>
        <w:instrText xml:space="preserve"> HYPERLINK \l _Toc13384 </w:instrText>
      </w:r>
      <w:r>
        <w:rPr>
          <w:rFonts w:hint="default"/>
        </w:rPr>
        <w:fldChar w:fldCharType="separate"/>
      </w:r>
      <w:r>
        <w:rPr>
          <w:rFonts w:hint="eastAsia" w:ascii="仿宋_GB2312" w:hAnsi="仿宋_GB2312" w:eastAsia="仿宋_GB2312" w:cs="仿宋_GB2312"/>
          <w:bCs w:val="0"/>
        </w:rPr>
        <w:t>四、财政拨款收入支出决算总表</w:t>
      </w:r>
      <w:r>
        <w:tab/>
      </w:r>
      <w:r>
        <w:fldChar w:fldCharType="begin"/>
      </w:r>
      <w:r>
        <w:instrText xml:space="preserve"> PAGEREF _Toc13384 \h </w:instrText>
      </w:r>
      <w:r>
        <w:fldChar w:fldCharType="separate"/>
      </w:r>
      <w:r>
        <w:t>16</w:t>
      </w:r>
      <w:r>
        <w:fldChar w:fldCharType="end"/>
      </w:r>
      <w:r>
        <w:rPr>
          <w:rFonts w:hint="default"/>
        </w:rPr>
        <w:fldChar w:fldCharType="end"/>
      </w:r>
    </w:p>
    <w:p w14:paraId="725B631F">
      <w:pPr>
        <w:pStyle w:val="14"/>
        <w:tabs>
          <w:tab w:val="right" w:leader="dot" w:pos="8306"/>
          <w:tab w:val="clear" w:pos="8296"/>
        </w:tabs>
      </w:pPr>
      <w:r>
        <w:rPr>
          <w:rFonts w:hint="default"/>
        </w:rPr>
        <w:fldChar w:fldCharType="begin"/>
      </w:r>
      <w:r>
        <w:rPr>
          <w:rFonts w:hint="default"/>
        </w:rPr>
        <w:instrText xml:space="preserve"> HYPERLINK \l _Toc27063 </w:instrText>
      </w:r>
      <w:r>
        <w:rPr>
          <w:rFonts w:hint="default"/>
        </w:rPr>
        <w:fldChar w:fldCharType="separate"/>
      </w:r>
      <w:r>
        <w:rPr>
          <w:rFonts w:hint="eastAsia" w:ascii="仿宋_GB2312" w:hAnsi="仿宋_GB2312" w:eastAsia="仿宋_GB2312" w:cs="仿宋_GB2312"/>
          <w:bCs w:val="0"/>
        </w:rPr>
        <w:t>五、财政拨款支出决算明细表</w:t>
      </w:r>
      <w:r>
        <w:tab/>
      </w:r>
      <w:r>
        <w:fldChar w:fldCharType="begin"/>
      </w:r>
      <w:r>
        <w:instrText xml:space="preserve"> PAGEREF _Toc27063 \h </w:instrText>
      </w:r>
      <w:r>
        <w:fldChar w:fldCharType="separate"/>
      </w:r>
      <w:r>
        <w:t>16</w:t>
      </w:r>
      <w:r>
        <w:fldChar w:fldCharType="end"/>
      </w:r>
      <w:r>
        <w:rPr>
          <w:rFonts w:hint="default"/>
        </w:rPr>
        <w:fldChar w:fldCharType="end"/>
      </w:r>
    </w:p>
    <w:p w14:paraId="7420E229">
      <w:pPr>
        <w:pStyle w:val="14"/>
        <w:tabs>
          <w:tab w:val="right" w:leader="dot" w:pos="8306"/>
          <w:tab w:val="clear" w:pos="8296"/>
        </w:tabs>
      </w:pPr>
      <w:r>
        <w:rPr>
          <w:rFonts w:hint="default"/>
        </w:rPr>
        <w:fldChar w:fldCharType="begin"/>
      </w:r>
      <w:r>
        <w:rPr>
          <w:rFonts w:hint="default"/>
        </w:rPr>
        <w:instrText xml:space="preserve"> HYPERLINK \l _Toc21573 </w:instrText>
      </w:r>
      <w:r>
        <w:rPr>
          <w:rFonts w:hint="default"/>
        </w:rPr>
        <w:fldChar w:fldCharType="separate"/>
      </w:r>
      <w:r>
        <w:rPr>
          <w:rFonts w:hint="eastAsia" w:ascii="仿宋_GB2312" w:hAnsi="仿宋_GB2312" w:eastAsia="仿宋_GB2312" w:cs="仿宋_GB2312"/>
          <w:bCs w:val="0"/>
        </w:rPr>
        <w:t>六、一般公共预算财政拨款支出决算表</w:t>
      </w:r>
      <w:r>
        <w:tab/>
      </w:r>
      <w:r>
        <w:fldChar w:fldCharType="begin"/>
      </w:r>
      <w:r>
        <w:instrText xml:space="preserve"> PAGEREF _Toc21573 \h </w:instrText>
      </w:r>
      <w:r>
        <w:fldChar w:fldCharType="separate"/>
      </w:r>
      <w:r>
        <w:t>16</w:t>
      </w:r>
      <w:r>
        <w:fldChar w:fldCharType="end"/>
      </w:r>
      <w:r>
        <w:rPr>
          <w:rFonts w:hint="default"/>
        </w:rPr>
        <w:fldChar w:fldCharType="end"/>
      </w:r>
    </w:p>
    <w:p w14:paraId="5F17885D">
      <w:pPr>
        <w:pStyle w:val="14"/>
        <w:tabs>
          <w:tab w:val="right" w:leader="dot" w:pos="8306"/>
          <w:tab w:val="clear" w:pos="8296"/>
        </w:tabs>
      </w:pPr>
      <w:r>
        <w:rPr>
          <w:rFonts w:hint="default"/>
        </w:rPr>
        <w:fldChar w:fldCharType="begin"/>
      </w:r>
      <w:r>
        <w:rPr>
          <w:rFonts w:hint="default"/>
        </w:rPr>
        <w:instrText xml:space="preserve"> HYPERLINK \l _Toc1527 </w:instrText>
      </w:r>
      <w:r>
        <w:rPr>
          <w:rFonts w:hint="default"/>
        </w:rPr>
        <w:fldChar w:fldCharType="separate"/>
      </w:r>
      <w:r>
        <w:rPr>
          <w:rFonts w:hint="eastAsia" w:ascii="仿宋_GB2312" w:hAnsi="仿宋_GB2312" w:eastAsia="仿宋_GB2312" w:cs="仿宋_GB2312"/>
          <w:bCs w:val="0"/>
        </w:rPr>
        <w:t>七、一般公共预算财政拨款支出决算明细表</w:t>
      </w:r>
      <w:r>
        <w:tab/>
      </w:r>
      <w:r>
        <w:fldChar w:fldCharType="begin"/>
      </w:r>
      <w:r>
        <w:instrText xml:space="preserve"> PAGEREF _Toc1527 \h </w:instrText>
      </w:r>
      <w:r>
        <w:fldChar w:fldCharType="separate"/>
      </w:r>
      <w:r>
        <w:t>16</w:t>
      </w:r>
      <w:r>
        <w:fldChar w:fldCharType="end"/>
      </w:r>
      <w:r>
        <w:rPr>
          <w:rFonts w:hint="default"/>
        </w:rPr>
        <w:fldChar w:fldCharType="end"/>
      </w:r>
    </w:p>
    <w:p w14:paraId="3FDB800B">
      <w:pPr>
        <w:pStyle w:val="14"/>
        <w:tabs>
          <w:tab w:val="right" w:leader="dot" w:pos="8306"/>
          <w:tab w:val="clear" w:pos="8296"/>
        </w:tabs>
      </w:pPr>
      <w:r>
        <w:rPr>
          <w:rFonts w:hint="default"/>
        </w:rPr>
        <w:fldChar w:fldCharType="begin"/>
      </w:r>
      <w:r>
        <w:rPr>
          <w:rFonts w:hint="default"/>
        </w:rPr>
        <w:instrText xml:space="preserve"> HYPERLINK \l _Toc9979 </w:instrText>
      </w:r>
      <w:r>
        <w:rPr>
          <w:rFonts w:hint="default"/>
        </w:rPr>
        <w:fldChar w:fldCharType="separate"/>
      </w:r>
      <w:r>
        <w:rPr>
          <w:rFonts w:hint="eastAsia" w:ascii="仿宋_GB2312" w:hAnsi="仿宋_GB2312" w:eastAsia="仿宋_GB2312" w:cs="仿宋_GB2312"/>
          <w:bCs w:val="0"/>
        </w:rPr>
        <w:t>八、一般公共预算财政拨款基本支出决算表</w:t>
      </w:r>
      <w:r>
        <w:tab/>
      </w:r>
      <w:r>
        <w:fldChar w:fldCharType="begin"/>
      </w:r>
      <w:r>
        <w:instrText xml:space="preserve"> PAGEREF _Toc9979 \h </w:instrText>
      </w:r>
      <w:r>
        <w:fldChar w:fldCharType="separate"/>
      </w:r>
      <w:r>
        <w:t>16</w:t>
      </w:r>
      <w:r>
        <w:fldChar w:fldCharType="end"/>
      </w:r>
      <w:r>
        <w:rPr>
          <w:rFonts w:hint="default"/>
        </w:rPr>
        <w:fldChar w:fldCharType="end"/>
      </w:r>
    </w:p>
    <w:p w14:paraId="53285C2D">
      <w:pPr>
        <w:pStyle w:val="14"/>
        <w:tabs>
          <w:tab w:val="right" w:leader="dot" w:pos="8306"/>
          <w:tab w:val="clear" w:pos="8296"/>
        </w:tabs>
      </w:pPr>
      <w:r>
        <w:rPr>
          <w:rFonts w:hint="default"/>
        </w:rPr>
        <w:fldChar w:fldCharType="begin"/>
      </w:r>
      <w:r>
        <w:rPr>
          <w:rFonts w:hint="default"/>
        </w:rPr>
        <w:instrText xml:space="preserve"> HYPERLINK \l _Toc17172 </w:instrText>
      </w:r>
      <w:r>
        <w:rPr>
          <w:rFonts w:hint="default"/>
        </w:rPr>
        <w:fldChar w:fldCharType="separate"/>
      </w:r>
      <w:r>
        <w:rPr>
          <w:rFonts w:hint="eastAsia" w:ascii="仿宋_GB2312" w:hAnsi="仿宋_GB2312" w:eastAsia="仿宋_GB2312" w:cs="仿宋_GB2312"/>
          <w:bCs w:val="0"/>
        </w:rPr>
        <w:t>九、一般公共预算财政拨款项目支出决算表</w:t>
      </w:r>
      <w:r>
        <w:tab/>
      </w:r>
      <w:r>
        <w:fldChar w:fldCharType="begin"/>
      </w:r>
      <w:r>
        <w:instrText xml:space="preserve"> PAGEREF _Toc17172 \h </w:instrText>
      </w:r>
      <w:r>
        <w:fldChar w:fldCharType="separate"/>
      </w:r>
      <w:r>
        <w:t>16</w:t>
      </w:r>
      <w:r>
        <w:fldChar w:fldCharType="end"/>
      </w:r>
      <w:r>
        <w:rPr>
          <w:rFonts w:hint="default"/>
        </w:rPr>
        <w:fldChar w:fldCharType="end"/>
      </w:r>
    </w:p>
    <w:p w14:paraId="5ABD7CB7">
      <w:pPr>
        <w:pStyle w:val="14"/>
        <w:tabs>
          <w:tab w:val="right" w:leader="dot" w:pos="8306"/>
          <w:tab w:val="clear" w:pos="8296"/>
        </w:tabs>
      </w:pPr>
      <w:r>
        <w:rPr>
          <w:rFonts w:hint="default"/>
        </w:rPr>
        <w:fldChar w:fldCharType="begin"/>
      </w:r>
      <w:r>
        <w:rPr>
          <w:rFonts w:hint="default"/>
        </w:rPr>
        <w:instrText xml:space="preserve"> HYPERLINK \l _Toc19726 </w:instrText>
      </w:r>
      <w:r>
        <w:rPr>
          <w:rFonts w:hint="default"/>
        </w:rPr>
        <w:fldChar w:fldCharType="separate"/>
      </w:r>
      <w:r>
        <w:rPr>
          <w:rFonts w:hint="eastAsia" w:ascii="仿宋_GB2312" w:hAnsi="仿宋_GB2312" w:eastAsia="仿宋_GB2312" w:cs="仿宋_GB2312"/>
          <w:bCs w:val="0"/>
        </w:rPr>
        <w:t>十、政府性基金预算财政拨款收入支出决算表</w:t>
      </w:r>
      <w:r>
        <w:tab/>
      </w:r>
      <w:r>
        <w:fldChar w:fldCharType="begin"/>
      </w:r>
      <w:r>
        <w:instrText xml:space="preserve"> PAGEREF _Toc19726 \h </w:instrText>
      </w:r>
      <w:r>
        <w:fldChar w:fldCharType="separate"/>
      </w:r>
      <w:r>
        <w:t>16</w:t>
      </w:r>
      <w:r>
        <w:fldChar w:fldCharType="end"/>
      </w:r>
      <w:r>
        <w:rPr>
          <w:rFonts w:hint="default"/>
        </w:rPr>
        <w:fldChar w:fldCharType="end"/>
      </w:r>
    </w:p>
    <w:p w14:paraId="2FB34FD3">
      <w:pPr>
        <w:pStyle w:val="14"/>
        <w:tabs>
          <w:tab w:val="right" w:leader="dot" w:pos="8306"/>
          <w:tab w:val="clear" w:pos="8296"/>
        </w:tabs>
      </w:pPr>
      <w:r>
        <w:rPr>
          <w:rFonts w:hint="default"/>
        </w:rPr>
        <w:fldChar w:fldCharType="begin"/>
      </w:r>
      <w:r>
        <w:rPr>
          <w:rFonts w:hint="default"/>
        </w:rPr>
        <w:instrText xml:space="preserve"> HYPERLINK \l _Toc16701 </w:instrText>
      </w:r>
      <w:r>
        <w:rPr>
          <w:rFonts w:hint="default"/>
        </w:rPr>
        <w:fldChar w:fldCharType="separate"/>
      </w:r>
      <w:r>
        <w:rPr>
          <w:rFonts w:hint="eastAsia" w:ascii="仿宋_GB2312" w:hAnsi="仿宋_GB2312" w:eastAsia="仿宋_GB2312" w:cs="仿宋_GB2312"/>
          <w:bCs w:val="0"/>
        </w:rPr>
        <w:t>十一、国有资本经营预算</w:t>
      </w:r>
      <w:r>
        <w:rPr>
          <w:rFonts w:hint="eastAsia" w:ascii="仿宋_GB2312" w:hAnsi="仿宋_GB2312" w:eastAsia="仿宋_GB2312" w:cs="仿宋_GB2312"/>
          <w:bCs w:val="0"/>
          <w:lang w:eastAsia="zh-CN"/>
        </w:rPr>
        <w:t>财政拨款收入</w:t>
      </w:r>
      <w:r>
        <w:rPr>
          <w:rFonts w:hint="eastAsia" w:ascii="仿宋_GB2312" w:hAnsi="仿宋_GB2312" w:eastAsia="仿宋_GB2312" w:cs="仿宋_GB2312"/>
          <w:bCs w:val="0"/>
        </w:rPr>
        <w:t>支出决算表</w:t>
      </w:r>
      <w:r>
        <w:tab/>
      </w:r>
      <w:r>
        <w:fldChar w:fldCharType="begin"/>
      </w:r>
      <w:r>
        <w:instrText xml:space="preserve"> PAGEREF _Toc16701 \h </w:instrText>
      </w:r>
      <w:r>
        <w:fldChar w:fldCharType="separate"/>
      </w:r>
      <w:r>
        <w:t>16</w:t>
      </w:r>
      <w:r>
        <w:fldChar w:fldCharType="end"/>
      </w:r>
      <w:r>
        <w:rPr>
          <w:rFonts w:hint="default"/>
        </w:rPr>
        <w:fldChar w:fldCharType="end"/>
      </w:r>
    </w:p>
    <w:p w14:paraId="61B77B52">
      <w:pPr>
        <w:pStyle w:val="14"/>
        <w:tabs>
          <w:tab w:val="right" w:leader="dot" w:pos="8306"/>
          <w:tab w:val="clear" w:pos="8296"/>
        </w:tabs>
      </w:pPr>
      <w:r>
        <w:rPr>
          <w:rFonts w:hint="default"/>
        </w:rPr>
        <w:fldChar w:fldCharType="begin"/>
      </w:r>
      <w:r>
        <w:rPr>
          <w:rFonts w:hint="default"/>
        </w:rPr>
        <w:instrText xml:space="preserve"> HYPERLINK \l _Toc26507 </w:instrText>
      </w:r>
      <w:r>
        <w:rPr>
          <w:rFonts w:hint="default"/>
        </w:rPr>
        <w:fldChar w:fldCharType="separate"/>
      </w:r>
      <w:r>
        <w:rPr>
          <w:rFonts w:hint="eastAsia" w:ascii="仿宋_GB2312" w:hAnsi="仿宋_GB2312" w:eastAsia="仿宋_GB2312" w:cs="仿宋_GB2312"/>
          <w:bCs w:val="0"/>
        </w:rPr>
        <w:t>十二、</w:t>
      </w:r>
      <w:r>
        <w:rPr>
          <w:rFonts w:hint="eastAsia" w:ascii="仿宋_GB2312" w:hAnsi="仿宋_GB2312" w:eastAsia="仿宋_GB2312" w:cs="仿宋_GB2312"/>
          <w:bCs w:val="0"/>
          <w:lang w:eastAsia="zh-CN"/>
        </w:rPr>
        <w:t>国有资本经营预算财政拨款支出决算表</w:t>
      </w:r>
      <w:r>
        <w:tab/>
      </w:r>
      <w:r>
        <w:fldChar w:fldCharType="begin"/>
      </w:r>
      <w:r>
        <w:instrText xml:space="preserve"> PAGEREF _Toc26507 \h </w:instrText>
      </w:r>
      <w:r>
        <w:fldChar w:fldCharType="separate"/>
      </w:r>
      <w:r>
        <w:t>16</w:t>
      </w:r>
      <w:r>
        <w:fldChar w:fldCharType="end"/>
      </w:r>
      <w:r>
        <w:rPr>
          <w:rFonts w:hint="default"/>
        </w:rPr>
        <w:fldChar w:fldCharType="end"/>
      </w:r>
    </w:p>
    <w:p w14:paraId="69435940">
      <w:pPr>
        <w:pStyle w:val="14"/>
        <w:tabs>
          <w:tab w:val="right" w:leader="dot" w:pos="8306"/>
          <w:tab w:val="clear" w:pos="8296"/>
        </w:tabs>
      </w:pPr>
      <w:r>
        <w:rPr>
          <w:rFonts w:hint="default"/>
        </w:rPr>
        <w:fldChar w:fldCharType="begin"/>
      </w:r>
      <w:r>
        <w:rPr>
          <w:rFonts w:hint="default"/>
        </w:rPr>
        <w:instrText xml:space="preserve"> HYPERLINK \l _Toc130 </w:instrText>
      </w:r>
      <w:r>
        <w:rPr>
          <w:rFonts w:hint="default"/>
        </w:rPr>
        <w:fldChar w:fldCharType="separate"/>
      </w:r>
      <w:r>
        <w:rPr>
          <w:rFonts w:hint="eastAsia" w:ascii="仿宋_GB2312" w:hAnsi="仿宋_GB2312" w:eastAsia="仿宋_GB2312" w:cs="仿宋_GB2312"/>
          <w:bCs w:val="0"/>
        </w:rPr>
        <w:t>十三、</w:t>
      </w:r>
      <w:r>
        <w:rPr>
          <w:rFonts w:hint="eastAsia" w:ascii="仿宋_GB2312" w:hAnsi="仿宋_GB2312" w:eastAsia="仿宋_GB2312" w:cs="仿宋_GB2312"/>
          <w:bCs w:val="0"/>
          <w:lang w:eastAsia="zh-CN"/>
        </w:rPr>
        <w:t>财政拨款“三公”经费支出决算表</w:t>
      </w:r>
      <w:r>
        <w:tab/>
      </w:r>
      <w:r>
        <w:fldChar w:fldCharType="begin"/>
      </w:r>
      <w:r>
        <w:instrText xml:space="preserve"> PAGEREF _Toc130 \h </w:instrText>
      </w:r>
      <w:r>
        <w:fldChar w:fldCharType="separate"/>
      </w:r>
      <w:r>
        <w:t>16</w:t>
      </w:r>
      <w:r>
        <w:fldChar w:fldCharType="end"/>
      </w:r>
      <w:r>
        <w:rPr>
          <w:rFonts w:hint="default"/>
        </w:rPr>
        <w:fldChar w:fldCharType="end"/>
      </w:r>
    </w:p>
    <w:p w14:paraId="5083C02D">
      <w:pPr>
        <w:bidi w:val="0"/>
        <w:rPr>
          <w:rFonts w:hint="default"/>
        </w:rPr>
      </w:pPr>
      <w:r>
        <w:rPr>
          <w:rFonts w:hint="default"/>
        </w:rPr>
        <w:fldChar w:fldCharType="end"/>
      </w:r>
      <w:bookmarkStart w:id="6" w:name="_Toc15377196"/>
      <w:bookmarkStart w:id="7" w:name="_Toc15396599"/>
    </w:p>
    <w:p w14:paraId="0C21BBB6">
      <w:pPr>
        <w:pStyle w:val="2"/>
        <w:jc w:val="center"/>
        <w:rPr>
          <w:rFonts w:hint="default" w:ascii="Times New Roman" w:hAnsi="Times New Roman" w:eastAsia="方正小标宋简体" w:cs="Times New Roman"/>
          <w:b w:val="0"/>
          <w:color w:val="auto"/>
          <w:highlight w:val="none"/>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p>
    <w:p w14:paraId="5D794C54">
      <w:pPr>
        <w:pStyle w:val="2"/>
        <w:jc w:val="center"/>
        <w:rPr>
          <w:rFonts w:hint="default" w:ascii="Times New Roman" w:hAnsi="Times New Roman" w:eastAsia="黑体" w:cs="Times New Roman"/>
          <w:color w:val="auto"/>
          <w:sz w:val="32"/>
          <w:szCs w:val="32"/>
          <w:highlight w:val="none"/>
        </w:rPr>
      </w:pPr>
      <w:bookmarkStart w:id="8" w:name="_Toc17585"/>
      <w:r>
        <w:rPr>
          <w:rFonts w:hint="default" w:ascii="Times New Roman" w:hAnsi="Times New Roman" w:eastAsia="方正小标宋简体" w:cs="Times New Roman"/>
          <w:b w:val="0"/>
          <w:color w:val="auto"/>
          <w:highlight w:val="none"/>
        </w:rPr>
        <w:t>第一部分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Style w:val="28"/>
          <w:rFonts w:hint="default" w:ascii="Times New Roman" w:hAnsi="Times New Roman" w:eastAsia="方正小标宋简体" w:cs="Times New Roman"/>
          <w:b w:val="0"/>
          <w:bCs w:val="0"/>
          <w:color w:val="auto"/>
          <w:highlight w:val="none"/>
        </w:rPr>
        <w:t>部门概况</w:t>
      </w:r>
      <w:bookmarkEnd w:id="6"/>
      <w:bookmarkEnd w:id="7"/>
      <w:bookmarkEnd w:id="8"/>
    </w:p>
    <w:p w14:paraId="1CCBD3FD">
      <w:pPr>
        <w:pStyle w:val="3"/>
        <w:pageBreakBefore w:val="0"/>
        <w:numPr>
          <w:ilvl w:val="0"/>
          <w:numId w:val="0"/>
        </w:numPr>
        <w:kinsoku/>
        <w:wordWrap/>
        <w:overflowPunct/>
        <w:topLinePunct w:val="0"/>
        <w:autoSpaceDN/>
        <w:bidi w:val="0"/>
        <w:adjustRightInd/>
        <w:snapToGrid/>
        <w:spacing w:before="0" w:after="0" w:line="576" w:lineRule="exact"/>
        <w:ind w:firstLine="640" w:firstLineChars="200"/>
        <w:textAlignment w:val="auto"/>
        <w:rPr>
          <w:rFonts w:hint="default" w:ascii="Times New Roman" w:hAnsi="Times New Roman" w:eastAsia="黑体" w:cs="Times New Roman"/>
          <w:b w:val="0"/>
          <w:color w:val="auto"/>
          <w:highlight w:val="none"/>
          <w:lang w:eastAsia="zh-CN"/>
        </w:rPr>
      </w:pPr>
      <w:bookmarkStart w:id="9" w:name="_Toc2930"/>
      <w:r>
        <w:rPr>
          <w:rFonts w:hint="eastAsia" w:ascii="Times New Roman" w:hAnsi="Times New Roman" w:eastAsia="黑体" w:cs="Times New Roman"/>
          <w:b w:val="0"/>
          <w:bCs/>
          <w:color w:val="auto"/>
          <w:kern w:val="2"/>
          <w:sz w:val="32"/>
          <w:szCs w:val="32"/>
          <w:lang w:val="en-US" w:eastAsia="zh-CN" w:bidi="ar-SA"/>
        </w:rPr>
        <w:t>一、</w:t>
      </w:r>
      <w:r>
        <w:rPr>
          <w:rFonts w:hint="default" w:ascii="Times New Roman" w:hAnsi="Times New Roman" w:eastAsia="黑体" w:cs="Times New Roman"/>
          <w:b w:val="0"/>
          <w:color w:val="auto"/>
          <w:highlight w:val="none"/>
          <w:lang w:eastAsia="zh-CN"/>
        </w:rPr>
        <w:t>部门职责</w:t>
      </w:r>
      <w:bookmarkEnd w:id="9"/>
    </w:p>
    <w:p w14:paraId="2D67334B">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0"/>
          <w:sz w:val="32"/>
          <w:szCs w:val="32"/>
          <w:shd w:val="clear" w:fill="FFFFFF"/>
        </w:rPr>
        <w:t>主管全县审计工作。负责对县级财政收支和法律法规规定属于审计监督范围的财务收支的真实、合法和效益进行审计监督，对公共资金、国有资产、国有资源和领导干部履行经济责任情况实行审计全覆盖，对领导干部实行自然资源资产离任（任中）审计，对国家和省、州、县有关重大政策措施贯彻落实情况进行跟踪审计。对审计、专项审计调查和核查社会审计机构相关审计报告的结果承担责任，并负有督促被审计单位整改的责任。</w:t>
      </w:r>
      <w:r>
        <w:rPr>
          <w:rFonts w:hint="default" w:ascii="Times New Roman" w:hAnsi="Times New Roman" w:eastAsia="仿宋_GB2312" w:cs="Times New Roman"/>
          <w:kern w:val="0"/>
          <w:sz w:val="32"/>
          <w:szCs w:val="32"/>
          <w:shd w:val="clear" w:fill="FFFFFF"/>
        </w:rPr>
        <w:br w:type="textWrapping"/>
      </w:r>
      <w:r>
        <w:rPr>
          <w:rFonts w:hint="default" w:ascii="Times New Roman" w:hAnsi="Times New Roman" w:eastAsia="仿宋_GB2312" w:cs="Times New Roman"/>
          <w:kern w:val="0"/>
          <w:sz w:val="32"/>
          <w:szCs w:val="32"/>
          <w:shd w:val="clear" w:fill="FFFFFF"/>
        </w:rPr>
        <w:t xml:space="preserve">   （二）贯彻执行国家和省、州、县有关审计工作的方针政策和法律法规。起草规范性文件草案。制定并组织实施全县专业领域审计工作规划。对直接审计、调查和核查的事项依法进行审计评价，做出审计决定或提出审计建议。</w:t>
      </w:r>
    </w:p>
    <w:p w14:paraId="55B61A06">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lang w:val="en-US" w:eastAsia="zh-CN" w:bidi="ar-SA"/>
        </w:rPr>
        <w:t>（二）</w:t>
      </w:r>
      <w:r>
        <w:rPr>
          <w:rFonts w:hint="default" w:ascii="Times New Roman" w:hAnsi="Times New Roman" w:eastAsia="仿宋_GB2312" w:cs="Times New Roman"/>
          <w:kern w:val="0"/>
          <w:sz w:val="32"/>
          <w:szCs w:val="32"/>
          <w:shd w:val="clear" w:fill="FFFFFF"/>
        </w:rPr>
        <w:t>向县委审计委员会提出年度县级预算执行和其他财政收支情况审计报告。向县政府和州审计局提出年度县级预算执行及其他财政收支情况的审计结果报告。受县政府委托向县人大常委会提出县级预算执行和其他财政收支情况的审计工作报告、审计查出问题整改情况报告。向县委、县政府报告对其他事项的审计和专项审计调查情况及结果。依法向社会公布审计结果。向县直有关部门</w:t>
      </w:r>
      <w:r>
        <w:rPr>
          <w:rFonts w:hint="eastAsia" w:eastAsia="仿宋_GB2312" w:cs="Times New Roman"/>
          <w:kern w:val="0"/>
          <w:sz w:val="32"/>
          <w:szCs w:val="32"/>
          <w:shd w:val="clear" w:fill="FFFFFF"/>
          <w:lang w:eastAsia="zh-CN"/>
        </w:rPr>
        <w:t>和</w:t>
      </w:r>
      <w:r>
        <w:rPr>
          <w:rFonts w:hint="default" w:ascii="Times New Roman" w:hAnsi="Times New Roman" w:eastAsia="仿宋_GB2312" w:cs="Times New Roman"/>
          <w:kern w:val="0"/>
          <w:sz w:val="32"/>
          <w:szCs w:val="32"/>
          <w:shd w:val="clear" w:fill="FFFFFF"/>
        </w:rPr>
        <w:t>乡镇党委、政府通报审计情况和审计结果。</w:t>
      </w:r>
    </w:p>
    <w:p w14:paraId="4D4C6579">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四）直接审计下列事项，出具审计报告，在法定职权范围内做出审计决定，包括国家、省、州和县有关重大政策措施贯彻落实情况；县级预算执行和其他财政收支；县级决算（草案）和其他财政收支；县级各部门（含直属单位）预算执行情况、决算和其他财政收支；使用县级财政资金的事业单位（含直属单位）和社会团体的财务收支；县级政府投资和以县级政府投资为主的建设项目的预算执行情况和决算，县级重大公共工程项目的资金管理使用和建设运营情况；自然资源管理、污染防治和生态保护与修复情况；县属国有企业和地方金融机构、国有资本占控股或主导地位的企业和金融机构境内外资产、负债和损益，县政府及有关部门驻外非经营性机构的财务收支；有关社会保障基金、社会捐赠资金、安全生产和职业健康财政资金及其他基金、资金的财务收支。根据省审计厅、州审计局授权的国际组织和外国政府援助、贷款项目。法律法规规定的其他事项。</w:t>
      </w:r>
    </w:p>
    <w:p w14:paraId="79F2C12B">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（五）按规定对县委、县政府确定的或接受县级有关部门委托的、党政主要领导干部和县属国有企业及国有控股企业领导干部实施经济责任审计和自然资源资产离任（任中）审计。</w:t>
      </w:r>
    </w:p>
    <w:p w14:paraId="4E632C85">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（六）组织实施对国家、省、州、县财经法律法规、规章、政策和宏观调控措施执行情况、财政预算管理及国有资产管理使用等与县级财政收支有关的特定事项进行专项审计调查。</w:t>
      </w:r>
    </w:p>
    <w:p w14:paraId="100D3CB5">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（七）依法检查审计决定执行情况，督促整改审计查出的问题，依法办理县政府裁决的有关事项，协助配合有关部门查处相关重大案件。</w:t>
      </w:r>
    </w:p>
    <w:p w14:paraId="632029AF">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（八）指导和监督内部审计工作，核查社会审计机构对依法属于审计监督对象的单位出具的相关审计报告。</w:t>
      </w:r>
    </w:p>
    <w:p w14:paraId="57163CFB">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（九）组织开展审计</w:t>
      </w:r>
      <w:r>
        <w:rPr>
          <w:rFonts w:hint="eastAsia" w:eastAsia="仿宋_GB2312" w:cs="Times New Roman"/>
          <w:kern w:val="0"/>
          <w:sz w:val="32"/>
          <w:szCs w:val="32"/>
          <w:shd w:val="clear" w:fill="FFFFFF"/>
          <w:lang w:eastAsia="zh-CN"/>
        </w:rPr>
        <w:t>领域</w:t>
      </w:r>
      <w:r>
        <w:rPr>
          <w:rFonts w:hint="default" w:ascii="Times New Roman" w:hAnsi="Times New Roman" w:eastAsia="仿宋_GB2312" w:cs="Times New Roman"/>
          <w:kern w:val="0"/>
          <w:sz w:val="32"/>
          <w:szCs w:val="32"/>
          <w:shd w:val="clear" w:fill="FFFFFF"/>
        </w:rPr>
        <w:t>的交流与合作，组织开展信息技术在审计领域的应用。</w:t>
      </w:r>
    </w:p>
    <w:p w14:paraId="06FC70A3">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（十）负责全县重大项目稽查和县级预算执行情况和其他财政收支情况、国有企业的监督检查。</w:t>
      </w:r>
    </w:p>
    <w:p w14:paraId="3E7019F5">
      <w:pPr>
        <w:keepNext w:val="0"/>
        <w:keepLines w:val="0"/>
        <w:pageBreakBefore w:val="0"/>
        <w:widowControl w:val="0"/>
        <w:numPr>
          <w:ilvl w:val="0"/>
          <w:numId w:val="0"/>
        </w:numPr>
        <w:kinsoku/>
        <w:wordWrap/>
        <w:overflowPunct/>
        <w:topLinePunct w:val="0"/>
        <w:autoSpaceDE/>
        <w:autoSpaceDN/>
        <w:bidi w:val="0"/>
        <w:adjustRightInd/>
        <w:snapToGrid/>
        <w:spacing w:afterAutospacing="0" w:line="576" w:lineRule="exact"/>
        <w:ind w:left="0" w:leftChars="0" w:firstLine="640" w:firstLineChars="200"/>
        <w:textAlignment w:val="auto"/>
        <w:rPr>
          <w:rFonts w:hint="default" w:ascii="Times New Roman" w:hAnsi="Times New Roman" w:eastAsia="仿宋_GB2312" w:cs="Times New Roman"/>
          <w:kern w:val="0"/>
          <w:sz w:val="32"/>
          <w:szCs w:val="32"/>
          <w:shd w:val="clear" w:fill="FFFFFF"/>
        </w:rPr>
      </w:pPr>
      <w:r>
        <w:rPr>
          <w:rFonts w:hint="default" w:ascii="Times New Roman" w:hAnsi="Times New Roman" w:eastAsia="仿宋_GB2312" w:cs="Times New Roman"/>
          <w:kern w:val="0"/>
          <w:sz w:val="32"/>
          <w:szCs w:val="32"/>
          <w:shd w:val="clear" w:fill="FFFFFF"/>
        </w:rPr>
        <w:t>（十一）负责实施范围内的安全生产和职业健康、生态环境保护、审批服务便民化等工作。</w:t>
      </w:r>
    </w:p>
    <w:p w14:paraId="4C46AE94">
      <w:pPr>
        <w:pageBreakBefore w:val="0"/>
        <w:kinsoku/>
        <w:wordWrap/>
        <w:overflowPunct/>
        <w:topLinePunct w:val="0"/>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bookmarkStart w:id="10" w:name="_Toc9926"/>
      <w:bookmarkStart w:id="11" w:name="_Toc23128"/>
      <w:bookmarkStart w:id="12" w:name="_Toc23059"/>
      <w:r>
        <w:rPr>
          <w:rFonts w:hint="eastAsia" w:ascii="仿宋_GB2312" w:hAnsi="仿宋_GB2312" w:eastAsia="仿宋_GB2312" w:cs="仿宋_GB2312"/>
          <w:sz w:val="32"/>
          <w:szCs w:val="32"/>
        </w:rPr>
        <w:t>（十二）完成县委、县政府交办的其他任务。</w:t>
      </w:r>
      <w:bookmarkEnd w:id="10"/>
      <w:bookmarkEnd w:id="11"/>
      <w:bookmarkEnd w:id="12"/>
    </w:p>
    <w:p w14:paraId="235682F4">
      <w:pPr>
        <w:keepNext w:val="0"/>
        <w:keepLines w:val="0"/>
        <w:pageBreakBefore w:val="0"/>
        <w:widowControl/>
        <w:suppressLineNumbers w:val="0"/>
        <w:kinsoku/>
        <w:wordWrap/>
        <w:overflowPunct/>
        <w:topLinePunct w:val="0"/>
        <w:autoSpaceDE w:val="0"/>
        <w:autoSpaceDN/>
        <w:bidi w:val="0"/>
        <w:adjustRightInd/>
        <w:snapToGrid/>
        <w:spacing w:afterAutospacing="0" w:line="576"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kern w:val="0"/>
          <w:sz w:val="32"/>
          <w:szCs w:val="32"/>
          <w:lang w:val="en-US" w:eastAsia="zh-CN"/>
        </w:rPr>
        <w:t>（十三）职能转变。进一步完善审计管理体制，加强全县审计工作统筹，明晰职能定位，理顺内部职责关系，优化审计资源配置，充实加强审计力量，构建集中统一、全面覆盖、权威高效的审计监督体系。优化审计工作机制，坚持科技强审，完善业务流程，改进工作方式，加强与有关部门的沟通协调，充分调动内部审计和社会审计力量，增强监督合力。</w:t>
      </w:r>
    </w:p>
    <w:p w14:paraId="1BAF72D8">
      <w:pPr>
        <w:pStyle w:val="3"/>
        <w:pageBreakBefore w:val="0"/>
        <w:kinsoku/>
        <w:wordWrap/>
        <w:overflowPunct/>
        <w:topLinePunct w:val="0"/>
        <w:autoSpaceDN/>
        <w:bidi w:val="0"/>
        <w:adjustRightInd/>
        <w:snapToGrid/>
        <w:spacing w:before="0" w:after="0" w:line="576" w:lineRule="exact"/>
        <w:ind w:firstLine="640" w:firstLineChars="200"/>
        <w:textAlignment w:val="auto"/>
        <w:rPr>
          <w:rStyle w:val="29"/>
          <w:rFonts w:hint="default" w:ascii="Times New Roman" w:hAnsi="Times New Roman" w:cs="Times New Roman"/>
          <w:b w:val="0"/>
          <w:bCs w:val="0"/>
          <w:color w:val="auto"/>
          <w:highlight w:val="none"/>
        </w:rPr>
      </w:pPr>
      <w:bookmarkStart w:id="13" w:name="_Toc15396601"/>
      <w:bookmarkStart w:id="14" w:name="_Toc15377200"/>
      <w:bookmarkStart w:id="15" w:name="_Toc19346"/>
      <w:r>
        <w:rPr>
          <w:rFonts w:hint="default" w:ascii="Times New Roman" w:hAnsi="Times New Roman" w:eastAsia="黑体" w:cs="Times New Roman"/>
          <w:b w:val="0"/>
          <w:color w:val="auto"/>
          <w:highlight w:val="none"/>
        </w:rPr>
        <w:t>二、机</w:t>
      </w:r>
      <w:r>
        <w:rPr>
          <w:rStyle w:val="29"/>
          <w:rFonts w:hint="default" w:ascii="Times New Roman" w:hAnsi="Times New Roman" w:eastAsia="黑体" w:cs="Times New Roman"/>
          <w:b w:val="0"/>
          <w:bCs w:val="0"/>
          <w:color w:val="auto"/>
          <w:highlight w:val="none"/>
        </w:rPr>
        <w:t>构设置</w:t>
      </w:r>
      <w:bookmarkEnd w:id="13"/>
      <w:bookmarkEnd w:id="14"/>
      <w:bookmarkEnd w:id="15"/>
    </w:p>
    <w:p w14:paraId="0E0485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（一）办公室</w:t>
      </w:r>
    </w:p>
    <w:p w14:paraId="65D125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处理局机关日常政务，负责有关重要会议的组织和有关报告、文件及局机关管理制度的起草；编制全县审计工作计划，负责局机关目标管理、离退休人员的管理；负责审计调查研究、宣传、对外协调、新闻发布和机关文电处理、保密、信访、档案管理。</w:t>
      </w:r>
    </w:p>
    <w:p w14:paraId="5D8508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（二）财政审计股</w:t>
      </w:r>
    </w:p>
    <w:p w14:paraId="60CE12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审计县级和县级各部门（含直属单位）预算执行情况、决算（草案）和其他财政收支。组织审计县属国有金融机构和县政府规定的国有资本占控股或主导地位金融机构的资产、负债和损益。负责与县人大财经工作委员会协调联系有关审计业务工作。组织实施对国家和省、州、县有关重大政策措施贯彻落实情况的跟踪审计工作，承担相关业务审计或专项审计调查工作。组织审计农业农村、扶贫开发以及其他相关公共资金和建设项目。</w:t>
      </w:r>
    </w:p>
    <w:p w14:paraId="0D97459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（三）固定资产投资审计股</w:t>
      </w:r>
    </w:p>
    <w:p w14:paraId="60A576D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审计县级政府投资、以县级政府投资为主的建设项目以及其他关系到国家利益和公共利益的重大公共工程项目；承担对有关部门和国家企事业单位网络安全、电子政务工程和信息化及信息系统审计；组织协调对社会审计机构出具的相关审计报告的核查。</w:t>
      </w:r>
    </w:p>
    <w:p w14:paraId="771D61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（四）经济责任审计股</w:t>
      </w:r>
    </w:p>
    <w:p w14:paraId="610197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组织开展党政主要领导干部、国有企事业单位领导干部经济责任审计、自然资源资产离任（任中）审计以及自然资源管理、污染防治和生态保护</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修复审计情况；承</w:t>
      </w:r>
      <w:r>
        <w:rPr>
          <w:rFonts w:hint="eastAsia" w:eastAsia="仿宋_GB2312" w:cs="Times New Roman"/>
          <w:sz w:val="32"/>
          <w:szCs w:val="32"/>
          <w:lang w:eastAsia="zh-CN"/>
        </w:rPr>
        <w:t>担全</w:t>
      </w:r>
      <w:r>
        <w:rPr>
          <w:rFonts w:hint="default" w:ascii="Times New Roman" w:hAnsi="Times New Roman" w:eastAsia="仿宋_GB2312" w:cs="Times New Roman"/>
          <w:sz w:val="32"/>
          <w:szCs w:val="32"/>
        </w:rPr>
        <w:t>县经济责任审计工作联席会议有关工作；组织审计县属国有及国有资本占控股或主导地位企业的资产、负债</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损益；组织审计县级有关部门、县政府管理和其他单位受县政府及其他部门委托管理的社会保障资金、社会捐赠资金、安全生产和职业健康财政资金以及其他有关基金、资金的财务收支。</w:t>
      </w:r>
    </w:p>
    <w:p w14:paraId="2DF2DE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松潘县审计局下属二级预算单位2个，其中行政单位</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个，参照公务员法管理的事业单位</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个，其他事业单位</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个。</w:t>
      </w:r>
    </w:p>
    <w:p w14:paraId="5E16B7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纳入松潘县审计局202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年度部门决算编制范围的二级预算单位包括：</w:t>
      </w:r>
    </w:p>
    <w:p w14:paraId="755DAF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松潘县审计局，预算代码</w:t>
      </w:r>
      <w:r>
        <w:rPr>
          <w:rFonts w:hint="default" w:ascii="Times New Roman" w:hAnsi="Times New Roman" w:eastAsia="仿宋_GB2312" w:cs="Times New Roman"/>
          <w:sz w:val="32"/>
          <w:szCs w:val="32"/>
          <w:lang w:val="en-US" w:eastAsia="zh-CN"/>
        </w:rPr>
        <w:t>107001；</w:t>
      </w:r>
    </w:p>
    <w:p w14:paraId="02CBD8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松潘县固定资产投资审计中心，预算代码</w:t>
      </w:r>
      <w:r>
        <w:rPr>
          <w:rFonts w:hint="default" w:ascii="Times New Roman" w:hAnsi="Times New Roman" w:eastAsia="仿宋_GB2312" w:cs="Times New Roman"/>
          <w:sz w:val="32"/>
          <w:szCs w:val="32"/>
          <w:lang w:val="en-US" w:eastAsia="zh-CN"/>
        </w:rPr>
        <w:t>107002</w:t>
      </w:r>
    </w:p>
    <w:p w14:paraId="2A6B7DF2">
      <w:pPr>
        <w:pageBreakBefore w:val="0"/>
        <w:widowControl/>
        <w:kinsoku/>
        <w:wordWrap/>
        <w:overflowPunct/>
        <w:topLinePunct w:val="0"/>
        <w:bidi w:val="0"/>
        <w:spacing w:line="576" w:lineRule="exact"/>
        <w:jc w:val="left"/>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14:paraId="30047021">
      <w:pPr>
        <w:pStyle w:val="2"/>
        <w:jc w:val="center"/>
        <w:rPr>
          <w:rFonts w:hint="default" w:ascii="Times New Roman" w:hAnsi="Times New Roman" w:cs="Times New Roman"/>
          <w:color w:val="auto"/>
          <w:highlight w:val="none"/>
        </w:rPr>
      </w:pPr>
      <w:bookmarkStart w:id="16" w:name="_Toc15396602"/>
      <w:bookmarkStart w:id="17" w:name="_Toc15377204"/>
      <w:bookmarkStart w:id="18" w:name="_Toc2679"/>
      <w:r>
        <w:rPr>
          <w:rFonts w:hint="default" w:ascii="Times New Roman" w:hAnsi="Times New Roman" w:eastAsia="方正小标宋简体" w:cs="Times New Roman"/>
          <w:b w:val="0"/>
          <w:color w:val="auto"/>
          <w:highlight w:val="none"/>
        </w:rPr>
        <w:t>第二部分</w:t>
      </w:r>
      <w:r>
        <w:rPr>
          <w:rFonts w:hint="default" w:ascii="Times New Roman" w:hAnsi="Times New Roman" w:eastAsia="方正小标宋简体" w:cs="Times New Roman"/>
          <w:b w:val="0"/>
          <w:color w:val="auto"/>
          <w:highlight w:val="none"/>
          <w:lang w:val="en-US" w:eastAsia="zh-CN"/>
        </w:rPr>
        <w:t xml:space="preserve"> </w:t>
      </w:r>
      <w:r>
        <w:rPr>
          <w:rFonts w:hint="default" w:ascii="Times New Roman" w:hAnsi="Times New Roman" w:eastAsia="方正小标宋简体" w:cs="Times New Roman"/>
          <w:b w:val="0"/>
          <w:color w:val="auto"/>
          <w:highlight w:val="none"/>
        </w:rPr>
        <w:t xml:space="preserve"> </w:t>
      </w:r>
      <w:r>
        <w:rPr>
          <w:rFonts w:hint="default" w:ascii="Times New Roman" w:hAnsi="Times New Roman" w:eastAsia="方正小标宋简体" w:cs="Times New Roman"/>
          <w:b w:val="0"/>
          <w:color w:val="auto"/>
          <w:highlight w:val="none"/>
          <w:lang w:val="en-US" w:eastAsia="zh-CN"/>
        </w:rPr>
        <w:t>2024年度</w:t>
      </w:r>
      <w:r>
        <w:rPr>
          <w:rFonts w:hint="default" w:ascii="Times New Roman" w:hAnsi="Times New Roman" w:eastAsia="方正小标宋简体" w:cs="Times New Roman"/>
          <w:b w:val="0"/>
          <w:color w:val="auto"/>
          <w:highlight w:val="none"/>
        </w:rPr>
        <w:t>部门决算情况说明</w:t>
      </w:r>
      <w:bookmarkEnd w:id="16"/>
      <w:bookmarkEnd w:id="17"/>
      <w:bookmarkEnd w:id="18"/>
    </w:p>
    <w:p w14:paraId="3A9544A9">
      <w:pPr>
        <w:pStyle w:val="3"/>
        <w:bidi w:val="0"/>
        <w:rPr>
          <w:rFonts w:hint="eastAsia" w:ascii="黑体" w:hAnsi="黑体" w:eastAsia="黑体" w:cs="黑体"/>
          <w:b w:val="0"/>
          <w:bCs w:val="0"/>
        </w:rPr>
      </w:pPr>
      <w:bookmarkStart w:id="19" w:name="_Toc23214"/>
      <w:bookmarkStart w:id="20" w:name="_Toc15377205"/>
      <w:bookmarkStart w:id="21" w:name="_Toc15396603"/>
      <w:r>
        <w:rPr>
          <w:rFonts w:hint="eastAsia" w:ascii="黑体" w:hAnsi="黑体" w:eastAsia="黑体" w:cs="黑体"/>
          <w:b w:val="0"/>
          <w:bCs w:val="0"/>
          <w:lang w:eastAsia="zh-CN"/>
        </w:rPr>
        <w:t>一、</w:t>
      </w:r>
      <w:r>
        <w:rPr>
          <w:rFonts w:hint="eastAsia" w:ascii="黑体" w:hAnsi="黑体" w:eastAsia="黑体" w:cs="黑体"/>
          <w:b w:val="0"/>
          <w:bCs w:val="0"/>
        </w:rPr>
        <w:t>收入支出决算总体情况说明</w:t>
      </w:r>
      <w:bookmarkEnd w:id="19"/>
      <w:bookmarkEnd w:id="20"/>
      <w:bookmarkEnd w:id="21"/>
    </w:p>
    <w:p w14:paraId="3D8FA7FD">
      <w:pPr>
        <w:bidi w:val="0"/>
        <w:ind w:firstLine="640" w:firstLineChars="200"/>
        <w:rPr>
          <w:rFonts w:hint="default" w:ascii="Times New Roman" w:hAnsi="Times New Roman" w:eastAsia="仿宋_GB2312" w:cs="Times New Roman"/>
          <w:sz w:val="32"/>
          <w:szCs w:val="32"/>
          <w:lang w:val="en-US" w:eastAsia="zh-CN"/>
        </w:rPr>
      </w:pPr>
      <w:bookmarkStart w:id="22" w:name="_Toc20888"/>
      <w:r>
        <w:rPr>
          <w:rFonts w:hint="default" w:ascii="Times New Roman" w:hAnsi="Times New Roman" w:eastAsia="仿宋_GB2312" w:cs="Times New Roman"/>
          <w:sz w:val="32"/>
          <w:szCs w:val="32"/>
          <w:lang w:val="en-US" w:eastAsia="zh-CN"/>
        </w:rPr>
        <w:t>2024年度收入、支出总计均为429.17万元。与2023年度相比，收入、支出总计各</w:t>
      </w:r>
      <w:r>
        <w:rPr>
          <w:rFonts w:hint="eastAsia" w:ascii="Times New Roman" w:hAnsi="Times New Roman" w:eastAsia="仿宋_GB2312" w:cs="Times New Roman"/>
          <w:sz w:val="32"/>
          <w:szCs w:val="32"/>
          <w:lang w:val="en-US" w:eastAsia="zh-CN"/>
        </w:rPr>
        <w:t>减少95.81</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减少18.25</w:t>
      </w:r>
      <w:r>
        <w:rPr>
          <w:rFonts w:hint="default" w:ascii="Times New Roman" w:hAnsi="Times New Roman" w:eastAsia="仿宋_GB2312" w:cs="Times New Roman"/>
          <w:sz w:val="32"/>
          <w:szCs w:val="32"/>
          <w:lang w:val="en-US" w:eastAsia="zh-CN"/>
        </w:rPr>
        <w:t>%。主要变动原因是</w:t>
      </w:r>
      <w:r>
        <w:rPr>
          <w:rFonts w:hint="eastAsia" w:ascii="Times New Roman" w:hAnsi="Times New Roman" w:eastAsia="仿宋_GB2312" w:cs="Times New Roman"/>
          <w:sz w:val="32"/>
          <w:szCs w:val="32"/>
          <w:lang w:val="en-US" w:eastAsia="zh-CN"/>
        </w:rPr>
        <w:t>2024年人员变动、无三方服务费支出等原因。</w:t>
      </w:r>
      <w:bookmarkEnd w:id="22"/>
    </w:p>
    <w:p w14:paraId="23BC415C">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drawing>
          <wp:inline distT="0" distB="0" distL="114300" distR="114300">
            <wp:extent cx="5142230" cy="2598420"/>
            <wp:effectExtent l="4445" t="4445" r="15875" b="6985"/>
            <wp:docPr id="2" name="图表 2" descr="7b0a202020202263686172745265734964223a2022323034373638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仿宋_GB2312" w:cs="Times New Roman"/>
          <w:color w:val="auto"/>
          <w:sz w:val="32"/>
          <w:szCs w:val="32"/>
          <w:highlight w:val="none"/>
        </w:rPr>
        <w:t>（图1：</w:t>
      </w:r>
      <w:r>
        <w:rPr>
          <w:rFonts w:hint="default" w:ascii="Times New Roman" w:hAnsi="Times New Roman" w:eastAsia="仿宋_GB2312" w:cs="Times New Roman"/>
          <w:color w:val="auto"/>
          <w:sz w:val="32"/>
          <w:szCs w:val="32"/>
          <w:highlight w:val="none"/>
          <w:lang w:eastAsia="zh-CN"/>
        </w:rPr>
        <w:t>收入</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支出</w:t>
      </w:r>
      <w:r>
        <w:rPr>
          <w:rFonts w:hint="default" w:ascii="Times New Roman" w:hAnsi="Times New Roman" w:eastAsia="仿宋_GB2312" w:cs="Times New Roman"/>
          <w:color w:val="auto"/>
          <w:sz w:val="32"/>
          <w:szCs w:val="32"/>
          <w:highlight w:val="none"/>
        </w:rPr>
        <w:t>决算总计变动情况图）</w:t>
      </w:r>
    </w:p>
    <w:p w14:paraId="074EF1A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黑体" w:cs="Times New Roman"/>
          <w:color w:val="auto"/>
          <w:sz w:val="32"/>
          <w:szCs w:val="32"/>
          <w:highlight w:val="none"/>
          <w:lang w:eastAsia="zh-CN"/>
        </w:rPr>
      </w:pPr>
      <w:bookmarkStart w:id="23" w:name="_Toc15377206"/>
      <w:bookmarkStart w:id="24" w:name="_Toc15396604"/>
      <w:bookmarkStart w:id="25" w:name="_Toc25410"/>
      <w:r>
        <w:rPr>
          <w:rFonts w:hint="default" w:ascii="Times New Roman" w:hAnsi="Times New Roman" w:eastAsia="黑体" w:cs="Times New Roman"/>
          <w:color w:val="auto"/>
          <w:sz w:val="32"/>
          <w:szCs w:val="32"/>
          <w:highlight w:val="none"/>
          <w:lang w:eastAsia="zh-CN"/>
        </w:rPr>
        <w:t>二、收入决算情况说明</w:t>
      </w:r>
      <w:bookmarkEnd w:id="23"/>
      <w:bookmarkEnd w:id="24"/>
      <w:bookmarkEnd w:id="25"/>
    </w:p>
    <w:p w14:paraId="6A72E725">
      <w:pPr>
        <w:bidi w:val="0"/>
        <w:ind w:firstLine="640" w:firstLineChars="200"/>
        <w:rPr>
          <w:rFonts w:hint="default" w:ascii="Times New Roman" w:hAnsi="Times New Roman" w:eastAsia="仿宋_GB2312" w:cs="Times New Roman"/>
          <w:sz w:val="32"/>
          <w:szCs w:val="32"/>
          <w:lang w:val="en-US" w:eastAsia="zh-CN"/>
        </w:rPr>
      </w:pPr>
      <w:bookmarkStart w:id="26" w:name="_Toc19596"/>
      <w:r>
        <w:rPr>
          <w:rFonts w:hint="default" w:ascii="Times New Roman" w:hAnsi="Times New Roman" w:eastAsia="仿宋_GB2312" w:cs="Times New Roman"/>
          <w:sz w:val="32"/>
          <w:szCs w:val="32"/>
          <w:lang w:val="en-US" w:eastAsia="zh-CN"/>
        </w:rPr>
        <w:t>2024年度本年收入合计429.17万元，其中：一般公共预算财政拨款收入429.17万元，占100%。</w:t>
      </w:r>
      <w:bookmarkEnd w:id="26"/>
    </w:p>
    <w:p w14:paraId="3BE733FE">
      <w:pPr>
        <w:ind w:firstLine="800" w:firstLineChars="25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036695" cy="2521585"/>
            <wp:effectExtent l="4445" t="4445" r="16510" b="7620"/>
            <wp:docPr id="4" name="图表 4" descr="7b0a202020202263686172745265734964223a2022323034373638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744F1C">
      <w:pPr>
        <w:ind w:firstLine="800" w:firstLineChars="250"/>
        <w:jc w:val="center"/>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（图2：收入决算结构图）</w:t>
      </w:r>
    </w:p>
    <w:p w14:paraId="0EB3B0E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default" w:ascii="Times New Roman" w:hAnsi="Times New Roman" w:eastAsia="黑体" w:cs="Times New Roman"/>
          <w:b w:val="0"/>
          <w:color w:val="auto"/>
          <w:highlight w:val="none"/>
        </w:rPr>
      </w:pPr>
      <w:bookmarkStart w:id="27" w:name="_Toc15880"/>
      <w:bookmarkStart w:id="28" w:name="_Toc15396605"/>
      <w:bookmarkStart w:id="29" w:name="_Toc15377207"/>
      <w:r>
        <w:rPr>
          <w:rFonts w:hint="default"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rPr>
        <w:t>支</w:t>
      </w:r>
      <w:r>
        <w:rPr>
          <w:rStyle w:val="29"/>
          <w:rFonts w:hint="default" w:ascii="Times New Roman" w:hAnsi="Times New Roman" w:eastAsia="黑体" w:cs="Times New Roman"/>
          <w:b w:val="0"/>
          <w:color w:val="auto"/>
          <w:highlight w:val="none"/>
        </w:rPr>
        <w:t>出决算情况说明</w:t>
      </w:r>
      <w:bookmarkEnd w:id="27"/>
      <w:bookmarkEnd w:id="28"/>
      <w:bookmarkEnd w:id="29"/>
    </w:p>
    <w:p w14:paraId="4B9AA6EA">
      <w:pPr>
        <w:bidi w:val="0"/>
        <w:ind w:firstLine="640" w:firstLineChars="200"/>
        <w:rPr>
          <w:rFonts w:hint="default" w:ascii="Times New Roman" w:hAnsi="Times New Roman" w:eastAsia="仿宋_GB2312" w:cs="Times New Roman"/>
          <w:sz w:val="32"/>
          <w:szCs w:val="32"/>
          <w:lang w:val="en-US" w:eastAsia="zh-CN"/>
        </w:rPr>
      </w:pPr>
      <w:bookmarkStart w:id="30" w:name="_Toc16949"/>
      <w:r>
        <w:rPr>
          <w:rFonts w:hint="default" w:ascii="Times New Roman" w:hAnsi="Times New Roman" w:eastAsia="仿宋_GB2312" w:cs="Times New Roman"/>
          <w:sz w:val="32"/>
          <w:szCs w:val="32"/>
          <w:lang w:val="en-US" w:eastAsia="zh-CN"/>
        </w:rPr>
        <w:t>2024年度本年支出合计429.17万元，其中：基本支出386.48万元，占90.05%；项目支出42.69万元，占9.9</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w:t>
      </w:r>
      <w:bookmarkEnd w:id="30"/>
    </w:p>
    <w:p w14:paraId="0A43ABBF">
      <w:pPr>
        <w:ind w:firstLine="800" w:firstLineChars="2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drawing>
          <wp:inline distT="0" distB="0" distL="114300" distR="114300">
            <wp:extent cx="4105275" cy="2494280"/>
            <wp:effectExtent l="4445" t="4445" r="5080" b="15875"/>
            <wp:docPr id="5" name="图表 5" descr="7b0a202020202263686172745265734964223a202232303437363039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09E468">
      <w:pPr>
        <w:ind w:firstLine="2400" w:firstLineChars="75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（图3：支出决算结构图）</w:t>
      </w:r>
    </w:p>
    <w:p w14:paraId="2C26624D">
      <w:pPr>
        <w:spacing w:line="600" w:lineRule="exact"/>
        <w:ind w:firstLine="640" w:firstLineChars="200"/>
        <w:outlineLvl w:val="1"/>
        <w:rPr>
          <w:rStyle w:val="29"/>
          <w:rFonts w:hint="default" w:ascii="Times New Roman" w:hAnsi="Times New Roman" w:eastAsia="黑体" w:cs="Times New Roman"/>
          <w:b w:val="0"/>
          <w:color w:val="auto"/>
          <w:highlight w:val="none"/>
        </w:rPr>
      </w:pPr>
      <w:bookmarkStart w:id="31" w:name="_Toc15396606"/>
      <w:bookmarkStart w:id="32" w:name="_Toc28578"/>
      <w:bookmarkStart w:id="33" w:name="_Toc15377208"/>
      <w:r>
        <w:rPr>
          <w:rFonts w:hint="default" w:ascii="Times New Roman" w:hAnsi="Times New Roman" w:eastAsia="黑体" w:cs="Times New Roman"/>
          <w:color w:val="auto"/>
          <w:sz w:val="32"/>
          <w:szCs w:val="32"/>
          <w:highlight w:val="none"/>
        </w:rPr>
        <w:t>四、财</w:t>
      </w:r>
      <w:r>
        <w:rPr>
          <w:rStyle w:val="29"/>
          <w:rFonts w:hint="default" w:ascii="Times New Roman" w:hAnsi="Times New Roman" w:eastAsia="黑体" w:cs="Times New Roman"/>
          <w:b w:val="0"/>
          <w:color w:val="auto"/>
          <w:highlight w:val="none"/>
        </w:rPr>
        <w:t>政拨款收入支出决算总体情况说明</w:t>
      </w:r>
      <w:bookmarkEnd w:id="31"/>
      <w:bookmarkEnd w:id="32"/>
      <w:bookmarkEnd w:id="33"/>
    </w:p>
    <w:p w14:paraId="4948D62F">
      <w:pPr>
        <w:bidi w:val="0"/>
        <w:ind w:firstLine="640" w:firstLineChars="200"/>
        <w:rPr>
          <w:rFonts w:hint="default" w:ascii="Times New Roman" w:hAnsi="Times New Roman" w:eastAsia="仿宋_GB2312" w:cs="Times New Roman"/>
          <w:sz w:val="32"/>
          <w:szCs w:val="32"/>
          <w:lang w:val="en-US" w:eastAsia="zh-CN"/>
        </w:rPr>
      </w:pPr>
      <w:bookmarkStart w:id="34" w:name="_Toc31662"/>
      <w:r>
        <w:rPr>
          <w:rFonts w:hint="default" w:ascii="Times New Roman" w:hAnsi="Times New Roman" w:eastAsia="仿宋_GB2312" w:cs="Times New Roman"/>
          <w:sz w:val="32"/>
          <w:szCs w:val="32"/>
          <w:lang w:val="en-US" w:eastAsia="zh-CN"/>
        </w:rPr>
        <w:t>2024年度财政拨款收入、支出总计均为429.17万元。与2023年度相比，财政拨款收入总计、支出总计各</w:t>
      </w:r>
      <w:r>
        <w:rPr>
          <w:rFonts w:hint="eastAsia" w:ascii="Times New Roman" w:hAnsi="Times New Roman" w:eastAsia="仿宋_GB2312" w:cs="Times New Roman"/>
          <w:sz w:val="32"/>
          <w:szCs w:val="32"/>
          <w:lang w:val="en-US" w:eastAsia="zh-CN"/>
        </w:rPr>
        <w:t>减少95.81</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减少18.25</w:t>
      </w:r>
      <w:r>
        <w:rPr>
          <w:rFonts w:hint="default" w:ascii="Times New Roman" w:hAnsi="Times New Roman" w:eastAsia="仿宋_GB2312" w:cs="Times New Roman"/>
          <w:sz w:val="32"/>
          <w:szCs w:val="32"/>
          <w:lang w:val="en-US" w:eastAsia="zh-CN"/>
        </w:rPr>
        <w:t>%。主要变动原因是</w:t>
      </w:r>
      <w:r>
        <w:rPr>
          <w:rFonts w:hint="eastAsia" w:ascii="Times New Roman" w:hAnsi="Times New Roman" w:eastAsia="仿宋_GB2312" w:cs="Times New Roman"/>
          <w:sz w:val="32"/>
          <w:szCs w:val="32"/>
          <w:lang w:val="en-US" w:eastAsia="zh-CN"/>
        </w:rPr>
        <w:t>2024年人员变动、无三方服务费支出等原因。</w:t>
      </w:r>
      <w:bookmarkEnd w:id="34"/>
    </w:p>
    <w:p w14:paraId="154A67E7">
      <w:pPr>
        <w:spacing w:line="60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59264" behindDoc="0" locked="0" layoutInCell="1" allowOverlap="1">
            <wp:simplePos x="0" y="0"/>
            <wp:positionH relativeFrom="column">
              <wp:posOffset>278130</wp:posOffset>
            </wp:positionH>
            <wp:positionV relativeFrom="paragraph">
              <wp:posOffset>623570</wp:posOffset>
            </wp:positionV>
            <wp:extent cx="5256530" cy="2988310"/>
            <wp:effectExtent l="5080" t="4445" r="15240" b="17145"/>
            <wp:wrapSquare wrapText="bothSides"/>
            <wp:docPr id="3" name="图表 3" descr="7b0a202020202263686172745265734964223a2022323034373638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_GB2312" w:cs="Times New Roman"/>
          <w:color w:val="auto"/>
          <w:kern w:val="2"/>
          <w:sz w:val="32"/>
          <w:szCs w:val="32"/>
          <w:highlight w:val="none"/>
          <w:lang w:val="en-US" w:eastAsia="zh-CN" w:bidi="ar-SA"/>
        </w:rPr>
        <w:t>（图4：财政拨款收、支决算总计变动情况）</w:t>
      </w:r>
      <w:r>
        <w:rPr>
          <w:rFonts w:hint="eastAsia" w:eastAsia="仿宋_GB2312" w:cs="Times New Roman"/>
          <w:color w:val="auto"/>
          <w:kern w:val="2"/>
          <w:sz w:val="32"/>
          <w:szCs w:val="32"/>
          <w:highlight w:val="none"/>
          <w:lang w:val="en-US" w:eastAsia="zh-CN" w:bidi="ar-SA"/>
        </w:rPr>
        <w:t>3</w:t>
      </w:r>
    </w:p>
    <w:p w14:paraId="353ACF8D">
      <w:pPr>
        <w:pStyle w:val="3"/>
        <w:bidi w:val="0"/>
        <w:rPr>
          <w:rFonts w:hint="eastAsia" w:ascii="黑体" w:hAnsi="黑体" w:eastAsia="黑体" w:cs="黑体"/>
          <w:b w:val="0"/>
          <w:bCs w:val="0"/>
        </w:rPr>
      </w:pPr>
      <w:bookmarkStart w:id="35" w:name="_Toc30399"/>
      <w:bookmarkStart w:id="36" w:name="_Toc15377209"/>
      <w:bookmarkStart w:id="37" w:name="_Toc15396607"/>
      <w:r>
        <w:rPr>
          <w:rFonts w:hint="eastAsia" w:ascii="黑体" w:hAnsi="黑体" w:eastAsia="黑体" w:cs="黑体"/>
          <w:b w:val="0"/>
          <w:bCs w:val="0"/>
        </w:rPr>
        <w:t>五、一般公共预算财政拨款支出决算情况说明</w:t>
      </w:r>
      <w:bookmarkEnd w:id="35"/>
      <w:bookmarkEnd w:id="36"/>
      <w:bookmarkEnd w:id="37"/>
    </w:p>
    <w:p w14:paraId="752F28FB">
      <w:pPr>
        <w:pStyle w:val="4"/>
        <w:bidi w:val="0"/>
        <w:ind w:firstLine="643" w:firstLineChars="200"/>
        <w:rPr>
          <w:rFonts w:hint="eastAsia" w:ascii="楷体_GB2312" w:hAnsi="楷体_GB2312" w:eastAsia="楷体_GB2312" w:cs="楷体_GB2312"/>
          <w:b/>
          <w:bCs/>
        </w:rPr>
      </w:pPr>
      <w:bookmarkStart w:id="38" w:name="_Toc15377210"/>
      <w:bookmarkStart w:id="39" w:name="_Toc10394"/>
      <w:r>
        <w:rPr>
          <w:rFonts w:hint="eastAsia" w:ascii="楷体_GB2312" w:hAnsi="楷体_GB2312" w:eastAsia="楷体_GB2312" w:cs="楷体_GB2312"/>
          <w:b/>
          <w:bCs/>
        </w:rPr>
        <w:t>（一）一般公共预算财政拨款支出决算总体情况</w:t>
      </w:r>
      <w:bookmarkEnd w:id="38"/>
      <w:bookmarkEnd w:id="39"/>
    </w:p>
    <w:p w14:paraId="6FE78D46">
      <w:pPr>
        <w:bidi w:val="0"/>
        <w:ind w:firstLine="640" w:firstLineChars="200"/>
        <w:rPr>
          <w:rFonts w:hint="default" w:ascii="Times New Roman" w:hAnsi="Times New Roman" w:eastAsia="仿宋_GB2312" w:cs="Times New Roman"/>
          <w:sz w:val="32"/>
          <w:szCs w:val="32"/>
          <w:lang w:val="en-US" w:eastAsia="zh-CN"/>
        </w:rPr>
      </w:pPr>
      <w:bookmarkStart w:id="40" w:name="_Toc3398"/>
      <w:r>
        <w:rPr>
          <w:rFonts w:hint="default" w:ascii="Times New Roman" w:hAnsi="Times New Roman" w:eastAsia="仿宋_GB2312" w:cs="Times New Roman"/>
          <w:sz w:val="32"/>
          <w:szCs w:val="32"/>
          <w:lang w:val="en-US" w:eastAsia="zh-CN"/>
        </w:rPr>
        <w:drawing>
          <wp:anchor distT="0" distB="0" distL="114300" distR="114300" simplePos="0" relativeHeight="251660288" behindDoc="0" locked="0" layoutInCell="1" allowOverlap="1">
            <wp:simplePos x="0" y="0"/>
            <wp:positionH relativeFrom="column">
              <wp:posOffset>640080</wp:posOffset>
            </wp:positionH>
            <wp:positionV relativeFrom="paragraph">
              <wp:posOffset>1689100</wp:posOffset>
            </wp:positionV>
            <wp:extent cx="4029075" cy="2826385"/>
            <wp:effectExtent l="4445" t="4445" r="5080" b="7620"/>
            <wp:wrapSquare wrapText="bothSides"/>
            <wp:docPr id="6" name="图表 6" descr="7b0a202020202263686172745265734964223a20223230343736383038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仿宋_GB2312" w:cs="Times New Roman"/>
          <w:sz w:val="32"/>
          <w:szCs w:val="32"/>
          <w:lang w:val="en-US" w:eastAsia="zh-CN"/>
        </w:rPr>
        <w:t>2024年度一般公共预算财政拨款支出</w:t>
      </w:r>
      <w:r>
        <w:rPr>
          <w:rFonts w:hint="default" w:ascii="Times New Roman" w:hAnsi="Times New Roman" w:eastAsia="仿宋_GB2312" w:cs="Times New Roman"/>
          <w:sz w:val="32"/>
          <w:szCs w:val="32"/>
          <w:lang w:eastAsia="zh-CN"/>
        </w:rPr>
        <w:t>429.17</w:t>
      </w:r>
      <w:r>
        <w:rPr>
          <w:rFonts w:hint="default" w:ascii="Times New Roman" w:hAnsi="Times New Roman" w:eastAsia="仿宋_GB2312" w:cs="Times New Roman"/>
          <w:sz w:val="32"/>
          <w:szCs w:val="32"/>
          <w:lang w:val="en-US" w:eastAsia="zh-CN"/>
        </w:rPr>
        <w:t>万元，占本年支出合计的</w:t>
      </w:r>
      <w:r>
        <w:rPr>
          <w:rFonts w:hint="default" w:ascii="Times New Roman" w:hAnsi="Times New Roman" w:eastAsia="仿宋_GB2312" w:cs="Times New Roman"/>
          <w:sz w:val="32"/>
          <w:szCs w:val="32"/>
          <w:lang w:eastAsia="zh-CN"/>
        </w:rPr>
        <w:t>100</w:t>
      </w:r>
      <w:r>
        <w:rPr>
          <w:rFonts w:hint="default" w:ascii="Times New Roman" w:hAnsi="Times New Roman" w:eastAsia="仿宋_GB2312" w:cs="Times New Roman"/>
          <w:sz w:val="32"/>
          <w:szCs w:val="32"/>
          <w:lang w:val="en-US" w:eastAsia="zh-CN"/>
        </w:rPr>
        <w:t>%。与2023年度相比，一般公共预算财政拨款支出减少95.81</w:t>
      </w:r>
      <w:r>
        <w:rPr>
          <w:rFonts w:hint="default" w:ascii="Times New Roman" w:hAnsi="Times New Roman" w:eastAsia="仿宋_GB2312" w:cs="Times New Roman"/>
          <w:sz w:val="32"/>
          <w:szCs w:val="32"/>
          <w:lang w:eastAsia="zh-CN"/>
        </w:rPr>
        <w:t>万元，减少</w:t>
      </w:r>
      <w:r>
        <w:rPr>
          <w:rFonts w:hint="default" w:ascii="Times New Roman" w:hAnsi="Times New Roman" w:eastAsia="仿宋_GB2312" w:cs="Times New Roman"/>
          <w:sz w:val="32"/>
          <w:szCs w:val="32"/>
          <w:lang w:val="en-US" w:eastAsia="zh-CN"/>
        </w:rPr>
        <w:t>18.25</w:t>
      </w:r>
      <w:r>
        <w:rPr>
          <w:rFonts w:hint="default" w:ascii="Times New Roman" w:hAnsi="Times New Roman" w:eastAsia="仿宋_GB2312" w:cs="Times New Roman"/>
          <w:sz w:val="32"/>
          <w:szCs w:val="32"/>
          <w:lang w:eastAsia="zh-CN"/>
        </w:rPr>
        <w:t>%。主要变动原因是</w:t>
      </w:r>
      <w:r>
        <w:rPr>
          <w:rFonts w:hint="default" w:ascii="Times New Roman" w:hAnsi="Times New Roman" w:eastAsia="仿宋_GB2312" w:cs="Times New Roman"/>
          <w:sz w:val="32"/>
          <w:szCs w:val="32"/>
          <w:lang w:val="en-US" w:eastAsia="zh-CN"/>
        </w:rPr>
        <w:t>2024年人员变动、无三方服务费支出等原因。</w:t>
      </w:r>
      <w:bookmarkEnd w:id="40"/>
    </w:p>
    <w:p w14:paraId="19D46216">
      <w:pPr>
        <w:spacing w:line="600" w:lineRule="exact"/>
        <w:rPr>
          <w:rFonts w:hint="default" w:ascii="Times New Roman" w:hAnsi="Times New Roman" w:eastAsia="仿宋_GB2312" w:cs="Times New Roman"/>
          <w:color w:val="auto"/>
          <w:kern w:val="2"/>
          <w:sz w:val="32"/>
          <w:szCs w:val="32"/>
          <w:highlight w:val="none"/>
          <w:lang w:val="en-US" w:eastAsia="zh-CN" w:bidi="ar-SA"/>
        </w:rPr>
      </w:pPr>
    </w:p>
    <w:p w14:paraId="4206A91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（图5：一般公共预算财政拨款支出决算变动情况）</w:t>
      </w:r>
    </w:p>
    <w:p w14:paraId="2C9C80FF">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1" w:name="_Toc15377211"/>
      <w:bookmarkStart w:id="42" w:name="_Toc11428"/>
      <w:r>
        <w:rPr>
          <w:rFonts w:hint="default" w:ascii="Times New Roman" w:hAnsi="Times New Roman" w:eastAsia="楷体_GB2312" w:cs="Times New Roman"/>
          <w:b/>
          <w:color w:val="auto"/>
          <w:sz w:val="32"/>
          <w:szCs w:val="32"/>
          <w:highlight w:val="none"/>
        </w:rPr>
        <w:t>（二）一般公共预算财政拨款支出决算结构情况</w:t>
      </w:r>
      <w:bookmarkEnd w:id="41"/>
      <w:bookmarkEnd w:id="42"/>
    </w:p>
    <w:p w14:paraId="564885F2">
      <w:pPr>
        <w:spacing w:line="600" w:lineRule="exact"/>
        <w:ind w:firstLine="640"/>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w:t>
      </w:r>
      <w:r>
        <w:rPr>
          <w:rFonts w:hint="default" w:ascii="Times New Roman" w:hAnsi="Times New Roman" w:eastAsia="仿宋_GB2312" w:cs="Times New Roman"/>
          <w:sz w:val="32"/>
          <w:szCs w:val="32"/>
        </w:rPr>
        <w:t>429.17</w:t>
      </w:r>
      <w:r>
        <w:rPr>
          <w:rFonts w:hint="default" w:ascii="Times New Roman" w:hAnsi="Times New Roman" w:eastAsia="仿宋_GB2312" w:cs="Times New Roman"/>
          <w:color w:val="auto"/>
          <w:kern w:val="2"/>
          <w:sz w:val="32"/>
          <w:szCs w:val="32"/>
          <w:highlight w:val="none"/>
          <w:lang w:val="en-US" w:eastAsia="zh-CN" w:bidi="ar-SA"/>
        </w:rPr>
        <w:t>万元，主要用于以下方面：一般公共服务支出</w:t>
      </w:r>
      <w:r>
        <w:rPr>
          <w:rFonts w:hint="eastAsia" w:eastAsia="仿宋_GB2312" w:cs="Times New Roman"/>
          <w:color w:val="auto"/>
          <w:kern w:val="2"/>
          <w:sz w:val="32"/>
          <w:szCs w:val="32"/>
          <w:highlight w:val="none"/>
          <w:lang w:val="en-US" w:eastAsia="zh-CN" w:bidi="ar-SA"/>
        </w:rPr>
        <w:t>323.25</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75.32</w:t>
      </w:r>
      <w:r>
        <w:rPr>
          <w:rFonts w:hint="default" w:ascii="Times New Roman" w:hAnsi="Times New Roman" w:eastAsia="仿宋_GB2312" w:cs="Times New Roman"/>
          <w:color w:val="auto"/>
          <w:kern w:val="2"/>
          <w:sz w:val="32"/>
          <w:szCs w:val="32"/>
          <w:highlight w:val="none"/>
          <w:lang w:val="en-US" w:eastAsia="zh-CN" w:bidi="ar-SA"/>
        </w:rPr>
        <w:t>%；社会保障和就业支出</w:t>
      </w:r>
      <w:r>
        <w:rPr>
          <w:rFonts w:hint="eastAsia" w:eastAsia="仿宋_GB2312" w:cs="Times New Roman"/>
          <w:color w:val="auto"/>
          <w:kern w:val="2"/>
          <w:sz w:val="32"/>
          <w:szCs w:val="32"/>
          <w:highlight w:val="none"/>
          <w:lang w:val="en-US" w:eastAsia="zh-CN" w:bidi="ar-SA"/>
        </w:rPr>
        <w:t>57.78</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13.46</w:t>
      </w:r>
      <w:r>
        <w:rPr>
          <w:rFonts w:hint="default" w:ascii="Times New Roman" w:hAnsi="Times New Roman" w:eastAsia="仿宋_GB2312" w:cs="Times New Roman"/>
          <w:color w:val="auto"/>
          <w:kern w:val="2"/>
          <w:sz w:val="32"/>
          <w:szCs w:val="32"/>
          <w:highlight w:val="none"/>
          <w:lang w:val="en-US" w:eastAsia="zh-CN" w:bidi="ar-SA"/>
        </w:rPr>
        <w:t>%；卫生健康支出</w:t>
      </w:r>
      <w:r>
        <w:rPr>
          <w:rFonts w:hint="eastAsia" w:eastAsia="仿宋_GB2312" w:cs="Times New Roman"/>
          <w:color w:val="auto"/>
          <w:kern w:val="2"/>
          <w:sz w:val="32"/>
          <w:szCs w:val="32"/>
          <w:highlight w:val="none"/>
          <w:lang w:val="en-US" w:eastAsia="zh-CN" w:bidi="ar-SA"/>
        </w:rPr>
        <w:t>20.58</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4.80</w:t>
      </w:r>
      <w:r>
        <w:rPr>
          <w:rFonts w:hint="default" w:ascii="Times New Roman" w:hAnsi="Times New Roman" w:eastAsia="仿宋_GB2312" w:cs="Times New Roman"/>
          <w:color w:val="auto"/>
          <w:kern w:val="2"/>
          <w:sz w:val="32"/>
          <w:szCs w:val="32"/>
          <w:highlight w:val="none"/>
          <w:lang w:val="en-US" w:eastAsia="zh-CN" w:bidi="ar-SA"/>
        </w:rPr>
        <w:t>%；住房保障支出</w:t>
      </w:r>
      <w:r>
        <w:rPr>
          <w:rFonts w:hint="eastAsia" w:eastAsia="仿宋_GB2312" w:cs="Times New Roman"/>
          <w:color w:val="auto"/>
          <w:kern w:val="2"/>
          <w:sz w:val="32"/>
          <w:szCs w:val="32"/>
          <w:highlight w:val="none"/>
          <w:lang w:val="en-US" w:eastAsia="zh-CN" w:bidi="ar-SA"/>
        </w:rPr>
        <w:t>27.55</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6.42</w:t>
      </w:r>
      <w:r>
        <w:rPr>
          <w:rFonts w:hint="default" w:ascii="Times New Roman" w:hAnsi="Times New Roman" w:eastAsia="仿宋_GB2312" w:cs="Times New Roman"/>
          <w:color w:val="auto"/>
          <w:kern w:val="2"/>
          <w:sz w:val="32"/>
          <w:szCs w:val="32"/>
          <w:highlight w:val="none"/>
          <w:lang w:val="en-US" w:eastAsia="zh-CN" w:bidi="ar-SA"/>
        </w:rPr>
        <w:t>%</w:t>
      </w:r>
      <w:r>
        <w:rPr>
          <w:rFonts w:hint="eastAsia" w:eastAsia="仿宋_GB2312" w:cs="Times New Roman"/>
          <w:color w:val="auto"/>
          <w:kern w:val="2"/>
          <w:sz w:val="32"/>
          <w:szCs w:val="32"/>
          <w:highlight w:val="none"/>
          <w:lang w:val="en-US" w:eastAsia="zh-CN" w:bidi="ar-SA"/>
        </w:rPr>
        <w:t>。</w:t>
      </w:r>
    </w:p>
    <w:p w14:paraId="1D9C7CA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drawing>
          <wp:anchor distT="0" distB="0" distL="114300" distR="114300" simplePos="0" relativeHeight="251661312" behindDoc="1" locked="0" layoutInCell="1" allowOverlap="1">
            <wp:simplePos x="0" y="0"/>
            <wp:positionH relativeFrom="column">
              <wp:posOffset>448945</wp:posOffset>
            </wp:positionH>
            <wp:positionV relativeFrom="paragraph">
              <wp:posOffset>309245</wp:posOffset>
            </wp:positionV>
            <wp:extent cx="4742815" cy="3465195"/>
            <wp:effectExtent l="4445" t="4445" r="53340" b="54610"/>
            <wp:wrapTight wrapText="bothSides">
              <wp:wrapPolygon>
                <wp:start x="-20" y="-28"/>
                <wp:lineTo x="-20" y="21465"/>
                <wp:lineTo x="21496" y="21465"/>
                <wp:lineTo x="21496" y="-28"/>
                <wp:lineTo x="-20" y="-28"/>
              </wp:wrapPolygon>
            </wp:wrapTight>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default" w:ascii="Times New Roman" w:hAnsi="Times New Roman" w:eastAsia="仿宋_GB2312" w:cs="Times New Roman"/>
          <w:color w:val="auto"/>
          <w:kern w:val="2"/>
          <w:sz w:val="32"/>
          <w:szCs w:val="32"/>
          <w:highlight w:val="none"/>
          <w:lang w:val="en-US" w:eastAsia="zh-CN" w:bidi="ar-SA"/>
        </w:rPr>
        <w:t>（图6：一般公共预算财政拨款支出决算结构）</w:t>
      </w:r>
    </w:p>
    <w:p w14:paraId="760FD10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43" w:name="_Toc15377212"/>
      <w:bookmarkStart w:id="44" w:name="_Toc17960"/>
      <w:r>
        <w:rPr>
          <w:rFonts w:hint="default" w:ascii="Times New Roman" w:hAnsi="Times New Roman" w:eastAsia="楷体_GB2312" w:cs="Times New Roman"/>
          <w:b/>
          <w:color w:val="auto"/>
          <w:sz w:val="32"/>
          <w:szCs w:val="32"/>
          <w:highlight w:val="none"/>
        </w:rPr>
        <w:t>（三）一般公共预算财政拨款支出决算具体情况</w:t>
      </w:r>
      <w:bookmarkEnd w:id="43"/>
      <w:bookmarkEnd w:id="44"/>
    </w:p>
    <w:p w14:paraId="3EB24CB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45" w:name="_Toc15378460"/>
      <w:bookmarkStart w:id="46" w:name="_Toc15377213"/>
      <w:bookmarkStart w:id="47" w:name="_Toc15377444"/>
      <w:r>
        <w:rPr>
          <w:rFonts w:hint="default" w:ascii="Times New Roman" w:hAnsi="Times New Roman" w:eastAsia="仿宋_GB2312" w:cs="Times New Roman"/>
          <w:color w:val="auto"/>
          <w:kern w:val="2"/>
          <w:sz w:val="32"/>
          <w:szCs w:val="32"/>
          <w:highlight w:val="none"/>
          <w:lang w:val="en-US" w:eastAsia="zh-CN" w:bidi="ar-SA"/>
        </w:rPr>
        <w:t>2024年度一般公共预算财政拨款支出决算数为</w:t>
      </w:r>
      <w:r>
        <w:rPr>
          <w:rFonts w:hint="default" w:ascii="Times New Roman" w:hAnsi="Times New Roman" w:eastAsia="仿宋_GB2312" w:cs="Times New Roman"/>
          <w:sz w:val="32"/>
          <w:szCs w:val="32"/>
        </w:rPr>
        <w:t>429.17</w:t>
      </w:r>
      <w:r>
        <w:rPr>
          <w:rFonts w:hint="default" w:ascii="Times New Roman" w:hAnsi="Times New Roman" w:eastAsia="仿宋_GB2312" w:cs="Times New Roman"/>
          <w:color w:val="auto"/>
          <w:kern w:val="2"/>
          <w:sz w:val="32"/>
          <w:szCs w:val="32"/>
          <w:highlight w:val="none"/>
          <w:lang w:val="en-US" w:eastAsia="zh-CN" w:bidi="ar-SA"/>
        </w:rPr>
        <w:t>，完成预算</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*%。其中：</w:t>
      </w:r>
      <w:bookmarkEnd w:id="45"/>
      <w:bookmarkEnd w:id="46"/>
      <w:bookmarkEnd w:id="47"/>
    </w:p>
    <w:p w14:paraId="665BD4B9">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lang w:eastAsia="zh-CN"/>
        </w:rPr>
      </w:pPr>
      <w:bookmarkStart w:id="48" w:name="_Toc15396608"/>
      <w:bookmarkStart w:id="49" w:name="_Toc15377214"/>
      <w:r>
        <w:rPr>
          <w:rStyle w:val="17"/>
          <w:rFonts w:hint="default" w:ascii="Times New Roman" w:hAnsi="Times New Roman" w:eastAsia="仿宋" w:cs="Times New Roman"/>
          <w:bCs/>
          <w:sz w:val="32"/>
          <w:szCs w:val="32"/>
        </w:rPr>
        <w:t>1.一般公共服务</w:t>
      </w:r>
      <w:r>
        <w:rPr>
          <w:rStyle w:val="17"/>
          <w:rFonts w:hint="default" w:ascii="Times New Roman" w:hAnsi="Times New Roman" w:eastAsia="仿宋" w:cs="Times New Roman"/>
          <w:bCs/>
          <w:sz w:val="32"/>
          <w:szCs w:val="32"/>
          <w:lang w:eastAsia="zh-CN"/>
        </w:rPr>
        <w:t>支出</w:t>
      </w:r>
      <w:r>
        <w:rPr>
          <w:rStyle w:val="17"/>
          <w:rFonts w:hint="default" w:ascii="Times New Roman" w:hAnsi="Times New Roman" w:eastAsia="仿宋" w:cs="Times New Roman"/>
          <w:bCs/>
          <w:sz w:val="32"/>
          <w:szCs w:val="32"/>
          <w:lang w:val="en-US" w:eastAsia="zh-CN"/>
        </w:rPr>
        <w:t>20108</w:t>
      </w:r>
      <w:r>
        <w:rPr>
          <w:rStyle w:val="17"/>
          <w:rFonts w:hint="default" w:ascii="Times New Roman" w:hAnsi="Times New Roman" w:eastAsia="仿宋" w:cs="Times New Roman"/>
          <w:bCs/>
          <w:sz w:val="32"/>
          <w:szCs w:val="32"/>
        </w:rPr>
        <w:t>:</w:t>
      </w:r>
      <w:r>
        <w:rPr>
          <w:rStyle w:val="17"/>
          <w:rFonts w:hint="default" w:ascii="Times New Roman" w:hAnsi="Times New Roman" w:eastAsia="仿宋" w:cs="Times New Roman"/>
          <w:b w:val="0"/>
          <w:bCs/>
          <w:sz w:val="32"/>
          <w:szCs w:val="32"/>
        </w:rPr>
        <w:t xml:space="preserve"> 支出决算为</w:t>
      </w:r>
      <w:r>
        <w:rPr>
          <w:rStyle w:val="17"/>
          <w:rFonts w:hint="eastAsia" w:eastAsia="仿宋" w:cs="Times New Roman"/>
          <w:b w:val="0"/>
          <w:bCs/>
          <w:sz w:val="32"/>
          <w:szCs w:val="32"/>
          <w:lang w:val="en-US" w:eastAsia="zh-CN"/>
        </w:rPr>
        <w:t>323.25</w:t>
      </w:r>
      <w:r>
        <w:rPr>
          <w:rStyle w:val="17"/>
          <w:rFonts w:hint="default" w:ascii="Times New Roman" w:hAnsi="Times New Roman" w:eastAsia="仿宋" w:cs="Times New Roman"/>
          <w:b w:val="0"/>
          <w:bCs/>
          <w:sz w:val="32"/>
          <w:szCs w:val="32"/>
        </w:rPr>
        <w:t>万元，完成预算</w:t>
      </w:r>
      <w:r>
        <w:rPr>
          <w:rStyle w:val="17"/>
          <w:rFonts w:hint="eastAsia" w:eastAsia="仿宋" w:cs="Times New Roman"/>
          <w:b w:val="0"/>
          <w:bCs/>
          <w:sz w:val="32"/>
          <w:szCs w:val="32"/>
          <w:lang w:val="en-US" w:eastAsia="zh-CN"/>
        </w:rPr>
        <w:t>75.32</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792ABFD8">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rPr>
      </w:pPr>
      <w:r>
        <w:rPr>
          <w:rStyle w:val="17"/>
          <w:rFonts w:hint="default" w:ascii="Times New Roman" w:hAnsi="Times New Roman" w:eastAsia="仿宋" w:cs="Times New Roman"/>
          <w:bCs/>
          <w:sz w:val="32"/>
          <w:szCs w:val="32"/>
          <w:lang w:val="en-US" w:eastAsia="zh-CN"/>
        </w:rPr>
        <w:t>2</w:t>
      </w:r>
      <w:r>
        <w:rPr>
          <w:rStyle w:val="17"/>
          <w:rFonts w:hint="default" w:ascii="Times New Roman" w:hAnsi="Times New Roman" w:eastAsia="仿宋" w:cs="Times New Roman"/>
          <w:bCs/>
          <w:sz w:val="32"/>
          <w:szCs w:val="32"/>
        </w:rPr>
        <w:t>.社会保障和就业</w:t>
      </w:r>
      <w:r>
        <w:rPr>
          <w:rStyle w:val="17"/>
          <w:rFonts w:hint="default" w:ascii="Times New Roman" w:hAnsi="Times New Roman" w:eastAsia="仿宋" w:cs="Times New Roman"/>
          <w:bCs/>
          <w:sz w:val="32"/>
          <w:szCs w:val="32"/>
          <w:lang w:eastAsia="zh-CN"/>
        </w:rPr>
        <w:t>支出</w:t>
      </w:r>
      <w:r>
        <w:rPr>
          <w:rStyle w:val="17"/>
          <w:rFonts w:hint="default" w:ascii="Times New Roman" w:hAnsi="Times New Roman" w:eastAsia="仿宋" w:cs="Times New Roman"/>
          <w:bCs/>
          <w:sz w:val="32"/>
          <w:szCs w:val="32"/>
          <w:lang w:val="en-US" w:eastAsia="zh-CN"/>
        </w:rPr>
        <w:t>208</w:t>
      </w:r>
      <w:r>
        <w:rPr>
          <w:rStyle w:val="17"/>
          <w:rFonts w:hint="default" w:ascii="Times New Roman" w:hAnsi="Times New Roman" w:eastAsia="仿宋" w:cs="Times New Roman"/>
          <w:bCs/>
          <w:sz w:val="32"/>
          <w:szCs w:val="32"/>
        </w:rPr>
        <w:t>:</w:t>
      </w:r>
      <w:r>
        <w:rPr>
          <w:rStyle w:val="17"/>
          <w:rFonts w:hint="default" w:ascii="Times New Roman" w:hAnsi="Times New Roman" w:eastAsia="仿宋" w:cs="Times New Roman"/>
          <w:b w:val="0"/>
          <w:bCs/>
          <w:sz w:val="32"/>
          <w:szCs w:val="32"/>
        </w:rPr>
        <w:t xml:space="preserve"> 支出决算为</w:t>
      </w:r>
      <w:r>
        <w:rPr>
          <w:rStyle w:val="17"/>
          <w:rFonts w:hint="eastAsia" w:eastAsia="仿宋" w:cs="Times New Roman"/>
          <w:b w:val="0"/>
          <w:bCs/>
          <w:sz w:val="32"/>
          <w:szCs w:val="32"/>
          <w:lang w:val="en-US" w:eastAsia="zh-CN"/>
        </w:rPr>
        <w:t>57.78</w:t>
      </w:r>
      <w:r>
        <w:rPr>
          <w:rStyle w:val="17"/>
          <w:rFonts w:hint="default" w:ascii="Times New Roman" w:hAnsi="Times New Roman" w:eastAsia="仿宋" w:cs="Times New Roman"/>
          <w:b w:val="0"/>
          <w:bCs/>
          <w:sz w:val="32"/>
          <w:szCs w:val="32"/>
        </w:rPr>
        <w:t>万元，完成预算</w:t>
      </w:r>
      <w:r>
        <w:rPr>
          <w:rStyle w:val="17"/>
          <w:rFonts w:hint="eastAsia" w:eastAsia="仿宋" w:cs="Times New Roman"/>
          <w:b w:val="0"/>
          <w:bCs/>
          <w:sz w:val="32"/>
          <w:szCs w:val="32"/>
          <w:lang w:val="en-US" w:eastAsia="zh-CN"/>
        </w:rPr>
        <w:t>13.46</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01E85A12">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lang w:eastAsia="zh-CN"/>
        </w:rPr>
      </w:pPr>
      <w:r>
        <w:rPr>
          <w:rStyle w:val="17"/>
          <w:rFonts w:hint="default" w:ascii="Times New Roman" w:hAnsi="Times New Roman" w:eastAsia="仿宋" w:cs="Times New Roman"/>
          <w:bCs/>
          <w:sz w:val="32"/>
          <w:szCs w:val="32"/>
          <w:lang w:val="en-US" w:eastAsia="zh-CN"/>
        </w:rPr>
        <w:t>3</w:t>
      </w:r>
      <w:r>
        <w:rPr>
          <w:rStyle w:val="17"/>
          <w:rFonts w:hint="default" w:ascii="Times New Roman" w:hAnsi="Times New Roman" w:eastAsia="仿宋" w:cs="Times New Roman"/>
          <w:bCs/>
          <w:sz w:val="32"/>
          <w:szCs w:val="32"/>
        </w:rPr>
        <w:t>.</w:t>
      </w:r>
      <w:r>
        <w:rPr>
          <w:rFonts w:hint="default" w:ascii="Times New Roman" w:hAnsi="Times New Roman" w:eastAsia="仿宋" w:cs="Times New Roman"/>
          <w:b/>
          <w:bCs/>
          <w:sz w:val="32"/>
          <w:szCs w:val="32"/>
        </w:rPr>
        <w:t>卫生健康</w:t>
      </w:r>
      <w:r>
        <w:rPr>
          <w:rStyle w:val="17"/>
          <w:rFonts w:hint="default" w:ascii="Times New Roman" w:hAnsi="Times New Roman" w:eastAsia="仿宋" w:cs="Times New Roman"/>
          <w:bCs/>
          <w:sz w:val="32"/>
          <w:szCs w:val="32"/>
          <w:lang w:eastAsia="zh-CN"/>
        </w:rPr>
        <w:t>支出</w:t>
      </w:r>
      <w:r>
        <w:rPr>
          <w:rStyle w:val="17"/>
          <w:rFonts w:hint="default" w:ascii="Times New Roman" w:hAnsi="Times New Roman" w:eastAsia="仿宋" w:cs="Times New Roman"/>
          <w:bCs/>
          <w:sz w:val="32"/>
          <w:szCs w:val="32"/>
          <w:lang w:val="en-US" w:eastAsia="zh-CN"/>
        </w:rPr>
        <w:t>210：</w:t>
      </w:r>
      <w:r>
        <w:rPr>
          <w:rStyle w:val="17"/>
          <w:rFonts w:hint="default" w:ascii="Times New Roman" w:hAnsi="Times New Roman" w:eastAsia="仿宋" w:cs="Times New Roman"/>
          <w:b w:val="0"/>
          <w:bCs/>
          <w:sz w:val="32"/>
          <w:szCs w:val="32"/>
        </w:rPr>
        <w:t>支出决算为</w:t>
      </w:r>
      <w:r>
        <w:rPr>
          <w:rStyle w:val="17"/>
          <w:rFonts w:hint="eastAsia" w:eastAsia="仿宋" w:cs="Times New Roman"/>
          <w:b w:val="0"/>
          <w:bCs/>
          <w:sz w:val="32"/>
          <w:szCs w:val="32"/>
          <w:lang w:val="en-US" w:eastAsia="zh-CN"/>
        </w:rPr>
        <w:t>20.58</w:t>
      </w:r>
      <w:r>
        <w:rPr>
          <w:rStyle w:val="17"/>
          <w:rFonts w:hint="default" w:ascii="Times New Roman" w:hAnsi="Times New Roman" w:eastAsia="仿宋" w:cs="Times New Roman"/>
          <w:b w:val="0"/>
          <w:bCs/>
          <w:sz w:val="32"/>
          <w:szCs w:val="32"/>
        </w:rPr>
        <w:t>万元，完成预算</w:t>
      </w:r>
      <w:r>
        <w:rPr>
          <w:rStyle w:val="17"/>
          <w:rFonts w:hint="eastAsia" w:eastAsia="仿宋" w:cs="Times New Roman"/>
          <w:b w:val="0"/>
          <w:bCs/>
          <w:sz w:val="32"/>
          <w:szCs w:val="32"/>
          <w:lang w:val="en-US" w:eastAsia="zh-CN"/>
        </w:rPr>
        <w:t>4.80</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7FC94FBC">
      <w:pPr>
        <w:pageBreakBefore w:val="0"/>
        <w:kinsoku/>
        <w:wordWrap/>
        <w:overflowPunct/>
        <w:topLinePunct w:val="0"/>
        <w:bidi w:val="0"/>
        <w:spacing w:line="576" w:lineRule="exact"/>
        <w:ind w:firstLine="643" w:firstLineChars="200"/>
        <w:rPr>
          <w:rFonts w:hint="default" w:ascii="Times New Roman" w:hAnsi="Times New Roman" w:eastAsia="仿宋" w:cs="Times New Roman"/>
          <w:b/>
          <w:sz w:val="32"/>
          <w:szCs w:val="32"/>
          <w:lang w:eastAsia="zh-CN"/>
        </w:rPr>
      </w:pPr>
      <w:r>
        <w:rPr>
          <w:rStyle w:val="17"/>
          <w:rFonts w:hint="default" w:ascii="Times New Roman" w:hAnsi="Times New Roman" w:eastAsia="仿宋" w:cs="Times New Roman"/>
          <w:bCs/>
          <w:kern w:val="2"/>
          <w:sz w:val="32"/>
          <w:szCs w:val="32"/>
          <w:lang w:val="en-US" w:eastAsia="zh-CN" w:bidi="ar-SA"/>
        </w:rPr>
        <w:t>4.住房保障支出221：</w:t>
      </w:r>
      <w:r>
        <w:rPr>
          <w:rStyle w:val="38"/>
          <w:rFonts w:hint="default" w:ascii="Times New Roman" w:hAnsi="Times New Roman" w:eastAsia="仿宋_GB2312" w:cs="Times New Roman"/>
          <w:b w:val="0"/>
          <w:bCs/>
          <w:sz w:val="32"/>
          <w:szCs w:val="32"/>
          <w:shd w:val="clear" w:fill="FFFFFF"/>
        </w:rPr>
        <w:t>支出决算为</w:t>
      </w:r>
      <w:r>
        <w:rPr>
          <w:rStyle w:val="38"/>
          <w:rFonts w:hint="eastAsia" w:eastAsia="仿宋_GB2312" w:cs="Times New Roman"/>
          <w:b w:val="0"/>
          <w:bCs/>
          <w:sz w:val="32"/>
          <w:szCs w:val="32"/>
          <w:shd w:val="clear" w:fill="FFFFFF"/>
          <w:lang w:val="en-US" w:eastAsia="zh-CN"/>
        </w:rPr>
        <w:t>27.55</w:t>
      </w:r>
      <w:r>
        <w:rPr>
          <w:rStyle w:val="38"/>
          <w:rFonts w:hint="default" w:ascii="Times New Roman" w:hAnsi="Times New Roman" w:eastAsia="仿宋_GB2312" w:cs="Times New Roman"/>
          <w:b w:val="0"/>
          <w:bCs/>
          <w:sz w:val="32"/>
          <w:szCs w:val="32"/>
          <w:shd w:val="clear" w:fill="FFFFFF"/>
        </w:rPr>
        <w:t>万元，完成预算</w:t>
      </w:r>
      <w:r>
        <w:rPr>
          <w:rStyle w:val="38"/>
          <w:rFonts w:hint="eastAsia" w:eastAsia="仿宋_GB2312" w:cs="Times New Roman"/>
          <w:b w:val="0"/>
          <w:bCs/>
          <w:sz w:val="32"/>
          <w:szCs w:val="32"/>
          <w:shd w:val="clear" w:fill="FFFFFF"/>
          <w:lang w:val="en-US" w:eastAsia="zh-CN"/>
        </w:rPr>
        <w:t>6.42</w:t>
      </w:r>
      <w:r>
        <w:rPr>
          <w:rStyle w:val="38"/>
          <w:rFonts w:hint="default" w:ascii="Times New Roman" w:hAnsi="Times New Roman" w:eastAsia="仿宋_GB2312" w:cs="Times New Roman"/>
          <w:b w:val="0"/>
          <w:bCs/>
          <w:sz w:val="32"/>
          <w:szCs w:val="32"/>
          <w:shd w:val="clear" w:fill="FFFFFF"/>
        </w:rPr>
        <w:t>%</w:t>
      </w:r>
      <w:r>
        <w:rPr>
          <w:rStyle w:val="38"/>
          <w:rFonts w:hint="default" w:ascii="Times New Roman" w:hAnsi="Times New Roman" w:eastAsia="仿宋_GB2312" w:cs="Times New Roman"/>
          <w:b w:val="0"/>
          <w:bCs/>
          <w:sz w:val="32"/>
          <w:szCs w:val="32"/>
          <w:shd w:val="clear" w:fill="FFFFFF"/>
          <w:lang w:eastAsia="zh-CN"/>
        </w:rPr>
        <w:t>，</w:t>
      </w:r>
      <w:r>
        <w:rPr>
          <w:rStyle w:val="17"/>
          <w:rFonts w:hint="default" w:ascii="Times New Roman" w:hAnsi="Times New Roman" w:eastAsia="仿宋" w:cs="Times New Roman"/>
          <w:b w:val="0"/>
          <w:bCs/>
          <w:sz w:val="32"/>
          <w:szCs w:val="32"/>
        </w:rPr>
        <w:t>决算数等于预算数的主要原因是严格按预算执行</w:t>
      </w:r>
      <w:r>
        <w:rPr>
          <w:rStyle w:val="17"/>
          <w:rFonts w:hint="default" w:ascii="Times New Roman" w:hAnsi="Times New Roman" w:eastAsia="仿宋" w:cs="Times New Roman"/>
          <w:b w:val="0"/>
          <w:bCs/>
          <w:sz w:val="32"/>
          <w:szCs w:val="32"/>
          <w:lang w:eastAsia="zh-CN"/>
        </w:rPr>
        <w:t>。</w:t>
      </w:r>
    </w:p>
    <w:p w14:paraId="29633D21">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3" w:firstLineChars="200"/>
        <w:jc w:val="left"/>
        <w:textAlignment w:val="auto"/>
        <w:outlineLvl w:val="1"/>
        <w:rPr>
          <w:rStyle w:val="29"/>
          <w:rFonts w:hint="default" w:ascii="Times New Roman" w:hAnsi="Times New Roman" w:cs="Times New Roman"/>
          <w:color w:val="auto"/>
          <w:highlight w:val="none"/>
        </w:rPr>
      </w:pPr>
      <w:bookmarkStart w:id="50" w:name="_Toc29030"/>
      <w:r>
        <w:rPr>
          <w:rStyle w:val="29"/>
          <w:rFonts w:hint="eastAsia" w:ascii="楷体_GB2312" w:hAnsi="楷体_GB2312" w:eastAsia="楷体_GB2312" w:cs="楷体_GB2312"/>
          <w:b/>
          <w:bCs/>
        </w:rPr>
        <w:t>六、一般公共预算财政拨款基本支出决算情况说明</w:t>
      </w:r>
      <w:bookmarkEnd w:id="48"/>
      <w:bookmarkEnd w:id="49"/>
      <w:bookmarkEnd w:id="50"/>
      <w:r>
        <w:rPr>
          <w:rStyle w:val="29"/>
          <w:rFonts w:hint="eastAsia" w:ascii="楷体_GB2312" w:hAnsi="楷体_GB2312" w:eastAsia="楷体_GB2312" w:cs="楷体_GB2312"/>
          <w:b/>
          <w:bCs/>
        </w:rPr>
        <w:tab/>
      </w:r>
    </w:p>
    <w:p w14:paraId="0DA80B7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2024年度一般公共预算财政拨款基本支出</w:t>
      </w:r>
      <w:r>
        <w:rPr>
          <w:rFonts w:hint="default" w:ascii="Times New Roman" w:hAnsi="Times New Roman" w:eastAsia="仿宋_GB2312" w:cs="Times New Roman"/>
          <w:sz w:val="32"/>
          <w:szCs w:val="32"/>
        </w:rPr>
        <w:t>386.48</w:t>
      </w:r>
      <w:r>
        <w:rPr>
          <w:rFonts w:hint="default" w:ascii="Times New Roman" w:hAnsi="Times New Roman" w:eastAsia="仿宋_GB2312" w:cs="Times New Roman"/>
          <w:color w:val="auto"/>
          <w:kern w:val="2"/>
          <w:sz w:val="32"/>
          <w:szCs w:val="32"/>
          <w:highlight w:val="none"/>
          <w:lang w:val="en-US" w:eastAsia="zh-CN" w:bidi="ar-SA"/>
        </w:rPr>
        <w:t>万元，其中：</w:t>
      </w:r>
    </w:p>
    <w:p w14:paraId="061CF36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人员经费</w:t>
      </w:r>
      <w:r>
        <w:rPr>
          <w:rFonts w:hint="default" w:ascii="Times New Roman" w:hAnsi="Times New Roman" w:eastAsia="仿宋_GB2312" w:cs="Times New Roman"/>
          <w:sz w:val="32"/>
          <w:szCs w:val="32"/>
        </w:rPr>
        <w:t>370.56</w:t>
      </w:r>
      <w:r>
        <w:rPr>
          <w:rFonts w:hint="default" w:ascii="Times New Roman" w:hAnsi="Times New Roman" w:eastAsia="仿宋_GB2312" w:cs="Times New Roman"/>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color w:val="auto"/>
          <w:kern w:val="2"/>
          <w:sz w:val="32"/>
          <w:szCs w:val="32"/>
          <w:highlight w:val="none"/>
          <w:lang w:val="en-US" w:eastAsia="zh-CN" w:bidi="ar-SA"/>
        </w:rPr>
        <w:br w:type="textWrapping"/>
      </w:r>
      <w:r>
        <w:rPr>
          <w:rFonts w:hint="default" w:ascii="Times New Roman" w:hAnsi="Times New Roman" w:eastAsia="仿宋_GB2312" w:cs="Times New Roman"/>
          <w:color w:val="auto"/>
          <w:kern w:val="2"/>
          <w:sz w:val="32"/>
          <w:szCs w:val="32"/>
          <w:highlight w:val="none"/>
          <w:lang w:val="en-US" w:eastAsia="zh-CN" w:bidi="ar-SA"/>
        </w:rPr>
        <w:t>　　公用经费</w:t>
      </w:r>
      <w:r>
        <w:rPr>
          <w:rFonts w:hint="default" w:ascii="Times New Roman" w:hAnsi="Times New Roman" w:eastAsia="仿宋_GB2312" w:cs="Times New Roman"/>
          <w:sz w:val="32"/>
          <w:szCs w:val="32"/>
        </w:rPr>
        <w:t>15.92</w:t>
      </w:r>
      <w:r>
        <w:rPr>
          <w:rFonts w:hint="default" w:ascii="Times New Roman" w:hAnsi="Times New Roman" w:eastAsia="仿宋_GB2312" w:cs="Times New Roman"/>
          <w:color w:val="auto"/>
          <w:kern w:val="2"/>
          <w:sz w:val="32"/>
          <w:szCs w:val="32"/>
          <w:highlight w:val="none"/>
          <w:lang w:val="en-US" w:eastAsia="zh-CN" w:bidi="ar-SA"/>
        </w:rPr>
        <w:t>万元，主要包括：办公费、印刷费、咨询费、手续费、水费、电费、邮电费、取暖费、物业管理费、差旅费、维修（护）费、公务接待费、劳务费、委托业务费、工会经费、福利费、公务用车运行维护费、其他交通费、税金及附加费用、其他商品和服务支出、办公设备购置、专用设备购置、信息网络及软件购置更新、其他资本性支出等。</w:t>
      </w:r>
    </w:p>
    <w:p w14:paraId="6409796E">
      <w:pPr>
        <w:spacing w:line="600" w:lineRule="exact"/>
        <w:ind w:firstLine="640"/>
        <w:outlineLvl w:val="1"/>
        <w:rPr>
          <w:rStyle w:val="29"/>
          <w:rFonts w:hint="default" w:ascii="Times New Roman" w:hAnsi="Times New Roman" w:eastAsia="黑体" w:cs="Times New Roman"/>
          <w:b w:val="0"/>
          <w:color w:val="auto"/>
          <w:highlight w:val="none"/>
        </w:rPr>
      </w:pPr>
      <w:bookmarkStart w:id="51" w:name="_Toc15396609"/>
      <w:bookmarkStart w:id="52" w:name="_Toc15377215"/>
      <w:bookmarkStart w:id="53" w:name="_Toc3649"/>
      <w:r>
        <w:rPr>
          <w:rFonts w:hint="default" w:ascii="Times New Roman" w:hAnsi="Times New Roman" w:eastAsia="黑体" w:cs="Times New Roman"/>
          <w:color w:val="auto"/>
          <w:sz w:val="32"/>
          <w:szCs w:val="32"/>
          <w:highlight w:val="none"/>
        </w:rPr>
        <w:t>七、</w:t>
      </w:r>
      <w:r>
        <w:rPr>
          <w:rStyle w:val="29"/>
          <w:rFonts w:hint="default" w:ascii="Times New Roman" w:hAnsi="Times New Roman" w:eastAsia="黑体" w:cs="Times New Roman"/>
          <w:b w:val="0"/>
          <w:color w:val="auto"/>
          <w:highlight w:val="none"/>
        </w:rPr>
        <w:t>财政拨款</w:t>
      </w:r>
      <w:r>
        <w:rPr>
          <w:rStyle w:val="29"/>
          <w:rFonts w:hint="default" w:ascii="Times New Roman" w:hAnsi="Times New Roman" w:eastAsia="黑体" w:cs="Times New Roman"/>
          <w:color w:val="auto"/>
          <w:highlight w:val="none"/>
        </w:rPr>
        <w:t>“</w:t>
      </w:r>
      <w:r>
        <w:rPr>
          <w:rStyle w:val="29"/>
          <w:rFonts w:hint="default" w:ascii="Times New Roman" w:hAnsi="Times New Roman" w:eastAsia="黑体" w:cs="Times New Roman"/>
          <w:b w:val="0"/>
          <w:color w:val="auto"/>
          <w:highlight w:val="none"/>
        </w:rPr>
        <w:t>三公”经费支出决算情况说明</w:t>
      </w:r>
      <w:bookmarkEnd w:id="51"/>
      <w:bookmarkEnd w:id="52"/>
      <w:bookmarkEnd w:id="53"/>
    </w:p>
    <w:p w14:paraId="162F8271">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4" w:name="_Toc15377216"/>
      <w:bookmarkStart w:id="55" w:name="_Toc2590"/>
      <w:r>
        <w:rPr>
          <w:rFonts w:hint="default" w:ascii="Times New Roman" w:hAnsi="Times New Roman" w:eastAsia="楷体_GB2312" w:cs="Times New Roman"/>
          <w:b/>
          <w:color w:val="auto"/>
          <w:sz w:val="32"/>
          <w:szCs w:val="32"/>
          <w:highlight w:val="none"/>
        </w:rPr>
        <w:t>（一）“三公”经费财政拨款支出决算总体情况说明</w:t>
      </w:r>
      <w:bookmarkEnd w:id="54"/>
      <w:bookmarkEnd w:id="55"/>
    </w:p>
    <w:p w14:paraId="7E8F1DB0">
      <w:pPr>
        <w:spacing w:line="600" w:lineRule="exact"/>
        <w:ind w:firstLine="640"/>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2024年度“三公”经费财政拨款支出决算为</w:t>
      </w:r>
      <w:r>
        <w:rPr>
          <w:rFonts w:hint="default" w:ascii="Times New Roman" w:hAnsi="Times New Roman" w:eastAsia="仿宋_GB2312" w:cs="Times New Roman"/>
          <w:sz w:val="32"/>
          <w:szCs w:val="32"/>
        </w:rPr>
        <w:t>3.14</w:t>
      </w:r>
      <w:r>
        <w:rPr>
          <w:rFonts w:hint="default" w:ascii="Times New Roman" w:hAnsi="Times New Roman" w:eastAsia="仿宋_GB2312" w:cs="Times New Roman"/>
          <w:color w:val="auto"/>
          <w:kern w:val="2"/>
          <w:sz w:val="32"/>
          <w:szCs w:val="32"/>
          <w:highlight w:val="none"/>
          <w:lang w:val="en-US" w:eastAsia="zh-CN" w:bidi="ar-SA"/>
        </w:rPr>
        <w:t>万元，完成预算</w:t>
      </w:r>
      <w:r>
        <w:rPr>
          <w:rFonts w:hint="default" w:ascii="Times New Roman" w:hAnsi="Times New Roman" w:eastAsia="仿宋_GB2312" w:cs="Times New Roman"/>
          <w:sz w:val="32"/>
          <w:szCs w:val="32"/>
        </w:rPr>
        <w:t>100</w:t>
      </w:r>
      <w:r>
        <w:rPr>
          <w:rFonts w:hint="default" w:ascii="Times New Roman" w:hAnsi="Times New Roman" w:eastAsia="仿宋_GB2312" w:cs="Times New Roman"/>
          <w:color w:val="auto"/>
          <w:kern w:val="2"/>
          <w:sz w:val="32"/>
          <w:szCs w:val="32"/>
          <w:highlight w:val="none"/>
          <w:lang w:val="en-US" w:eastAsia="zh-CN" w:bidi="ar-SA"/>
        </w:rPr>
        <w:t>%，较上年度</w:t>
      </w:r>
      <w:r>
        <w:rPr>
          <w:rFonts w:hint="eastAsia" w:eastAsia="仿宋_GB2312" w:cs="Times New Roman"/>
          <w:color w:val="auto"/>
          <w:kern w:val="2"/>
          <w:sz w:val="32"/>
          <w:szCs w:val="32"/>
          <w:highlight w:val="none"/>
          <w:lang w:val="en-US" w:eastAsia="zh-CN" w:bidi="ar-SA"/>
        </w:rPr>
        <w:t>持平。</w:t>
      </w:r>
    </w:p>
    <w:p w14:paraId="7AA0A669">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56" w:name="_Toc15377217"/>
      <w:bookmarkStart w:id="57" w:name="_Toc21675"/>
      <w:r>
        <w:rPr>
          <w:rFonts w:hint="default" w:ascii="Times New Roman" w:hAnsi="Times New Roman" w:eastAsia="楷体_GB2312" w:cs="Times New Roman"/>
          <w:b/>
          <w:color w:val="auto"/>
          <w:sz w:val="32"/>
          <w:szCs w:val="32"/>
          <w:highlight w:val="none"/>
        </w:rPr>
        <w:t>（二）“三公”经费财政拨款支出决算具体情况说明</w:t>
      </w:r>
      <w:bookmarkEnd w:id="56"/>
      <w:bookmarkEnd w:id="57"/>
    </w:p>
    <w:p w14:paraId="5E06DF14">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2024年度“三公”经费财政拨款支出决算中，因公出国（境）费支出决算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%；公务用车运行维护费支出决算</w:t>
      </w:r>
      <w:r>
        <w:rPr>
          <w:rFonts w:hint="default" w:ascii="Times New Roman" w:hAnsi="Times New Roman" w:eastAsia="仿宋_GB2312" w:cs="Times New Roman"/>
          <w:sz w:val="32"/>
          <w:szCs w:val="32"/>
        </w:rPr>
        <w:t>3.14</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100</w:t>
      </w:r>
      <w:r>
        <w:rPr>
          <w:rFonts w:hint="default" w:ascii="Times New Roman" w:hAnsi="Times New Roman" w:eastAsia="仿宋_GB2312" w:cs="Times New Roman"/>
          <w:color w:val="auto"/>
          <w:kern w:val="2"/>
          <w:sz w:val="32"/>
          <w:szCs w:val="32"/>
          <w:highlight w:val="none"/>
          <w:lang w:val="en-US" w:eastAsia="zh-CN" w:bidi="ar-SA"/>
        </w:rPr>
        <w:t>%；公务接待费支出决算</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万元，占</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%。具体情况如下：</w:t>
      </w:r>
    </w:p>
    <w:p w14:paraId="70EB0B8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drawing>
          <wp:anchor distT="0" distB="0" distL="114300" distR="114300" simplePos="0" relativeHeight="251662336" behindDoc="1" locked="0" layoutInCell="1" allowOverlap="1">
            <wp:simplePos x="0" y="0"/>
            <wp:positionH relativeFrom="column">
              <wp:posOffset>640080</wp:posOffset>
            </wp:positionH>
            <wp:positionV relativeFrom="paragraph">
              <wp:posOffset>309245</wp:posOffset>
            </wp:positionV>
            <wp:extent cx="4628515" cy="3016250"/>
            <wp:effectExtent l="4445" t="4445" r="15240" b="8255"/>
            <wp:wrapTight wrapText="bothSides">
              <wp:wrapPolygon>
                <wp:start x="-21" y="-32"/>
                <wp:lineTo x="-21" y="21523"/>
                <wp:lineTo x="21493" y="21523"/>
                <wp:lineTo x="21493" y="-32"/>
                <wp:lineTo x="-21" y="-32"/>
              </wp:wrapPolygon>
            </wp:wrapTight>
            <wp:docPr id="8" name="图表 8" descr="7b0a202020202263686172745265734964223a202232303436383535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10F8617">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A9FF6C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1786517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0EAFB74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2C91F09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p>
    <w:p w14:paraId="645BCE11">
      <w:pPr>
        <w:spacing w:line="600" w:lineRule="exact"/>
        <w:ind w:firstLine="640"/>
        <w:jc w:val="center"/>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（图7：“三公”经费财政拨款支出结构）</w:t>
      </w:r>
    </w:p>
    <w:p w14:paraId="72E69D00">
      <w:pPr>
        <w:spacing w:line="600" w:lineRule="exact"/>
        <w:ind w:firstLine="640"/>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1.因公出国（境）经费支出</w:t>
      </w:r>
      <w:r>
        <w:rPr>
          <w:rFonts w:hint="eastAsia"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b/>
          <w:bCs/>
          <w:color w:val="auto"/>
          <w:kern w:val="2"/>
          <w:sz w:val="32"/>
          <w:szCs w:val="32"/>
          <w:highlight w:val="none"/>
          <w:lang w:val="en-US" w:eastAsia="zh-CN" w:bidi="ar-SA"/>
        </w:rPr>
        <w:t>万元，完成预算</w:t>
      </w:r>
      <w:r>
        <w:rPr>
          <w:rFonts w:hint="eastAsia"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全年安排因公出国（境）团组</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次，出国（境）</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人。因公出国（境）支出决算比2023年</w:t>
      </w:r>
      <w:r>
        <w:rPr>
          <w:rFonts w:hint="eastAsia" w:eastAsia="仿宋_GB2312" w:cs="Times New Roman"/>
          <w:color w:val="auto"/>
          <w:kern w:val="2"/>
          <w:sz w:val="32"/>
          <w:szCs w:val="32"/>
          <w:highlight w:val="none"/>
          <w:lang w:val="en-US" w:eastAsia="zh-CN" w:bidi="ar-SA"/>
        </w:rPr>
        <w:t>持平。</w:t>
      </w:r>
    </w:p>
    <w:p w14:paraId="03556617">
      <w:pPr>
        <w:spacing w:line="600" w:lineRule="exact"/>
        <w:ind w:firstLine="640"/>
        <w:rPr>
          <w:rFonts w:hint="eastAsia"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2.公务用车购置及运行维护费支出3.14万元，完成预算</w:t>
      </w:r>
      <w:r>
        <w:rPr>
          <w:rFonts w:hint="eastAsia" w:eastAsia="仿宋_GB2312" w:cs="Times New Roman"/>
          <w:b/>
          <w:bCs/>
          <w:color w:val="auto"/>
          <w:kern w:val="2"/>
          <w:sz w:val="32"/>
          <w:szCs w:val="32"/>
          <w:highlight w:val="none"/>
          <w:lang w:val="en-US" w:eastAsia="zh-CN" w:bidi="ar-SA"/>
        </w:rPr>
        <w:t>100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公务用车购置及运行维护费支出决算比2023年度</w:t>
      </w:r>
      <w:r>
        <w:rPr>
          <w:rFonts w:hint="eastAsia" w:eastAsia="仿宋_GB2312" w:cs="Times New Roman"/>
          <w:color w:val="auto"/>
          <w:kern w:val="2"/>
          <w:sz w:val="32"/>
          <w:szCs w:val="32"/>
          <w:highlight w:val="none"/>
          <w:lang w:val="en-US" w:eastAsia="zh-CN" w:bidi="ar-SA"/>
        </w:rPr>
        <w:t>持平。</w:t>
      </w:r>
    </w:p>
    <w:p w14:paraId="5F20F1C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其中：公务用车购置支出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万元。全年按规定更新购置公务用车</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辆。截至2024年12月31日，单位共有公务用车</w:t>
      </w:r>
      <w:r>
        <w:rPr>
          <w:rFonts w:hint="eastAsia"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辆，其中：越野车</w:t>
      </w:r>
      <w:r>
        <w:rPr>
          <w:rFonts w:hint="eastAsia"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辆。</w:t>
      </w:r>
    </w:p>
    <w:p w14:paraId="2E12E4FD">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公务用车运行维护费支出</w:t>
      </w:r>
      <w:r>
        <w:rPr>
          <w:rFonts w:hint="default" w:ascii="Times New Roman" w:hAnsi="Times New Roman" w:eastAsia="仿宋_GB2312" w:cs="Times New Roman"/>
          <w:sz w:val="32"/>
          <w:szCs w:val="32"/>
        </w:rPr>
        <w:t>3.14</w:t>
      </w:r>
      <w:r>
        <w:rPr>
          <w:rFonts w:hint="default" w:ascii="Times New Roman" w:hAnsi="Times New Roman" w:eastAsia="仿宋_GB2312" w:cs="Times New Roman"/>
          <w:color w:val="auto"/>
          <w:kern w:val="2"/>
          <w:sz w:val="32"/>
          <w:szCs w:val="32"/>
          <w:highlight w:val="none"/>
          <w:lang w:val="en-US" w:eastAsia="zh-CN" w:bidi="ar-SA"/>
        </w:rPr>
        <w:t>万元。主要用于</w:t>
      </w:r>
      <w:r>
        <w:rPr>
          <w:rFonts w:hint="default" w:ascii="Times New Roman" w:hAnsi="Times New Roman" w:eastAsia="仿宋_GB2312" w:cs="Times New Roman"/>
          <w:sz w:val="32"/>
          <w:szCs w:val="32"/>
          <w:lang w:eastAsia="zh-CN"/>
        </w:rPr>
        <w:t>审计业务</w:t>
      </w:r>
      <w:r>
        <w:rPr>
          <w:rFonts w:hint="eastAsia" w:eastAsia="仿宋_GB2312" w:cs="Times New Roman"/>
          <w:sz w:val="32"/>
          <w:szCs w:val="32"/>
          <w:lang w:eastAsia="zh-CN"/>
        </w:rPr>
        <w:t>等</w:t>
      </w:r>
      <w:r>
        <w:rPr>
          <w:rFonts w:hint="default" w:ascii="Times New Roman" w:hAnsi="Times New Roman" w:eastAsia="仿宋_GB2312" w:cs="Times New Roman"/>
          <w:color w:val="auto"/>
          <w:kern w:val="2"/>
          <w:sz w:val="32"/>
          <w:szCs w:val="32"/>
          <w:highlight w:val="none"/>
          <w:lang w:val="en-US" w:eastAsia="zh-CN" w:bidi="ar-SA"/>
        </w:rPr>
        <w:t>所需的公务用车燃料费、维修费、过路过桥费、保险费等支出。</w:t>
      </w:r>
    </w:p>
    <w:p w14:paraId="29F1022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3.公务接待费支出0万元，完成预算</w:t>
      </w:r>
      <w:r>
        <w:rPr>
          <w:rFonts w:hint="eastAsia" w:eastAsia="仿宋_GB2312" w:cs="Times New Roman"/>
          <w:b/>
          <w:bCs/>
          <w:color w:val="auto"/>
          <w:kern w:val="2"/>
          <w:sz w:val="32"/>
          <w:szCs w:val="32"/>
          <w:highlight w:val="none"/>
          <w:lang w:val="en-US" w:eastAsia="zh-CN" w:bidi="ar-SA"/>
        </w:rPr>
        <w:t>0</w:t>
      </w:r>
      <w:r>
        <w:rPr>
          <w:rFonts w:hint="default"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公务接待费支出决算比2023年度</w:t>
      </w:r>
      <w:r>
        <w:rPr>
          <w:rFonts w:hint="eastAsia" w:eastAsia="仿宋_GB2312" w:cs="Times New Roman"/>
          <w:color w:val="auto"/>
          <w:kern w:val="2"/>
          <w:sz w:val="32"/>
          <w:szCs w:val="32"/>
          <w:highlight w:val="none"/>
          <w:lang w:val="en-US" w:eastAsia="zh-CN" w:bidi="ar-SA"/>
        </w:rPr>
        <w:t>持平</w:t>
      </w:r>
      <w:r>
        <w:rPr>
          <w:rFonts w:hint="default" w:ascii="Times New Roman" w:hAnsi="Times New Roman" w:eastAsia="仿宋_GB2312" w:cs="Times New Roman"/>
          <w:color w:val="auto"/>
          <w:kern w:val="2"/>
          <w:sz w:val="32"/>
          <w:szCs w:val="32"/>
          <w:highlight w:val="none"/>
          <w:lang w:val="en-US" w:eastAsia="zh-CN" w:bidi="ar-SA"/>
        </w:rPr>
        <w:t>。其中：</w:t>
      </w:r>
    </w:p>
    <w:p w14:paraId="5659C58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国内公务接待支出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万元，国内公务接待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w:t>
      </w:r>
    </w:p>
    <w:p w14:paraId="50DF6B7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外事接待支出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万元，外事接待</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批次，</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人次（不包括陪同人员），共计支出</w:t>
      </w:r>
      <w:r>
        <w:rPr>
          <w:rFonts w:hint="eastAsia" w:eastAsia="仿宋_GB2312" w:cs="Times New Roman"/>
          <w:color w:val="auto"/>
          <w:kern w:val="2"/>
          <w:sz w:val="32"/>
          <w:szCs w:val="32"/>
          <w:highlight w:val="none"/>
          <w:lang w:val="en-US" w:eastAsia="zh-CN" w:bidi="ar-SA"/>
        </w:rPr>
        <w:t>0</w:t>
      </w:r>
      <w:r>
        <w:rPr>
          <w:rFonts w:hint="default" w:ascii="Times New Roman" w:hAnsi="Times New Roman" w:eastAsia="仿宋_GB2312" w:cs="Times New Roman"/>
          <w:color w:val="auto"/>
          <w:kern w:val="2"/>
          <w:sz w:val="32"/>
          <w:szCs w:val="32"/>
          <w:highlight w:val="none"/>
          <w:lang w:val="en-US" w:eastAsia="zh-CN" w:bidi="ar-SA"/>
        </w:rPr>
        <w:t>万元。</w:t>
      </w:r>
      <w:bookmarkStart w:id="58" w:name="_Toc15377218"/>
      <w:bookmarkStart w:id="59" w:name="_Toc15396610"/>
    </w:p>
    <w:p w14:paraId="680DF764">
      <w:pPr>
        <w:spacing w:line="600" w:lineRule="exact"/>
        <w:ind w:firstLine="640"/>
        <w:outlineLvl w:val="1"/>
        <w:rPr>
          <w:rStyle w:val="29"/>
          <w:rFonts w:hint="default" w:ascii="Times New Roman" w:hAnsi="Times New Roman" w:eastAsia="黑体" w:cs="Times New Roman"/>
          <w:color w:val="auto"/>
          <w:highlight w:val="none"/>
        </w:rPr>
      </w:pPr>
      <w:bookmarkStart w:id="60" w:name="_Toc23111"/>
      <w:r>
        <w:rPr>
          <w:rFonts w:hint="default" w:ascii="Times New Roman" w:hAnsi="Times New Roman" w:eastAsia="黑体" w:cs="Times New Roman"/>
          <w:color w:val="auto"/>
          <w:sz w:val="32"/>
          <w:szCs w:val="32"/>
          <w:highlight w:val="none"/>
        </w:rPr>
        <w:t>八、</w:t>
      </w:r>
      <w:r>
        <w:rPr>
          <w:rStyle w:val="29"/>
          <w:rFonts w:hint="default" w:ascii="Times New Roman" w:hAnsi="Times New Roman" w:eastAsia="黑体" w:cs="Times New Roman"/>
          <w:b w:val="0"/>
          <w:color w:val="auto"/>
          <w:highlight w:val="none"/>
        </w:rPr>
        <w:t>政府性基金预算支出决算情况说明</w:t>
      </w:r>
      <w:bookmarkEnd w:id="58"/>
      <w:bookmarkEnd w:id="59"/>
      <w:bookmarkEnd w:id="60"/>
    </w:p>
    <w:p w14:paraId="69D906A0">
      <w:pPr>
        <w:bidi w:val="0"/>
        <w:ind w:firstLine="640" w:firstLineChars="200"/>
        <w:rPr>
          <w:rFonts w:hint="default" w:ascii="Times New Roman" w:hAnsi="Times New Roman" w:eastAsia="仿宋_GB2312" w:cs="Times New Roman"/>
          <w:sz w:val="32"/>
          <w:szCs w:val="32"/>
          <w:lang w:val="en-US" w:eastAsia="zh-CN"/>
        </w:rPr>
      </w:pPr>
      <w:bookmarkStart w:id="61" w:name="_Toc25349"/>
      <w:r>
        <w:rPr>
          <w:rFonts w:hint="default" w:ascii="Times New Roman" w:hAnsi="Times New Roman" w:eastAsia="仿宋_GB2312" w:cs="Times New Roman"/>
          <w:sz w:val="32"/>
          <w:szCs w:val="32"/>
          <w:lang w:val="en-US" w:eastAsia="zh-CN"/>
        </w:rPr>
        <w:t>2024年度政府性基金预算财政拨款支出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lang w:val="en-US" w:eastAsia="zh-CN"/>
        </w:rPr>
        <w:t>万元</w:t>
      </w:r>
      <w:bookmarkStart w:id="62" w:name="_Toc15396611"/>
      <w:bookmarkStart w:id="63" w:name="_Toc15377219"/>
      <w:r>
        <w:rPr>
          <w:rFonts w:hint="default" w:ascii="Times New Roman" w:hAnsi="Times New Roman" w:eastAsia="仿宋_GB2312" w:cs="Times New Roman"/>
          <w:sz w:val="32"/>
          <w:szCs w:val="32"/>
          <w:lang w:val="en-US" w:eastAsia="zh-CN"/>
        </w:rPr>
        <w:t>。</w:t>
      </w:r>
      <w:bookmarkEnd w:id="61"/>
    </w:p>
    <w:p w14:paraId="128D5FCA">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64" w:name="_Toc31384"/>
      <w:r>
        <w:rPr>
          <w:rStyle w:val="29"/>
          <w:rFonts w:hint="default" w:ascii="Times New Roman" w:hAnsi="Times New Roman" w:eastAsia="黑体" w:cs="Times New Roman"/>
          <w:b w:val="0"/>
          <w:color w:val="auto"/>
          <w:highlight w:val="none"/>
          <w:lang w:eastAsia="zh-CN"/>
        </w:rPr>
        <w:t>九、</w:t>
      </w:r>
      <w:r>
        <w:rPr>
          <w:rStyle w:val="29"/>
          <w:rFonts w:hint="default" w:ascii="Times New Roman" w:hAnsi="Times New Roman" w:eastAsia="黑体" w:cs="Times New Roman"/>
          <w:b w:val="0"/>
          <w:color w:val="auto"/>
          <w:highlight w:val="none"/>
        </w:rPr>
        <w:t>国有资本经营预算支出决算情况说明</w:t>
      </w:r>
      <w:bookmarkEnd w:id="62"/>
      <w:bookmarkEnd w:id="63"/>
      <w:bookmarkEnd w:id="64"/>
    </w:p>
    <w:p w14:paraId="6F49D76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2024年度国有资本经营预算财政拨款支出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r>
        <w:rPr>
          <w:rFonts w:hint="eastAsia" w:eastAsia="仿宋_GB2312" w:cs="Times New Roman"/>
          <w:color w:val="auto"/>
          <w:kern w:val="2"/>
          <w:sz w:val="32"/>
          <w:szCs w:val="32"/>
          <w:highlight w:val="none"/>
          <w:lang w:val="en-US" w:eastAsia="zh-CN" w:bidi="ar-SA"/>
        </w:rPr>
        <w:t>。</w:t>
      </w:r>
    </w:p>
    <w:p w14:paraId="3D81CC13">
      <w:pPr>
        <w:numPr>
          <w:ilvl w:val="0"/>
          <w:numId w:val="0"/>
        </w:numPr>
        <w:spacing w:line="600" w:lineRule="exact"/>
        <w:ind w:left="630" w:leftChars="0"/>
        <w:outlineLvl w:val="1"/>
        <w:rPr>
          <w:rStyle w:val="29"/>
          <w:rFonts w:hint="default" w:ascii="Times New Roman" w:hAnsi="Times New Roman" w:eastAsia="黑体" w:cs="Times New Roman"/>
          <w:b w:val="0"/>
          <w:color w:val="auto"/>
          <w:highlight w:val="none"/>
        </w:rPr>
      </w:pPr>
      <w:bookmarkStart w:id="65" w:name="_Toc15377221"/>
      <w:bookmarkStart w:id="66" w:name="_Toc9060"/>
      <w:bookmarkStart w:id="67" w:name="_Toc15396612"/>
      <w:r>
        <w:rPr>
          <w:rStyle w:val="29"/>
          <w:rFonts w:hint="default" w:ascii="Times New Roman" w:hAnsi="Times New Roman" w:eastAsia="黑体" w:cs="Times New Roman"/>
          <w:b w:val="0"/>
          <w:color w:val="auto"/>
          <w:highlight w:val="none"/>
          <w:lang w:eastAsia="zh-CN"/>
        </w:rPr>
        <w:t>十、</w:t>
      </w:r>
      <w:r>
        <w:rPr>
          <w:rStyle w:val="29"/>
          <w:rFonts w:hint="default" w:ascii="Times New Roman" w:hAnsi="Times New Roman" w:eastAsia="黑体" w:cs="Times New Roman"/>
          <w:b w:val="0"/>
          <w:color w:val="auto"/>
          <w:highlight w:val="none"/>
        </w:rPr>
        <w:t>其他重要事项的情况说明</w:t>
      </w:r>
      <w:bookmarkEnd w:id="65"/>
      <w:bookmarkEnd w:id="66"/>
      <w:bookmarkEnd w:id="67"/>
    </w:p>
    <w:p w14:paraId="6AFF5A6D">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68" w:name="_Toc29748"/>
      <w:bookmarkStart w:id="69" w:name="_Toc15377222"/>
      <w:r>
        <w:rPr>
          <w:rFonts w:hint="default" w:ascii="Times New Roman" w:hAnsi="Times New Roman" w:eastAsia="楷体_GB2312" w:cs="Times New Roman"/>
          <w:b/>
          <w:color w:val="auto"/>
          <w:sz w:val="32"/>
          <w:szCs w:val="32"/>
          <w:highlight w:val="none"/>
        </w:rPr>
        <w:t>（一）机关运行经费支出情况</w:t>
      </w:r>
      <w:bookmarkEnd w:id="68"/>
      <w:bookmarkEnd w:id="69"/>
    </w:p>
    <w:p w14:paraId="67C54D80">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松潘县审计局</w:t>
      </w:r>
      <w:r>
        <w:rPr>
          <w:rFonts w:hint="default" w:ascii="Times New Roman" w:hAnsi="Times New Roman" w:eastAsia="仿宋_GB2312" w:cs="Times New Roman"/>
          <w:color w:val="auto"/>
          <w:kern w:val="2"/>
          <w:sz w:val="32"/>
          <w:szCs w:val="32"/>
          <w:highlight w:val="none"/>
          <w:lang w:val="en-US" w:eastAsia="zh-CN" w:bidi="ar-SA"/>
        </w:rPr>
        <w:t>机关运行经费支出</w:t>
      </w:r>
      <w:r>
        <w:rPr>
          <w:rFonts w:hint="default" w:ascii="Times New Roman" w:hAnsi="Times New Roman" w:eastAsia="仿宋_GB2312" w:cs="Times New Roman"/>
          <w:sz w:val="32"/>
          <w:szCs w:val="32"/>
        </w:rPr>
        <w:t>9.09</w:t>
      </w:r>
      <w:r>
        <w:rPr>
          <w:rFonts w:hint="default" w:ascii="Times New Roman" w:hAnsi="Times New Roman" w:eastAsia="仿宋_GB2312" w:cs="Times New Roman"/>
          <w:color w:val="auto"/>
          <w:kern w:val="2"/>
          <w:sz w:val="32"/>
          <w:szCs w:val="32"/>
          <w:highlight w:val="none"/>
          <w:lang w:val="en-US" w:eastAsia="zh-CN" w:bidi="ar-SA"/>
        </w:rPr>
        <w:t>万元，比2023年度减少</w:t>
      </w:r>
      <w:r>
        <w:rPr>
          <w:rFonts w:hint="eastAsia" w:eastAsia="仿宋_GB2312" w:cs="Times New Roman"/>
          <w:color w:val="auto"/>
          <w:kern w:val="2"/>
          <w:sz w:val="32"/>
          <w:szCs w:val="32"/>
          <w:highlight w:val="none"/>
          <w:lang w:val="en-US" w:eastAsia="zh-CN" w:bidi="ar-SA"/>
        </w:rPr>
        <w:t>1.24</w:t>
      </w:r>
      <w:r>
        <w:rPr>
          <w:rFonts w:hint="default" w:ascii="Times New Roman" w:hAnsi="Times New Roman" w:eastAsia="仿宋_GB2312" w:cs="Times New Roman"/>
          <w:color w:val="auto"/>
          <w:kern w:val="2"/>
          <w:sz w:val="32"/>
          <w:szCs w:val="32"/>
          <w:highlight w:val="none"/>
          <w:lang w:val="en-US" w:eastAsia="zh-CN" w:bidi="ar-SA"/>
        </w:rPr>
        <w:t>万元，下降</w:t>
      </w:r>
      <w:r>
        <w:rPr>
          <w:rFonts w:hint="eastAsia" w:eastAsia="仿宋_GB2312"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2"/>
          <w:sz w:val="32"/>
          <w:szCs w:val="32"/>
          <w:highlight w:val="none"/>
          <w:lang w:val="en-US" w:eastAsia="zh-CN" w:bidi="ar-SA"/>
        </w:rPr>
        <w:t>%。主要原因是</w:t>
      </w:r>
      <w:r>
        <w:rPr>
          <w:rFonts w:hint="eastAsia" w:eastAsia="仿宋_GB2312" w:cs="Times New Roman"/>
          <w:color w:val="auto"/>
          <w:kern w:val="2"/>
          <w:sz w:val="32"/>
          <w:szCs w:val="32"/>
          <w:highlight w:val="none"/>
          <w:lang w:val="en-US" w:eastAsia="zh-CN" w:bidi="ar-SA"/>
        </w:rPr>
        <w:t>人员变动。</w:t>
      </w:r>
    </w:p>
    <w:p w14:paraId="6C521B2C">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70" w:name="_Toc9951"/>
      <w:bookmarkStart w:id="71" w:name="_Toc15377223"/>
      <w:r>
        <w:rPr>
          <w:rFonts w:hint="default" w:ascii="Times New Roman" w:hAnsi="Times New Roman" w:eastAsia="楷体_GB2312" w:cs="Times New Roman"/>
          <w:b/>
          <w:color w:val="auto"/>
          <w:sz w:val="32"/>
          <w:szCs w:val="32"/>
          <w:highlight w:val="none"/>
        </w:rPr>
        <w:t>（二）政府采购支出情况</w:t>
      </w:r>
      <w:bookmarkEnd w:id="70"/>
      <w:bookmarkEnd w:id="71"/>
    </w:p>
    <w:p w14:paraId="1E25929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2024年度，</w:t>
      </w:r>
      <w:r>
        <w:rPr>
          <w:rFonts w:hint="default" w:ascii="Times New Roman" w:hAnsi="Times New Roman" w:eastAsia="仿宋_GB2312" w:cs="Times New Roman"/>
          <w:sz w:val="32"/>
          <w:szCs w:val="32"/>
        </w:rPr>
        <w:t>松潘县审计局</w:t>
      </w:r>
      <w:r>
        <w:rPr>
          <w:rFonts w:hint="default" w:ascii="Times New Roman" w:hAnsi="Times New Roman" w:eastAsia="仿宋_GB2312" w:cs="Times New Roman"/>
          <w:color w:val="auto"/>
          <w:kern w:val="2"/>
          <w:sz w:val="32"/>
          <w:szCs w:val="32"/>
          <w:highlight w:val="none"/>
          <w:lang w:val="en-US" w:eastAsia="zh-CN" w:bidi="ar-SA"/>
        </w:rPr>
        <w:t>政府采购支出总额</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万元，其中：政府采购货物支出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万元、政府采购工程支出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万元、政府采购服务支出</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万元。</w:t>
      </w:r>
    </w:p>
    <w:p w14:paraId="6F7116E0">
      <w:pPr>
        <w:spacing w:line="600" w:lineRule="exact"/>
        <w:ind w:firstLine="643" w:firstLineChars="200"/>
        <w:outlineLvl w:val="2"/>
        <w:rPr>
          <w:rFonts w:hint="default" w:ascii="Times New Roman" w:hAnsi="Times New Roman" w:eastAsia="楷体_GB2312" w:cs="Times New Roman"/>
          <w:b/>
          <w:color w:val="auto"/>
          <w:sz w:val="32"/>
          <w:szCs w:val="32"/>
          <w:highlight w:val="none"/>
        </w:rPr>
      </w:pPr>
      <w:bookmarkStart w:id="72" w:name="_Toc19326"/>
      <w:bookmarkStart w:id="73" w:name="_Toc15377224"/>
      <w:r>
        <w:rPr>
          <w:rFonts w:hint="default" w:ascii="Times New Roman" w:hAnsi="Times New Roman" w:eastAsia="楷体_GB2312" w:cs="Times New Roman"/>
          <w:b/>
          <w:color w:val="auto"/>
          <w:sz w:val="32"/>
          <w:szCs w:val="32"/>
          <w:highlight w:val="none"/>
        </w:rPr>
        <w:t>（三）国有资产占有使用情况</w:t>
      </w:r>
      <w:bookmarkEnd w:id="72"/>
      <w:bookmarkEnd w:id="73"/>
    </w:p>
    <w:p w14:paraId="50D982E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截至2024年12月31日，</w:t>
      </w:r>
      <w:r>
        <w:rPr>
          <w:rFonts w:hint="default" w:ascii="Times New Roman" w:hAnsi="Times New Roman" w:eastAsia="仿宋_GB2312" w:cs="Times New Roman"/>
          <w:sz w:val="32"/>
          <w:szCs w:val="32"/>
        </w:rPr>
        <w:t>松潘县审计局</w:t>
      </w:r>
      <w:r>
        <w:rPr>
          <w:rFonts w:hint="default" w:ascii="Times New Roman" w:hAnsi="Times New Roman" w:eastAsia="仿宋_GB2312" w:cs="Times New Roman"/>
          <w:color w:val="auto"/>
          <w:kern w:val="2"/>
          <w:sz w:val="32"/>
          <w:szCs w:val="32"/>
          <w:highlight w:val="none"/>
          <w:lang w:val="en-US" w:eastAsia="zh-CN" w:bidi="ar-SA"/>
        </w:rPr>
        <w:t>共有车辆</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辆，其中：其他用车</w:t>
      </w:r>
      <w:r>
        <w:rPr>
          <w:rFonts w:hint="default" w:ascii="Times New Roman" w:hAnsi="Times New Roman" w:eastAsia="仿宋_GB2312" w:cs="Times New Roman"/>
          <w:sz w:val="32"/>
          <w:szCs w:val="32"/>
        </w:rPr>
        <w:t>1</w:t>
      </w:r>
      <w:r>
        <w:rPr>
          <w:rFonts w:hint="default" w:ascii="Times New Roman" w:hAnsi="Times New Roman" w:eastAsia="仿宋_GB2312" w:cs="Times New Roman"/>
          <w:color w:val="auto"/>
          <w:kern w:val="2"/>
          <w:sz w:val="32"/>
          <w:szCs w:val="32"/>
          <w:highlight w:val="none"/>
          <w:lang w:val="en-US" w:eastAsia="zh-CN" w:bidi="ar-SA"/>
        </w:rPr>
        <w:t>辆，其他用车</w:t>
      </w:r>
      <w:r>
        <w:rPr>
          <w:rFonts w:hint="eastAsia" w:eastAsia="仿宋_GB2312" w:cs="Times New Roman"/>
          <w:color w:val="auto"/>
          <w:kern w:val="2"/>
          <w:sz w:val="32"/>
          <w:szCs w:val="32"/>
          <w:highlight w:val="none"/>
          <w:lang w:val="en-US" w:eastAsia="zh-CN" w:bidi="ar-SA"/>
        </w:rPr>
        <w:t>主要</w:t>
      </w:r>
      <w:bookmarkStart w:id="106" w:name="_GoBack"/>
      <w:r>
        <w:rPr>
          <w:rFonts w:hint="eastAsia" w:eastAsia="仿宋_GB2312" w:cs="Times New Roman"/>
          <w:color w:val="auto"/>
          <w:kern w:val="2"/>
          <w:sz w:val="32"/>
          <w:szCs w:val="32"/>
          <w:highlight w:val="none"/>
          <w:lang w:val="en-US" w:eastAsia="zh-CN" w:bidi="ar-SA"/>
        </w:rPr>
        <w:t>用于</w:t>
      </w:r>
      <w:bookmarkEnd w:id="106"/>
      <w:r>
        <w:rPr>
          <w:rFonts w:hint="default" w:ascii="Times New Roman" w:hAnsi="Times New Roman" w:eastAsia="仿宋_GB2312" w:cs="Times New Roman"/>
          <w:color w:val="auto"/>
          <w:sz w:val="32"/>
          <w:szCs w:val="32"/>
          <w:lang w:eastAsia="zh-CN"/>
        </w:rPr>
        <w:t>审计业务</w:t>
      </w:r>
      <w:r>
        <w:rPr>
          <w:rFonts w:hint="eastAsia" w:eastAsia="仿宋_GB2312" w:cs="Times New Roman"/>
          <w:color w:val="auto"/>
          <w:sz w:val="32"/>
          <w:szCs w:val="32"/>
          <w:lang w:eastAsia="zh-CN"/>
        </w:rPr>
        <w:t>等</w:t>
      </w:r>
      <w:r>
        <w:rPr>
          <w:rFonts w:hint="default" w:ascii="Times New Roman" w:hAnsi="Times New Roman" w:eastAsia="仿宋_GB2312" w:cs="Times New Roman"/>
          <w:color w:val="auto"/>
          <w:kern w:val="2"/>
          <w:sz w:val="32"/>
          <w:szCs w:val="32"/>
          <w:highlight w:val="none"/>
          <w:lang w:val="en-US" w:eastAsia="zh-CN" w:bidi="ar-SA"/>
        </w:rPr>
        <w:t>。单价100万元（含）以上设备（不含车辆）</w:t>
      </w:r>
      <w:r>
        <w:rPr>
          <w:rFonts w:hint="default" w:ascii="Times New Roman" w:hAnsi="Times New Roman" w:eastAsia="仿宋_GB2312" w:cs="Times New Roman"/>
          <w:sz w:val="32"/>
          <w:szCs w:val="32"/>
        </w:rPr>
        <w:t>0</w:t>
      </w:r>
      <w:r>
        <w:rPr>
          <w:rFonts w:hint="default" w:ascii="Times New Roman" w:hAnsi="Times New Roman" w:eastAsia="仿宋_GB2312" w:cs="Times New Roman"/>
          <w:color w:val="auto"/>
          <w:kern w:val="2"/>
          <w:sz w:val="32"/>
          <w:szCs w:val="32"/>
          <w:highlight w:val="none"/>
          <w:lang w:val="en-US" w:eastAsia="zh-CN" w:bidi="ar-SA"/>
        </w:rPr>
        <w:t>台（套）。</w:t>
      </w:r>
    </w:p>
    <w:p w14:paraId="7956E542">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1.财政拨款收入：指单位从同级财政部门取得的财政预算资金。</w:t>
      </w:r>
    </w:p>
    <w:p w14:paraId="519EC898">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2.事业收入：指事业单位开展专业业务活动及辅助活动取得的收入。</w:t>
      </w:r>
    </w:p>
    <w:p w14:paraId="2B141F9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3.经营收入：指事业单位在专业业务活动及其辅助活动之外开展非独立核算经营活动取得的收入。</w:t>
      </w:r>
    </w:p>
    <w:p w14:paraId="1FA1E74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4.其他收入：指单位取得的除上述收入以外的各项收入。</w:t>
      </w:r>
    </w:p>
    <w:p w14:paraId="7BC976EB">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555473A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 xml:space="preserve">6.年初结转和结余：指以前年度尚未完成、结转到本年按有关规定继续使用的资金。 </w:t>
      </w:r>
    </w:p>
    <w:p w14:paraId="2A92D949">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7.结余分配：指事业单位按照会计制度规定缴纳的所得税、提取的专用结余以及转入非财政拨款结余的金额等。</w:t>
      </w:r>
    </w:p>
    <w:p w14:paraId="5F69697E">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8.年末结转和结余：指单位按有关规定结转到下年或以后年度继续使用的资金。</w:t>
      </w:r>
    </w:p>
    <w:p w14:paraId="76A43F62">
      <w:pPr>
        <w:keepNext w:val="0"/>
        <w:keepLines w:val="0"/>
        <w:pageBreakBefore w:val="0"/>
        <w:widowControl/>
        <w:suppressLineNumbers w:val="0"/>
        <w:kinsoku/>
        <w:wordWrap/>
        <w:overflowPunct/>
        <w:topLinePunct w:val="0"/>
        <w:autoSpaceDE w:val="0"/>
        <w:autoSpaceDN/>
        <w:bidi w:val="0"/>
        <w:spacing w:line="576" w:lineRule="exact"/>
        <w:ind w:left="0" w:leftChars="0" w:right="0" w:rightChars="0" w:firstLine="640" w:firstLineChars="200"/>
        <w:rPr>
          <w:rFonts w:hint="default" w:ascii="Times New Roman" w:hAnsi="Times New Roman" w:eastAsia="仿宋_GB2312" w:cs="Times New Roman"/>
          <w:b w:val="0"/>
          <w:bCs/>
          <w:kern w:val="0"/>
          <w:sz w:val="32"/>
          <w:szCs w:val="32"/>
          <w:shd w:val="clear" w:fill="FFFFFF"/>
        </w:rPr>
      </w:pPr>
      <w:bookmarkStart w:id="74" w:name="_Toc15377226"/>
      <w:r>
        <w:rPr>
          <w:rStyle w:val="39"/>
          <w:rFonts w:hint="default" w:ascii="Times New Roman" w:hAnsi="Times New Roman" w:eastAsia="仿宋_GB2312" w:cs="Times New Roman"/>
          <w:b w:val="0"/>
          <w:bCs/>
          <w:sz w:val="32"/>
          <w:szCs w:val="32"/>
          <w:shd w:val="clear" w:fill="FFFFFF"/>
        </w:rPr>
        <w:t>9.一般公共服务201：</w:t>
      </w:r>
      <w:r>
        <w:rPr>
          <w:rFonts w:hint="default" w:ascii="Times New Roman" w:hAnsi="Times New Roman" w:eastAsia="仿宋_GB2312" w:cs="Times New Roman"/>
          <w:kern w:val="0"/>
          <w:sz w:val="32"/>
          <w:szCs w:val="32"/>
        </w:rPr>
        <w:t>指审计行政事务运行，审计事务一般行政管理事务。</w:t>
      </w:r>
    </w:p>
    <w:p w14:paraId="73C4114C">
      <w:pPr>
        <w:keepNext w:val="0"/>
        <w:keepLines w:val="0"/>
        <w:pageBreakBefore w:val="0"/>
        <w:widowControl/>
        <w:suppressLineNumbers w:val="0"/>
        <w:kinsoku/>
        <w:wordWrap/>
        <w:overflowPunct/>
        <w:topLinePunct w:val="0"/>
        <w:autoSpaceDE w:val="0"/>
        <w:autoSpaceDN/>
        <w:bidi w:val="0"/>
        <w:spacing w:after="0" w:afterAutospacing="0" w:line="576" w:lineRule="exact"/>
        <w:ind w:left="0" w:leftChars="0" w:right="0" w:rightChars="0" w:firstLine="640"/>
        <w:rPr>
          <w:rFonts w:hint="default" w:ascii="Times New Roman" w:hAnsi="Times New Roman" w:eastAsia="仿宋_GB2312" w:cs="Times New Roman"/>
          <w:color w:val="333333"/>
          <w:kern w:val="0"/>
          <w:sz w:val="32"/>
          <w:szCs w:val="32"/>
        </w:rPr>
      </w:pPr>
      <w:r>
        <w:rPr>
          <w:rStyle w:val="39"/>
          <w:rFonts w:hint="default" w:ascii="Times New Roman" w:hAnsi="Times New Roman" w:eastAsia="仿宋_GB2312" w:cs="Times New Roman"/>
          <w:b w:val="0"/>
          <w:bCs/>
          <w:sz w:val="32"/>
          <w:szCs w:val="32"/>
          <w:shd w:val="clear" w:fill="FFFFFF"/>
        </w:rPr>
        <w:t>10.社会保障和就业208：</w:t>
      </w:r>
      <w:r>
        <w:rPr>
          <w:rFonts w:hint="default" w:ascii="Times New Roman" w:hAnsi="Times New Roman" w:eastAsia="仿宋_GB2312" w:cs="Times New Roman"/>
          <w:color w:val="333333"/>
          <w:kern w:val="0"/>
          <w:sz w:val="32"/>
          <w:szCs w:val="32"/>
        </w:rPr>
        <w:t>社会保障和就业：指基本工资、津贴补贴、奖金、绩效工资、机关事业单位基本养老保险缴费、职业年金缴费、其他社会保障缴费、其他工资福利支出、生活补助、医疗费、奖励金、住房公积金、其他对个人和家庭的补助支出以及公用经费，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w:t>
      </w:r>
    </w:p>
    <w:p w14:paraId="1AC8F9D6">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bookmarkStart w:id="75" w:name="_Toc23234"/>
      <w:bookmarkStart w:id="76" w:name="_Toc17931"/>
      <w:bookmarkStart w:id="77" w:name="_Toc28365"/>
      <w:r>
        <w:rPr>
          <w:rFonts w:hint="default" w:ascii="Times New Roman" w:hAnsi="Times New Roman" w:eastAsia="仿宋_GB2312" w:cs="Times New Roman"/>
          <w:color w:val="auto"/>
          <w:kern w:val="2"/>
          <w:sz w:val="32"/>
          <w:szCs w:val="32"/>
          <w:highlight w:val="none"/>
          <w:lang w:val="en-US" w:eastAsia="zh-CN" w:bidi="ar-SA"/>
        </w:rPr>
        <w:t>11</w:t>
      </w:r>
      <w:r>
        <w:rPr>
          <w:rFonts w:hint="eastAsia"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住房保障221：指职工的住房公积金。</w:t>
      </w:r>
      <w:bookmarkEnd w:id="75"/>
      <w:bookmarkEnd w:id="76"/>
      <w:bookmarkEnd w:id="77"/>
    </w:p>
    <w:p w14:paraId="1077E4A3">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12.</w:t>
      </w:r>
      <w:r>
        <w:rPr>
          <w:rFonts w:hint="default" w:ascii="Times New Roman" w:hAnsi="Times New Roman" w:eastAsia="仿宋_GB2312" w:cs="Times New Roman"/>
          <w:color w:val="auto"/>
          <w:kern w:val="2"/>
          <w:sz w:val="32"/>
          <w:szCs w:val="32"/>
          <w:highlight w:val="none"/>
          <w:lang w:val="en-US" w:eastAsia="zh-CN" w:bidi="ar-SA"/>
        </w:rPr>
        <w:t>基本支出：指为保障机构正常运转、完成日常工作任务而发生的人员支出和公用支出。</w:t>
      </w:r>
    </w:p>
    <w:p w14:paraId="52C637B5">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eastAsia" w:eastAsia="仿宋_GB2312" w:cs="Times New Roman"/>
          <w:color w:val="auto"/>
          <w:kern w:val="2"/>
          <w:sz w:val="32"/>
          <w:szCs w:val="32"/>
          <w:highlight w:val="none"/>
          <w:lang w:val="en-US" w:eastAsia="zh-CN" w:bidi="ar-SA"/>
        </w:rPr>
        <w:t>13.</w:t>
      </w:r>
      <w:r>
        <w:rPr>
          <w:rFonts w:hint="default" w:ascii="Times New Roman" w:hAnsi="Times New Roman" w:eastAsia="仿宋_GB2312" w:cs="Times New Roman"/>
          <w:color w:val="auto"/>
          <w:kern w:val="2"/>
          <w:sz w:val="32"/>
          <w:szCs w:val="32"/>
          <w:highlight w:val="none"/>
          <w:lang w:val="en-US" w:eastAsia="zh-CN" w:bidi="ar-SA"/>
        </w:rPr>
        <w:t>项目支出：指在基本支出之外为完成特定行政任务和事业发展目标所发生的支出。</w:t>
      </w:r>
    </w:p>
    <w:p w14:paraId="666C082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14.经营支出：指事业单位在专业业务活动及其辅助活动之外开展非独立核算经营活动发生的支出。</w:t>
      </w:r>
    </w:p>
    <w:p w14:paraId="1839C4C1">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15.“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0F3C7AA">
      <w:pPr>
        <w:spacing w:line="600" w:lineRule="exact"/>
        <w:ind w:firstLine="640"/>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C2CFB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p>
    <w:p w14:paraId="33EB064A">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kern w:val="0"/>
          <w:position w:val="0"/>
          <w:sz w:val="32"/>
          <w:szCs w:val="32"/>
          <w:highlight w:val="none"/>
          <w:lang w:val="en-US" w:eastAsia="zh-CN" w:bidi="ar-SA"/>
        </w:rPr>
      </w:pPr>
      <w:bookmarkStart w:id="78" w:name="_Toc15396618"/>
      <w:r>
        <w:rPr>
          <w:rFonts w:hint="default" w:ascii="Times New Roman" w:hAnsi="Times New Roman" w:eastAsia="仿宋_GB2312" w:cs="Times New Roman"/>
          <w:b w:val="0"/>
          <w:bCs w:val="0"/>
          <w:kern w:val="0"/>
          <w:position w:val="0"/>
          <w:sz w:val="32"/>
          <w:szCs w:val="32"/>
          <w:highlight w:val="none"/>
          <w:lang w:val="en-US" w:eastAsia="zh-CN" w:bidi="ar-SA"/>
        </w:rPr>
        <w:br w:type="page"/>
      </w:r>
    </w:p>
    <w:p w14:paraId="013ED201">
      <w:pPr>
        <w:pStyle w:val="2"/>
        <w:bidi w:val="0"/>
        <w:jc w:val="center"/>
        <w:rPr>
          <w:rFonts w:hint="eastAsia" w:ascii="方正小标宋简体" w:hAnsi="方正小标宋简体" w:eastAsia="方正小标宋简体" w:cs="方正小标宋简体"/>
          <w:b w:val="0"/>
          <w:bCs w:val="0"/>
        </w:rPr>
      </w:pPr>
      <w:bookmarkStart w:id="79" w:name="_Toc25580"/>
      <w:r>
        <w:rPr>
          <w:rFonts w:hint="eastAsia" w:ascii="方正小标宋简体" w:hAnsi="方正小标宋简体" w:eastAsia="方正小标宋简体" w:cs="方正小标宋简体"/>
          <w:b w:val="0"/>
          <w:bCs w:val="0"/>
        </w:rPr>
        <w:t>第五部分 附表</w:t>
      </w:r>
      <w:bookmarkEnd w:id="74"/>
      <w:bookmarkEnd w:id="78"/>
      <w:bookmarkEnd w:id="79"/>
      <w:bookmarkStart w:id="80" w:name="_Toc15396619"/>
    </w:p>
    <w:p w14:paraId="4D7DC7E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color w:val="auto"/>
          <w:sz w:val="32"/>
          <w:szCs w:val="32"/>
          <w:highlight w:val="none"/>
        </w:rPr>
      </w:pPr>
    </w:p>
    <w:p w14:paraId="4B5B1F1B">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81" w:name="_Toc4911"/>
      <w:r>
        <w:rPr>
          <w:rFonts w:hint="eastAsia" w:ascii="仿宋_GB2312" w:hAnsi="仿宋_GB2312" w:eastAsia="仿宋_GB2312" w:cs="仿宋_GB2312"/>
          <w:b w:val="0"/>
          <w:bCs w:val="0"/>
        </w:rPr>
        <w:t>一、收入支出决算总表</w:t>
      </w:r>
      <w:bookmarkEnd w:id="80"/>
      <w:bookmarkEnd w:id="81"/>
    </w:p>
    <w:p w14:paraId="78B59854">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82" w:name="_Toc14706"/>
      <w:bookmarkStart w:id="83" w:name="_Toc15396620"/>
      <w:r>
        <w:rPr>
          <w:rFonts w:hint="eastAsia" w:ascii="仿宋_GB2312" w:hAnsi="仿宋_GB2312" w:eastAsia="仿宋_GB2312" w:cs="仿宋_GB2312"/>
          <w:b w:val="0"/>
          <w:bCs w:val="0"/>
        </w:rPr>
        <w:t>二、收入决算表</w:t>
      </w:r>
      <w:bookmarkEnd w:id="82"/>
      <w:bookmarkEnd w:id="83"/>
    </w:p>
    <w:p w14:paraId="248E2AA3">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84" w:name="_Toc15396621"/>
      <w:bookmarkStart w:id="85" w:name="_Toc4466"/>
      <w:r>
        <w:rPr>
          <w:rFonts w:hint="eastAsia" w:ascii="仿宋_GB2312" w:hAnsi="仿宋_GB2312" w:eastAsia="仿宋_GB2312" w:cs="仿宋_GB2312"/>
          <w:b w:val="0"/>
          <w:bCs w:val="0"/>
        </w:rPr>
        <w:t>三、支出决算表</w:t>
      </w:r>
      <w:bookmarkEnd w:id="84"/>
      <w:bookmarkEnd w:id="85"/>
    </w:p>
    <w:p w14:paraId="48DC6C05">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86" w:name="_Toc13384"/>
      <w:bookmarkStart w:id="87" w:name="_Toc15396622"/>
      <w:r>
        <w:rPr>
          <w:rFonts w:hint="eastAsia" w:ascii="仿宋_GB2312" w:hAnsi="仿宋_GB2312" w:eastAsia="仿宋_GB2312" w:cs="仿宋_GB2312"/>
          <w:b w:val="0"/>
          <w:bCs w:val="0"/>
        </w:rPr>
        <w:t>四、财政拨款收入支出决算总表</w:t>
      </w:r>
      <w:bookmarkEnd w:id="86"/>
      <w:bookmarkEnd w:id="87"/>
    </w:p>
    <w:p w14:paraId="3530273C">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88" w:name="_Toc27063"/>
      <w:bookmarkStart w:id="89" w:name="_Toc15396623"/>
      <w:r>
        <w:rPr>
          <w:rFonts w:hint="eastAsia" w:ascii="仿宋_GB2312" w:hAnsi="仿宋_GB2312" w:eastAsia="仿宋_GB2312" w:cs="仿宋_GB2312"/>
          <w:b w:val="0"/>
          <w:bCs w:val="0"/>
        </w:rPr>
        <w:t>五、财政拨款支出决算明细表</w:t>
      </w:r>
      <w:bookmarkEnd w:id="88"/>
      <w:bookmarkEnd w:id="89"/>
      <w:bookmarkStart w:id="90" w:name="_Toc15396624"/>
    </w:p>
    <w:p w14:paraId="44F9FF5C">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91" w:name="_Toc21573"/>
      <w:r>
        <w:rPr>
          <w:rFonts w:hint="eastAsia" w:ascii="仿宋_GB2312" w:hAnsi="仿宋_GB2312" w:eastAsia="仿宋_GB2312" w:cs="仿宋_GB2312"/>
          <w:b w:val="0"/>
          <w:bCs w:val="0"/>
        </w:rPr>
        <w:t>六、一般公共预算财政拨款支出决算表</w:t>
      </w:r>
      <w:bookmarkEnd w:id="90"/>
      <w:bookmarkEnd w:id="91"/>
    </w:p>
    <w:p w14:paraId="48D6AAFD">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92" w:name="_Toc15396625"/>
      <w:bookmarkStart w:id="93" w:name="_Toc1527"/>
      <w:r>
        <w:rPr>
          <w:rFonts w:hint="eastAsia" w:ascii="仿宋_GB2312" w:hAnsi="仿宋_GB2312" w:eastAsia="仿宋_GB2312" w:cs="仿宋_GB2312"/>
          <w:b w:val="0"/>
          <w:bCs w:val="0"/>
        </w:rPr>
        <w:t>七、一般公共预算财政拨款支出决算明细表</w:t>
      </w:r>
      <w:bookmarkEnd w:id="92"/>
      <w:bookmarkEnd w:id="93"/>
    </w:p>
    <w:p w14:paraId="38A03187">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94" w:name="_Toc9979"/>
      <w:bookmarkStart w:id="95" w:name="_Toc15396626"/>
      <w:r>
        <w:rPr>
          <w:rFonts w:hint="eastAsia" w:ascii="仿宋_GB2312" w:hAnsi="仿宋_GB2312" w:eastAsia="仿宋_GB2312" w:cs="仿宋_GB2312"/>
          <w:b w:val="0"/>
          <w:bCs w:val="0"/>
        </w:rPr>
        <w:t>八、一般公共预算财政拨款基本支出决算表</w:t>
      </w:r>
      <w:bookmarkEnd w:id="94"/>
      <w:bookmarkEnd w:id="95"/>
    </w:p>
    <w:p w14:paraId="07A22D61">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96" w:name="_Toc17172"/>
      <w:bookmarkStart w:id="97" w:name="_Toc15396627"/>
      <w:r>
        <w:rPr>
          <w:rFonts w:hint="eastAsia" w:ascii="仿宋_GB2312" w:hAnsi="仿宋_GB2312" w:eastAsia="仿宋_GB2312" w:cs="仿宋_GB2312"/>
          <w:b w:val="0"/>
          <w:bCs w:val="0"/>
        </w:rPr>
        <w:t>九、一般公共预算财政拨款项目支出决算表</w:t>
      </w:r>
      <w:bookmarkEnd w:id="96"/>
      <w:bookmarkEnd w:id="97"/>
    </w:p>
    <w:p w14:paraId="79903CCA">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98" w:name="_Toc15396628"/>
      <w:bookmarkStart w:id="99" w:name="_Toc19726"/>
      <w:r>
        <w:rPr>
          <w:rFonts w:hint="eastAsia" w:ascii="仿宋_GB2312" w:hAnsi="仿宋_GB2312" w:eastAsia="仿宋_GB2312" w:cs="仿宋_GB2312"/>
          <w:b w:val="0"/>
          <w:bCs w:val="0"/>
        </w:rPr>
        <w:t>十、</w:t>
      </w:r>
      <w:bookmarkEnd w:id="98"/>
      <w:r>
        <w:rPr>
          <w:rFonts w:hint="eastAsia" w:ascii="仿宋_GB2312" w:hAnsi="仿宋_GB2312" w:eastAsia="仿宋_GB2312" w:cs="仿宋_GB2312"/>
          <w:b w:val="0"/>
          <w:bCs w:val="0"/>
        </w:rPr>
        <w:t>政府性基金预算财政拨款收入支出决算表</w:t>
      </w:r>
      <w:bookmarkEnd w:id="99"/>
    </w:p>
    <w:p w14:paraId="54139D46">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100" w:name="_Toc15396629"/>
      <w:bookmarkStart w:id="101" w:name="_Toc16701"/>
      <w:r>
        <w:rPr>
          <w:rFonts w:hint="eastAsia" w:ascii="仿宋_GB2312" w:hAnsi="仿宋_GB2312" w:eastAsia="仿宋_GB2312" w:cs="仿宋_GB2312"/>
          <w:b w:val="0"/>
          <w:bCs w:val="0"/>
        </w:rPr>
        <w:t>十一、</w:t>
      </w:r>
      <w:bookmarkEnd w:id="100"/>
      <w:r>
        <w:rPr>
          <w:rFonts w:hint="eastAsia" w:ascii="仿宋_GB2312" w:hAnsi="仿宋_GB2312" w:eastAsia="仿宋_GB2312" w:cs="仿宋_GB2312"/>
          <w:b w:val="0"/>
          <w:bCs w:val="0"/>
        </w:rPr>
        <w:t>国有资本经营预算</w:t>
      </w:r>
      <w:r>
        <w:rPr>
          <w:rFonts w:hint="eastAsia" w:ascii="仿宋_GB2312" w:hAnsi="仿宋_GB2312" w:eastAsia="仿宋_GB2312" w:cs="仿宋_GB2312"/>
          <w:b w:val="0"/>
          <w:bCs w:val="0"/>
          <w:lang w:eastAsia="zh-CN"/>
        </w:rPr>
        <w:t>财政拨款收入</w:t>
      </w:r>
      <w:r>
        <w:rPr>
          <w:rFonts w:hint="eastAsia" w:ascii="仿宋_GB2312" w:hAnsi="仿宋_GB2312" w:eastAsia="仿宋_GB2312" w:cs="仿宋_GB2312"/>
          <w:b w:val="0"/>
          <w:bCs w:val="0"/>
        </w:rPr>
        <w:t>支出决算表</w:t>
      </w:r>
      <w:bookmarkEnd w:id="101"/>
    </w:p>
    <w:p w14:paraId="2CCC6619">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rPr>
      </w:pPr>
      <w:bookmarkStart w:id="102" w:name="_Toc15396630"/>
      <w:bookmarkStart w:id="103" w:name="_Toc26507"/>
      <w:r>
        <w:rPr>
          <w:rFonts w:hint="eastAsia" w:ascii="仿宋_GB2312" w:hAnsi="仿宋_GB2312" w:eastAsia="仿宋_GB2312" w:cs="仿宋_GB2312"/>
          <w:b w:val="0"/>
          <w:bCs w:val="0"/>
        </w:rPr>
        <w:t>十二、</w:t>
      </w:r>
      <w:bookmarkEnd w:id="102"/>
      <w:r>
        <w:rPr>
          <w:rFonts w:hint="eastAsia" w:ascii="仿宋_GB2312" w:hAnsi="仿宋_GB2312" w:eastAsia="仿宋_GB2312" w:cs="仿宋_GB2312"/>
          <w:b w:val="0"/>
          <w:bCs w:val="0"/>
          <w:lang w:eastAsia="zh-CN"/>
        </w:rPr>
        <w:t>国有资本经营预算财政拨款支出决算表</w:t>
      </w:r>
      <w:bookmarkEnd w:id="103"/>
    </w:p>
    <w:p w14:paraId="270CCC45">
      <w:pPr>
        <w:pStyle w:val="3"/>
        <w:keepNext/>
        <w:keepLines/>
        <w:pageBreakBefore w:val="0"/>
        <w:widowControl w:val="0"/>
        <w:kinsoku/>
        <w:wordWrap/>
        <w:overflowPunct/>
        <w:topLinePunct w:val="0"/>
        <w:autoSpaceDE/>
        <w:autoSpaceDN/>
        <w:bidi w:val="0"/>
        <w:adjustRightInd/>
        <w:snapToGrid/>
        <w:spacing w:before="0" w:after="0" w:line="576" w:lineRule="exact"/>
        <w:ind w:firstLine="640" w:firstLineChars="200"/>
        <w:jc w:val="left"/>
        <w:textAlignment w:val="auto"/>
        <w:rPr>
          <w:rFonts w:hint="eastAsia" w:ascii="仿宋_GB2312" w:hAnsi="仿宋_GB2312" w:eastAsia="仿宋_GB2312" w:cs="仿宋_GB2312"/>
          <w:b w:val="0"/>
          <w:bCs w:val="0"/>
          <w:lang w:eastAsia="zh-CN"/>
        </w:rPr>
      </w:pPr>
      <w:bookmarkStart w:id="104" w:name="_Toc15396631"/>
      <w:bookmarkStart w:id="105" w:name="_Toc130"/>
      <w:r>
        <w:rPr>
          <w:rFonts w:hint="eastAsia" w:ascii="仿宋_GB2312" w:hAnsi="仿宋_GB2312" w:eastAsia="仿宋_GB2312" w:cs="仿宋_GB2312"/>
          <w:b w:val="0"/>
          <w:bCs w:val="0"/>
        </w:rPr>
        <w:t>十三、</w:t>
      </w:r>
      <w:bookmarkEnd w:id="104"/>
      <w:r>
        <w:rPr>
          <w:rFonts w:hint="eastAsia" w:ascii="仿宋_GB2312" w:hAnsi="仿宋_GB2312" w:eastAsia="仿宋_GB2312" w:cs="仿宋_GB2312"/>
          <w:b w:val="0"/>
          <w:bCs w:val="0"/>
          <w:lang w:eastAsia="zh-CN"/>
        </w:rPr>
        <w:t>财政拨款“三公”经费支出决算表</w:t>
      </w:r>
      <w:bookmarkEnd w:id="105"/>
    </w:p>
    <w:p w14:paraId="738EA126">
      <w:pPr>
        <w:rPr>
          <w:rFonts w:hint="default" w:ascii="Times New Roman" w:hAnsi="Times New Roman" w:cs="Times New Roman"/>
          <w:lang w:eastAsia="zh-CN"/>
        </w:rPr>
      </w:pPr>
    </w:p>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CC8EF0-E49B-440B-A8BC-78B5B70B15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886F3E5-595F-4C25-99C2-4DAB80F84614}"/>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6780D3FE-E716-4222-894B-4502BD302624}"/>
  </w:font>
  <w:font w:name="仿宋">
    <w:panose1 w:val="02010609060101010101"/>
    <w:charset w:val="86"/>
    <w:family w:val="modern"/>
    <w:pitch w:val="default"/>
    <w:sig w:usb0="800002BF" w:usb1="38CF7CFA" w:usb2="00000016" w:usb3="00000000" w:csb0="00040001" w:csb1="00000000"/>
    <w:embedRegular r:id="rId4" w:fontKey="{FAB2F41D-42E4-46D1-A477-9817DC701403}"/>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script"/>
    <w:pitch w:val="default"/>
    <w:sig w:usb0="00000001" w:usb1="080E0000" w:usb2="00000000" w:usb3="00000000" w:csb0="00040000" w:csb1="00000000"/>
    <w:embedRegular r:id="rId5" w:fontKey="{AC585D02-9823-4DA9-8F19-8873C40F121A}"/>
  </w:font>
  <w:font w:name="楷体_GB2312">
    <w:panose1 w:val="02010609030101010101"/>
    <w:charset w:val="86"/>
    <w:family w:val="auto"/>
    <w:pitch w:val="default"/>
    <w:sig w:usb0="00000001" w:usb1="080E0000" w:usb2="00000000" w:usb3="00000000" w:csb0="00040000" w:csb1="00000000"/>
    <w:embedRegular r:id="rId6" w:fontKey="{E0DBC856-A17E-4BD7-8A53-1408AA334BF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5D4ED">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363B1">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B4363B1">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62C77E8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14422">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97A71">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CB97A71">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28BA">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34FEC">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234FEC">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34BE217E">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7011">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35F06">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C35F06">
                    <w:pPr>
                      <w:pStyle w:val="10"/>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D81DB">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DEFDE5">
                          <w:pPr>
                            <w:pStyle w:val="10"/>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EDEFDE5">
                    <w:pPr>
                      <w:pStyle w:val="10"/>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p w14:paraId="51D79953">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2839D">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24EB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1824EB9">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43BB">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F3B4F"/>
    <w:rsid w:val="012A5EC2"/>
    <w:rsid w:val="015975B8"/>
    <w:rsid w:val="0213766F"/>
    <w:rsid w:val="02FEBE30"/>
    <w:rsid w:val="04916F1E"/>
    <w:rsid w:val="04F03C97"/>
    <w:rsid w:val="052102F4"/>
    <w:rsid w:val="05AB5BFB"/>
    <w:rsid w:val="05E337FC"/>
    <w:rsid w:val="060F45F1"/>
    <w:rsid w:val="061E35DE"/>
    <w:rsid w:val="066E0107"/>
    <w:rsid w:val="07996F6E"/>
    <w:rsid w:val="07C66F31"/>
    <w:rsid w:val="07DFD8BA"/>
    <w:rsid w:val="09867E8F"/>
    <w:rsid w:val="0A2032A3"/>
    <w:rsid w:val="0B1F52D6"/>
    <w:rsid w:val="0B23682C"/>
    <w:rsid w:val="0B4E34C6"/>
    <w:rsid w:val="0B5C15B8"/>
    <w:rsid w:val="0BBF43C3"/>
    <w:rsid w:val="0C321039"/>
    <w:rsid w:val="0CA8290A"/>
    <w:rsid w:val="0D35B1ED"/>
    <w:rsid w:val="0D8256A8"/>
    <w:rsid w:val="0D991370"/>
    <w:rsid w:val="0DBD0872"/>
    <w:rsid w:val="0DD71E98"/>
    <w:rsid w:val="0E124C7E"/>
    <w:rsid w:val="0E254B6B"/>
    <w:rsid w:val="0E4D3F08"/>
    <w:rsid w:val="0E651252"/>
    <w:rsid w:val="0F1B7B63"/>
    <w:rsid w:val="0F98263C"/>
    <w:rsid w:val="0FB77642"/>
    <w:rsid w:val="0FC621C4"/>
    <w:rsid w:val="101860EC"/>
    <w:rsid w:val="101F47CC"/>
    <w:rsid w:val="10C055FF"/>
    <w:rsid w:val="11694EBD"/>
    <w:rsid w:val="11772AA4"/>
    <w:rsid w:val="118107EC"/>
    <w:rsid w:val="12502219"/>
    <w:rsid w:val="12AC2CE7"/>
    <w:rsid w:val="12E24EE2"/>
    <w:rsid w:val="13D50BC4"/>
    <w:rsid w:val="146D70B2"/>
    <w:rsid w:val="147D7CD0"/>
    <w:rsid w:val="14B17F78"/>
    <w:rsid w:val="14BA7E1E"/>
    <w:rsid w:val="14FC60B6"/>
    <w:rsid w:val="165E0673"/>
    <w:rsid w:val="166D251B"/>
    <w:rsid w:val="16B831D5"/>
    <w:rsid w:val="16BB723D"/>
    <w:rsid w:val="16DE6045"/>
    <w:rsid w:val="17343EB7"/>
    <w:rsid w:val="17395FFB"/>
    <w:rsid w:val="173C0FBE"/>
    <w:rsid w:val="17E50567"/>
    <w:rsid w:val="186504BB"/>
    <w:rsid w:val="18F4694E"/>
    <w:rsid w:val="19A445FC"/>
    <w:rsid w:val="1A152608"/>
    <w:rsid w:val="1B6E2D7F"/>
    <w:rsid w:val="1BE8440E"/>
    <w:rsid w:val="1BF12377"/>
    <w:rsid w:val="1C93342E"/>
    <w:rsid w:val="1D155CEE"/>
    <w:rsid w:val="1D1638FE"/>
    <w:rsid w:val="1DA63635"/>
    <w:rsid w:val="1DAD6772"/>
    <w:rsid w:val="1E312DEB"/>
    <w:rsid w:val="1E740ACF"/>
    <w:rsid w:val="1EFE2908"/>
    <w:rsid w:val="1F843502"/>
    <w:rsid w:val="1FCA360B"/>
    <w:rsid w:val="1FF35744"/>
    <w:rsid w:val="1FF6BC77"/>
    <w:rsid w:val="2124700F"/>
    <w:rsid w:val="2186353C"/>
    <w:rsid w:val="225278E7"/>
    <w:rsid w:val="22D56425"/>
    <w:rsid w:val="23860B96"/>
    <w:rsid w:val="240371BF"/>
    <w:rsid w:val="244F3473"/>
    <w:rsid w:val="24C97D99"/>
    <w:rsid w:val="24D82326"/>
    <w:rsid w:val="24EF2D34"/>
    <w:rsid w:val="250E5D48"/>
    <w:rsid w:val="2540611D"/>
    <w:rsid w:val="25A718F0"/>
    <w:rsid w:val="25BB59F6"/>
    <w:rsid w:val="25F969F8"/>
    <w:rsid w:val="260F557C"/>
    <w:rsid w:val="26970054"/>
    <w:rsid w:val="26CD39E1"/>
    <w:rsid w:val="281408E2"/>
    <w:rsid w:val="28A32C4B"/>
    <w:rsid w:val="28EC213C"/>
    <w:rsid w:val="29E74DB9"/>
    <w:rsid w:val="29E90B31"/>
    <w:rsid w:val="29FD04D3"/>
    <w:rsid w:val="2A761E8C"/>
    <w:rsid w:val="2BF22CB5"/>
    <w:rsid w:val="2BFF7BC6"/>
    <w:rsid w:val="2C2E0A7D"/>
    <w:rsid w:val="2C444745"/>
    <w:rsid w:val="2C8A61B5"/>
    <w:rsid w:val="2D524C40"/>
    <w:rsid w:val="2DF04E50"/>
    <w:rsid w:val="2E586DFA"/>
    <w:rsid w:val="2E806150"/>
    <w:rsid w:val="2ECD0A22"/>
    <w:rsid w:val="2F040D46"/>
    <w:rsid w:val="2F6B035B"/>
    <w:rsid w:val="2FAE5751"/>
    <w:rsid w:val="2FB1A395"/>
    <w:rsid w:val="2FC82F97"/>
    <w:rsid w:val="2FD9A7D8"/>
    <w:rsid w:val="2FDBF714"/>
    <w:rsid w:val="30A12166"/>
    <w:rsid w:val="30AB6865"/>
    <w:rsid w:val="31344D88"/>
    <w:rsid w:val="319F7F4E"/>
    <w:rsid w:val="31A113F5"/>
    <w:rsid w:val="32BD1EF1"/>
    <w:rsid w:val="3304709D"/>
    <w:rsid w:val="33A773CB"/>
    <w:rsid w:val="33DB773D"/>
    <w:rsid w:val="342D7D5D"/>
    <w:rsid w:val="344E7E86"/>
    <w:rsid w:val="349D6851"/>
    <w:rsid w:val="357240D1"/>
    <w:rsid w:val="35A46254"/>
    <w:rsid w:val="368C11C2"/>
    <w:rsid w:val="36AA5135"/>
    <w:rsid w:val="36AE1139"/>
    <w:rsid w:val="36BE0DA7"/>
    <w:rsid w:val="376B6AA6"/>
    <w:rsid w:val="376D39B2"/>
    <w:rsid w:val="37E16F03"/>
    <w:rsid w:val="37F53A3B"/>
    <w:rsid w:val="389B6C89"/>
    <w:rsid w:val="38BD38B5"/>
    <w:rsid w:val="38D469F0"/>
    <w:rsid w:val="39500E6A"/>
    <w:rsid w:val="39627CCD"/>
    <w:rsid w:val="397BAF1F"/>
    <w:rsid w:val="39CF4830"/>
    <w:rsid w:val="3AB79AF3"/>
    <w:rsid w:val="3AE834C0"/>
    <w:rsid w:val="3B404329"/>
    <w:rsid w:val="3B783AC3"/>
    <w:rsid w:val="3B7EF35A"/>
    <w:rsid w:val="3B9FDB6C"/>
    <w:rsid w:val="3BF5BC2F"/>
    <w:rsid w:val="3C977C4C"/>
    <w:rsid w:val="3CEBA265"/>
    <w:rsid w:val="3D0F2205"/>
    <w:rsid w:val="3D98207C"/>
    <w:rsid w:val="3DA908AC"/>
    <w:rsid w:val="3DEE7CF3"/>
    <w:rsid w:val="3DF15DAF"/>
    <w:rsid w:val="3E740A63"/>
    <w:rsid w:val="3E78745D"/>
    <w:rsid w:val="3EE17838"/>
    <w:rsid w:val="3EFE0783"/>
    <w:rsid w:val="3F55381A"/>
    <w:rsid w:val="3F7F7599"/>
    <w:rsid w:val="3F8707AB"/>
    <w:rsid w:val="3FF4CAE0"/>
    <w:rsid w:val="3FF7B227"/>
    <w:rsid w:val="407E7DCE"/>
    <w:rsid w:val="40A47108"/>
    <w:rsid w:val="40A958B6"/>
    <w:rsid w:val="419B675D"/>
    <w:rsid w:val="42AE0712"/>
    <w:rsid w:val="430B7913"/>
    <w:rsid w:val="435117C9"/>
    <w:rsid w:val="43615785"/>
    <w:rsid w:val="43C155A3"/>
    <w:rsid w:val="441D78FE"/>
    <w:rsid w:val="44E268DA"/>
    <w:rsid w:val="450D13D7"/>
    <w:rsid w:val="45506656"/>
    <w:rsid w:val="45A51597"/>
    <w:rsid w:val="476A3E89"/>
    <w:rsid w:val="4847319B"/>
    <w:rsid w:val="486A6C7A"/>
    <w:rsid w:val="48D80297"/>
    <w:rsid w:val="493059DD"/>
    <w:rsid w:val="4968161B"/>
    <w:rsid w:val="49831FB1"/>
    <w:rsid w:val="49D071C0"/>
    <w:rsid w:val="49F90246"/>
    <w:rsid w:val="4A406215"/>
    <w:rsid w:val="4A627F82"/>
    <w:rsid w:val="4B0B04B0"/>
    <w:rsid w:val="4B0E749A"/>
    <w:rsid w:val="4B2477C4"/>
    <w:rsid w:val="4B4F25DA"/>
    <w:rsid w:val="4BE068DB"/>
    <w:rsid w:val="4C26756B"/>
    <w:rsid w:val="4CCC3A0C"/>
    <w:rsid w:val="4D577224"/>
    <w:rsid w:val="4DBD7A5B"/>
    <w:rsid w:val="4DBF1CEB"/>
    <w:rsid w:val="4DF0007C"/>
    <w:rsid w:val="4E2D32B1"/>
    <w:rsid w:val="4E984750"/>
    <w:rsid w:val="4EAB630A"/>
    <w:rsid w:val="4EB8442B"/>
    <w:rsid w:val="4EB90223"/>
    <w:rsid w:val="4ECE2238"/>
    <w:rsid w:val="4F833267"/>
    <w:rsid w:val="4FE9BD67"/>
    <w:rsid w:val="4FFB052F"/>
    <w:rsid w:val="505428F9"/>
    <w:rsid w:val="509E5922"/>
    <w:rsid w:val="51782617"/>
    <w:rsid w:val="53446C55"/>
    <w:rsid w:val="537E6D0A"/>
    <w:rsid w:val="53DF24DA"/>
    <w:rsid w:val="53F74C96"/>
    <w:rsid w:val="55170BA8"/>
    <w:rsid w:val="553218C9"/>
    <w:rsid w:val="55993929"/>
    <w:rsid w:val="55EC7B01"/>
    <w:rsid w:val="56707D61"/>
    <w:rsid w:val="567E1AA5"/>
    <w:rsid w:val="56C836F9"/>
    <w:rsid w:val="56E47B74"/>
    <w:rsid w:val="57175D52"/>
    <w:rsid w:val="57BD3DD4"/>
    <w:rsid w:val="5866141B"/>
    <w:rsid w:val="58CB5722"/>
    <w:rsid w:val="58EB7B73"/>
    <w:rsid w:val="591946E0"/>
    <w:rsid w:val="59A71CEC"/>
    <w:rsid w:val="59E52814"/>
    <w:rsid w:val="59E5341E"/>
    <w:rsid w:val="5A1804F3"/>
    <w:rsid w:val="5AF92295"/>
    <w:rsid w:val="5B250254"/>
    <w:rsid w:val="5BDD79E6"/>
    <w:rsid w:val="5BF27267"/>
    <w:rsid w:val="5BF561CA"/>
    <w:rsid w:val="5BFF5DFC"/>
    <w:rsid w:val="5CD71FC4"/>
    <w:rsid w:val="5D1F11B5"/>
    <w:rsid w:val="5D695134"/>
    <w:rsid w:val="5DAE1B18"/>
    <w:rsid w:val="5DE7D9E5"/>
    <w:rsid w:val="5E196F30"/>
    <w:rsid w:val="5E451AD3"/>
    <w:rsid w:val="5ECEC941"/>
    <w:rsid w:val="5F4164CF"/>
    <w:rsid w:val="5F7C1524"/>
    <w:rsid w:val="5FBF9FF3"/>
    <w:rsid w:val="5FCD4E2C"/>
    <w:rsid w:val="5FEF394A"/>
    <w:rsid w:val="5FF67715"/>
    <w:rsid w:val="60D61108"/>
    <w:rsid w:val="60E03D35"/>
    <w:rsid w:val="6109503A"/>
    <w:rsid w:val="614150A5"/>
    <w:rsid w:val="627B1F67"/>
    <w:rsid w:val="62BF3928"/>
    <w:rsid w:val="631C06B9"/>
    <w:rsid w:val="63927568"/>
    <w:rsid w:val="63B3701E"/>
    <w:rsid w:val="642D103F"/>
    <w:rsid w:val="64550596"/>
    <w:rsid w:val="647F5392"/>
    <w:rsid w:val="648275DD"/>
    <w:rsid w:val="65C23A09"/>
    <w:rsid w:val="65E66580"/>
    <w:rsid w:val="664B1D71"/>
    <w:rsid w:val="664B4E8E"/>
    <w:rsid w:val="667C1E0A"/>
    <w:rsid w:val="67277B67"/>
    <w:rsid w:val="67656D42"/>
    <w:rsid w:val="67AA3209"/>
    <w:rsid w:val="67BC554A"/>
    <w:rsid w:val="68757459"/>
    <w:rsid w:val="698D0931"/>
    <w:rsid w:val="6A7FE5F3"/>
    <w:rsid w:val="6AA10091"/>
    <w:rsid w:val="6B053271"/>
    <w:rsid w:val="6B20545A"/>
    <w:rsid w:val="6B533A81"/>
    <w:rsid w:val="6B5D66AE"/>
    <w:rsid w:val="6BD9385B"/>
    <w:rsid w:val="6BDD78B3"/>
    <w:rsid w:val="6C4A05C8"/>
    <w:rsid w:val="6C7F08A6"/>
    <w:rsid w:val="6C8742B8"/>
    <w:rsid w:val="6CA36342"/>
    <w:rsid w:val="6D234E50"/>
    <w:rsid w:val="6D851333"/>
    <w:rsid w:val="6DBF5E93"/>
    <w:rsid w:val="6DFF077E"/>
    <w:rsid w:val="6E4753F3"/>
    <w:rsid w:val="6E714EF0"/>
    <w:rsid w:val="6E7E3605"/>
    <w:rsid w:val="6E7FDCC7"/>
    <w:rsid w:val="6E8E4DD0"/>
    <w:rsid w:val="6ED6A62E"/>
    <w:rsid w:val="6EE00B15"/>
    <w:rsid w:val="6F2A4AF9"/>
    <w:rsid w:val="6F5C4ECE"/>
    <w:rsid w:val="6F6FB3EB"/>
    <w:rsid w:val="6F8731EA"/>
    <w:rsid w:val="6FCE6052"/>
    <w:rsid w:val="6FD57C00"/>
    <w:rsid w:val="6FEFFFD8"/>
    <w:rsid w:val="6FF45107"/>
    <w:rsid w:val="6FF5CC65"/>
    <w:rsid w:val="6FFB47EC"/>
    <w:rsid w:val="6FFF034A"/>
    <w:rsid w:val="702D268C"/>
    <w:rsid w:val="70484440"/>
    <w:rsid w:val="7080699B"/>
    <w:rsid w:val="712A28F1"/>
    <w:rsid w:val="712B4B58"/>
    <w:rsid w:val="715C0E4B"/>
    <w:rsid w:val="71883D59"/>
    <w:rsid w:val="71992E7C"/>
    <w:rsid w:val="72233669"/>
    <w:rsid w:val="724265FE"/>
    <w:rsid w:val="72734D90"/>
    <w:rsid w:val="729606F7"/>
    <w:rsid w:val="73021C54"/>
    <w:rsid w:val="73160E6D"/>
    <w:rsid w:val="7321791C"/>
    <w:rsid w:val="7332FE48"/>
    <w:rsid w:val="734A1D78"/>
    <w:rsid w:val="73723A52"/>
    <w:rsid w:val="737A5923"/>
    <w:rsid w:val="73AB61DA"/>
    <w:rsid w:val="73AD73D5"/>
    <w:rsid w:val="73B6EB34"/>
    <w:rsid w:val="73FA497D"/>
    <w:rsid w:val="74212243"/>
    <w:rsid w:val="744731E5"/>
    <w:rsid w:val="74BBD01D"/>
    <w:rsid w:val="74ED5379"/>
    <w:rsid w:val="75DEEEC2"/>
    <w:rsid w:val="75E32345"/>
    <w:rsid w:val="76E3355F"/>
    <w:rsid w:val="76F51E90"/>
    <w:rsid w:val="76FF5125"/>
    <w:rsid w:val="776F6FFA"/>
    <w:rsid w:val="778769C8"/>
    <w:rsid w:val="77A75DCA"/>
    <w:rsid w:val="77DC22F5"/>
    <w:rsid w:val="78397B5B"/>
    <w:rsid w:val="783E271A"/>
    <w:rsid w:val="78616DE9"/>
    <w:rsid w:val="78A23952"/>
    <w:rsid w:val="78C95383"/>
    <w:rsid w:val="78E875D7"/>
    <w:rsid w:val="78FB3062"/>
    <w:rsid w:val="79086DAD"/>
    <w:rsid w:val="79D7FD79"/>
    <w:rsid w:val="79EE5BA4"/>
    <w:rsid w:val="7A1E34AC"/>
    <w:rsid w:val="7A894339"/>
    <w:rsid w:val="7AD284E8"/>
    <w:rsid w:val="7AFF7572"/>
    <w:rsid w:val="7B180BC3"/>
    <w:rsid w:val="7B503B39"/>
    <w:rsid w:val="7B6C7DFB"/>
    <w:rsid w:val="7B8B4B71"/>
    <w:rsid w:val="7BBFBED0"/>
    <w:rsid w:val="7BC3E394"/>
    <w:rsid w:val="7C1F3737"/>
    <w:rsid w:val="7C61053A"/>
    <w:rsid w:val="7CBFC87B"/>
    <w:rsid w:val="7CCF0A8E"/>
    <w:rsid w:val="7CFE0F48"/>
    <w:rsid w:val="7D272ABC"/>
    <w:rsid w:val="7D7EC23E"/>
    <w:rsid w:val="7E8ADEBF"/>
    <w:rsid w:val="7EBE327E"/>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2"/>
    <w:qFormat/>
    <w:uiPriority w:val="9"/>
    <w:rPr>
      <w:rFonts w:ascii="Times New Roman" w:hAnsi="Times New Roman"/>
      <w:b/>
      <w:bCs/>
      <w:kern w:val="44"/>
      <w:sz w:val="44"/>
      <w:szCs w:val="44"/>
    </w:rPr>
  </w:style>
  <w:style w:type="character" w:customStyle="1" w:styleId="29">
    <w:name w:val="标题 2 Char"/>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4"/>
    <w:qFormat/>
    <w:uiPriority w:val="9"/>
    <w:rPr>
      <w:rFonts w:ascii="Times New Roman" w:hAnsi="Times New Roman"/>
      <w:b/>
      <w:bCs/>
      <w:kern w:val="2"/>
      <w:sz w:val="32"/>
      <w:szCs w:val="32"/>
    </w:rPr>
  </w:style>
  <w:style w:type="paragraph" w:customStyle="1" w:styleId="3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character" w:customStyle="1" w:styleId="38">
    <w:name w:val="23"/>
    <w:basedOn w:val="16"/>
    <w:qFormat/>
    <w:uiPriority w:val="0"/>
    <w:rPr>
      <w:rFonts w:hint="default" w:ascii="Times New Roman" w:hAnsi="Times New Roman" w:cs="Times New Roman"/>
      <w:b/>
    </w:rPr>
  </w:style>
  <w:style w:type="character" w:customStyle="1" w:styleId="39">
    <w:name w:val="21"/>
    <w:basedOn w:val="16"/>
    <w:qFormat/>
    <w:uiPriority w:val="0"/>
    <w:rPr>
      <w:rFonts w:hint="default" w:ascii="Times New Roman" w:hAnsi="Times New Roman" w:cs="Times New Roman"/>
      <w:b/>
    </w:rPr>
  </w:style>
  <w:style w:type="paragraph" w:customStyle="1" w:styleId="40">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6" Type="http://schemas.microsoft.com/office/2011/relationships/chartColorStyle" Target="colors3.xml"/><Relationship Id="rId5" Type="http://schemas.microsoft.com/office/2011/relationships/chartStyle" Target="style3.xml"/><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6" Type="http://schemas.microsoft.com/office/2011/relationships/chartColorStyle" Target="colors1.xml"/><Relationship Id="rId5" Type="http://schemas.microsoft.com/office/2011/relationships/chartStyle" Target="style1.xml"/><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收入、支出决算总计变动情况图</a:t>
            </a:r>
          </a:p>
        </c:rich>
      </c:tx>
      <c:layout/>
      <c:overlay val="0"/>
      <c:spPr>
        <a:noFill/>
        <a:ln>
          <a:noFill/>
        </a:ln>
        <a:effectLst/>
      </c:spPr>
    </c:title>
    <c:autoTitleDeleted val="0"/>
    <c:plotArea>
      <c:layout>
        <c:manualLayout>
          <c:layoutTarget val="inner"/>
          <c:xMode val="edge"/>
          <c:yMode val="edge"/>
          <c:x val="0.0284020745863176"/>
          <c:y val="0.152981427174975"/>
          <c:w val="0.834156581872067"/>
          <c:h val="0.739100684261975"/>
        </c:manualLayout>
      </c:layout>
      <c:barChart>
        <c:barDir val="col"/>
        <c:grouping val="clustered"/>
        <c:varyColors val="0"/>
        <c:ser>
          <c:idx val="0"/>
          <c:order val="0"/>
          <c:tx>
            <c:strRef>
              <c:f>Sheet1!$B$1</c:f>
              <c:strCache>
                <c:ptCount val="1"/>
                <c:pt idx="0">
                  <c:v>收入</c:v>
                </c:pt>
              </c:strCache>
            </c:strRef>
          </c:tx>
          <c:spPr>
            <a:blipFill rotWithShape="1">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524.98</c:v>
                </c:pt>
                <c:pt idx="1">
                  <c:v>429.17</c:v>
                </c:pt>
              </c:numCache>
            </c:numRef>
          </c:val>
        </c:ser>
        <c:ser>
          <c:idx val="1"/>
          <c:order val="1"/>
          <c:tx>
            <c:strRef>
              <c:f>Sheet1!$C$1</c:f>
              <c:strCache>
                <c:ptCount val="1"/>
                <c:pt idx="0">
                  <c:v>支出</c:v>
                </c:pt>
              </c:strCache>
            </c:strRef>
          </c:tx>
          <c:spPr>
            <a:blipFill rotWithShape="1">
              <a:blip xmlns:r="http://schemas.openxmlformats.org/officeDocument/2006/relationships" r:embed="rId4">
                <a:duotone>
                  <a:schemeClr val="accent2"/>
                  <a:prstClr val="white"/>
                </a:duotone>
              </a:blip>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0">
                  <c:v>524.98</c:v>
                </c:pt>
                <c:pt idx="1">
                  <c:v>429.17</c:v>
                </c:pt>
              </c:numCache>
            </c:numRef>
          </c:val>
        </c:ser>
        <c:ser>
          <c:idx val="2"/>
          <c:order val="2"/>
          <c:tx>
            <c:strRef>
              <c:f>Sheet1!#REF!</c:f>
              <c:strCache>
                <c:ptCount val="1"/>
                <c:pt idx="0">
                  <c:v/>
                </c:pt>
              </c:strCache>
            </c:strRef>
          </c:tx>
          <c:spPr>
            <a:blipFill rotWithShape="1">
              <a:blip xmlns:r="http://schemas.openxmlformats.org/officeDocument/2006/relationships" r:embed="rId3">
                <a:duotone>
                  <a:schemeClr val="accent3"/>
                  <a:prstClr val="white"/>
                </a:duotone>
              </a:blip>
              <a:stretch>
                <a:fillRect/>
              </a:stretch>
            </a:blipFill>
            <a:ln>
              <a:noFill/>
            </a:ln>
            <a:effectLst>
              <a:outerShdw blurRad="76200" dir="18900000" sy="23000" kx="-1200000" algn="bl" rotWithShape="0">
                <a:prstClr val="black">
                  <a:alpha val="20000"/>
                </a:prstClr>
              </a:outerShdw>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10"/>
        <c:axId val="181467294"/>
        <c:axId val="165627701"/>
      </c:barChart>
      <c:catAx>
        <c:axId val="181467294"/>
        <c:scaling>
          <c:orientation val="minMax"/>
        </c:scaling>
        <c:delete val="0"/>
        <c:axPos val="b"/>
        <c:majorGridlines>
          <c:spPr>
            <a:ln w="9525" cap="flat" cmpd="sng" algn="ctr">
              <a:solidFill>
                <a:schemeClr val="tx1">
                  <a:lumMod val="50000"/>
                  <a:lumOff val="50000"/>
                  <a:alpha val="20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65627701"/>
        <c:crosses val="autoZero"/>
        <c:auto val="1"/>
        <c:lblAlgn val="ctr"/>
        <c:lblOffset val="100"/>
        <c:noMultiLvlLbl val="0"/>
      </c:catAx>
      <c:valAx>
        <c:axId val="165627701"/>
        <c:scaling>
          <c:orientation val="minMax"/>
        </c:scaling>
        <c:delete val="1"/>
        <c:axPos val="l"/>
        <c:majorGridlines>
          <c:spPr>
            <a:ln w="6350" cap="flat" cmpd="sng" algn="ctr">
              <a:solidFill>
                <a:schemeClr val="tx1">
                  <a:lumMod val="50000"/>
                  <a:lumOff val="50000"/>
                  <a:alpha val="20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81467294"/>
        <c:crosses val="autoZero"/>
        <c:crossBetween val="between"/>
      </c:valAx>
      <c:spPr>
        <a:noFill/>
        <a:ln>
          <a:noFill/>
        </a:ln>
        <a:effectLst/>
      </c:spPr>
    </c:plotArea>
    <c:legend>
      <c:legendPos val="r"/>
      <c:legendEntry>
        <c:idx val="2"/>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bf15b8d0-71e3-40a5-9ea1-59e10837dce6}"/>
      </c:ext>
    </c:extLst>
  </c:chart>
  <c:spPr>
    <a:solidFill>
      <a:schemeClr val="bg1"/>
    </a:solidFill>
    <a:ln w="6350" cap="flat" cmpd="sng" algn="ctr">
      <a:solidFill>
        <a:schemeClr val="tx1">
          <a:lumMod val="50000"/>
          <a:lumOff val="50000"/>
          <a:alpha val="1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429.17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daad8d-7380-4828-b9ab-18efeec20f02}"/>
      </c:ext>
    </c:extLst>
  </c:chart>
  <c:spPr>
    <a:gradFill>
      <a:gsLst>
        <a:gs pos="50000">
          <a:schemeClr val="accent3"/>
        </a:gs>
        <a:gs pos="0">
          <a:schemeClr val="accent3">
            <a:lumMod val="25000"/>
            <a:lumOff val="75000"/>
          </a:schemeClr>
        </a:gs>
        <a:gs pos="100000">
          <a:schemeClr val="accent3">
            <a:lumMod val="85000"/>
          </a:schemeClr>
        </a:gs>
      </a:gsLst>
      <a:lin ang="5400000" scaled="1"/>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支出决算表</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explosion val="10"/>
            <c:spPr>
              <a:gradFill>
                <a:gsLst>
                  <a:gs pos="100000">
                    <a:srgbClr val="F5C5D6"/>
                  </a:gs>
                  <a:gs pos="0">
                    <a:srgbClr val="9A97EF"/>
                  </a:gs>
                </a:gsLst>
                <a:lin ang="2700000" scaled="1"/>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0">
                    <a:srgbClr val="D7F0FC"/>
                  </a:gs>
                  <a:gs pos="52000">
                    <a:srgbClr val="FFEFDE"/>
                  </a:gs>
                  <a:gs pos="100000">
                    <a:srgbClr val="FFDCFC"/>
                  </a:gs>
                </a:gsLst>
                <a:lin ang="5400000" scaled="1"/>
              </a:gradFill>
              <a:ln>
                <a:gradFill>
                  <a:gsLst>
                    <a:gs pos="100000">
                      <a:schemeClr val="accent2">
                        <a:lumMod val="75000"/>
                      </a:schemeClr>
                    </a:gs>
                    <a:gs pos="0">
                      <a:schemeClr val="accent2">
                        <a:lumMod val="75000"/>
                        <a:hueOff val="-1670000"/>
                      </a:schemeClr>
                    </a:gs>
                  </a:gsLst>
                  <a:lin ang="4620000" scaled="0"/>
                </a:gra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基本支出386.489</a:t>
                    </a:r>
                    <a:r>
                      <a:rPr lang="en-US" altLang="zh-CN"/>
                      <a:t>0.05</a:t>
                    </a:r>
                    <a:r>
                      <a:t>%</a:t>
                    </a:r>
                  </a:p>
                </c:rich>
              </c:tx>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068987299372201"/>
                  <c:y val="0.056037016194777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项目支出, 42.69, </a:t>
                    </a:r>
                    <a:r>
                      <a:rPr lang="en-US" altLang="zh-CN"/>
                      <a:t>9.95</a:t>
                    </a:r>
                    <a:r>
                      <a:t>%</a:t>
                    </a:r>
                  </a:p>
                </c:rich>
              </c:tx>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1"/>
              <c:showCatName val="1"/>
              <c:showSerName val="0"/>
              <c:showPercent val="1"/>
              <c:showBubbleSize val="0"/>
              <c:extLst>
                <c:ext xmlns:c15="http://schemas.microsoft.com/office/drawing/2012/chart" uri="{CE6537A1-D6FC-4f65-9D91-7224C49458BB}">
                  <c15:layout/>
                </c:ext>
              </c:extLst>
            </c:dLbl>
            <c:numFmt formatCode="General" sourceLinked="1"/>
            <c:spPr>
              <a:solidFill>
                <a:sysClr val="window" lastClr="FFFFFF"/>
              </a:solidFill>
              <a:ln>
                <a:solidFill>
                  <a:sysClr val="windowText" lastClr="000000">
                    <a:lumMod val="25000"/>
                    <a:lumOff val="7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386.48</c:v>
                </c:pt>
                <c:pt idx="1">
                  <c:v>42.69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837969-ce42-4d70-9d69-5955188e6ca5}"/>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财政拨款收、支决算变动表</a:t>
            </a:r>
          </a:p>
        </c:rich>
      </c:tx>
      <c:layout/>
      <c:overlay val="0"/>
      <c:spPr>
        <a:noFill/>
        <a:ln>
          <a:noFill/>
        </a:ln>
        <a:effectLst/>
      </c:spPr>
    </c:title>
    <c:autoTitleDeleted val="0"/>
    <c:plotArea>
      <c:layout>
        <c:manualLayout>
          <c:layoutTarget val="inner"/>
          <c:xMode val="edge"/>
          <c:yMode val="edge"/>
          <c:x val="0.0283884996375936"/>
          <c:y val="0.169995750106247"/>
          <c:w val="0.840541193525006"/>
          <c:h val="0.727666808329792"/>
        </c:manualLayout>
      </c:layout>
      <c:barChart>
        <c:barDir val="col"/>
        <c:grouping val="clustered"/>
        <c:varyColors val="0"/>
        <c:ser>
          <c:idx val="0"/>
          <c:order val="0"/>
          <c:tx>
            <c:strRef>
              <c:f>Sheet1!$B$1</c:f>
              <c:strCache>
                <c:ptCount val="1"/>
                <c:pt idx="0">
                  <c:v>收入</c:v>
                </c:pt>
              </c:strCache>
            </c:strRef>
          </c:tx>
          <c:spPr>
            <a:blipFill rotWithShape="1">
              <a:blip xmlns:r="http://schemas.openxmlformats.org/officeDocument/2006/relationships" r:embed="rId3">
                <a:duotone>
                  <a:schemeClr val="accent1"/>
                  <a:prstClr val="white"/>
                </a:duotone>
              </a:blip>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524.98</c:v>
                </c:pt>
                <c:pt idx="1">
                  <c:v>429.17</c:v>
                </c:pt>
              </c:numCache>
            </c:numRef>
          </c:val>
        </c:ser>
        <c:ser>
          <c:idx val="1"/>
          <c:order val="1"/>
          <c:tx>
            <c:strRef>
              <c:f>Sheet1!$C$1</c:f>
              <c:strCache>
                <c:ptCount val="1"/>
                <c:pt idx="0">
                  <c:v>支出</c:v>
                </c:pt>
              </c:strCache>
            </c:strRef>
          </c:tx>
          <c:spPr>
            <a:blipFill rotWithShape="1">
              <a:blip xmlns:r="http://schemas.openxmlformats.org/officeDocument/2006/relationships" r:embed="rId4">
                <a:duotone>
                  <a:schemeClr val="accent2"/>
                  <a:prstClr val="white"/>
                </a:duotone>
              </a:blip>
              <a:stretch>
                <a:fillRect/>
              </a:stretch>
            </a:blipFill>
            <a:ln>
              <a:noFill/>
            </a:ln>
            <a:effectLst>
              <a:outerShdw blurRad="76200" dir="18900000" sy="23000" kx="-1200000" algn="bl" rotWithShape="0">
                <a:prstClr val="black">
                  <a:alpha val="20000"/>
                </a:prstClr>
              </a:outerShdw>
            </a:effectLst>
          </c:spPr>
          <c:invertIfNegative val="0"/>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0">
                  <c:v>524.98</c:v>
                </c:pt>
                <c:pt idx="1">
                  <c:v>429.17</c:v>
                </c:pt>
              </c:numCache>
            </c:numRef>
          </c:val>
        </c:ser>
        <c:ser>
          <c:idx val="2"/>
          <c:order val="2"/>
          <c:tx>
            <c:strRef>
              <c:f>Sheet1!#REF!</c:f>
              <c:strCache>
                <c:ptCount val="1"/>
                <c:pt idx="0">
                  <c:v/>
                </c:pt>
              </c:strCache>
            </c:strRef>
          </c:tx>
          <c:spPr>
            <a:blipFill rotWithShape="1">
              <a:blip xmlns:r="http://schemas.openxmlformats.org/officeDocument/2006/relationships" r:embed="rId3">
                <a:duotone>
                  <a:schemeClr val="accent3"/>
                  <a:prstClr val="white"/>
                </a:duotone>
              </a:blip>
              <a:stretch>
                <a:fillRect/>
              </a:stretch>
            </a:blipFill>
            <a:ln>
              <a:noFill/>
            </a:ln>
            <a:effectLst>
              <a:outerShdw blurRad="76200" dir="18900000" sy="23000" kx="-1200000" algn="bl" rotWithShape="0">
                <a:prstClr val="black">
                  <a:alpha val="20000"/>
                </a:prstClr>
              </a:outerShdw>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1"/>
          <c:showCatName val="0"/>
          <c:showSerName val="0"/>
          <c:showPercent val="0"/>
          <c:showBubbleSize val="0"/>
        </c:dLbls>
        <c:gapWidth val="100"/>
        <c:overlap val="-10"/>
        <c:axId val="861763381"/>
        <c:axId val="493125710"/>
      </c:barChart>
      <c:catAx>
        <c:axId val="861763381"/>
        <c:scaling>
          <c:orientation val="minMax"/>
        </c:scaling>
        <c:delete val="0"/>
        <c:axPos val="b"/>
        <c:majorGridlines>
          <c:spPr>
            <a:ln w="9525" cap="flat" cmpd="sng" algn="ctr">
              <a:solidFill>
                <a:schemeClr val="tx1">
                  <a:lumMod val="50000"/>
                  <a:lumOff val="50000"/>
                  <a:alpha val="20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493125710"/>
        <c:crosses val="autoZero"/>
        <c:auto val="1"/>
        <c:lblAlgn val="ctr"/>
        <c:lblOffset val="100"/>
        <c:noMultiLvlLbl val="0"/>
      </c:catAx>
      <c:valAx>
        <c:axId val="493125710"/>
        <c:scaling>
          <c:orientation val="minMax"/>
        </c:scaling>
        <c:delete val="1"/>
        <c:axPos val="l"/>
        <c:majorGridlines>
          <c:spPr>
            <a:ln w="6350" cap="flat" cmpd="sng" algn="ctr">
              <a:solidFill>
                <a:schemeClr val="tx1">
                  <a:lumMod val="50000"/>
                  <a:lumOff val="50000"/>
                  <a:alpha val="20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861763381"/>
        <c:crosses val="autoZero"/>
        <c:crossBetween val="between"/>
      </c:valAx>
      <c:spPr>
        <a:noFill/>
        <a:ln>
          <a:noFill/>
        </a:ln>
        <a:effectLst/>
      </c:spPr>
    </c:plotArea>
    <c:legend>
      <c:legendPos val="r"/>
      <c:legendEntry>
        <c:idx val="2"/>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82d4bf36-399c-47c5-a3b2-7b42b32ae7d2}"/>
      </c:ext>
    </c:extLst>
  </c:chart>
  <c:spPr>
    <a:solidFill>
      <a:schemeClr val="bg1"/>
    </a:solidFill>
    <a:ln w="6350" cap="flat" cmpd="sng" algn="ctr">
      <a:solidFill>
        <a:schemeClr val="tx1">
          <a:lumMod val="50000"/>
          <a:lumOff val="50000"/>
          <a:alpha val="1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0"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一般公共预算财政拨款支出</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一般公共预算财政拨款支出</c:v>
                </c:pt>
              </c:strCache>
            </c:strRef>
          </c:tx>
          <c:spPr>
            <a:gradFill rotWithShape="1">
              <a:gsLst>
                <a:gs pos="0">
                  <a:srgbClr val="D7F0FC"/>
                </a:gs>
                <a:gs pos="52000">
                  <a:srgbClr val="FFEFDE"/>
                </a:gs>
                <a:gs pos="100000">
                  <a:srgbClr val="FFDCFC"/>
                </a:gs>
              </a:gsLst>
              <a:lin ang="5400000" scaled="1"/>
            </a:gradFill>
            <a:ln>
              <a:noFill/>
            </a:ln>
            <a:effectLst>
              <a:outerShdw blurRad="76200" dir="18900000" sy="23000" kx="-1200000" algn="bl" rotWithShape="0">
                <a:prstClr val="black">
                  <a:alpha val="20000"/>
                </a:prstClr>
              </a:outerShdw>
            </a:effectLst>
          </c:spPr>
          <c:invertIfNegative val="0"/>
          <c:dPt>
            <c:idx val="0"/>
            <c:invertIfNegative val="0"/>
            <c:bubble3D val="0"/>
            <c:spPr>
              <a:gradFill rotWithShape="1">
                <a:gsLst>
                  <a:gs pos="100000">
                    <a:srgbClr val="F5C5D6"/>
                  </a:gs>
                  <a:gs pos="0">
                    <a:srgbClr val="9A97EF"/>
                  </a:gs>
                </a:gsLst>
                <a:lin ang="2700000" scaled="1"/>
              </a:gradFill>
              <a:ln>
                <a:noFill/>
              </a:ln>
              <a:effectLst>
                <a:outerShdw blurRad="76200" dir="18900000" sy="23000" kx="-1200000" algn="bl"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524.98</c:v>
                </c:pt>
                <c:pt idx="1">
                  <c:v>429.17</c:v>
                </c:pt>
              </c:numCache>
            </c:numRef>
          </c:val>
        </c:ser>
        <c:dLbls>
          <c:showLegendKey val="0"/>
          <c:showVal val="1"/>
          <c:showCatName val="0"/>
          <c:showSerName val="0"/>
          <c:showPercent val="0"/>
          <c:showBubbleSize val="0"/>
        </c:dLbls>
        <c:gapWidth val="100"/>
        <c:overlap val="-10"/>
        <c:axId val="940320971"/>
        <c:axId val="74202051"/>
      </c:barChart>
      <c:catAx>
        <c:axId val="940320971"/>
        <c:scaling>
          <c:orientation val="minMax"/>
        </c:scaling>
        <c:delete val="0"/>
        <c:axPos val="b"/>
        <c:majorGridlines>
          <c:spPr>
            <a:ln w="9525" cap="flat" cmpd="sng" algn="ctr">
              <a:solidFill>
                <a:schemeClr val="tx1">
                  <a:lumMod val="50000"/>
                  <a:lumOff val="50000"/>
                  <a:alpha val="20000"/>
                </a:schemeClr>
              </a:solidFill>
              <a:round/>
            </a:ln>
            <a:effectLst/>
          </c:spPr>
        </c:majorGridlines>
        <c:numFmt formatCode="General" sourceLinked="1"/>
        <c:majorTickMark val="none"/>
        <c:minorTickMark val="none"/>
        <c:tickLblPos val="nextTo"/>
        <c:spPr>
          <a:noFill/>
          <a:ln w="6350" cap="flat" cmpd="sng" algn="ctr">
            <a:solidFill>
              <a:schemeClr val="tx1">
                <a:lumMod val="50000"/>
                <a:lumOff val="50000"/>
                <a:alpha val="2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4202051"/>
        <c:crosses val="autoZero"/>
        <c:auto val="1"/>
        <c:lblAlgn val="ctr"/>
        <c:lblOffset val="100"/>
        <c:noMultiLvlLbl val="0"/>
      </c:catAx>
      <c:valAx>
        <c:axId val="74202051"/>
        <c:scaling>
          <c:orientation val="minMax"/>
        </c:scaling>
        <c:delete val="1"/>
        <c:axPos val="l"/>
        <c:majorGridlines>
          <c:spPr>
            <a:ln w="6350" cap="flat" cmpd="sng" algn="ctr">
              <a:solidFill>
                <a:schemeClr val="tx1">
                  <a:lumMod val="50000"/>
                  <a:lumOff val="50000"/>
                  <a:alpha val="200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40320971"/>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27f29548-03e8-4d40-96bd-96ebf9b9310a}"/>
      </c:ext>
    </c:extLst>
  </c:chart>
  <c:spPr>
    <a:solidFill>
      <a:schemeClr val="bg1"/>
    </a:solidFill>
    <a:ln w="6350" cap="flat" cmpd="sng" algn="ctr">
      <a:solidFill>
        <a:schemeClr val="tx1">
          <a:lumMod val="50000"/>
          <a:lumOff val="50000"/>
          <a:alpha val="15000"/>
        </a:schemeClr>
      </a:solidFill>
      <a:round/>
    </a:ln>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sz="900"/>
              <a:t>一般公共预算财政拨款支出</a:t>
            </a:r>
            <a:endParaRPr sz="900"/>
          </a:p>
        </c:rich>
      </c:tx>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16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160000" scaled="1"/>
                </a:gradFill>
              </a:ln>
              <a:effectLst/>
            </c:spPr>
          </c:dPt>
          <c:dPt>
            <c:idx val="2"/>
            <c:bubble3D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16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160000" scaled="1"/>
                </a:gra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一般公共服务支出323.2575</a:t>
                    </a:r>
                    <a:r>
                      <a:rPr lang="en-US" altLang="zh-CN"/>
                      <a:t>.32</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0256159957160211"/>
                  <c:y val="0.088709572679994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社会保障和就业支出57.781</a:t>
                    </a:r>
                    <a:r>
                      <a:rPr lang="en-US" altLang="zh-CN"/>
                      <a:t>3.46</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537045719823921"/>
                  <c:y val="0.02326088403027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卫生健康支出20.58</a:t>
                    </a:r>
                    <a:r>
                      <a:rPr lang="en-US" altLang="zh-CN"/>
                      <a:t>  4.8</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49483784768614"/>
                      <c:h val="0.110951267757598"/>
                    </c:manualLayout>
                  </c15:layout>
                </c:ext>
              </c:extLst>
            </c:dLbl>
            <c:dLbl>
              <c:idx val="3"/>
              <c:layout>
                <c:manualLayout>
                  <c:x val="0.0523933938711702"/>
                  <c:y val="0.071264148666055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dk1">
                            <a:lumMod val="75000"/>
                            <a:lumOff val="25000"/>
                          </a:schemeClr>
                        </a:solidFill>
                        <a:latin typeface="+mn-lt"/>
                        <a:ea typeface="+mn-ea"/>
                        <a:cs typeface="+mn-cs"/>
                      </a:defRPr>
                    </a:pPr>
                    <a:r>
                      <a:t>住房保障支出27.556</a:t>
                    </a:r>
                    <a:r>
                      <a:rPr lang="en-US" altLang="zh-CN"/>
                      <a:t>.42</a:t>
                    </a:r>
                    <a:r>
                      <a:t>%</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323.25</c:v>
                </c:pt>
                <c:pt idx="1">
                  <c:v>57.78</c:v>
                </c:pt>
                <c:pt idx="2">
                  <c:v>20.58</c:v>
                </c:pt>
                <c:pt idx="3">
                  <c:v>27.55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94e358a-ed20-4473-b9cc-9b8b33130046}"/>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rPr lang="en-US" altLang="zh-CN" sz="900"/>
              <a:t>“</a:t>
            </a:r>
            <a:r>
              <a:rPr altLang="en-US" sz="900"/>
              <a:t>三公</a:t>
            </a:r>
            <a:r>
              <a:rPr lang="en-US" altLang="zh-CN" sz="900"/>
              <a:t>”</a:t>
            </a:r>
            <a:r>
              <a:rPr altLang="en-US" sz="900"/>
              <a:t>经费财政拨款支出情况</a:t>
            </a:r>
            <a:endParaRPr altLang="en-US" sz="900"/>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33763950295347"/>
                  <c:y val="0.38313684210704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22252137862889"/>
                  <c:y val="0.062778947367567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Sheet1!$A$2:$A$4</c:f>
              <c:strCache>
                <c:ptCount val="3"/>
                <c:pt idx="0">
                  <c:v>公务用车运行维护费</c:v>
                </c:pt>
                <c:pt idx="1">
                  <c:v>因公出国（境）费支出</c:v>
                </c:pt>
                <c:pt idx="2">
                  <c:v>公务接待费</c:v>
                </c:pt>
              </c:strCache>
            </c:strRef>
          </c:cat>
          <c:val>
            <c:numRef>
              <c:f>Sheet1!$B$2:$B$4</c:f>
              <c:numCache>
                <c:formatCode>General</c:formatCode>
                <c:ptCount val="3"/>
                <c:pt idx="0">
                  <c:v>3.14</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5510d5c-0acd-444c-b0d8-ad92358c50a9}"/>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9">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16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自定义 58">
    <a:dk1>
      <a:srgbClr val="000000"/>
    </a:dk1>
    <a:lt1>
      <a:srgbClr val="FFFFFF"/>
    </a:lt1>
    <a:dk2>
      <a:srgbClr val="44546A"/>
    </a:dk2>
    <a:lt2>
      <a:srgbClr val="E7E6E6"/>
    </a:lt2>
    <a:accent1>
      <a:srgbClr val="FF9205"/>
    </a:accent1>
    <a:accent2>
      <a:srgbClr val="EF534C"/>
    </a:accent2>
    <a:accent3>
      <a:srgbClr val="5DB020"/>
    </a:accent3>
    <a:accent4>
      <a:srgbClr val="468ED8"/>
    </a:accent4>
    <a:accent5>
      <a:srgbClr val="7058CA"/>
    </a:accent5>
    <a:accent6>
      <a:srgbClr val="C358CA"/>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自定义 58">
    <a:dk1>
      <a:srgbClr val="000000"/>
    </a:dk1>
    <a:lt1>
      <a:srgbClr val="FFFFFF"/>
    </a:lt1>
    <a:dk2>
      <a:srgbClr val="44546A"/>
    </a:dk2>
    <a:lt2>
      <a:srgbClr val="E7E6E6"/>
    </a:lt2>
    <a:accent1>
      <a:srgbClr val="FF9205"/>
    </a:accent1>
    <a:accent2>
      <a:srgbClr val="EF534C"/>
    </a:accent2>
    <a:accent3>
      <a:srgbClr val="5DB020"/>
    </a:accent3>
    <a:accent4>
      <a:srgbClr val="468ED8"/>
    </a:accent4>
    <a:accent5>
      <a:srgbClr val="7058CA"/>
    </a:accent5>
    <a:accent6>
      <a:srgbClr val="C358CA"/>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622</Words>
  <Characters>657</Characters>
  <Lines>61</Lines>
  <Paragraphs>17</Paragraphs>
  <TotalTime>9</TotalTime>
  <ScaleCrop>false</ScaleCrop>
  <LinksUpToDate>false</LinksUpToDate>
  <CharactersWithSpaces>701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2025-10-17T01:07:00Z</cp:lastPrinted>
  <dcterms:modified xsi:type="dcterms:W3CDTF">2025-10-17T08:50:24Z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5706FEAF8B90448BAFFEC0AA99FA2588_13</vt:lpwstr>
  </property>
  <property fmtid="{D5CDD505-2E9C-101B-9397-08002B2CF9AE}" pid="4" name="KSOTemplateDocerSaveRecord">
    <vt:lpwstr>eyJoZGlkIjoiNTU1MWNhN2ZmY2ZhZmY3ODhlYTg0MWU5OGMyY2QwZmUiLCJ1c2VySWQiOiI0MzQ2NTM0NzEifQ==</vt:lpwstr>
  </property>
</Properties>
</file>