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47BC">
      <w:pPr>
        <w:pStyle w:val="5"/>
        <w:rPr>
          <w:rFonts w:hint="default" w:ascii="Times New Roman" w:hAnsi="Times New Roman" w:eastAsia="方正小标宋简体" w:cs="Times New Roman"/>
          <w:color w:val="auto"/>
          <w:kern w:val="2"/>
          <w:sz w:val="72"/>
          <w:szCs w:val="72"/>
          <w:highlight w:val="none"/>
          <w:lang w:val="en-US" w:eastAsia="zh-CN" w:bidi="ar-SA"/>
        </w:rPr>
      </w:pPr>
    </w:p>
    <w:p w14:paraId="78F5A3FD">
      <w:pPr>
        <w:pStyle w:val="5"/>
        <w:rPr>
          <w:rFonts w:hint="default" w:ascii="Times New Roman" w:hAnsi="Times New Roman" w:eastAsia="方正小标宋简体" w:cs="Times New Roman"/>
          <w:color w:val="auto"/>
          <w:kern w:val="2"/>
          <w:sz w:val="72"/>
          <w:szCs w:val="72"/>
          <w:highlight w:val="none"/>
          <w:lang w:val="en-US" w:eastAsia="zh-CN" w:bidi="ar-SA"/>
        </w:rPr>
      </w:pPr>
    </w:p>
    <w:p w14:paraId="717053A2">
      <w:pPr>
        <w:bidi w:val="0"/>
        <w:rPr>
          <w:rFonts w:hint="eastAsia" w:ascii="方正小标宋简体" w:hAnsi="方正小标宋简体" w:eastAsia="方正小标宋简体" w:cs="方正小标宋简体"/>
          <w:sz w:val="44"/>
          <w:szCs w:val="44"/>
          <w:lang w:val="en-US" w:eastAsia="zh-CN"/>
        </w:rPr>
      </w:pPr>
    </w:p>
    <w:p w14:paraId="7470C7B0">
      <w:pPr>
        <w:bidi w:val="0"/>
        <w:jc w:val="center"/>
        <w:rPr>
          <w:rFonts w:hint="eastAsia" w:ascii="方正小标宋简体" w:hAnsi="方正小标宋简体" w:eastAsia="方正小标宋简体" w:cs="方正小标宋简体"/>
          <w:sz w:val="44"/>
          <w:szCs w:val="44"/>
          <w:lang w:val="en-US" w:eastAsia="zh-CN"/>
        </w:rPr>
      </w:pPr>
      <w:bookmarkStart w:id="0" w:name="_Toc25212"/>
      <w:r>
        <w:rPr>
          <w:rFonts w:hint="eastAsia" w:ascii="方正小标宋简体" w:hAnsi="方正小标宋简体" w:eastAsia="方正小标宋简体" w:cs="方正小标宋简体"/>
          <w:sz w:val="44"/>
          <w:szCs w:val="44"/>
          <w:lang w:val="en-US" w:eastAsia="zh-CN"/>
        </w:rPr>
        <w:t>2024年度</w:t>
      </w:r>
      <w:bookmarkEnd w:id="0"/>
      <w:bookmarkStart w:id="1" w:name="_Toc5204"/>
    </w:p>
    <w:p w14:paraId="632D6959">
      <w:pPr>
        <w:bidi w:val="0"/>
        <w:jc w:val="center"/>
        <w:rPr>
          <w:rFonts w:hint="eastAsia" w:ascii="方正小标宋简体" w:hAnsi="方正小标宋简体" w:eastAsia="方正小标宋简体" w:cs="方正小标宋简体"/>
          <w:sz w:val="44"/>
          <w:szCs w:val="44"/>
          <w:lang w:val="en-US" w:eastAsia="zh-CN"/>
        </w:rPr>
      </w:pPr>
      <w:bookmarkStart w:id="2" w:name="_Toc24643"/>
      <w:r>
        <w:rPr>
          <w:rFonts w:hint="eastAsia" w:ascii="方正小标宋简体" w:hAnsi="方正小标宋简体" w:eastAsia="方正小标宋简体" w:cs="方正小标宋简体"/>
          <w:sz w:val="44"/>
          <w:szCs w:val="44"/>
          <w:lang w:val="en-US" w:eastAsia="zh-CN"/>
        </w:rPr>
        <w:t>四川省阿坝州松潘县审计局单位决算</w:t>
      </w:r>
      <w:bookmarkEnd w:id="1"/>
      <w:bookmarkEnd w:id="2"/>
    </w:p>
    <w:p w14:paraId="021D4CE1">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4C52880A">
      <w:pPr>
        <w:spacing w:line="600" w:lineRule="exact"/>
        <w:jc w:val="center"/>
        <w:outlineLvl w:val="0"/>
        <w:rPr>
          <w:rFonts w:hint="default" w:ascii="Times New Roman" w:hAnsi="Times New Roman" w:eastAsia="方正小标宋简体" w:cs="Times New Roman"/>
          <w:color w:val="auto"/>
          <w:sz w:val="72"/>
          <w:szCs w:val="72"/>
          <w:highlight w:val="none"/>
        </w:rPr>
      </w:pPr>
    </w:p>
    <w:p w14:paraId="40FADEEF">
      <w:pPr>
        <w:spacing w:line="600" w:lineRule="exact"/>
        <w:jc w:val="center"/>
        <w:outlineLvl w:val="0"/>
        <w:rPr>
          <w:rFonts w:hint="default" w:ascii="Times New Roman" w:hAnsi="Times New Roman" w:eastAsia="方正小标宋简体" w:cs="Times New Roman"/>
          <w:color w:val="auto"/>
          <w:sz w:val="72"/>
          <w:szCs w:val="72"/>
          <w:highlight w:val="none"/>
        </w:rPr>
      </w:pPr>
    </w:p>
    <w:p w14:paraId="63ACA3B5">
      <w:pPr>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br w:type="page"/>
      </w:r>
    </w:p>
    <w:p w14:paraId="0B1CFBE5">
      <w:pPr>
        <w:pStyle w:val="5"/>
        <w:pageBreakBefore w:val="0"/>
        <w:suppressAutoHyphens/>
        <w:kinsoku/>
        <w:wordWrap/>
        <w:overflowPunct/>
        <w:topLinePunct w:val="0"/>
        <w:bidi w:val="0"/>
        <w:spacing w:before="0" w:beforeLines="-2147483648" w:after="140" w:line="576"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44"/>
          <w:szCs w:val="44"/>
        </w:rPr>
        <w:t>目录</w:t>
      </w:r>
    </w:p>
    <w:p w14:paraId="3749A61A">
      <w:pPr>
        <w:pStyle w:val="12"/>
        <w:pageBreakBefore w:val="0"/>
        <w:kinsoku/>
        <w:wordWrap/>
        <w:overflowPunct/>
        <w:topLinePunct w:val="0"/>
        <w:bidi w:val="0"/>
        <w:spacing w:line="576" w:lineRule="exact"/>
        <w:rPr>
          <w:rFonts w:hint="default" w:ascii="Times New Roman" w:hAnsi="Times New Roman" w:cs="Times New Roman"/>
        </w:rPr>
      </w:pPr>
      <w:r>
        <w:rPr>
          <w:rFonts w:hint="default" w:ascii="Times New Roman" w:hAnsi="Times New Roman" w:cs="Times New Roman"/>
        </w:rPr>
        <w:t>公开时间：202</w:t>
      </w:r>
      <w:r>
        <w:rPr>
          <w:rFonts w:hint="eastAsia"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10</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p>
    <w:p w14:paraId="4A55F05F">
      <w:pPr>
        <w:pStyle w:val="12"/>
        <w:tabs>
          <w:tab w:val="right" w:leader="dot" w:pos="8306"/>
          <w:tab w:val="clear" w:pos="8296"/>
        </w:tabs>
      </w:pPr>
      <w:r>
        <w:rPr>
          <w:rFonts w:hint="default" w:ascii="Times New Roman" w:hAnsi="Times New Roman" w:eastAsia="方正小标宋简体" w:cs="Times New Roman"/>
          <w:color w:val="auto"/>
          <w:kern w:val="2"/>
          <w:sz w:val="21"/>
          <w:szCs w:val="72"/>
          <w:highlight w:val="none"/>
          <w:lang w:val="en-US" w:eastAsia="zh-CN" w:bidi="ar-SA"/>
        </w:rPr>
        <w:fldChar w:fldCharType="begin"/>
      </w:r>
      <w:r>
        <w:rPr>
          <w:rFonts w:hint="default" w:ascii="Times New Roman" w:hAnsi="Times New Roman" w:eastAsia="方正小标宋简体" w:cs="Times New Roman"/>
          <w:color w:val="auto"/>
          <w:kern w:val="2"/>
          <w:sz w:val="21"/>
          <w:szCs w:val="72"/>
          <w:highlight w:val="none"/>
          <w:lang w:val="en-US" w:eastAsia="zh-CN" w:bidi="ar-SA"/>
        </w:rPr>
        <w:instrText xml:space="preserve">TOC \o "1-3" \h \u </w:instrText>
      </w:r>
      <w:r>
        <w:rPr>
          <w:rFonts w:hint="default" w:ascii="Times New Roman" w:hAnsi="Times New Roman" w:eastAsia="方正小标宋简体" w:cs="Times New Roman"/>
          <w:color w:val="auto"/>
          <w:kern w:val="2"/>
          <w:sz w:val="21"/>
          <w:szCs w:val="72"/>
          <w:highlight w:val="none"/>
          <w:lang w:val="en-US" w:eastAsia="zh-CN" w:bidi="ar-SA"/>
        </w:rPr>
        <w:fldChar w:fldCharType="separate"/>
      </w: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_Toc14694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方正小标宋简体" w:cs="Times New Roman"/>
          <w:highlight w:val="none"/>
        </w:rPr>
        <w:t>第一部分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bCs w:val="0"/>
          <w:highlight w:val="none"/>
        </w:rPr>
        <w:t>部门概况</w:t>
      </w:r>
      <w:r>
        <w:tab/>
      </w:r>
      <w:r>
        <w:fldChar w:fldCharType="begin"/>
      </w:r>
      <w:r>
        <w:instrText xml:space="preserve"> PAGEREF _Toc14694 \h </w:instrText>
      </w:r>
      <w:r>
        <w:fldChar w:fldCharType="separate"/>
      </w:r>
      <w:r>
        <w:t>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01B9388">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_Toc26809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Times New Roman" w:hAnsi="Times New Roman" w:eastAsia="黑体" w:cs="Times New Roman"/>
          <w:bCs/>
          <w:kern w:val="2"/>
          <w:szCs w:val="32"/>
          <w:lang w:val="en-US" w:eastAsia="zh-CN" w:bidi="ar-SA"/>
        </w:rPr>
        <w:t>一、</w:t>
      </w:r>
      <w:r>
        <w:rPr>
          <w:rFonts w:hint="default" w:ascii="Times New Roman" w:hAnsi="Times New Roman" w:eastAsia="黑体" w:cs="Times New Roman"/>
          <w:highlight w:val="none"/>
          <w:lang w:eastAsia="zh-CN"/>
        </w:rPr>
        <w:t>部门职责</w:t>
      </w:r>
      <w:r>
        <w:tab/>
      </w:r>
      <w:r>
        <w:fldChar w:fldCharType="begin"/>
      </w:r>
      <w:r>
        <w:instrText xml:space="preserve"> PAGEREF _Toc26809 \h </w:instrText>
      </w:r>
      <w:r>
        <w:fldChar w:fldCharType="separate"/>
      </w:r>
      <w:r>
        <w:t>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50FEAC47">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_Toc15216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highlight w:val="none"/>
        </w:rPr>
        <w:t>二、机</w:t>
      </w:r>
      <w:r>
        <w:rPr>
          <w:rFonts w:hint="default" w:ascii="Times New Roman" w:hAnsi="Times New Roman" w:eastAsia="黑体" w:cs="Times New Roman"/>
          <w:bCs w:val="0"/>
          <w:highlight w:val="none"/>
        </w:rPr>
        <w:t>构设置</w:t>
      </w:r>
      <w:r>
        <w:tab/>
      </w:r>
      <w:r>
        <w:fldChar w:fldCharType="begin"/>
      </w:r>
      <w:r>
        <w:instrText xml:space="preserve"> PAGEREF _Toc15216 \h </w:instrText>
      </w:r>
      <w:r>
        <w:fldChar w:fldCharType="separate"/>
      </w:r>
      <w:r>
        <w:t>3</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4C3601A">
      <w:pPr>
        <w:pStyle w:val="12"/>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_Toc30249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方正小标宋简体" w:cs="Times New Roman"/>
          <w:highlight w:val="none"/>
        </w:rPr>
        <w:t>第二部分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highlight w:val="none"/>
          <w:lang w:val="en-US" w:eastAsia="zh-CN"/>
        </w:rPr>
        <w:t>2024年度</w:t>
      </w:r>
      <w:r>
        <w:rPr>
          <w:rFonts w:hint="default" w:ascii="Times New Roman" w:hAnsi="Times New Roman" w:eastAsia="方正小标宋简体" w:cs="Times New Roman"/>
          <w:highlight w:val="none"/>
        </w:rPr>
        <w:t>部门决算情况说明</w:t>
      </w:r>
      <w:r>
        <w:tab/>
      </w:r>
      <w:r>
        <w:fldChar w:fldCharType="begin"/>
      </w:r>
      <w:r>
        <w:instrText xml:space="preserve"> PAGEREF _Toc30249 \h </w:instrText>
      </w:r>
      <w:r>
        <w:fldChar w:fldCharType="separate"/>
      </w:r>
      <w:r>
        <w:t>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D559AC8">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_Toc28306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lang w:eastAsia="zh-CN"/>
        </w:rPr>
        <w:t>一、</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_Toc28306 \h </w:instrText>
      </w:r>
      <w:r>
        <w:fldChar w:fldCharType="separate"/>
      </w:r>
      <w:r>
        <w:t>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0AB51F0B">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_Toc2057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lang w:eastAsia="zh-CN"/>
        </w:rPr>
        <w:t>二、收入决算情况说明</w:t>
      </w:r>
      <w:r>
        <w:tab/>
      </w:r>
      <w:r>
        <w:fldChar w:fldCharType="begin"/>
      </w:r>
      <w:r>
        <w:instrText xml:space="preserve"> PAGEREF _Toc2057 \h </w:instrText>
      </w:r>
      <w:r>
        <w:fldChar w:fldCharType="separate"/>
      </w:r>
      <w:r>
        <w:t>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93F7FF3">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_Toc32316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_Toc32316 \h </w:instrText>
      </w:r>
      <w:r>
        <w:fldChar w:fldCharType="separate"/>
      </w:r>
      <w:r>
        <w:t>6</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2840340">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_Toc13262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_Toc13262 \h </w:instrText>
      </w:r>
      <w:r>
        <w:fldChar w:fldCharType="separate"/>
      </w:r>
      <w:r>
        <w:t>6</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7714F78A">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_Toc27336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_Toc27336 \h </w:instrText>
      </w:r>
      <w:r>
        <w:fldChar w:fldCharType="separate"/>
      </w:r>
      <w:r>
        <w:t>7</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6432020">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_Toc7737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（一）一般公共预算财政拨款支出决算总体情况</w:t>
      </w:r>
      <w:r>
        <w:tab/>
      </w:r>
      <w:r>
        <w:fldChar w:fldCharType="begin"/>
      </w:r>
      <w:r>
        <w:instrText xml:space="preserve"> PAGEREF _Toc7737 \h </w:instrText>
      </w:r>
      <w:r>
        <w:fldChar w:fldCharType="separate"/>
      </w:r>
      <w:r>
        <w:t>7</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BCBCBAA">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_Toc7296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（二）一般公共预算财政拨款支出决算结构情况</w:t>
      </w:r>
      <w:r>
        <w:tab/>
      </w:r>
      <w:r>
        <w:fldChar w:fldCharType="begin"/>
      </w:r>
      <w:r>
        <w:instrText xml:space="preserve"> PAGEREF _Toc7296 \h </w:instrText>
      </w:r>
      <w:r>
        <w:fldChar w:fldCharType="separate"/>
      </w:r>
      <w:r>
        <w:t>8</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E3FCC3A">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_Toc13005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（三）一般公共预算财政拨款支出决算具体情况</w:t>
      </w:r>
      <w:r>
        <w:tab/>
      </w:r>
      <w:r>
        <w:fldChar w:fldCharType="begin"/>
      </w:r>
      <w:r>
        <w:instrText xml:space="preserve"> PAGEREF _Toc13005 \h </w:instrText>
      </w:r>
      <w:r>
        <w:fldChar w:fldCharType="separate"/>
      </w:r>
      <w:r>
        <w:t>8</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5DCC58F">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_Toc27567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_Toc27567 \h </w:instrText>
      </w:r>
      <w:r>
        <w:fldChar w:fldCharType="separate"/>
      </w:r>
      <w:r>
        <w:t>9</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88C896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_Toc27 \h </w:instrText>
      </w:r>
      <w:r>
        <w:fldChar w:fldCharType="separate"/>
      </w:r>
      <w:r>
        <w:t>10</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806982B">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_Toc11854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（一）“三公”经费财政拨款支出决算总体情况说明</w:t>
      </w:r>
      <w:r>
        <w:tab/>
      </w:r>
      <w:r>
        <w:fldChar w:fldCharType="begin"/>
      </w:r>
      <w:r>
        <w:instrText xml:space="preserve"> PAGEREF _Toc11854 \h </w:instrText>
      </w:r>
      <w:r>
        <w:fldChar w:fldCharType="separate"/>
      </w:r>
      <w:r>
        <w:t>10</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5003E618">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_Toc10044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（二）“三公”经费财政拨款支出决算具体情况说明</w:t>
      </w:r>
      <w:r>
        <w:tab/>
      </w:r>
      <w:r>
        <w:fldChar w:fldCharType="begin"/>
      </w:r>
      <w:r>
        <w:instrText xml:space="preserve"> PAGEREF _Toc10044 \h </w:instrText>
      </w:r>
      <w:r>
        <w:fldChar w:fldCharType="separate"/>
      </w:r>
      <w:r>
        <w:t>10</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CDC2454">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_Toc8209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_Toc8209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6ADDC8F">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_Toc37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highlight w:val="none"/>
          <w:lang w:eastAsia="zh-CN"/>
        </w:rPr>
        <w:t>九、</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_Toc37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06AC82DF">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_Toc24541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tab/>
      </w:r>
      <w:r>
        <w:fldChar w:fldCharType="begin"/>
      </w:r>
      <w:r>
        <w:instrText xml:space="preserve"> PAGEREF _Toc24541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5577854">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_Toc25036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（一）机关运行经费支出情况</w:t>
      </w:r>
      <w:r>
        <w:tab/>
      </w:r>
      <w:r>
        <w:fldChar w:fldCharType="begin"/>
      </w:r>
      <w:r>
        <w:instrText xml:space="preserve"> PAGEREF _Toc25036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551558A7">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_Toc21997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（二）政府采购支出情况</w:t>
      </w:r>
      <w:r>
        <w:tab/>
      </w:r>
      <w:r>
        <w:fldChar w:fldCharType="begin"/>
      </w:r>
      <w:r>
        <w:instrText xml:space="preserve"> PAGEREF _Toc21997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00524C5">
      <w:pPr>
        <w:pStyle w:val="8"/>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_Toc13357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default" w:ascii="Times New Roman" w:hAnsi="Times New Roman" w:eastAsia="楷体_GB2312" w:cs="Times New Roman"/>
          <w:szCs w:val="32"/>
          <w:highlight w:val="none"/>
        </w:rPr>
        <w:t>（三）国有资产占有使用情况</w:t>
      </w:r>
      <w:r>
        <w:tab/>
      </w:r>
      <w:r>
        <w:fldChar w:fldCharType="begin"/>
      </w:r>
      <w:r>
        <w:instrText xml:space="preserve"> PAGEREF _Toc13357 \h </w:instrText>
      </w:r>
      <w:r>
        <w:fldChar w:fldCharType="separate"/>
      </w:r>
      <w:r>
        <w:t>11</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23CA16F9">
      <w:pPr>
        <w:pStyle w:val="12"/>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_Toc12342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方正小标宋简体" w:hAnsi="方正小标宋简体" w:eastAsia="方正小标宋简体" w:cs="方正小标宋简体"/>
          <w:bCs w:val="0"/>
        </w:rPr>
        <w:t>第</w:t>
      </w:r>
      <w:r>
        <w:rPr>
          <w:rFonts w:hint="eastAsia" w:ascii="方正小标宋简体" w:hAnsi="方正小标宋简体" w:eastAsia="方正小标宋简体" w:cs="方正小标宋简体"/>
          <w:bCs w:val="0"/>
          <w:lang w:eastAsia="zh-CN"/>
        </w:rPr>
        <w:t>三</w:t>
      </w:r>
      <w:r>
        <w:rPr>
          <w:rFonts w:hint="eastAsia" w:ascii="方正小标宋简体" w:hAnsi="方正小标宋简体" w:eastAsia="方正小标宋简体" w:cs="方正小标宋简体"/>
          <w:bCs w:val="0"/>
        </w:rPr>
        <w:t>部分</w:t>
      </w:r>
      <w:r>
        <w:rPr>
          <w:rFonts w:hint="eastAsia" w:ascii="方正小标宋简体" w:hAnsi="方正小标宋简体" w:eastAsia="方正小标宋简体" w:cs="方正小标宋简体"/>
          <w:bCs w:val="0"/>
          <w:lang w:val="en-US" w:eastAsia="zh-CN"/>
        </w:rPr>
        <w:t xml:space="preserve">  </w:t>
      </w:r>
      <w:r>
        <w:rPr>
          <w:rFonts w:hint="eastAsia" w:ascii="方正小标宋简体" w:hAnsi="方正小标宋简体" w:eastAsia="方正小标宋简体" w:cs="方正小标宋简体"/>
          <w:bCs w:val="0"/>
        </w:rPr>
        <w:t>名词解释</w:t>
      </w:r>
      <w:r>
        <w:tab/>
      </w:r>
      <w:r>
        <w:fldChar w:fldCharType="begin"/>
      </w:r>
      <w:r>
        <w:instrText xml:space="preserve"> PAGEREF _Toc12342 \h </w:instrText>
      </w:r>
      <w:r>
        <w:fldChar w:fldCharType="separate"/>
      </w:r>
      <w:r>
        <w:t>12</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48112E5">
      <w:pPr>
        <w:pStyle w:val="12"/>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_Toc25516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方正小标宋简体" w:hAnsi="方正小标宋简体" w:eastAsia="方正小标宋简体" w:cs="方正小标宋简体"/>
          <w:bCs w:val="0"/>
        </w:rPr>
        <w:t>第五部分 附表</w:t>
      </w:r>
      <w:r>
        <w:tab/>
      </w:r>
      <w:r>
        <w:fldChar w:fldCharType="begin"/>
      </w:r>
      <w:r>
        <w:instrText xml:space="preserve"> PAGEREF _Toc25516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0AFA331B">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_Toc20167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一、收入支出决算总表</w:t>
      </w:r>
      <w:r>
        <w:tab/>
      </w:r>
      <w:r>
        <w:fldChar w:fldCharType="begin"/>
      </w:r>
      <w:r>
        <w:instrText xml:space="preserve"> PAGEREF _Toc20167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7C4A372F">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_Toc18545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二、收入决算表</w:t>
      </w:r>
      <w:r>
        <w:tab/>
      </w:r>
      <w:r>
        <w:fldChar w:fldCharType="begin"/>
      </w:r>
      <w:r>
        <w:instrText xml:space="preserve"> PAGEREF _Toc18545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333D18B">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_Toc2097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三、支出决算表</w:t>
      </w:r>
      <w:r>
        <w:tab/>
      </w:r>
      <w:r>
        <w:fldChar w:fldCharType="begin"/>
      </w:r>
      <w:r>
        <w:instrText xml:space="preserve"> PAGEREF _Toc2097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FD5417D">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_Toc27050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四、财政拨款收入支出决算总表</w:t>
      </w:r>
      <w:r>
        <w:tab/>
      </w:r>
      <w:r>
        <w:fldChar w:fldCharType="begin"/>
      </w:r>
      <w:r>
        <w:instrText xml:space="preserve"> PAGEREF _Toc27050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5C9774C1">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_Toc11843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五、财政拨款支出决算明细表</w:t>
      </w:r>
      <w:r>
        <w:tab/>
      </w:r>
      <w:r>
        <w:fldChar w:fldCharType="begin"/>
      </w:r>
      <w:r>
        <w:instrText xml:space="preserve"> PAGEREF _Toc11843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577DEB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_Toc986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六、一般公共预算财政拨款支出决算表</w:t>
      </w:r>
      <w:r>
        <w:tab/>
      </w:r>
      <w:r>
        <w:fldChar w:fldCharType="begin"/>
      </w:r>
      <w:r>
        <w:instrText xml:space="preserve"> PAGEREF _Toc986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56ADE46E">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_Toc15776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七、一般公共预算财政拨款支出决算明细表</w:t>
      </w:r>
      <w:r>
        <w:tab/>
      </w:r>
      <w:r>
        <w:fldChar w:fldCharType="begin"/>
      </w:r>
      <w:r>
        <w:instrText xml:space="preserve"> PAGEREF _Toc15776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6D72B8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_Toc12956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八、一般公共预算财政拨款基本支出决算表</w:t>
      </w:r>
      <w:r>
        <w:tab/>
      </w:r>
      <w:r>
        <w:fldChar w:fldCharType="begin"/>
      </w:r>
      <w:r>
        <w:instrText xml:space="preserve"> PAGEREF _Toc12956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1558744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_Toc14066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九、一般公共预算财政拨款项目支出决算表</w:t>
      </w:r>
      <w:r>
        <w:tab/>
      </w:r>
      <w:r>
        <w:fldChar w:fldCharType="begin"/>
      </w:r>
      <w:r>
        <w:instrText xml:space="preserve"> PAGEREF _Toc14066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2309F6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_Toc24962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十、政府性基金预算财政拨款收入支出决算表</w:t>
      </w:r>
      <w:r>
        <w:tab/>
      </w:r>
      <w:r>
        <w:fldChar w:fldCharType="begin"/>
      </w:r>
      <w:r>
        <w:instrText xml:space="preserve"> PAGEREF _Toc24962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4326F262">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_Toc22218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十一、国有资本经营预算</w:t>
      </w:r>
      <w:r>
        <w:rPr>
          <w:rFonts w:hint="eastAsia" w:ascii="仿宋_GB2312" w:hAnsi="仿宋_GB2312" w:eastAsia="仿宋_GB2312" w:cs="仿宋_GB2312"/>
          <w:bCs w:val="0"/>
          <w:lang w:eastAsia="zh-CN"/>
        </w:rPr>
        <w:t>财政拨款收入</w:t>
      </w:r>
      <w:r>
        <w:rPr>
          <w:rFonts w:hint="eastAsia" w:ascii="仿宋_GB2312" w:hAnsi="仿宋_GB2312" w:eastAsia="仿宋_GB2312" w:cs="仿宋_GB2312"/>
          <w:bCs w:val="0"/>
        </w:rPr>
        <w:t>支出决算表</w:t>
      </w:r>
      <w:r>
        <w:tab/>
      </w:r>
      <w:r>
        <w:fldChar w:fldCharType="begin"/>
      </w:r>
      <w:r>
        <w:instrText xml:space="preserve"> PAGEREF _Toc22218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614A3C0A">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_Toc1278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十二、</w:t>
      </w:r>
      <w:r>
        <w:rPr>
          <w:rFonts w:hint="eastAsia" w:ascii="仿宋_GB2312" w:hAnsi="仿宋_GB2312" w:eastAsia="仿宋_GB2312" w:cs="仿宋_GB2312"/>
          <w:bCs w:val="0"/>
          <w:lang w:eastAsia="zh-CN"/>
        </w:rPr>
        <w:t>国有资本经营预算财政拨款支出决算表</w:t>
      </w:r>
      <w:r>
        <w:tab/>
      </w:r>
      <w:r>
        <w:fldChar w:fldCharType="begin"/>
      </w:r>
      <w:r>
        <w:instrText xml:space="preserve"> PAGEREF _Toc1278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3C575FA6">
      <w:pPr>
        <w:pStyle w:val="14"/>
        <w:tabs>
          <w:tab w:val="right" w:leader="dot" w:pos="8306"/>
          <w:tab w:val="clear" w:pos="8296"/>
        </w:tabs>
      </w:pPr>
      <w:r>
        <w:rPr>
          <w:rFonts w:hint="default" w:ascii="Times New Roman" w:hAnsi="Times New Roman" w:eastAsia="方正小标宋简体" w:cs="Times New Roman"/>
          <w:color w:val="auto"/>
          <w:kern w:val="2"/>
          <w:szCs w:val="72"/>
          <w:highlight w:val="none"/>
          <w:lang w:val="en-US" w:eastAsia="zh-CN" w:bidi="ar-SA"/>
        </w:rPr>
        <w:fldChar w:fldCharType="begin"/>
      </w:r>
      <w:r>
        <w:rPr>
          <w:rFonts w:hint="default" w:ascii="Times New Roman" w:hAnsi="Times New Roman" w:eastAsia="方正小标宋简体" w:cs="Times New Roman"/>
          <w:kern w:val="2"/>
          <w:szCs w:val="72"/>
          <w:highlight w:val="none"/>
          <w:lang w:val="en-US" w:eastAsia="zh-CN" w:bidi="ar-SA"/>
        </w:rPr>
        <w:instrText xml:space="preserve"> HYPERLINK \l _Toc18796 </w:instrText>
      </w:r>
      <w:r>
        <w:rPr>
          <w:rFonts w:hint="default" w:ascii="Times New Roman" w:hAnsi="Times New Roman" w:eastAsia="方正小标宋简体" w:cs="Times New Roman"/>
          <w:kern w:val="2"/>
          <w:szCs w:val="72"/>
          <w:highlight w:val="none"/>
          <w:lang w:val="en-US" w:eastAsia="zh-CN" w:bidi="ar-SA"/>
        </w:rPr>
        <w:fldChar w:fldCharType="separate"/>
      </w:r>
      <w:r>
        <w:rPr>
          <w:rFonts w:hint="eastAsia" w:ascii="仿宋_GB2312" w:hAnsi="仿宋_GB2312" w:eastAsia="仿宋_GB2312" w:cs="仿宋_GB2312"/>
          <w:bCs w:val="0"/>
        </w:rPr>
        <w:t>十三、</w:t>
      </w:r>
      <w:r>
        <w:rPr>
          <w:rFonts w:hint="eastAsia" w:ascii="仿宋_GB2312" w:hAnsi="仿宋_GB2312" w:eastAsia="仿宋_GB2312" w:cs="仿宋_GB2312"/>
          <w:bCs w:val="0"/>
          <w:lang w:eastAsia="zh-CN"/>
        </w:rPr>
        <w:t>财政拨款“三公”经费支出决算表</w:t>
      </w:r>
      <w:r>
        <w:tab/>
      </w:r>
      <w:r>
        <w:fldChar w:fldCharType="begin"/>
      </w:r>
      <w:r>
        <w:instrText xml:space="preserve"> PAGEREF _Toc18796 \h </w:instrText>
      </w:r>
      <w:r>
        <w:fldChar w:fldCharType="separate"/>
      </w:r>
      <w:r>
        <w:t>15</w:t>
      </w:r>
      <w:r>
        <w:fldChar w:fldCharType="end"/>
      </w:r>
      <w:r>
        <w:rPr>
          <w:rFonts w:hint="default" w:ascii="Times New Roman" w:hAnsi="Times New Roman" w:eastAsia="方正小标宋简体" w:cs="Times New Roman"/>
          <w:color w:val="auto"/>
          <w:kern w:val="2"/>
          <w:szCs w:val="72"/>
          <w:highlight w:val="none"/>
          <w:lang w:val="en-US" w:eastAsia="zh-CN" w:bidi="ar-SA"/>
        </w:rPr>
        <w:fldChar w:fldCharType="end"/>
      </w:r>
    </w:p>
    <w:p w14:paraId="3FE99A52">
      <w:pPr>
        <w:spacing w:line="600" w:lineRule="exact"/>
        <w:jc w:val="center"/>
        <w:outlineLvl w:val="0"/>
        <w:rPr>
          <w:rFonts w:hint="default" w:ascii="Times New Roman" w:hAnsi="Times New Roman" w:eastAsia="方正小标宋简体" w:cs="Times New Roman"/>
          <w:color w:val="auto"/>
          <w:kern w:val="2"/>
          <w:sz w:val="21"/>
          <w:szCs w:val="72"/>
          <w:highlight w:val="none"/>
          <w:lang w:val="en-US" w:eastAsia="zh-CN" w:bidi="ar-SA"/>
        </w:rPr>
      </w:pPr>
      <w:r>
        <w:rPr>
          <w:rFonts w:hint="default" w:ascii="Times New Roman" w:hAnsi="Times New Roman" w:eastAsia="方正小标宋简体" w:cs="Times New Roman"/>
          <w:color w:val="auto"/>
          <w:kern w:val="2"/>
          <w:szCs w:val="72"/>
          <w:highlight w:val="none"/>
          <w:lang w:val="en-US" w:eastAsia="zh-CN" w:bidi="ar-SA"/>
        </w:rPr>
        <w:fldChar w:fldCharType="end"/>
      </w:r>
    </w:p>
    <w:p w14:paraId="2312C716">
      <w:pPr>
        <w:spacing w:line="600" w:lineRule="exact"/>
        <w:jc w:val="center"/>
        <w:outlineLvl w:val="0"/>
        <w:rPr>
          <w:rFonts w:hint="default" w:ascii="Times New Roman" w:hAnsi="Times New Roman" w:eastAsia="方正小标宋简体" w:cs="Times New Roman"/>
          <w:color w:val="auto"/>
          <w:kern w:val="2"/>
          <w:sz w:val="21"/>
          <w:szCs w:val="72"/>
          <w:highlight w:val="none"/>
          <w:lang w:val="en-US" w:eastAsia="zh-CN" w:bidi="ar-SA"/>
        </w:rPr>
      </w:pPr>
    </w:p>
    <w:p w14:paraId="4BD0FAFF">
      <w:pPr>
        <w:pStyle w:val="19"/>
        <w:outlineLvl w:val="2"/>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6FDD743">
      <w:pPr>
        <w:pStyle w:val="2"/>
        <w:jc w:val="center"/>
        <w:rPr>
          <w:rFonts w:hint="default" w:ascii="Times New Roman" w:hAnsi="Times New Roman" w:eastAsia="黑体" w:cs="Times New Roman"/>
          <w:color w:val="auto"/>
          <w:sz w:val="32"/>
          <w:szCs w:val="32"/>
          <w:highlight w:val="none"/>
        </w:rPr>
      </w:pPr>
      <w:bookmarkStart w:id="3" w:name="_Toc14694"/>
      <w:bookmarkStart w:id="4" w:name="_Toc15377196"/>
      <w:bookmarkStart w:id="5" w:name="_Toc15396599"/>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28"/>
          <w:rFonts w:hint="default" w:ascii="Times New Roman" w:hAnsi="Times New Roman" w:eastAsia="方正小标宋简体" w:cs="Times New Roman"/>
          <w:b w:val="0"/>
          <w:bCs w:val="0"/>
          <w:color w:val="auto"/>
          <w:highlight w:val="none"/>
        </w:rPr>
        <w:t>部门概况</w:t>
      </w:r>
      <w:bookmarkEnd w:id="3"/>
      <w:bookmarkEnd w:id="4"/>
      <w:bookmarkEnd w:id="5"/>
    </w:p>
    <w:p w14:paraId="7712CF39">
      <w:pPr>
        <w:pStyle w:val="3"/>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lang w:eastAsia="zh-CN"/>
        </w:rPr>
      </w:pPr>
      <w:bookmarkStart w:id="6" w:name="_Toc26809"/>
      <w:r>
        <w:rPr>
          <w:rFonts w:hint="eastAsia" w:ascii="Times New Roman" w:hAnsi="Times New Roman" w:eastAsia="黑体" w:cs="Times New Roman"/>
          <w:b w:val="0"/>
          <w:bCs/>
          <w:color w:val="auto"/>
          <w:kern w:val="2"/>
          <w:sz w:val="32"/>
          <w:szCs w:val="32"/>
          <w:lang w:val="en-US" w:eastAsia="zh-CN" w:bidi="ar-SA"/>
        </w:rPr>
        <w:t>一、</w:t>
      </w:r>
      <w:r>
        <w:rPr>
          <w:rFonts w:hint="default" w:ascii="Times New Roman" w:hAnsi="Times New Roman" w:eastAsia="黑体" w:cs="Times New Roman"/>
          <w:b w:val="0"/>
          <w:color w:val="auto"/>
          <w:highlight w:val="none"/>
          <w:lang w:eastAsia="zh-CN"/>
        </w:rPr>
        <w:t>部门职责</w:t>
      </w:r>
      <w:bookmarkEnd w:id="6"/>
    </w:p>
    <w:p w14:paraId="2DC95422">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0"/>
          <w:sz w:val="32"/>
          <w:szCs w:val="32"/>
          <w:shd w:val="clear" w:fill="FFFFFF"/>
        </w:rPr>
        <w:t>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任中）审计，对国家和省、州、县有关重大政策措施贯彻落实情况进行跟踪审计。对审计、专项审计调查和核查社会审计机构相关审计报告的结果承担责任，并负有督促被审计单位整改的责任。</w:t>
      </w:r>
      <w:r>
        <w:rPr>
          <w:rFonts w:hint="default" w:ascii="Times New Roman" w:hAnsi="Times New Roman" w:eastAsia="仿宋_GB2312" w:cs="Times New Roman"/>
          <w:kern w:val="0"/>
          <w:sz w:val="32"/>
          <w:szCs w:val="32"/>
          <w:shd w:val="clear" w:fill="FFFFFF"/>
        </w:rPr>
        <w:br w:type="textWrapping"/>
      </w:r>
      <w:r>
        <w:rPr>
          <w:rFonts w:hint="default" w:ascii="Times New Roman" w:hAnsi="Times New Roman" w:eastAsia="仿宋_GB2312" w:cs="Times New Roman"/>
          <w:kern w:val="0"/>
          <w:sz w:val="32"/>
          <w:szCs w:val="32"/>
          <w:shd w:val="clear" w:fill="FFFFFF"/>
        </w:rPr>
        <w:t xml:space="preserve">   （二）贯彻执行国家和省、州、县有关审计工作的方针政策和法律法规。起草规范性文件草案。制定并组织实施全县专业领域审计工作规划。对直接审计、调查和核查的事项依法进行审计评价，做出审计决定或提出审计建议。</w:t>
      </w:r>
    </w:p>
    <w:p w14:paraId="7DA1147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lang w:val="en-US" w:eastAsia="zh-CN" w:bidi="ar-SA"/>
        </w:rPr>
        <w:t>（二）</w:t>
      </w:r>
      <w:r>
        <w:rPr>
          <w:rFonts w:hint="default" w:ascii="Times New Roman" w:hAnsi="Times New Roman" w:eastAsia="仿宋_GB2312" w:cs="Times New Roman"/>
          <w:kern w:val="0"/>
          <w:sz w:val="32"/>
          <w:szCs w:val="32"/>
          <w:shd w:val="clear" w:fill="FFFFFF"/>
        </w:rPr>
        <w:t>向县委审计委员会提出年度县级预算执行和其他财政收支情况审计报告。向县政府和州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w:t>
      </w:r>
      <w:bookmarkStart w:id="117" w:name="_GoBack"/>
      <w:r>
        <w:rPr>
          <w:rFonts w:hint="eastAsia" w:eastAsia="仿宋_GB2312" w:cs="Times New Roman"/>
          <w:kern w:val="0"/>
          <w:sz w:val="32"/>
          <w:szCs w:val="32"/>
          <w:shd w:val="clear" w:fill="FFFFFF"/>
          <w:lang w:eastAsia="zh-CN"/>
        </w:rPr>
        <w:t>和</w:t>
      </w:r>
      <w:bookmarkEnd w:id="117"/>
      <w:r>
        <w:rPr>
          <w:rFonts w:hint="default" w:ascii="Times New Roman" w:hAnsi="Times New Roman" w:eastAsia="仿宋_GB2312" w:cs="Times New Roman"/>
          <w:kern w:val="0"/>
          <w:sz w:val="32"/>
          <w:szCs w:val="32"/>
          <w:shd w:val="clear" w:fill="FFFFFF"/>
        </w:rPr>
        <w:t>乡镇党委、政府通报审计情况和审计结果。</w:t>
      </w:r>
    </w:p>
    <w:p w14:paraId="50834B98">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四）直接审计下列事项，出具审计报告，在法定职权范围内做出审计决定，包括国家、省、州和县有关重大政策措施贯彻落实情况；县级预算执行和其他财政收支；县级决算（草案）和其他财政收支；县级各部门（含直属单位）预算执行情况、决算和其他财政收支；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及其他基金、资金的财务收支。根据省审计厅、州审计局授权的国际组织和外国政府援助、贷款项目。法律法规规定的其他事项。</w:t>
      </w:r>
    </w:p>
    <w:p w14:paraId="4FC4CDD0">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（五）按规定对县委、县政府确定的或接受县级有关部门委托的、党政主要领导干部和县属国有企业及国有控股企业领导干部实施经济责任审计和自然资源资产离任（任中）审计。</w:t>
      </w:r>
    </w:p>
    <w:p w14:paraId="31225FBE">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（六）组织实施对国家、省、州、县财经法律法规、规章、政策和宏观调控措施执行情况、财政预算管理及国有资产管理使用等与县级财政收支有关的特定事项进行专项审计调查。</w:t>
      </w:r>
    </w:p>
    <w:p w14:paraId="5DA2E2EC">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（七）依法检查审计决定执行情况，督促整改审计查出的问题，依法办理县政府裁决的有关事项，协助配合有关部门查处相关重大案件。</w:t>
      </w:r>
    </w:p>
    <w:p w14:paraId="34120C57">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（八）指导和监督内部审计工作，核查社会审计机构对依法属于审计监督对象的单位出具的相关审计报告。</w:t>
      </w:r>
    </w:p>
    <w:p w14:paraId="7F7F18A7">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（九）组织开展审计</w:t>
      </w:r>
      <w:r>
        <w:rPr>
          <w:rFonts w:hint="eastAsia" w:eastAsia="仿宋_GB2312" w:cs="Times New Roman"/>
          <w:kern w:val="0"/>
          <w:sz w:val="32"/>
          <w:szCs w:val="32"/>
          <w:shd w:val="clear" w:fill="FFFFFF"/>
          <w:lang w:eastAsia="zh-CN"/>
        </w:rPr>
        <w:t>领域</w:t>
      </w:r>
      <w:r>
        <w:rPr>
          <w:rFonts w:hint="default" w:ascii="Times New Roman" w:hAnsi="Times New Roman" w:eastAsia="仿宋_GB2312" w:cs="Times New Roman"/>
          <w:kern w:val="0"/>
          <w:sz w:val="32"/>
          <w:szCs w:val="32"/>
          <w:shd w:val="clear" w:fill="FFFFFF"/>
        </w:rPr>
        <w:t>的交流与合作，组织开展信息技术在审计领域的应用。</w:t>
      </w:r>
    </w:p>
    <w:p w14:paraId="4D59D42D">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（十）负责全县重大项目稽查和县级预算执行情况和其他财政收支情况、国有企业的监督检查。</w:t>
      </w:r>
    </w:p>
    <w:p w14:paraId="20AC3351">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（十一）负责实施范围内的安全生产和职业健康、生态环境保护、审批服务便民化等工作。</w:t>
      </w:r>
    </w:p>
    <w:p w14:paraId="63E4AF84">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bookmarkStart w:id="7" w:name="_Toc9926"/>
      <w:bookmarkStart w:id="8" w:name="_Toc23059"/>
      <w:r>
        <w:rPr>
          <w:rFonts w:hint="default" w:ascii="Times New Roman" w:hAnsi="Times New Roman" w:eastAsia="仿宋_GB2312" w:cs="Times New Roman"/>
          <w:kern w:val="0"/>
          <w:sz w:val="32"/>
          <w:szCs w:val="32"/>
          <w:shd w:val="clear" w:fill="FFFFFF"/>
        </w:rPr>
        <w:t>（十二）完成县委、县政府交办的其他任务。</w:t>
      </w:r>
      <w:bookmarkEnd w:id="7"/>
      <w:bookmarkEnd w:id="8"/>
    </w:p>
    <w:p w14:paraId="7BA73972">
      <w:pPr>
        <w:keepNext w:val="0"/>
        <w:keepLines w:val="0"/>
        <w:pageBreakBefore w:val="0"/>
        <w:widowControl/>
        <w:suppressLineNumbers w:val="0"/>
        <w:kinsoku/>
        <w:wordWrap/>
        <w:overflowPunct/>
        <w:topLinePunct w:val="0"/>
        <w:autoSpaceDE w:val="0"/>
        <w:autoSpaceDN/>
        <w:bidi w:val="0"/>
        <w:adjustRightInd/>
        <w:snapToGrid/>
        <w:spacing w:afterAutospacing="0" w:line="576" w:lineRule="exact"/>
        <w:ind w:left="0" w:leftChars="0" w:right="0" w:righ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十三）职能转变。进一步完善审计管理体制，加强全县审计工作统筹，明晰职能定位，理顺内部职责关系，优化审计资源配置，充实加强审计力量，构建集中统一、全面覆盖、权威高效的审计监督体系。优化审计工作机制，坚持科技强审，完善业务流程，改进工作方式，加强与有关部门的沟通协调，充分调动内部审计和社会审计力量，增强监督合力。</w:t>
      </w:r>
    </w:p>
    <w:p w14:paraId="110DB42E">
      <w:pPr>
        <w:pStyle w:val="3"/>
        <w:pageBreakBefore w:val="0"/>
        <w:kinsoku/>
        <w:wordWrap/>
        <w:overflowPunct/>
        <w:topLinePunct w:val="0"/>
        <w:autoSpaceDN/>
        <w:bidi w:val="0"/>
        <w:adjustRightInd/>
        <w:snapToGrid/>
        <w:spacing w:before="0" w:after="0" w:line="576" w:lineRule="exact"/>
        <w:ind w:firstLine="640" w:firstLineChars="200"/>
        <w:textAlignment w:val="auto"/>
        <w:rPr>
          <w:rStyle w:val="29"/>
          <w:rFonts w:hint="default" w:ascii="Times New Roman" w:hAnsi="Times New Roman" w:cs="Times New Roman"/>
          <w:b w:val="0"/>
          <w:bCs w:val="0"/>
          <w:color w:val="auto"/>
          <w:highlight w:val="none"/>
        </w:rPr>
      </w:pPr>
      <w:bookmarkStart w:id="9" w:name="_Toc15396601"/>
      <w:bookmarkStart w:id="10" w:name="_Toc15377200"/>
      <w:bookmarkStart w:id="11" w:name="_Toc15216"/>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9"/>
      <w:bookmarkEnd w:id="10"/>
      <w:bookmarkEnd w:id="11"/>
    </w:p>
    <w:p w14:paraId="143726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（一）办公室</w:t>
      </w:r>
    </w:p>
    <w:p w14:paraId="572C7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局机关日常政务，负责有关重要会议的组织和有关报告、文件及局机关管理制度的起草；编制全县审计工作计划，负责局机关目标管理、离退休人员的管理；负责审计调查研究、宣传、对外协调、新闻发布和机关文电处理、保密、信访、档案管理。</w:t>
      </w:r>
    </w:p>
    <w:p w14:paraId="2B4262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bookmarkStart w:id="12" w:name="_Toc32743"/>
      <w:bookmarkEnd w:id="12"/>
      <w:bookmarkStart w:id="13" w:name="_Toc12009"/>
      <w:bookmarkEnd w:id="13"/>
      <w:bookmarkStart w:id="14" w:name="_Toc15946"/>
      <w:bookmarkEnd w:id="14"/>
      <w:bookmarkStart w:id="15" w:name="_Toc4657"/>
      <w:bookmarkEnd w:id="15"/>
      <w:bookmarkStart w:id="16" w:name="_Toc27581"/>
      <w:bookmarkStart w:id="17" w:name="_Toc30933"/>
      <w:r>
        <w:rPr>
          <w:rFonts w:hint="eastAsia" w:ascii="楷体_GB2312" w:hAnsi="楷体_GB2312" w:eastAsia="楷体_GB2312" w:cs="楷体_GB2312"/>
          <w:sz w:val="32"/>
          <w:szCs w:val="32"/>
          <w:lang w:eastAsia="zh-CN"/>
        </w:rPr>
        <w:t>（二）财政审计股</w:t>
      </w:r>
      <w:bookmarkEnd w:id="16"/>
      <w:bookmarkEnd w:id="17"/>
    </w:p>
    <w:p w14:paraId="408292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审计县级和县级各部门（含直属单位）预算执行情况、决算（草案）和其他财政收支。组织审计县属国有金融机构和县政府规定的国有资本占控股或主导地位金融机构的资产、负债和损益。负责与县人大财经工作委员会协调联系有关审计业务工作。组织实施对国家和省、州、县有关重大政策措施贯彻落实情况的跟踪审计工作，承担相关业务审计或专项审计调查工作。组织审计农业农村、扶贫开发以及其他相关公共资金和建设项目。</w:t>
      </w:r>
    </w:p>
    <w:p w14:paraId="007939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bookmarkStart w:id="18" w:name="_Toc22847"/>
      <w:bookmarkEnd w:id="18"/>
      <w:bookmarkStart w:id="19" w:name="_Toc16978"/>
      <w:bookmarkEnd w:id="19"/>
      <w:bookmarkStart w:id="20" w:name="_Toc3332"/>
      <w:bookmarkEnd w:id="20"/>
      <w:bookmarkStart w:id="21" w:name="_Toc17788"/>
      <w:bookmarkEnd w:id="21"/>
      <w:bookmarkStart w:id="22" w:name="_Toc19442"/>
      <w:bookmarkStart w:id="23" w:name="_Toc5844"/>
      <w:r>
        <w:rPr>
          <w:rFonts w:hint="eastAsia" w:ascii="楷体_GB2312" w:hAnsi="楷体_GB2312" w:eastAsia="楷体_GB2312" w:cs="楷体_GB2312"/>
          <w:sz w:val="32"/>
          <w:szCs w:val="32"/>
          <w:lang w:eastAsia="zh-CN"/>
        </w:rPr>
        <w:t>（三）固定资产投资审计股</w:t>
      </w:r>
      <w:bookmarkEnd w:id="22"/>
      <w:bookmarkEnd w:id="23"/>
    </w:p>
    <w:p w14:paraId="3E45E9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审计县级政府投资、以县级政府投资为主的建设项目以及其他关系到国家利益和公共利益的重大公共工程项目；承担对有关部门和国家企事业单位网络安全、电子政务工程和信息化及信息系统审计；组织协调对社会审计机构出具的相关审计报告的核查。</w:t>
      </w:r>
    </w:p>
    <w:p w14:paraId="23F33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bookmarkStart w:id="24" w:name="_Toc22686"/>
      <w:bookmarkEnd w:id="24"/>
      <w:bookmarkStart w:id="25" w:name="_Toc28065"/>
      <w:bookmarkEnd w:id="25"/>
      <w:bookmarkStart w:id="26" w:name="_Toc7999"/>
      <w:bookmarkEnd w:id="26"/>
      <w:bookmarkStart w:id="27" w:name="_Toc27435"/>
      <w:bookmarkEnd w:id="27"/>
      <w:bookmarkStart w:id="28" w:name="_Toc14384"/>
      <w:bookmarkStart w:id="29" w:name="_Toc15019"/>
      <w:r>
        <w:rPr>
          <w:rFonts w:hint="eastAsia" w:ascii="楷体_GB2312" w:hAnsi="楷体_GB2312" w:eastAsia="楷体_GB2312" w:cs="楷体_GB2312"/>
          <w:sz w:val="32"/>
          <w:szCs w:val="32"/>
          <w:lang w:eastAsia="zh-CN"/>
        </w:rPr>
        <w:t>（四）经济责任审计股</w:t>
      </w:r>
      <w:bookmarkEnd w:id="28"/>
      <w:bookmarkEnd w:id="29"/>
    </w:p>
    <w:p w14:paraId="41EF14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组织开展党政主要领导干部、国有企事业单位领导干部经济责任审计、自然资源资产离任（任中）审计以及自然资源管理、污染防治和生态保护</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修复审计情况；承</w:t>
      </w:r>
      <w:r>
        <w:rPr>
          <w:rFonts w:hint="eastAsia" w:ascii="仿宋_GB2312" w:hAnsi="仿宋_GB2312" w:eastAsia="仿宋_GB2312" w:cs="仿宋_GB2312"/>
          <w:sz w:val="32"/>
          <w:szCs w:val="32"/>
          <w:lang w:eastAsia="zh-CN"/>
        </w:rPr>
        <w:t>担全</w:t>
      </w:r>
      <w:r>
        <w:rPr>
          <w:rFonts w:hint="eastAsia" w:ascii="仿宋_GB2312" w:hAnsi="仿宋_GB2312" w:eastAsia="仿宋_GB2312" w:cs="仿宋_GB2312"/>
          <w:sz w:val="32"/>
          <w:szCs w:val="32"/>
        </w:rPr>
        <w:t>县经济责任审计工作联席会议有关工作；组织审计县属国有及国有资本占控股或主导地位企业的资产、负债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损益；组织审计县级有关部门、县政府管理和其他单位受县政府及其他部门委托管理的社会保障资金、社会捐赠资金、安全生产和职业健康财政资金以及其他有关基金、资金的财务收支。</w:t>
      </w:r>
    </w:p>
    <w:p w14:paraId="1D67924C">
      <w:pPr>
        <w:pStyle w:val="2"/>
        <w:jc w:val="center"/>
        <w:rPr>
          <w:rFonts w:hint="default" w:ascii="Times New Roman" w:hAnsi="Times New Roman" w:cs="Times New Roman"/>
          <w:color w:val="auto"/>
          <w:highlight w:val="none"/>
        </w:rPr>
      </w:pPr>
      <w:bookmarkStart w:id="30" w:name="_Toc15377204"/>
      <w:bookmarkStart w:id="31" w:name="_Toc30249"/>
      <w:bookmarkStart w:id="32"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30"/>
      <w:bookmarkEnd w:id="31"/>
      <w:bookmarkEnd w:id="32"/>
    </w:p>
    <w:p w14:paraId="3AD4728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33" w:name="_Toc15396603"/>
      <w:bookmarkStart w:id="34" w:name="_Toc28306"/>
      <w:bookmarkStart w:id="35"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33"/>
      <w:bookmarkEnd w:id="34"/>
      <w:bookmarkEnd w:id="35"/>
    </w:p>
    <w:p w14:paraId="7B9C8F1F">
      <w:pPr>
        <w:pageBreakBefore w:val="0"/>
        <w:kinsoku/>
        <w:wordWrap/>
        <w:overflowPunct/>
        <w:topLinePunct w:val="0"/>
        <w:bidi w:val="0"/>
        <w:spacing w:line="576"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2024年度收入、支出总计均为265.18万元。与2023年度相比，收入、支出总计各减少113.97万元，下降30.06%。主要变动原因是人员变动及</w:t>
      </w:r>
      <w:r>
        <w:rPr>
          <w:rFonts w:hint="default" w:ascii="Times New Roman" w:hAnsi="Times New Roman" w:eastAsia="仿宋" w:cs="Times New Roman"/>
          <w:sz w:val="32"/>
          <w:szCs w:val="32"/>
          <w:lang w:val="en-US" w:eastAsia="zh-CN"/>
        </w:rPr>
        <w:t>审计三方服务费支出减少</w:t>
      </w:r>
      <w:r>
        <w:rPr>
          <w:rFonts w:hint="default" w:ascii="Times New Roman" w:hAnsi="Times New Roman" w:eastAsia="仿宋" w:cs="Times New Roman"/>
          <w:sz w:val="32"/>
          <w:szCs w:val="32"/>
        </w:rPr>
        <w:t>。</w:t>
      </w:r>
    </w:p>
    <w:p w14:paraId="654F301F">
      <w:pPr>
        <w:bidi w:val="0"/>
        <w:rPr>
          <w:rFonts w:hint="default"/>
          <w:lang w:val="en-US" w:eastAsia="zh-CN"/>
        </w:rPr>
      </w:pPr>
    </w:p>
    <w:p w14:paraId="3F222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drawing>
          <wp:inline distT="0" distB="0" distL="114300" distR="114300">
            <wp:extent cx="5256530" cy="2988310"/>
            <wp:effectExtent l="5080" t="4445" r="15240" b="17145"/>
            <wp:docPr id="13" name="图表 13" descr="7b0a202020202263686172745265734964223a20223230343736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41AEF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50D0B0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36" w:name="_Toc2057"/>
      <w:bookmarkStart w:id="37" w:name="_Toc15396604"/>
      <w:bookmarkStart w:id="38" w:name="_Toc15377206"/>
      <w:r>
        <w:rPr>
          <w:rFonts w:hint="default" w:ascii="Times New Roman" w:hAnsi="Times New Roman" w:eastAsia="黑体" w:cs="Times New Roman"/>
          <w:color w:val="auto"/>
          <w:sz w:val="32"/>
          <w:szCs w:val="32"/>
          <w:highlight w:val="none"/>
          <w:lang w:eastAsia="zh-CN"/>
        </w:rPr>
        <w:t>二、收入决算情况说明</w:t>
      </w:r>
      <w:bookmarkEnd w:id="36"/>
      <w:bookmarkEnd w:id="37"/>
      <w:bookmarkEnd w:id="38"/>
    </w:p>
    <w:p w14:paraId="16186BEF">
      <w:pPr>
        <w:bidi w:val="0"/>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2024年度本年收入合计</w:t>
      </w:r>
      <w:r>
        <w:rPr>
          <w:rFonts w:hint="default" w:ascii="Times New Roman" w:hAnsi="Times New Roman" w:eastAsia="仿宋_GB2312" w:cs="Times New Roman"/>
          <w:sz w:val="32"/>
          <w:szCs w:val="32"/>
        </w:rPr>
        <w:t>265.18万元，其中：一般公共预算财政拨款收入265.18</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eastAsia="zh-CN"/>
        </w:rPr>
        <w:t>%。</w:t>
      </w:r>
    </w:p>
    <w:p w14:paraId="4B359FEC">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256530" cy="2988310"/>
            <wp:effectExtent l="5080" t="4445" r="15240" b="17145"/>
            <wp:docPr id="3" name="图表 3" descr="7b0a202020202263686172745265734964223a2022323034373639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default" w:ascii="Times New Roman" w:hAnsi="Times New Roman" w:eastAsia="仿宋_GB2312" w:cs="Times New Roman"/>
          <w:color w:val="auto"/>
          <w:sz w:val="32"/>
          <w:szCs w:val="32"/>
          <w:highlight w:val="none"/>
          <w:lang w:eastAsia="zh-CN"/>
        </w:rPr>
        <w:t>（图2：收入决算结构图）</w:t>
      </w:r>
    </w:p>
    <w:p w14:paraId="62420B2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39" w:name="_Toc15396605"/>
      <w:bookmarkStart w:id="40" w:name="_Toc15377207"/>
      <w:bookmarkStart w:id="41" w:name="_Toc32316"/>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39"/>
      <w:bookmarkEnd w:id="40"/>
      <w:bookmarkEnd w:id="41"/>
    </w:p>
    <w:p w14:paraId="70A9B3C7">
      <w:pPr>
        <w:bidi w:val="0"/>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2024年度本年支出合计</w:t>
      </w:r>
      <w:r>
        <w:rPr>
          <w:rFonts w:hint="default" w:ascii="Times New Roman" w:hAnsi="Times New Roman" w:eastAsia="仿宋_GB2312" w:cs="Times New Roman"/>
          <w:sz w:val="32"/>
          <w:szCs w:val="32"/>
        </w:rPr>
        <w:t>265.18</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rPr>
        <w:t>222.49</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rPr>
        <w:t>83.9</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rPr>
        <w:t>42.69</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rPr>
        <w:t>16.09</w:t>
      </w:r>
      <w:r>
        <w:rPr>
          <w:rFonts w:hint="default" w:ascii="Times New Roman" w:hAnsi="Times New Roman" w:eastAsia="仿宋_GB2312" w:cs="Times New Roman"/>
          <w:sz w:val="32"/>
          <w:szCs w:val="32"/>
          <w:lang w:eastAsia="zh-CN"/>
        </w:rPr>
        <w:t>%。</w:t>
      </w:r>
    </w:p>
    <w:p w14:paraId="615BFE6D">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256530" cy="2988310"/>
            <wp:effectExtent l="5080" t="4445" r="15240" b="17145"/>
            <wp:docPr id="4" name="图表 4"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default" w:ascii="Times New Roman" w:hAnsi="Times New Roman" w:eastAsia="仿宋_GB2312" w:cs="Times New Roman"/>
          <w:color w:val="auto"/>
          <w:sz w:val="32"/>
          <w:szCs w:val="32"/>
          <w:highlight w:val="none"/>
          <w:lang w:eastAsia="zh-CN"/>
        </w:rPr>
        <w:t>（图3：支出决算结构图）</w:t>
      </w:r>
    </w:p>
    <w:p w14:paraId="5CDF7290">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42" w:name="_Toc15377208"/>
      <w:bookmarkStart w:id="43" w:name="_Toc13262"/>
      <w:bookmarkStart w:id="44" w:name="_Toc15396606"/>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42"/>
      <w:bookmarkEnd w:id="43"/>
      <w:bookmarkEnd w:id="44"/>
    </w:p>
    <w:p w14:paraId="454BD2F1">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268605</wp:posOffset>
            </wp:positionH>
            <wp:positionV relativeFrom="paragraph">
              <wp:posOffset>1684655</wp:posOffset>
            </wp:positionV>
            <wp:extent cx="5303520" cy="3330575"/>
            <wp:effectExtent l="4445" t="4445" r="6985" b="17780"/>
            <wp:wrapTopAndBottom/>
            <wp:docPr id="10" name="图表 10" descr="7b0a202020202263686172745265734964223a20223230343736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265.18</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w:t>
      </w:r>
      <w:r>
        <w:rPr>
          <w:rFonts w:hint="default" w:ascii="Times New Roman" w:hAnsi="Times New Roman" w:eastAsia="仿宋_GB2312" w:cs="Times New Roman"/>
          <w:kern w:val="0"/>
          <w:sz w:val="32"/>
          <w:szCs w:val="32"/>
          <w:lang w:val="en-US" w:eastAsia="zh-CN" w:bidi="ar-SA"/>
        </w:rPr>
        <w:t>减少113.97万元，下降30.06%。主要变动原因是人员变动及</w:t>
      </w:r>
      <w:r>
        <w:rPr>
          <w:rFonts w:hint="default" w:ascii="Times New Roman" w:hAnsi="Times New Roman" w:eastAsia="仿宋" w:cs="Times New Roman"/>
          <w:sz w:val="32"/>
          <w:szCs w:val="32"/>
          <w:lang w:val="en-US" w:eastAsia="zh-CN"/>
        </w:rPr>
        <w:t>审计三方服务费支出减少</w:t>
      </w:r>
      <w:r>
        <w:rPr>
          <w:rFonts w:hint="default" w:ascii="Times New Roman" w:hAnsi="Times New Roman" w:eastAsia="仿宋" w:cs="Times New Roman"/>
          <w:sz w:val="32"/>
          <w:szCs w:val="32"/>
        </w:rPr>
        <w:t>。</w:t>
      </w:r>
    </w:p>
    <w:p w14:paraId="7F68EA07">
      <w:pPr>
        <w:spacing w:line="600" w:lineRule="exact"/>
        <w:ind w:firstLine="640" w:firstLineChars="20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70269AE0">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45" w:name="_Toc15396607"/>
      <w:bookmarkStart w:id="46" w:name="_Toc15377209"/>
      <w:bookmarkStart w:id="47" w:name="_Toc27336"/>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45"/>
      <w:bookmarkEnd w:id="46"/>
      <w:bookmarkEnd w:id="47"/>
    </w:p>
    <w:p w14:paraId="40C9099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7737"/>
      <w:bookmarkStart w:id="49"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48"/>
      <w:bookmarkEnd w:id="49"/>
    </w:p>
    <w:p w14:paraId="0A59CDA3">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265.18</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w:t>
      </w:r>
      <w:r>
        <w:rPr>
          <w:rFonts w:hint="default" w:ascii="Times New Roman" w:hAnsi="Times New Roman" w:eastAsia="仿宋_GB2312" w:cs="Times New Roman"/>
          <w:kern w:val="0"/>
          <w:sz w:val="32"/>
          <w:szCs w:val="32"/>
          <w:lang w:val="en-US" w:eastAsia="zh-CN" w:bidi="ar-SA"/>
        </w:rPr>
        <w:t>减少113.97万元，下降30.06%。主要变动原因是人员变动及</w:t>
      </w:r>
      <w:r>
        <w:rPr>
          <w:rFonts w:hint="default" w:ascii="Times New Roman" w:hAnsi="Times New Roman" w:eastAsia="仿宋" w:cs="Times New Roman"/>
          <w:sz w:val="32"/>
          <w:szCs w:val="32"/>
          <w:lang w:val="en-US" w:eastAsia="zh-CN"/>
        </w:rPr>
        <w:t>审计三方服务费支出减少</w:t>
      </w:r>
      <w:r>
        <w:rPr>
          <w:rFonts w:hint="default" w:ascii="Times New Roman" w:hAnsi="Times New Roman" w:eastAsia="仿宋" w:cs="Times New Roman"/>
          <w:sz w:val="32"/>
          <w:szCs w:val="32"/>
        </w:rPr>
        <w:t>。</w:t>
      </w:r>
    </w:p>
    <w:p w14:paraId="060EE8B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33A59EC">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477520</wp:posOffset>
            </wp:positionH>
            <wp:positionV relativeFrom="paragraph">
              <wp:posOffset>-8378825</wp:posOffset>
            </wp:positionV>
            <wp:extent cx="4828540" cy="2912745"/>
            <wp:effectExtent l="4445" t="4445" r="5715" b="16510"/>
            <wp:wrapTight wrapText="bothSides">
              <wp:wrapPolygon>
                <wp:start x="-20" y="-33"/>
                <wp:lineTo x="-20" y="21440"/>
                <wp:lineTo x="21540" y="21440"/>
                <wp:lineTo x="21540" y="-33"/>
                <wp:lineTo x="-20" y="-33"/>
              </wp:wrapPolygon>
            </wp:wrapTight>
            <wp:docPr id="12" name="图表 12" descr="7b0a202020202263686172745265734964223a202232303437363632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14EFC3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4C67EDB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0" w:name="_Toc7296"/>
      <w:bookmarkStart w:id="5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50"/>
      <w:bookmarkEnd w:id="51"/>
    </w:p>
    <w:p w14:paraId="408718B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265.18</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w:t>
      </w:r>
      <w:r>
        <w:rPr>
          <w:rFonts w:hint="eastAsia" w:ascii="Times New Roman" w:hAnsi="Times New Roman" w:eastAsia="仿宋_GB2312" w:cs="Times New Roman"/>
          <w:color w:val="auto"/>
          <w:kern w:val="2"/>
          <w:sz w:val="32"/>
          <w:szCs w:val="32"/>
          <w:highlight w:val="none"/>
          <w:lang w:val="en-US" w:eastAsia="zh-CN" w:bidi="ar-SA"/>
        </w:rPr>
        <w:t>205.29</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77.42</w:t>
      </w:r>
      <w:r>
        <w:rPr>
          <w:rFonts w:hint="default" w:ascii="Times New Roman" w:hAnsi="Times New Roman" w:eastAsia="仿宋_GB2312" w:cs="Times New Roman"/>
          <w:color w:val="auto"/>
          <w:kern w:val="2"/>
          <w:sz w:val="32"/>
          <w:szCs w:val="32"/>
          <w:highlight w:val="none"/>
          <w:lang w:val="en-US" w:eastAsia="zh-CN" w:bidi="ar-SA"/>
        </w:rPr>
        <w:t>%；社会保障和就业支出</w:t>
      </w:r>
      <w:r>
        <w:rPr>
          <w:rFonts w:hint="eastAsia" w:ascii="Times New Roman" w:hAnsi="Times New Roman" w:eastAsia="仿宋_GB2312" w:cs="Times New Roman"/>
          <w:color w:val="auto"/>
          <w:kern w:val="2"/>
          <w:sz w:val="32"/>
          <w:szCs w:val="32"/>
          <w:highlight w:val="none"/>
          <w:lang w:val="en-US" w:eastAsia="zh-CN" w:bidi="ar-SA"/>
        </w:rPr>
        <w:t>32.48</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12.25</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eastAsia" w:ascii="Times New Roman" w:hAnsi="Times New Roman" w:eastAsia="仿宋_GB2312" w:cs="Times New Roman"/>
          <w:color w:val="auto"/>
          <w:kern w:val="2"/>
          <w:sz w:val="32"/>
          <w:szCs w:val="32"/>
          <w:highlight w:val="none"/>
          <w:lang w:val="en-US" w:eastAsia="zh-CN" w:bidi="ar-SA"/>
        </w:rPr>
        <w:t>11.98</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4.52</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eastAsia" w:ascii="Times New Roman" w:hAnsi="Times New Roman" w:eastAsia="仿宋_GB2312" w:cs="Times New Roman"/>
          <w:color w:val="auto"/>
          <w:kern w:val="2"/>
          <w:sz w:val="32"/>
          <w:szCs w:val="32"/>
          <w:highlight w:val="none"/>
          <w:lang w:val="en-US" w:eastAsia="zh-CN" w:bidi="ar-SA"/>
        </w:rPr>
        <w:t>15.42</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5.81</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p>
    <w:p w14:paraId="7A07887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307340</wp:posOffset>
            </wp:positionH>
            <wp:positionV relativeFrom="paragraph">
              <wp:posOffset>146685</wp:posOffset>
            </wp:positionV>
            <wp:extent cx="4980305" cy="3111500"/>
            <wp:effectExtent l="4445" t="4445" r="6350" b="8255"/>
            <wp:wrapTopAndBottom/>
            <wp:docPr id="14" name="图表 14" descr="7b0a202020202263686172745265734964223a2022323034373638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478BA9A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15377212"/>
      <w:bookmarkStart w:id="53" w:name="_Toc13005"/>
      <w:r>
        <w:rPr>
          <w:rFonts w:hint="default" w:ascii="Times New Roman" w:hAnsi="Times New Roman" w:eastAsia="楷体_GB2312" w:cs="Times New Roman"/>
          <w:b/>
          <w:color w:val="auto"/>
          <w:sz w:val="32"/>
          <w:szCs w:val="32"/>
          <w:highlight w:val="none"/>
        </w:rPr>
        <w:t>（三）一般公共预算财政拨款支出决算具体情况</w:t>
      </w:r>
      <w:bookmarkEnd w:id="52"/>
      <w:bookmarkEnd w:id="53"/>
    </w:p>
    <w:p w14:paraId="527DF63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54" w:name="_Toc15378460"/>
      <w:bookmarkStart w:id="55" w:name="_Toc15377444"/>
      <w:bookmarkStart w:id="56" w:name="_Toc15377213"/>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265.18</w:t>
      </w:r>
      <w:r>
        <w:rPr>
          <w:rFonts w:hint="default" w:ascii="Times New Roman" w:hAnsi="Times New Roman" w:eastAsia="仿宋_GB2312" w:cs="Times New Roman"/>
          <w:color w:val="auto"/>
          <w:kern w:val="2"/>
          <w:sz w:val="32"/>
          <w:szCs w:val="32"/>
          <w:highlight w:val="none"/>
          <w:lang w:val="en-US" w:eastAsia="zh-CN" w:bidi="ar-SA"/>
        </w:rPr>
        <w:t>，完成预算**%。其中：</w:t>
      </w:r>
      <w:bookmarkEnd w:id="54"/>
      <w:bookmarkEnd w:id="55"/>
      <w:bookmarkEnd w:id="56"/>
    </w:p>
    <w:p w14:paraId="6CBA1FD9">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sz w:val="32"/>
          <w:szCs w:val="32"/>
        </w:rPr>
        <w:t>1.一般公共服务</w:t>
      </w:r>
      <w:r>
        <w:rPr>
          <w:rStyle w:val="17"/>
          <w:rFonts w:hint="default" w:ascii="Times New Roman" w:hAnsi="Times New Roman" w:eastAsia="仿宋" w:cs="Times New Roman"/>
          <w:bCs/>
          <w:sz w:val="32"/>
          <w:szCs w:val="32"/>
          <w:lang w:val="en-US" w:eastAsia="zh-CN"/>
        </w:rPr>
        <w:t>201</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Style w:val="17"/>
          <w:rFonts w:hint="eastAsia" w:eastAsia="仿宋" w:cs="Times New Roman"/>
          <w:b w:val="0"/>
          <w:bCs/>
          <w:sz w:val="32"/>
          <w:szCs w:val="32"/>
          <w:lang w:val="en-US" w:eastAsia="zh-CN"/>
        </w:rPr>
        <w:t>205.29</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77.42</w:t>
      </w:r>
      <w:r>
        <w:rPr>
          <w:rStyle w:val="17"/>
          <w:rFonts w:hint="default" w:ascii="Times New Roman" w:hAnsi="Times New Roman" w:eastAsia="仿宋" w:cs="Times New Roman"/>
          <w:b w:val="0"/>
          <w:bCs/>
          <w:sz w:val="32"/>
          <w:szCs w:val="32"/>
        </w:rPr>
        <w:t>%</w:t>
      </w:r>
      <w:r>
        <w:rPr>
          <w:rStyle w:val="17"/>
          <w:rFonts w:hint="default" w:ascii="Times New Roman" w:hAnsi="Times New Roman" w:eastAsia="仿宋" w:cs="Times New Roman"/>
          <w:b w:val="0"/>
          <w:bCs/>
          <w:sz w:val="32"/>
          <w:szCs w:val="32"/>
          <w:lang w:eastAsia="zh-CN"/>
        </w:rPr>
        <w:t>。</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1FC597A4">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2</w:t>
      </w:r>
      <w:r>
        <w:rPr>
          <w:rStyle w:val="17"/>
          <w:rFonts w:hint="default" w:ascii="Times New Roman" w:hAnsi="Times New Roman" w:eastAsia="仿宋" w:cs="Times New Roman"/>
          <w:bCs/>
          <w:sz w:val="32"/>
          <w:szCs w:val="32"/>
        </w:rPr>
        <w:t>.社会保障和就业</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208</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Fonts w:hint="eastAsia" w:ascii="Times New Roman" w:hAnsi="Times New Roman" w:eastAsia="仿宋_GB2312" w:cs="Times New Roman"/>
          <w:color w:val="auto"/>
          <w:kern w:val="2"/>
          <w:sz w:val="32"/>
          <w:szCs w:val="32"/>
          <w:highlight w:val="none"/>
          <w:lang w:val="en-US" w:eastAsia="zh-CN" w:bidi="ar-SA"/>
        </w:rPr>
        <w:t>32.48</w:t>
      </w:r>
      <w:r>
        <w:rPr>
          <w:rFonts w:hint="default" w:ascii="Times New Roman" w:hAnsi="Times New Roman" w:eastAsia="仿宋_GB2312" w:cs="Times New Roman"/>
          <w:color w:val="auto"/>
          <w:kern w:val="2"/>
          <w:sz w:val="32"/>
          <w:szCs w:val="32"/>
          <w:highlight w:val="none"/>
          <w:lang w:val="en-US" w:eastAsia="zh-CN" w:bidi="ar-SA"/>
        </w:rPr>
        <w:t>万元，占</w:t>
      </w:r>
      <w:r>
        <w:rPr>
          <w:rFonts w:hint="default" w:ascii="Times New Roman" w:hAnsi="Times New Roman" w:eastAsia="仿宋" w:cs="Times New Roman"/>
          <w:sz w:val="32"/>
          <w:szCs w:val="32"/>
        </w:rPr>
        <w:t>，</w:t>
      </w:r>
      <w:r>
        <w:rPr>
          <w:rStyle w:val="17"/>
          <w:rFonts w:hint="default" w:ascii="Times New Roman" w:hAnsi="Times New Roman" w:eastAsia="仿宋" w:cs="Times New Roman"/>
          <w:b w:val="0"/>
          <w:bCs/>
          <w:sz w:val="32"/>
          <w:szCs w:val="32"/>
        </w:rPr>
        <w:t>完成预算</w:t>
      </w:r>
      <w:r>
        <w:rPr>
          <w:rFonts w:hint="eastAsia" w:ascii="Times New Roman" w:hAnsi="Times New Roman" w:eastAsia="仿宋_GB2312" w:cs="Times New Roman"/>
          <w:color w:val="auto"/>
          <w:kern w:val="2"/>
          <w:sz w:val="32"/>
          <w:szCs w:val="32"/>
          <w:highlight w:val="none"/>
          <w:lang w:val="en-US" w:eastAsia="zh-CN" w:bidi="ar-SA"/>
        </w:rPr>
        <w:t>12.25</w:t>
      </w:r>
      <w:r>
        <w:rPr>
          <w:rFonts w:hint="default" w:ascii="Times New Roman" w:hAnsi="Times New Roman" w:eastAsia="仿宋_GB2312" w:cs="Times New Roman"/>
          <w:color w:val="auto"/>
          <w:kern w:val="2"/>
          <w:sz w:val="32"/>
          <w:szCs w:val="32"/>
          <w:highlight w:val="none"/>
          <w:lang w:val="en-US" w:eastAsia="zh-CN" w:bidi="ar-SA"/>
        </w:rPr>
        <w:t>%</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0A5C07D1">
      <w:pPr>
        <w:pageBreakBefore w:val="0"/>
        <w:kinsoku/>
        <w:wordWrap/>
        <w:overflowPunct/>
        <w:topLinePunct w:val="0"/>
        <w:bidi w:val="0"/>
        <w:spacing w:line="576" w:lineRule="exact"/>
        <w:ind w:firstLine="643" w:firstLineChars="200"/>
        <w:rPr>
          <w:rStyle w:val="17"/>
          <w:rFonts w:hint="default" w:ascii="Times New Roman" w:hAnsi="Times New Roman" w:eastAsia="仿宋" w:cs="Times New Roman"/>
          <w:b w:val="0"/>
          <w:bCs/>
          <w:sz w:val="32"/>
          <w:szCs w:val="32"/>
          <w:lang w:eastAsia="zh-CN"/>
        </w:rPr>
      </w:pPr>
      <w:r>
        <w:rPr>
          <w:rStyle w:val="17"/>
          <w:rFonts w:hint="default" w:ascii="Times New Roman" w:hAnsi="Times New Roman" w:eastAsia="仿宋" w:cs="Times New Roman"/>
          <w:bCs/>
          <w:sz w:val="32"/>
          <w:szCs w:val="32"/>
          <w:lang w:val="en-US" w:eastAsia="zh-CN"/>
        </w:rPr>
        <w:t>3</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210：</w:t>
      </w:r>
      <w:r>
        <w:rPr>
          <w:rStyle w:val="17"/>
          <w:rFonts w:hint="default" w:ascii="Times New Roman" w:hAnsi="Times New Roman" w:eastAsia="仿宋" w:cs="Times New Roman"/>
          <w:b w:val="0"/>
          <w:bCs/>
          <w:sz w:val="32"/>
          <w:szCs w:val="32"/>
        </w:rPr>
        <w:t>支出决算为</w:t>
      </w:r>
      <w:r>
        <w:rPr>
          <w:rFonts w:hint="eastAsia" w:eastAsia="仿宋" w:cs="Times New Roman"/>
          <w:b/>
          <w:sz w:val="32"/>
          <w:szCs w:val="32"/>
          <w:lang w:val="en-US" w:eastAsia="zh-CN"/>
        </w:rPr>
        <w:t>11.98</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4.52</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25B33C05">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kern w:val="2"/>
          <w:sz w:val="32"/>
          <w:szCs w:val="32"/>
          <w:lang w:val="en-US" w:eastAsia="zh-CN" w:bidi="ar-SA"/>
        </w:rPr>
        <w:t>4.住房保障支出221：</w:t>
      </w:r>
      <w:r>
        <w:rPr>
          <w:rStyle w:val="35"/>
          <w:rFonts w:hint="default" w:ascii="Times New Roman" w:hAnsi="Times New Roman" w:eastAsia="仿宋_GB2312" w:cs="Times New Roman"/>
          <w:b w:val="0"/>
          <w:bCs/>
          <w:sz w:val="32"/>
          <w:szCs w:val="32"/>
          <w:shd w:val="clear" w:color="auto" w:fill="FFFFFF"/>
        </w:rPr>
        <w:t>支出决算为</w:t>
      </w:r>
      <w:r>
        <w:rPr>
          <w:rFonts w:hint="eastAsia" w:eastAsia="仿宋" w:cs="Times New Roman"/>
          <w:b/>
          <w:sz w:val="32"/>
          <w:szCs w:val="32"/>
          <w:lang w:val="en-US" w:eastAsia="zh-CN"/>
        </w:rPr>
        <w:t>15.42</w:t>
      </w:r>
      <w:r>
        <w:rPr>
          <w:rStyle w:val="35"/>
          <w:rFonts w:hint="default" w:ascii="Times New Roman" w:hAnsi="Times New Roman" w:eastAsia="仿宋_GB2312" w:cs="Times New Roman"/>
          <w:b w:val="0"/>
          <w:bCs/>
          <w:sz w:val="32"/>
          <w:szCs w:val="32"/>
          <w:shd w:val="clear" w:color="auto" w:fill="FFFFFF"/>
        </w:rPr>
        <w:t>万元，完成预算</w:t>
      </w:r>
      <w:r>
        <w:rPr>
          <w:rStyle w:val="35"/>
          <w:rFonts w:hint="eastAsia" w:eastAsia="仿宋_GB2312" w:cs="Times New Roman"/>
          <w:b w:val="0"/>
          <w:bCs/>
          <w:sz w:val="32"/>
          <w:szCs w:val="32"/>
          <w:shd w:val="clear" w:color="auto" w:fill="FFFFFF"/>
          <w:lang w:val="en-US" w:eastAsia="zh-CN"/>
        </w:rPr>
        <w:t>5.81</w:t>
      </w:r>
      <w:r>
        <w:rPr>
          <w:rStyle w:val="35"/>
          <w:rFonts w:hint="default" w:ascii="Times New Roman" w:hAnsi="Times New Roman" w:eastAsia="仿宋_GB2312" w:cs="Times New Roman"/>
          <w:b w:val="0"/>
          <w:bCs/>
          <w:sz w:val="32"/>
          <w:szCs w:val="32"/>
          <w:shd w:val="clear" w:color="auto" w:fill="FFFFFF"/>
        </w:rPr>
        <w:t>%</w:t>
      </w:r>
      <w:r>
        <w:rPr>
          <w:rStyle w:val="35"/>
          <w:rFonts w:hint="default" w:ascii="Times New Roman" w:hAnsi="Times New Roman" w:eastAsia="仿宋_GB2312" w:cs="Times New Roman"/>
          <w:b w:val="0"/>
          <w:bCs/>
          <w:sz w:val="32"/>
          <w:szCs w:val="32"/>
          <w:shd w:val="clear" w:color="auto" w:fill="FFFFFF"/>
          <w:lang w:eastAsia="zh-CN"/>
        </w:rPr>
        <w:t>，</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7B448C5A">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57" w:name="_Toc27567"/>
      <w:bookmarkStart w:id="58" w:name="_Toc15396608"/>
      <w:bookmarkStart w:id="59"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57"/>
      <w:bookmarkEnd w:id="58"/>
      <w:bookmarkEnd w:id="59"/>
      <w:r>
        <w:rPr>
          <w:rStyle w:val="29"/>
          <w:rFonts w:hint="default" w:ascii="Times New Roman" w:hAnsi="Times New Roman" w:eastAsia="黑体" w:cs="Times New Roman"/>
          <w:b w:val="0"/>
          <w:color w:val="auto"/>
          <w:highlight w:val="none"/>
        </w:rPr>
        <w:tab/>
      </w:r>
    </w:p>
    <w:p w14:paraId="3B79B28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222.49</w:t>
      </w:r>
      <w:r>
        <w:rPr>
          <w:rFonts w:hint="default" w:ascii="Times New Roman" w:hAnsi="Times New Roman" w:eastAsia="仿宋_GB2312" w:cs="Times New Roman"/>
          <w:color w:val="auto"/>
          <w:kern w:val="2"/>
          <w:sz w:val="32"/>
          <w:szCs w:val="32"/>
          <w:highlight w:val="none"/>
          <w:lang w:val="en-US" w:eastAsia="zh-CN" w:bidi="ar-SA"/>
        </w:rPr>
        <w:t>万元，其中：</w:t>
      </w:r>
    </w:p>
    <w:p w14:paraId="5FA988A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213.4</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9.09</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万元，主要包括：办公费、印刷费、咨询费、手续费、水费、电费、邮电费、取暖费、差旅费、维修（护）费</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工会经费、福利费、公务用车运行维护费、其他交通费、税金及附加费用、其他商品和服务支出、办公设备购置、专用设备购置、信息网络及软件购置更新、其他资本性支出等。</w:t>
      </w:r>
    </w:p>
    <w:p w14:paraId="15073BEB">
      <w:pPr>
        <w:spacing w:line="600" w:lineRule="exact"/>
        <w:ind w:firstLine="640"/>
        <w:outlineLvl w:val="1"/>
        <w:rPr>
          <w:rStyle w:val="29"/>
          <w:rFonts w:hint="default" w:ascii="Times New Roman" w:hAnsi="Times New Roman" w:eastAsia="黑体" w:cs="Times New Roman"/>
          <w:b w:val="0"/>
          <w:color w:val="auto"/>
          <w:highlight w:val="none"/>
        </w:rPr>
      </w:pPr>
      <w:bookmarkStart w:id="60" w:name="_Toc27"/>
      <w:bookmarkStart w:id="61" w:name="_Toc15396609"/>
      <w:bookmarkStart w:id="62" w:name="_Toc15377215"/>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60"/>
      <w:bookmarkEnd w:id="61"/>
      <w:bookmarkEnd w:id="62"/>
    </w:p>
    <w:p w14:paraId="7B57C6D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3" w:name="_Toc15377216"/>
      <w:bookmarkStart w:id="64" w:name="_Toc11854"/>
      <w:r>
        <w:rPr>
          <w:rFonts w:hint="default" w:ascii="Times New Roman" w:hAnsi="Times New Roman" w:eastAsia="楷体_GB2312" w:cs="Times New Roman"/>
          <w:b/>
          <w:color w:val="auto"/>
          <w:sz w:val="32"/>
          <w:szCs w:val="32"/>
          <w:highlight w:val="none"/>
        </w:rPr>
        <w:t>（一）“三公”经费财政拨款支出决算总体情况说明</w:t>
      </w:r>
      <w:bookmarkEnd w:id="63"/>
      <w:bookmarkEnd w:id="64"/>
    </w:p>
    <w:p w14:paraId="1C31C59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w:t>
      </w:r>
      <w:r>
        <w:rPr>
          <w:rFonts w:hint="eastAsia" w:ascii="Times New Roman" w:hAnsi="Times New Roman" w:eastAsia="仿宋_GB2312" w:cs="Times New Roman"/>
          <w:color w:val="auto"/>
          <w:kern w:val="2"/>
          <w:sz w:val="32"/>
          <w:szCs w:val="32"/>
          <w:highlight w:val="none"/>
          <w:lang w:val="en-US" w:eastAsia="zh-CN" w:bidi="ar-SA"/>
        </w:rPr>
        <w:t>持平。</w:t>
      </w:r>
    </w:p>
    <w:p w14:paraId="5A60970B">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5" w:name="_Toc15377217"/>
      <w:bookmarkStart w:id="66" w:name="_Toc10044"/>
      <w:r>
        <w:rPr>
          <w:rFonts w:hint="default" w:ascii="Times New Roman" w:hAnsi="Times New Roman" w:eastAsia="楷体_GB2312" w:cs="Times New Roman"/>
          <w:b/>
          <w:color w:val="auto"/>
          <w:sz w:val="32"/>
          <w:szCs w:val="32"/>
          <w:highlight w:val="none"/>
        </w:rPr>
        <w:t>（二）“三公”经费财政拨款支出决算具体情况说明</w:t>
      </w:r>
      <w:bookmarkEnd w:id="65"/>
      <w:bookmarkEnd w:id="66"/>
    </w:p>
    <w:p w14:paraId="3163035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449580</wp:posOffset>
            </wp:positionH>
            <wp:positionV relativeFrom="paragraph">
              <wp:posOffset>1546860</wp:posOffset>
            </wp:positionV>
            <wp:extent cx="5256530" cy="2988310"/>
            <wp:effectExtent l="5080" t="4445" r="15240" b="17145"/>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万元；公务用车运行维护费支出决算</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万元。具体情况如下：</w:t>
      </w:r>
    </w:p>
    <w:p w14:paraId="48C037F8">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4BAE3831">
      <w:pPr>
        <w:numPr>
          <w:ilvl w:val="0"/>
          <w:numId w:val="1"/>
        </w:num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因公出国（境）经费支出</w:t>
      </w:r>
      <w:r>
        <w:rPr>
          <w:rFonts w:hint="eastAsia" w:ascii="Times New Roman" w:hAnsi="Times New Roman"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eastAsia" w:ascii="Times New Roman" w:hAnsi="Times New Roman"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人。因公出国（境）支出决算比2023年</w:t>
      </w:r>
      <w:r>
        <w:rPr>
          <w:rFonts w:hint="eastAsia" w:ascii="Times New Roman" w:hAnsi="Times New Roman" w:eastAsia="仿宋_GB2312" w:cs="Times New Roman"/>
          <w:color w:val="auto"/>
          <w:kern w:val="2"/>
          <w:sz w:val="32"/>
          <w:szCs w:val="32"/>
          <w:highlight w:val="none"/>
          <w:lang w:val="en-US" w:eastAsia="zh-CN" w:bidi="ar-SA"/>
        </w:rPr>
        <w:t>持平。</w:t>
      </w:r>
    </w:p>
    <w:p w14:paraId="32184C80">
      <w:pPr>
        <w:numPr>
          <w:ilvl w:val="0"/>
          <w:numId w:val="1"/>
        </w:numPr>
        <w:spacing w:line="600" w:lineRule="exact"/>
        <w:ind w:left="0" w:leftChars="0" w:firstLine="640" w:firstLineChars="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公务用车购置及运行维护费支出3.14万元，完成预算</w:t>
      </w:r>
      <w:r>
        <w:rPr>
          <w:rFonts w:hint="eastAsia" w:ascii="Times New Roman" w:hAnsi="Times New Roman"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w:t>
      </w:r>
      <w:r>
        <w:rPr>
          <w:rFonts w:hint="eastAsia" w:ascii="Times New Roman" w:hAnsi="Times New Roman" w:eastAsia="仿宋_GB2312" w:cs="Times New Roman"/>
          <w:color w:val="auto"/>
          <w:kern w:val="2"/>
          <w:sz w:val="32"/>
          <w:szCs w:val="32"/>
          <w:highlight w:val="none"/>
          <w:lang w:val="en-US" w:eastAsia="zh-CN" w:bidi="ar-SA"/>
        </w:rPr>
        <w:t>持平。</w:t>
      </w: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辆。截至2024年12月31日，单位共有公务用车</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辆，其中：越野车</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辆。</w:t>
      </w:r>
    </w:p>
    <w:p w14:paraId="30F9C11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eastAsia" w:ascii="Times New Roman" w:hAnsi="Times New Roman" w:eastAsia="仿宋_GB2312" w:cs="Times New Roman"/>
          <w:color w:val="auto"/>
          <w:kern w:val="2"/>
          <w:sz w:val="32"/>
          <w:szCs w:val="32"/>
          <w:highlight w:val="none"/>
          <w:lang w:val="en-US" w:eastAsia="zh-CN" w:bidi="ar-SA"/>
        </w:rPr>
        <w:t>审计业务</w:t>
      </w:r>
      <w:r>
        <w:rPr>
          <w:rFonts w:hint="default" w:ascii="Times New Roman" w:hAnsi="Times New Roman" w:eastAsia="仿宋_GB2312" w:cs="Times New Roman"/>
          <w:color w:val="auto"/>
          <w:kern w:val="2"/>
          <w:sz w:val="32"/>
          <w:szCs w:val="32"/>
          <w:highlight w:val="none"/>
          <w:lang w:val="en-US" w:eastAsia="zh-CN" w:bidi="ar-SA"/>
        </w:rPr>
        <w:t>所需的公务用车燃料费、维修费、过路过桥费、保险费等支出。</w:t>
      </w:r>
    </w:p>
    <w:p w14:paraId="35AA74B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w:t>
      </w:r>
      <w:r>
        <w:rPr>
          <w:rFonts w:hint="default" w:ascii="Times New Roman" w:hAnsi="Times New Roman" w:eastAsia="仿宋_GB2312" w:cs="Times New Roman"/>
          <w:color w:val="auto"/>
          <w:kern w:val="2"/>
          <w:sz w:val="32"/>
          <w:szCs w:val="32"/>
          <w:highlight w:val="none"/>
          <w:lang w:val="en-US" w:eastAsia="zh-CN" w:bidi="ar-SA"/>
        </w:rPr>
        <w:t>公务接待费支出决算比2023年度</w:t>
      </w:r>
      <w:r>
        <w:rPr>
          <w:rFonts w:hint="eastAsia" w:ascii="Times New Roman" w:hAnsi="Times New Roman" w:eastAsia="仿宋_GB2312" w:cs="Times New Roman"/>
          <w:color w:val="auto"/>
          <w:kern w:val="2"/>
          <w:sz w:val="32"/>
          <w:szCs w:val="32"/>
          <w:highlight w:val="none"/>
          <w:lang w:val="en-US" w:eastAsia="zh-CN" w:bidi="ar-SA"/>
        </w:rPr>
        <w:t>持平。</w:t>
      </w:r>
    </w:p>
    <w:p w14:paraId="54DF5863">
      <w:pPr>
        <w:spacing w:line="600" w:lineRule="exact"/>
        <w:ind w:firstLine="640"/>
        <w:outlineLvl w:val="1"/>
        <w:rPr>
          <w:rStyle w:val="29"/>
          <w:rFonts w:hint="default" w:ascii="Times New Roman" w:hAnsi="Times New Roman" w:eastAsia="黑体" w:cs="Times New Roman"/>
          <w:color w:val="auto"/>
          <w:highlight w:val="none"/>
        </w:rPr>
      </w:pPr>
      <w:bookmarkStart w:id="67" w:name="_Toc15377218"/>
      <w:bookmarkStart w:id="68" w:name="_Toc15396610"/>
      <w:bookmarkStart w:id="69" w:name="_Toc8209"/>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67"/>
      <w:bookmarkEnd w:id="68"/>
      <w:bookmarkEnd w:id="69"/>
    </w:p>
    <w:p w14:paraId="1AC1458A">
      <w:pPr>
        <w:bidi w:val="0"/>
        <w:ind w:firstLine="640" w:firstLineChars="200"/>
        <w:rPr>
          <w:rFonts w:hint="default" w:ascii="Times New Roman" w:hAnsi="Times New Roman" w:eastAsia="仿宋_GB2312" w:cs="Times New Roman"/>
          <w:sz w:val="32"/>
          <w:szCs w:val="32"/>
          <w:lang w:val="en-US" w:eastAsia="zh-CN"/>
        </w:rPr>
      </w:pPr>
      <w:bookmarkStart w:id="70" w:name="_Toc25349"/>
      <w:r>
        <w:rPr>
          <w:rFonts w:hint="default" w:ascii="Times New Roman" w:hAnsi="Times New Roman" w:eastAsia="仿宋_GB2312" w:cs="Times New Roman"/>
          <w:sz w:val="32"/>
          <w:szCs w:val="32"/>
          <w:lang w:val="en-US" w:eastAsia="zh-CN"/>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万元。</w:t>
      </w:r>
      <w:bookmarkEnd w:id="70"/>
    </w:p>
    <w:p w14:paraId="2F2F535C">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71" w:name="_Toc15377219"/>
      <w:bookmarkStart w:id="72" w:name="_Toc15396611"/>
      <w:bookmarkStart w:id="73" w:name="_Toc37"/>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71"/>
      <w:bookmarkEnd w:id="72"/>
      <w:bookmarkEnd w:id="73"/>
    </w:p>
    <w:p w14:paraId="569C6E4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p>
    <w:p w14:paraId="2579C33E">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74" w:name="_Toc15396612"/>
      <w:bookmarkStart w:id="75" w:name="_Toc15377221"/>
      <w:bookmarkStart w:id="76" w:name="_Toc24541"/>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74"/>
      <w:bookmarkEnd w:id="75"/>
      <w:bookmarkEnd w:id="76"/>
    </w:p>
    <w:p w14:paraId="4C5B324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7" w:name="_Toc15377222"/>
      <w:bookmarkStart w:id="78" w:name="_Toc25036"/>
      <w:r>
        <w:rPr>
          <w:rFonts w:hint="default" w:ascii="Times New Roman" w:hAnsi="Times New Roman" w:eastAsia="楷体_GB2312" w:cs="Times New Roman"/>
          <w:b/>
          <w:color w:val="auto"/>
          <w:sz w:val="32"/>
          <w:szCs w:val="32"/>
          <w:highlight w:val="none"/>
        </w:rPr>
        <w:t>（一）机关运行经费支出情况</w:t>
      </w:r>
      <w:bookmarkEnd w:id="77"/>
      <w:bookmarkEnd w:id="78"/>
    </w:p>
    <w:p w14:paraId="0BC1F89A">
      <w:pPr>
        <w:bidi w:val="0"/>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松潘县审计局本级</w:t>
      </w:r>
      <w:r>
        <w:rPr>
          <w:rFonts w:hint="default" w:ascii="Times New Roman" w:hAnsi="Times New Roman" w:eastAsia="仿宋_GB2312" w:cs="Times New Roman"/>
          <w:sz w:val="32"/>
          <w:szCs w:val="32"/>
          <w:lang w:val="en-US" w:eastAsia="zh-CN"/>
        </w:rPr>
        <w:t>机关运行经费支出</w:t>
      </w:r>
      <w:r>
        <w:rPr>
          <w:rFonts w:hint="default" w:ascii="Times New Roman" w:hAnsi="Times New Roman" w:eastAsia="仿宋_GB2312" w:cs="Times New Roman"/>
          <w:sz w:val="32"/>
          <w:szCs w:val="32"/>
        </w:rPr>
        <w:t>9.09</w:t>
      </w:r>
      <w:r>
        <w:rPr>
          <w:rFonts w:hint="default" w:ascii="Times New Roman" w:hAnsi="Times New Roman" w:eastAsia="仿宋_GB2312" w:cs="Times New Roman"/>
          <w:sz w:val="32"/>
          <w:szCs w:val="32"/>
          <w:lang w:val="en-US" w:eastAsia="zh-CN"/>
        </w:rPr>
        <w:t>万元，比2023年度减少1.24万元，下降12%。主要原因是</w:t>
      </w:r>
      <w:bookmarkStart w:id="79" w:name="_Toc15377223"/>
      <w:r>
        <w:rPr>
          <w:rFonts w:hint="default" w:ascii="Times New Roman" w:hAnsi="Times New Roman" w:eastAsia="仿宋_GB2312" w:cs="Times New Roman"/>
          <w:sz w:val="32"/>
          <w:szCs w:val="32"/>
          <w:lang w:val="en-US" w:eastAsia="zh-CN"/>
        </w:rPr>
        <w:t>人员变动。</w:t>
      </w:r>
    </w:p>
    <w:p w14:paraId="2ABC72AB">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80" w:name="_Toc21997"/>
      <w:r>
        <w:rPr>
          <w:rFonts w:hint="default" w:ascii="Times New Roman" w:hAnsi="Times New Roman" w:eastAsia="楷体_GB2312" w:cs="Times New Roman"/>
          <w:b/>
          <w:color w:val="auto"/>
          <w:sz w:val="32"/>
          <w:szCs w:val="32"/>
          <w:highlight w:val="none"/>
        </w:rPr>
        <w:t>（二）政府采购支出情况</w:t>
      </w:r>
      <w:bookmarkEnd w:id="79"/>
      <w:bookmarkEnd w:id="80"/>
    </w:p>
    <w:p w14:paraId="24EDB72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松潘县审计局本级</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w:t>
      </w:r>
    </w:p>
    <w:p w14:paraId="7BA4ECB6">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81" w:name="_Toc15377224"/>
      <w:bookmarkStart w:id="82" w:name="_Toc13357"/>
      <w:r>
        <w:rPr>
          <w:rFonts w:hint="default" w:ascii="Times New Roman" w:hAnsi="Times New Roman" w:eastAsia="楷体_GB2312" w:cs="Times New Roman"/>
          <w:b/>
          <w:color w:val="auto"/>
          <w:sz w:val="32"/>
          <w:szCs w:val="32"/>
          <w:highlight w:val="none"/>
        </w:rPr>
        <w:t>（三）国有资产占有使用情况</w:t>
      </w:r>
      <w:bookmarkEnd w:id="81"/>
      <w:bookmarkEnd w:id="82"/>
    </w:p>
    <w:p w14:paraId="508A757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松潘县审计局本级</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辆，其中：其他用车</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eastAsia" w:eastAsia="仿宋_GB2312" w:cs="Times New Roman"/>
          <w:color w:val="auto"/>
          <w:kern w:val="2"/>
          <w:sz w:val="32"/>
          <w:szCs w:val="32"/>
          <w:highlight w:val="none"/>
          <w:lang w:val="en-US" w:eastAsia="zh-CN" w:bidi="ar-SA"/>
        </w:rPr>
        <w:t>主要</w:t>
      </w:r>
      <w:r>
        <w:rPr>
          <w:rFonts w:hint="default" w:ascii="Times New Roman" w:hAnsi="Times New Roman" w:eastAsia="仿宋_GB2312" w:cs="Times New Roman"/>
          <w:color w:val="auto"/>
          <w:kern w:val="2"/>
          <w:sz w:val="32"/>
          <w:szCs w:val="32"/>
          <w:highlight w:val="none"/>
          <w:lang w:val="en-US" w:eastAsia="zh-CN" w:bidi="ar-SA"/>
        </w:rPr>
        <w:t>用于</w:t>
      </w:r>
      <w:r>
        <w:rPr>
          <w:rFonts w:hint="eastAsia" w:ascii="Times New Roman" w:hAnsi="Times New Roman" w:eastAsia="仿宋_GB2312" w:cs="Times New Roman"/>
          <w:color w:val="auto"/>
          <w:kern w:val="2"/>
          <w:sz w:val="32"/>
          <w:szCs w:val="32"/>
          <w:highlight w:val="none"/>
          <w:lang w:val="en-US" w:eastAsia="zh-CN" w:bidi="ar-SA"/>
        </w:rPr>
        <w:t>审计业务用车</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7CE20D01">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83" w:name="_Toc15377225"/>
      <w:bookmarkStart w:id="84" w:name="_Toc15396613"/>
    </w:p>
    <w:p w14:paraId="5C32ACE4">
      <w:pPr>
        <w:pStyle w:val="2"/>
        <w:bidi w:val="0"/>
        <w:jc w:val="center"/>
        <w:rPr>
          <w:rFonts w:hint="eastAsia" w:ascii="方正小标宋简体" w:hAnsi="方正小标宋简体" w:eastAsia="方正小标宋简体" w:cs="方正小标宋简体"/>
          <w:b w:val="0"/>
          <w:bCs w:val="0"/>
        </w:rPr>
      </w:pPr>
      <w:bookmarkStart w:id="85" w:name="_Toc12342"/>
      <w:r>
        <w:rPr>
          <w:rFonts w:hint="eastAsia" w:ascii="方正小标宋简体" w:hAnsi="方正小标宋简体" w:eastAsia="方正小标宋简体" w:cs="方正小标宋简体"/>
          <w:b w:val="0"/>
          <w:bCs w:val="0"/>
        </w:rPr>
        <w:t>第</w:t>
      </w:r>
      <w:r>
        <w:rPr>
          <w:rFonts w:hint="eastAsia" w:ascii="方正小标宋简体" w:hAnsi="方正小标宋简体" w:eastAsia="方正小标宋简体" w:cs="方正小标宋简体"/>
          <w:b w:val="0"/>
          <w:bCs w:val="0"/>
          <w:lang w:eastAsia="zh-CN"/>
        </w:rPr>
        <w:t>三</w:t>
      </w:r>
      <w:r>
        <w:rPr>
          <w:rFonts w:hint="eastAsia" w:ascii="方正小标宋简体" w:hAnsi="方正小标宋简体" w:eastAsia="方正小标宋简体" w:cs="方正小标宋简体"/>
          <w:b w:val="0"/>
          <w:bCs w:val="0"/>
        </w:rPr>
        <w:t>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bookmarkEnd w:id="83"/>
      <w:bookmarkEnd w:id="84"/>
      <w:bookmarkEnd w:id="85"/>
    </w:p>
    <w:p w14:paraId="2590F3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103466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86" w:name="_Toc23751"/>
      <w:bookmarkStart w:id="87" w:name="_Toc15377226"/>
      <w:r>
        <w:rPr>
          <w:rFonts w:hint="default" w:ascii="Times New Roman" w:hAnsi="Times New Roman" w:eastAsia="仿宋_GB2312" w:cs="Times New Roman"/>
          <w:sz w:val="32"/>
          <w:szCs w:val="32"/>
        </w:rPr>
        <w:t>1.财政拨款收入：指单位从同级财政部门取得的财政预算资金。</w:t>
      </w:r>
      <w:bookmarkEnd w:id="86"/>
    </w:p>
    <w:p w14:paraId="563192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14B16E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7FEEBB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4.其他收入：指单位取得的除上述收入以外的各项收入。5.使用非财政拨款结余：指事业单位使用以前年度积累的非财政拨款结余弥补当年收支差额的金额。</w:t>
      </w:r>
    </w:p>
    <w:p w14:paraId="0102C9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6.年初结转和结余：指以前年度尚未完成、结转到本年按有关规定继续使用的资金。</w:t>
      </w:r>
    </w:p>
    <w:p w14:paraId="35E4FA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23E008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8.</w:t>
      </w:r>
      <w:r>
        <w:rPr>
          <w:rFonts w:hint="default" w:ascii="Times New Roman" w:hAnsi="Times New Roman" w:eastAsia="仿宋_GB2312" w:cs="Times New Roman"/>
          <w:sz w:val="32"/>
          <w:szCs w:val="32"/>
        </w:rPr>
        <w:t>年末结转和结余：指单位按有关规定结转到下年或以后年度继续使用的资金。</w:t>
      </w:r>
    </w:p>
    <w:p w14:paraId="54E619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9.一般公共服务201：指审计行政事务运行，审计事务一般行政管理事务。</w:t>
      </w:r>
    </w:p>
    <w:p w14:paraId="4E1781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社会保障和就业208：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118BD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bookmarkStart w:id="88" w:name="_Toc773"/>
      <w:r>
        <w:rPr>
          <w:rFonts w:hint="default" w:ascii="Times New Roman" w:hAnsi="Times New Roman" w:eastAsia="仿宋_GB2312" w:cs="Times New Roman"/>
          <w:sz w:val="32"/>
          <w:szCs w:val="32"/>
        </w:rPr>
        <w:t>11住房保障221：</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职工的住房公积金。</w:t>
      </w:r>
      <w:bookmarkEnd w:id="88"/>
    </w:p>
    <w:p w14:paraId="04A5DA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12.基本支出：指为保障机构正常运转、完成日常工作任务而发生的人员支出和公用支出。</w:t>
      </w:r>
    </w:p>
    <w:p w14:paraId="745476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13.项目支出：指在基本支出之外为完成特定行政任务和事业发展目标所发生的支出。</w:t>
      </w:r>
    </w:p>
    <w:p w14:paraId="2BE0ED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14.经营支出：指事业单位在专业业务活动及其辅助活动之外开展非独立核算经营活动发生的支出。</w:t>
      </w:r>
    </w:p>
    <w:p w14:paraId="28EF23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7CE8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4D41DF">
      <w:pPr>
        <w:pageBreakBefore w:val="0"/>
        <w:kinsoku/>
        <w:wordWrap/>
        <w:overflowPunct/>
        <w:topLinePunct w:val="0"/>
        <w:bidi w:val="0"/>
        <w:spacing w:line="576" w:lineRule="exact"/>
        <w:jc w:val="center"/>
        <w:outlineLvl w:val="9"/>
        <w:rPr>
          <w:rFonts w:hint="default" w:ascii="Times New Roman" w:hAnsi="Times New Roman" w:cs="Times New Roman"/>
          <w:b/>
          <w:sz w:val="44"/>
          <w:szCs w:val="44"/>
        </w:rPr>
      </w:pPr>
    </w:p>
    <w:p w14:paraId="2B036D78">
      <w:pPr>
        <w:pageBreakBefore w:val="0"/>
        <w:kinsoku/>
        <w:wordWrap/>
        <w:overflowPunct/>
        <w:topLinePunct w:val="0"/>
        <w:bidi w:val="0"/>
        <w:spacing w:line="576" w:lineRule="exact"/>
        <w:jc w:val="center"/>
        <w:outlineLvl w:val="9"/>
        <w:rPr>
          <w:rFonts w:hint="default" w:ascii="Times New Roman" w:hAnsi="Times New Roman" w:cs="Times New Roman"/>
          <w:b/>
          <w:sz w:val="44"/>
          <w:szCs w:val="44"/>
        </w:rPr>
      </w:pPr>
    </w:p>
    <w:p w14:paraId="4C6168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br w:type="page"/>
      </w:r>
      <w:bookmarkStart w:id="89" w:name="_Toc15396618"/>
    </w:p>
    <w:p w14:paraId="085F2163">
      <w:pPr>
        <w:pStyle w:val="2"/>
        <w:bidi w:val="0"/>
        <w:jc w:val="center"/>
        <w:rPr>
          <w:rFonts w:hint="eastAsia" w:ascii="方正小标宋简体" w:hAnsi="方正小标宋简体" w:eastAsia="方正小标宋简体" w:cs="方正小标宋简体"/>
          <w:b w:val="0"/>
          <w:bCs w:val="0"/>
        </w:rPr>
      </w:pPr>
      <w:bookmarkStart w:id="90" w:name="_Toc25516"/>
      <w:r>
        <w:rPr>
          <w:rFonts w:hint="eastAsia" w:ascii="方正小标宋简体" w:hAnsi="方正小标宋简体" w:eastAsia="方正小标宋简体" w:cs="方正小标宋简体"/>
          <w:b w:val="0"/>
          <w:bCs w:val="0"/>
        </w:rPr>
        <w:t>第五部分 附表</w:t>
      </w:r>
      <w:bookmarkEnd w:id="87"/>
      <w:bookmarkEnd w:id="89"/>
      <w:bookmarkEnd w:id="90"/>
      <w:bookmarkStart w:id="91" w:name="_Toc15396619"/>
    </w:p>
    <w:p w14:paraId="44A9D1D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1286D4D6">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92" w:name="_Toc20167"/>
      <w:r>
        <w:rPr>
          <w:rFonts w:hint="eastAsia" w:ascii="仿宋_GB2312" w:hAnsi="仿宋_GB2312" w:eastAsia="仿宋_GB2312" w:cs="仿宋_GB2312"/>
          <w:b w:val="0"/>
          <w:bCs w:val="0"/>
        </w:rPr>
        <w:t>一、收入支出决算总表</w:t>
      </w:r>
      <w:bookmarkEnd w:id="91"/>
      <w:bookmarkEnd w:id="92"/>
    </w:p>
    <w:p w14:paraId="7CBC8CD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93" w:name="_Toc18545"/>
      <w:bookmarkStart w:id="94" w:name="_Toc15396620"/>
      <w:r>
        <w:rPr>
          <w:rFonts w:hint="eastAsia" w:ascii="仿宋_GB2312" w:hAnsi="仿宋_GB2312" w:eastAsia="仿宋_GB2312" w:cs="仿宋_GB2312"/>
          <w:b w:val="0"/>
          <w:bCs w:val="0"/>
        </w:rPr>
        <w:t>二、收入决算表</w:t>
      </w:r>
      <w:bookmarkEnd w:id="93"/>
      <w:bookmarkEnd w:id="94"/>
    </w:p>
    <w:p w14:paraId="6637F5C8">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95" w:name="_Toc15396621"/>
      <w:bookmarkStart w:id="96" w:name="_Toc2097"/>
      <w:r>
        <w:rPr>
          <w:rFonts w:hint="eastAsia" w:ascii="仿宋_GB2312" w:hAnsi="仿宋_GB2312" w:eastAsia="仿宋_GB2312" w:cs="仿宋_GB2312"/>
          <w:b w:val="0"/>
          <w:bCs w:val="0"/>
        </w:rPr>
        <w:t>三、支出决算表</w:t>
      </w:r>
      <w:bookmarkEnd w:id="95"/>
      <w:bookmarkEnd w:id="96"/>
    </w:p>
    <w:p w14:paraId="12407EE4">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97" w:name="_Toc27050"/>
      <w:bookmarkStart w:id="98" w:name="_Toc15396622"/>
      <w:r>
        <w:rPr>
          <w:rFonts w:hint="eastAsia" w:ascii="仿宋_GB2312" w:hAnsi="仿宋_GB2312" w:eastAsia="仿宋_GB2312" w:cs="仿宋_GB2312"/>
          <w:b w:val="0"/>
          <w:bCs w:val="0"/>
        </w:rPr>
        <w:t>四、财政拨款收入支出决算总表</w:t>
      </w:r>
      <w:bookmarkEnd w:id="97"/>
      <w:bookmarkEnd w:id="98"/>
    </w:p>
    <w:p w14:paraId="60579E31">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99" w:name="_Toc15396623"/>
      <w:bookmarkStart w:id="100" w:name="_Toc11843"/>
      <w:r>
        <w:rPr>
          <w:rFonts w:hint="eastAsia" w:ascii="仿宋_GB2312" w:hAnsi="仿宋_GB2312" w:eastAsia="仿宋_GB2312" w:cs="仿宋_GB2312"/>
          <w:b w:val="0"/>
          <w:bCs w:val="0"/>
        </w:rPr>
        <w:t>五、财政拨款支出决算明细表</w:t>
      </w:r>
      <w:bookmarkEnd w:id="99"/>
      <w:bookmarkEnd w:id="100"/>
      <w:bookmarkStart w:id="101" w:name="_Toc15396624"/>
    </w:p>
    <w:p w14:paraId="3AD25A2D">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02" w:name="_Toc986"/>
      <w:r>
        <w:rPr>
          <w:rFonts w:hint="eastAsia" w:ascii="仿宋_GB2312" w:hAnsi="仿宋_GB2312" w:eastAsia="仿宋_GB2312" w:cs="仿宋_GB2312"/>
          <w:b w:val="0"/>
          <w:bCs w:val="0"/>
        </w:rPr>
        <w:t>六、一般公共预算财政拨款支出决算表</w:t>
      </w:r>
      <w:bookmarkEnd w:id="101"/>
      <w:bookmarkEnd w:id="102"/>
    </w:p>
    <w:p w14:paraId="57BF76C9">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03" w:name="_Toc15776"/>
      <w:bookmarkStart w:id="104" w:name="_Toc15396625"/>
      <w:r>
        <w:rPr>
          <w:rFonts w:hint="eastAsia" w:ascii="仿宋_GB2312" w:hAnsi="仿宋_GB2312" w:eastAsia="仿宋_GB2312" w:cs="仿宋_GB2312"/>
          <w:b w:val="0"/>
          <w:bCs w:val="0"/>
        </w:rPr>
        <w:t>七、一般公共预算财政拨款支出决算明细表</w:t>
      </w:r>
      <w:bookmarkEnd w:id="103"/>
      <w:bookmarkEnd w:id="104"/>
    </w:p>
    <w:p w14:paraId="46ECAC30">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05" w:name="_Toc15396626"/>
      <w:bookmarkStart w:id="106" w:name="_Toc12956"/>
      <w:r>
        <w:rPr>
          <w:rFonts w:hint="eastAsia" w:ascii="仿宋_GB2312" w:hAnsi="仿宋_GB2312" w:eastAsia="仿宋_GB2312" w:cs="仿宋_GB2312"/>
          <w:b w:val="0"/>
          <w:bCs w:val="0"/>
        </w:rPr>
        <w:t>八、一般公共预算财政拨款基本支出决算表</w:t>
      </w:r>
      <w:bookmarkEnd w:id="105"/>
      <w:bookmarkEnd w:id="106"/>
    </w:p>
    <w:p w14:paraId="3D6E3D60">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07" w:name="_Toc15396627"/>
      <w:bookmarkStart w:id="108" w:name="_Toc14066"/>
      <w:r>
        <w:rPr>
          <w:rFonts w:hint="eastAsia" w:ascii="仿宋_GB2312" w:hAnsi="仿宋_GB2312" w:eastAsia="仿宋_GB2312" w:cs="仿宋_GB2312"/>
          <w:b w:val="0"/>
          <w:bCs w:val="0"/>
        </w:rPr>
        <w:t>九、一般公共预算财政拨款项目支出决算表</w:t>
      </w:r>
      <w:bookmarkEnd w:id="107"/>
      <w:bookmarkEnd w:id="108"/>
    </w:p>
    <w:p w14:paraId="21BE92E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09" w:name="_Toc15396628"/>
      <w:bookmarkStart w:id="110" w:name="_Toc24962"/>
      <w:r>
        <w:rPr>
          <w:rFonts w:hint="eastAsia" w:ascii="仿宋_GB2312" w:hAnsi="仿宋_GB2312" w:eastAsia="仿宋_GB2312" w:cs="仿宋_GB2312"/>
          <w:b w:val="0"/>
          <w:bCs w:val="0"/>
        </w:rPr>
        <w:t>十、</w:t>
      </w:r>
      <w:bookmarkEnd w:id="109"/>
      <w:r>
        <w:rPr>
          <w:rFonts w:hint="eastAsia" w:ascii="仿宋_GB2312" w:hAnsi="仿宋_GB2312" w:eastAsia="仿宋_GB2312" w:cs="仿宋_GB2312"/>
          <w:b w:val="0"/>
          <w:bCs w:val="0"/>
        </w:rPr>
        <w:t>政府性基金预算财政拨款收入支出决算表</w:t>
      </w:r>
      <w:bookmarkEnd w:id="110"/>
    </w:p>
    <w:p w14:paraId="6CA9BB80">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1" w:name="_Toc15396629"/>
      <w:bookmarkStart w:id="112" w:name="_Toc22218"/>
      <w:r>
        <w:rPr>
          <w:rFonts w:hint="eastAsia" w:ascii="仿宋_GB2312" w:hAnsi="仿宋_GB2312" w:eastAsia="仿宋_GB2312" w:cs="仿宋_GB2312"/>
          <w:b w:val="0"/>
          <w:bCs w:val="0"/>
        </w:rPr>
        <w:t>十一、</w:t>
      </w:r>
      <w:bookmarkEnd w:id="111"/>
      <w:r>
        <w:rPr>
          <w:rFonts w:hint="eastAsia" w:ascii="仿宋_GB2312" w:hAnsi="仿宋_GB2312" w:eastAsia="仿宋_GB2312" w:cs="仿宋_GB2312"/>
          <w:b w:val="0"/>
          <w:bCs w:val="0"/>
        </w:rPr>
        <w:t>国有资本经营预算</w:t>
      </w:r>
      <w:r>
        <w:rPr>
          <w:rFonts w:hint="eastAsia" w:ascii="仿宋_GB2312" w:hAnsi="仿宋_GB2312" w:eastAsia="仿宋_GB2312" w:cs="仿宋_GB2312"/>
          <w:b w:val="0"/>
          <w:bCs w:val="0"/>
          <w:lang w:eastAsia="zh-CN"/>
        </w:rPr>
        <w:t>财政拨款收入</w:t>
      </w:r>
      <w:r>
        <w:rPr>
          <w:rFonts w:hint="eastAsia" w:ascii="仿宋_GB2312" w:hAnsi="仿宋_GB2312" w:eastAsia="仿宋_GB2312" w:cs="仿宋_GB2312"/>
          <w:b w:val="0"/>
          <w:bCs w:val="0"/>
        </w:rPr>
        <w:t>支出决算表</w:t>
      </w:r>
      <w:bookmarkEnd w:id="112"/>
    </w:p>
    <w:p w14:paraId="5B067F5D">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3" w:name="_Toc15396630"/>
      <w:bookmarkStart w:id="114" w:name="_Toc1278"/>
      <w:r>
        <w:rPr>
          <w:rFonts w:hint="eastAsia" w:ascii="仿宋_GB2312" w:hAnsi="仿宋_GB2312" w:eastAsia="仿宋_GB2312" w:cs="仿宋_GB2312"/>
          <w:b w:val="0"/>
          <w:bCs w:val="0"/>
        </w:rPr>
        <w:t>十二、</w:t>
      </w:r>
      <w:bookmarkEnd w:id="113"/>
      <w:r>
        <w:rPr>
          <w:rFonts w:hint="eastAsia" w:ascii="仿宋_GB2312" w:hAnsi="仿宋_GB2312" w:eastAsia="仿宋_GB2312" w:cs="仿宋_GB2312"/>
          <w:b w:val="0"/>
          <w:bCs w:val="0"/>
          <w:lang w:eastAsia="zh-CN"/>
        </w:rPr>
        <w:t>国有资本经营预算财政拨款支出决算表</w:t>
      </w:r>
      <w:bookmarkEnd w:id="114"/>
    </w:p>
    <w:p w14:paraId="199A0001">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lang w:eastAsia="zh-CN"/>
        </w:rPr>
      </w:pPr>
      <w:bookmarkStart w:id="115" w:name="_Toc15396631"/>
      <w:bookmarkStart w:id="116" w:name="_Toc18796"/>
      <w:r>
        <w:rPr>
          <w:rFonts w:hint="eastAsia" w:ascii="仿宋_GB2312" w:hAnsi="仿宋_GB2312" w:eastAsia="仿宋_GB2312" w:cs="仿宋_GB2312"/>
          <w:b w:val="0"/>
          <w:bCs w:val="0"/>
        </w:rPr>
        <w:t>十三、</w:t>
      </w:r>
      <w:bookmarkEnd w:id="115"/>
      <w:r>
        <w:rPr>
          <w:rFonts w:hint="eastAsia" w:ascii="仿宋_GB2312" w:hAnsi="仿宋_GB2312" w:eastAsia="仿宋_GB2312" w:cs="仿宋_GB2312"/>
          <w:b w:val="0"/>
          <w:bCs w:val="0"/>
          <w:lang w:eastAsia="zh-CN"/>
        </w:rPr>
        <w:t>财政拨款“三公”经费支出决算表</w:t>
      </w:r>
      <w:bookmarkEnd w:id="116"/>
    </w:p>
    <w:p w14:paraId="57091647">
      <w:pPr>
        <w:rPr>
          <w:rFonts w:hint="default" w:ascii="Times New Roman" w:hAnsi="Times New Roman" w:cs="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2D1DBB-038F-4193-8747-677BAFE08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1E44B3-32A5-453B-B453-5665E795D46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863F362-8EEC-468F-A00D-0D774F7533E1}"/>
  </w:font>
  <w:font w:name="仿宋">
    <w:panose1 w:val="02010609060101010101"/>
    <w:charset w:val="86"/>
    <w:family w:val="modern"/>
    <w:pitch w:val="default"/>
    <w:sig w:usb0="800002BF" w:usb1="38CF7CFA" w:usb2="00000016" w:usb3="00000000" w:csb0="00040001" w:csb1="00000000"/>
    <w:embedRegular r:id="rId4" w:fontKey="{75CC5FCF-9BCB-4737-96AE-EF1E8F01200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8D290476-C884-45C2-80C9-87E77DA88F1A}"/>
  </w:font>
  <w:font w:name="楷体_GB2312">
    <w:panose1 w:val="02010609030101010101"/>
    <w:charset w:val="86"/>
    <w:family w:val="auto"/>
    <w:pitch w:val="default"/>
    <w:sig w:usb0="00000001" w:usb1="080E0000" w:usb2="00000000" w:usb3="00000000" w:csb0="00040000" w:csb1="00000000"/>
    <w:embedRegular r:id="rId6" w:fontKey="{E008FB7F-8868-4DA4-8121-4CED90039F8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4ED9">
    <w:pPr>
      <w:pStyle w:val="10"/>
      <w:jc w:val="center"/>
    </w:pPr>
  </w:p>
  <w:p w14:paraId="5886E47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B0A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67B6F">
                          <w:pPr>
                            <w:pStyle w:val="1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D67B6F">
                    <w:pPr>
                      <w:pStyle w:val="1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14:paraId="5D63F65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8DE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195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06195B">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853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7DE36"/>
    <w:multiLevelType w:val="singleLevel"/>
    <w:tmpl w:val="4AF7DE3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F171D"/>
    <w:rsid w:val="012A5EC2"/>
    <w:rsid w:val="0132669F"/>
    <w:rsid w:val="013B68AA"/>
    <w:rsid w:val="015975B8"/>
    <w:rsid w:val="01BC2913"/>
    <w:rsid w:val="024C492F"/>
    <w:rsid w:val="026B74AB"/>
    <w:rsid w:val="02FEBE30"/>
    <w:rsid w:val="04916F1E"/>
    <w:rsid w:val="049C7DEF"/>
    <w:rsid w:val="04E83035"/>
    <w:rsid w:val="061E35DE"/>
    <w:rsid w:val="066E0107"/>
    <w:rsid w:val="06AE5BB8"/>
    <w:rsid w:val="06D4634A"/>
    <w:rsid w:val="07996F6E"/>
    <w:rsid w:val="07CD4B06"/>
    <w:rsid w:val="07DFD8BA"/>
    <w:rsid w:val="09867E8F"/>
    <w:rsid w:val="0A2032A3"/>
    <w:rsid w:val="0AA25A34"/>
    <w:rsid w:val="0C4A0131"/>
    <w:rsid w:val="0CA8290A"/>
    <w:rsid w:val="0D35B1ED"/>
    <w:rsid w:val="0D5D6093"/>
    <w:rsid w:val="0E254B6B"/>
    <w:rsid w:val="0F8676D2"/>
    <w:rsid w:val="0F98263C"/>
    <w:rsid w:val="101860EC"/>
    <w:rsid w:val="101F47CC"/>
    <w:rsid w:val="107C6D27"/>
    <w:rsid w:val="10C055FF"/>
    <w:rsid w:val="110D797F"/>
    <w:rsid w:val="11301FEB"/>
    <w:rsid w:val="11694EBD"/>
    <w:rsid w:val="11772AA4"/>
    <w:rsid w:val="118107EC"/>
    <w:rsid w:val="11C97D4A"/>
    <w:rsid w:val="12E24EE2"/>
    <w:rsid w:val="13D50BC4"/>
    <w:rsid w:val="13F07810"/>
    <w:rsid w:val="148461AA"/>
    <w:rsid w:val="14B17F78"/>
    <w:rsid w:val="151E03AD"/>
    <w:rsid w:val="154C5D08"/>
    <w:rsid w:val="156D4E90"/>
    <w:rsid w:val="15804BC3"/>
    <w:rsid w:val="165E0673"/>
    <w:rsid w:val="16B32D77"/>
    <w:rsid w:val="16B831D5"/>
    <w:rsid w:val="16BB723D"/>
    <w:rsid w:val="17B1375A"/>
    <w:rsid w:val="17E50567"/>
    <w:rsid w:val="186504BB"/>
    <w:rsid w:val="19A445FC"/>
    <w:rsid w:val="1AB86BAD"/>
    <w:rsid w:val="1B4B306E"/>
    <w:rsid w:val="1BE8440E"/>
    <w:rsid w:val="1CBA6C0D"/>
    <w:rsid w:val="1D155CEE"/>
    <w:rsid w:val="1D1638FE"/>
    <w:rsid w:val="1D76522A"/>
    <w:rsid w:val="1DCA7323"/>
    <w:rsid w:val="1E312DEB"/>
    <w:rsid w:val="1E740ACF"/>
    <w:rsid w:val="1FAD4807"/>
    <w:rsid w:val="1FF35744"/>
    <w:rsid w:val="1FF6BC77"/>
    <w:rsid w:val="2186353C"/>
    <w:rsid w:val="21A8172A"/>
    <w:rsid w:val="231B417D"/>
    <w:rsid w:val="237D0994"/>
    <w:rsid w:val="23860B96"/>
    <w:rsid w:val="240371BF"/>
    <w:rsid w:val="244F3473"/>
    <w:rsid w:val="24C97D99"/>
    <w:rsid w:val="254774AC"/>
    <w:rsid w:val="259F2E44"/>
    <w:rsid w:val="25A718F0"/>
    <w:rsid w:val="25BB59F6"/>
    <w:rsid w:val="260F557C"/>
    <w:rsid w:val="26970054"/>
    <w:rsid w:val="281408E2"/>
    <w:rsid w:val="28610884"/>
    <w:rsid w:val="290819A0"/>
    <w:rsid w:val="29C42E79"/>
    <w:rsid w:val="29D22540"/>
    <w:rsid w:val="29FD04D3"/>
    <w:rsid w:val="2A1A518F"/>
    <w:rsid w:val="2A6E7289"/>
    <w:rsid w:val="2AC450FA"/>
    <w:rsid w:val="2AF552B4"/>
    <w:rsid w:val="2BFF7BC6"/>
    <w:rsid w:val="2C4907B9"/>
    <w:rsid w:val="2C8A61B5"/>
    <w:rsid w:val="2CE43832"/>
    <w:rsid w:val="2CE83322"/>
    <w:rsid w:val="2D8A262B"/>
    <w:rsid w:val="2DF04E50"/>
    <w:rsid w:val="2E586DFA"/>
    <w:rsid w:val="2F040D46"/>
    <w:rsid w:val="2F6B035B"/>
    <w:rsid w:val="2FAE5751"/>
    <w:rsid w:val="2FB1A395"/>
    <w:rsid w:val="2FD9A7D8"/>
    <w:rsid w:val="2FDBF714"/>
    <w:rsid w:val="30AB6865"/>
    <w:rsid w:val="31992E3D"/>
    <w:rsid w:val="319F7F4E"/>
    <w:rsid w:val="31F97D80"/>
    <w:rsid w:val="32333292"/>
    <w:rsid w:val="32BA5E9A"/>
    <w:rsid w:val="32BD1EF1"/>
    <w:rsid w:val="3304709D"/>
    <w:rsid w:val="33A773CB"/>
    <w:rsid w:val="349873DC"/>
    <w:rsid w:val="349D6851"/>
    <w:rsid w:val="352769B2"/>
    <w:rsid w:val="36826596"/>
    <w:rsid w:val="36AA5135"/>
    <w:rsid w:val="36BE0DA7"/>
    <w:rsid w:val="376B6AA6"/>
    <w:rsid w:val="376D39B2"/>
    <w:rsid w:val="379D7BC6"/>
    <w:rsid w:val="37AE38E3"/>
    <w:rsid w:val="37E16F03"/>
    <w:rsid w:val="37F53A3B"/>
    <w:rsid w:val="38312021"/>
    <w:rsid w:val="389B6C89"/>
    <w:rsid w:val="38D469F0"/>
    <w:rsid w:val="390C0398"/>
    <w:rsid w:val="39627CCD"/>
    <w:rsid w:val="397BAF1F"/>
    <w:rsid w:val="399860D0"/>
    <w:rsid w:val="3A1F40FB"/>
    <w:rsid w:val="3AB79AF3"/>
    <w:rsid w:val="3AE834C0"/>
    <w:rsid w:val="3B7EF35A"/>
    <w:rsid w:val="3B9FDB6C"/>
    <w:rsid w:val="3BF5BC2F"/>
    <w:rsid w:val="3C487939"/>
    <w:rsid w:val="3CDB255C"/>
    <w:rsid w:val="3CEBA265"/>
    <w:rsid w:val="3D98207C"/>
    <w:rsid w:val="3DAE0CAC"/>
    <w:rsid w:val="3DEE7CF3"/>
    <w:rsid w:val="3E1A70B4"/>
    <w:rsid w:val="3E740A63"/>
    <w:rsid w:val="3E78745D"/>
    <w:rsid w:val="3ECA6D2C"/>
    <w:rsid w:val="3EE17838"/>
    <w:rsid w:val="3F55381A"/>
    <w:rsid w:val="3F7F7599"/>
    <w:rsid w:val="3FF4CAE0"/>
    <w:rsid w:val="3FF7B227"/>
    <w:rsid w:val="40C33A32"/>
    <w:rsid w:val="40D211F8"/>
    <w:rsid w:val="41DD0B24"/>
    <w:rsid w:val="436125E9"/>
    <w:rsid w:val="44E268DA"/>
    <w:rsid w:val="450D13D7"/>
    <w:rsid w:val="45506656"/>
    <w:rsid w:val="486A6C7A"/>
    <w:rsid w:val="4910358D"/>
    <w:rsid w:val="494B2817"/>
    <w:rsid w:val="49826BBE"/>
    <w:rsid w:val="4A606796"/>
    <w:rsid w:val="4A627F82"/>
    <w:rsid w:val="4AF56EDE"/>
    <w:rsid w:val="4B0E749A"/>
    <w:rsid w:val="4B2477C4"/>
    <w:rsid w:val="4B4F25DA"/>
    <w:rsid w:val="4B6F13A9"/>
    <w:rsid w:val="4B702A09"/>
    <w:rsid w:val="4BE068DB"/>
    <w:rsid w:val="4C3D6D8F"/>
    <w:rsid w:val="4CE03BBE"/>
    <w:rsid w:val="4D357A66"/>
    <w:rsid w:val="4D577224"/>
    <w:rsid w:val="4DBF1CEB"/>
    <w:rsid w:val="4DF0007C"/>
    <w:rsid w:val="4E8A2033"/>
    <w:rsid w:val="4EAB630A"/>
    <w:rsid w:val="4ECE2238"/>
    <w:rsid w:val="4ED32195"/>
    <w:rsid w:val="4ED4505D"/>
    <w:rsid w:val="4EEC684A"/>
    <w:rsid w:val="4F833267"/>
    <w:rsid w:val="4FE9BD67"/>
    <w:rsid w:val="4FFB052F"/>
    <w:rsid w:val="50AA3941"/>
    <w:rsid w:val="50BF231E"/>
    <w:rsid w:val="51B8376E"/>
    <w:rsid w:val="5374707B"/>
    <w:rsid w:val="537E6D0A"/>
    <w:rsid w:val="53EE6BC1"/>
    <w:rsid w:val="53F74C96"/>
    <w:rsid w:val="55170BA8"/>
    <w:rsid w:val="55200FFC"/>
    <w:rsid w:val="553218C9"/>
    <w:rsid w:val="567E1AA5"/>
    <w:rsid w:val="56E47B74"/>
    <w:rsid w:val="57175D52"/>
    <w:rsid w:val="572172AD"/>
    <w:rsid w:val="57323268"/>
    <w:rsid w:val="57335616"/>
    <w:rsid w:val="57A53A3A"/>
    <w:rsid w:val="57BD3DD4"/>
    <w:rsid w:val="5A4A08C9"/>
    <w:rsid w:val="5AF92295"/>
    <w:rsid w:val="5AFC6067"/>
    <w:rsid w:val="5B250254"/>
    <w:rsid w:val="5B6D0D13"/>
    <w:rsid w:val="5BDD79E6"/>
    <w:rsid w:val="5BF561CA"/>
    <w:rsid w:val="5BFF5DFC"/>
    <w:rsid w:val="5C043425"/>
    <w:rsid w:val="5C2F5FC8"/>
    <w:rsid w:val="5C780E51"/>
    <w:rsid w:val="5C78171D"/>
    <w:rsid w:val="5C9F327F"/>
    <w:rsid w:val="5CD71FC4"/>
    <w:rsid w:val="5D1F11B5"/>
    <w:rsid w:val="5D695134"/>
    <w:rsid w:val="5DAE1B18"/>
    <w:rsid w:val="5DB76275"/>
    <w:rsid w:val="5DDE1A54"/>
    <w:rsid w:val="5DE7D9E5"/>
    <w:rsid w:val="5ECEC941"/>
    <w:rsid w:val="5F380EF8"/>
    <w:rsid w:val="5FBF9FF3"/>
    <w:rsid w:val="5FCD4E2C"/>
    <w:rsid w:val="5FEF394A"/>
    <w:rsid w:val="5FF67715"/>
    <w:rsid w:val="5FF92B75"/>
    <w:rsid w:val="60F021CA"/>
    <w:rsid w:val="615628AA"/>
    <w:rsid w:val="622639C9"/>
    <w:rsid w:val="62387B69"/>
    <w:rsid w:val="62593D9F"/>
    <w:rsid w:val="628C7CD0"/>
    <w:rsid w:val="62B17737"/>
    <w:rsid w:val="62BB6808"/>
    <w:rsid w:val="62BF3928"/>
    <w:rsid w:val="63576530"/>
    <w:rsid w:val="63B3701E"/>
    <w:rsid w:val="647F5392"/>
    <w:rsid w:val="65053D6A"/>
    <w:rsid w:val="651A5A67"/>
    <w:rsid w:val="65444892"/>
    <w:rsid w:val="65E66580"/>
    <w:rsid w:val="66213F69"/>
    <w:rsid w:val="664B1D71"/>
    <w:rsid w:val="664B4E8E"/>
    <w:rsid w:val="67277B67"/>
    <w:rsid w:val="67550FD9"/>
    <w:rsid w:val="67AA3209"/>
    <w:rsid w:val="698D0931"/>
    <w:rsid w:val="6A31115D"/>
    <w:rsid w:val="6A7FE5F3"/>
    <w:rsid w:val="6B053271"/>
    <w:rsid w:val="6BDD78B3"/>
    <w:rsid w:val="6C4A05C8"/>
    <w:rsid w:val="6C8742B8"/>
    <w:rsid w:val="6C937EAD"/>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4125CE"/>
    <w:rsid w:val="715C0E4B"/>
    <w:rsid w:val="71992E7C"/>
    <w:rsid w:val="71B608C6"/>
    <w:rsid w:val="72233669"/>
    <w:rsid w:val="72734D90"/>
    <w:rsid w:val="73160E6D"/>
    <w:rsid w:val="7332FE48"/>
    <w:rsid w:val="73AB61DA"/>
    <w:rsid w:val="73AD73D5"/>
    <w:rsid w:val="73B6EB34"/>
    <w:rsid w:val="73FA497D"/>
    <w:rsid w:val="744731E5"/>
    <w:rsid w:val="74BBD01D"/>
    <w:rsid w:val="74ED5379"/>
    <w:rsid w:val="74F25ADE"/>
    <w:rsid w:val="75CD2682"/>
    <w:rsid w:val="75DEEEC2"/>
    <w:rsid w:val="75E32345"/>
    <w:rsid w:val="76CD220E"/>
    <w:rsid w:val="76E3355F"/>
    <w:rsid w:val="76FF5125"/>
    <w:rsid w:val="776F6FFA"/>
    <w:rsid w:val="778769C8"/>
    <w:rsid w:val="77A75DCA"/>
    <w:rsid w:val="77DC22F5"/>
    <w:rsid w:val="783E271A"/>
    <w:rsid w:val="78526E6F"/>
    <w:rsid w:val="78616DE9"/>
    <w:rsid w:val="78E875D7"/>
    <w:rsid w:val="79086DAD"/>
    <w:rsid w:val="79AE4579"/>
    <w:rsid w:val="79D7FD79"/>
    <w:rsid w:val="79EE5BA4"/>
    <w:rsid w:val="7A894339"/>
    <w:rsid w:val="7AC72527"/>
    <w:rsid w:val="7AD284E8"/>
    <w:rsid w:val="7AE53FCA"/>
    <w:rsid w:val="7AFF7572"/>
    <w:rsid w:val="7B6C7DFB"/>
    <w:rsid w:val="7BBFBED0"/>
    <w:rsid w:val="7BC3E394"/>
    <w:rsid w:val="7BC71922"/>
    <w:rsid w:val="7C06244A"/>
    <w:rsid w:val="7C1F3737"/>
    <w:rsid w:val="7C611475"/>
    <w:rsid w:val="7CBFC87B"/>
    <w:rsid w:val="7CFE0F48"/>
    <w:rsid w:val="7D083FA0"/>
    <w:rsid w:val="7D272ABC"/>
    <w:rsid w:val="7D7EC23E"/>
    <w:rsid w:val="7DF0487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BA5A25"/>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23"/>
    <w:basedOn w:val="16"/>
    <w:qFormat/>
    <w:uiPriority w:val="0"/>
    <w:rPr>
      <w:rFonts w:hint="default" w:ascii="Times New Roman" w:hAnsi="Times New Roman" w:cs="Times New Roman"/>
      <w:b/>
    </w:rPr>
  </w:style>
  <w:style w:type="paragraph" w:customStyle="1" w:styleId="3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image" Target="../media/image1.png"/><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mn-lt"/>
                <a:ea typeface="+mn-ea"/>
                <a:cs typeface="+mn-cs"/>
              </a:defRPr>
            </a:pPr>
            <a:r>
              <a:t>收入、支出决算变动图</a:t>
            </a:r>
          </a:p>
        </c:rich>
      </c:tx>
      <c:layout/>
      <c:overlay val="0"/>
      <c:spPr>
        <a:noFill/>
        <a:ln>
          <a:noFill/>
        </a:ln>
        <a:effectLst/>
      </c:spPr>
    </c:title>
    <c:autoTitleDeleted val="0"/>
    <c:plotArea>
      <c:layout>
        <c:manualLayout>
          <c:layoutTarget val="inner"/>
          <c:xMode val="edge"/>
          <c:yMode val="edge"/>
          <c:x val="0.0265764677458323"/>
          <c:y val="0.259881002974926"/>
          <c:w val="0.946847064508335"/>
          <c:h val="0.628219294517637"/>
        </c:manualLayout>
      </c:layout>
      <c:barChart>
        <c:barDir val="col"/>
        <c:grouping val="clustered"/>
        <c:varyColors val="0"/>
        <c:ser>
          <c:idx val="0"/>
          <c:order val="0"/>
          <c:tx>
            <c:strRef>
              <c:f>Sheet1!$B$1</c:f>
              <c:strCache>
                <c:ptCount val="1"/>
                <c:pt idx="0">
                  <c:v>收入</c:v>
                </c:pt>
              </c:strCache>
            </c:strRef>
          </c:tx>
          <c:spPr>
            <a:gradFill flip="none" rotWithShape="1">
              <a:gsLst>
                <a:gs pos="71000">
                  <a:schemeClr val="accent1">
                    <a:lumMod val="75000"/>
                  </a:schemeClr>
                </a:gs>
                <a:gs pos="70000">
                  <a:schemeClr val="accent1"/>
                </a:gs>
                <a:gs pos="31000">
                  <a:schemeClr val="accent1"/>
                </a:gs>
                <a:gs pos="30000">
                  <a:schemeClr val="accent1">
                    <a:lumMod val="60000"/>
                    <a:lumOff val="40000"/>
                  </a:schemeClr>
                </a:gs>
                <a:gs pos="100000">
                  <a:schemeClr val="accent1">
                    <a:lumMod val="75000"/>
                  </a:schemeClr>
                </a:gs>
                <a:gs pos="0">
                  <a:schemeClr val="accent1">
                    <a:lumMod val="60000"/>
                    <a:lumOff val="40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379.15</c:v>
                </c:pt>
                <c:pt idx="1">
                  <c:v>265.18</c:v>
                </c:pt>
              </c:numCache>
            </c:numRef>
          </c:val>
        </c:ser>
        <c:ser>
          <c:idx val="1"/>
          <c:order val="1"/>
          <c:tx>
            <c:strRef>
              <c:f>Sheet1!$C$1</c:f>
              <c:strCache>
                <c:ptCount val="1"/>
                <c:pt idx="0">
                  <c:v>支出</c:v>
                </c:pt>
              </c:strCache>
            </c:strRef>
          </c:tx>
          <c:spPr>
            <a:gradFill flip="none" rotWithShape="1">
              <a:gsLst>
                <a:gs pos="0">
                  <a:schemeClr val="accent2">
                    <a:lumMod val="60000"/>
                    <a:lumOff val="40000"/>
                  </a:schemeClr>
                </a:gs>
                <a:gs pos="71000">
                  <a:schemeClr val="accent2">
                    <a:lumMod val="75000"/>
                  </a:schemeClr>
                </a:gs>
                <a:gs pos="70000">
                  <a:schemeClr val="accent2"/>
                </a:gs>
                <a:gs pos="31000">
                  <a:schemeClr val="accent2"/>
                </a:gs>
                <a:gs pos="30000">
                  <a:schemeClr val="accent2">
                    <a:lumMod val="60000"/>
                    <a:lumOff val="40000"/>
                  </a:schemeClr>
                </a:gs>
                <a:gs pos="100000">
                  <a:schemeClr val="accent2">
                    <a:lumMod val="75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379.15</c:v>
                </c:pt>
                <c:pt idx="1">
                  <c:v>265.18</c:v>
                </c:pt>
              </c:numCache>
            </c:numRef>
          </c:val>
        </c:ser>
        <c:dLbls>
          <c:showLegendKey val="0"/>
          <c:showVal val="1"/>
          <c:showCatName val="0"/>
          <c:showSerName val="0"/>
          <c:showPercent val="0"/>
          <c:showBubbleSize val="0"/>
        </c:dLbls>
        <c:gapWidth val="180"/>
        <c:overlap val="-20"/>
        <c:axId val="296995891"/>
        <c:axId val="11013949"/>
      </c:barChart>
      <c:catAx>
        <c:axId val="29699589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1013949"/>
        <c:crosses val="autoZero"/>
        <c:auto val="1"/>
        <c:lblAlgn val="ctr"/>
        <c:lblOffset val="100"/>
        <c:noMultiLvlLbl val="0"/>
      </c:catAx>
      <c:valAx>
        <c:axId val="1101394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296995891"/>
        <c:crosses val="autoZero"/>
        <c:crossBetween val="between"/>
      </c:valAx>
      <c:spPr>
        <a:noFill/>
        <a:ln>
          <a:noFill/>
        </a:ln>
        <a:effectLst/>
      </c:spPr>
    </c:plotArea>
    <c:legend>
      <c:legendPos val="t"/>
      <c:layout>
        <c:manualLayout>
          <c:xMode val="edge"/>
          <c:yMode val="edge"/>
          <c:x val="0.293911572843682"/>
          <c:y val="0.13918402039949"/>
          <c:w val="0.454940806958202"/>
          <c:h val="0.073948151296217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a6f0c0-7e67-4122-a489-41d434238f8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1200"/>
              <a:t>收入决算图</a:t>
            </a:r>
            <a:endParaRPr sz="1200"/>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c:f>
              <c:strCache>
                <c:ptCount val="1"/>
                <c:pt idx="0">
                  <c:v>财政拨款收入</c:v>
                </c:pt>
              </c:strCache>
            </c:strRef>
          </c:cat>
          <c:val>
            <c:numRef>
              <c:f>Sheet1!$B$2</c:f>
              <c:numCache>
                <c:formatCode>General</c:formatCode>
                <c:ptCount val="1"/>
                <c:pt idx="0">
                  <c:v>265.18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64fdaf-398c-4e96-b586-a746954a7014}"/>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dk1">
                    <a:lumMod val="75000"/>
                    <a:lumOff val="25000"/>
                  </a:schemeClr>
                </a:solidFill>
                <a:latin typeface="+mn-lt"/>
                <a:ea typeface="+mn-ea"/>
                <a:cs typeface="+mn-cs"/>
              </a:defRPr>
            </a:pPr>
            <a:r>
              <a:rPr sz="1080"/>
              <a:t>支出决算图</a:t>
            </a:r>
            <a:endParaRPr sz="1080"/>
          </a:p>
        </c:rich>
      </c:tx>
      <c:layout/>
      <c:overlay val="0"/>
      <c:spPr>
        <a:noFill/>
        <a:ln>
          <a:noFill/>
        </a:ln>
        <a:effectLst/>
      </c:sp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5"/>
              </a:soli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solidFill>
                <a:srgbClr val="92D050"/>
              </a:solidFill>
              <a:ln>
                <a:gradFill>
                  <a:gsLst>
                    <a:gs pos="0">
                      <a:schemeClr val="accent2">
                        <a:lumMod val="75000"/>
                        <a:hueOff val="-1670000"/>
                      </a:schemeClr>
                    </a:gs>
                    <a:gs pos="100000">
                      <a:schemeClr val="accent2">
                        <a:lumMod val="75000"/>
                      </a:schemeClr>
                    </a:gs>
                  </a:gsLst>
                  <a:lin ang="5160000" scaled="1"/>
                </a:gradFill>
              </a:ln>
              <a:effectLst/>
            </c:spPr>
          </c:dPt>
          <c:dLbls>
            <c:dLbl>
              <c:idx val="0"/>
              <c:layout>
                <c:manualLayout>
                  <c:x val="0.121024519674284"/>
                  <c:y val="-0.2811687136757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rPr sz="900"/>
                      <a:t>基本支出222.4984</a:t>
                    </a:r>
                    <a:r>
                      <a:rPr lang="en-US" altLang="zh-CN" sz="900"/>
                      <a:t>.9</a:t>
                    </a:r>
                    <a:r>
                      <a:rPr sz="900"/>
                      <a:t>%</a:t>
                    </a:r>
                    <a:endParaRPr sz="900"/>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02904212118243"/>
                  <c:y val="0.083548663788152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dk1">
                            <a:lumMod val="75000"/>
                            <a:lumOff val="25000"/>
                          </a:schemeClr>
                        </a:solidFill>
                        <a:latin typeface="+mn-lt"/>
                        <a:ea typeface="+mn-ea"/>
                        <a:cs typeface="+mn-cs"/>
                      </a:defRPr>
                    </a:pPr>
                    <a:r>
                      <a:rPr sz="900"/>
                      <a:t>项目支出42.6916</a:t>
                    </a:r>
                    <a:r>
                      <a:rPr lang="en-US" altLang="zh-CN" sz="900"/>
                      <a:t>.09</a:t>
                    </a:r>
                    <a:r>
                      <a:rPr sz="900"/>
                      <a:t>%</a:t>
                    </a:r>
                    <a:endParaRPr sz="900"/>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222.49</c:v>
                </c:pt>
                <c:pt idx="1">
                  <c:v>42.69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6cf796-1139-46c3-8e9d-3c4a4b19029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mn-lt"/>
                <a:ea typeface="+mn-ea"/>
                <a:cs typeface="+mn-cs"/>
              </a:defRPr>
            </a:pPr>
            <a:r>
              <a:t>财政拨款收入支出决算图</a:t>
            </a:r>
          </a:p>
        </c:rich>
      </c:tx>
      <c:layout/>
      <c:overlay val="0"/>
      <c:spPr>
        <a:noFill/>
        <a:ln>
          <a:noFill/>
        </a:ln>
        <a:effectLst/>
      </c:spPr>
    </c:title>
    <c:autoTitleDeleted val="0"/>
    <c:plotArea>
      <c:layout>
        <c:manualLayout>
          <c:layoutTarget val="inner"/>
          <c:xMode val="edge"/>
          <c:yMode val="edge"/>
          <c:x val="0.0283884996375936"/>
          <c:y val="0.263068423289418"/>
          <c:w val="0.946847064508335"/>
          <c:h val="0.628219294517637"/>
        </c:manualLayout>
      </c:layout>
      <c:barChart>
        <c:barDir val="col"/>
        <c:grouping val="clustered"/>
        <c:varyColors val="0"/>
        <c:ser>
          <c:idx val="0"/>
          <c:order val="0"/>
          <c:tx>
            <c:strRef>
              <c:f>Sheet1!$B$1</c:f>
              <c:strCache>
                <c:ptCount val="1"/>
                <c:pt idx="0">
                  <c:v>收入</c:v>
                </c:pt>
              </c:strCache>
            </c:strRef>
          </c:tx>
          <c:spPr>
            <a:gradFill flip="none" rotWithShape="1">
              <a:gsLst>
                <a:gs pos="71000">
                  <a:schemeClr val="accent1">
                    <a:lumMod val="75000"/>
                  </a:schemeClr>
                </a:gs>
                <a:gs pos="70000">
                  <a:schemeClr val="accent1"/>
                </a:gs>
                <a:gs pos="31000">
                  <a:schemeClr val="accent1"/>
                </a:gs>
                <a:gs pos="30000">
                  <a:schemeClr val="accent1">
                    <a:lumMod val="60000"/>
                    <a:lumOff val="40000"/>
                  </a:schemeClr>
                </a:gs>
                <a:gs pos="100000">
                  <a:schemeClr val="accent1">
                    <a:lumMod val="75000"/>
                  </a:schemeClr>
                </a:gs>
                <a:gs pos="0">
                  <a:schemeClr val="accent1">
                    <a:lumMod val="60000"/>
                    <a:lumOff val="40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379.15</c:v>
                </c:pt>
                <c:pt idx="1">
                  <c:v>265.18</c:v>
                </c:pt>
              </c:numCache>
            </c:numRef>
          </c:val>
        </c:ser>
        <c:ser>
          <c:idx val="1"/>
          <c:order val="1"/>
          <c:tx>
            <c:strRef>
              <c:f>Sheet1!$C$1</c:f>
              <c:strCache>
                <c:ptCount val="1"/>
                <c:pt idx="0">
                  <c:v>支出</c:v>
                </c:pt>
              </c:strCache>
            </c:strRef>
          </c:tx>
          <c:spPr>
            <a:gradFill flip="none" rotWithShape="1">
              <a:gsLst>
                <a:gs pos="0">
                  <a:schemeClr val="accent2">
                    <a:lumMod val="60000"/>
                    <a:lumOff val="40000"/>
                  </a:schemeClr>
                </a:gs>
                <a:gs pos="71000">
                  <a:schemeClr val="accent2">
                    <a:lumMod val="75000"/>
                  </a:schemeClr>
                </a:gs>
                <a:gs pos="70000">
                  <a:schemeClr val="accent2"/>
                </a:gs>
                <a:gs pos="31000">
                  <a:schemeClr val="accent2"/>
                </a:gs>
                <a:gs pos="30000">
                  <a:schemeClr val="accent2">
                    <a:lumMod val="60000"/>
                    <a:lumOff val="40000"/>
                  </a:schemeClr>
                </a:gs>
                <a:gs pos="100000">
                  <a:schemeClr val="accent2">
                    <a:lumMod val="75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379.15</c:v>
                </c:pt>
                <c:pt idx="1">
                  <c:v>265.18</c:v>
                </c:pt>
              </c:numCache>
            </c:numRef>
          </c:val>
        </c:ser>
        <c:ser>
          <c:idx val="2"/>
          <c:order val="2"/>
          <c:tx>
            <c:strRef>
              <c:f>Sheet1!#REF!</c:f>
              <c:strCache>
                <c:ptCount val="1"/>
                <c:pt idx="0">
                  <c:v/>
                </c:pt>
              </c:strCache>
            </c:strRef>
          </c:tx>
          <c:spPr>
            <a:gradFill flip="none" rotWithShape="1">
              <a:gsLst>
                <a:gs pos="71000">
                  <a:schemeClr val="accent3">
                    <a:lumMod val="75000"/>
                  </a:schemeClr>
                </a:gs>
                <a:gs pos="70000">
                  <a:schemeClr val="accent3"/>
                </a:gs>
                <a:gs pos="31000">
                  <a:schemeClr val="accent3"/>
                </a:gs>
                <a:gs pos="30000">
                  <a:schemeClr val="accent3">
                    <a:lumMod val="60000"/>
                    <a:lumOff val="40000"/>
                  </a:schemeClr>
                </a:gs>
                <a:gs pos="100000">
                  <a:schemeClr val="accent3">
                    <a:lumMod val="75000"/>
                  </a:schemeClr>
                </a:gs>
                <a:gs pos="0">
                  <a:schemeClr val="accent3">
                    <a:lumMod val="60000"/>
                    <a:lumOff val="40000"/>
                  </a:schemeClr>
                </a:gs>
              </a:gsLst>
              <a:lin ang="0" scaled="1"/>
              <a:tileRect/>
            </a:gra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80"/>
        <c:overlap val="-20"/>
        <c:axId val="305567012"/>
        <c:axId val="301587664"/>
      </c:barChart>
      <c:catAx>
        <c:axId val="305567012"/>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301587664"/>
        <c:crosses val="autoZero"/>
        <c:auto val="1"/>
        <c:lblAlgn val="ctr"/>
        <c:lblOffset val="100"/>
        <c:noMultiLvlLbl val="0"/>
      </c:catAx>
      <c:valAx>
        <c:axId val="3015876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305567012"/>
        <c:crosses val="autoZero"/>
        <c:crossBetween val="between"/>
      </c:valAx>
      <c:spPr>
        <a:noFill/>
        <a:ln>
          <a:noFill/>
        </a:ln>
        <a:effectLst/>
      </c:spPr>
    </c:plotArea>
    <c:legend>
      <c:legendPos val="t"/>
      <c:legendEntry>
        <c:idx val="2"/>
        <c:delete val="1"/>
      </c:legendEntry>
      <c:layout>
        <c:manualLayout>
          <c:xMode val="edge"/>
          <c:yMode val="edge"/>
          <c:x val="0.139888862043972"/>
          <c:y val="0.13918402039949"/>
          <c:w val="0.701256342111621"/>
          <c:h val="0.073948151296217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5d9c26-ab47-4819-bbe7-0723fd08b0c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财政拨款支出决算变动图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blipFill rotWithShape="1">
              <a:blip xmlns:r="http://schemas.openxmlformats.org/officeDocument/2006/relationships" r:embed="rId2">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379.15</c:v>
                </c:pt>
                <c:pt idx="1">
                  <c:v>265.18</c:v>
                </c:pt>
              </c:numCache>
            </c:numRef>
          </c:val>
        </c:ser>
        <c:dLbls>
          <c:showLegendKey val="0"/>
          <c:showVal val="1"/>
          <c:showCatName val="0"/>
          <c:showSerName val="0"/>
          <c:showPercent val="0"/>
          <c:showBubbleSize val="0"/>
        </c:dLbls>
        <c:gapWidth val="100"/>
        <c:overlap val="-10"/>
        <c:axId val="36461083"/>
        <c:axId val="54358720"/>
      </c:barChart>
      <c:catAx>
        <c:axId val="36461083"/>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4358720"/>
        <c:crosses val="autoZero"/>
        <c:auto val="1"/>
        <c:lblAlgn val="ctr"/>
        <c:lblOffset val="100"/>
        <c:noMultiLvlLbl val="0"/>
      </c:catAx>
      <c:valAx>
        <c:axId val="54358720"/>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646108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7f86104-4fb2-4b0a-bc57-d032c704c19b}"/>
      </c:ext>
    </c:extLst>
  </c:chart>
  <c:spPr>
    <a:no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050"/>
              <a:t>一般公共预算财政拨款支出决算结构图</a:t>
            </a:r>
            <a:endParaRPr sz="1050"/>
          </a:p>
        </c:rich>
      </c:tx>
      <c:layout>
        <c:manualLayout>
          <c:xMode val="edge"/>
          <c:yMode val="edge"/>
          <c:x val="0.201860352742208"/>
          <c:y val="0.00667259786476868"/>
        </c:manualLayout>
      </c:layout>
      <c:overlay val="0"/>
      <c:spPr>
        <a:noFill/>
        <a:ln>
          <a:noFill/>
        </a:ln>
        <a:effectLst/>
      </c:spPr>
    </c:title>
    <c:autoTitleDeleted val="0"/>
    <c:plotArea>
      <c:layout/>
      <c:doughnutChart>
        <c:varyColors val="1"/>
        <c:ser>
          <c:idx val="0"/>
          <c:order val="0"/>
          <c:tx>
            <c:strRef>
              <c:f>Sheet1!$B$1</c:f>
              <c:strCache>
                <c:ptCount val="1"/>
                <c:pt idx="0">
                  <c:v>销售额</c:v>
                </c:pt>
              </c:strCache>
            </c:strRef>
          </c:tx>
          <c:spPr/>
          <c:explosion val="0"/>
          <c:dPt>
            <c:idx val="0"/>
            <c:bubble3D val="0"/>
            <c:spPr>
              <a:gradFill>
                <a:gsLst>
                  <a:gs pos="25000">
                    <a:srgbClr val="FF566A"/>
                  </a:gs>
                  <a:gs pos="75000">
                    <a:srgbClr val="F6AABA"/>
                  </a:gs>
                  <a:gs pos="0">
                    <a:srgbClr val="EB3A48"/>
                  </a:gs>
                  <a:gs pos="100000">
                    <a:srgbClr val="FFCFD9"/>
                  </a:gs>
                </a:gsLst>
                <a:lin ang="18900000" scaled="1"/>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Lbls>
            <c:dLbl>
              <c:idx val="0"/>
              <c:layout>
                <c:manualLayout>
                  <c:x val="0.204759603769026"/>
                  <c:y val="-0.0446238844028899"/>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一般公共服务支出205.2977</a:t>
                    </a:r>
                    <a:r>
                      <a:rPr lang="en-US" altLang="zh-CN" sz="1100"/>
                      <a:t>.42</a:t>
                    </a:r>
                    <a:r>
                      <a:rPr sz="1100"/>
                      <a:t>%</a:t>
                    </a:r>
                    <a:endParaRPr sz="1100"/>
                  </a:p>
                </c:rich>
              </c:tx>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88451316743175"/>
                  <c:y val="0.0191245218869528"/>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社会保障和就业支出32.4812</a:t>
                    </a:r>
                    <a:r>
                      <a:rPr lang="en-US" altLang="zh-CN" sz="1100"/>
                      <a:t>.25</a:t>
                    </a:r>
                    <a:r>
                      <a:rPr sz="1100"/>
                      <a:t>%</a:t>
                    </a:r>
                    <a:endParaRPr sz="1100"/>
                  </a:p>
                </c:rich>
              </c:tx>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86639284851413"/>
                  <c:y val="-0.13387165320867"/>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卫生健康支出11.98</a:t>
                    </a:r>
                    <a:endParaRPr sz="1100"/>
                  </a:p>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a:t>4.52</a:t>
                    </a:r>
                    <a:r>
                      <a:rPr sz="1100"/>
                      <a:t>%</a:t>
                    </a:r>
                    <a:endParaRPr sz="1100"/>
                  </a:p>
                </c:rich>
              </c:tx>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221067890794878"/>
                  <c:y val="-0.111559711007225"/>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住房保障支出15.42</a:t>
                    </a:r>
                    <a:endParaRPr sz="1100"/>
                  </a:p>
                  <a:p>
                    <a:pPr defTabSz="914400">
                      <a:defRPr lang="zh-CN" sz="1100" b="0" i="0" u="none" strike="noStrike" kern="1200" baseline="0">
                        <a:solidFill>
                          <a:schemeClr val="tx1">
                            <a:lumMod val="75000"/>
                            <a:lumOff val="25000"/>
                          </a:schemeClr>
                        </a:solidFill>
                        <a:latin typeface="+mn-lt"/>
                        <a:ea typeface="+mn-ea"/>
                        <a:cs typeface="+mn-cs"/>
                      </a:defRPr>
                    </a:pPr>
                    <a:r>
                      <a:rPr lang="en-US" altLang="zh-CN" sz="1100"/>
                      <a:t>5.81</a:t>
                    </a:r>
                    <a:r>
                      <a:rPr sz="1100"/>
                      <a:t>%</a:t>
                    </a:r>
                    <a:endParaRPr sz="1100"/>
                  </a:p>
                </c:rich>
              </c:tx>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205.29</c:v>
                </c:pt>
                <c:pt idx="1">
                  <c:v>32.48</c:v>
                </c:pt>
                <c:pt idx="2">
                  <c:v>11.98</c:v>
                </c:pt>
                <c:pt idx="3">
                  <c:v>15.42</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2b7c1d-0008-4e7c-b70b-e9193642233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“三公”经费支出决算表</a:t>
            </a:r>
          </a:p>
        </c:rich>
      </c:tx>
      <c:layout>
        <c:manualLayout>
          <c:xMode val="edge"/>
          <c:yMode val="edge"/>
          <c:x val="0.327011355399855"/>
          <c:y val="0.02231194220144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a:scene3d>
                <a:camera prst="orthographicFront"/>
                <a:lightRig rig="threePt" dir="t"/>
              </a:scene3d>
              <a:sp3d contourW="9525"/>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a:scene3d>
                <a:camera prst="orthographicFront"/>
                <a:lightRig rig="threePt" dir="t"/>
              </a:scene3d>
              <a:sp3d contourW="9525"/>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a:scene3d>
                <a:camera prst="orthographicFront"/>
                <a:lightRig rig="threePt" dir="t"/>
              </a:scene3d>
              <a:sp3d contourW="9525"/>
            </c:spPr>
          </c:dPt>
          <c:dLbls>
            <c:dLbl>
              <c:idx val="0"/>
              <c:layout>
                <c:manualLayout>
                  <c:x val="0.193887412418459"/>
                  <c:y val="-0.0031874203144921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9992751872433"/>
                  <c:y val="0.0095622609434764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04421357815898"/>
                  <c:y val="-0.02868678283042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Sheet1!$A$2:$A$4</c:f>
              <c:strCache>
                <c:ptCount val="3"/>
                <c:pt idx="0">
                  <c:v>因公出国（境）费</c:v>
                </c:pt>
                <c:pt idx="1">
                  <c:v>公务接待费支出</c:v>
                </c:pt>
                <c:pt idx="2">
                  <c:v>公务用车运行维护费</c:v>
                </c:pt>
              </c:strCache>
            </c:strRef>
          </c:cat>
          <c:val>
            <c:numRef>
              <c:f>Sheet1!$B$2:$B$4</c:f>
              <c:numCache>
                <c:formatCode>General</c:formatCode>
                <c:ptCount val="3"/>
                <c:pt idx="0">
                  <c:v>0</c:v>
                </c:pt>
                <c:pt idx="1">
                  <c:v>0</c:v>
                </c:pt>
                <c:pt idx="2">
                  <c:v>3.14</c:v>
                </c:pt>
              </c:numCache>
            </c:numRef>
          </c:val>
        </c:ser>
        <c:dLbls>
          <c:showLegendKey val="0"/>
          <c:showVal val="0"/>
          <c:showCatName val="0"/>
          <c:showSerName val="0"/>
          <c:showPercent val="1"/>
          <c:showBubbleSize val="0"/>
        </c:dLbls>
      </c:pie3DChart>
      <c:spPr>
        <a:noFill/>
        <a:ln>
          <a:noFill/>
        </a:ln>
        <a:effectLst/>
      </c:spPr>
    </c:plotArea>
    <c:plotVisOnly val="1"/>
    <c:dispBlanksAs val="gap"/>
    <c:showDLblsOverMax val="0"/>
    <c:extLst>
      <c:ext uri="{0b15fc19-7d7d-44ad-8c2d-2c3a37ce22c3}">
        <chartProps xmlns="https://web.wps.cn/et/2018/main" chartId="{86ffc2fe-1f8e-46d9-8b92-9cc85a25ec6f}"/>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11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9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多彩-06">
    <a:dk1>
      <a:srgbClr val="000000"/>
    </a:dk1>
    <a:lt1>
      <a:srgbClr val="FFFFFF"/>
    </a:lt1>
    <a:dk2>
      <a:srgbClr val="000000"/>
    </a:dk2>
    <a:lt2>
      <a:srgbClr val="FEFFFF"/>
    </a:lt2>
    <a:accent1>
      <a:srgbClr val="4877F7"/>
    </a:accent1>
    <a:accent2>
      <a:srgbClr val="9F74FF"/>
    </a:accent2>
    <a:accent3>
      <a:srgbClr val="FF6577"/>
    </a:accent3>
    <a:accent4>
      <a:srgbClr val="FF6B42"/>
    </a:accent4>
    <a:accent5>
      <a:srgbClr val="06BB9A"/>
    </a:accent5>
    <a:accent6>
      <a:srgbClr val="F4BA1C"/>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06">
    <a:dk1>
      <a:srgbClr val="000000"/>
    </a:dk1>
    <a:lt1>
      <a:srgbClr val="FFFFFF"/>
    </a:lt1>
    <a:dk2>
      <a:srgbClr val="000000"/>
    </a:dk2>
    <a:lt2>
      <a:srgbClr val="FEFFFF"/>
    </a:lt2>
    <a:accent1>
      <a:srgbClr val="4877F7"/>
    </a:accent1>
    <a:accent2>
      <a:srgbClr val="9F74FF"/>
    </a:accent2>
    <a:accent3>
      <a:srgbClr val="FF6577"/>
    </a:accent3>
    <a:accent4>
      <a:srgbClr val="FF6B42"/>
    </a:accent4>
    <a:accent5>
      <a:srgbClr val="06BB9A"/>
    </a:accent5>
    <a:accent6>
      <a:srgbClr val="F4BA1C"/>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5870</Words>
  <Characters>6236</Characters>
  <Lines>61</Lines>
  <Paragraphs>17</Paragraphs>
  <TotalTime>3</TotalTime>
  <ScaleCrop>false</ScaleCrop>
  <LinksUpToDate>false</LinksUpToDate>
  <CharactersWithSpaces>6295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2025-10-17T08:50:52Z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