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D08651">
      <w:pPr>
        <w:spacing w:line="600" w:lineRule="exact"/>
        <w:jc w:val="left"/>
        <w:outlineLvl w:val="9"/>
        <w:rPr>
          <w:rFonts w:ascii="方正小标宋简体" w:hAnsi="宋体" w:eastAsia="方正小标宋简体"/>
          <w:szCs w:val="21"/>
        </w:rPr>
      </w:pPr>
      <w:bookmarkStart w:id="0" w:name="_Toc15306267"/>
    </w:p>
    <w:p w14:paraId="5D054044">
      <w:pPr>
        <w:pStyle w:val="6"/>
        <w:spacing w:before="93"/>
      </w:pPr>
    </w:p>
    <w:p w14:paraId="25884E0D">
      <w:pPr>
        <w:spacing w:line="600" w:lineRule="exact"/>
        <w:jc w:val="center"/>
        <w:outlineLvl w:val="9"/>
        <w:rPr>
          <w:rFonts w:ascii="方正小标宋简体" w:hAnsi="宋体" w:eastAsia="方正小标宋简体"/>
          <w:sz w:val="72"/>
          <w:szCs w:val="72"/>
        </w:rPr>
      </w:pPr>
    </w:p>
    <w:p w14:paraId="70EC5083">
      <w:pPr>
        <w:spacing w:line="600" w:lineRule="exact"/>
        <w:jc w:val="center"/>
        <w:outlineLvl w:val="9"/>
        <w:rPr>
          <w:rFonts w:ascii="方正小标宋简体" w:hAnsi="宋体" w:eastAsia="方正小标宋简体"/>
          <w:sz w:val="72"/>
          <w:szCs w:val="72"/>
        </w:rPr>
      </w:pPr>
    </w:p>
    <w:p w14:paraId="21345F90">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77425"/>
      <w:bookmarkStart w:id="2" w:name="_Toc15377193"/>
      <w:bookmarkStart w:id="3" w:name="_Toc15396475"/>
      <w:bookmarkStart w:id="4" w:name="_Toc24369"/>
      <w:bookmarkStart w:id="5" w:name="_Toc15378441"/>
      <w:bookmarkStart w:id="6" w:name="_Toc15396597"/>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14:paraId="55A18100">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77426"/>
      <w:bookmarkStart w:id="8" w:name="_Toc15396598"/>
      <w:bookmarkStart w:id="9" w:name="_Toc15377194"/>
      <w:bookmarkStart w:id="10" w:name="_Toc22106"/>
      <w:bookmarkStart w:id="11" w:name="_Toc15378442"/>
      <w:bookmarkStart w:id="12" w:name="_Toc15396476"/>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val="en-US" w:eastAsia="zh-CN"/>
        </w:rPr>
        <w:t>阿坝州松潘县黄龙乡卫生院</w:t>
      </w:r>
      <w:r>
        <w:rPr>
          <w:rFonts w:hint="eastAsia" w:ascii="方正小标宋简体" w:hAnsi="方正小标宋简体" w:eastAsia="方正小标宋简体" w:cs="方正小标宋简体"/>
          <w:sz w:val="72"/>
          <w:szCs w:val="72"/>
        </w:rPr>
        <w:t>单位决算</w:t>
      </w:r>
      <w:bookmarkEnd w:id="7"/>
      <w:bookmarkEnd w:id="8"/>
      <w:bookmarkEnd w:id="9"/>
      <w:bookmarkEnd w:id="10"/>
      <w:bookmarkEnd w:id="11"/>
      <w:bookmarkEnd w:id="12"/>
      <w:bookmarkEnd w:id="13"/>
    </w:p>
    <w:p w14:paraId="429D1B0B">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7CB6188C">
      <w:pPr>
        <w:widowControl/>
        <w:jc w:val="center"/>
        <w:rPr>
          <w:rFonts w:ascii="黑体" w:hAnsi="黑体" w:eastAsia="黑体" w:cstheme="minorBidi"/>
          <w:sz w:val="28"/>
          <w:szCs w:val="28"/>
        </w:rPr>
      </w:pPr>
    </w:p>
    <w:p w14:paraId="6B55BAC4">
      <w:pPr>
        <w:pStyle w:val="12"/>
      </w:pPr>
      <w:r>
        <w:rPr>
          <w:rFonts w:hint="eastAsia"/>
        </w:rPr>
        <w:t>公开时间：202</w:t>
      </w:r>
      <w:r>
        <w:rPr>
          <w:rFonts w:hint="eastAsia"/>
          <w:lang w:val="en-US" w:eastAsia="zh-CN"/>
        </w:rPr>
        <w:t>4</w:t>
      </w:r>
      <w:r>
        <w:rPr>
          <w:rFonts w:hint="eastAsia"/>
        </w:rPr>
        <w:t>年9月</w:t>
      </w:r>
      <w:r>
        <w:rPr>
          <w:rFonts w:hint="eastAsia"/>
          <w:lang w:val="en-US" w:eastAsia="zh-CN"/>
        </w:rPr>
        <w:t>19</w:t>
      </w:r>
      <w:r>
        <w:rPr>
          <w:rFonts w:hint="eastAsia"/>
        </w:rPr>
        <w:t>日</w:t>
      </w:r>
    </w:p>
    <w:sdt>
      <w:sdtPr>
        <w:rPr>
          <w:rFonts w:ascii="宋体" w:hAnsi="宋体" w:eastAsia="宋体" w:cs="Times New Roman"/>
          <w:kern w:val="2"/>
          <w:sz w:val="21"/>
          <w:szCs w:val="24"/>
          <w:lang w:val="en-US" w:eastAsia="zh-CN" w:bidi="ar-SA"/>
        </w:rPr>
        <w:id w:val="147466893"/>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14:paraId="1E8ED850">
          <w:pPr>
            <w:spacing w:before="0" w:beforeLines="0" w:after="0" w:afterLines="0" w:line="240" w:lineRule="auto"/>
            <w:ind w:left="0" w:leftChars="0" w:right="0" w:rightChars="0" w:firstLine="0" w:firstLineChars="0"/>
            <w:jc w:val="center"/>
          </w:pPr>
        </w:p>
        <w:p w14:paraId="1DE0C83F">
          <w:pPr>
            <w:pStyle w:val="12"/>
            <w:tabs>
              <w:tab w:val="right" w:leader="dot" w:pos="8306"/>
              <w:tab w:val="clear" w:pos="8296"/>
            </w:tabs>
          </w:pPr>
          <w:r>
            <w:fldChar w:fldCharType="begin"/>
          </w:r>
          <w:r>
            <w:instrText xml:space="preserve">TOC \o "1-3" \h \u </w:instrText>
          </w:r>
          <w:r>
            <w:fldChar w:fldCharType="separate"/>
          </w:r>
          <w:r>
            <w:fldChar w:fldCharType="begin"/>
          </w:r>
          <w:r>
            <w:instrText xml:space="preserve"> HYPERLINK \l _Toc22640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_Toc22640 \h </w:instrText>
          </w:r>
          <w:r>
            <w:fldChar w:fldCharType="separate"/>
          </w:r>
          <w:r>
            <w:t>4</w:t>
          </w:r>
          <w:r>
            <w:fldChar w:fldCharType="end"/>
          </w:r>
          <w:r>
            <w:fldChar w:fldCharType="end"/>
          </w:r>
        </w:p>
        <w:p w14:paraId="1BAB57BA">
          <w:pPr>
            <w:pStyle w:val="13"/>
            <w:tabs>
              <w:tab w:val="right" w:leader="dot" w:pos="8306"/>
              <w:tab w:val="clear" w:pos="8296"/>
            </w:tabs>
          </w:pPr>
          <w:r>
            <w:fldChar w:fldCharType="begin"/>
          </w:r>
          <w:r>
            <w:instrText xml:space="preserve"> HYPERLINK \l _Toc9387 </w:instrText>
          </w:r>
          <w:r>
            <w:fldChar w:fldCharType="separate"/>
          </w:r>
          <w:r>
            <w:rPr>
              <w:rFonts w:hint="eastAsia" w:ascii="黑体" w:hAnsi="黑体" w:eastAsia="黑体"/>
              <w:bCs w:val="0"/>
            </w:rPr>
            <w:t>一、 主要职责</w:t>
          </w:r>
          <w:r>
            <w:tab/>
          </w:r>
          <w:r>
            <w:fldChar w:fldCharType="begin"/>
          </w:r>
          <w:r>
            <w:instrText xml:space="preserve"> PAGEREF _Toc9387 \h </w:instrText>
          </w:r>
          <w:r>
            <w:fldChar w:fldCharType="separate"/>
          </w:r>
          <w:r>
            <w:t>4</w:t>
          </w:r>
          <w:r>
            <w:fldChar w:fldCharType="end"/>
          </w:r>
          <w:r>
            <w:fldChar w:fldCharType="end"/>
          </w:r>
        </w:p>
        <w:p w14:paraId="2B36F4EA">
          <w:pPr>
            <w:pStyle w:val="13"/>
            <w:tabs>
              <w:tab w:val="right" w:leader="dot" w:pos="8306"/>
              <w:tab w:val="clear" w:pos="8296"/>
            </w:tabs>
          </w:pPr>
          <w:r>
            <w:fldChar w:fldCharType="begin"/>
          </w:r>
          <w:r>
            <w:instrText xml:space="preserve"> HYPERLINK \l _Toc27887 </w:instrText>
          </w:r>
          <w:r>
            <w:fldChar w:fldCharType="separate"/>
          </w:r>
          <w:r>
            <w:rPr>
              <w:rFonts w:hint="eastAsia" w:ascii="黑体" w:hAnsi="黑体" w:eastAsia="黑体"/>
            </w:rPr>
            <w:t>二、 机构设置</w:t>
          </w:r>
          <w:r>
            <w:tab/>
          </w:r>
          <w:r>
            <w:fldChar w:fldCharType="begin"/>
          </w:r>
          <w:r>
            <w:instrText xml:space="preserve"> PAGEREF _Toc27887 \h </w:instrText>
          </w:r>
          <w:r>
            <w:fldChar w:fldCharType="separate"/>
          </w:r>
          <w:r>
            <w:t>5</w:t>
          </w:r>
          <w:r>
            <w:fldChar w:fldCharType="end"/>
          </w:r>
          <w:r>
            <w:fldChar w:fldCharType="end"/>
          </w:r>
        </w:p>
        <w:p w14:paraId="42FB2A26">
          <w:pPr>
            <w:pStyle w:val="12"/>
            <w:tabs>
              <w:tab w:val="right" w:leader="dot" w:pos="8306"/>
              <w:tab w:val="clear" w:pos="8296"/>
            </w:tabs>
          </w:pPr>
          <w:r>
            <w:fldChar w:fldCharType="begin"/>
          </w:r>
          <w:r>
            <w:instrText xml:space="preserve"> HYPERLINK \l _Toc24565 </w:instrText>
          </w:r>
          <w: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_Toc24565 \h </w:instrText>
          </w:r>
          <w:r>
            <w:fldChar w:fldCharType="separate"/>
          </w:r>
          <w:r>
            <w:t>6</w:t>
          </w:r>
          <w:r>
            <w:fldChar w:fldCharType="end"/>
          </w:r>
          <w:r>
            <w:fldChar w:fldCharType="end"/>
          </w:r>
        </w:p>
        <w:p w14:paraId="23F8AC78">
          <w:pPr>
            <w:pStyle w:val="13"/>
            <w:tabs>
              <w:tab w:val="right" w:leader="dot" w:pos="8306"/>
              <w:tab w:val="clear" w:pos="8296"/>
            </w:tabs>
          </w:pPr>
          <w:r>
            <w:fldChar w:fldCharType="begin"/>
          </w:r>
          <w:r>
            <w:instrText xml:space="preserve"> HYPERLINK \l _Toc27489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_Toc27489 \h </w:instrText>
          </w:r>
          <w:r>
            <w:fldChar w:fldCharType="separate"/>
          </w:r>
          <w:r>
            <w:t>6</w:t>
          </w:r>
          <w:r>
            <w:fldChar w:fldCharType="end"/>
          </w:r>
          <w:r>
            <w:fldChar w:fldCharType="end"/>
          </w:r>
        </w:p>
        <w:p w14:paraId="6E41BB4A">
          <w:pPr>
            <w:pStyle w:val="13"/>
            <w:tabs>
              <w:tab w:val="right" w:leader="dot" w:pos="8306"/>
              <w:tab w:val="clear" w:pos="8296"/>
            </w:tabs>
          </w:pPr>
          <w:r>
            <w:fldChar w:fldCharType="begin"/>
          </w:r>
          <w:r>
            <w:instrText xml:space="preserve"> HYPERLINK \l _Toc984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_Toc984 \h </w:instrText>
          </w:r>
          <w:r>
            <w:fldChar w:fldCharType="separate"/>
          </w:r>
          <w:r>
            <w:t>6</w:t>
          </w:r>
          <w:r>
            <w:fldChar w:fldCharType="end"/>
          </w:r>
          <w:r>
            <w:fldChar w:fldCharType="end"/>
          </w:r>
        </w:p>
        <w:p w14:paraId="7765B9EB">
          <w:pPr>
            <w:pStyle w:val="13"/>
            <w:tabs>
              <w:tab w:val="right" w:leader="dot" w:pos="8306"/>
              <w:tab w:val="clear" w:pos="8296"/>
            </w:tabs>
          </w:pPr>
          <w:r>
            <w:fldChar w:fldCharType="begin"/>
          </w:r>
          <w:r>
            <w:instrText xml:space="preserve"> HYPERLINK \l _Toc29677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_Toc29677 \h </w:instrText>
          </w:r>
          <w:r>
            <w:fldChar w:fldCharType="separate"/>
          </w:r>
          <w:r>
            <w:t>7</w:t>
          </w:r>
          <w:r>
            <w:fldChar w:fldCharType="end"/>
          </w:r>
          <w:r>
            <w:fldChar w:fldCharType="end"/>
          </w:r>
        </w:p>
        <w:p w14:paraId="731BD3D6">
          <w:pPr>
            <w:pStyle w:val="13"/>
            <w:tabs>
              <w:tab w:val="right" w:leader="dot" w:pos="8306"/>
              <w:tab w:val="clear" w:pos="8296"/>
            </w:tabs>
          </w:pPr>
          <w:r>
            <w:fldChar w:fldCharType="begin"/>
          </w:r>
          <w:r>
            <w:instrText xml:space="preserve"> HYPERLINK \l _Toc10048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_Toc10048 \h </w:instrText>
          </w:r>
          <w:r>
            <w:fldChar w:fldCharType="separate"/>
          </w:r>
          <w:r>
            <w:t>8</w:t>
          </w:r>
          <w:r>
            <w:fldChar w:fldCharType="end"/>
          </w:r>
          <w:r>
            <w:fldChar w:fldCharType="end"/>
          </w:r>
        </w:p>
        <w:p w14:paraId="186A5444">
          <w:pPr>
            <w:pStyle w:val="13"/>
            <w:tabs>
              <w:tab w:val="right" w:leader="dot" w:pos="8306"/>
              <w:tab w:val="clear" w:pos="8296"/>
            </w:tabs>
          </w:pPr>
          <w:r>
            <w:fldChar w:fldCharType="begin"/>
          </w:r>
          <w:r>
            <w:instrText xml:space="preserve"> HYPERLINK \l _Toc274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_Toc274 \h </w:instrText>
          </w:r>
          <w:r>
            <w:fldChar w:fldCharType="separate"/>
          </w:r>
          <w:r>
            <w:t>9</w:t>
          </w:r>
          <w:r>
            <w:fldChar w:fldCharType="end"/>
          </w:r>
          <w:r>
            <w:fldChar w:fldCharType="end"/>
          </w:r>
        </w:p>
        <w:p w14:paraId="73BAA33C">
          <w:pPr>
            <w:pStyle w:val="8"/>
            <w:tabs>
              <w:tab w:val="right" w:leader="dot" w:pos="8306"/>
              <w:tab w:val="clear" w:pos="8296"/>
            </w:tabs>
          </w:pPr>
          <w:r>
            <w:fldChar w:fldCharType="begin"/>
          </w:r>
          <w:r>
            <w:instrText xml:space="preserve"> HYPERLINK \l _Toc23173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_Toc23173 \h </w:instrText>
          </w:r>
          <w:r>
            <w:fldChar w:fldCharType="separate"/>
          </w:r>
          <w:r>
            <w:t>9</w:t>
          </w:r>
          <w:r>
            <w:fldChar w:fldCharType="end"/>
          </w:r>
          <w:r>
            <w:fldChar w:fldCharType="end"/>
          </w:r>
        </w:p>
        <w:p w14:paraId="264B45C3">
          <w:pPr>
            <w:pStyle w:val="8"/>
            <w:tabs>
              <w:tab w:val="right" w:leader="dot" w:pos="8306"/>
              <w:tab w:val="clear" w:pos="8296"/>
            </w:tabs>
          </w:pPr>
          <w:r>
            <w:fldChar w:fldCharType="begin"/>
          </w:r>
          <w:r>
            <w:instrText xml:space="preserve"> HYPERLINK \l _Toc14052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_Toc14052 \h </w:instrText>
          </w:r>
          <w:r>
            <w:fldChar w:fldCharType="separate"/>
          </w:r>
          <w:r>
            <w:t>9</w:t>
          </w:r>
          <w:r>
            <w:fldChar w:fldCharType="end"/>
          </w:r>
          <w:r>
            <w:fldChar w:fldCharType="end"/>
          </w:r>
        </w:p>
        <w:p w14:paraId="0FAE1BEA">
          <w:pPr>
            <w:pStyle w:val="8"/>
            <w:tabs>
              <w:tab w:val="right" w:leader="dot" w:pos="8306"/>
              <w:tab w:val="clear" w:pos="8296"/>
            </w:tabs>
          </w:pPr>
          <w:r>
            <w:fldChar w:fldCharType="begin"/>
          </w:r>
          <w:r>
            <w:instrText xml:space="preserve"> HYPERLINK \l _Toc20309 </w:instrText>
          </w:r>
          <w:r>
            <w:fldChar w:fldCharType="separate"/>
          </w:r>
          <w:r>
            <w:rPr>
              <w:rFonts w:hint="eastAsia" w:ascii="仿宋" w:hAnsi="仿宋" w:eastAsia="仿宋"/>
              <w:szCs w:val="32"/>
            </w:rPr>
            <w:t>（三）一般公共预算财政拨款支出决算具体情况</w:t>
          </w:r>
          <w:r>
            <w:tab/>
          </w:r>
          <w:r>
            <w:fldChar w:fldCharType="begin"/>
          </w:r>
          <w:r>
            <w:instrText xml:space="preserve"> PAGEREF _Toc20309 \h </w:instrText>
          </w:r>
          <w:r>
            <w:fldChar w:fldCharType="separate"/>
          </w:r>
          <w:r>
            <w:t>10</w:t>
          </w:r>
          <w:r>
            <w:fldChar w:fldCharType="end"/>
          </w:r>
          <w:r>
            <w:fldChar w:fldCharType="end"/>
          </w:r>
        </w:p>
        <w:p w14:paraId="0070E954">
          <w:pPr>
            <w:pStyle w:val="13"/>
            <w:tabs>
              <w:tab w:val="right" w:leader="dot" w:pos="8306"/>
              <w:tab w:val="clear" w:pos="8296"/>
            </w:tabs>
          </w:pPr>
          <w:r>
            <w:fldChar w:fldCharType="begin"/>
          </w:r>
          <w:r>
            <w:instrText xml:space="preserve"> HYPERLINK \l _Toc1480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_Toc1480 \h </w:instrText>
          </w:r>
          <w:r>
            <w:fldChar w:fldCharType="separate"/>
          </w:r>
          <w:r>
            <w:t>11</w:t>
          </w:r>
          <w:r>
            <w:fldChar w:fldCharType="end"/>
          </w:r>
          <w:r>
            <w:fldChar w:fldCharType="end"/>
          </w:r>
        </w:p>
        <w:p w14:paraId="11B9DCD8">
          <w:pPr>
            <w:pStyle w:val="13"/>
            <w:tabs>
              <w:tab w:val="right" w:leader="dot" w:pos="8306"/>
              <w:tab w:val="clear" w:pos="8296"/>
            </w:tabs>
          </w:pPr>
          <w:r>
            <w:fldChar w:fldCharType="begin"/>
          </w:r>
          <w:r>
            <w:instrText xml:space="preserve"> HYPERLINK \l _Toc27309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_Toc27309 \h </w:instrText>
          </w:r>
          <w:r>
            <w:fldChar w:fldCharType="separate"/>
          </w:r>
          <w:r>
            <w:t>12</w:t>
          </w:r>
          <w:r>
            <w:fldChar w:fldCharType="end"/>
          </w:r>
          <w:r>
            <w:fldChar w:fldCharType="end"/>
          </w:r>
        </w:p>
        <w:p w14:paraId="465846CF">
          <w:pPr>
            <w:pStyle w:val="8"/>
            <w:tabs>
              <w:tab w:val="right" w:leader="dot" w:pos="8306"/>
              <w:tab w:val="clear" w:pos="8296"/>
            </w:tabs>
          </w:pPr>
          <w:r>
            <w:fldChar w:fldCharType="begin"/>
          </w:r>
          <w:r>
            <w:instrText xml:space="preserve"> HYPERLINK \l _Toc24707 </w:instrText>
          </w:r>
          <w:r>
            <w:fldChar w:fldCharType="separate"/>
          </w:r>
          <w:r>
            <w:rPr>
              <w:rFonts w:hint="eastAsia" w:ascii="仿宋" w:hAnsi="仿宋" w:eastAsia="仿宋"/>
              <w:szCs w:val="32"/>
            </w:rPr>
            <w:t>（一）“三公”经费财政拨款支出决算总体情况说明</w:t>
          </w:r>
          <w:r>
            <w:tab/>
          </w:r>
          <w:r>
            <w:fldChar w:fldCharType="begin"/>
          </w:r>
          <w:r>
            <w:instrText xml:space="preserve"> PAGEREF _Toc24707 \h </w:instrText>
          </w:r>
          <w:r>
            <w:fldChar w:fldCharType="separate"/>
          </w:r>
          <w:r>
            <w:t>12</w:t>
          </w:r>
          <w:r>
            <w:fldChar w:fldCharType="end"/>
          </w:r>
          <w:r>
            <w:fldChar w:fldCharType="end"/>
          </w:r>
        </w:p>
        <w:p w14:paraId="62E9F9C2">
          <w:pPr>
            <w:pStyle w:val="8"/>
            <w:tabs>
              <w:tab w:val="right" w:leader="dot" w:pos="8306"/>
              <w:tab w:val="clear" w:pos="8296"/>
            </w:tabs>
          </w:pPr>
          <w:r>
            <w:fldChar w:fldCharType="begin"/>
          </w:r>
          <w:r>
            <w:instrText xml:space="preserve"> HYPERLINK \l _Toc25954 </w:instrText>
          </w:r>
          <w:r>
            <w:fldChar w:fldCharType="separate"/>
          </w:r>
          <w:r>
            <w:rPr>
              <w:rFonts w:hint="eastAsia" w:ascii="仿宋" w:hAnsi="仿宋" w:eastAsia="仿宋"/>
              <w:szCs w:val="32"/>
            </w:rPr>
            <w:t>（二）“三公”经费财政拨款支出决算具体情况说明</w:t>
          </w:r>
          <w:r>
            <w:tab/>
          </w:r>
          <w:r>
            <w:fldChar w:fldCharType="begin"/>
          </w:r>
          <w:r>
            <w:instrText xml:space="preserve"> PAGEREF _Toc25954 \h </w:instrText>
          </w:r>
          <w:r>
            <w:fldChar w:fldCharType="separate"/>
          </w:r>
          <w:r>
            <w:t>12</w:t>
          </w:r>
          <w:r>
            <w:fldChar w:fldCharType="end"/>
          </w:r>
          <w:r>
            <w:fldChar w:fldCharType="end"/>
          </w:r>
        </w:p>
        <w:p w14:paraId="4E6E17AF">
          <w:pPr>
            <w:pStyle w:val="13"/>
            <w:tabs>
              <w:tab w:val="right" w:leader="dot" w:pos="8306"/>
              <w:tab w:val="clear" w:pos="8296"/>
            </w:tabs>
          </w:pPr>
          <w:r>
            <w:fldChar w:fldCharType="begin"/>
          </w:r>
          <w:r>
            <w:instrText xml:space="preserve"> HYPERLINK \l _Toc26572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_Toc26572 \h </w:instrText>
          </w:r>
          <w:r>
            <w:fldChar w:fldCharType="separate"/>
          </w:r>
          <w:r>
            <w:t>13</w:t>
          </w:r>
          <w:r>
            <w:fldChar w:fldCharType="end"/>
          </w:r>
          <w:r>
            <w:fldChar w:fldCharType="end"/>
          </w:r>
        </w:p>
        <w:p w14:paraId="4705A31F">
          <w:pPr>
            <w:pStyle w:val="13"/>
            <w:tabs>
              <w:tab w:val="right" w:leader="dot" w:pos="8306"/>
              <w:tab w:val="clear" w:pos="8296"/>
            </w:tabs>
          </w:pPr>
          <w:r>
            <w:fldChar w:fldCharType="begin"/>
          </w:r>
          <w:r>
            <w:instrText xml:space="preserve"> HYPERLINK \l _Toc8429 </w:instrText>
          </w:r>
          <w:r>
            <w:fldChar w:fldCharType="separate"/>
          </w:r>
          <w:r>
            <w:rPr>
              <w:rFonts w:hint="eastAsia" w:ascii="黑体" w:hAnsi="黑体" w:eastAsia="黑体"/>
            </w:rPr>
            <w:t>九、 国有资本经营预算支出决算情况说明</w:t>
          </w:r>
          <w:r>
            <w:tab/>
          </w:r>
          <w:r>
            <w:fldChar w:fldCharType="begin"/>
          </w:r>
          <w:r>
            <w:instrText xml:space="preserve"> PAGEREF _Toc8429 \h </w:instrText>
          </w:r>
          <w:r>
            <w:fldChar w:fldCharType="separate"/>
          </w:r>
          <w:r>
            <w:t>13</w:t>
          </w:r>
          <w:r>
            <w:fldChar w:fldCharType="end"/>
          </w:r>
          <w:r>
            <w:fldChar w:fldCharType="end"/>
          </w:r>
        </w:p>
        <w:p w14:paraId="3C11F4BF">
          <w:pPr>
            <w:pStyle w:val="13"/>
            <w:tabs>
              <w:tab w:val="right" w:leader="dot" w:pos="8306"/>
              <w:tab w:val="clear" w:pos="8296"/>
            </w:tabs>
          </w:pPr>
          <w:r>
            <w:fldChar w:fldCharType="begin"/>
          </w:r>
          <w:r>
            <w:instrText xml:space="preserve"> HYPERLINK \l _Toc6687 </w:instrText>
          </w:r>
          <w:r>
            <w:fldChar w:fldCharType="separate"/>
          </w:r>
          <w:r>
            <w:rPr>
              <w:rFonts w:hint="eastAsia" w:ascii="黑体" w:hAnsi="黑体" w:eastAsia="黑体"/>
            </w:rPr>
            <w:t>十、 其他重要事项的情况说明</w:t>
          </w:r>
          <w:r>
            <w:tab/>
          </w:r>
          <w:r>
            <w:fldChar w:fldCharType="begin"/>
          </w:r>
          <w:r>
            <w:instrText xml:space="preserve"> PAGEREF _Toc6687 \h </w:instrText>
          </w:r>
          <w:r>
            <w:fldChar w:fldCharType="separate"/>
          </w:r>
          <w:r>
            <w:t>13</w:t>
          </w:r>
          <w:r>
            <w:fldChar w:fldCharType="end"/>
          </w:r>
          <w:r>
            <w:fldChar w:fldCharType="end"/>
          </w:r>
        </w:p>
        <w:p w14:paraId="6DC099AF">
          <w:pPr>
            <w:pStyle w:val="8"/>
            <w:tabs>
              <w:tab w:val="right" w:leader="dot" w:pos="8306"/>
              <w:tab w:val="clear" w:pos="8296"/>
            </w:tabs>
          </w:pPr>
          <w:r>
            <w:fldChar w:fldCharType="begin"/>
          </w:r>
          <w:r>
            <w:instrText xml:space="preserve"> HYPERLINK \l _Toc20406 </w:instrText>
          </w:r>
          <w:r>
            <w:fldChar w:fldCharType="separate"/>
          </w:r>
          <w:r>
            <w:rPr>
              <w:rFonts w:hint="eastAsia" w:ascii="仿宋" w:hAnsi="仿宋" w:eastAsia="仿宋"/>
              <w:szCs w:val="32"/>
            </w:rPr>
            <w:t>（一）机关运行经费支出情况</w:t>
          </w:r>
          <w:r>
            <w:tab/>
          </w:r>
          <w:r>
            <w:fldChar w:fldCharType="begin"/>
          </w:r>
          <w:r>
            <w:instrText xml:space="preserve"> PAGEREF _Toc20406 \h </w:instrText>
          </w:r>
          <w:r>
            <w:fldChar w:fldCharType="separate"/>
          </w:r>
          <w:r>
            <w:t>13</w:t>
          </w:r>
          <w:r>
            <w:fldChar w:fldCharType="end"/>
          </w:r>
          <w:r>
            <w:fldChar w:fldCharType="end"/>
          </w:r>
        </w:p>
        <w:p w14:paraId="4568B49C">
          <w:pPr>
            <w:pStyle w:val="8"/>
            <w:tabs>
              <w:tab w:val="right" w:leader="dot" w:pos="8306"/>
              <w:tab w:val="clear" w:pos="8296"/>
            </w:tabs>
          </w:pPr>
          <w:r>
            <w:fldChar w:fldCharType="begin"/>
          </w:r>
          <w:r>
            <w:instrText xml:space="preserve"> HYPERLINK \l _Toc24224 </w:instrText>
          </w:r>
          <w:r>
            <w:fldChar w:fldCharType="separate"/>
          </w:r>
          <w:r>
            <w:rPr>
              <w:rFonts w:hint="eastAsia" w:ascii="仿宋" w:hAnsi="仿宋" w:eastAsia="仿宋"/>
              <w:szCs w:val="32"/>
            </w:rPr>
            <w:t>（二）政府采购支出情况</w:t>
          </w:r>
          <w:r>
            <w:tab/>
          </w:r>
          <w:r>
            <w:fldChar w:fldCharType="begin"/>
          </w:r>
          <w:r>
            <w:instrText xml:space="preserve"> PAGEREF _Toc24224 \h </w:instrText>
          </w:r>
          <w:r>
            <w:fldChar w:fldCharType="separate"/>
          </w:r>
          <w:r>
            <w:t>14</w:t>
          </w:r>
          <w:r>
            <w:fldChar w:fldCharType="end"/>
          </w:r>
          <w:r>
            <w:fldChar w:fldCharType="end"/>
          </w:r>
        </w:p>
        <w:p w14:paraId="4F517C42">
          <w:pPr>
            <w:pStyle w:val="8"/>
            <w:tabs>
              <w:tab w:val="right" w:leader="dot" w:pos="8306"/>
              <w:tab w:val="clear" w:pos="8296"/>
            </w:tabs>
          </w:pPr>
          <w:r>
            <w:fldChar w:fldCharType="begin"/>
          </w:r>
          <w:r>
            <w:instrText xml:space="preserve"> HYPERLINK \l _Toc10566 </w:instrText>
          </w:r>
          <w:r>
            <w:fldChar w:fldCharType="separate"/>
          </w:r>
          <w:r>
            <w:rPr>
              <w:rFonts w:hint="eastAsia" w:ascii="仿宋" w:hAnsi="仿宋" w:eastAsia="仿宋"/>
              <w:szCs w:val="32"/>
            </w:rPr>
            <w:t>（三）国有资产占有使用情况</w:t>
          </w:r>
          <w:r>
            <w:tab/>
          </w:r>
          <w:r>
            <w:fldChar w:fldCharType="begin"/>
          </w:r>
          <w:r>
            <w:instrText xml:space="preserve"> PAGEREF _Toc10566 \h </w:instrText>
          </w:r>
          <w:r>
            <w:fldChar w:fldCharType="separate"/>
          </w:r>
          <w:r>
            <w:t>14</w:t>
          </w:r>
          <w:r>
            <w:fldChar w:fldCharType="end"/>
          </w:r>
          <w:r>
            <w:fldChar w:fldCharType="end"/>
          </w:r>
        </w:p>
        <w:p w14:paraId="3D02FF04">
          <w:pPr>
            <w:pStyle w:val="8"/>
            <w:tabs>
              <w:tab w:val="right" w:leader="dot" w:pos="8306"/>
              <w:tab w:val="clear" w:pos="8296"/>
            </w:tabs>
          </w:pPr>
          <w:r>
            <w:fldChar w:fldCharType="begin"/>
          </w:r>
          <w:r>
            <w:instrText xml:space="preserve"> HYPERLINK \l _Toc4057 </w:instrText>
          </w:r>
          <w:r>
            <w:fldChar w:fldCharType="separate"/>
          </w:r>
          <w:r>
            <w:rPr>
              <w:rFonts w:hint="eastAsia" w:ascii="仿宋" w:hAnsi="仿宋" w:eastAsia="仿宋"/>
              <w:szCs w:val="32"/>
            </w:rPr>
            <w:t>（四）预算绩效管理情况</w:t>
          </w:r>
          <w:r>
            <w:tab/>
          </w:r>
          <w:r>
            <w:fldChar w:fldCharType="begin"/>
          </w:r>
          <w:r>
            <w:instrText xml:space="preserve"> PAGEREF _Toc4057 \h </w:instrText>
          </w:r>
          <w:r>
            <w:fldChar w:fldCharType="separate"/>
          </w:r>
          <w:r>
            <w:t>14</w:t>
          </w:r>
          <w:r>
            <w:fldChar w:fldCharType="end"/>
          </w:r>
          <w:r>
            <w:fldChar w:fldCharType="end"/>
          </w:r>
        </w:p>
        <w:p w14:paraId="5C0CDBAB">
          <w:pPr>
            <w:pStyle w:val="12"/>
            <w:tabs>
              <w:tab w:val="right" w:leader="dot" w:pos="8306"/>
              <w:tab w:val="clear" w:pos="8296"/>
            </w:tabs>
          </w:pPr>
          <w:r>
            <w:fldChar w:fldCharType="begin"/>
          </w:r>
          <w:r>
            <w:instrText xml:space="preserve"> HYPERLINK \l _Toc17021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_Toc17021 \h </w:instrText>
          </w:r>
          <w:r>
            <w:fldChar w:fldCharType="separate"/>
          </w:r>
          <w:r>
            <w:t>16</w:t>
          </w:r>
          <w:r>
            <w:fldChar w:fldCharType="end"/>
          </w:r>
          <w:r>
            <w:fldChar w:fldCharType="end"/>
          </w:r>
        </w:p>
        <w:p w14:paraId="3F59A516">
          <w:pPr>
            <w:pStyle w:val="12"/>
            <w:tabs>
              <w:tab w:val="right" w:leader="dot" w:pos="8306"/>
              <w:tab w:val="clear" w:pos="8296"/>
            </w:tabs>
          </w:pPr>
          <w:r>
            <w:fldChar w:fldCharType="begin"/>
          </w:r>
          <w:r>
            <w:instrText xml:space="preserve"> HYPERLINK \l _Toc2469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_Toc2469 \h </w:instrText>
          </w:r>
          <w:r>
            <w:fldChar w:fldCharType="separate"/>
          </w:r>
          <w:r>
            <w:t>20</w:t>
          </w:r>
          <w:r>
            <w:fldChar w:fldCharType="end"/>
          </w:r>
          <w:r>
            <w:fldChar w:fldCharType="end"/>
          </w:r>
        </w:p>
        <w:p w14:paraId="210634A0">
          <w:pPr>
            <w:pStyle w:val="12"/>
            <w:tabs>
              <w:tab w:val="right" w:leader="dot" w:pos="8306"/>
              <w:tab w:val="clear" w:pos="8296"/>
            </w:tabs>
          </w:pPr>
          <w:r>
            <w:fldChar w:fldCharType="begin"/>
          </w:r>
          <w:r>
            <w:instrText xml:space="preserve"> HYPERLINK \l _Toc8292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_Toc8292 \h </w:instrText>
          </w:r>
          <w:r>
            <w:fldChar w:fldCharType="separate"/>
          </w:r>
          <w:r>
            <w:t>26</w:t>
          </w:r>
          <w:r>
            <w:fldChar w:fldCharType="end"/>
          </w:r>
          <w:r>
            <w:fldChar w:fldCharType="end"/>
          </w:r>
        </w:p>
        <w:p w14:paraId="4B8DB923">
          <w:pPr>
            <w:pStyle w:val="13"/>
            <w:tabs>
              <w:tab w:val="right" w:leader="dot" w:pos="8306"/>
              <w:tab w:val="clear" w:pos="8296"/>
            </w:tabs>
          </w:pPr>
          <w:r>
            <w:fldChar w:fldCharType="begin"/>
          </w:r>
          <w:r>
            <w:instrText xml:space="preserve"> HYPERLINK \l _Toc15159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_Toc15159 \h </w:instrText>
          </w:r>
          <w:r>
            <w:fldChar w:fldCharType="separate"/>
          </w:r>
          <w:r>
            <w:t>26</w:t>
          </w:r>
          <w:r>
            <w:fldChar w:fldCharType="end"/>
          </w:r>
          <w:r>
            <w:fldChar w:fldCharType="end"/>
          </w:r>
        </w:p>
        <w:p w14:paraId="6CE9D686">
          <w:pPr>
            <w:pStyle w:val="13"/>
            <w:tabs>
              <w:tab w:val="right" w:leader="dot" w:pos="8306"/>
              <w:tab w:val="clear" w:pos="8296"/>
            </w:tabs>
          </w:pPr>
          <w:r>
            <w:fldChar w:fldCharType="begin"/>
          </w:r>
          <w:r>
            <w:instrText xml:space="preserve"> HYPERLINK \l _Toc8829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_Toc8829 \h </w:instrText>
          </w:r>
          <w:r>
            <w:fldChar w:fldCharType="separate"/>
          </w:r>
          <w:r>
            <w:t>26</w:t>
          </w:r>
          <w:r>
            <w:fldChar w:fldCharType="end"/>
          </w:r>
          <w:r>
            <w:fldChar w:fldCharType="end"/>
          </w:r>
        </w:p>
        <w:p w14:paraId="4FD9BF8C">
          <w:pPr>
            <w:pStyle w:val="13"/>
            <w:tabs>
              <w:tab w:val="right" w:leader="dot" w:pos="8306"/>
              <w:tab w:val="clear" w:pos="8296"/>
            </w:tabs>
          </w:pPr>
          <w:r>
            <w:fldChar w:fldCharType="begin"/>
          </w:r>
          <w:r>
            <w:instrText xml:space="preserve"> HYPERLINK \l _Toc1695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_Toc1695 \h </w:instrText>
          </w:r>
          <w:r>
            <w:fldChar w:fldCharType="separate"/>
          </w:r>
          <w:r>
            <w:t>26</w:t>
          </w:r>
          <w:r>
            <w:fldChar w:fldCharType="end"/>
          </w:r>
          <w:r>
            <w:fldChar w:fldCharType="end"/>
          </w:r>
        </w:p>
        <w:p w14:paraId="086F70FE">
          <w:pPr>
            <w:pStyle w:val="13"/>
            <w:tabs>
              <w:tab w:val="right" w:leader="dot" w:pos="8306"/>
              <w:tab w:val="clear" w:pos="8296"/>
            </w:tabs>
          </w:pPr>
          <w:r>
            <w:fldChar w:fldCharType="begin"/>
          </w:r>
          <w:r>
            <w:instrText xml:space="preserve"> HYPERLINK \l _Toc2250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_Toc2250 \h </w:instrText>
          </w:r>
          <w:r>
            <w:fldChar w:fldCharType="separate"/>
          </w:r>
          <w:r>
            <w:t>26</w:t>
          </w:r>
          <w:r>
            <w:fldChar w:fldCharType="end"/>
          </w:r>
          <w:r>
            <w:fldChar w:fldCharType="end"/>
          </w:r>
        </w:p>
        <w:p w14:paraId="21483D65">
          <w:pPr>
            <w:pStyle w:val="13"/>
            <w:tabs>
              <w:tab w:val="right" w:leader="dot" w:pos="8306"/>
              <w:tab w:val="clear" w:pos="8296"/>
            </w:tabs>
          </w:pPr>
          <w:r>
            <w:fldChar w:fldCharType="begin"/>
          </w:r>
          <w:r>
            <w:instrText xml:space="preserve"> HYPERLINK \l _Toc16706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_Toc16706 \h </w:instrText>
          </w:r>
          <w:r>
            <w:fldChar w:fldCharType="separate"/>
          </w:r>
          <w:r>
            <w:t>26</w:t>
          </w:r>
          <w:r>
            <w:fldChar w:fldCharType="end"/>
          </w:r>
          <w:r>
            <w:fldChar w:fldCharType="end"/>
          </w:r>
        </w:p>
        <w:p w14:paraId="0BBFAD7B">
          <w:pPr>
            <w:pStyle w:val="13"/>
            <w:tabs>
              <w:tab w:val="right" w:leader="dot" w:pos="8306"/>
              <w:tab w:val="clear" w:pos="8296"/>
            </w:tabs>
          </w:pPr>
          <w:r>
            <w:fldChar w:fldCharType="begin"/>
          </w:r>
          <w:r>
            <w:instrText xml:space="preserve"> HYPERLINK \l _Toc15077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_Toc15077 \h </w:instrText>
          </w:r>
          <w:r>
            <w:fldChar w:fldCharType="separate"/>
          </w:r>
          <w:r>
            <w:t>26</w:t>
          </w:r>
          <w:r>
            <w:fldChar w:fldCharType="end"/>
          </w:r>
          <w:r>
            <w:fldChar w:fldCharType="end"/>
          </w:r>
        </w:p>
        <w:p w14:paraId="2C0E3842">
          <w:pPr>
            <w:pStyle w:val="13"/>
            <w:tabs>
              <w:tab w:val="right" w:leader="dot" w:pos="8306"/>
              <w:tab w:val="clear" w:pos="8296"/>
            </w:tabs>
          </w:pPr>
          <w:r>
            <w:fldChar w:fldCharType="begin"/>
          </w:r>
          <w:r>
            <w:instrText xml:space="preserve"> HYPERLINK \l _Toc1293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_Toc1293 \h </w:instrText>
          </w:r>
          <w:r>
            <w:fldChar w:fldCharType="separate"/>
          </w:r>
          <w:r>
            <w:t>26</w:t>
          </w:r>
          <w:r>
            <w:fldChar w:fldCharType="end"/>
          </w:r>
          <w:r>
            <w:fldChar w:fldCharType="end"/>
          </w:r>
        </w:p>
        <w:p w14:paraId="2425D271">
          <w:pPr>
            <w:pStyle w:val="13"/>
            <w:tabs>
              <w:tab w:val="right" w:leader="dot" w:pos="8306"/>
              <w:tab w:val="clear" w:pos="8296"/>
            </w:tabs>
          </w:pPr>
          <w:r>
            <w:fldChar w:fldCharType="begin"/>
          </w:r>
          <w:r>
            <w:instrText xml:space="preserve"> HYPERLINK \l _Toc24785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_Toc24785 \h </w:instrText>
          </w:r>
          <w:r>
            <w:fldChar w:fldCharType="separate"/>
          </w:r>
          <w:r>
            <w:t>26</w:t>
          </w:r>
          <w:r>
            <w:fldChar w:fldCharType="end"/>
          </w:r>
          <w:r>
            <w:fldChar w:fldCharType="end"/>
          </w:r>
        </w:p>
        <w:p w14:paraId="2FCA6B2F">
          <w:pPr>
            <w:pStyle w:val="13"/>
            <w:tabs>
              <w:tab w:val="right" w:leader="dot" w:pos="8306"/>
              <w:tab w:val="clear" w:pos="8296"/>
            </w:tabs>
          </w:pPr>
          <w:r>
            <w:fldChar w:fldCharType="begin"/>
          </w:r>
          <w:r>
            <w:instrText xml:space="preserve"> HYPERLINK \l _Toc16511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_Toc16511 \h </w:instrText>
          </w:r>
          <w:r>
            <w:fldChar w:fldCharType="separate"/>
          </w:r>
          <w:r>
            <w:t>26</w:t>
          </w:r>
          <w:r>
            <w:fldChar w:fldCharType="end"/>
          </w:r>
          <w:r>
            <w:fldChar w:fldCharType="end"/>
          </w:r>
        </w:p>
        <w:p w14:paraId="717E7DEA">
          <w:pPr>
            <w:pStyle w:val="13"/>
            <w:tabs>
              <w:tab w:val="right" w:leader="dot" w:pos="8306"/>
              <w:tab w:val="clear" w:pos="8296"/>
            </w:tabs>
          </w:pPr>
          <w:r>
            <w:fldChar w:fldCharType="begin"/>
          </w:r>
          <w:r>
            <w:instrText xml:space="preserve"> HYPERLINK \l _Toc9080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_Toc9080 \h </w:instrText>
          </w:r>
          <w:r>
            <w:fldChar w:fldCharType="separate"/>
          </w:r>
          <w:r>
            <w:t>26</w:t>
          </w:r>
          <w:r>
            <w:fldChar w:fldCharType="end"/>
          </w:r>
          <w:r>
            <w:fldChar w:fldCharType="end"/>
          </w:r>
        </w:p>
        <w:p w14:paraId="5B3A13A2">
          <w:pPr>
            <w:pStyle w:val="13"/>
            <w:tabs>
              <w:tab w:val="right" w:leader="dot" w:pos="8306"/>
              <w:tab w:val="clear" w:pos="8296"/>
            </w:tabs>
          </w:pPr>
          <w:r>
            <w:fldChar w:fldCharType="begin"/>
          </w:r>
          <w:r>
            <w:instrText xml:space="preserve"> HYPERLINK \l _Toc9142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_Toc9142 \h </w:instrText>
          </w:r>
          <w:r>
            <w:fldChar w:fldCharType="separate"/>
          </w:r>
          <w:r>
            <w:t>26</w:t>
          </w:r>
          <w:r>
            <w:fldChar w:fldCharType="end"/>
          </w:r>
          <w:r>
            <w:fldChar w:fldCharType="end"/>
          </w:r>
        </w:p>
        <w:p w14:paraId="2FD29BB6">
          <w:pPr>
            <w:pStyle w:val="13"/>
            <w:tabs>
              <w:tab w:val="right" w:leader="dot" w:pos="8306"/>
              <w:tab w:val="clear" w:pos="8296"/>
            </w:tabs>
          </w:pPr>
          <w:r>
            <w:fldChar w:fldCharType="begin"/>
          </w:r>
          <w:r>
            <w:instrText xml:space="preserve"> HYPERLINK \l _Toc23021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_Toc23021 \h </w:instrText>
          </w:r>
          <w:r>
            <w:fldChar w:fldCharType="separate"/>
          </w:r>
          <w:r>
            <w:t>26</w:t>
          </w:r>
          <w:r>
            <w:fldChar w:fldCharType="end"/>
          </w:r>
          <w:r>
            <w:fldChar w:fldCharType="end"/>
          </w:r>
        </w:p>
        <w:p w14:paraId="6A7E43A5">
          <w:pPr>
            <w:pStyle w:val="13"/>
            <w:tabs>
              <w:tab w:val="right" w:leader="dot" w:pos="8306"/>
              <w:tab w:val="clear" w:pos="8296"/>
            </w:tabs>
          </w:pPr>
          <w:r>
            <w:fldChar w:fldCharType="begin"/>
          </w:r>
          <w:r>
            <w:instrText xml:space="preserve"> HYPERLINK \l _Toc15136 </w:instrText>
          </w:r>
          <w:r>
            <w:fldChar w:fldCharType="separate"/>
          </w:r>
          <w:r>
            <w:rPr>
              <w:rFonts w:hint="eastAsia" w:ascii="仿宋" w:hAnsi="仿宋" w:eastAsia="仿宋"/>
              <w:bCs w:val="0"/>
            </w:rPr>
            <w:t>十三、财政拨款“三公”经费支出决算表</w:t>
          </w:r>
          <w:r>
            <w:tab/>
          </w:r>
          <w:r>
            <w:fldChar w:fldCharType="begin"/>
          </w:r>
          <w:r>
            <w:instrText xml:space="preserve"> PAGEREF _Toc15136 \h </w:instrText>
          </w:r>
          <w:r>
            <w:fldChar w:fldCharType="separate"/>
          </w:r>
          <w:r>
            <w:t>26</w:t>
          </w:r>
          <w:r>
            <w:fldChar w:fldCharType="end"/>
          </w:r>
          <w:r>
            <w:fldChar w:fldCharType="end"/>
          </w:r>
        </w:p>
        <w:p w14:paraId="28B2044A">
          <w:pPr>
            <w:rPr>
              <w:rFonts w:ascii="Times New Roman" w:hAnsi="Times New Roman" w:eastAsia="宋体" w:cs="Times New Roman"/>
              <w:kern w:val="2"/>
              <w:sz w:val="21"/>
              <w:szCs w:val="24"/>
              <w:lang w:val="en-US" w:eastAsia="zh-CN" w:bidi="ar-SA"/>
            </w:rPr>
          </w:pPr>
          <w:r>
            <w:fldChar w:fldCharType="end"/>
          </w:r>
        </w:p>
      </w:sdtContent>
    </w:sdt>
    <w:p w14:paraId="12780061">
      <w:pPr>
        <w:pStyle w:val="2"/>
      </w:pPr>
    </w:p>
    <w:p w14:paraId="7BEB73FC">
      <w:pPr>
        <w:widowControl/>
        <w:spacing w:line="440" w:lineRule="exact"/>
        <w:jc w:val="left"/>
        <w:rPr>
          <w:rFonts w:ascii="仿宋" w:hAnsi="仿宋" w:eastAsia="仿宋"/>
          <w:bCs/>
          <w:kern w:val="44"/>
          <w:sz w:val="24"/>
        </w:rPr>
      </w:pPr>
      <w:bookmarkStart w:id="14" w:name="_Toc15377196"/>
      <w:bookmarkStart w:id="15" w:name="_Toc15396599"/>
      <w:r>
        <w:rPr>
          <w:rFonts w:ascii="仿宋" w:hAnsi="仿宋" w:eastAsia="仿宋"/>
          <w:b/>
          <w:sz w:val="24"/>
        </w:rPr>
        <w:br w:type="page"/>
      </w:r>
    </w:p>
    <w:bookmarkEnd w:id="14"/>
    <w:bookmarkEnd w:id="15"/>
    <w:p w14:paraId="24F7A668">
      <w:pPr>
        <w:pStyle w:val="3"/>
        <w:keepNext w:val="0"/>
        <w:keepLines/>
        <w:pageBreakBefore w:val="0"/>
        <w:widowControl w:val="0"/>
        <w:kinsoku/>
        <w:wordWrap/>
        <w:overflowPunct/>
        <w:topLinePunct w:val="0"/>
        <w:autoSpaceDE/>
        <w:autoSpaceDN/>
        <w:bidi w:val="0"/>
        <w:adjustRightInd/>
        <w:snapToGrid/>
        <w:spacing w:before="0" w:after="0" w:line="560" w:lineRule="exact"/>
        <w:jc w:val="center"/>
        <w:textAlignment w:val="auto"/>
        <w:rPr>
          <w:rStyle w:val="29"/>
          <w:rFonts w:ascii="黑体" w:hAnsi="黑体" w:eastAsia="黑体"/>
          <w:b/>
          <w:bCs w:val="0"/>
        </w:rPr>
      </w:pPr>
      <w:bookmarkStart w:id="16" w:name="_Toc22640"/>
      <w:bookmarkStart w:id="17" w:name="_Toc1147_WPSOffice_Level1"/>
      <w:r>
        <w:rPr>
          <w:rFonts w:hint="eastAsia" w:ascii="黑体" w:hAnsi="黑体" w:eastAsia="黑体"/>
          <w:b w:val="0"/>
        </w:rPr>
        <w:t>第一部分 单位</w:t>
      </w:r>
      <w:r>
        <w:rPr>
          <w:rStyle w:val="29"/>
          <w:rFonts w:hint="eastAsia" w:ascii="黑体" w:hAnsi="黑体" w:eastAsia="黑体"/>
          <w:b w:val="0"/>
          <w:bCs w:val="0"/>
        </w:rPr>
        <w:t>概况</w:t>
      </w:r>
      <w:bookmarkEnd w:id="16"/>
      <w:bookmarkEnd w:id="17"/>
    </w:p>
    <w:p w14:paraId="302B5091">
      <w:pPr>
        <w:keepNext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p>
    <w:p w14:paraId="3A287B19">
      <w:pPr>
        <w:pStyle w:val="4"/>
        <w:numPr>
          <w:ilvl w:val="0"/>
          <w:numId w:val="1"/>
        </w:numPr>
        <w:rPr>
          <w:rStyle w:val="30"/>
          <w:rFonts w:ascii="黑体" w:hAnsi="黑体" w:eastAsia="黑体"/>
          <w:b w:val="0"/>
          <w:bCs w:val="0"/>
        </w:rPr>
      </w:pPr>
      <w:bookmarkStart w:id="18" w:name="_Toc12627_WPSOffice_Level2"/>
      <w:bookmarkStart w:id="19" w:name="_Toc9387"/>
      <w:bookmarkStart w:id="20" w:name="_Toc15377197"/>
      <w:bookmarkStart w:id="21" w:name="_Toc15396600"/>
      <w:r>
        <w:rPr>
          <w:rStyle w:val="30"/>
          <w:rFonts w:hint="eastAsia" w:ascii="黑体" w:hAnsi="黑体" w:eastAsia="黑体"/>
          <w:b w:val="0"/>
          <w:bCs w:val="0"/>
        </w:rPr>
        <w:t>主要职责</w:t>
      </w:r>
      <w:bookmarkEnd w:id="18"/>
      <w:bookmarkEnd w:id="19"/>
    </w:p>
    <w:p w14:paraId="16E4B20A">
      <w:r>
        <w:rPr>
          <w:rFonts w:hint="eastAsia" w:ascii="仿宋_GB2312" w:hAnsi="仿宋_GB2312" w:eastAsia="仿宋_GB2312" w:cs="仿宋_GB2312"/>
          <w:sz w:val="32"/>
          <w:szCs w:val="32"/>
          <w:lang w:val="en-US" w:eastAsia="zh-CN"/>
        </w:rPr>
        <w:t xml:space="preserve">   黄龙乡卫生院的职责：基本医疗服务，1、正确处理常见病、多发病，对疑难重症进行恰当处理并转诊。承担乡村现场应急救护、转诊服务和康复服务。2、卫生院具备能完成外科的止血、缝合、包扎、骨折固定等处置。3、健全消毒、隔离制度，遵守无菌操作规程，加强医疗质量管理。做好医疗废物处理和污水、污物无害化处理。4、执行国家基本药物制度药品集中采购、零差率销售等政策，为实施一体化管理的村卫生室统一代购药品。5、提供政府卫生行政部门批准的其他适宜的医疗服务。卫生院功能：公共卫生服务。1、承担农村居民健康档案规范建档指导、管理及服务。2、普及卫生保健常识，在重点人群和重点场所开展健康教育，帮助居民形成有利于维护和增进健康的行为方式。3、提供并组织实施辖区预防接种服务，落实国家免疫规划。4、及时发现、登记并报告辖区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辖区65岁及以上老年人进行登记管理，进行健康危险因素调查和一般体格检查，开展健康指导。8、对高血压、糖尿病等慢性病高危人群进行指导，对确诊高血压、糖尿病等慢性病病例进行登记管理、定期随访和健康指导。9、对辖区重性精神疾病患者进行登记管理、治疗随访和康复指导。10、负责辖区内突发公共卫生事件的报告并协助处理。11、做好卫生行政部门规定的其他公共卫生服务。</w:t>
      </w:r>
    </w:p>
    <w:p w14:paraId="034506F4">
      <w:pPr>
        <w:pStyle w:val="4"/>
        <w:numPr>
          <w:ilvl w:val="0"/>
          <w:numId w:val="1"/>
        </w:numPr>
        <w:ind w:left="0" w:leftChars="0" w:firstLine="0" w:firstLineChars="0"/>
        <w:rPr>
          <w:rFonts w:hint="eastAsia" w:ascii="黑体" w:hAnsi="黑体" w:eastAsia="黑体"/>
          <w:b w:val="0"/>
        </w:rPr>
      </w:pPr>
      <w:bookmarkStart w:id="22" w:name="_Toc27887"/>
      <w:bookmarkStart w:id="23" w:name="_Toc31750_WPSOffice_Level2"/>
      <w:r>
        <w:rPr>
          <w:rFonts w:hint="eastAsia" w:ascii="黑体" w:hAnsi="黑体" w:eastAsia="黑体"/>
          <w:b w:val="0"/>
        </w:rPr>
        <w:t>机构设置</w:t>
      </w:r>
      <w:bookmarkEnd w:id="22"/>
      <w:bookmarkEnd w:id="23"/>
    </w:p>
    <w:p w14:paraId="0E854FA7">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645" w:lineRule="atLeast"/>
        <w:ind w:left="0" w:right="0" w:firstLine="645"/>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松潘县黄龙乡卫生院为财政全额拨款的事业单位，内设机构如下：预防保健科、内科、外科；普通外科专业、妇产科、妇女保健科、儿科、儿童保健科、中医科。核定编制人数8人，截至2023年12月31日实有在职在编人数6人。</w:t>
      </w:r>
      <w:bookmarkStart w:id="116" w:name="_GoBack"/>
      <w:bookmarkEnd w:id="116"/>
    </w:p>
    <w:p w14:paraId="50378817">
      <w:pPr>
        <w:rPr>
          <w:rFonts w:hint="default" w:eastAsia="宋体"/>
          <w:lang w:val="en-US" w:eastAsia="zh-CN"/>
        </w:rPr>
      </w:pPr>
      <w:r>
        <w:rPr>
          <w:rFonts w:hint="default" w:ascii="仿宋_GB2312" w:hAnsi="仿宋_GB2312" w:eastAsia="仿宋_GB2312" w:cs="仿宋_GB2312"/>
          <w:kern w:val="2"/>
          <w:sz w:val="32"/>
          <w:szCs w:val="32"/>
          <w:lang w:val="en-US" w:eastAsia="zh-CN" w:bidi="ar-SA"/>
        </w:rPr>
        <w:t>   按照决算管理有关规定，</w:t>
      </w:r>
      <w:r>
        <w:rPr>
          <w:rFonts w:hint="eastAsia" w:ascii="仿宋_GB2312" w:hAnsi="仿宋_GB2312" w:eastAsia="仿宋_GB2312" w:cs="仿宋_GB2312"/>
          <w:kern w:val="2"/>
          <w:sz w:val="32"/>
          <w:szCs w:val="32"/>
          <w:lang w:val="en-US" w:eastAsia="zh-CN" w:bidi="ar-SA"/>
        </w:rPr>
        <w:t>2024</w:t>
      </w:r>
      <w:r>
        <w:rPr>
          <w:rFonts w:hint="default" w:ascii="仿宋_GB2312" w:hAnsi="仿宋_GB2312" w:eastAsia="仿宋_GB2312" w:cs="仿宋_GB2312"/>
          <w:kern w:val="2"/>
          <w:sz w:val="32"/>
          <w:szCs w:val="32"/>
          <w:lang w:val="en-US" w:eastAsia="zh-CN" w:bidi="ar-SA"/>
        </w:rPr>
        <w:t>年</w:t>
      </w:r>
      <w:r>
        <w:rPr>
          <w:rFonts w:hint="eastAsia" w:ascii="仿宋_GB2312" w:hAnsi="仿宋_GB2312" w:eastAsia="仿宋_GB2312" w:cs="仿宋_GB2312"/>
          <w:kern w:val="2"/>
          <w:sz w:val="32"/>
          <w:szCs w:val="32"/>
          <w:lang w:val="en-US" w:eastAsia="zh-CN" w:bidi="ar-SA"/>
        </w:rPr>
        <w:t>黄龙乡为</w:t>
      </w:r>
      <w:r>
        <w:rPr>
          <w:rFonts w:hint="default" w:ascii="仿宋_GB2312" w:hAnsi="仿宋_GB2312" w:eastAsia="仿宋_GB2312" w:cs="仿宋_GB2312"/>
          <w:kern w:val="2"/>
          <w:sz w:val="32"/>
          <w:szCs w:val="32"/>
          <w:lang w:val="en-US" w:eastAsia="zh-CN" w:bidi="ar-SA"/>
        </w:rPr>
        <w:t>卫生院决算编报内容为本级，无所属下级预算单位。</w:t>
      </w:r>
    </w:p>
    <w:bookmarkEnd w:id="20"/>
    <w:bookmarkEnd w:id="21"/>
    <w:p w14:paraId="5BA65611">
      <w:pPr>
        <w:widowControl/>
        <w:jc w:val="left"/>
        <w:rPr>
          <w:rFonts w:ascii="仿宋" w:hAnsi="仿宋" w:eastAsia="仿宋"/>
          <w:kern w:val="0"/>
          <w:sz w:val="32"/>
          <w:szCs w:val="32"/>
        </w:rPr>
      </w:pPr>
      <w:r>
        <w:rPr>
          <w:rFonts w:ascii="仿宋" w:hAnsi="仿宋" w:eastAsia="仿宋"/>
          <w:sz w:val="32"/>
          <w:szCs w:val="32"/>
        </w:rPr>
        <w:br w:type="page"/>
      </w:r>
    </w:p>
    <w:p w14:paraId="5C1A35A6">
      <w:pPr>
        <w:pStyle w:val="3"/>
        <w:ind w:right="440"/>
        <w:jc w:val="center"/>
        <w:rPr>
          <w:rStyle w:val="29"/>
          <w:rFonts w:ascii="黑体" w:hAnsi="黑体" w:eastAsia="黑体"/>
          <w:b w:val="0"/>
          <w:bCs/>
        </w:rPr>
      </w:pPr>
      <w:bookmarkStart w:id="24" w:name="_Toc15396602"/>
      <w:bookmarkStart w:id="25" w:name="_Toc24565"/>
      <w:bookmarkStart w:id="26" w:name="_Toc15377204"/>
      <w:r>
        <w:rPr>
          <w:rFonts w:hint="eastAsia" w:ascii="黑体" w:hAnsi="黑体" w:eastAsia="黑体"/>
          <w:b w:val="0"/>
        </w:rPr>
        <w:t>第二部分 2023年度</w:t>
      </w:r>
      <w:r>
        <w:rPr>
          <w:rStyle w:val="29"/>
          <w:rFonts w:hint="eastAsia" w:ascii="黑体" w:hAnsi="黑体" w:eastAsia="黑体"/>
          <w:b w:val="0"/>
          <w:bCs/>
        </w:rPr>
        <w:t>单位决算情况说明</w:t>
      </w:r>
      <w:bookmarkEnd w:id="24"/>
      <w:bookmarkEnd w:id="25"/>
      <w:bookmarkEnd w:id="26"/>
    </w:p>
    <w:p w14:paraId="106626B3"/>
    <w:p w14:paraId="01958497">
      <w:pPr>
        <w:pStyle w:val="28"/>
        <w:numPr>
          <w:ilvl w:val="0"/>
          <w:numId w:val="2"/>
        </w:numPr>
        <w:spacing w:line="600" w:lineRule="exact"/>
        <w:ind w:firstLineChars="0"/>
        <w:outlineLvl w:val="1"/>
        <w:rPr>
          <w:rStyle w:val="30"/>
          <w:rFonts w:ascii="黑体" w:hAnsi="黑体" w:eastAsia="黑体"/>
          <w:b w:val="0"/>
        </w:rPr>
      </w:pPr>
      <w:bookmarkStart w:id="27" w:name="_Toc15396603"/>
      <w:bookmarkStart w:id="28" w:name="_Toc15377205"/>
      <w:bookmarkStart w:id="29" w:name="_Toc27489"/>
      <w:r>
        <w:rPr>
          <w:rFonts w:hint="eastAsia" w:ascii="黑体" w:hAnsi="黑体" w:eastAsia="黑体"/>
          <w:sz w:val="32"/>
          <w:szCs w:val="32"/>
        </w:rPr>
        <w:t>收</w:t>
      </w:r>
      <w:r>
        <w:rPr>
          <w:rStyle w:val="30"/>
          <w:rFonts w:hint="eastAsia" w:ascii="黑体" w:hAnsi="黑体" w:eastAsia="黑体"/>
          <w:b w:val="0"/>
        </w:rPr>
        <w:t>入支出决算总体情况说明</w:t>
      </w:r>
      <w:bookmarkEnd w:id="27"/>
      <w:bookmarkEnd w:id="28"/>
      <w:bookmarkEnd w:id="29"/>
    </w:p>
    <w:p w14:paraId="43E9A733">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2023年度收、支总计均为</w:t>
      </w:r>
      <w:r>
        <w:rPr>
          <w:rFonts w:hint="eastAsia" w:ascii="仿宋" w:hAnsi="仿宋" w:eastAsia="仿宋"/>
          <w:b/>
          <w:sz w:val="32"/>
          <w:szCs w:val="32"/>
        </w:rPr>
        <w:t>137.54</w:t>
      </w:r>
      <w:r>
        <w:rPr>
          <w:rFonts w:hint="eastAsia" w:ascii="仿宋" w:hAnsi="仿宋" w:eastAsia="仿宋"/>
          <w:sz w:val="32"/>
          <w:szCs w:val="32"/>
        </w:rPr>
        <w:t>万元。与2022年度相比，收、支总计各</w:t>
      </w:r>
      <w:r>
        <w:rPr>
          <w:rFonts w:hint="eastAsia" w:ascii="仿宋" w:hAnsi="仿宋" w:eastAsia="仿宋"/>
          <w:sz w:val="32"/>
          <w:szCs w:val="32"/>
          <w:lang w:val="en-US" w:eastAsia="zh-CN"/>
        </w:rPr>
        <w:t>减少3.18</w:t>
      </w:r>
      <w:r>
        <w:rPr>
          <w:rFonts w:hint="eastAsia" w:ascii="仿宋" w:hAnsi="仿宋" w:eastAsia="仿宋"/>
          <w:sz w:val="32"/>
          <w:szCs w:val="32"/>
        </w:rPr>
        <w:t>万元，下降</w:t>
      </w:r>
      <w:r>
        <w:rPr>
          <w:rFonts w:hint="eastAsia" w:ascii="仿宋" w:hAnsi="仿宋" w:eastAsia="仿宋"/>
          <w:sz w:val="32"/>
          <w:szCs w:val="32"/>
          <w:lang w:val="en-US" w:eastAsia="zh-CN"/>
        </w:rPr>
        <w:t>2.26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收入减少</w:t>
      </w:r>
      <w:r>
        <w:rPr>
          <w:rFonts w:hint="eastAsia" w:ascii="仿宋" w:hAnsi="仿宋" w:eastAsia="仿宋"/>
          <w:sz w:val="32"/>
          <w:szCs w:val="32"/>
        </w:rPr>
        <w:t>。</w:t>
      </w:r>
    </w:p>
    <w:p w14:paraId="08200E91">
      <w:pPr>
        <w:pStyle w:val="2"/>
      </w:pPr>
      <w:r>
        <w:drawing>
          <wp:inline distT="0" distB="0" distL="114300" distR="114300">
            <wp:extent cx="5271135" cy="2715895"/>
            <wp:effectExtent l="4445" t="4445" r="20320" b="2286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27323B5">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0814C475">
      <w:pPr>
        <w:spacing w:line="600" w:lineRule="exact"/>
        <w:ind w:firstLine="640" w:firstLineChars="200"/>
        <w:jc w:val="left"/>
        <w:rPr>
          <w:rFonts w:ascii="仿宋_GB2312" w:eastAsia="仿宋_GB2312"/>
          <w:sz w:val="32"/>
          <w:szCs w:val="32"/>
        </w:rPr>
      </w:pPr>
    </w:p>
    <w:p w14:paraId="3559C3CD">
      <w:pPr>
        <w:pStyle w:val="28"/>
        <w:numPr>
          <w:ilvl w:val="0"/>
          <w:numId w:val="2"/>
        </w:numPr>
        <w:spacing w:line="600" w:lineRule="exact"/>
        <w:ind w:firstLineChars="0"/>
        <w:outlineLvl w:val="1"/>
        <w:rPr>
          <w:rStyle w:val="30"/>
          <w:rFonts w:ascii="黑体" w:hAnsi="黑体" w:eastAsia="黑体"/>
          <w:b w:val="0"/>
        </w:rPr>
      </w:pPr>
      <w:bookmarkStart w:id="30" w:name="_Toc984"/>
      <w:bookmarkStart w:id="31" w:name="_Toc15396604"/>
      <w:bookmarkStart w:id="32" w:name="_Toc15377206"/>
      <w:r>
        <w:rPr>
          <w:rFonts w:hint="eastAsia" w:ascii="黑体" w:hAnsi="黑体" w:eastAsia="黑体"/>
          <w:sz w:val="32"/>
          <w:szCs w:val="32"/>
        </w:rPr>
        <w:t>收</w:t>
      </w:r>
      <w:r>
        <w:rPr>
          <w:rStyle w:val="30"/>
          <w:rFonts w:hint="eastAsia" w:ascii="黑体" w:hAnsi="黑体" w:eastAsia="黑体"/>
          <w:b w:val="0"/>
        </w:rPr>
        <w:t>入决算情况说明</w:t>
      </w:r>
      <w:bookmarkEnd w:id="30"/>
      <w:bookmarkEnd w:id="31"/>
      <w:bookmarkEnd w:id="32"/>
    </w:p>
    <w:p w14:paraId="18B3BE10">
      <w:pPr>
        <w:spacing w:line="600" w:lineRule="exact"/>
        <w:ind w:firstLine="640" w:firstLineChars="200"/>
        <w:outlineLvl w:val="1"/>
        <w:rPr>
          <w:rFonts w:ascii="仿宋" w:hAnsi="仿宋" w:eastAsia="仿宋"/>
          <w:sz w:val="32"/>
          <w:szCs w:val="32"/>
        </w:rPr>
      </w:pPr>
      <w:bookmarkStart w:id="33" w:name="_Toc4528"/>
      <w:r>
        <w:rPr>
          <w:rFonts w:hint="eastAsia" w:ascii="仿宋" w:hAnsi="仿宋" w:eastAsia="仿宋"/>
          <w:sz w:val="32"/>
          <w:szCs w:val="32"/>
        </w:rPr>
        <w:t>2023年度本年收入合计</w:t>
      </w:r>
      <w:r>
        <w:rPr>
          <w:rFonts w:ascii="仿宋" w:hAnsi="仿宋" w:eastAsia="仿宋"/>
          <w:b/>
          <w:sz w:val="32"/>
          <w:szCs w:val="32"/>
        </w:rPr>
        <w:t>137.54</w:t>
      </w:r>
      <w:r>
        <w:rPr>
          <w:rFonts w:hint="eastAsia" w:ascii="仿宋" w:hAnsi="仿宋" w:eastAsia="仿宋"/>
          <w:sz w:val="32"/>
          <w:szCs w:val="32"/>
        </w:rPr>
        <w:t>万元，其中：一般公共预算财政拨款收入</w:t>
      </w:r>
      <w:r>
        <w:rPr>
          <w:rFonts w:ascii="仿宋" w:hAnsi="仿宋" w:eastAsia="仿宋"/>
          <w:b/>
          <w:sz w:val="32"/>
          <w:szCs w:val="32"/>
        </w:rPr>
        <w:t>133.88</w:t>
      </w:r>
      <w:r>
        <w:rPr>
          <w:rFonts w:hint="eastAsia" w:ascii="仿宋" w:hAnsi="仿宋" w:eastAsia="仿宋"/>
          <w:sz w:val="32"/>
          <w:szCs w:val="32"/>
        </w:rPr>
        <w:t>万元，占</w:t>
      </w:r>
      <w:r>
        <w:rPr>
          <w:rFonts w:ascii="仿宋" w:hAnsi="仿宋" w:eastAsia="仿宋"/>
          <w:b/>
          <w:sz w:val="32"/>
          <w:szCs w:val="32"/>
        </w:rPr>
        <w:t>97.33%</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3.66</w:t>
      </w:r>
      <w:r>
        <w:rPr>
          <w:rFonts w:hint="eastAsia" w:ascii="仿宋" w:hAnsi="仿宋" w:eastAsia="仿宋"/>
          <w:sz w:val="32"/>
          <w:szCs w:val="32"/>
        </w:rPr>
        <w:t>万元，占</w:t>
      </w:r>
      <w:r>
        <w:rPr>
          <w:rFonts w:ascii="仿宋" w:hAnsi="仿宋" w:eastAsia="仿宋"/>
          <w:b/>
          <w:sz w:val="32"/>
          <w:szCs w:val="32"/>
        </w:rPr>
        <w:t>2.66</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bookmarkEnd w:id="33"/>
    </w:p>
    <w:p w14:paraId="6F90FA9D">
      <w:pPr>
        <w:spacing w:line="600" w:lineRule="exact"/>
        <w:ind w:firstLine="643" w:firstLineChars="200"/>
        <w:outlineLvl w:val="2"/>
        <w:rPr>
          <w:rFonts w:ascii="仿宋" w:hAnsi="仿宋" w:eastAsia="仿宋"/>
          <w:b/>
          <w:sz w:val="32"/>
          <w:szCs w:val="32"/>
        </w:rPr>
      </w:pPr>
      <w:bookmarkStart w:id="34" w:name="_Toc3100"/>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bookmarkEnd w:id="34"/>
    </w:p>
    <w:p w14:paraId="0EFEDBE7">
      <w:r>
        <w:drawing>
          <wp:inline distT="0" distB="0" distL="114300" distR="114300">
            <wp:extent cx="5210175" cy="2743200"/>
            <wp:effectExtent l="4445" t="4445" r="5080"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47F32AD">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2F7FA9C8">
      <w:pPr>
        <w:spacing w:line="600" w:lineRule="exact"/>
        <w:ind w:firstLine="640" w:firstLineChars="200"/>
        <w:rPr>
          <w:rFonts w:ascii="仿宋_GB2312" w:eastAsia="仿宋_GB2312"/>
          <w:sz w:val="32"/>
          <w:szCs w:val="32"/>
        </w:rPr>
      </w:pPr>
    </w:p>
    <w:p w14:paraId="581B3CB4">
      <w:pPr>
        <w:pStyle w:val="28"/>
        <w:numPr>
          <w:ilvl w:val="0"/>
          <w:numId w:val="2"/>
        </w:numPr>
        <w:spacing w:line="600" w:lineRule="exact"/>
        <w:ind w:firstLineChars="0"/>
        <w:outlineLvl w:val="1"/>
        <w:rPr>
          <w:rStyle w:val="30"/>
          <w:rFonts w:ascii="黑体" w:hAnsi="黑体" w:eastAsia="黑体"/>
          <w:b w:val="0"/>
        </w:rPr>
      </w:pPr>
      <w:bookmarkStart w:id="35" w:name="_Toc15396605"/>
      <w:bookmarkStart w:id="36" w:name="_Toc29677"/>
      <w:bookmarkStart w:id="37" w:name="_Toc15377207"/>
      <w:r>
        <w:rPr>
          <w:rFonts w:hint="eastAsia" w:ascii="黑体" w:hAnsi="黑体" w:eastAsia="黑体"/>
          <w:sz w:val="32"/>
          <w:szCs w:val="32"/>
        </w:rPr>
        <w:t>支</w:t>
      </w:r>
      <w:r>
        <w:rPr>
          <w:rStyle w:val="30"/>
          <w:rFonts w:hint="eastAsia" w:ascii="黑体" w:hAnsi="黑体" w:eastAsia="黑体"/>
          <w:b w:val="0"/>
        </w:rPr>
        <w:t>出决算情况说明</w:t>
      </w:r>
      <w:bookmarkEnd w:id="35"/>
      <w:bookmarkEnd w:id="36"/>
      <w:bookmarkEnd w:id="37"/>
    </w:p>
    <w:p w14:paraId="27AB06A9">
      <w:pPr>
        <w:spacing w:line="600" w:lineRule="exact"/>
        <w:ind w:firstLine="640" w:firstLineChars="200"/>
        <w:outlineLvl w:val="1"/>
        <w:rPr>
          <w:rFonts w:ascii="仿宋" w:hAnsi="仿宋" w:eastAsia="仿宋"/>
          <w:sz w:val="32"/>
          <w:szCs w:val="32"/>
        </w:rPr>
      </w:pPr>
      <w:bookmarkStart w:id="38" w:name="_Toc11886"/>
      <w:r>
        <w:rPr>
          <w:rFonts w:hint="eastAsia" w:ascii="仿宋" w:hAnsi="仿宋" w:eastAsia="仿宋"/>
          <w:sz w:val="32"/>
          <w:szCs w:val="32"/>
        </w:rPr>
        <w:t>2023年度本年支出合计</w:t>
      </w:r>
      <w:r>
        <w:rPr>
          <w:rFonts w:ascii="仿宋" w:hAnsi="仿宋" w:eastAsia="仿宋"/>
          <w:b/>
          <w:sz w:val="32"/>
          <w:szCs w:val="32"/>
        </w:rPr>
        <w:t>137.54</w:t>
      </w:r>
      <w:r>
        <w:rPr>
          <w:rFonts w:hint="eastAsia" w:ascii="仿宋" w:hAnsi="仿宋" w:eastAsia="仿宋"/>
          <w:sz w:val="32"/>
          <w:szCs w:val="32"/>
        </w:rPr>
        <w:t>万元，其中：基本支出</w:t>
      </w:r>
      <w:r>
        <w:rPr>
          <w:rFonts w:ascii="仿宋" w:hAnsi="仿宋" w:eastAsia="仿宋"/>
          <w:b/>
          <w:sz w:val="32"/>
          <w:szCs w:val="32"/>
        </w:rPr>
        <w:t>119.54</w:t>
      </w:r>
      <w:r>
        <w:rPr>
          <w:rFonts w:hint="eastAsia" w:ascii="仿宋" w:hAnsi="仿宋" w:eastAsia="仿宋"/>
          <w:sz w:val="32"/>
          <w:szCs w:val="32"/>
        </w:rPr>
        <w:t>万元，占</w:t>
      </w:r>
      <w:r>
        <w:rPr>
          <w:rFonts w:ascii="仿宋" w:hAnsi="仿宋" w:eastAsia="仿宋"/>
          <w:b/>
          <w:sz w:val="32"/>
          <w:szCs w:val="32"/>
        </w:rPr>
        <w:t>86.91</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18</w:t>
      </w:r>
      <w:r>
        <w:rPr>
          <w:rFonts w:hint="eastAsia" w:ascii="仿宋" w:hAnsi="仿宋" w:eastAsia="仿宋"/>
          <w:sz w:val="32"/>
          <w:szCs w:val="32"/>
        </w:rPr>
        <w:t>万元，占</w:t>
      </w:r>
      <w:r>
        <w:rPr>
          <w:rFonts w:ascii="仿宋" w:hAnsi="仿宋" w:eastAsia="仿宋"/>
          <w:b/>
          <w:sz w:val="32"/>
          <w:szCs w:val="32"/>
        </w:rPr>
        <w:t>13.08</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bookmarkEnd w:id="38"/>
    </w:p>
    <w:p w14:paraId="35D61A40">
      <w:pPr>
        <w:spacing w:line="600" w:lineRule="exact"/>
        <w:ind w:firstLine="643" w:firstLineChars="200"/>
        <w:outlineLvl w:val="2"/>
        <w:rPr>
          <w:rFonts w:ascii="仿宋" w:hAnsi="仿宋" w:eastAsia="仿宋"/>
          <w:b/>
          <w:sz w:val="32"/>
          <w:szCs w:val="32"/>
        </w:rPr>
      </w:pPr>
      <w:bookmarkStart w:id="39" w:name="_Toc894"/>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bookmarkEnd w:id="39"/>
    </w:p>
    <w:p w14:paraId="301F8709">
      <w:pPr>
        <w:spacing w:line="600" w:lineRule="exact"/>
        <w:ind w:firstLine="640"/>
        <w:rPr>
          <w:rFonts w:ascii="仿宋" w:hAnsi="仿宋" w:eastAsia="仿宋"/>
          <w:sz w:val="32"/>
          <w:szCs w:val="32"/>
          <w:shd w:val="pct10" w:color="auto" w:fill="FFFFFF"/>
        </w:rPr>
      </w:pPr>
    </w:p>
    <w:p w14:paraId="693AA04A">
      <w:pPr>
        <w:pStyle w:val="2"/>
        <w:rPr>
          <w:rFonts w:ascii="仿宋" w:hAnsi="仿宋" w:eastAsia="仿宋"/>
          <w:sz w:val="32"/>
          <w:szCs w:val="32"/>
          <w:shd w:val="pct10" w:color="auto" w:fill="FFFFFF"/>
        </w:rPr>
      </w:pPr>
    </w:p>
    <w:p w14:paraId="77AD05D2">
      <w:pPr>
        <w:rPr>
          <w:rFonts w:ascii="仿宋" w:hAnsi="仿宋" w:eastAsia="仿宋"/>
          <w:sz w:val="32"/>
          <w:szCs w:val="32"/>
          <w:shd w:val="pct10" w:color="auto" w:fill="FFFFFF"/>
        </w:rPr>
      </w:pPr>
    </w:p>
    <w:p w14:paraId="7725D6BE">
      <w:pPr>
        <w:pStyle w:val="2"/>
      </w:pPr>
      <w:r>
        <w:drawing>
          <wp:inline distT="0" distB="0" distL="114300" distR="114300">
            <wp:extent cx="3991610" cy="2714625"/>
            <wp:effectExtent l="4445" t="4445" r="23495" b="508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E18B13B">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5F88BADF">
      <w:pPr>
        <w:spacing w:line="600" w:lineRule="exact"/>
        <w:ind w:firstLine="640" w:firstLineChars="200"/>
        <w:rPr>
          <w:rFonts w:ascii="仿宋_GB2312" w:eastAsia="仿宋_GB2312"/>
          <w:sz w:val="32"/>
          <w:szCs w:val="32"/>
        </w:rPr>
      </w:pPr>
    </w:p>
    <w:p w14:paraId="4F31AF00">
      <w:pPr>
        <w:spacing w:line="600" w:lineRule="exact"/>
        <w:ind w:firstLine="640" w:firstLineChars="200"/>
        <w:outlineLvl w:val="1"/>
        <w:rPr>
          <w:rStyle w:val="30"/>
          <w:rFonts w:ascii="黑体" w:hAnsi="黑体" w:eastAsia="黑体"/>
          <w:b w:val="0"/>
        </w:rPr>
      </w:pPr>
      <w:bookmarkStart w:id="40" w:name="_Toc15396606"/>
      <w:bookmarkStart w:id="41" w:name="_Toc10048"/>
      <w:bookmarkStart w:id="42" w:name="_Toc15377208"/>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40"/>
      <w:bookmarkEnd w:id="41"/>
      <w:bookmarkEnd w:id="42"/>
    </w:p>
    <w:p w14:paraId="63C6BC7F">
      <w:pPr>
        <w:spacing w:line="600" w:lineRule="exact"/>
        <w:ind w:firstLine="640"/>
        <w:rPr>
          <w:rFonts w:ascii="仿宋" w:hAnsi="仿宋" w:eastAsia="仿宋"/>
          <w:b/>
          <w:sz w:val="32"/>
          <w:szCs w:val="32"/>
        </w:rPr>
      </w:pPr>
      <w:r>
        <w:rPr>
          <w:rFonts w:hint="eastAsia" w:ascii="仿宋" w:hAnsi="仿宋" w:eastAsia="仿宋"/>
          <w:sz w:val="32"/>
          <w:szCs w:val="32"/>
        </w:rPr>
        <w:t>2023年度财政拨款收、支总计均为</w:t>
      </w:r>
      <w:r>
        <w:rPr>
          <w:rFonts w:ascii="仿宋" w:hAnsi="仿宋" w:eastAsia="仿宋"/>
          <w:b/>
          <w:sz w:val="32"/>
          <w:szCs w:val="32"/>
        </w:rPr>
        <w:t>133.88</w:t>
      </w:r>
      <w:r>
        <w:rPr>
          <w:rFonts w:hint="eastAsia" w:ascii="仿宋" w:hAnsi="仿宋" w:eastAsia="仿宋"/>
          <w:sz w:val="32"/>
          <w:szCs w:val="32"/>
        </w:rPr>
        <w:t>万元。与2022年度相比，财政拨款收、支总计各减少</w:t>
      </w:r>
      <w:r>
        <w:rPr>
          <w:rFonts w:hint="eastAsia" w:ascii="仿宋" w:hAnsi="仿宋" w:eastAsia="仿宋"/>
          <w:sz w:val="32"/>
          <w:szCs w:val="32"/>
          <w:lang w:val="en-US" w:eastAsia="zh-CN"/>
        </w:rPr>
        <w:t>6.84</w:t>
      </w:r>
      <w:r>
        <w:rPr>
          <w:rFonts w:hint="eastAsia" w:ascii="仿宋" w:hAnsi="仿宋" w:eastAsia="仿宋"/>
          <w:sz w:val="32"/>
          <w:szCs w:val="32"/>
        </w:rPr>
        <w:t>万元，下降</w:t>
      </w:r>
      <w:r>
        <w:rPr>
          <w:rFonts w:hint="eastAsia" w:ascii="仿宋" w:hAnsi="仿宋" w:eastAsia="仿宋"/>
          <w:sz w:val="32"/>
          <w:szCs w:val="32"/>
          <w:lang w:val="en-US" w:eastAsia="zh-CN"/>
        </w:rPr>
        <w:t>4.86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人员减少。</w:t>
      </w: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4F6750EF">
      <w:r>
        <w:drawing>
          <wp:inline distT="0" distB="0" distL="114300" distR="114300">
            <wp:extent cx="4572000" cy="2743200"/>
            <wp:effectExtent l="4445" t="4445" r="14605" b="14605"/>
            <wp:docPr id="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B11F6EB">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6C707DBA">
      <w:pPr>
        <w:spacing w:line="600" w:lineRule="exact"/>
        <w:ind w:firstLine="640"/>
        <w:rPr>
          <w:rFonts w:ascii="仿宋" w:hAnsi="仿宋" w:eastAsia="仿宋"/>
          <w:b/>
          <w:sz w:val="32"/>
          <w:szCs w:val="32"/>
        </w:rPr>
      </w:pPr>
    </w:p>
    <w:p w14:paraId="6AC40606">
      <w:pPr>
        <w:spacing w:line="600" w:lineRule="exact"/>
        <w:ind w:firstLine="640" w:firstLineChars="200"/>
        <w:outlineLvl w:val="1"/>
        <w:rPr>
          <w:rStyle w:val="30"/>
          <w:rFonts w:ascii="黑体" w:hAnsi="黑体" w:eastAsia="黑体"/>
          <w:b w:val="0"/>
        </w:rPr>
      </w:pPr>
      <w:bookmarkStart w:id="43" w:name="_Toc15396607"/>
      <w:bookmarkStart w:id="44" w:name="_Toc274"/>
      <w:bookmarkStart w:id="45"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43"/>
      <w:bookmarkEnd w:id="44"/>
      <w:bookmarkEnd w:id="45"/>
    </w:p>
    <w:p w14:paraId="08FA5C20">
      <w:pPr>
        <w:spacing w:line="600" w:lineRule="exact"/>
        <w:ind w:firstLine="643" w:firstLineChars="200"/>
        <w:outlineLvl w:val="2"/>
        <w:rPr>
          <w:rFonts w:ascii="仿宋" w:hAnsi="仿宋" w:eastAsia="仿宋"/>
          <w:b/>
          <w:sz w:val="32"/>
          <w:szCs w:val="32"/>
        </w:rPr>
      </w:pPr>
      <w:bookmarkStart w:id="46" w:name="_Toc15377210"/>
      <w:bookmarkStart w:id="47" w:name="_Toc23173"/>
      <w:r>
        <w:rPr>
          <w:rFonts w:hint="eastAsia" w:ascii="仿宋" w:hAnsi="仿宋" w:eastAsia="仿宋"/>
          <w:b/>
          <w:sz w:val="32"/>
          <w:szCs w:val="32"/>
        </w:rPr>
        <w:t>（一）一般公共预算财政拨款支出决算总体情况</w:t>
      </w:r>
      <w:bookmarkEnd w:id="46"/>
      <w:bookmarkEnd w:id="47"/>
    </w:p>
    <w:p w14:paraId="5F3A6554">
      <w:pPr>
        <w:spacing w:line="600" w:lineRule="exact"/>
        <w:ind w:firstLine="420" w:firstLineChars="200"/>
        <w:rPr>
          <w:rFonts w:hint="default" w:ascii="仿宋" w:hAnsi="仿宋" w:eastAsia="仿宋"/>
          <w:sz w:val="32"/>
          <w:szCs w:val="32"/>
          <w:lang w:val="en-US" w:eastAsia="zh-CN"/>
        </w:rPr>
      </w:pPr>
      <w:r>
        <w:drawing>
          <wp:anchor distT="0" distB="0" distL="114300" distR="114300" simplePos="0" relativeHeight="251661312" behindDoc="0" locked="0" layoutInCell="1" allowOverlap="1">
            <wp:simplePos x="0" y="0"/>
            <wp:positionH relativeFrom="column">
              <wp:posOffset>298450</wp:posOffset>
            </wp:positionH>
            <wp:positionV relativeFrom="paragraph">
              <wp:posOffset>1772920</wp:posOffset>
            </wp:positionV>
            <wp:extent cx="4572000" cy="2743200"/>
            <wp:effectExtent l="4445" t="4445" r="14605" b="14605"/>
            <wp:wrapSquare wrapText="bothSides"/>
            <wp:docPr id="1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sz w:val="32"/>
          <w:szCs w:val="32"/>
        </w:rPr>
        <w:t>2023年度一般公共预算财政拨款支出</w:t>
      </w:r>
      <w:r>
        <w:rPr>
          <w:rFonts w:ascii="仿宋" w:hAnsi="仿宋" w:eastAsia="仿宋"/>
          <w:b/>
          <w:sz w:val="32"/>
          <w:szCs w:val="32"/>
        </w:rPr>
        <w:t>133.88</w:t>
      </w:r>
      <w:r>
        <w:rPr>
          <w:rFonts w:hint="eastAsia" w:ascii="仿宋" w:hAnsi="仿宋" w:eastAsia="仿宋"/>
          <w:sz w:val="32"/>
          <w:szCs w:val="32"/>
        </w:rPr>
        <w:t>万元，占本年支出合计的</w:t>
      </w:r>
      <w:r>
        <w:rPr>
          <w:rFonts w:ascii="仿宋" w:hAnsi="仿宋" w:eastAsia="仿宋"/>
          <w:b/>
          <w:sz w:val="32"/>
          <w:szCs w:val="32"/>
        </w:rPr>
        <w:t>97.33</w:t>
      </w:r>
      <w:r>
        <w:rPr>
          <w:rFonts w:ascii="仿宋" w:hAnsi="仿宋" w:eastAsia="仿宋"/>
          <w:sz w:val="32"/>
          <w:szCs w:val="32"/>
        </w:rPr>
        <w:t>%</w:t>
      </w:r>
      <w:r>
        <w:rPr>
          <w:rFonts w:hint="eastAsia" w:ascii="仿宋" w:hAnsi="仿宋" w:eastAsia="仿宋"/>
          <w:sz w:val="32"/>
          <w:szCs w:val="32"/>
        </w:rPr>
        <w:t>。与2022年度相比，一般公共预算财政拨款支出减少</w:t>
      </w:r>
      <w:r>
        <w:rPr>
          <w:rFonts w:hint="eastAsia" w:ascii="仿宋" w:hAnsi="仿宋" w:eastAsia="仿宋"/>
          <w:sz w:val="32"/>
          <w:szCs w:val="32"/>
          <w:lang w:val="en-US" w:eastAsia="zh-CN"/>
        </w:rPr>
        <w:t>6.84</w:t>
      </w:r>
      <w:r>
        <w:rPr>
          <w:rFonts w:hint="eastAsia" w:ascii="仿宋" w:hAnsi="仿宋" w:eastAsia="仿宋"/>
          <w:sz w:val="32"/>
          <w:szCs w:val="32"/>
        </w:rPr>
        <w:t>万元，下降</w:t>
      </w:r>
      <w:r>
        <w:rPr>
          <w:rFonts w:hint="eastAsia" w:ascii="仿宋" w:hAnsi="仿宋" w:eastAsia="仿宋"/>
          <w:sz w:val="32"/>
          <w:szCs w:val="32"/>
          <w:lang w:val="en-US" w:eastAsia="zh-CN"/>
        </w:rPr>
        <w:t>4.86</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人员经费减少。</w:t>
      </w:r>
    </w:p>
    <w:p w14:paraId="100B48EE">
      <w:pPr>
        <w:spacing w:line="600" w:lineRule="exact"/>
        <w:rPr>
          <w:rFonts w:hint="eastAsia" w:ascii="仿宋" w:hAnsi="仿宋" w:eastAsia="仿宋"/>
          <w:sz w:val="32"/>
          <w:szCs w:val="32"/>
        </w:rPr>
      </w:pPr>
    </w:p>
    <w:p w14:paraId="5D83B2B5">
      <w:pPr>
        <w:spacing w:line="600" w:lineRule="exact"/>
        <w:rPr>
          <w:rFonts w:hint="eastAsia" w:ascii="仿宋" w:hAnsi="仿宋" w:eastAsia="仿宋"/>
          <w:sz w:val="32"/>
          <w:szCs w:val="32"/>
        </w:rPr>
      </w:pPr>
    </w:p>
    <w:p w14:paraId="1FCA4641">
      <w:pPr>
        <w:spacing w:line="600" w:lineRule="exact"/>
        <w:rPr>
          <w:rFonts w:hint="eastAsia" w:ascii="仿宋" w:hAnsi="仿宋" w:eastAsia="仿宋"/>
          <w:sz w:val="32"/>
          <w:szCs w:val="32"/>
        </w:rPr>
      </w:pPr>
    </w:p>
    <w:p w14:paraId="41C5C5BF">
      <w:pPr>
        <w:spacing w:line="600" w:lineRule="exact"/>
        <w:rPr>
          <w:rFonts w:hint="eastAsia" w:ascii="仿宋" w:hAnsi="仿宋" w:eastAsia="仿宋"/>
          <w:sz w:val="32"/>
          <w:szCs w:val="32"/>
        </w:rPr>
      </w:pPr>
    </w:p>
    <w:p w14:paraId="01C005FC">
      <w:pPr>
        <w:spacing w:line="600" w:lineRule="exact"/>
        <w:rPr>
          <w:rFonts w:hint="eastAsia" w:ascii="仿宋" w:hAnsi="仿宋" w:eastAsia="仿宋"/>
          <w:sz w:val="32"/>
          <w:szCs w:val="32"/>
        </w:rPr>
      </w:pPr>
    </w:p>
    <w:p w14:paraId="388EB8B5">
      <w:pPr>
        <w:spacing w:line="600" w:lineRule="exact"/>
        <w:rPr>
          <w:rFonts w:hint="eastAsia" w:ascii="仿宋" w:hAnsi="仿宋" w:eastAsia="仿宋"/>
          <w:sz w:val="32"/>
          <w:szCs w:val="32"/>
        </w:rPr>
      </w:pPr>
    </w:p>
    <w:p w14:paraId="5557456E">
      <w:pPr>
        <w:spacing w:line="600" w:lineRule="exact"/>
        <w:rPr>
          <w:rFonts w:hint="eastAsia" w:ascii="仿宋" w:hAnsi="仿宋" w:eastAsia="仿宋"/>
          <w:sz w:val="32"/>
          <w:szCs w:val="32"/>
        </w:rPr>
      </w:pPr>
    </w:p>
    <w:p w14:paraId="2C7920E9">
      <w:pPr>
        <w:spacing w:line="600" w:lineRule="exact"/>
        <w:rPr>
          <w:rFonts w:hint="eastAsia" w:ascii="仿宋" w:hAnsi="仿宋" w:eastAsia="仿宋"/>
          <w:sz w:val="32"/>
          <w:szCs w:val="32"/>
        </w:rPr>
      </w:pPr>
    </w:p>
    <w:p w14:paraId="1403416E">
      <w:pPr>
        <w:spacing w:line="600" w:lineRule="exact"/>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6A13B44F">
      <w:pPr>
        <w:spacing w:line="600" w:lineRule="exact"/>
        <w:rPr>
          <w:rFonts w:ascii="仿宋" w:hAnsi="仿宋" w:eastAsia="仿宋"/>
          <w:sz w:val="32"/>
          <w:szCs w:val="32"/>
        </w:rPr>
      </w:pPr>
    </w:p>
    <w:p w14:paraId="0D857E07">
      <w:pPr>
        <w:spacing w:line="600" w:lineRule="exact"/>
        <w:ind w:firstLine="643" w:firstLineChars="200"/>
        <w:outlineLvl w:val="2"/>
        <w:rPr>
          <w:rFonts w:ascii="仿宋" w:hAnsi="仿宋" w:eastAsia="仿宋"/>
          <w:b/>
          <w:sz w:val="32"/>
          <w:szCs w:val="32"/>
        </w:rPr>
      </w:pPr>
      <w:bookmarkStart w:id="48" w:name="_Toc15377211"/>
      <w:bookmarkStart w:id="49" w:name="_Toc14052"/>
      <w:r>
        <w:rPr>
          <w:rFonts w:hint="eastAsia" w:ascii="仿宋" w:hAnsi="仿宋" w:eastAsia="仿宋"/>
          <w:b/>
          <w:sz w:val="32"/>
          <w:szCs w:val="32"/>
        </w:rPr>
        <w:t>（二）一般公共预算财政拨款支出决算结构情况</w:t>
      </w:r>
      <w:bookmarkEnd w:id="48"/>
      <w:bookmarkEnd w:id="49"/>
    </w:p>
    <w:p w14:paraId="1BC51E09">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hint="eastAsia" w:ascii="仿宋" w:hAnsi="仿宋" w:eastAsia="仿宋"/>
          <w:b/>
          <w:sz w:val="32"/>
          <w:szCs w:val="32"/>
          <w:lang w:val="en-US" w:eastAsia="zh-CN"/>
        </w:rPr>
        <w:t>133.88</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b/>
          <w:bCs/>
          <w:sz w:val="32"/>
          <w:szCs w:val="32"/>
          <w:lang w:val="en-US" w:eastAsia="zh-CN"/>
        </w:rPr>
        <w:t>17.37</w:t>
      </w:r>
      <w:r>
        <w:rPr>
          <w:rFonts w:hint="eastAsia" w:ascii="仿宋" w:hAnsi="仿宋" w:eastAsia="仿宋"/>
          <w:sz w:val="32"/>
          <w:szCs w:val="32"/>
        </w:rPr>
        <w:t>万元，占</w:t>
      </w:r>
      <w:r>
        <w:rPr>
          <w:rFonts w:hint="eastAsia" w:ascii="仿宋" w:hAnsi="仿宋" w:eastAsia="仿宋"/>
          <w:sz w:val="32"/>
          <w:szCs w:val="32"/>
          <w:lang w:val="en-US" w:eastAsia="zh-CN"/>
        </w:rPr>
        <w:t>12.97</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107.94</w:t>
      </w:r>
      <w:r>
        <w:rPr>
          <w:rFonts w:hint="eastAsia" w:ascii="仿宋" w:hAnsi="仿宋" w:eastAsia="仿宋"/>
          <w:sz w:val="32"/>
          <w:szCs w:val="32"/>
        </w:rPr>
        <w:t>万元，占</w:t>
      </w:r>
      <w:r>
        <w:rPr>
          <w:rFonts w:hint="eastAsia" w:ascii="仿宋" w:hAnsi="仿宋" w:eastAsia="仿宋"/>
          <w:sz w:val="32"/>
          <w:szCs w:val="32"/>
          <w:lang w:val="en-US" w:eastAsia="zh-CN"/>
        </w:rPr>
        <w:t>80.62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8.58</w:t>
      </w:r>
      <w:r>
        <w:rPr>
          <w:rFonts w:hint="eastAsia" w:ascii="仿宋" w:hAnsi="仿宋" w:eastAsia="仿宋"/>
          <w:sz w:val="32"/>
          <w:szCs w:val="32"/>
        </w:rPr>
        <w:t>万元，占</w:t>
      </w:r>
      <w:r>
        <w:rPr>
          <w:rFonts w:hint="eastAsia" w:ascii="仿宋" w:hAnsi="仿宋" w:eastAsia="仿宋"/>
          <w:sz w:val="32"/>
          <w:szCs w:val="32"/>
          <w:lang w:val="en-US" w:eastAsia="zh-CN"/>
        </w:rPr>
        <w:t>6.41</w:t>
      </w:r>
      <w:r>
        <w:rPr>
          <w:rFonts w:ascii="仿宋" w:hAnsi="仿宋" w:eastAsia="仿宋"/>
          <w:sz w:val="32"/>
          <w:szCs w:val="32"/>
        </w:rPr>
        <w:t>%</w:t>
      </w:r>
      <w:r>
        <w:rPr>
          <w:rFonts w:hint="eastAsia" w:ascii="仿宋" w:hAnsi="仿宋" w:eastAsia="仿宋"/>
          <w:sz w:val="32"/>
          <w:szCs w:val="32"/>
        </w:rPr>
        <w:t>。</w:t>
      </w:r>
    </w:p>
    <w:p w14:paraId="24EB5933">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w:t>
      </w:r>
      <w:r>
        <w:drawing>
          <wp:anchor distT="0" distB="0" distL="114300" distR="114300" simplePos="0" relativeHeight="251662336" behindDoc="0" locked="0" layoutInCell="1" allowOverlap="1">
            <wp:simplePos x="0" y="0"/>
            <wp:positionH relativeFrom="column">
              <wp:posOffset>271145</wp:posOffset>
            </wp:positionH>
            <wp:positionV relativeFrom="paragraph">
              <wp:posOffset>508000</wp:posOffset>
            </wp:positionV>
            <wp:extent cx="4572000" cy="2743200"/>
            <wp:effectExtent l="4445" t="4445" r="14605" b="14605"/>
            <wp:wrapSquare wrapText="bothSides"/>
            <wp:docPr id="12"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sz w:val="32"/>
          <w:szCs w:val="32"/>
        </w:rPr>
        <w:t>全部功能分类科目，至类级。）</w:t>
      </w:r>
    </w:p>
    <w:p w14:paraId="1C5B94B7">
      <w:pPr>
        <w:spacing w:line="600" w:lineRule="exact"/>
        <w:ind w:firstLine="640"/>
        <w:rPr>
          <w:rFonts w:ascii="仿宋" w:hAnsi="仿宋" w:eastAsia="仿宋"/>
          <w:sz w:val="32"/>
          <w:szCs w:val="32"/>
        </w:rPr>
      </w:pPr>
    </w:p>
    <w:p w14:paraId="0ECDEC43">
      <w:pPr>
        <w:spacing w:line="600" w:lineRule="exact"/>
        <w:ind w:firstLine="640" w:firstLineChars="200"/>
        <w:rPr>
          <w:rFonts w:hint="eastAsia" w:ascii="仿宋" w:hAnsi="仿宋" w:eastAsia="仿宋"/>
          <w:sz w:val="32"/>
          <w:szCs w:val="32"/>
        </w:rPr>
      </w:pPr>
    </w:p>
    <w:p w14:paraId="16A9B906">
      <w:pPr>
        <w:spacing w:line="600" w:lineRule="exact"/>
        <w:ind w:firstLine="640" w:firstLineChars="200"/>
        <w:rPr>
          <w:rFonts w:hint="eastAsia" w:ascii="仿宋" w:hAnsi="仿宋" w:eastAsia="仿宋"/>
          <w:sz w:val="32"/>
          <w:szCs w:val="32"/>
        </w:rPr>
      </w:pPr>
    </w:p>
    <w:p w14:paraId="3F6CD538">
      <w:pPr>
        <w:spacing w:line="600" w:lineRule="exact"/>
        <w:ind w:firstLine="640" w:firstLineChars="200"/>
        <w:rPr>
          <w:rFonts w:hint="eastAsia" w:ascii="仿宋" w:hAnsi="仿宋" w:eastAsia="仿宋"/>
          <w:sz w:val="32"/>
          <w:szCs w:val="32"/>
        </w:rPr>
      </w:pPr>
    </w:p>
    <w:p w14:paraId="673054B5">
      <w:pPr>
        <w:spacing w:line="600" w:lineRule="exact"/>
        <w:ind w:firstLine="640" w:firstLineChars="200"/>
        <w:rPr>
          <w:rFonts w:hint="eastAsia" w:ascii="仿宋" w:hAnsi="仿宋" w:eastAsia="仿宋"/>
          <w:sz w:val="32"/>
          <w:szCs w:val="32"/>
        </w:rPr>
      </w:pPr>
    </w:p>
    <w:p w14:paraId="176BB701">
      <w:pPr>
        <w:spacing w:line="600" w:lineRule="exact"/>
        <w:ind w:firstLine="640" w:firstLineChars="200"/>
        <w:rPr>
          <w:rFonts w:hint="eastAsia" w:ascii="仿宋" w:hAnsi="仿宋" w:eastAsia="仿宋"/>
          <w:sz w:val="32"/>
          <w:szCs w:val="32"/>
        </w:rPr>
      </w:pPr>
    </w:p>
    <w:p w14:paraId="41543947">
      <w:pPr>
        <w:spacing w:line="600" w:lineRule="exact"/>
        <w:ind w:firstLine="640" w:firstLineChars="200"/>
        <w:rPr>
          <w:rFonts w:hint="eastAsia" w:ascii="仿宋" w:hAnsi="仿宋" w:eastAsia="仿宋"/>
          <w:sz w:val="32"/>
          <w:szCs w:val="32"/>
        </w:rPr>
      </w:pPr>
    </w:p>
    <w:p w14:paraId="32930625">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4169C622">
      <w:pPr>
        <w:spacing w:line="600" w:lineRule="exact"/>
        <w:ind w:firstLine="640" w:firstLineChars="200"/>
        <w:rPr>
          <w:rFonts w:ascii="仿宋" w:hAnsi="仿宋" w:eastAsia="仿宋"/>
          <w:sz w:val="32"/>
          <w:szCs w:val="32"/>
        </w:rPr>
      </w:pPr>
    </w:p>
    <w:p w14:paraId="4A3AB2CC">
      <w:pPr>
        <w:spacing w:line="600" w:lineRule="exact"/>
        <w:ind w:firstLine="643" w:firstLineChars="200"/>
        <w:outlineLvl w:val="2"/>
        <w:rPr>
          <w:rFonts w:ascii="仿宋" w:hAnsi="仿宋" w:eastAsia="仿宋"/>
          <w:b/>
          <w:sz w:val="32"/>
          <w:szCs w:val="32"/>
        </w:rPr>
      </w:pPr>
      <w:bookmarkStart w:id="50" w:name="_Toc20309"/>
      <w:bookmarkStart w:id="51" w:name="_Toc15377212"/>
      <w:r>
        <w:rPr>
          <w:rFonts w:hint="eastAsia" w:ascii="仿宋" w:hAnsi="仿宋" w:eastAsia="仿宋"/>
          <w:b/>
          <w:sz w:val="32"/>
          <w:szCs w:val="32"/>
        </w:rPr>
        <w:t>（三）一般公共预算财政拨款支出决算具体情况</w:t>
      </w:r>
      <w:bookmarkEnd w:id="50"/>
      <w:bookmarkEnd w:id="51"/>
    </w:p>
    <w:p w14:paraId="7CC04D88">
      <w:pPr>
        <w:spacing w:line="600" w:lineRule="exact"/>
        <w:ind w:firstLine="643" w:firstLineChars="200"/>
        <w:outlineLvl w:val="1"/>
        <w:rPr>
          <w:rFonts w:ascii="仿宋" w:hAnsi="仿宋" w:eastAsia="仿宋"/>
          <w:sz w:val="32"/>
          <w:szCs w:val="32"/>
        </w:rPr>
      </w:pPr>
      <w:bookmarkStart w:id="52" w:name="_Toc15377213"/>
      <w:bookmarkStart w:id="53" w:name="_Toc15377444"/>
      <w:bookmarkStart w:id="54" w:name="_Toc15378460"/>
      <w:bookmarkStart w:id="55" w:name="_Toc1608"/>
      <w:r>
        <w:rPr>
          <w:rFonts w:hint="eastAsia" w:ascii="仿宋" w:hAnsi="仿宋" w:eastAsia="仿宋"/>
          <w:b/>
          <w:sz w:val="32"/>
          <w:szCs w:val="32"/>
        </w:rPr>
        <w:t>2023年度一般公共预算支出决算数为</w:t>
      </w:r>
      <w:r>
        <w:rPr>
          <w:rFonts w:ascii="仿宋" w:hAnsi="仿宋" w:eastAsia="仿宋"/>
          <w:b/>
          <w:sz w:val="32"/>
          <w:szCs w:val="32"/>
        </w:rPr>
        <w:t>133.88</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97.33</w:t>
      </w:r>
      <w:r>
        <w:rPr>
          <w:rStyle w:val="18"/>
          <w:rFonts w:ascii="仿宋" w:hAnsi="仿宋" w:eastAsia="仿宋"/>
          <w:bCs/>
          <w:sz w:val="32"/>
          <w:szCs w:val="32"/>
        </w:rPr>
        <w:t>%</w:t>
      </w:r>
      <w:r>
        <w:rPr>
          <w:rStyle w:val="18"/>
          <w:rFonts w:hint="eastAsia" w:ascii="仿宋" w:hAnsi="仿宋" w:eastAsia="仿宋"/>
          <w:bCs/>
          <w:sz w:val="32"/>
          <w:szCs w:val="32"/>
        </w:rPr>
        <w:t>。其中：</w:t>
      </w:r>
      <w:bookmarkEnd w:id="52"/>
      <w:bookmarkEnd w:id="53"/>
      <w:bookmarkEnd w:id="54"/>
      <w:bookmarkEnd w:id="55"/>
    </w:p>
    <w:p w14:paraId="7FBD2E2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pPr>
      <w:r>
        <w:rPr>
          <w:rStyle w:val="18"/>
          <w:rFonts w:hint="eastAsia" w:ascii="仿宋" w:hAnsi="仿宋" w:eastAsia="仿宋"/>
          <w:bCs/>
          <w:sz w:val="32"/>
          <w:szCs w:val="32"/>
          <w:lang w:val="en-US" w:eastAsia="zh-CN"/>
        </w:rPr>
        <w:t>1.</w:t>
      </w:r>
      <w:r>
        <w:rPr>
          <w:rStyle w:val="18"/>
          <w:rFonts w:hint="eastAsia" w:ascii="仿宋" w:hAnsi="仿宋" w:eastAsia="仿宋"/>
          <w:bCs/>
          <w:sz w:val="32"/>
          <w:szCs w:val="32"/>
        </w:rPr>
        <w:t>社会保障和就业（类）</w:t>
      </w:r>
      <w:r>
        <w:rPr>
          <w:rStyle w:val="18"/>
          <w:rFonts w:hint="eastAsia" w:ascii="仿宋" w:hAnsi="仿宋" w:eastAsia="仿宋"/>
          <w:bCs/>
          <w:sz w:val="32"/>
          <w:szCs w:val="32"/>
          <w:lang w:val="en-US" w:eastAsia="zh-CN"/>
        </w:rPr>
        <w:t>行政事业单位养老支出</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机关事业单位基本养老保险缴费支出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10.18</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5E903D3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ascii="仿宋" w:hAnsi="仿宋" w:eastAsia="仿宋"/>
          <w:b/>
          <w:sz w:val="32"/>
          <w:szCs w:val="32"/>
        </w:rPr>
      </w:pPr>
      <w:r>
        <w:rPr>
          <w:rStyle w:val="18"/>
          <w:rFonts w:hint="eastAsia" w:ascii="仿宋" w:hAnsi="仿宋" w:eastAsia="仿宋"/>
          <w:bCs/>
          <w:sz w:val="32"/>
          <w:szCs w:val="32"/>
          <w:lang w:val="en-US" w:eastAsia="zh-CN"/>
        </w:rPr>
        <w:t>2.</w:t>
      </w:r>
      <w:r>
        <w:rPr>
          <w:rStyle w:val="18"/>
          <w:rFonts w:hint="eastAsia" w:ascii="仿宋" w:hAnsi="仿宋" w:eastAsia="仿宋"/>
          <w:bCs/>
          <w:sz w:val="32"/>
          <w:szCs w:val="32"/>
        </w:rPr>
        <w:t>社会保障和就业（类）</w:t>
      </w:r>
      <w:r>
        <w:rPr>
          <w:rStyle w:val="18"/>
          <w:rFonts w:hint="eastAsia" w:ascii="仿宋" w:hAnsi="仿宋" w:eastAsia="仿宋"/>
          <w:bCs/>
          <w:sz w:val="32"/>
          <w:szCs w:val="32"/>
          <w:lang w:val="en-US" w:eastAsia="zh-CN"/>
        </w:rPr>
        <w:t>行政事业单位养老支出</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机关事业单位职业年金缴费支出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7.19</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10ADA61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eastAsia="仿宋"/>
          <w:lang w:val="en-US" w:eastAsia="zh-CN"/>
        </w:rPr>
      </w:pPr>
      <w:r>
        <w:rPr>
          <w:rFonts w:hint="eastAsia" w:ascii="仿宋" w:hAnsi="仿宋" w:eastAsia="仿宋"/>
          <w:b/>
          <w:bCs/>
          <w:sz w:val="32"/>
          <w:szCs w:val="32"/>
          <w:lang w:val="en-US" w:eastAsia="zh-CN"/>
        </w:rPr>
        <w:t>3.</w:t>
      </w: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基层医疗卫生机构</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乡镇卫生院</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84.32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0B69DF4B">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eastAsia="仿宋"/>
          <w:lang w:val="en-US" w:eastAsia="zh-CN"/>
        </w:rPr>
      </w:pPr>
      <w:r>
        <w:rPr>
          <w:rFonts w:hint="eastAsia" w:ascii="仿宋" w:hAnsi="仿宋" w:eastAsia="仿宋"/>
          <w:b/>
          <w:bCs/>
          <w:sz w:val="32"/>
          <w:szCs w:val="32"/>
          <w:lang w:val="en-US" w:eastAsia="zh-CN"/>
        </w:rPr>
        <w:t>4.</w:t>
      </w: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基层医疗卫生机构</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其他基层医疗机构支出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2.39</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653922D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eastAsia="仿宋"/>
          <w:lang w:val="en-US" w:eastAsia="zh-CN"/>
        </w:rPr>
      </w:pPr>
      <w:r>
        <w:rPr>
          <w:rFonts w:hint="eastAsia" w:ascii="仿宋" w:hAnsi="仿宋" w:eastAsia="仿宋"/>
          <w:b/>
          <w:bCs/>
          <w:sz w:val="32"/>
          <w:szCs w:val="32"/>
          <w:lang w:val="en-US" w:eastAsia="zh-CN"/>
        </w:rPr>
        <w:t>5.</w:t>
      </w: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公共卫生</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基本公共卫生服务</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15.61</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2C79EA3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eastAsia="仿宋"/>
          <w:lang w:val="en-US" w:eastAsia="zh-CN"/>
        </w:rPr>
      </w:pPr>
      <w:r>
        <w:rPr>
          <w:rFonts w:hint="eastAsia" w:ascii="仿宋" w:hAnsi="仿宋" w:eastAsia="仿宋"/>
          <w:b/>
          <w:bCs/>
          <w:sz w:val="32"/>
          <w:szCs w:val="32"/>
          <w:lang w:val="en-US" w:eastAsia="zh-CN"/>
        </w:rPr>
        <w:t>6.</w:t>
      </w: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行政事业单位医疗</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其他行政事业医疗支出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1.32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0156E65E">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eastAsia="仿宋"/>
          <w:lang w:val="en-US" w:eastAsia="zh-CN"/>
        </w:rPr>
      </w:pPr>
      <w:r>
        <w:rPr>
          <w:rFonts w:hint="eastAsia" w:ascii="仿宋" w:hAnsi="仿宋" w:eastAsia="仿宋"/>
          <w:b/>
          <w:bCs/>
          <w:sz w:val="32"/>
          <w:szCs w:val="32"/>
          <w:lang w:val="en-US" w:eastAsia="zh-CN"/>
        </w:rPr>
        <w:t>7.</w:t>
      </w: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行政事业单位以医疗</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事业单位医疗</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4.3</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3375DEF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3" w:firstLineChars="200"/>
        <w:textAlignment w:val="auto"/>
        <w:rPr>
          <w:rFonts w:hint="default" w:eastAsia="仿宋"/>
          <w:lang w:val="en-US" w:eastAsia="zh-CN"/>
        </w:rPr>
      </w:pPr>
      <w:r>
        <w:rPr>
          <w:rStyle w:val="18"/>
          <w:rFonts w:hint="eastAsia" w:ascii="仿宋" w:hAnsi="仿宋" w:eastAsia="仿宋"/>
          <w:bCs/>
          <w:sz w:val="32"/>
          <w:szCs w:val="32"/>
          <w:lang w:val="en-US" w:eastAsia="zh-CN"/>
        </w:rPr>
        <w:t>8.住房保障支出</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住房改革支出</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住房公积金</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8.58</w:t>
      </w:r>
      <w:r>
        <w:rPr>
          <w:rStyle w:val="18"/>
          <w:rFonts w:hint="eastAsia" w:ascii="仿宋" w:hAnsi="仿宋" w:eastAsia="仿宋"/>
          <w:b w:val="0"/>
          <w:bCs/>
          <w:sz w:val="32"/>
          <w:szCs w:val="32"/>
        </w:rPr>
        <w:t>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571199AD">
      <w:pPr>
        <w:spacing w:line="600" w:lineRule="exact"/>
        <w:ind w:firstLine="640"/>
        <w:rPr>
          <w:rFonts w:ascii="仿宋" w:hAnsi="仿宋" w:eastAsia="仿宋"/>
          <w:b/>
          <w:sz w:val="32"/>
          <w:szCs w:val="32"/>
        </w:rPr>
      </w:pPr>
    </w:p>
    <w:p w14:paraId="396FE0FC">
      <w:pPr>
        <w:tabs>
          <w:tab w:val="right" w:pos="8306"/>
        </w:tabs>
        <w:spacing w:line="600" w:lineRule="exact"/>
        <w:ind w:firstLine="640"/>
        <w:outlineLvl w:val="1"/>
        <w:rPr>
          <w:rStyle w:val="30"/>
        </w:rPr>
      </w:pPr>
      <w:bookmarkStart w:id="56" w:name="_Toc15377214"/>
      <w:bookmarkStart w:id="57" w:name="_Toc15396608"/>
      <w:bookmarkStart w:id="58" w:name="_Toc1480"/>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56"/>
      <w:bookmarkEnd w:id="57"/>
      <w:bookmarkEnd w:id="58"/>
      <w:r>
        <w:rPr>
          <w:rStyle w:val="30"/>
          <w:rFonts w:ascii="黑体" w:hAnsi="黑体" w:eastAsia="黑体"/>
          <w:b w:val="0"/>
        </w:rPr>
        <w:tab/>
      </w:r>
    </w:p>
    <w:p w14:paraId="414BA14C">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115.88</w:t>
      </w:r>
      <w:r>
        <w:rPr>
          <w:rFonts w:hint="eastAsia" w:ascii="仿宋" w:hAnsi="仿宋" w:eastAsia="仿宋"/>
          <w:sz w:val="32"/>
          <w:szCs w:val="32"/>
        </w:rPr>
        <w:t>万元，其中：</w:t>
      </w:r>
    </w:p>
    <w:p w14:paraId="5842091A">
      <w:pPr>
        <w:spacing w:line="600" w:lineRule="exact"/>
        <w:ind w:firstLine="645"/>
        <w:rPr>
          <w:rFonts w:hint="eastAsia" w:ascii="仿宋" w:hAnsi="仿宋" w:eastAsia="仿宋"/>
          <w:sz w:val="32"/>
          <w:szCs w:val="32"/>
          <w:lang w:val="en-US" w:eastAsia="zh-CN"/>
        </w:rPr>
      </w:pPr>
      <w:r>
        <w:rPr>
          <w:rFonts w:hint="eastAsia" w:ascii="仿宋" w:hAnsi="仿宋" w:eastAsia="仿宋"/>
          <w:sz w:val="32"/>
          <w:szCs w:val="32"/>
        </w:rPr>
        <w:t>人员经费</w:t>
      </w:r>
      <w:r>
        <w:rPr>
          <w:rFonts w:ascii="仿宋" w:hAnsi="仿宋" w:eastAsia="仿宋"/>
          <w:b/>
          <w:sz w:val="32"/>
          <w:szCs w:val="32"/>
        </w:rPr>
        <w:t>114.68</w:t>
      </w:r>
      <w:r>
        <w:rPr>
          <w:rFonts w:hint="eastAsia" w:ascii="仿宋" w:hAnsi="仿宋" w:eastAsia="仿宋"/>
          <w:sz w:val="32"/>
          <w:szCs w:val="32"/>
        </w:rPr>
        <w:t>万元，主要包括：基本工资</w:t>
      </w:r>
      <w:r>
        <w:rPr>
          <w:rFonts w:hint="eastAsia" w:ascii="仿宋" w:hAnsi="仿宋" w:eastAsia="仿宋"/>
          <w:sz w:val="32"/>
          <w:szCs w:val="32"/>
          <w:lang w:val="en-US" w:eastAsia="zh-CN"/>
        </w:rPr>
        <w:t>18.50万元</w:t>
      </w:r>
      <w:r>
        <w:rPr>
          <w:rFonts w:hint="eastAsia" w:ascii="仿宋" w:hAnsi="仿宋" w:eastAsia="仿宋"/>
          <w:sz w:val="32"/>
          <w:szCs w:val="32"/>
        </w:rPr>
        <w:t>、津贴补贴</w:t>
      </w:r>
      <w:r>
        <w:rPr>
          <w:rFonts w:hint="eastAsia" w:ascii="仿宋" w:hAnsi="仿宋" w:eastAsia="仿宋"/>
          <w:sz w:val="32"/>
          <w:szCs w:val="32"/>
          <w:lang w:val="en-US" w:eastAsia="zh-CN"/>
        </w:rPr>
        <w:t>15.65万元</w:t>
      </w:r>
      <w:r>
        <w:rPr>
          <w:rFonts w:hint="eastAsia" w:ascii="仿宋" w:hAnsi="仿宋" w:eastAsia="仿宋"/>
          <w:sz w:val="32"/>
          <w:szCs w:val="32"/>
        </w:rPr>
        <w:t>、奖金</w:t>
      </w:r>
      <w:r>
        <w:rPr>
          <w:rFonts w:hint="eastAsia" w:ascii="仿宋" w:hAnsi="仿宋" w:eastAsia="仿宋"/>
          <w:sz w:val="32"/>
          <w:szCs w:val="32"/>
          <w:lang w:val="en-US" w:eastAsia="zh-CN"/>
        </w:rPr>
        <w:t>29.44万元</w:t>
      </w:r>
      <w:r>
        <w:rPr>
          <w:rFonts w:hint="eastAsia" w:ascii="仿宋" w:hAnsi="仿宋" w:eastAsia="仿宋"/>
          <w:sz w:val="32"/>
          <w:szCs w:val="32"/>
        </w:rPr>
        <w:t>、绩效工资</w:t>
      </w:r>
      <w:r>
        <w:rPr>
          <w:rFonts w:hint="eastAsia" w:ascii="仿宋" w:hAnsi="仿宋" w:eastAsia="仿宋"/>
          <w:sz w:val="32"/>
          <w:szCs w:val="32"/>
          <w:lang w:val="en-US" w:eastAsia="zh-CN"/>
        </w:rPr>
        <w:t>18.95万元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10.18万元</w:t>
      </w:r>
      <w:r>
        <w:rPr>
          <w:rFonts w:hint="eastAsia" w:ascii="仿宋" w:hAnsi="仿宋" w:eastAsia="仿宋"/>
          <w:sz w:val="32"/>
          <w:szCs w:val="32"/>
        </w:rPr>
        <w:t>、职业年金缴费</w:t>
      </w:r>
      <w:r>
        <w:rPr>
          <w:rFonts w:hint="eastAsia" w:ascii="仿宋" w:hAnsi="仿宋" w:eastAsia="仿宋"/>
          <w:sz w:val="32"/>
          <w:szCs w:val="32"/>
          <w:lang w:val="en-US" w:eastAsia="zh-CN"/>
        </w:rPr>
        <w:t>7.19万元</w:t>
      </w:r>
      <w:r>
        <w:rPr>
          <w:rFonts w:hint="eastAsia" w:ascii="仿宋" w:hAnsi="仿宋" w:eastAsia="仿宋"/>
          <w:sz w:val="32"/>
          <w:szCs w:val="32"/>
        </w:rPr>
        <w:t>、</w:t>
      </w:r>
      <w:r>
        <w:rPr>
          <w:rFonts w:hint="eastAsia" w:ascii="仿宋" w:hAnsi="仿宋" w:eastAsia="仿宋"/>
          <w:sz w:val="32"/>
          <w:szCs w:val="32"/>
          <w:lang w:val="en-US" w:eastAsia="zh-CN"/>
        </w:rPr>
        <w:t>职工基本医疗保险缴费4.30万元、公务员医疗补助缴费1.32万元、</w:t>
      </w:r>
      <w:r>
        <w:rPr>
          <w:rFonts w:hint="eastAsia" w:ascii="仿宋" w:hAnsi="仿宋" w:eastAsia="仿宋"/>
          <w:sz w:val="32"/>
          <w:szCs w:val="32"/>
        </w:rPr>
        <w:t>其他社会保障缴费</w:t>
      </w:r>
      <w:r>
        <w:rPr>
          <w:rFonts w:hint="eastAsia" w:ascii="仿宋" w:hAnsi="仿宋" w:eastAsia="仿宋"/>
          <w:sz w:val="32"/>
          <w:szCs w:val="32"/>
          <w:lang w:val="en-US" w:eastAsia="zh-CN"/>
        </w:rPr>
        <w:t>0.58万元</w:t>
      </w:r>
      <w:r>
        <w:rPr>
          <w:rFonts w:hint="eastAsia" w:ascii="仿宋" w:hAnsi="仿宋" w:eastAsia="仿宋"/>
          <w:sz w:val="32"/>
          <w:szCs w:val="32"/>
        </w:rPr>
        <w:t>、住房公积金</w:t>
      </w:r>
      <w:r>
        <w:rPr>
          <w:rFonts w:hint="eastAsia" w:ascii="仿宋" w:hAnsi="仿宋" w:eastAsia="仿宋"/>
          <w:sz w:val="32"/>
          <w:szCs w:val="32"/>
          <w:lang w:val="en-US" w:eastAsia="zh-CN"/>
        </w:rPr>
        <w:t>8.58万元。</w:t>
      </w:r>
    </w:p>
    <w:p w14:paraId="14B3D37F">
      <w:pPr>
        <w:spacing w:line="600" w:lineRule="exact"/>
        <w:ind w:firstLine="645"/>
        <w:rPr>
          <w:rFonts w:ascii="仿宋" w:hAnsi="仿宋" w:eastAsia="仿宋"/>
          <w:sz w:val="32"/>
          <w:szCs w:val="32"/>
        </w:rPr>
      </w:pPr>
      <w:r>
        <w:rPr>
          <w:rFonts w:hint="eastAsia" w:ascii="仿宋" w:hAnsi="仿宋" w:eastAsia="仿宋"/>
          <w:sz w:val="32"/>
          <w:szCs w:val="32"/>
        </w:rPr>
        <w:t>公用经费</w:t>
      </w:r>
      <w:r>
        <w:rPr>
          <w:rFonts w:ascii="仿宋" w:hAnsi="仿宋" w:eastAsia="仿宋"/>
          <w:b/>
          <w:sz w:val="32"/>
          <w:szCs w:val="32"/>
        </w:rPr>
        <w:t>1.2</w:t>
      </w:r>
      <w:r>
        <w:rPr>
          <w:rFonts w:hint="eastAsia" w:ascii="仿宋" w:hAnsi="仿宋" w:eastAsia="仿宋"/>
          <w:sz w:val="32"/>
          <w:szCs w:val="32"/>
        </w:rPr>
        <w:t>万元，主要包括：工会经费</w:t>
      </w:r>
      <w:r>
        <w:rPr>
          <w:rFonts w:hint="eastAsia" w:ascii="仿宋" w:hAnsi="仿宋" w:eastAsia="仿宋"/>
          <w:sz w:val="32"/>
          <w:szCs w:val="32"/>
          <w:lang w:val="en-US" w:eastAsia="zh-CN"/>
        </w:rPr>
        <w:t>1.20万元</w:t>
      </w:r>
      <w:r>
        <w:rPr>
          <w:rFonts w:hint="eastAsia" w:ascii="仿宋" w:hAnsi="仿宋" w:eastAsia="仿宋"/>
          <w:sz w:val="32"/>
          <w:szCs w:val="32"/>
        </w:rPr>
        <w:t>。</w:t>
      </w:r>
    </w:p>
    <w:p w14:paraId="1FEE8506">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14:paraId="5256941D">
      <w:pPr>
        <w:spacing w:line="600" w:lineRule="exact"/>
        <w:ind w:firstLine="640"/>
        <w:rPr>
          <w:rFonts w:ascii="仿宋" w:hAnsi="仿宋" w:eastAsia="仿宋"/>
          <w:b/>
          <w:sz w:val="32"/>
          <w:szCs w:val="32"/>
        </w:rPr>
      </w:pPr>
    </w:p>
    <w:p w14:paraId="46EF0F6D">
      <w:pPr>
        <w:spacing w:line="600" w:lineRule="exact"/>
        <w:ind w:firstLine="640"/>
        <w:outlineLvl w:val="1"/>
        <w:rPr>
          <w:rStyle w:val="30"/>
          <w:rFonts w:ascii="黑体" w:hAnsi="黑体" w:eastAsia="黑体"/>
          <w:b w:val="0"/>
        </w:rPr>
      </w:pPr>
      <w:bookmarkStart w:id="59" w:name="_Toc15377215"/>
      <w:bookmarkStart w:id="60" w:name="_Toc15396609"/>
      <w:bookmarkStart w:id="61" w:name="_Toc27309"/>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59"/>
      <w:bookmarkEnd w:id="60"/>
      <w:bookmarkEnd w:id="61"/>
    </w:p>
    <w:p w14:paraId="270019B2">
      <w:pPr>
        <w:spacing w:line="600" w:lineRule="exact"/>
        <w:ind w:firstLine="640"/>
        <w:outlineLvl w:val="2"/>
        <w:rPr>
          <w:rFonts w:ascii="仿宋" w:hAnsi="仿宋" w:eastAsia="仿宋"/>
          <w:b/>
          <w:sz w:val="32"/>
          <w:szCs w:val="32"/>
        </w:rPr>
      </w:pPr>
      <w:bookmarkStart w:id="62" w:name="_Toc15377216"/>
      <w:bookmarkStart w:id="63" w:name="_Toc24707"/>
      <w:r>
        <w:rPr>
          <w:rFonts w:hint="eastAsia" w:ascii="仿宋" w:hAnsi="仿宋" w:eastAsia="仿宋"/>
          <w:b/>
          <w:sz w:val="32"/>
          <w:szCs w:val="32"/>
        </w:rPr>
        <w:t>（一）“三公”经费财政拨款支出决算总体情况说明</w:t>
      </w:r>
      <w:bookmarkEnd w:id="62"/>
      <w:bookmarkEnd w:id="63"/>
    </w:p>
    <w:p w14:paraId="2C7D0753">
      <w:pPr>
        <w:spacing w:line="600" w:lineRule="exact"/>
        <w:ind w:firstLine="640"/>
        <w:rPr>
          <w:rFonts w:ascii="仿宋" w:hAnsi="仿宋" w:eastAsia="仿宋"/>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，较上年度增加</w:t>
      </w:r>
      <w:r>
        <w:rPr>
          <w:rFonts w:hint="eastAsia" w:ascii="仿宋" w:hAnsi="仿宋" w:eastAsia="仿宋"/>
          <w:sz w:val="32"/>
          <w:szCs w:val="32"/>
          <w:lang w:val="en-US" w:eastAsia="zh-CN"/>
        </w:rPr>
        <w:t>0</w:t>
      </w:r>
      <w:r>
        <w:rPr>
          <w:rFonts w:hint="eastAsia" w:ascii="仿宋" w:hAnsi="仿宋" w:eastAsia="仿宋"/>
          <w:sz w:val="32"/>
          <w:szCs w:val="32"/>
        </w:rPr>
        <w:t>万元，增长</w:t>
      </w:r>
      <w:r>
        <w:rPr>
          <w:rFonts w:hint="eastAsia" w:ascii="仿宋" w:hAnsi="仿宋" w:eastAsia="仿宋"/>
          <w:sz w:val="32"/>
          <w:szCs w:val="32"/>
          <w:lang w:val="en-US" w:eastAsia="zh-CN"/>
        </w:rPr>
        <w:t>0</w:t>
      </w:r>
      <w:r>
        <w:rPr>
          <w:rFonts w:hint="eastAsia" w:ascii="仿宋" w:hAnsi="仿宋" w:eastAsia="仿宋"/>
          <w:sz w:val="32"/>
          <w:szCs w:val="32"/>
        </w:rPr>
        <w:t>%。</w:t>
      </w:r>
    </w:p>
    <w:p w14:paraId="44BDF7FE">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（注：上述“预算”口径为全年预算数，包括一般公共预算和政府性基金预算财政拨款支出决算情况。）</w:t>
      </w:r>
    </w:p>
    <w:p w14:paraId="1A1386E9">
      <w:pPr>
        <w:spacing w:line="600" w:lineRule="exact"/>
        <w:ind w:firstLine="640"/>
        <w:outlineLvl w:val="2"/>
        <w:rPr>
          <w:rFonts w:ascii="仿宋" w:hAnsi="仿宋" w:eastAsia="仿宋"/>
          <w:b/>
          <w:sz w:val="32"/>
          <w:szCs w:val="32"/>
        </w:rPr>
      </w:pPr>
      <w:bookmarkStart w:id="64" w:name="_Toc15377217"/>
      <w:bookmarkStart w:id="65" w:name="_Toc25954"/>
      <w:r>
        <w:rPr>
          <w:rFonts w:hint="eastAsia" w:ascii="仿宋" w:hAnsi="仿宋" w:eastAsia="仿宋"/>
          <w:b/>
          <w:sz w:val="32"/>
          <w:szCs w:val="32"/>
        </w:rPr>
        <w:t>（二）“三公”经费财政拨款支出决算具体情况说明</w:t>
      </w:r>
      <w:bookmarkEnd w:id="64"/>
      <w:bookmarkEnd w:id="65"/>
    </w:p>
    <w:p w14:paraId="5A13F502">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75A44E4A">
      <w:pPr>
        <w:pStyle w:val="2"/>
        <w:rPr>
          <w:rFonts w:hint="eastAsia" w:ascii="仿宋" w:hAnsi="仿宋" w:eastAsia="仿宋"/>
          <w:sz w:val="32"/>
          <w:szCs w:val="32"/>
        </w:rPr>
      </w:pPr>
      <w: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8F33398"/>
    <w:p w14:paraId="0F4FD6CB">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14:paraId="49F91522">
      <w:pPr>
        <w:numPr>
          <w:ilvl w:val="0"/>
          <w:numId w:val="3"/>
        </w:numPr>
        <w:spacing w:line="600" w:lineRule="exact"/>
        <w:ind w:firstLine="640"/>
        <w:rPr>
          <w:rFonts w:ascii="仿宋_GB2312" w:eastAsia="仿宋_GB2312"/>
          <w:b/>
          <w:sz w:val="32"/>
          <w:szCs w:val="32"/>
        </w:rPr>
      </w:pPr>
      <w:bookmarkStart w:id="66" w:name="_Toc15396610"/>
      <w:bookmarkStart w:id="67" w:name="_Toc15377218"/>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76DB4AAD">
      <w:pPr>
        <w:numPr>
          <w:ilvl w:val="0"/>
          <w:numId w:val="3"/>
        </w:numPr>
        <w:spacing w:line="600" w:lineRule="exact"/>
        <w:ind w:firstLine="640"/>
        <w:rPr>
          <w:rFonts w:ascii="仿宋_GB2312" w:eastAsia="仿宋_GB2312"/>
          <w:b/>
          <w:sz w:val="32"/>
          <w:szCs w:val="32"/>
        </w:rPr>
      </w:pP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3362BFED">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0</w:t>
      </w: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4B62A00F">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14:paraId="4BFEC0CF">
      <w:pPr>
        <w:numPr>
          <w:ilvl w:val="0"/>
          <w:numId w:val="3"/>
        </w:numPr>
        <w:spacing w:line="600" w:lineRule="exact"/>
        <w:ind w:left="0" w:leftChars="0" w:firstLine="640" w:firstLineChars="0"/>
        <w:rPr>
          <w:rFonts w:hint="eastAsia" w:ascii="仿宋_GB2312" w:eastAsia="仿宋_GB2312"/>
          <w:sz w:val="32"/>
          <w:szCs w:val="32"/>
        </w:rPr>
      </w:pP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0%</w:t>
      </w:r>
      <w:r>
        <w:rPr>
          <w:rStyle w:val="18"/>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7614C497">
      <w:pPr>
        <w:numPr>
          <w:ilvl w:val="0"/>
          <w:numId w:val="0"/>
        </w:numPr>
        <w:spacing w:line="600" w:lineRule="exact"/>
        <w:ind w:firstLine="643" w:firstLineChars="20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28858075">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37F3C324">
      <w:pPr>
        <w:spacing w:line="600" w:lineRule="exact"/>
        <w:ind w:firstLine="640"/>
        <w:outlineLvl w:val="1"/>
        <w:rPr>
          <w:rStyle w:val="30"/>
          <w:rFonts w:ascii="黑体" w:hAnsi="黑体" w:eastAsia="黑体"/>
        </w:rPr>
      </w:pPr>
      <w:bookmarkStart w:id="68" w:name="_Toc26572"/>
      <w:r>
        <w:rPr>
          <w:rFonts w:hint="eastAsia" w:ascii="黑体" w:eastAsia="黑体"/>
          <w:sz w:val="32"/>
          <w:szCs w:val="32"/>
        </w:rPr>
        <w:t>八、</w:t>
      </w:r>
      <w:r>
        <w:rPr>
          <w:rStyle w:val="30"/>
          <w:rFonts w:hint="eastAsia" w:ascii="黑体" w:hAnsi="黑体" w:eastAsia="黑体"/>
          <w:b w:val="0"/>
        </w:rPr>
        <w:t>政府性基金预算支出决算情况说明</w:t>
      </w:r>
      <w:bookmarkEnd w:id="66"/>
      <w:bookmarkEnd w:id="67"/>
      <w:bookmarkEnd w:id="68"/>
    </w:p>
    <w:p w14:paraId="1AE7A16A">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47DC7ED7">
      <w:pPr>
        <w:spacing w:line="600" w:lineRule="exact"/>
        <w:ind w:firstLine="640"/>
        <w:rPr>
          <w:rFonts w:ascii="仿宋_GB2312" w:eastAsia="仿宋_GB2312"/>
          <w:sz w:val="32"/>
          <w:szCs w:val="32"/>
        </w:rPr>
      </w:pPr>
    </w:p>
    <w:p w14:paraId="26BBA5F6">
      <w:pPr>
        <w:numPr>
          <w:ilvl w:val="0"/>
          <w:numId w:val="4"/>
        </w:numPr>
        <w:spacing w:line="600" w:lineRule="exact"/>
        <w:ind w:firstLine="640"/>
        <w:outlineLvl w:val="1"/>
        <w:rPr>
          <w:rStyle w:val="30"/>
          <w:rFonts w:ascii="黑体" w:hAnsi="黑体" w:eastAsia="黑体"/>
          <w:b w:val="0"/>
        </w:rPr>
      </w:pPr>
      <w:bookmarkStart w:id="69" w:name="_Toc8429"/>
      <w:bookmarkStart w:id="70" w:name="_Toc15377219"/>
      <w:bookmarkStart w:id="71" w:name="_Toc15396611"/>
      <w:r>
        <w:rPr>
          <w:rStyle w:val="30"/>
          <w:rFonts w:hint="eastAsia" w:ascii="黑体" w:hAnsi="黑体" w:eastAsia="黑体"/>
          <w:b w:val="0"/>
        </w:rPr>
        <w:t>国有资本经营预算支出决算情况说明</w:t>
      </w:r>
      <w:bookmarkEnd w:id="69"/>
      <w:bookmarkEnd w:id="70"/>
      <w:bookmarkEnd w:id="71"/>
    </w:p>
    <w:p w14:paraId="52D7D638">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49310AF6">
      <w:pPr>
        <w:spacing w:line="580" w:lineRule="exact"/>
        <w:jc w:val="center"/>
        <w:rPr>
          <w:rFonts w:ascii="方正小标宋简体" w:hAnsi="方正小标宋简体" w:eastAsia="方正小标宋简体" w:cs="方正小标宋简体"/>
          <w:sz w:val="44"/>
          <w:szCs w:val="44"/>
        </w:rPr>
      </w:pPr>
    </w:p>
    <w:p w14:paraId="76D74CCB">
      <w:pPr>
        <w:numPr>
          <w:ilvl w:val="0"/>
          <w:numId w:val="4"/>
        </w:numPr>
        <w:spacing w:line="600" w:lineRule="exact"/>
        <w:ind w:firstLine="640"/>
        <w:outlineLvl w:val="1"/>
        <w:rPr>
          <w:rStyle w:val="30"/>
          <w:rFonts w:ascii="黑体" w:hAnsi="黑体" w:eastAsia="黑体"/>
          <w:b w:val="0"/>
        </w:rPr>
      </w:pPr>
      <w:bookmarkStart w:id="72" w:name="_Toc15377221"/>
      <w:bookmarkStart w:id="73" w:name="_Toc6687"/>
      <w:bookmarkStart w:id="74" w:name="_Toc15396612"/>
      <w:r>
        <w:rPr>
          <w:rStyle w:val="30"/>
          <w:rFonts w:hint="eastAsia" w:ascii="黑体" w:hAnsi="黑体" w:eastAsia="黑体"/>
          <w:b w:val="0"/>
        </w:rPr>
        <w:t>其他重要事项的情况说明</w:t>
      </w:r>
      <w:bookmarkEnd w:id="72"/>
      <w:bookmarkEnd w:id="73"/>
      <w:bookmarkEnd w:id="74"/>
    </w:p>
    <w:p w14:paraId="56C0E631">
      <w:pPr>
        <w:spacing w:line="600" w:lineRule="exact"/>
        <w:ind w:firstLine="643" w:firstLineChars="200"/>
        <w:outlineLvl w:val="2"/>
        <w:rPr>
          <w:rFonts w:ascii="仿宋" w:hAnsi="仿宋" w:eastAsia="仿宋"/>
          <w:sz w:val="32"/>
          <w:szCs w:val="32"/>
        </w:rPr>
      </w:pPr>
      <w:bookmarkStart w:id="75" w:name="_Toc15377222"/>
      <w:bookmarkStart w:id="76" w:name="_Toc20406"/>
      <w:r>
        <w:rPr>
          <w:rFonts w:hint="eastAsia" w:ascii="仿宋" w:hAnsi="仿宋" w:eastAsia="仿宋"/>
          <w:b/>
          <w:sz w:val="32"/>
          <w:szCs w:val="32"/>
        </w:rPr>
        <w:t>（一）机关运行经费支出情况</w:t>
      </w:r>
      <w:bookmarkEnd w:id="75"/>
      <w:bookmarkEnd w:id="76"/>
    </w:p>
    <w:p w14:paraId="10512FF5">
      <w:pPr>
        <w:spacing w:line="60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2023年度，</w:t>
      </w:r>
      <w:r>
        <w:rPr>
          <w:rFonts w:ascii="仿宋_GB2312" w:eastAsia="仿宋_GB2312"/>
          <w:b/>
          <w:sz w:val="32"/>
          <w:szCs w:val="32"/>
        </w:rPr>
        <w:t>阿坝州松潘县黄龙乡卫生院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万元，比2022年度减少</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0</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（或与2022年度决算数持平）。</w:t>
      </w:r>
      <w:r>
        <w:rPr>
          <w:rFonts w:hint="eastAsia" w:ascii="仿宋_GB2312" w:eastAsia="仿宋_GB2312"/>
          <w:sz w:val="32"/>
          <w:szCs w:val="32"/>
          <w:lang w:val="en-US" w:eastAsia="zh-CN"/>
        </w:rPr>
        <w:t>0</w:t>
      </w:r>
    </w:p>
    <w:p w14:paraId="1C60FA0F">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696D1D1B">
      <w:pPr>
        <w:autoSpaceDE w:val="0"/>
        <w:autoSpaceDN w:val="0"/>
        <w:adjustRightInd w:val="0"/>
        <w:spacing w:line="600" w:lineRule="exact"/>
        <w:ind w:firstLine="643" w:firstLineChars="200"/>
        <w:jc w:val="left"/>
        <w:outlineLvl w:val="2"/>
        <w:rPr>
          <w:rFonts w:ascii="仿宋" w:hAnsi="仿宋" w:eastAsia="仿宋"/>
          <w:b/>
          <w:sz w:val="32"/>
          <w:szCs w:val="32"/>
        </w:rPr>
      </w:pPr>
      <w:bookmarkStart w:id="77" w:name="_Toc15377223"/>
      <w:bookmarkStart w:id="78" w:name="_Toc24224"/>
      <w:r>
        <w:rPr>
          <w:rFonts w:hint="eastAsia" w:ascii="仿宋" w:hAnsi="仿宋" w:eastAsia="仿宋"/>
          <w:b/>
          <w:sz w:val="32"/>
          <w:szCs w:val="32"/>
        </w:rPr>
        <w:t>（二）政府采购支出情况</w:t>
      </w:r>
      <w:bookmarkEnd w:id="77"/>
      <w:bookmarkEnd w:id="78"/>
    </w:p>
    <w:p w14:paraId="3C2E6AA3">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阿坝州松潘县黄龙乡卫生院</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471526B3">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9921F86">
      <w:pPr>
        <w:autoSpaceDE w:val="0"/>
        <w:autoSpaceDN w:val="0"/>
        <w:adjustRightInd w:val="0"/>
        <w:spacing w:line="600" w:lineRule="exact"/>
        <w:ind w:firstLine="643" w:firstLineChars="200"/>
        <w:jc w:val="left"/>
        <w:outlineLvl w:val="2"/>
        <w:rPr>
          <w:rFonts w:ascii="仿宋" w:hAnsi="仿宋" w:eastAsia="仿宋"/>
          <w:b/>
          <w:sz w:val="32"/>
          <w:szCs w:val="32"/>
        </w:rPr>
      </w:pPr>
      <w:bookmarkStart w:id="79" w:name="_Toc10566"/>
      <w:bookmarkStart w:id="80" w:name="_Toc15377224"/>
      <w:r>
        <w:rPr>
          <w:rFonts w:hint="eastAsia" w:ascii="仿宋" w:hAnsi="仿宋" w:eastAsia="仿宋"/>
          <w:b/>
          <w:sz w:val="32"/>
          <w:szCs w:val="32"/>
        </w:rPr>
        <w:t>（三）国有资产占有使用情况</w:t>
      </w:r>
      <w:bookmarkEnd w:id="79"/>
      <w:bookmarkEnd w:id="80"/>
    </w:p>
    <w:p w14:paraId="370A6B89">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阿坝州松潘县黄龙乡卫生院</w:t>
      </w:r>
      <w:r>
        <w:rPr>
          <w:rFonts w:hint="eastAsia" w:ascii="仿宋_GB2312" w:eastAsia="仿宋_GB2312"/>
          <w:sz w:val="32"/>
          <w:szCs w:val="32"/>
        </w:rPr>
        <w:t>共有车辆</w:t>
      </w:r>
      <w:r>
        <w:rPr>
          <w:rFonts w:hint="eastAsia" w:ascii="仿宋_GB2312" w:eastAsia="仿宋_GB2312"/>
          <w:b/>
          <w:sz w:val="32"/>
          <w:szCs w:val="32"/>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1</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7F2A191E">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049A39D5">
      <w:pPr>
        <w:autoSpaceDE w:val="0"/>
        <w:autoSpaceDN w:val="0"/>
        <w:adjustRightInd w:val="0"/>
        <w:spacing w:line="600" w:lineRule="exact"/>
        <w:ind w:firstLine="643" w:firstLineChars="200"/>
        <w:jc w:val="left"/>
        <w:outlineLvl w:val="2"/>
        <w:rPr>
          <w:rFonts w:ascii="仿宋" w:hAnsi="仿宋" w:eastAsia="仿宋"/>
          <w:b/>
          <w:sz w:val="32"/>
          <w:szCs w:val="32"/>
        </w:rPr>
      </w:pPr>
      <w:bookmarkStart w:id="81" w:name="_Toc4057"/>
      <w:r>
        <w:rPr>
          <w:rFonts w:hint="eastAsia" w:ascii="仿宋" w:hAnsi="仿宋" w:eastAsia="仿宋"/>
          <w:b/>
          <w:sz w:val="32"/>
          <w:szCs w:val="32"/>
        </w:rPr>
        <w:t>（四）预算绩效管理情况</w:t>
      </w:r>
      <w:bookmarkEnd w:id="81"/>
    </w:p>
    <w:p w14:paraId="08AE8E6F">
      <w:pPr>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预算绩效管理要求，本部门在2023年度预算编制阶段，组织对12项基本公共卫生服务，基层医疗卫生，村卫生项目等3个项目开展了预算事前绩效评估，对3个项目编制了绩效目标，预算执行过程中，选取3个项目开展绩效监控。</w:t>
      </w:r>
    </w:p>
    <w:p w14:paraId="7BEA5339">
      <w:pPr>
        <w:spacing w:line="600" w:lineRule="exact"/>
        <w:ind w:firstLine="640" w:firstLineChars="200"/>
        <w:rPr>
          <w:rFonts w:ascii="仿宋_GB2312" w:eastAsia="仿宋_GB2312"/>
          <w:sz w:val="32"/>
          <w:szCs w:val="32"/>
        </w:rPr>
      </w:pPr>
      <w:r>
        <w:rPr>
          <w:rFonts w:hint="eastAsia" w:ascii="仿宋_GB2312" w:hAnsi="Times New Roman" w:eastAsia="仿宋_GB2312" w:cs="Times New Roman"/>
          <w:sz w:val="32"/>
          <w:szCs w:val="32"/>
        </w:rPr>
        <w:t>组织对2023年度一般公共预算、政府性基金预算、国有资本经营预算、社会保险基金预算以及资本资产、债券资金等全面开展绩效自评，形成部门整体（含部门预算项目）绩效自评报告等专项预算项目绩效自评报告，其中，部门整体（含部门预算项目）绩效自评得分为</w:t>
      </w:r>
      <w:r>
        <w:rPr>
          <w:rFonts w:hint="eastAsia" w:ascii="仿宋_GB2312" w:hAnsi="Times New Roman" w:eastAsia="仿宋_GB2312" w:cs="Times New Roman"/>
          <w:sz w:val="32"/>
          <w:szCs w:val="32"/>
          <w:lang w:val="en-US" w:eastAsia="zh-CN"/>
        </w:rPr>
        <w:t>94</w:t>
      </w:r>
      <w:r>
        <w:rPr>
          <w:rFonts w:hint="eastAsia" w:ascii="仿宋_GB2312" w:hAnsi="Times New Roman" w:eastAsia="仿宋_GB2312" w:cs="Times New Roman"/>
          <w:sz w:val="32"/>
          <w:szCs w:val="32"/>
        </w:rPr>
        <w:t>分，绩效自评综述：12项基本公共卫生服务，基层医疗卫生，村卫生室等专项预算项目绩效自评情况表；绩效自评报告详见附件。</w:t>
      </w:r>
      <w:r>
        <w:rPr>
          <w:rFonts w:hint="eastAsia" w:ascii="仿宋_GB2312" w:eastAsia="仿宋_GB2312"/>
          <w:sz w:val="32"/>
          <w:szCs w:val="32"/>
        </w:rPr>
        <w:br w:type="page"/>
      </w:r>
    </w:p>
    <w:p w14:paraId="5DA5E292">
      <w:pPr>
        <w:numPr>
          <w:ilvl w:val="0"/>
          <w:numId w:val="5"/>
        </w:numPr>
        <w:spacing w:line="600" w:lineRule="exact"/>
        <w:ind w:firstLine="660" w:firstLineChars="150"/>
        <w:jc w:val="center"/>
        <w:outlineLvl w:val="0"/>
        <w:rPr>
          <w:rStyle w:val="29"/>
          <w:rFonts w:ascii="黑体" w:hAnsi="黑体" w:eastAsia="黑体"/>
          <w:b w:val="0"/>
        </w:rPr>
      </w:pPr>
      <w:bookmarkStart w:id="82" w:name="_Toc15396613"/>
      <w:bookmarkStart w:id="83" w:name="_Toc15377225"/>
      <w:bookmarkStart w:id="84" w:name="_Toc17021"/>
      <w:r>
        <w:rPr>
          <w:rFonts w:hint="eastAsia" w:ascii="黑体" w:hAnsi="黑体" w:eastAsia="黑体"/>
          <w:sz w:val="44"/>
          <w:szCs w:val="44"/>
        </w:rPr>
        <w:t>名</w:t>
      </w:r>
      <w:r>
        <w:rPr>
          <w:rStyle w:val="29"/>
          <w:rFonts w:hint="eastAsia" w:ascii="黑体" w:hAnsi="黑体" w:eastAsia="黑体"/>
          <w:b w:val="0"/>
        </w:rPr>
        <w:t>词解释</w:t>
      </w:r>
      <w:bookmarkEnd w:id="82"/>
      <w:bookmarkEnd w:id="83"/>
      <w:bookmarkEnd w:id="84"/>
    </w:p>
    <w:p w14:paraId="1154040E">
      <w:pPr>
        <w:spacing w:line="600" w:lineRule="exact"/>
        <w:jc w:val="left"/>
        <w:rPr>
          <w:rFonts w:ascii="宋体"/>
          <w:b/>
          <w:sz w:val="44"/>
          <w:szCs w:val="44"/>
        </w:rPr>
      </w:pPr>
    </w:p>
    <w:p w14:paraId="5DB60029">
      <w:pPr>
        <w:pStyle w:val="27"/>
        <w:spacing w:line="560" w:lineRule="exact"/>
        <w:ind w:firstLine="640" w:firstLineChars="200"/>
        <w:outlineLvl w:val="1"/>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14:paraId="5B07272B">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6C4DF67C">
      <w:pPr>
        <w:pStyle w:val="27"/>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1F9B3307">
      <w:pPr>
        <w:pStyle w:val="27"/>
        <w:spacing w:line="560" w:lineRule="exact"/>
        <w:ind w:firstLine="640" w:firstLineChars="200"/>
        <w:outlineLvl w:val="1"/>
        <w:rPr>
          <w:rFonts w:ascii="仿宋_GB2312" w:eastAsia="仿宋_GB2312"/>
          <w:color w:val="auto"/>
          <w:sz w:val="32"/>
          <w:szCs w:val="32"/>
        </w:rPr>
      </w:pPr>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p>
    <w:p w14:paraId="1058512B">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5DD6FC49">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15800759">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6F11CAB6">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2AA9A5C8">
      <w:pPr>
        <w:pStyle w:val="27"/>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9.一般公共服务社会保障和就业支出（类）行政事业单位养老支出（款）机关事业单位基本养老保险缴费支出（项）：反映机关事业单位实施养老保险制度由单位缴纳的基本养老保险费支出。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10.社会保障和就业支出（类）行政事业单位养老支出（款）机关事业单位职业年金缴费支出（项）：反映机关事业单位实施养老保险制度由单位实际缴纳的职业年金支出。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11.卫生健康支出（类）基层医疗卫生机构（款）乡镇卫生院（项）：反映卫生健康部门所属乡镇卫生院医疗机构的支出。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12.卫生健康支出（类）公共卫生（款）基本公共卫生服务（项）：反映基本公共卫生服务支出。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13.卫生健康支出（类）行政事业单位医疗（款）其他行政事业单位医疗（项）：反映财政部门安排的事业单位基本医疗保险缴费经费，未参加医疗保险的事业单位的公费医疗经费，按国家规定享受离休人员待遇的医疗经费。</w:t>
      </w:r>
    </w:p>
    <w:p w14:paraId="505DE5AE">
      <w:pPr>
        <w:pStyle w:val="27"/>
        <w:spacing w:line="560" w:lineRule="exact"/>
        <w:ind w:firstLine="640" w:firstLineChars="200"/>
        <w:rPr>
          <w:rFonts w:hint="eastAsia" w:ascii="仿宋" w:hAnsi="仿宋" w:eastAsia="仿宋"/>
          <w:b/>
          <w:sz w:val="32"/>
          <w:szCs w:val="32"/>
        </w:rPr>
      </w:pPr>
      <w:r>
        <w:rPr>
          <w:rFonts w:hint="eastAsia" w:ascii="仿宋_GB2312" w:eastAsia="仿宋_GB2312"/>
          <w:color w:val="auto"/>
          <w:sz w:val="32"/>
          <w:szCs w:val="32"/>
          <w:lang w:val="en-US" w:eastAsia="zh-CN"/>
        </w:rPr>
        <w:t>14.卫生健康支出（类）公共卫生（款）其他行政事业单位医疗支出（项）：其他公共卫生支出反映除上述项目以外的其他用于公共卫生方面的支出。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15.住房保障支出（类）住房改革支出（款）住房公积金（项）：反映行政事业单位按人力资源和社会保障部、财政部规定的基本工资和津贴补贴以及规定比例为职工缴纳的住房公积金。</w:t>
      </w:r>
    </w:p>
    <w:p w14:paraId="417D7264">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（解释本单位决算报表中涉及的全部功能分类科目至项级，不涉及的科目请自行删除。请参照《2023年政府收支分类科目》增减内容。）</w:t>
      </w:r>
    </w:p>
    <w:p w14:paraId="76ACFF16">
      <w:pPr>
        <w:ind w:firstLine="640" w:firstLineChars="200"/>
        <w:rPr>
          <w:rFonts w:ascii="仿宋_GB2312" w:eastAsia="仿宋_GB2312"/>
          <w:sz w:val="32"/>
          <w:szCs w:val="32"/>
        </w:rPr>
      </w:pPr>
      <w:r>
        <w:rPr>
          <w:rFonts w:hint="eastAsia" w:ascii="仿宋_GB2312" w:eastAsia="仿宋_GB2312"/>
          <w:sz w:val="32"/>
          <w:szCs w:val="32"/>
          <w:lang w:val="en-US" w:eastAsia="zh-CN"/>
        </w:rPr>
        <w:t>16.</w:t>
      </w:r>
      <w:r>
        <w:rPr>
          <w:rFonts w:hint="eastAsia" w:ascii="仿宋_GB2312" w:eastAsia="仿宋_GB2312"/>
          <w:sz w:val="32"/>
          <w:szCs w:val="32"/>
        </w:rPr>
        <w:t>基本支出：指为保障机构正常运转、完成日常工作任务而发生的人员支出和公用支出。</w:t>
      </w:r>
    </w:p>
    <w:p w14:paraId="6727CB28">
      <w:pPr>
        <w:ind w:firstLine="640" w:firstLineChars="200"/>
        <w:rPr>
          <w:rFonts w:ascii="仿宋_GB2312" w:eastAsia="仿宋_GB2312"/>
          <w:sz w:val="32"/>
          <w:szCs w:val="32"/>
        </w:rPr>
      </w:pPr>
      <w:r>
        <w:rPr>
          <w:rFonts w:hint="eastAsia" w:ascii="仿宋_GB2312" w:eastAsia="仿宋_GB2312"/>
          <w:sz w:val="32"/>
          <w:szCs w:val="32"/>
          <w:lang w:val="en-US" w:eastAsia="zh-CN"/>
        </w:rPr>
        <w:t>17.</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4D9F2E58">
      <w:pPr>
        <w:ind w:firstLine="640" w:firstLineChars="200"/>
        <w:rPr>
          <w:rFonts w:ascii="仿宋_GB2312" w:eastAsia="仿宋_GB2312"/>
          <w:sz w:val="32"/>
          <w:szCs w:val="32"/>
        </w:rPr>
      </w:pPr>
      <w:r>
        <w:rPr>
          <w:rFonts w:hint="eastAsia" w:ascii="仿宋_GB2312" w:eastAsia="仿宋_GB2312"/>
          <w:sz w:val="32"/>
          <w:szCs w:val="32"/>
          <w:lang w:val="en-US" w:eastAsia="zh-CN"/>
        </w:rPr>
        <w:t>18.</w:t>
      </w:r>
      <w:r>
        <w:rPr>
          <w:rFonts w:hint="eastAsia" w:ascii="仿宋_GB2312" w:eastAsia="仿宋_GB2312"/>
          <w:sz w:val="32"/>
          <w:szCs w:val="32"/>
        </w:rPr>
        <w:t>经营支出：指事业单位在专业业务活动及其辅助活动之外开展非独立核算经营活动发生的支出。</w:t>
      </w:r>
    </w:p>
    <w:p w14:paraId="727D6A35">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19.</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C4B6378">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20.</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A926FD9">
      <w:pPr>
        <w:pStyle w:val="27"/>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21.财政应返还额度：为行政事业单位会计核算科目，用于核算实行国库集中支付的行政事业单位应收财政返还的资金额度。</w:t>
      </w:r>
    </w:p>
    <w:p w14:paraId="1864CD8D">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14:paraId="71AF67C8">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12865583">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14:paraId="5884CDE9">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6C3AD7C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DF77891">
      <w:pPr>
        <w:pStyle w:val="27"/>
        <w:spacing w:line="560" w:lineRule="exact"/>
        <w:ind w:firstLine="640" w:firstLineChars="200"/>
        <w:rPr>
          <w:rFonts w:ascii="仿宋_GB2312" w:eastAsia="仿宋_GB2312" w:cs="黑体"/>
          <w:color w:val="auto"/>
          <w:sz w:val="32"/>
          <w:szCs w:val="32"/>
        </w:rPr>
      </w:pPr>
    </w:p>
    <w:p w14:paraId="547B9D63">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14:paraId="78D9AA00">
      <w:pPr>
        <w:spacing w:line="600" w:lineRule="exact"/>
        <w:jc w:val="center"/>
        <w:outlineLvl w:val="9"/>
        <w:rPr>
          <w:rFonts w:ascii="宋体"/>
          <w:b/>
          <w:sz w:val="44"/>
          <w:szCs w:val="44"/>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85" w:name="_Toc15377226"/>
      <w:r>
        <w:rPr>
          <w:rFonts w:ascii="宋体"/>
          <w:b/>
          <w:sz w:val="44"/>
          <w:szCs w:val="44"/>
        </w:rPr>
        <w:br w:type="page"/>
      </w:r>
      <w:bookmarkStart w:id="86" w:name="_Toc15396614"/>
    </w:p>
    <w:p w14:paraId="39669749">
      <w:pPr>
        <w:spacing w:line="600" w:lineRule="exact"/>
        <w:jc w:val="center"/>
        <w:outlineLvl w:val="0"/>
        <w:rPr>
          <w:rStyle w:val="29"/>
          <w:rFonts w:ascii="黑体" w:hAnsi="黑体" w:eastAsia="黑体"/>
          <w:b w:val="0"/>
        </w:rPr>
      </w:pPr>
      <w:bookmarkStart w:id="87" w:name="_Toc2469"/>
      <w:r>
        <w:rPr>
          <w:rFonts w:hint="eastAsia" w:ascii="黑体" w:hAnsi="黑体" w:eastAsia="黑体"/>
          <w:sz w:val="44"/>
          <w:szCs w:val="44"/>
        </w:rPr>
        <w:t>第</w:t>
      </w:r>
      <w:r>
        <w:rPr>
          <w:rStyle w:val="29"/>
          <w:rFonts w:hint="eastAsia" w:ascii="黑体" w:hAnsi="黑体" w:eastAsia="黑体"/>
          <w:b w:val="0"/>
        </w:rPr>
        <w:t>四部分 附件</w:t>
      </w:r>
      <w:bookmarkEnd w:id="86"/>
      <w:bookmarkEnd w:id="87"/>
    </w:p>
    <w:tbl>
      <w:tblPr>
        <w:tblStyle w:val="16"/>
        <w:tblW w:w="15240" w:type="dxa"/>
        <w:tblInd w:w="0" w:type="dxa"/>
        <w:shd w:val="clear" w:color="auto" w:fill="auto"/>
        <w:tblLayout w:type="fixed"/>
        <w:tblCellMar>
          <w:top w:w="0" w:type="dxa"/>
          <w:left w:w="0" w:type="dxa"/>
          <w:bottom w:w="0" w:type="dxa"/>
          <w:right w:w="0" w:type="dxa"/>
        </w:tblCellMar>
      </w:tblPr>
      <w:tblGrid>
        <w:gridCol w:w="683"/>
        <w:gridCol w:w="2050"/>
        <w:gridCol w:w="2038"/>
        <w:gridCol w:w="2262"/>
        <w:gridCol w:w="653"/>
        <w:gridCol w:w="1675"/>
        <w:gridCol w:w="521"/>
        <w:gridCol w:w="1839"/>
        <w:gridCol w:w="506"/>
        <w:gridCol w:w="456"/>
        <w:gridCol w:w="2557"/>
      </w:tblGrid>
      <w:tr w14:paraId="1DB818FA">
        <w:tblPrEx>
          <w:tblCellMar>
            <w:top w:w="0" w:type="dxa"/>
            <w:left w:w="0" w:type="dxa"/>
            <w:bottom w:w="0" w:type="dxa"/>
            <w:right w:w="0" w:type="dxa"/>
          </w:tblCellMar>
        </w:tblPrEx>
        <w:trPr>
          <w:trHeight w:val="407" w:hRule="atLeast"/>
        </w:trPr>
        <w:tc>
          <w:tcPr>
            <w:tcW w:w="7033" w:type="dxa"/>
            <w:gridSpan w:val="4"/>
            <w:tcBorders>
              <w:top w:val="nil"/>
              <w:left w:val="nil"/>
              <w:bottom w:val="nil"/>
              <w:right w:val="nil"/>
            </w:tcBorders>
            <w:shd w:val="clear" w:color="auto" w:fill="auto"/>
            <w:tcMar>
              <w:top w:w="15" w:type="dxa"/>
              <w:left w:w="15" w:type="dxa"/>
              <w:right w:w="15" w:type="dxa"/>
            </w:tcMar>
            <w:vAlign w:val="center"/>
          </w:tcPr>
          <w:p w14:paraId="2205C846">
            <w:pPr>
              <w:keepNext w:val="0"/>
              <w:keepLines w:val="0"/>
              <w:widowControl/>
              <w:suppressLineNumbers w:val="0"/>
              <w:jc w:val="left"/>
              <w:textAlignment w:val="center"/>
              <w:rPr>
                <w:rFonts w:ascii="宋体" w:hAnsi="宋体" w:eastAsia="宋体" w:cs="宋体"/>
                <w:i w:val="0"/>
                <w:color w:val="C0C0C0"/>
                <w:sz w:val="20"/>
                <w:szCs w:val="20"/>
                <w:u w:val="none"/>
              </w:rPr>
            </w:pPr>
            <w:r>
              <w:rPr>
                <w:rFonts w:ascii="宋体" w:hAnsi="宋体" w:eastAsia="宋体" w:cs="宋体"/>
                <w:i w:val="0"/>
                <w:color w:val="C0C0C0"/>
                <w:kern w:val="0"/>
                <w:sz w:val="20"/>
                <w:szCs w:val="20"/>
                <w:u w:val="none"/>
                <w:lang w:val="en-US" w:eastAsia="zh-CN" w:bidi="ar"/>
              </w:rPr>
              <w:t>报表编号：510000_0013zp</w:t>
            </w:r>
          </w:p>
        </w:tc>
        <w:tc>
          <w:tcPr>
            <w:tcW w:w="653" w:type="dxa"/>
            <w:tcBorders>
              <w:top w:val="nil"/>
              <w:left w:val="nil"/>
              <w:bottom w:val="nil"/>
              <w:right w:val="nil"/>
            </w:tcBorders>
            <w:shd w:val="clear" w:color="auto" w:fill="auto"/>
            <w:noWrap/>
            <w:tcMar>
              <w:top w:w="15" w:type="dxa"/>
              <w:left w:w="15" w:type="dxa"/>
              <w:right w:w="15" w:type="dxa"/>
            </w:tcMar>
            <w:vAlign w:val="center"/>
          </w:tcPr>
          <w:p w14:paraId="24A54FAA">
            <w:pPr>
              <w:rPr>
                <w:rFonts w:hint="eastAsia" w:ascii="宋体" w:hAnsi="宋体" w:eastAsia="宋体" w:cs="宋体"/>
                <w:i w:val="0"/>
                <w:color w:val="000000"/>
                <w:sz w:val="22"/>
                <w:szCs w:val="22"/>
                <w:u w:val="none"/>
              </w:rPr>
            </w:pPr>
          </w:p>
        </w:tc>
        <w:tc>
          <w:tcPr>
            <w:tcW w:w="4035" w:type="dxa"/>
            <w:gridSpan w:val="3"/>
            <w:tcBorders>
              <w:top w:val="nil"/>
              <w:left w:val="nil"/>
              <w:bottom w:val="nil"/>
              <w:right w:val="nil"/>
            </w:tcBorders>
            <w:shd w:val="clear" w:color="auto" w:fill="auto"/>
            <w:tcMar>
              <w:top w:w="15" w:type="dxa"/>
              <w:left w:w="15" w:type="dxa"/>
              <w:right w:w="15" w:type="dxa"/>
            </w:tcMar>
            <w:vAlign w:val="center"/>
          </w:tcPr>
          <w:p w14:paraId="32C2982B">
            <w:pPr>
              <w:rPr>
                <w:rFonts w:hint="eastAsia" w:ascii="宋体" w:hAnsi="宋体" w:eastAsia="宋体" w:cs="宋体"/>
                <w:i w:val="0"/>
                <w:color w:val="000000"/>
                <w:sz w:val="20"/>
                <w:szCs w:val="20"/>
                <w:u w:val="none"/>
              </w:rPr>
            </w:pPr>
          </w:p>
        </w:tc>
        <w:tc>
          <w:tcPr>
            <w:tcW w:w="506" w:type="dxa"/>
            <w:tcBorders>
              <w:top w:val="nil"/>
              <w:left w:val="nil"/>
              <w:bottom w:val="nil"/>
              <w:right w:val="nil"/>
            </w:tcBorders>
            <w:shd w:val="clear" w:color="auto" w:fill="auto"/>
            <w:noWrap/>
            <w:tcMar>
              <w:top w:w="15" w:type="dxa"/>
              <w:left w:w="15" w:type="dxa"/>
              <w:right w:w="15" w:type="dxa"/>
            </w:tcMar>
            <w:vAlign w:val="center"/>
          </w:tcPr>
          <w:p w14:paraId="353DDCFE">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5" w:type="dxa"/>
              <w:left w:w="15" w:type="dxa"/>
              <w:right w:w="15" w:type="dxa"/>
            </w:tcMar>
            <w:vAlign w:val="center"/>
          </w:tcPr>
          <w:p w14:paraId="4B397EB7">
            <w:pPr>
              <w:rPr>
                <w:rFonts w:hint="eastAsia" w:ascii="宋体" w:hAnsi="宋体" w:eastAsia="宋体" w:cs="宋体"/>
                <w:i w:val="0"/>
                <w:color w:val="000000"/>
                <w:sz w:val="22"/>
                <w:szCs w:val="22"/>
                <w:u w:val="none"/>
              </w:rPr>
            </w:pPr>
          </w:p>
        </w:tc>
        <w:tc>
          <w:tcPr>
            <w:tcW w:w="2557" w:type="dxa"/>
            <w:tcBorders>
              <w:top w:val="nil"/>
              <w:left w:val="nil"/>
              <w:bottom w:val="nil"/>
              <w:right w:val="nil"/>
            </w:tcBorders>
            <w:shd w:val="clear" w:color="auto" w:fill="auto"/>
            <w:noWrap/>
            <w:tcMar>
              <w:top w:w="15" w:type="dxa"/>
              <w:left w:w="15" w:type="dxa"/>
              <w:right w:w="15" w:type="dxa"/>
            </w:tcMar>
            <w:vAlign w:val="center"/>
          </w:tcPr>
          <w:p w14:paraId="70465C9C">
            <w:pPr>
              <w:rPr>
                <w:rFonts w:hint="eastAsia" w:ascii="宋体" w:hAnsi="宋体" w:eastAsia="宋体" w:cs="宋体"/>
                <w:i w:val="0"/>
                <w:color w:val="000000"/>
                <w:sz w:val="22"/>
                <w:szCs w:val="22"/>
                <w:u w:val="none"/>
              </w:rPr>
            </w:pPr>
          </w:p>
        </w:tc>
      </w:tr>
      <w:tr w14:paraId="25C24834">
        <w:tblPrEx>
          <w:tblCellMar>
            <w:top w:w="0" w:type="dxa"/>
            <w:left w:w="0" w:type="dxa"/>
            <w:bottom w:w="0" w:type="dxa"/>
            <w:right w:w="0" w:type="dxa"/>
          </w:tblCellMar>
        </w:tblPrEx>
        <w:trPr>
          <w:trHeight w:val="904" w:hRule="atLeast"/>
        </w:trPr>
        <w:tc>
          <w:tcPr>
            <w:tcW w:w="152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78799">
            <w:pPr>
              <w:keepNext w:val="0"/>
              <w:keepLines w:val="0"/>
              <w:widowControl/>
              <w:suppressLineNumbers w:val="0"/>
              <w:jc w:val="center"/>
              <w:textAlignment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0937ADAE">
        <w:tblPrEx>
          <w:shd w:val="clear" w:color="auto" w:fill="auto"/>
          <w:tblCellMar>
            <w:top w:w="0" w:type="dxa"/>
            <w:left w:w="0" w:type="dxa"/>
            <w:bottom w:w="0" w:type="dxa"/>
            <w:right w:w="0" w:type="dxa"/>
          </w:tblCellMar>
        </w:tblPrEx>
        <w:trPr>
          <w:trHeight w:val="286"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30A3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FCBF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51322422T000006098975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基层医疗卫生机构基本药物制度补助</w:t>
            </w:r>
          </w:p>
        </w:tc>
      </w:tr>
      <w:tr w14:paraId="5D353BB5">
        <w:tblPrEx>
          <w:tblCellMar>
            <w:top w:w="0" w:type="dxa"/>
            <w:left w:w="0" w:type="dxa"/>
            <w:bottom w:w="0" w:type="dxa"/>
            <w:right w:w="0" w:type="dxa"/>
          </w:tblCellMar>
        </w:tblPrEx>
        <w:trPr>
          <w:trHeight w:val="512"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7284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23E1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839" w:type="dxa"/>
            <w:tcBorders>
              <w:top w:val="nil"/>
              <w:left w:val="nil"/>
              <w:bottom w:val="nil"/>
              <w:right w:val="nil"/>
            </w:tcBorders>
            <w:shd w:val="clear" w:color="auto" w:fill="auto"/>
            <w:tcMar>
              <w:top w:w="15" w:type="dxa"/>
              <w:left w:w="15" w:type="dxa"/>
              <w:right w:w="15" w:type="dxa"/>
            </w:tcMar>
            <w:vAlign w:val="center"/>
          </w:tcPr>
          <w:p w14:paraId="3208D626">
            <w:pPr>
              <w:keepNext w:val="0"/>
              <w:keepLines w:val="0"/>
              <w:widowControl/>
              <w:suppressLineNumbers w:val="0"/>
              <w:jc w:val="left"/>
              <w:textAlignment w:val="center"/>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39B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松潘县黄龙乡卫生院</w:t>
            </w:r>
          </w:p>
        </w:tc>
      </w:tr>
      <w:tr w14:paraId="44105D6B">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5FE6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AEAAE">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E3027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0AFD8">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1C6D9D59">
        <w:tblPrEx>
          <w:shd w:val="clear" w:color="auto" w:fill="auto"/>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CBC71">
            <w:pPr>
              <w:rPr>
                <w:rFonts w:hint="eastAsia" w:ascii="宋体" w:hAnsi="宋体" w:eastAsia="宋体" w:cs="宋体"/>
                <w:i w:val="0"/>
                <w:color w:val="000000"/>
                <w:sz w:val="18"/>
                <w:szCs w:val="18"/>
                <w:u w:val="none"/>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C1EE0">
            <w:pPr>
              <w:rPr>
                <w:rFonts w:hint="eastAsia" w:ascii="宋体" w:hAnsi="宋体" w:eastAsia="宋体" w:cs="宋体"/>
                <w:i w:val="0"/>
                <w:color w:val="000000"/>
                <w:sz w:val="18"/>
                <w:szCs w:val="18"/>
                <w:u w:val="none"/>
              </w:rPr>
            </w:pP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33AF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按时完成了基层医疗药</w:t>
            </w:r>
            <w:r>
              <w:rPr>
                <w:rFonts w:hint="eastAsia" w:ascii="宋体" w:hAnsi="宋体" w:cs="宋体"/>
                <w:i w:val="0"/>
                <w:color w:val="000000"/>
                <w:kern w:val="0"/>
                <w:sz w:val="18"/>
                <w:szCs w:val="18"/>
                <w:u w:val="none"/>
                <w:lang w:val="en-US" w:eastAsia="zh-CN" w:bidi="ar"/>
              </w:rPr>
              <w:t>品器</w:t>
            </w:r>
            <w:r>
              <w:rPr>
                <w:rFonts w:ascii="宋体" w:hAnsi="宋体" w:eastAsia="宋体" w:cs="宋体"/>
                <w:i w:val="0"/>
                <w:color w:val="000000"/>
                <w:kern w:val="0"/>
                <w:sz w:val="18"/>
                <w:szCs w:val="18"/>
                <w:u w:val="none"/>
                <w:lang w:val="en-US" w:eastAsia="zh-CN" w:bidi="ar"/>
              </w:rPr>
              <w:t>械采购，药品零售价，保障了老百姓的基本医疗需求。</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1DD8BA">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对照年度目标，说明相关任务目标的完成情况（100字以内）</w:t>
            </w:r>
          </w:p>
        </w:tc>
      </w:tr>
      <w:tr w14:paraId="4FEE517C">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C6C0D3">
            <w:pP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E624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4A228">
            <w:pPr>
              <w:rPr>
                <w:rFonts w:hint="eastAsia" w:ascii="宋体" w:hAnsi="宋体" w:eastAsia="宋体" w:cs="宋体"/>
                <w:i w:val="0"/>
                <w:color w:val="000000"/>
                <w:sz w:val="18"/>
                <w:szCs w:val="18"/>
                <w:u w:val="none"/>
              </w:rPr>
            </w:pPr>
          </w:p>
        </w:tc>
      </w:tr>
      <w:tr w14:paraId="6EAD38A2">
        <w:tblPrEx>
          <w:tblCellMar>
            <w:top w:w="0" w:type="dxa"/>
            <w:left w:w="0" w:type="dxa"/>
            <w:bottom w:w="0" w:type="dxa"/>
            <w:right w:w="0" w:type="dxa"/>
          </w:tblCellMar>
        </w:tblPrEx>
        <w:trPr>
          <w:trHeight w:val="640"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4B1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00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540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D8E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1AED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15D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249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543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B374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6E933B66">
        <w:tblPrEx>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67987">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A7D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439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03F5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2F9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F9A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735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748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E9CB02">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55F5AEF">
        <w:tblPrEx>
          <w:shd w:val="clear" w:color="auto" w:fill="auto"/>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ED255">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500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456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811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DE5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6BE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842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E662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4B8F6">
            <w:pPr>
              <w:rPr>
                <w:rFonts w:hint="eastAsia" w:ascii="黑体" w:hAnsi="黑体" w:eastAsia="黑体" w:cs="黑体"/>
                <w:i/>
                <w:color w:val="000000"/>
                <w:sz w:val="18"/>
                <w:szCs w:val="18"/>
                <w:u w:val="none"/>
              </w:rPr>
            </w:pPr>
          </w:p>
        </w:tc>
      </w:tr>
      <w:tr w14:paraId="10AA8B3F">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D8800">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036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FB2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977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344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8C9B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F08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3A7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E7660">
            <w:pPr>
              <w:rPr>
                <w:rFonts w:hint="eastAsia" w:ascii="黑体" w:hAnsi="黑体" w:eastAsia="黑体" w:cs="黑体"/>
                <w:i/>
                <w:color w:val="000000"/>
                <w:sz w:val="18"/>
                <w:szCs w:val="18"/>
                <w:u w:val="none"/>
              </w:rPr>
            </w:pPr>
          </w:p>
        </w:tc>
      </w:tr>
      <w:tr w14:paraId="5E4C5E82">
        <w:tblPrEx>
          <w:shd w:val="clear" w:color="auto" w:fill="auto"/>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697B1">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BE14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599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2F09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5E4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DD5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F1F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B0A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6B754">
            <w:pPr>
              <w:rPr>
                <w:rFonts w:hint="eastAsia" w:ascii="黑体" w:hAnsi="黑体" w:eastAsia="黑体" w:cs="黑体"/>
                <w:i/>
                <w:color w:val="000000"/>
                <w:sz w:val="18"/>
                <w:szCs w:val="18"/>
                <w:u w:val="none"/>
              </w:rPr>
            </w:pPr>
          </w:p>
        </w:tc>
      </w:tr>
      <w:tr w14:paraId="703DCAAE">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0BAC2">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41D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A94C8">
            <w:pPr>
              <w:jc w:val="center"/>
              <w:rPr>
                <w:rFonts w:hint="eastAsia" w:ascii="微软雅黑" w:hAnsi="微软雅黑" w:eastAsia="微软雅黑" w:cs="微软雅黑"/>
                <w:i/>
                <w:color w:val="000000"/>
                <w:sz w:val="16"/>
                <w:szCs w:val="16"/>
                <w:u w:val="none"/>
              </w:rPr>
            </w:pP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28CE2">
            <w:pPr>
              <w:jc w:val="center"/>
              <w:rPr>
                <w:rFonts w:hint="eastAsia" w:ascii="微软雅黑" w:hAnsi="微软雅黑" w:eastAsia="微软雅黑" w:cs="微软雅黑"/>
                <w:i/>
                <w:color w:val="000000"/>
                <w:sz w:val="16"/>
                <w:szCs w:val="16"/>
                <w:u w:val="none"/>
              </w:rPr>
            </w:pP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20220">
            <w:pPr>
              <w:jc w:val="center"/>
              <w:rPr>
                <w:rFonts w:hint="eastAsia" w:ascii="微软雅黑" w:hAnsi="微软雅黑" w:eastAsia="微软雅黑" w:cs="微软雅黑"/>
                <w:i/>
                <w:color w:val="000000"/>
                <w:sz w:val="16"/>
                <w:szCs w:val="16"/>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741F">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8EA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962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9C5A54">
            <w:pPr>
              <w:rPr>
                <w:rFonts w:hint="eastAsia" w:ascii="黑体" w:hAnsi="黑体" w:eastAsia="黑体" w:cs="黑体"/>
                <w:i/>
                <w:color w:val="000000"/>
                <w:sz w:val="18"/>
                <w:szCs w:val="18"/>
                <w:u w:val="none"/>
              </w:rPr>
            </w:pPr>
          </w:p>
        </w:tc>
      </w:tr>
      <w:tr w14:paraId="7C6B53F6">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365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7CC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F93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0CE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314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3A6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6CA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D96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539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B8B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3F9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164392C1">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8EF13">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83D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32B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CD1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28C6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EE0A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366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5B2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AAE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9E3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87C55">
            <w:pPr>
              <w:jc w:val="center"/>
              <w:rPr>
                <w:rFonts w:hint="eastAsia" w:ascii="宋体" w:hAnsi="宋体" w:eastAsia="宋体" w:cs="宋体"/>
                <w:i w:val="0"/>
                <w:color w:val="000000"/>
                <w:sz w:val="18"/>
                <w:szCs w:val="18"/>
                <w:u w:val="none"/>
              </w:rPr>
            </w:pPr>
          </w:p>
        </w:tc>
      </w:tr>
      <w:tr w14:paraId="042DCF2A">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73584">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13C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0A9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D6C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909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621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8D4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F4B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CE8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110F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32CDC">
            <w:pPr>
              <w:jc w:val="center"/>
              <w:rPr>
                <w:rFonts w:hint="eastAsia" w:ascii="宋体" w:hAnsi="宋体" w:eastAsia="宋体" w:cs="宋体"/>
                <w:i w:val="0"/>
                <w:color w:val="000000"/>
                <w:sz w:val="18"/>
                <w:szCs w:val="18"/>
                <w:u w:val="none"/>
              </w:rPr>
            </w:pPr>
          </w:p>
        </w:tc>
      </w:tr>
      <w:tr w14:paraId="2EB3C5F9">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DFD51">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34E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B58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B5D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C5D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5FA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880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479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1ED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3DF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A69519">
            <w:pPr>
              <w:jc w:val="center"/>
              <w:rPr>
                <w:rFonts w:hint="eastAsia" w:ascii="宋体" w:hAnsi="宋体" w:eastAsia="宋体" w:cs="宋体"/>
                <w:i w:val="0"/>
                <w:color w:val="000000"/>
                <w:sz w:val="18"/>
                <w:szCs w:val="18"/>
                <w:u w:val="none"/>
              </w:rPr>
            </w:pPr>
          </w:p>
        </w:tc>
      </w:tr>
      <w:tr w14:paraId="4D57191D">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7EC36">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ADD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451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000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607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81A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82BFA">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5AB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6A8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6E1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EEF5">
            <w:pPr>
              <w:jc w:val="center"/>
              <w:rPr>
                <w:rFonts w:hint="eastAsia" w:ascii="宋体" w:hAnsi="宋体" w:eastAsia="宋体" w:cs="宋体"/>
                <w:i w:val="0"/>
                <w:color w:val="000000"/>
                <w:sz w:val="18"/>
                <w:szCs w:val="18"/>
                <w:u w:val="none"/>
              </w:rPr>
            </w:pPr>
          </w:p>
        </w:tc>
      </w:tr>
      <w:tr w14:paraId="14F9CA12">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6F27EE">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EA5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82EA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81EC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3E3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FA4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A22F1">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E18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C8D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9E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C32F1">
            <w:pPr>
              <w:jc w:val="center"/>
              <w:rPr>
                <w:rFonts w:hint="eastAsia" w:ascii="宋体" w:hAnsi="宋体" w:eastAsia="宋体" w:cs="宋体"/>
                <w:i w:val="0"/>
                <w:color w:val="000000"/>
                <w:sz w:val="18"/>
                <w:szCs w:val="18"/>
                <w:u w:val="none"/>
              </w:rPr>
            </w:pPr>
          </w:p>
        </w:tc>
      </w:tr>
      <w:tr w14:paraId="70F60B17">
        <w:tblPrEx>
          <w:tblCellMar>
            <w:top w:w="0" w:type="dxa"/>
            <w:left w:w="0" w:type="dxa"/>
            <w:bottom w:w="0" w:type="dxa"/>
            <w:right w:w="0" w:type="dxa"/>
          </w:tblCellMar>
        </w:tblPrEx>
        <w:trPr>
          <w:trHeight w:val="56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062C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130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E8C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895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928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BD2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较上年不断提高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DC5DE">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C4E92">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D7B9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417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3973D">
            <w:pPr>
              <w:jc w:val="center"/>
              <w:rPr>
                <w:rFonts w:hint="eastAsia" w:ascii="微软雅黑" w:hAnsi="微软雅黑" w:eastAsia="微软雅黑" w:cs="微软雅黑"/>
                <w:i/>
                <w:color w:val="000000"/>
                <w:sz w:val="16"/>
                <w:szCs w:val="16"/>
                <w:u w:val="none"/>
              </w:rPr>
            </w:pPr>
          </w:p>
        </w:tc>
      </w:tr>
      <w:tr w14:paraId="17A7F92D">
        <w:tblPrEx>
          <w:shd w:val="clear" w:color="auto" w:fill="auto"/>
          <w:tblCellMar>
            <w:top w:w="0" w:type="dxa"/>
            <w:left w:w="0" w:type="dxa"/>
            <w:bottom w:w="0" w:type="dxa"/>
            <w:right w:w="0" w:type="dxa"/>
          </w:tblCellMar>
        </w:tblPrEx>
        <w:trPr>
          <w:trHeight w:val="286" w:hRule="atLeast"/>
        </w:trPr>
        <w:tc>
          <w:tcPr>
            <w:tcW w:w="117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61E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F49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615B0">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AF95D">
            <w:pPr>
              <w:rPr>
                <w:rFonts w:hint="eastAsia" w:ascii="宋体" w:hAnsi="宋体" w:eastAsia="宋体" w:cs="宋体"/>
                <w:i w:val="0"/>
                <w:color w:val="000000"/>
                <w:sz w:val="18"/>
                <w:szCs w:val="18"/>
                <w:u w:val="none"/>
              </w:rPr>
            </w:pPr>
          </w:p>
        </w:tc>
      </w:tr>
      <w:tr w14:paraId="31470952">
        <w:tblPrEx>
          <w:shd w:val="clear" w:color="auto" w:fill="auto"/>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C15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5E6AD">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根据资金绩效自评指标规定的内容，经我单位认真自评，2023年基药补助项目自评94分。用于采购药械，为了更好地给群众医疗服务。</w:t>
            </w:r>
          </w:p>
        </w:tc>
      </w:tr>
      <w:tr w14:paraId="7A27B9B7">
        <w:tblPrEx>
          <w:shd w:val="clear" w:color="auto" w:fill="auto"/>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402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EFB99">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62DB91B5">
        <w:tblPrEx>
          <w:shd w:val="clear" w:color="auto" w:fill="auto"/>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98A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A4E32">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49D664F1">
        <w:tblPrEx>
          <w:shd w:val="clear" w:color="auto" w:fill="auto"/>
          <w:tblCellMar>
            <w:top w:w="0" w:type="dxa"/>
            <w:left w:w="0" w:type="dxa"/>
            <w:bottom w:w="0" w:type="dxa"/>
            <w:right w:w="0" w:type="dxa"/>
          </w:tblCellMar>
        </w:tblPrEx>
        <w:trPr>
          <w:trHeight w:val="286" w:hRule="atLeast"/>
        </w:trPr>
        <w:tc>
          <w:tcPr>
            <w:tcW w:w="76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14E1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项目负责人：蒙春霞</w:t>
            </w:r>
          </w:p>
        </w:tc>
        <w:tc>
          <w:tcPr>
            <w:tcW w:w="75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10AC1F">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财务负责人：孟婷</w:t>
            </w:r>
          </w:p>
        </w:tc>
      </w:tr>
      <w:tr w14:paraId="288249AE">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131E34A5">
            <w:pPr>
              <w:rPr>
                <w:rFonts w:hint="eastAsia" w:ascii="宋体" w:hAnsi="宋体" w:eastAsia="宋体" w:cs="宋体"/>
                <w:i w:val="0"/>
                <w:color w:val="000000"/>
                <w:sz w:val="18"/>
                <w:szCs w:val="18"/>
                <w:u w:val="none"/>
              </w:rPr>
            </w:pPr>
          </w:p>
        </w:tc>
        <w:tc>
          <w:tcPr>
            <w:tcW w:w="2050" w:type="dxa"/>
            <w:tcBorders>
              <w:top w:val="nil"/>
              <w:left w:val="nil"/>
              <w:bottom w:val="nil"/>
              <w:right w:val="nil"/>
            </w:tcBorders>
            <w:shd w:val="clear" w:color="auto" w:fill="auto"/>
            <w:tcMar>
              <w:top w:w="15" w:type="dxa"/>
              <w:left w:w="15" w:type="dxa"/>
              <w:right w:w="15" w:type="dxa"/>
            </w:tcMar>
            <w:vAlign w:val="center"/>
          </w:tcPr>
          <w:p w14:paraId="54D9FC59">
            <w:pPr>
              <w:rPr>
                <w:rFonts w:hint="eastAsia" w:ascii="宋体" w:hAnsi="宋体" w:eastAsia="宋体" w:cs="宋体"/>
                <w:i w:val="0"/>
                <w:color w:val="000000"/>
                <w:sz w:val="18"/>
                <w:szCs w:val="18"/>
                <w:u w:val="none"/>
              </w:rPr>
            </w:pPr>
          </w:p>
        </w:tc>
        <w:tc>
          <w:tcPr>
            <w:tcW w:w="2038" w:type="dxa"/>
            <w:tcBorders>
              <w:top w:val="nil"/>
              <w:left w:val="nil"/>
              <w:bottom w:val="nil"/>
              <w:right w:val="nil"/>
            </w:tcBorders>
            <w:shd w:val="clear" w:color="auto" w:fill="auto"/>
            <w:tcMar>
              <w:top w:w="15" w:type="dxa"/>
              <w:left w:w="15" w:type="dxa"/>
              <w:right w:w="15" w:type="dxa"/>
            </w:tcMar>
            <w:vAlign w:val="center"/>
          </w:tcPr>
          <w:p w14:paraId="49B028DD">
            <w:pPr>
              <w:rPr>
                <w:rFonts w:hint="eastAsia" w:ascii="宋体" w:hAnsi="宋体" w:eastAsia="宋体" w:cs="宋体"/>
                <w:i w:val="0"/>
                <w:color w:val="000000"/>
                <w:sz w:val="18"/>
                <w:szCs w:val="18"/>
                <w:u w:val="none"/>
              </w:rPr>
            </w:pPr>
          </w:p>
        </w:tc>
        <w:tc>
          <w:tcPr>
            <w:tcW w:w="2262" w:type="dxa"/>
            <w:tcBorders>
              <w:top w:val="nil"/>
              <w:left w:val="nil"/>
              <w:bottom w:val="nil"/>
              <w:right w:val="nil"/>
            </w:tcBorders>
            <w:shd w:val="clear" w:color="auto" w:fill="auto"/>
            <w:tcMar>
              <w:top w:w="15" w:type="dxa"/>
              <w:left w:w="15" w:type="dxa"/>
              <w:right w:w="15" w:type="dxa"/>
            </w:tcMar>
            <w:vAlign w:val="center"/>
          </w:tcPr>
          <w:p w14:paraId="10984660">
            <w:pPr>
              <w:rPr>
                <w:rFonts w:hint="eastAsia" w:ascii="宋体" w:hAnsi="宋体" w:eastAsia="宋体" w:cs="宋体"/>
                <w:i w:val="0"/>
                <w:color w:val="000000"/>
                <w:sz w:val="18"/>
                <w:szCs w:val="18"/>
                <w:u w:val="none"/>
              </w:rPr>
            </w:pPr>
          </w:p>
        </w:tc>
        <w:tc>
          <w:tcPr>
            <w:tcW w:w="653" w:type="dxa"/>
            <w:tcBorders>
              <w:top w:val="nil"/>
              <w:left w:val="nil"/>
              <w:bottom w:val="nil"/>
              <w:right w:val="nil"/>
            </w:tcBorders>
            <w:shd w:val="clear" w:color="auto" w:fill="auto"/>
            <w:tcMar>
              <w:top w:w="15" w:type="dxa"/>
              <w:left w:w="15" w:type="dxa"/>
              <w:right w:w="15" w:type="dxa"/>
            </w:tcMar>
            <w:vAlign w:val="center"/>
          </w:tcPr>
          <w:p w14:paraId="0DE550BB">
            <w:pPr>
              <w:rPr>
                <w:rFonts w:hint="eastAsia" w:ascii="宋体" w:hAnsi="宋体" w:eastAsia="宋体" w:cs="宋体"/>
                <w:i w:val="0"/>
                <w:color w:val="000000"/>
                <w:sz w:val="18"/>
                <w:szCs w:val="18"/>
                <w:u w:val="none"/>
              </w:rPr>
            </w:pPr>
          </w:p>
        </w:tc>
        <w:tc>
          <w:tcPr>
            <w:tcW w:w="1675" w:type="dxa"/>
            <w:tcBorders>
              <w:top w:val="nil"/>
              <w:left w:val="nil"/>
              <w:bottom w:val="nil"/>
              <w:right w:val="nil"/>
            </w:tcBorders>
            <w:shd w:val="clear" w:color="auto" w:fill="auto"/>
            <w:tcMar>
              <w:top w:w="15" w:type="dxa"/>
              <w:left w:w="15" w:type="dxa"/>
              <w:right w:w="15" w:type="dxa"/>
            </w:tcMar>
            <w:vAlign w:val="center"/>
          </w:tcPr>
          <w:p w14:paraId="6012D547">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0119B0AF">
            <w:pPr>
              <w:rPr>
                <w:rFonts w:hint="eastAsia" w:ascii="宋体" w:hAnsi="宋体" w:eastAsia="宋体" w:cs="宋体"/>
                <w:i w:val="0"/>
                <w:color w:val="000000"/>
                <w:sz w:val="18"/>
                <w:szCs w:val="18"/>
                <w:u w:val="none"/>
              </w:rPr>
            </w:pPr>
          </w:p>
        </w:tc>
        <w:tc>
          <w:tcPr>
            <w:tcW w:w="1839" w:type="dxa"/>
            <w:tcBorders>
              <w:top w:val="nil"/>
              <w:left w:val="nil"/>
              <w:bottom w:val="nil"/>
              <w:right w:val="nil"/>
            </w:tcBorders>
            <w:shd w:val="clear" w:color="auto" w:fill="auto"/>
            <w:tcMar>
              <w:top w:w="15" w:type="dxa"/>
              <w:left w:w="15" w:type="dxa"/>
              <w:right w:w="15" w:type="dxa"/>
            </w:tcMar>
            <w:vAlign w:val="center"/>
          </w:tcPr>
          <w:p w14:paraId="1DCD5369">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14A487D0">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7AB5495E">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6150749E">
            <w:pPr>
              <w:rPr>
                <w:rFonts w:hint="eastAsia" w:ascii="宋体" w:hAnsi="宋体" w:eastAsia="宋体" w:cs="宋体"/>
                <w:i w:val="0"/>
                <w:color w:val="000000"/>
                <w:sz w:val="18"/>
                <w:szCs w:val="18"/>
                <w:u w:val="none"/>
              </w:rPr>
            </w:pPr>
          </w:p>
        </w:tc>
      </w:tr>
      <w:tr w14:paraId="68881AF1">
        <w:tblPrEx>
          <w:shd w:val="clear" w:color="auto" w:fill="auto"/>
          <w:tblCellMar>
            <w:top w:w="0" w:type="dxa"/>
            <w:left w:w="0" w:type="dxa"/>
            <w:bottom w:w="0" w:type="dxa"/>
            <w:right w:w="0" w:type="dxa"/>
          </w:tblCellMar>
        </w:tblPrEx>
        <w:trPr>
          <w:trHeight w:val="904" w:hRule="atLeast"/>
        </w:trPr>
        <w:tc>
          <w:tcPr>
            <w:tcW w:w="152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C33A5">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3C7D3046">
        <w:tblPrEx>
          <w:shd w:val="clear" w:color="auto" w:fill="auto"/>
          <w:tblCellMar>
            <w:top w:w="0" w:type="dxa"/>
            <w:left w:w="0" w:type="dxa"/>
            <w:bottom w:w="0" w:type="dxa"/>
            <w:right w:w="0" w:type="dxa"/>
          </w:tblCellMar>
        </w:tblPrEx>
        <w:trPr>
          <w:trHeight w:val="286"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E8B0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F808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51322422T000006098985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村卫生室实施国家基本药物制度补助</w:t>
            </w:r>
          </w:p>
        </w:tc>
      </w:tr>
      <w:tr w14:paraId="7629F4FA">
        <w:tblPrEx>
          <w:tblCellMar>
            <w:top w:w="0" w:type="dxa"/>
            <w:left w:w="0" w:type="dxa"/>
            <w:bottom w:w="0" w:type="dxa"/>
            <w:right w:w="0" w:type="dxa"/>
          </w:tblCellMar>
        </w:tblPrEx>
        <w:trPr>
          <w:trHeight w:val="512"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5C15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1519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839" w:type="dxa"/>
            <w:tcBorders>
              <w:top w:val="nil"/>
              <w:left w:val="nil"/>
              <w:bottom w:val="nil"/>
              <w:right w:val="nil"/>
            </w:tcBorders>
            <w:shd w:val="clear" w:color="auto" w:fill="auto"/>
            <w:tcMar>
              <w:top w:w="15" w:type="dxa"/>
              <w:left w:w="15" w:type="dxa"/>
              <w:right w:w="15" w:type="dxa"/>
            </w:tcMar>
            <w:vAlign w:val="center"/>
          </w:tcPr>
          <w:p w14:paraId="35E6C3A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97A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松潘县黄龙乡卫生院</w:t>
            </w:r>
          </w:p>
        </w:tc>
      </w:tr>
      <w:tr w14:paraId="18DCF5EC">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1712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DD3C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F0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D37B6">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39D66B7B">
        <w:tblPrEx>
          <w:shd w:val="clear" w:color="auto" w:fill="auto"/>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02851">
            <w:pPr>
              <w:rPr>
                <w:rFonts w:hint="eastAsia" w:ascii="宋体" w:hAnsi="宋体" w:eastAsia="宋体" w:cs="宋体"/>
                <w:i w:val="0"/>
                <w:color w:val="000000"/>
                <w:sz w:val="18"/>
                <w:szCs w:val="18"/>
                <w:u w:val="none"/>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C2D80">
            <w:pPr>
              <w:rPr>
                <w:rFonts w:hint="eastAsia" w:ascii="宋体" w:hAnsi="宋体" w:eastAsia="宋体" w:cs="宋体"/>
                <w:i w:val="0"/>
                <w:color w:val="000000"/>
                <w:sz w:val="18"/>
                <w:szCs w:val="18"/>
                <w:u w:val="none"/>
              </w:rPr>
            </w:pP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C5810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按时完成了村卫生室药械采购，药品零售价，保障了老百姓的基本医疗需求用药。</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969BA">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对照年度目标，说明相关任务目标的完成情况（100字以内）</w:t>
            </w:r>
          </w:p>
        </w:tc>
      </w:tr>
      <w:tr w14:paraId="7B734D25">
        <w:tblPrEx>
          <w:shd w:val="clear" w:color="auto" w:fill="auto"/>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49294">
            <w:pP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5DF3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C4940">
            <w:pPr>
              <w:rPr>
                <w:rFonts w:hint="eastAsia" w:ascii="宋体" w:hAnsi="宋体" w:eastAsia="宋体" w:cs="宋体"/>
                <w:i w:val="0"/>
                <w:color w:val="000000"/>
                <w:sz w:val="18"/>
                <w:szCs w:val="18"/>
                <w:u w:val="none"/>
              </w:rPr>
            </w:pPr>
          </w:p>
        </w:tc>
      </w:tr>
      <w:tr w14:paraId="6907DB79">
        <w:tblPrEx>
          <w:tblCellMar>
            <w:top w:w="0" w:type="dxa"/>
            <w:left w:w="0" w:type="dxa"/>
            <w:bottom w:w="0" w:type="dxa"/>
            <w:right w:w="0"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E6EA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7C3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AF5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C0A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4CB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923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547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7E9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5D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042A8A3A">
        <w:tblPrEx>
          <w:shd w:val="clear" w:color="auto" w:fill="auto"/>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C86C4A">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6A7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9B1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E90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F4A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731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15F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982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43DCC4">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1C5E8C2D">
        <w:tblPrEx>
          <w:shd w:val="clear" w:color="auto" w:fill="auto"/>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8B4B1">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228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477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E7B5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CE9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1.08</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0AF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6F9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18DA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79414">
            <w:pPr>
              <w:rPr>
                <w:rFonts w:hint="eastAsia" w:ascii="黑体" w:hAnsi="黑体" w:eastAsia="黑体" w:cs="黑体"/>
                <w:i/>
                <w:color w:val="000000"/>
                <w:sz w:val="18"/>
                <w:szCs w:val="18"/>
                <w:u w:val="none"/>
              </w:rPr>
            </w:pPr>
          </w:p>
        </w:tc>
      </w:tr>
      <w:tr w14:paraId="5400DACD">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65B3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05A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1A1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B96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926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879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03EE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0347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ED91C">
            <w:pPr>
              <w:rPr>
                <w:rFonts w:hint="eastAsia" w:ascii="黑体" w:hAnsi="黑体" w:eastAsia="黑体" w:cs="黑体"/>
                <w:i/>
                <w:color w:val="000000"/>
                <w:sz w:val="18"/>
                <w:szCs w:val="18"/>
                <w:u w:val="none"/>
              </w:rPr>
            </w:pPr>
          </w:p>
        </w:tc>
      </w:tr>
      <w:tr w14:paraId="3E3DC6FE">
        <w:tblPrEx>
          <w:shd w:val="clear" w:color="auto" w:fill="auto"/>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3D906">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D54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25D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CAF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F5C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663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CC01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305C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32C4F">
            <w:pPr>
              <w:rPr>
                <w:rFonts w:hint="eastAsia" w:ascii="黑体" w:hAnsi="黑体" w:eastAsia="黑体" w:cs="黑体"/>
                <w:i/>
                <w:color w:val="000000"/>
                <w:sz w:val="18"/>
                <w:szCs w:val="18"/>
                <w:u w:val="none"/>
              </w:rPr>
            </w:pPr>
          </w:p>
        </w:tc>
      </w:tr>
      <w:tr w14:paraId="2668EE08">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7D9CF8">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6D7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EF01D">
            <w:pPr>
              <w:jc w:val="center"/>
              <w:rPr>
                <w:rFonts w:hint="eastAsia" w:ascii="微软雅黑" w:hAnsi="微软雅黑" w:eastAsia="微软雅黑" w:cs="微软雅黑"/>
                <w:i/>
                <w:color w:val="000000"/>
                <w:sz w:val="16"/>
                <w:szCs w:val="16"/>
                <w:u w:val="none"/>
              </w:rPr>
            </w:pP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59C8CC">
            <w:pPr>
              <w:jc w:val="center"/>
              <w:rPr>
                <w:rFonts w:hint="eastAsia" w:ascii="微软雅黑" w:hAnsi="微软雅黑" w:eastAsia="微软雅黑" w:cs="微软雅黑"/>
                <w:i/>
                <w:color w:val="000000"/>
                <w:sz w:val="16"/>
                <w:szCs w:val="16"/>
                <w:u w:val="none"/>
              </w:rPr>
            </w:pP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D47DF">
            <w:pPr>
              <w:jc w:val="center"/>
              <w:rPr>
                <w:rFonts w:hint="eastAsia" w:ascii="微软雅黑" w:hAnsi="微软雅黑" w:eastAsia="微软雅黑" w:cs="微软雅黑"/>
                <w:i/>
                <w:color w:val="000000"/>
                <w:sz w:val="16"/>
                <w:szCs w:val="16"/>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B66B3">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D11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DBC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5797F">
            <w:pPr>
              <w:rPr>
                <w:rFonts w:hint="eastAsia" w:ascii="黑体" w:hAnsi="黑体" w:eastAsia="黑体" w:cs="黑体"/>
                <w:i/>
                <w:color w:val="000000"/>
                <w:sz w:val="18"/>
                <w:szCs w:val="18"/>
                <w:u w:val="none"/>
              </w:rPr>
            </w:pPr>
          </w:p>
        </w:tc>
      </w:tr>
      <w:tr w14:paraId="6E19B8B5">
        <w:tblPrEx>
          <w:shd w:val="clear" w:color="auto" w:fill="auto"/>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5AC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653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286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356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84E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847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3EC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0583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D47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E9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318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D82F1CA">
        <w:tblPrEx>
          <w:shd w:val="clear" w:color="auto" w:fill="auto"/>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8CC9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B6D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322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04E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BD2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BE4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1213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A3DAA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64F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076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4F577">
            <w:pPr>
              <w:jc w:val="center"/>
              <w:rPr>
                <w:rFonts w:hint="eastAsia" w:ascii="宋体" w:hAnsi="宋体" w:eastAsia="宋体" w:cs="宋体"/>
                <w:i w:val="0"/>
                <w:color w:val="000000"/>
                <w:sz w:val="18"/>
                <w:szCs w:val="18"/>
                <w:u w:val="none"/>
              </w:rPr>
            </w:pPr>
          </w:p>
        </w:tc>
      </w:tr>
      <w:tr w14:paraId="75172DC9">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47F03">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9D4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C65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0BE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A5C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0E32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FC9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10B7D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1FA5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0BC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D6E89">
            <w:pPr>
              <w:jc w:val="center"/>
              <w:rPr>
                <w:rFonts w:hint="eastAsia" w:ascii="宋体" w:hAnsi="宋体" w:eastAsia="宋体" w:cs="宋体"/>
                <w:i w:val="0"/>
                <w:color w:val="000000"/>
                <w:sz w:val="18"/>
                <w:szCs w:val="18"/>
                <w:u w:val="none"/>
              </w:rPr>
            </w:pPr>
          </w:p>
        </w:tc>
      </w:tr>
      <w:tr w14:paraId="6175A2BC">
        <w:tblPrEx>
          <w:shd w:val="clear" w:color="auto" w:fill="auto"/>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925E5">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6A1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17F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910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8D54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C616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D78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3610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5D7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5832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E9CA4">
            <w:pPr>
              <w:jc w:val="center"/>
              <w:rPr>
                <w:rFonts w:hint="eastAsia" w:ascii="宋体" w:hAnsi="宋体" w:eastAsia="宋体" w:cs="宋体"/>
                <w:i w:val="0"/>
                <w:color w:val="000000"/>
                <w:sz w:val="18"/>
                <w:szCs w:val="18"/>
                <w:u w:val="none"/>
              </w:rPr>
            </w:pPr>
          </w:p>
        </w:tc>
      </w:tr>
      <w:tr w14:paraId="18C242B3">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32972">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ED4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331A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3AC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FAD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918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7796E">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E65A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7B5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690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E3AF9">
            <w:pPr>
              <w:jc w:val="center"/>
              <w:rPr>
                <w:rFonts w:hint="eastAsia" w:ascii="宋体" w:hAnsi="宋体" w:eastAsia="宋体" w:cs="宋体"/>
                <w:i w:val="0"/>
                <w:color w:val="000000"/>
                <w:sz w:val="18"/>
                <w:szCs w:val="18"/>
                <w:u w:val="none"/>
              </w:rPr>
            </w:pPr>
          </w:p>
        </w:tc>
      </w:tr>
      <w:tr w14:paraId="614EC584">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7F258">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7E2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6C3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0F0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B997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5C5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DC12E">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F7C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27B7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7393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7D3B2">
            <w:pPr>
              <w:jc w:val="center"/>
              <w:rPr>
                <w:rFonts w:hint="eastAsia" w:ascii="宋体" w:hAnsi="宋体" w:eastAsia="宋体" w:cs="宋体"/>
                <w:i w:val="0"/>
                <w:color w:val="000000"/>
                <w:sz w:val="18"/>
                <w:szCs w:val="18"/>
                <w:u w:val="none"/>
              </w:rPr>
            </w:pPr>
          </w:p>
        </w:tc>
      </w:tr>
      <w:tr w14:paraId="7F36AEE7">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424E7">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DA5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278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A6D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7E0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ED72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较上年不断提高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8F7C4">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3629D">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2DA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291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D4209">
            <w:pPr>
              <w:jc w:val="center"/>
              <w:rPr>
                <w:rFonts w:hint="eastAsia" w:ascii="微软雅黑" w:hAnsi="微软雅黑" w:eastAsia="微软雅黑" w:cs="微软雅黑"/>
                <w:i/>
                <w:color w:val="000000"/>
                <w:sz w:val="16"/>
                <w:szCs w:val="16"/>
                <w:u w:val="none"/>
              </w:rPr>
            </w:pPr>
          </w:p>
        </w:tc>
      </w:tr>
      <w:tr w14:paraId="604AA861">
        <w:tblPrEx>
          <w:shd w:val="clear" w:color="auto" w:fill="auto"/>
          <w:tblCellMar>
            <w:top w:w="0" w:type="dxa"/>
            <w:left w:w="0" w:type="dxa"/>
            <w:bottom w:w="0" w:type="dxa"/>
            <w:right w:w="0" w:type="dxa"/>
          </w:tblCellMar>
        </w:tblPrEx>
        <w:trPr>
          <w:trHeight w:val="286" w:hRule="atLeast"/>
        </w:trPr>
        <w:tc>
          <w:tcPr>
            <w:tcW w:w="117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236F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7636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8B9AC">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B13C4">
            <w:pPr>
              <w:rPr>
                <w:rFonts w:hint="eastAsia" w:ascii="宋体" w:hAnsi="宋体" w:eastAsia="宋体" w:cs="宋体"/>
                <w:i w:val="0"/>
                <w:color w:val="000000"/>
                <w:sz w:val="18"/>
                <w:szCs w:val="18"/>
                <w:u w:val="none"/>
              </w:rPr>
            </w:pPr>
          </w:p>
        </w:tc>
      </w:tr>
      <w:tr w14:paraId="18B26C2F">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2D3F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C8A4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根据资金绩效自评指标规定的内容，经我单位认真自评，2023年村卫生基药补助项目自评94分。用于村卫生室采购药械，更好地为群众服务。</w:t>
            </w:r>
          </w:p>
        </w:tc>
      </w:tr>
      <w:tr w14:paraId="4FE14670">
        <w:tblPrEx>
          <w:shd w:val="clear" w:color="auto" w:fill="auto"/>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EB33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61CB9">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2DF2DFD3">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A90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AA2C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33CEE522">
        <w:tblPrEx>
          <w:shd w:val="clear" w:color="auto" w:fill="auto"/>
          <w:tblCellMar>
            <w:top w:w="0" w:type="dxa"/>
            <w:left w:w="0" w:type="dxa"/>
            <w:bottom w:w="0" w:type="dxa"/>
            <w:right w:w="0" w:type="dxa"/>
          </w:tblCellMar>
        </w:tblPrEx>
        <w:trPr>
          <w:trHeight w:val="286" w:hRule="atLeast"/>
        </w:trPr>
        <w:tc>
          <w:tcPr>
            <w:tcW w:w="76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4C6DD">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项目负责人：蒙春霞</w:t>
            </w:r>
          </w:p>
        </w:tc>
        <w:tc>
          <w:tcPr>
            <w:tcW w:w="75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9252D">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财务负责人：孟婷</w:t>
            </w:r>
          </w:p>
        </w:tc>
      </w:tr>
      <w:tr w14:paraId="118FE6FE">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1FBEE089">
            <w:pPr>
              <w:rPr>
                <w:rFonts w:hint="eastAsia" w:ascii="宋体" w:hAnsi="宋体" w:eastAsia="宋体" w:cs="宋体"/>
                <w:i w:val="0"/>
                <w:color w:val="000000"/>
                <w:sz w:val="18"/>
                <w:szCs w:val="18"/>
                <w:u w:val="none"/>
              </w:rPr>
            </w:pPr>
          </w:p>
        </w:tc>
        <w:tc>
          <w:tcPr>
            <w:tcW w:w="2050" w:type="dxa"/>
            <w:tcBorders>
              <w:top w:val="nil"/>
              <w:left w:val="nil"/>
              <w:bottom w:val="nil"/>
              <w:right w:val="nil"/>
            </w:tcBorders>
            <w:shd w:val="clear" w:color="auto" w:fill="auto"/>
            <w:tcMar>
              <w:top w:w="15" w:type="dxa"/>
              <w:left w:w="15" w:type="dxa"/>
              <w:right w:w="15" w:type="dxa"/>
            </w:tcMar>
            <w:vAlign w:val="center"/>
          </w:tcPr>
          <w:p w14:paraId="259FA61F">
            <w:pPr>
              <w:rPr>
                <w:rFonts w:hint="eastAsia" w:ascii="宋体" w:hAnsi="宋体" w:eastAsia="宋体" w:cs="宋体"/>
                <w:i w:val="0"/>
                <w:color w:val="000000"/>
                <w:sz w:val="18"/>
                <w:szCs w:val="18"/>
                <w:u w:val="none"/>
              </w:rPr>
            </w:pPr>
          </w:p>
        </w:tc>
        <w:tc>
          <w:tcPr>
            <w:tcW w:w="2038" w:type="dxa"/>
            <w:tcBorders>
              <w:top w:val="nil"/>
              <w:left w:val="nil"/>
              <w:bottom w:val="nil"/>
              <w:right w:val="nil"/>
            </w:tcBorders>
            <w:shd w:val="clear" w:color="auto" w:fill="auto"/>
            <w:tcMar>
              <w:top w:w="15" w:type="dxa"/>
              <w:left w:w="15" w:type="dxa"/>
              <w:right w:w="15" w:type="dxa"/>
            </w:tcMar>
            <w:vAlign w:val="center"/>
          </w:tcPr>
          <w:p w14:paraId="70EC26CA">
            <w:pPr>
              <w:rPr>
                <w:rFonts w:hint="eastAsia" w:ascii="宋体" w:hAnsi="宋体" w:eastAsia="宋体" w:cs="宋体"/>
                <w:i w:val="0"/>
                <w:color w:val="000000"/>
                <w:sz w:val="18"/>
                <w:szCs w:val="18"/>
                <w:u w:val="none"/>
              </w:rPr>
            </w:pPr>
          </w:p>
        </w:tc>
        <w:tc>
          <w:tcPr>
            <w:tcW w:w="2262" w:type="dxa"/>
            <w:tcBorders>
              <w:top w:val="nil"/>
              <w:left w:val="nil"/>
              <w:bottom w:val="nil"/>
              <w:right w:val="nil"/>
            </w:tcBorders>
            <w:shd w:val="clear" w:color="auto" w:fill="auto"/>
            <w:tcMar>
              <w:top w:w="15" w:type="dxa"/>
              <w:left w:w="15" w:type="dxa"/>
              <w:right w:w="15" w:type="dxa"/>
            </w:tcMar>
            <w:vAlign w:val="center"/>
          </w:tcPr>
          <w:p w14:paraId="2B84BF0A">
            <w:pPr>
              <w:rPr>
                <w:rFonts w:hint="eastAsia" w:ascii="宋体" w:hAnsi="宋体" w:eastAsia="宋体" w:cs="宋体"/>
                <w:i w:val="0"/>
                <w:color w:val="000000"/>
                <w:sz w:val="18"/>
                <w:szCs w:val="18"/>
                <w:u w:val="none"/>
              </w:rPr>
            </w:pPr>
          </w:p>
        </w:tc>
        <w:tc>
          <w:tcPr>
            <w:tcW w:w="653" w:type="dxa"/>
            <w:tcBorders>
              <w:top w:val="nil"/>
              <w:left w:val="nil"/>
              <w:bottom w:val="nil"/>
              <w:right w:val="nil"/>
            </w:tcBorders>
            <w:shd w:val="clear" w:color="auto" w:fill="auto"/>
            <w:tcMar>
              <w:top w:w="15" w:type="dxa"/>
              <w:left w:w="15" w:type="dxa"/>
              <w:right w:w="15" w:type="dxa"/>
            </w:tcMar>
            <w:vAlign w:val="center"/>
          </w:tcPr>
          <w:p w14:paraId="3F09F667">
            <w:pPr>
              <w:rPr>
                <w:rFonts w:hint="eastAsia" w:ascii="宋体" w:hAnsi="宋体" w:eastAsia="宋体" w:cs="宋体"/>
                <w:i w:val="0"/>
                <w:color w:val="000000"/>
                <w:sz w:val="18"/>
                <w:szCs w:val="18"/>
                <w:u w:val="none"/>
              </w:rPr>
            </w:pPr>
          </w:p>
        </w:tc>
        <w:tc>
          <w:tcPr>
            <w:tcW w:w="1675" w:type="dxa"/>
            <w:tcBorders>
              <w:top w:val="nil"/>
              <w:left w:val="nil"/>
              <w:bottom w:val="nil"/>
              <w:right w:val="nil"/>
            </w:tcBorders>
            <w:shd w:val="clear" w:color="auto" w:fill="auto"/>
            <w:tcMar>
              <w:top w:w="15" w:type="dxa"/>
              <w:left w:w="15" w:type="dxa"/>
              <w:right w:w="15" w:type="dxa"/>
            </w:tcMar>
            <w:vAlign w:val="center"/>
          </w:tcPr>
          <w:p w14:paraId="2BA68BEE">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2398C96E">
            <w:pPr>
              <w:rPr>
                <w:rFonts w:hint="eastAsia" w:ascii="宋体" w:hAnsi="宋体" w:eastAsia="宋体" w:cs="宋体"/>
                <w:i w:val="0"/>
                <w:color w:val="000000"/>
                <w:sz w:val="18"/>
                <w:szCs w:val="18"/>
                <w:u w:val="none"/>
              </w:rPr>
            </w:pPr>
          </w:p>
        </w:tc>
        <w:tc>
          <w:tcPr>
            <w:tcW w:w="1839" w:type="dxa"/>
            <w:tcBorders>
              <w:top w:val="nil"/>
              <w:left w:val="nil"/>
              <w:bottom w:val="nil"/>
              <w:right w:val="nil"/>
            </w:tcBorders>
            <w:shd w:val="clear" w:color="auto" w:fill="auto"/>
            <w:tcMar>
              <w:top w:w="15" w:type="dxa"/>
              <w:left w:w="15" w:type="dxa"/>
              <w:right w:w="15" w:type="dxa"/>
            </w:tcMar>
            <w:vAlign w:val="center"/>
          </w:tcPr>
          <w:p w14:paraId="2E24F203">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6AEB99C9">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3BCDF865">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28FC779E">
            <w:pPr>
              <w:rPr>
                <w:rFonts w:hint="eastAsia" w:ascii="宋体" w:hAnsi="宋体" w:eastAsia="宋体" w:cs="宋体"/>
                <w:i w:val="0"/>
                <w:color w:val="000000"/>
                <w:sz w:val="18"/>
                <w:szCs w:val="18"/>
                <w:u w:val="none"/>
              </w:rPr>
            </w:pPr>
          </w:p>
        </w:tc>
      </w:tr>
      <w:tr w14:paraId="08961BE8">
        <w:tblPrEx>
          <w:tblCellMar>
            <w:top w:w="0" w:type="dxa"/>
            <w:left w:w="0" w:type="dxa"/>
            <w:bottom w:w="0" w:type="dxa"/>
            <w:right w:w="0" w:type="dxa"/>
          </w:tblCellMar>
        </w:tblPrEx>
        <w:trPr>
          <w:trHeight w:val="904" w:hRule="atLeast"/>
        </w:trPr>
        <w:tc>
          <w:tcPr>
            <w:tcW w:w="1524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E61BF">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0DFBC7EF">
        <w:tblPrEx>
          <w:tblCellMar>
            <w:top w:w="0" w:type="dxa"/>
            <w:left w:w="0" w:type="dxa"/>
            <w:bottom w:w="0" w:type="dxa"/>
            <w:right w:w="0" w:type="dxa"/>
          </w:tblCellMar>
        </w:tblPrEx>
        <w:trPr>
          <w:trHeight w:val="286"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A20F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C348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51322422T000006104104-12项基本公共卫生服务</w:t>
            </w:r>
          </w:p>
        </w:tc>
      </w:tr>
      <w:tr w14:paraId="7EEAD1E4">
        <w:tblPrEx>
          <w:shd w:val="clear" w:color="auto" w:fill="auto"/>
          <w:tblCellMar>
            <w:top w:w="0" w:type="dxa"/>
            <w:left w:w="0" w:type="dxa"/>
            <w:bottom w:w="0" w:type="dxa"/>
            <w:right w:w="0" w:type="dxa"/>
          </w:tblCellMar>
        </w:tblPrEx>
        <w:trPr>
          <w:trHeight w:val="512" w:hRule="atLeast"/>
        </w:trPr>
        <w:tc>
          <w:tcPr>
            <w:tcW w:w="273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9C86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57CB5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839" w:type="dxa"/>
            <w:tcBorders>
              <w:top w:val="nil"/>
              <w:left w:val="nil"/>
              <w:bottom w:val="nil"/>
              <w:right w:val="nil"/>
            </w:tcBorders>
            <w:shd w:val="clear" w:color="auto" w:fill="auto"/>
            <w:tcMar>
              <w:top w:w="15" w:type="dxa"/>
              <w:left w:w="15" w:type="dxa"/>
              <w:right w:w="15" w:type="dxa"/>
            </w:tcMar>
            <w:vAlign w:val="center"/>
          </w:tcPr>
          <w:p w14:paraId="62E3EA6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975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松潘县黄龙乡卫生院</w:t>
            </w:r>
          </w:p>
        </w:tc>
      </w:tr>
      <w:tr w14:paraId="1C95F829">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B219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EBCA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069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1B8F1">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504B3E6F">
        <w:tblPrEx>
          <w:shd w:val="clear" w:color="auto" w:fill="auto"/>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92872">
            <w:pPr>
              <w:rPr>
                <w:rFonts w:hint="eastAsia" w:ascii="宋体" w:hAnsi="宋体" w:eastAsia="宋体" w:cs="宋体"/>
                <w:i w:val="0"/>
                <w:color w:val="000000"/>
                <w:sz w:val="18"/>
                <w:szCs w:val="18"/>
                <w:u w:val="none"/>
              </w:rPr>
            </w:pPr>
          </w:p>
        </w:tc>
        <w:tc>
          <w:tcPr>
            <w:tcW w:w="20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57FEC">
            <w:pPr>
              <w:rPr>
                <w:rFonts w:hint="eastAsia" w:ascii="宋体" w:hAnsi="宋体" w:eastAsia="宋体" w:cs="宋体"/>
                <w:i w:val="0"/>
                <w:color w:val="000000"/>
                <w:sz w:val="18"/>
                <w:szCs w:val="18"/>
                <w:u w:val="none"/>
              </w:rPr>
            </w:pPr>
          </w:p>
        </w:tc>
        <w:tc>
          <w:tcPr>
            <w:tcW w:w="7149"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42B8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按时完成了辖区内国家基本公共卫生服务各项指标，为群众更好</w:t>
            </w:r>
            <w:r>
              <w:rPr>
                <w:rFonts w:hint="eastAsia" w:ascii="宋体" w:hAnsi="宋体" w:cs="宋体"/>
                <w:i w:val="0"/>
                <w:color w:val="000000"/>
                <w:kern w:val="0"/>
                <w:sz w:val="18"/>
                <w:szCs w:val="18"/>
                <w:u w:val="none"/>
                <w:lang w:val="en-US" w:eastAsia="zh-CN" w:bidi="ar"/>
              </w:rPr>
              <w:t>地</w:t>
            </w:r>
            <w:r>
              <w:rPr>
                <w:rFonts w:ascii="宋体" w:hAnsi="宋体" w:eastAsia="宋体" w:cs="宋体"/>
                <w:i w:val="0"/>
                <w:color w:val="000000"/>
                <w:kern w:val="0"/>
                <w:sz w:val="18"/>
                <w:szCs w:val="18"/>
                <w:u w:val="none"/>
                <w:lang w:val="en-US" w:eastAsia="zh-CN" w:bidi="ar"/>
              </w:rPr>
              <w:t>服务</w:t>
            </w:r>
          </w:p>
        </w:tc>
        <w:tc>
          <w:tcPr>
            <w:tcW w:w="535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2C8D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对照年度目标，说明相关任务目标的完成情况（100字以内）</w:t>
            </w:r>
          </w:p>
        </w:tc>
      </w:tr>
      <w:tr w14:paraId="67FFD40B">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A52B8">
            <w:pP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7330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2507"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76CEC">
            <w:pPr>
              <w:rPr>
                <w:rFonts w:hint="eastAsia" w:ascii="宋体" w:hAnsi="宋体" w:eastAsia="宋体" w:cs="宋体"/>
                <w:i w:val="0"/>
                <w:color w:val="000000"/>
                <w:sz w:val="18"/>
                <w:szCs w:val="18"/>
                <w:u w:val="none"/>
              </w:rPr>
            </w:pPr>
          </w:p>
        </w:tc>
      </w:tr>
      <w:tr w14:paraId="4E17892C">
        <w:tblPrEx>
          <w:tblCellMar>
            <w:top w:w="0" w:type="dxa"/>
            <w:left w:w="0" w:type="dxa"/>
            <w:bottom w:w="0" w:type="dxa"/>
            <w:right w:w="0"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A00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F1F3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54D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A83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701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1C8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2E1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312A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D0A8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08FA65DF">
        <w:tblPrEx>
          <w:shd w:val="clear" w:color="auto" w:fill="auto"/>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DD44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681EF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3E6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5B9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15.16</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A08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15.16</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0D1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30D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CC3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20E37">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7C94E7B3">
        <w:tblPrEx>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E5249">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F3D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F63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872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15.16</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723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15.16</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82B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277C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8DB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3663F">
            <w:pPr>
              <w:rPr>
                <w:rFonts w:hint="eastAsia" w:ascii="黑体" w:hAnsi="黑体" w:eastAsia="黑体" w:cs="黑体"/>
                <w:i/>
                <w:color w:val="000000"/>
                <w:sz w:val="18"/>
                <w:szCs w:val="18"/>
                <w:u w:val="none"/>
              </w:rPr>
            </w:pPr>
          </w:p>
        </w:tc>
      </w:tr>
      <w:tr w14:paraId="7088B5E6">
        <w:tblPrEx>
          <w:shd w:val="clear" w:color="auto" w:fill="auto"/>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AF8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B4E2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0CC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887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FDE4">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FC8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261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4FF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122F2">
            <w:pPr>
              <w:rPr>
                <w:rFonts w:hint="eastAsia" w:ascii="黑体" w:hAnsi="黑体" w:eastAsia="黑体" w:cs="黑体"/>
                <w:i/>
                <w:color w:val="000000"/>
                <w:sz w:val="18"/>
                <w:szCs w:val="18"/>
                <w:u w:val="none"/>
              </w:rPr>
            </w:pPr>
          </w:p>
        </w:tc>
      </w:tr>
      <w:tr w14:paraId="3148F534">
        <w:tblPrEx>
          <w:shd w:val="clear" w:color="auto" w:fill="auto"/>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5C65">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062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F886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82F2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EF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0D9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A80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103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DE6C3">
            <w:pPr>
              <w:rPr>
                <w:rFonts w:hint="eastAsia" w:ascii="黑体" w:hAnsi="黑体" w:eastAsia="黑体" w:cs="黑体"/>
                <w:i/>
                <w:color w:val="000000"/>
                <w:sz w:val="18"/>
                <w:szCs w:val="18"/>
                <w:u w:val="none"/>
              </w:rPr>
            </w:pPr>
          </w:p>
        </w:tc>
      </w:tr>
      <w:tr w14:paraId="282AE967">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8BE503">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2C71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6524FC">
            <w:pPr>
              <w:jc w:val="center"/>
              <w:rPr>
                <w:rFonts w:hint="eastAsia" w:ascii="微软雅黑" w:hAnsi="微软雅黑" w:eastAsia="微软雅黑" w:cs="微软雅黑"/>
                <w:i/>
                <w:color w:val="000000"/>
                <w:sz w:val="16"/>
                <w:szCs w:val="16"/>
                <w:u w:val="none"/>
              </w:rPr>
            </w:pP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6B82F">
            <w:pPr>
              <w:jc w:val="center"/>
              <w:rPr>
                <w:rFonts w:hint="eastAsia" w:ascii="微软雅黑" w:hAnsi="微软雅黑" w:eastAsia="微软雅黑" w:cs="微软雅黑"/>
                <w:i/>
                <w:color w:val="000000"/>
                <w:sz w:val="16"/>
                <w:szCs w:val="16"/>
                <w:u w:val="none"/>
              </w:rPr>
            </w:pPr>
          </w:p>
        </w:tc>
        <w:tc>
          <w:tcPr>
            <w:tcW w:w="284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4FDE1">
            <w:pPr>
              <w:jc w:val="center"/>
              <w:rPr>
                <w:rFonts w:hint="eastAsia" w:ascii="微软雅黑" w:hAnsi="微软雅黑" w:eastAsia="微软雅黑" w:cs="微软雅黑"/>
                <w:i/>
                <w:color w:val="000000"/>
                <w:sz w:val="16"/>
                <w:szCs w:val="16"/>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39D96">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154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1CAF3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C1EE5">
            <w:pPr>
              <w:rPr>
                <w:rFonts w:hint="eastAsia" w:ascii="黑体" w:hAnsi="黑体" w:eastAsia="黑体" w:cs="黑体"/>
                <w:i/>
                <w:color w:val="000000"/>
                <w:sz w:val="18"/>
                <w:szCs w:val="18"/>
                <w:u w:val="none"/>
              </w:rPr>
            </w:pPr>
          </w:p>
        </w:tc>
      </w:tr>
      <w:tr w14:paraId="3D09635B">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368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4B6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33A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DF2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20A7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804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BD33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3AC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1C3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1484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7D96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5D87B099">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74C71D">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2E6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7DD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031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2B0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FD5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581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E2A5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7E2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22CB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A362F">
            <w:pPr>
              <w:jc w:val="center"/>
              <w:rPr>
                <w:rFonts w:hint="eastAsia" w:ascii="宋体" w:hAnsi="宋体" w:eastAsia="宋体" w:cs="宋体"/>
                <w:i w:val="0"/>
                <w:color w:val="000000"/>
                <w:sz w:val="18"/>
                <w:szCs w:val="18"/>
                <w:u w:val="none"/>
              </w:rPr>
            </w:pPr>
          </w:p>
        </w:tc>
      </w:tr>
      <w:tr w14:paraId="39BAEAC5">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1BBB8">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5C8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369B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38B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2E5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B9B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A797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F51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0D7C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41E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A4E03B">
            <w:pPr>
              <w:jc w:val="center"/>
              <w:rPr>
                <w:rFonts w:hint="eastAsia" w:ascii="宋体" w:hAnsi="宋体" w:eastAsia="宋体" w:cs="宋体"/>
                <w:i w:val="0"/>
                <w:color w:val="000000"/>
                <w:sz w:val="18"/>
                <w:szCs w:val="18"/>
                <w:u w:val="none"/>
              </w:rPr>
            </w:pPr>
          </w:p>
        </w:tc>
      </w:tr>
      <w:tr w14:paraId="6B03E220">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978F9">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CF4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95B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831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1A4E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25A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5CF2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287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A66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0B7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E92E6C">
            <w:pPr>
              <w:jc w:val="center"/>
              <w:rPr>
                <w:rFonts w:hint="eastAsia" w:ascii="宋体" w:hAnsi="宋体" w:eastAsia="宋体" w:cs="宋体"/>
                <w:i w:val="0"/>
                <w:color w:val="000000"/>
                <w:sz w:val="18"/>
                <w:szCs w:val="18"/>
                <w:u w:val="none"/>
              </w:rPr>
            </w:pPr>
          </w:p>
        </w:tc>
      </w:tr>
      <w:tr w14:paraId="2425EE1B">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155EE">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A65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7204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2D9E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F67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562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CF6A9">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852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CDF4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4D1A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30B92">
            <w:pPr>
              <w:jc w:val="center"/>
              <w:rPr>
                <w:rFonts w:hint="eastAsia" w:ascii="宋体" w:hAnsi="宋体" w:eastAsia="宋体" w:cs="宋体"/>
                <w:i w:val="0"/>
                <w:color w:val="000000"/>
                <w:sz w:val="18"/>
                <w:szCs w:val="18"/>
                <w:u w:val="none"/>
              </w:rPr>
            </w:pPr>
          </w:p>
        </w:tc>
      </w:tr>
      <w:tr w14:paraId="63D57D2A">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6B6BF">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325D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EC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298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F792D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B2F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4919E">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98F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F82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849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5555D">
            <w:pPr>
              <w:jc w:val="center"/>
              <w:rPr>
                <w:rFonts w:hint="eastAsia" w:ascii="宋体" w:hAnsi="宋体" w:eastAsia="宋体" w:cs="宋体"/>
                <w:i w:val="0"/>
                <w:color w:val="000000"/>
                <w:sz w:val="18"/>
                <w:szCs w:val="18"/>
                <w:u w:val="none"/>
              </w:rPr>
            </w:pPr>
          </w:p>
        </w:tc>
      </w:tr>
      <w:tr w14:paraId="598E8C93">
        <w:tblPrEx>
          <w:tblCellMar>
            <w:top w:w="0" w:type="dxa"/>
            <w:left w:w="0" w:type="dxa"/>
            <w:bottom w:w="0" w:type="dxa"/>
            <w:right w:w="0" w:type="dxa"/>
          </w:tblCellMar>
        </w:tblPrEx>
        <w:trPr>
          <w:trHeight w:val="50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D03BE">
            <w:pPr>
              <w:jc w:val="center"/>
              <w:rPr>
                <w:rFonts w:hint="eastAsia" w:ascii="宋体" w:hAnsi="宋体" w:eastAsia="宋体" w:cs="宋体"/>
                <w:i w:val="0"/>
                <w:color w:val="000000"/>
                <w:sz w:val="18"/>
                <w:szCs w:val="18"/>
                <w:u w:val="none"/>
              </w:rPr>
            </w:pPr>
          </w:p>
        </w:tc>
        <w:tc>
          <w:tcPr>
            <w:tcW w:w="2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57A5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CBE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D479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257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FC3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较上年不断提高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4B2F6">
            <w:pPr>
              <w:jc w:val="center"/>
              <w:rPr>
                <w:rFonts w:hint="eastAsia" w:ascii="宋体" w:hAnsi="宋体" w:eastAsia="宋体" w:cs="宋体"/>
                <w:i w:val="0"/>
                <w:color w:val="000000"/>
                <w:sz w:val="18"/>
                <w:szCs w:val="18"/>
                <w:u w:val="none"/>
              </w:rPr>
            </w:pPr>
          </w:p>
        </w:tc>
        <w:tc>
          <w:tcPr>
            <w:tcW w:w="18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C0C2F">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FE9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DB52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2E69E">
            <w:pPr>
              <w:jc w:val="center"/>
              <w:rPr>
                <w:rFonts w:hint="eastAsia" w:ascii="微软雅黑" w:hAnsi="微软雅黑" w:eastAsia="微软雅黑" w:cs="微软雅黑"/>
                <w:i/>
                <w:color w:val="000000"/>
                <w:sz w:val="16"/>
                <w:szCs w:val="16"/>
                <w:u w:val="none"/>
              </w:rPr>
            </w:pPr>
          </w:p>
        </w:tc>
      </w:tr>
      <w:tr w14:paraId="4DBDA867">
        <w:tblPrEx>
          <w:shd w:val="clear" w:color="auto" w:fill="auto"/>
          <w:tblCellMar>
            <w:top w:w="0" w:type="dxa"/>
            <w:left w:w="0" w:type="dxa"/>
            <w:bottom w:w="0" w:type="dxa"/>
            <w:right w:w="0" w:type="dxa"/>
          </w:tblCellMar>
        </w:tblPrEx>
        <w:trPr>
          <w:trHeight w:val="286" w:hRule="atLeast"/>
        </w:trPr>
        <w:tc>
          <w:tcPr>
            <w:tcW w:w="1172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489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1B1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DCCE7">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55B1B">
            <w:pPr>
              <w:rPr>
                <w:rFonts w:hint="eastAsia" w:ascii="宋体" w:hAnsi="宋体" w:eastAsia="宋体" w:cs="宋体"/>
                <w:i w:val="0"/>
                <w:color w:val="000000"/>
                <w:sz w:val="18"/>
                <w:szCs w:val="18"/>
                <w:u w:val="none"/>
              </w:rPr>
            </w:pPr>
          </w:p>
        </w:tc>
      </w:tr>
      <w:tr w14:paraId="0F3E4733">
        <w:tblPrEx>
          <w:shd w:val="clear" w:color="auto" w:fill="auto"/>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D564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D357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根据资金绩效自评指标规定的内容，经我单位认真自评，2023年国家基本公共卫生服务补助项目自评95分。为了更好地给辖区老百姓服务，</w:t>
            </w:r>
          </w:p>
        </w:tc>
      </w:tr>
      <w:tr w14:paraId="01859876">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AB4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6C3B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7ABAAEED">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3F8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455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E1508">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00177008">
        <w:tblPrEx>
          <w:tblCellMar>
            <w:top w:w="0" w:type="dxa"/>
            <w:left w:w="0" w:type="dxa"/>
            <w:bottom w:w="0" w:type="dxa"/>
            <w:right w:w="0" w:type="dxa"/>
          </w:tblCellMar>
        </w:tblPrEx>
        <w:trPr>
          <w:trHeight w:val="286" w:hRule="atLeast"/>
        </w:trPr>
        <w:tc>
          <w:tcPr>
            <w:tcW w:w="768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1E0BF">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项目负责人：蒙春霞</w:t>
            </w:r>
          </w:p>
        </w:tc>
        <w:tc>
          <w:tcPr>
            <w:tcW w:w="7554"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502D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财务负责人：孟婷</w:t>
            </w:r>
          </w:p>
        </w:tc>
      </w:tr>
      <w:tr w14:paraId="341834BE">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2A41E691">
            <w:pPr>
              <w:rPr>
                <w:rFonts w:hint="eastAsia" w:ascii="宋体" w:hAnsi="宋体" w:eastAsia="宋体" w:cs="宋体"/>
                <w:i w:val="0"/>
                <w:color w:val="000000"/>
                <w:sz w:val="18"/>
                <w:szCs w:val="18"/>
                <w:u w:val="none"/>
              </w:rPr>
            </w:pPr>
          </w:p>
        </w:tc>
        <w:tc>
          <w:tcPr>
            <w:tcW w:w="2050" w:type="dxa"/>
            <w:tcBorders>
              <w:top w:val="nil"/>
              <w:left w:val="nil"/>
              <w:bottom w:val="nil"/>
              <w:right w:val="nil"/>
            </w:tcBorders>
            <w:shd w:val="clear" w:color="auto" w:fill="auto"/>
            <w:tcMar>
              <w:top w:w="15" w:type="dxa"/>
              <w:left w:w="15" w:type="dxa"/>
              <w:right w:w="15" w:type="dxa"/>
            </w:tcMar>
            <w:vAlign w:val="center"/>
          </w:tcPr>
          <w:p w14:paraId="4810E25F">
            <w:pPr>
              <w:rPr>
                <w:rFonts w:hint="eastAsia" w:ascii="宋体" w:hAnsi="宋体" w:eastAsia="宋体" w:cs="宋体"/>
                <w:i w:val="0"/>
                <w:color w:val="000000"/>
                <w:sz w:val="18"/>
                <w:szCs w:val="18"/>
                <w:u w:val="none"/>
              </w:rPr>
            </w:pPr>
          </w:p>
        </w:tc>
        <w:tc>
          <w:tcPr>
            <w:tcW w:w="2038" w:type="dxa"/>
            <w:tcBorders>
              <w:top w:val="nil"/>
              <w:left w:val="nil"/>
              <w:bottom w:val="nil"/>
              <w:right w:val="nil"/>
            </w:tcBorders>
            <w:shd w:val="clear" w:color="auto" w:fill="auto"/>
            <w:tcMar>
              <w:top w:w="15" w:type="dxa"/>
              <w:left w:w="15" w:type="dxa"/>
              <w:right w:w="15" w:type="dxa"/>
            </w:tcMar>
            <w:vAlign w:val="center"/>
          </w:tcPr>
          <w:p w14:paraId="5BE86DDF">
            <w:pPr>
              <w:rPr>
                <w:rFonts w:hint="eastAsia" w:ascii="宋体" w:hAnsi="宋体" w:eastAsia="宋体" w:cs="宋体"/>
                <w:i w:val="0"/>
                <w:color w:val="000000"/>
                <w:sz w:val="18"/>
                <w:szCs w:val="18"/>
                <w:u w:val="none"/>
              </w:rPr>
            </w:pPr>
          </w:p>
        </w:tc>
        <w:tc>
          <w:tcPr>
            <w:tcW w:w="2262" w:type="dxa"/>
            <w:tcBorders>
              <w:top w:val="nil"/>
              <w:left w:val="nil"/>
              <w:bottom w:val="nil"/>
              <w:right w:val="nil"/>
            </w:tcBorders>
            <w:shd w:val="clear" w:color="auto" w:fill="auto"/>
            <w:tcMar>
              <w:top w:w="15" w:type="dxa"/>
              <w:left w:w="15" w:type="dxa"/>
              <w:right w:w="15" w:type="dxa"/>
            </w:tcMar>
            <w:vAlign w:val="center"/>
          </w:tcPr>
          <w:p w14:paraId="59A4162F">
            <w:pPr>
              <w:rPr>
                <w:rFonts w:hint="eastAsia" w:ascii="宋体" w:hAnsi="宋体" w:eastAsia="宋体" w:cs="宋体"/>
                <w:i w:val="0"/>
                <w:color w:val="000000"/>
                <w:sz w:val="18"/>
                <w:szCs w:val="18"/>
                <w:u w:val="none"/>
              </w:rPr>
            </w:pPr>
          </w:p>
        </w:tc>
        <w:tc>
          <w:tcPr>
            <w:tcW w:w="653" w:type="dxa"/>
            <w:tcBorders>
              <w:top w:val="nil"/>
              <w:left w:val="nil"/>
              <w:bottom w:val="nil"/>
              <w:right w:val="nil"/>
            </w:tcBorders>
            <w:shd w:val="clear" w:color="auto" w:fill="auto"/>
            <w:tcMar>
              <w:top w:w="15" w:type="dxa"/>
              <w:left w:w="15" w:type="dxa"/>
              <w:right w:w="15" w:type="dxa"/>
            </w:tcMar>
            <w:vAlign w:val="center"/>
          </w:tcPr>
          <w:p w14:paraId="744F3AF2">
            <w:pPr>
              <w:rPr>
                <w:rFonts w:hint="eastAsia" w:ascii="宋体" w:hAnsi="宋体" w:eastAsia="宋体" w:cs="宋体"/>
                <w:i w:val="0"/>
                <w:color w:val="000000"/>
                <w:sz w:val="18"/>
                <w:szCs w:val="18"/>
                <w:u w:val="none"/>
              </w:rPr>
            </w:pPr>
          </w:p>
        </w:tc>
        <w:tc>
          <w:tcPr>
            <w:tcW w:w="1675" w:type="dxa"/>
            <w:tcBorders>
              <w:top w:val="nil"/>
              <w:left w:val="nil"/>
              <w:bottom w:val="nil"/>
              <w:right w:val="nil"/>
            </w:tcBorders>
            <w:shd w:val="clear" w:color="auto" w:fill="auto"/>
            <w:tcMar>
              <w:top w:w="15" w:type="dxa"/>
              <w:left w:w="15" w:type="dxa"/>
              <w:right w:w="15" w:type="dxa"/>
            </w:tcMar>
            <w:vAlign w:val="center"/>
          </w:tcPr>
          <w:p w14:paraId="4C09A37D">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04EBE470">
            <w:pPr>
              <w:rPr>
                <w:rFonts w:hint="eastAsia" w:ascii="宋体" w:hAnsi="宋体" w:eastAsia="宋体" w:cs="宋体"/>
                <w:i w:val="0"/>
                <w:color w:val="000000"/>
                <w:sz w:val="18"/>
                <w:szCs w:val="18"/>
                <w:u w:val="none"/>
              </w:rPr>
            </w:pPr>
          </w:p>
        </w:tc>
        <w:tc>
          <w:tcPr>
            <w:tcW w:w="1839" w:type="dxa"/>
            <w:tcBorders>
              <w:top w:val="nil"/>
              <w:left w:val="nil"/>
              <w:bottom w:val="nil"/>
              <w:right w:val="nil"/>
            </w:tcBorders>
            <w:shd w:val="clear" w:color="auto" w:fill="auto"/>
            <w:tcMar>
              <w:top w:w="15" w:type="dxa"/>
              <w:left w:w="15" w:type="dxa"/>
              <w:right w:w="15" w:type="dxa"/>
            </w:tcMar>
            <w:vAlign w:val="center"/>
          </w:tcPr>
          <w:p w14:paraId="189EED34">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4D61D532">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4EAB6143">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1AB0623F">
            <w:pPr>
              <w:rPr>
                <w:rFonts w:hint="eastAsia" w:ascii="宋体" w:hAnsi="宋体" w:eastAsia="宋体" w:cs="宋体"/>
                <w:i w:val="0"/>
                <w:color w:val="000000"/>
                <w:sz w:val="18"/>
                <w:szCs w:val="18"/>
                <w:u w:val="none"/>
              </w:rPr>
            </w:pPr>
          </w:p>
        </w:tc>
      </w:tr>
      <w:tr w14:paraId="015D9829">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607A8EF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1、报表说明</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该报表查询项目信息、绩效目标信息、预算及执行情况，用于预算单位查询导出开展项目自评。</w:t>
            </w:r>
          </w:p>
        </w:tc>
      </w:tr>
      <w:tr w14:paraId="5DB2EFEF">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164DF58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14:paraId="360EC884">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6DF6827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适用地区：全省范围</w:t>
            </w:r>
          </w:p>
        </w:tc>
      </w:tr>
      <w:tr w14:paraId="126DBE92">
        <w:tblPrEx>
          <w:tblCellMar>
            <w:top w:w="0" w:type="dxa"/>
            <w:left w:w="0" w:type="dxa"/>
            <w:bottom w:w="0" w:type="dxa"/>
            <w:right w:w="0" w:type="dxa"/>
          </w:tblCellMar>
        </w:tblPrEx>
        <w:trPr>
          <w:trHeight w:val="286" w:hRule="atLeast"/>
        </w:trPr>
        <w:tc>
          <w:tcPr>
            <w:tcW w:w="15240" w:type="dxa"/>
            <w:gridSpan w:val="11"/>
            <w:tcBorders>
              <w:top w:val="nil"/>
              <w:left w:val="nil"/>
              <w:bottom w:val="nil"/>
              <w:right w:val="nil"/>
            </w:tcBorders>
            <w:shd w:val="clear" w:color="auto" w:fill="auto"/>
            <w:tcMar>
              <w:top w:w="15" w:type="dxa"/>
              <w:left w:w="15" w:type="dxa"/>
              <w:right w:w="15" w:type="dxa"/>
            </w:tcMar>
            <w:vAlign w:val="center"/>
          </w:tcPr>
          <w:p w14:paraId="500E016A">
            <w:pPr>
              <w:keepNext w:val="0"/>
              <w:keepLines w:val="0"/>
              <w:widowControl/>
              <w:suppressLineNumbers w:val="0"/>
              <w:jc w:val="left"/>
              <w:textAlignment w:val="center"/>
              <w:rPr>
                <w:rFonts w:ascii="宋体" w:hAnsi="宋体" w:eastAsia="宋体" w:cs="宋体"/>
                <w:i w:val="0"/>
                <w:color w:val="000000"/>
                <w:sz w:val="12"/>
                <w:szCs w:val="12"/>
                <w:u w:val="none"/>
              </w:rPr>
            </w:pPr>
            <w:r>
              <w:rPr>
                <w:rFonts w:ascii="宋体" w:hAnsi="宋体" w:eastAsia="宋体" w:cs="宋体"/>
                <w:i w:val="0"/>
                <w:color w:val="000000"/>
                <w:kern w:val="0"/>
                <w:sz w:val="12"/>
                <w:szCs w:val="12"/>
                <w:u w:val="none"/>
                <w:lang w:val="en-US" w:eastAsia="zh-CN" w:bidi="ar"/>
              </w:rPr>
              <w:t>适用用户：部门用户、单位用户</w:t>
            </w:r>
          </w:p>
        </w:tc>
      </w:tr>
    </w:tbl>
    <w:p w14:paraId="3D97D46F">
      <w:pPr>
        <w:spacing w:line="572" w:lineRule="exact"/>
        <w:jc w:val="left"/>
        <w:outlineLvl w:val="9"/>
        <w:rPr>
          <w:rFonts w:ascii="仿宋_GB2312" w:hAnsi="仿宋_GB2312" w:eastAsia="仿宋_GB2312" w:cs="仿宋_GB2312"/>
          <w:sz w:val="32"/>
          <w:szCs w:val="32"/>
        </w:rPr>
      </w:pPr>
    </w:p>
    <w:p w14:paraId="47A62FE6">
      <w:pPr>
        <w:pStyle w:val="15"/>
        <w:spacing w:line="560" w:lineRule="exact"/>
        <w:ind w:left="0" w:leftChars="0" w:firstLine="640"/>
        <w:rPr>
          <w:rFonts w:hAnsi="Calibri" w:eastAsia="仿宋_GB2312" w:cs="仿宋"/>
          <w:sz w:val="32"/>
          <w:lang w:val="zh-CN"/>
        </w:rPr>
      </w:pPr>
      <w:bookmarkStart w:id="88" w:name="_Toc15396618"/>
    </w:p>
    <w:p w14:paraId="30126527">
      <w:pPr>
        <w:pStyle w:val="6"/>
        <w:spacing w:before="93"/>
        <w:rPr>
          <w:rFonts w:hAnsi="Calibri" w:cs="仿宋"/>
          <w:sz w:val="32"/>
          <w:szCs w:val="32"/>
        </w:rPr>
      </w:pPr>
    </w:p>
    <w:p w14:paraId="6D20D69F">
      <w:pPr>
        <w:pStyle w:val="6"/>
        <w:spacing w:before="93"/>
        <w:rPr>
          <w:rFonts w:hAnsi="Calibri" w:cs="仿宋"/>
          <w:sz w:val="32"/>
          <w:szCs w:val="32"/>
        </w:rPr>
      </w:pPr>
    </w:p>
    <w:p w14:paraId="6B6AFCBF">
      <w:pPr>
        <w:pStyle w:val="6"/>
        <w:spacing w:before="93"/>
        <w:rPr>
          <w:rFonts w:hAnsi="Calibri" w:cs="仿宋"/>
          <w:sz w:val="32"/>
          <w:szCs w:val="32"/>
        </w:rPr>
      </w:pPr>
    </w:p>
    <w:p w14:paraId="343BCA18">
      <w:pPr>
        <w:pStyle w:val="6"/>
        <w:spacing w:before="93"/>
        <w:rPr>
          <w:rFonts w:hAnsi="Calibri" w:cs="仿宋"/>
          <w:sz w:val="32"/>
          <w:szCs w:val="32"/>
        </w:rPr>
      </w:pPr>
    </w:p>
    <w:p w14:paraId="0E193727">
      <w:pPr>
        <w:spacing w:line="600" w:lineRule="exact"/>
        <w:jc w:val="both"/>
        <w:outlineLvl w:val="9"/>
        <w:rPr>
          <w:rFonts w:hint="eastAsia" w:ascii="黑体" w:hAnsi="黑体" w:eastAsia="黑体"/>
          <w:sz w:val="44"/>
          <w:szCs w:val="44"/>
        </w:rPr>
      </w:pPr>
    </w:p>
    <w:p w14:paraId="1FF571F7">
      <w:pPr>
        <w:spacing w:line="600" w:lineRule="exact"/>
        <w:jc w:val="center"/>
        <w:outlineLvl w:val="9"/>
        <w:rPr>
          <w:rFonts w:hint="eastAsia" w:ascii="黑体" w:hAnsi="黑体" w:eastAsia="黑体"/>
          <w:sz w:val="44"/>
          <w:szCs w:val="44"/>
        </w:rPr>
      </w:pPr>
    </w:p>
    <w:p w14:paraId="5A59D851">
      <w:pPr>
        <w:spacing w:line="600" w:lineRule="exact"/>
        <w:jc w:val="center"/>
        <w:outlineLvl w:val="9"/>
        <w:rPr>
          <w:rFonts w:hint="eastAsia" w:ascii="黑体" w:hAnsi="黑体" w:eastAsia="黑体"/>
          <w:sz w:val="44"/>
          <w:szCs w:val="44"/>
        </w:rPr>
      </w:pPr>
    </w:p>
    <w:p w14:paraId="31D41AF4">
      <w:pPr>
        <w:spacing w:line="600" w:lineRule="exact"/>
        <w:jc w:val="center"/>
        <w:outlineLvl w:val="9"/>
        <w:rPr>
          <w:rFonts w:hint="eastAsia" w:ascii="黑体" w:hAnsi="黑体" w:eastAsia="黑体"/>
          <w:sz w:val="44"/>
          <w:szCs w:val="44"/>
        </w:rPr>
      </w:pPr>
    </w:p>
    <w:p w14:paraId="0208F574">
      <w:pPr>
        <w:spacing w:line="600" w:lineRule="exact"/>
        <w:jc w:val="center"/>
        <w:outlineLvl w:val="9"/>
        <w:rPr>
          <w:rFonts w:hint="eastAsia" w:ascii="黑体" w:hAnsi="黑体" w:eastAsia="黑体"/>
          <w:sz w:val="44"/>
          <w:szCs w:val="44"/>
        </w:rPr>
        <w:sectPr>
          <w:pgSz w:w="16838" w:h="11906" w:orient="landscape"/>
          <w:pgMar w:top="1800" w:right="1440" w:bottom="1800" w:left="1440" w:header="851" w:footer="992" w:gutter="0"/>
          <w:pgNumType w:fmt="decimal"/>
          <w:cols w:space="425" w:num="1"/>
          <w:titlePg/>
          <w:docGrid w:type="lines" w:linePitch="312" w:charSpace="0"/>
        </w:sectPr>
      </w:pPr>
    </w:p>
    <w:p w14:paraId="2D5A7879">
      <w:pPr>
        <w:pStyle w:val="2"/>
        <w:rPr>
          <w:rFonts w:hint="eastAsia"/>
        </w:rPr>
      </w:pPr>
    </w:p>
    <w:p w14:paraId="335B62A1">
      <w:pPr>
        <w:spacing w:line="600" w:lineRule="exact"/>
        <w:jc w:val="center"/>
        <w:outlineLvl w:val="0"/>
        <w:rPr>
          <w:rFonts w:ascii="仿宋" w:hAnsi="仿宋" w:eastAsia="仿宋"/>
        </w:rPr>
      </w:pPr>
      <w:bookmarkStart w:id="89" w:name="_Toc8292"/>
      <w:r>
        <w:rPr>
          <w:rFonts w:hint="eastAsia" w:ascii="黑体" w:hAnsi="黑体" w:eastAsia="黑体"/>
          <w:sz w:val="44"/>
          <w:szCs w:val="44"/>
        </w:rPr>
        <w:t>第</w:t>
      </w:r>
      <w:r>
        <w:rPr>
          <w:rStyle w:val="29"/>
          <w:rFonts w:hint="eastAsia" w:ascii="黑体" w:hAnsi="黑体" w:eastAsia="黑体"/>
          <w:b w:val="0"/>
        </w:rPr>
        <w:t>五部分 附表</w:t>
      </w:r>
      <w:bookmarkEnd w:id="85"/>
      <w:bookmarkEnd w:id="88"/>
      <w:bookmarkEnd w:id="89"/>
      <w:bookmarkStart w:id="90" w:name="_Toc15396619"/>
    </w:p>
    <w:p w14:paraId="2B68EEC6">
      <w:pPr>
        <w:pStyle w:val="4"/>
        <w:rPr>
          <w:rFonts w:ascii="仿宋" w:hAnsi="仿宋" w:eastAsia="仿宋"/>
        </w:rPr>
      </w:pPr>
      <w:bookmarkStart w:id="91" w:name="_Toc15159"/>
      <w:r>
        <w:rPr>
          <w:rFonts w:hint="eastAsia" w:ascii="仿宋" w:hAnsi="仿宋" w:eastAsia="仿宋"/>
          <w:b w:val="0"/>
        </w:rPr>
        <w:t>一、收</w:t>
      </w:r>
      <w:r>
        <w:rPr>
          <w:rStyle w:val="30"/>
          <w:rFonts w:hint="eastAsia" w:ascii="仿宋" w:hAnsi="仿宋" w:eastAsia="仿宋"/>
          <w:b w:val="0"/>
          <w:bCs w:val="0"/>
        </w:rPr>
        <w:t>入支出决算总表</w:t>
      </w:r>
      <w:bookmarkEnd w:id="90"/>
      <w:bookmarkEnd w:id="91"/>
    </w:p>
    <w:p w14:paraId="17064CEB">
      <w:pPr>
        <w:pStyle w:val="4"/>
        <w:rPr>
          <w:rFonts w:ascii="仿宋" w:hAnsi="仿宋" w:eastAsia="仿宋"/>
        </w:rPr>
      </w:pPr>
      <w:bookmarkStart w:id="92" w:name="_Toc8829"/>
      <w:bookmarkStart w:id="93" w:name="_Toc15396620"/>
      <w:r>
        <w:rPr>
          <w:rFonts w:hint="eastAsia" w:ascii="仿宋" w:hAnsi="仿宋" w:eastAsia="仿宋"/>
          <w:b w:val="0"/>
        </w:rPr>
        <w:t>二、收</w:t>
      </w:r>
      <w:r>
        <w:rPr>
          <w:rStyle w:val="30"/>
          <w:rFonts w:hint="eastAsia" w:ascii="仿宋" w:hAnsi="仿宋" w:eastAsia="仿宋"/>
          <w:b w:val="0"/>
          <w:bCs w:val="0"/>
        </w:rPr>
        <w:t>入决算表</w:t>
      </w:r>
      <w:bookmarkEnd w:id="92"/>
      <w:bookmarkEnd w:id="93"/>
    </w:p>
    <w:p w14:paraId="54F27D33">
      <w:pPr>
        <w:pStyle w:val="4"/>
        <w:rPr>
          <w:rFonts w:ascii="仿宋" w:hAnsi="仿宋" w:eastAsia="仿宋"/>
        </w:rPr>
      </w:pPr>
      <w:bookmarkStart w:id="94" w:name="_Toc15396621"/>
      <w:bookmarkStart w:id="95" w:name="_Toc1695"/>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94"/>
      <w:bookmarkEnd w:id="95"/>
    </w:p>
    <w:p w14:paraId="3F686E5D">
      <w:pPr>
        <w:pStyle w:val="4"/>
        <w:rPr>
          <w:rFonts w:ascii="仿宋" w:hAnsi="仿宋" w:eastAsia="仿宋"/>
          <w:b w:val="0"/>
        </w:rPr>
      </w:pPr>
      <w:bookmarkStart w:id="96" w:name="_Toc2250"/>
      <w:bookmarkStart w:id="97"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96"/>
      <w:bookmarkEnd w:id="97"/>
    </w:p>
    <w:p w14:paraId="6E0592E0">
      <w:pPr>
        <w:pStyle w:val="4"/>
        <w:rPr>
          <w:rStyle w:val="30"/>
          <w:rFonts w:ascii="仿宋" w:hAnsi="仿宋" w:eastAsia="仿宋"/>
          <w:b w:val="0"/>
          <w:bCs w:val="0"/>
        </w:rPr>
      </w:pPr>
      <w:bookmarkStart w:id="98" w:name="_Toc15396623"/>
      <w:bookmarkStart w:id="99" w:name="_Toc16706"/>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98"/>
      <w:bookmarkEnd w:id="99"/>
      <w:bookmarkStart w:id="100" w:name="_Toc15396624"/>
    </w:p>
    <w:p w14:paraId="5DE149CF">
      <w:pPr>
        <w:pStyle w:val="4"/>
        <w:rPr>
          <w:rFonts w:ascii="仿宋" w:hAnsi="仿宋" w:eastAsia="仿宋"/>
        </w:rPr>
      </w:pPr>
      <w:bookmarkStart w:id="101" w:name="_Toc15077"/>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100"/>
      <w:bookmarkEnd w:id="101"/>
    </w:p>
    <w:p w14:paraId="0E483415">
      <w:pPr>
        <w:pStyle w:val="4"/>
        <w:rPr>
          <w:rFonts w:ascii="仿宋" w:hAnsi="仿宋" w:eastAsia="仿宋"/>
        </w:rPr>
      </w:pPr>
      <w:bookmarkStart w:id="102" w:name="_Toc15396625"/>
      <w:bookmarkStart w:id="103" w:name="_Toc1293"/>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102"/>
      <w:bookmarkEnd w:id="103"/>
    </w:p>
    <w:p w14:paraId="3051DD8F">
      <w:pPr>
        <w:pStyle w:val="4"/>
        <w:rPr>
          <w:rFonts w:ascii="仿宋" w:hAnsi="仿宋" w:eastAsia="仿宋"/>
        </w:rPr>
      </w:pPr>
      <w:bookmarkStart w:id="104" w:name="_Toc24785"/>
      <w:bookmarkStart w:id="105" w:name="_Toc15396626"/>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104"/>
      <w:bookmarkEnd w:id="105"/>
    </w:p>
    <w:p w14:paraId="4A088A61">
      <w:pPr>
        <w:pStyle w:val="4"/>
        <w:rPr>
          <w:rFonts w:ascii="仿宋" w:hAnsi="仿宋" w:eastAsia="仿宋"/>
        </w:rPr>
      </w:pPr>
      <w:bookmarkStart w:id="106" w:name="_Toc16511"/>
      <w:bookmarkStart w:id="107" w:name="_Toc15396627"/>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106"/>
      <w:bookmarkEnd w:id="107"/>
    </w:p>
    <w:p w14:paraId="25937915">
      <w:pPr>
        <w:pStyle w:val="4"/>
        <w:rPr>
          <w:rFonts w:ascii="仿宋" w:hAnsi="仿宋" w:eastAsia="仿宋"/>
        </w:rPr>
      </w:pPr>
      <w:bookmarkStart w:id="108" w:name="_Toc15396628"/>
      <w:bookmarkStart w:id="109" w:name="_Toc9080"/>
      <w:r>
        <w:rPr>
          <w:rStyle w:val="30"/>
          <w:rFonts w:hint="eastAsia" w:ascii="仿宋" w:hAnsi="仿宋" w:eastAsia="仿宋"/>
          <w:b w:val="0"/>
          <w:bCs w:val="0"/>
        </w:rPr>
        <w:t>十、</w:t>
      </w:r>
      <w:bookmarkEnd w:id="108"/>
      <w:r>
        <w:rPr>
          <w:rFonts w:hint="eastAsia" w:ascii="仿宋" w:hAnsi="仿宋" w:eastAsia="仿宋"/>
          <w:b w:val="0"/>
        </w:rPr>
        <w:t>政</w:t>
      </w:r>
      <w:r>
        <w:rPr>
          <w:rStyle w:val="30"/>
          <w:rFonts w:hint="eastAsia" w:ascii="仿宋" w:hAnsi="仿宋" w:eastAsia="仿宋"/>
          <w:b w:val="0"/>
          <w:bCs w:val="0"/>
        </w:rPr>
        <w:t>府性基金预算财政拨款收入支出决算表</w:t>
      </w:r>
      <w:bookmarkEnd w:id="109"/>
    </w:p>
    <w:p w14:paraId="5F2E5D6D">
      <w:pPr>
        <w:pStyle w:val="4"/>
        <w:rPr>
          <w:rFonts w:ascii="仿宋" w:hAnsi="仿宋" w:eastAsia="仿宋"/>
        </w:rPr>
      </w:pPr>
      <w:bookmarkStart w:id="110" w:name="_Toc15396629"/>
      <w:bookmarkStart w:id="111" w:name="_Toc9142"/>
      <w:r>
        <w:rPr>
          <w:rStyle w:val="30"/>
          <w:rFonts w:hint="eastAsia" w:ascii="仿宋" w:hAnsi="仿宋" w:eastAsia="仿宋"/>
          <w:b w:val="0"/>
          <w:bCs w:val="0"/>
        </w:rPr>
        <w:t>十一、</w:t>
      </w:r>
      <w:bookmarkEnd w:id="110"/>
      <w:r>
        <w:rPr>
          <w:rFonts w:hint="eastAsia" w:ascii="仿宋" w:hAnsi="仿宋" w:eastAsia="仿宋"/>
          <w:b w:val="0"/>
        </w:rPr>
        <w:t>国</w:t>
      </w:r>
      <w:r>
        <w:rPr>
          <w:rStyle w:val="30"/>
          <w:rFonts w:hint="eastAsia" w:ascii="仿宋" w:hAnsi="仿宋" w:eastAsia="仿宋"/>
          <w:b w:val="0"/>
          <w:bCs w:val="0"/>
        </w:rPr>
        <w:t>有资本经营预算财政拨款收入支出决算表</w:t>
      </w:r>
      <w:bookmarkEnd w:id="111"/>
    </w:p>
    <w:p w14:paraId="58BAB73D">
      <w:pPr>
        <w:pStyle w:val="4"/>
        <w:rPr>
          <w:rFonts w:ascii="仿宋" w:hAnsi="仿宋" w:eastAsia="仿宋"/>
        </w:rPr>
      </w:pPr>
      <w:bookmarkStart w:id="112" w:name="_Toc15396630"/>
      <w:bookmarkStart w:id="113" w:name="_Toc23021"/>
      <w:r>
        <w:rPr>
          <w:rStyle w:val="30"/>
          <w:rFonts w:hint="eastAsia" w:ascii="仿宋" w:hAnsi="仿宋" w:eastAsia="仿宋"/>
          <w:b w:val="0"/>
          <w:bCs w:val="0"/>
        </w:rPr>
        <w:t>十二、</w:t>
      </w:r>
      <w:bookmarkEnd w:id="112"/>
      <w:r>
        <w:rPr>
          <w:rStyle w:val="30"/>
          <w:rFonts w:hint="eastAsia" w:ascii="仿宋" w:hAnsi="仿宋" w:eastAsia="仿宋"/>
          <w:b w:val="0"/>
          <w:bCs w:val="0"/>
        </w:rPr>
        <w:t>国有资本经营预算财政拨款支出决算表</w:t>
      </w:r>
      <w:bookmarkEnd w:id="113"/>
    </w:p>
    <w:p w14:paraId="1682FFFC">
      <w:pPr>
        <w:pStyle w:val="4"/>
        <w:rPr>
          <w:rFonts w:eastAsia="仿宋"/>
        </w:rPr>
      </w:pPr>
      <w:bookmarkStart w:id="114" w:name="_Toc15396631"/>
      <w:bookmarkStart w:id="115" w:name="_Toc15136"/>
      <w:r>
        <w:rPr>
          <w:rStyle w:val="30"/>
          <w:rFonts w:hint="eastAsia" w:ascii="仿宋" w:hAnsi="仿宋" w:eastAsia="仿宋"/>
          <w:b w:val="0"/>
          <w:bCs w:val="0"/>
        </w:rPr>
        <w:t>十三、</w:t>
      </w:r>
      <w:bookmarkEnd w:id="114"/>
      <w:r>
        <w:rPr>
          <w:rStyle w:val="30"/>
          <w:rFonts w:hint="eastAsia" w:ascii="仿宋" w:hAnsi="仿宋" w:eastAsia="仿宋"/>
          <w:b w:val="0"/>
          <w:bCs w:val="0"/>
        </w:rPr>
        <w:t>财政拨款“三公”经费支出决算表</w:t>
      </w:r>
      <w:bookmarkEnd w:id="115"/>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5BA4118-96CC-4A38-94FF-068F4A6812C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608420C-C46E-4804-A6F0-68097F3B1C82}"/>
  </w:font>
  <w:font w:name="Cambria">
    <w:panose1 w:val="02040503050406030204"/>
    <w:charset w:val="00"/>
    <w:family w:val="roman"/>
    <w:pitch w:val="default"/>
    <w:sig w:usb0="E00006FF" w:usb1="420024FF" w:usb2="02000000" w:usb3="00000000" w:csb0="2000019F" w:csb1="00000000"/>
    <w:embedRegular r:id="rId3" w:fontKey="{CF583DC4-F8F6-42B0-A9FE-27CE994456B1}"/>
  </w:font>
  <w:font w:name="仿宋_GB2312">
    <w:panose1 w:val="02010609030101010101"/>
    <w:charset w:val="86"/>
    <w:family w:val="auto"/>
    <w:pitch w:val="default"/>
    <w:sig w:usb0="00000001" w:usb1="080E0000" w:usb2="00000000" w:usb3="00000000" w:csb0="00040000" w:csb1="00000000"/>
    <w:embedRegular r:id="rId4" w:fontKey="{84232FAF-BC49-4CE7-80F1-6E1A1F11CB8B}"/>
  </w:font>
  <w:font w:name="仿宋">
    <w:panose1 w:val="02010609060101010101"/>
    <w:charset w:val="86"/>
    <w:family w:val="modern"/>
    <w:pitch w:val="default"/>
    <w:sig w:usb0="800002BF" w:usb1="38CF7CFA" w:usb2="00000016" w:usb3="00000000" w:csb0="00040001" w:csb1="00000000"/>
    <w:embedRegular r:id="rId5" w:fontKey="{69BB6255-1C18-4A97-9EF2-2AE521953810}"/>
  </w:font>
  <w:font w:name="方正小标宋简体">
    <w:panose1 w:val="02000000000000000000"/>
    <w:charset w:val="86"/>
    <w:family w:val="script"/>
    <w:pitch w:val="default"/>
    <w:sig w:usb0="00000001" w:usb1="08000000" w:usb2="00000000" w:usb3="00000000" w:csb0="00040000" w:csb1="00000000"/>
    <w:embedRegular r:id="rId6" w:fontKey="{BF8753FB-9883-4996-8D40-26F726EFF8ED}"/>
  </w:font>
  <w:font w:name="华文中宋">
    <w:altName w:val="宋体"/>
    <w:panose1 w:val="02010600040101010101"/>
    <w:charset w:val="86"/>
    <w:family w:val="auto"/>
    <w:pitch w:val="default"/>
    <w:sig w:usb0="00000000" w:usb1="00000000" w:usb2="00000010" w:usb3="00000000" w:csb0="0004009F" w:csb1="00000000"/>
    <w:embedRegular r:id="rId7" w:fontKey="{0545F345-7AB4-42D1-8C8E-9DED659B846F}"/>
  </w:font>
  <w:font w:name="微软雅黑">
    <w:panose1 w:val="020B0503020204020204"/>
    <w:charset w:val="86"/>
    <w:family w:val="auto"/>
    <w:pitch w:val="default"/>
    <w:sig w:usb0="80000287" w:usb1="2ACF3C50" w:usb2="00000016" w:usb3="00000000" w:csb0="0004001F" w:csb1="00000000"/>
    <w:embedRegular r:id="rId8" w:fontKey="{D9CC4CF8-527E-42D5-9F1A-6A75D6ABAC3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A9F6DA">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38557925">
                              <w:pPr>
                                <w:pStyle w:val="10"/>
                                <w:jc w:val="center"/>
                              </w:pPr>
                              <w:r>
                                <w:fldChar w:fldCharType="begin"/>
                              </w:r>
                              <w:r>
                                <w:instrText xml:space="preserve">PAGE   \* MERGEFORMAT</w:instrText>
                              </w:r>
                              <w:r>
                                <w:fldChar w:fldCharType="separate"/>
                              </w:r>
                              <w:r>
                                <w:rPr>
                                  <w:lang w:val="zh-CN"/>
                                </w:rPr>
                                <w:t>15</w:t>
                              </w:r>
                              <w:r>
                                <w:fldChar w:fldCharType="end"/>
                              </w:r>
                            </w:p>
                          </w:sdtContent>
                        </w:sdt>
                        <w:p w14:paraId="31733CB9">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sdt>
                    <w:sdtPr>
                      <w:id w:val="-1994781956"/>
                    </w:sdtPr>
                    <w:sdtContent>
                      <w:p w14:paraId="38557925">
                        <w:pPr>
                          <w:pStyle w:val="10"/>
                          <w:jc w:val="center"/>
                        </w:pPr>
                        <w:r>
                          <w:fldChar w:fldCharType="begin"/>
                        </w:r>
                        <w:r>
                          <w:instrText xml:space="preserve">PAGE   \* MERGEFORMAT</w:instrText>
                        </w:r>
                        <w:r>
                          <w:fldChar w:fldCharType="separate"/>
                        </w:r>
                        <w:r>
                          <w:rPr>
                            <w:lang w:val="zh-CN"/>
                          </w:rPr>
                          <w:t>15</w:t>
                        </w:r>
                        <w:r>
                          <w:fldChar w:fldCharType="end"/>
                        </w:r>
                      </w:p>
                    </w:sdtContent>
                  </w:sdt>
                  <w:p w14:paraId="31733CB9">
                    <w:pPr>
                      <w:pStyle w:val="2"/>
                    </w:pPr>
                  </w:p>
                </w:txbxContent>
              </v:textbox>
            </v:shape>
          </w:pict>
        </mc:Fallback>
      </mc:AlternateContent>
    </w:r>
  </w:p>
  <w:p w14:paraId="45F6A508">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6295D">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E8C39">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E3E8C39">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hint="eastAsia"/>
        <w:lang w:eastAsia="zh-CN"/>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0E7DD">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8881E"/>
    <w:multiLevelType w:val="singleLevel"/>
    <w:tmpl w:val="BC48881E"/>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1MWNhN2ZmY2ZhZmY3ODhlYTg0MWU5OGMyY2QwZm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9607A8C"/>
    <w:rsid w:val="0A2032A3"/>
    <w:rsid w:val="0B8A37D8"/>
    <w:rsid w:val="0E3240A0"/>
    <w:rsid w:val="0F5FFB2F"/>
    <w:rsid w:val="0FFFCF60"/>
    <w:rsid w:val="10C055FF"/>
    <w:rsid w:val="118107EC"/>
    <w:rsid w:val="11DD6519"/>
    <w:rsid w:val="15423411"/>
    <w:rsid w:val="16BB723D"/>
    <w:rsid w:val="17B35283"/>
    <w:rsid w:val="18015F3F"/>
    <w:rsid w:val="1BE8440E"/>
    <w:rsid w:val="1D155CEE"/>
    <w:rsid w:val="1EC13F95"/>
    <w:rsid w:val="1FDBBF84"/>
    <w:rsid w:val="202E4BFD"/>
    <w:rsid w:val="20F57F95"/>
    <w:rsid w:val="219E6E91"/>
    <w:rsid w:val="240371BF"/>
    <w:rsid w:val="25711CC6"/>
    <w:rsid w:val="25C741E6"/>
    <w:rsid w:val="276F80C0"/>
    <w:rsid w:val="27842671"/>
    <w:rsid w:val="29FD04D3"/>
    <w:rsid w:val="2ABE7A3E"/>
    <w:rsid w:val="2AFF09B6"/>
    <w:rsid w:val="2CA234A8"/>
    <w:rsid w:val="2EFA178C"/>
    <w:rsid w:val="2EFDF86C"/>
    <w:rsid w:val="2F9D17E1"/>
    <w:rsid w:val="30B46D73"/>
    <w:rsid w:val="31801FC4"/>
    <w:rsid w:val="319F7F4E"/>
    <w:rsid w:val="33F34F6F"/>
    <w:rsid w:val="356A28F1"/>
    <w:rsid w:val="357C035A"/>
    <w:rsid w:val="368E000D"/>
    <w:rsid w:val="383D272C"/>
    <w:rsid w:val="398D4729"/>
    <w:rsid w:val="39AE70AB"/>
    <w:rsid w:val="3A4DCE41"/>
    <w:rsid w:val="3BCB56FA"/>
    <w:rsid w:val="3C0C0783"/>
    <w:rsid w:val="3E2C00A0"/>
    <w:rsid w:val="3EE7C2F4"/>
    <w:rsid w:val="3F371B56"/>
    <w:rsid w:val="3F792ED8"/>
    <w:rsid w:val="3F9F3A96"/>
    <w:rsid w:val="3FECA4B2"/>
    <w:rsid w:val="3FF58C48"/>
    <w:rsid w:val="40B47DDE"/>
    <w:rsid w:val="42FF6694"/>
    <w:rsid w:val="48BF60AB"/>
    <w:rsid w:val="493C27E9"/>
    <w:rsid w:val="496F39ED"/>
    <w:rsid w:val="49FF41D3"/>
    <w:rsid w:val="4BE068DB"/>
    <w:rsid w:val="4BF6002B"/>
    <w:rsid w:val="4BFFC6BE"/>
    <w:rsid w:val="4ECE2238"/>
    <w:rsid w:val="51DB4B86"/>
    <w:rsid w:val="51F64DB0"/>
    <w:rsid w:val="53005A6E"/>
    <w:rsid w:val="55333C3E"/>
    <w:rsid w:val="5F67802D"/>
    <w:rsid w:val="5F7DC4F2"/>
    <w:rsid w:val="5FB36814"/>
    <w:rsid w:val="5FBB8E56"/>
    <w:rsid w:val="5FFB5535"/>
    <w:rsid w:val="64CA39A1"/>
    <w:rsid w:val="69630ADE"/>
    <w:rsid w:val="69BD5F13"/>
    <w:rsid w:val="69FB0B4B"/>
    <w:rsid w:val="6BFFE1FB"/>
    <w:rsid w:val="6C4A05C8"/>
    <w:rsid w:val="6D3B1A89"/>
    <w:rsid w:val="6DB7D8A3"/>
    <w:rsid w:val="6EC78701"/>
    <w:rsid w:val="6F7A5481"/>
    <w:rsid w:val="6FFE07A9"/>
    <w:rsid w:val="71BF4EC2"/>
    <w:rsid w:val="72734D90"/>
    <w:rsid w:val="73E75B71"/>
    <w:rsid w:val="7412278C"/>
    <w:rsid w:val="742C5579"/>
    <w:rsid w:val="75DDCDA9"/>
    <w:rsid w:val="75FF44B1"/>
    <w:rsid w:val="77670518"/>
    <w:rsid w:val="777FA627"/>
    <w:rsid w:val="77DF1B5F"/>
    <w:rsid w:val="77EF2D9D"/>
    <w:rsid w:val="79E7B28D"/>
    <w:rsid w:val="7ACFF0C2"/>
    <w:rsid w:val="7AFB9108"/>
    <w:rsid w:val="7BBC0A60"/>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Chars="200" w:hanging="200" w:hangingChars="200"/>
    </w:p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9"/>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WPSOffice手动目录 1"/>
    <w:qFormat/>
    <w:uiPriority w:val="0"/>
    <w:pPr>
      <w:ind w:leftChars="0"/>
    </w:pPr>
    <w:rPr>
      <w:rFonts w:ascii="Calibri" w:hAnsi="Calibri" w:eastAsia="宋体" w:cs="Times New Roman"/>
      <w:sz w:val="20"/>
      <w:szCs w:val="20"/>
    </w:rPr>
  </w:style>
  <w:style w:type="paragraph" w:customStyle="1" w:styleId="36">
    <w:name w:val="WPSOffice手动目录 2"/>
    <w:qFormat/>
    <w:uiPriority w:val="0"/>
    <w:pPr>
      <w:ind w:leftChars="200"/>
    </w:pPr>
    <w:rPr>
      <w:rFonts w:ascii="Calibri" w:hAnsi="Calibri" w:eastAsia="宋体" w:cs="Times New Roman"/>
      <w:sz w:val="20"/>
      <w:szCs w:val="20"/>
    </w:rPr>
  </w:style>
  <w:style w:type="paragraph" w:customStyle="1" w:styleId="37">
    <w:name w:val="WPSOffice手动目录 3"/>
    <w:qFormat/>
    <w:uiPriority w:val="0"/>
    <w:pPr>
      <w:ind w:leftChars="4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9992;&#25143;&#30446;&#24405;\Desktop\&#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9992;&#25143;&#30446;&#24405;\Desktop\&#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9992;&#25143;&#30446;&#24405;\Desktop\&#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9992;&#25143;&#30446;&#24405;\Desktop\&#20915;&#31639;&#20844;&#24320;\&#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9992;&#25143;&#30446;&#24405;\Desktop\&#20915;&#31639;&#20844;&#24320;\&#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9992;&#25143;&#30446;&#24405;\Desktop\&#20915;&#31639;&#20844;&#24320;\&#34920;&#2668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9992;&#25143;&#30446;&#24405;\Desktop\&#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[表格.xlsx]Sheet1!$A$1:$D$3</c:f>
              <c:multiLvlStrCache>
                <c:ptCount val="4"/>
                <c:lvl>
                  <c:pt idx="0">
                    <c:v>收入（万元）</c:v>
                  </c:pt>
                  <c:pt idx="1">
                    <c:v>支出（万元）</c:v>
                  </c:pt>
                  <c:pt idx="2">
                    <c:v>收入（万元）</c:v>
                  </c:pt>
                  <c:pt idx="3">
                    <c:v>支出（万元）</c:v>
                  </c:pt>
                </c:lvl>
                <c:lvl>
                  <c:pt idx="0">
                    <c:v>2023年</c:v>
                  </c:pt>
                  <c:pt idx="2">
                    <c:v>2022年</c:v>
                  </c:pt>
                </c:lvl>
                <c:lvl>
                  <c:pt idx="0">
                    <c:v>黄龙乡卫生院收、支决算总计变动表</c:v>
                  </c:pt>
                </c:lvl>
              </c:multiLvlStrCache>
            </c:multiLvlStrRef>
          </c:cat>
          <c:val>
            <c:numRef>
              <c:f>[表格.xlsx]Sheet1!$A$4:$D$4</c:f>
              <c:numCache>
                <c:formatCode>General</c:formatCode>
                <c:ptCount val="4"/>
                <c:pt idx="0">
                  <c:v>137.54</c:v>
                </c:pt>
                <c:pt idx="1">
                  <c:v>137.54</c:v>
                </c:pt>
                <c:pt idx="2">
                  <c:v>140.72</c:v>
                </c:pt>
                <c:pt idx="3">
                  <c:v>140.72</c:v>
                </c:pt>
              </c:numCache>
            </c:numRef>
          </c:val>
        </c:ser>
        <c:dLbls>
          <c:showLegendKey val="0"/>
          <c:showVal val="1"/>
          <c:showCatName val="0"/>
          <c:showSerName val="0"/>
          <c:showPercent val="0"/>
          <c:showBubbleSize val="0"/>
        </c:dLbls>
        <c:gapWidth val="75"/>
        <c:overlap val="40"/>
        <c:axId val="487621753"/>
        <c:axId val="714887441"/>
      </c:barChart>
      <c:catAx>
        <c:axId val="4876217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887441"/>
        <c:crosses val="autoZero"/>
        <c:auto val="1"/>
        <c:lblAlgn val="ctr"/>
        <c:lblOffset val="100"/>
        <c:noMultiLvlLbl val="0"/>
      </c:catAx>
      <c:valAx>
        <c:axId val="7148874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7621753"/>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黄龙乡卫生院收入决算结构图</a:t>
            </a:r>
          </a:p>
        </c:rich>
      </c:tx>
      <c:layout/>
      <c:overlay val="0"/>
      <c:spPr>
        <a:noFill/>
        <a:ln>
          <a:noFill/>
        </a:ln>
        <a:effectLst/>
      </c:spPr>
    </c:title>
    <c:autoTitleDeleted val="0"/>
    <c:plotArea>
      <c:layout/>
      <c:pieChart>
        <c:varyColors val="1"/>
        <c:ser>
          <c:idx val="0"/>
          <c:order val="0"/>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[表格.xlsx]Sheet1!$I$1:$J$3</c:f>
              <c:multiLvlStrCache>
                <c:ptCount val="3"/>
                <c:lvl>
                  <c:pt idx="1">
                    <c:v>133.88（万元）</c:v>
                  </c:pt>
                  <c:pt idx="2">
                    <c:v>3.66（万元）</c:v>
                  </c:pt>
                </c:lvl>
                <c:lvl>
                  <c:pt idx="0">
                    <c:v>白羊乡卫生院收入决算结构图</c:v>
                  </c:pt>
                  <c:pt idx="1">
                    <c:v>一般公共预算财政拨款</c:v>
                  </c:pt>
                  <c:pt idx="2">
                    <c:v>事业收入</c:v>
                  </c:pt>
                </c:lvl>
              </c:multiLvlStrCache>
            </c:multiLvlStrRef>
          </c:cat>
          <c:val>
            <c:numRef>
              <c:f>[表格.xlsx]Sheet1!$K$1:$K$3</c:f>
              <c:numCache>
                <c:formatCode>General</c:formatCode>
                <c:ptCount val="3"/>
                <c:pt idx="1" c:formatCode="0.00%">
                  <c:v>0.9734</c:v>
                </c:pt>
                <c:pt idx="2" c:formatCode="0.00%">
                  <c:v>0.0266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黄龙乡卫生院支出决算结构图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[表格.xlsx]Sheet1!$A$23:$B$25</c:f>
              <c:multiLvlStrCache>
                <c:ptCount val="3"/>
                <c:lvl>
                  <c:pt idx="1">
                    <c:v>119.54（万元）</c:v>
                  </c:pt>
                  <c:pt idx="2">
                    <c:v>18.00（万元）</c:v>
                  </c:pt>
                </c:lvl>
                <c:lvl>
                  <c:pt idx="0">
                    <c:v>白羊乡卫生院支出决算结构图</c:v>
                  </c:pt>
                  <c:pt idx="1">
                    <c:v>基本支出</c:v>
                  </c:pt>
                  <c:pt idx="2">
                    <c:v>项目支出</c:v>
                  </c:pt>
                </c:lvl>
              </c:multiLvlStrCache>
            </c:multiLvlStrRef>
          </c:cat>
          <c:val>
            <c:numRef>
              <c:f>[表格.xlsx]Sheet1!$C$23:$C$25</c:f>
              <c:numCache>
                <c:formatCode>General</c:formatCode>
                <c:ptCount val="3"/>
                <c:pt idx="1" c:formatCode="0.00%">
                  <c:v>0.8691</c:v>
                </c:pt>
                <c:pt idx="2" c:formatCode="0.00%">
                  <c:v>0.1309</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[表格.xlsx]Sheet1!$A$48:$B$48</c:f>
              <c:strCache>
                <c:ptCount val="2"/>
                <c:pt idx="0">
                  <c:v>2023年度</c:v>
                </c:pt>
                <c:pt idx="1">
                  <c:v>2022年度</c:v>
                </c:pt>
              </c:strCache>
            </c:strRef>
          </c:cat>
          <c:val>
            <c:numRef>
              <c:f>[表格.xlsx]Sheet1!$A$49:$B$49</c:f>
              <c:numCache>
                <c:formatCode>General</c:formatCode>
                <c:ptCount val="2"/>
                <c:pt idx="0">
                  <c:v>133.88</c:v>
                </c:pt>
                <c:pt idx="1">
                  <c:v>140.72</c:v>
                </c:pt>
              </c:numCache>
            </c:numRef>
          </c:val>
        </c:ser>
        <c:dLbls>
          <c:showLegendKey val="0"/>
          <c:showVal val="0"/>
          <c:showCatName val="0"/>
          <c:showSerName val="0"/>
          <c:showPercent val="0"/>
          <c:showBubbleSize val="0"/>
        </c:dLbls>
        <c:gapWidth val="150"/>
        <c:overlap val="0"/>
        <c:axId val="283194300"/>
        <c:axId val="407591164"/>
      </c:barChart>
      <c:catAx>
        <c:axId val="2831943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7591164"/>
        <c:crosses val="autoZero"/>
        <c:auto val="1"/>
        <c:lblAlgn val="ctr"/>
        <c:lblOffset val="100"/>
        <c:noMultiLvlLbl val="0"/>
      </c:catAx>
      <c:valAx>
        <c:axId val="407591164"/>
        <c:scaling>
          <c:orientation val="minMax"/>
        </c:scaling>
        <c:delete val="0"/>
        <c:axPos val="l"/>
        <c:majorGridlines>
          <c:spPr>
            <a:ln w="9525" cap="flat" cmpd="sng" algn="ctr">
              <a:solidFill>
                <a:schemeClr val="tx1">
                  <a:lumMod val="15000"/>
                  <a:lumOff val="85000"/>
                </a:schemeClr>
              </a:solidFill>
              <a:round/>
            </a:ln>
            <a:effectLst/>
          </c:spPr>
        </c:majorGridlines>
        <c:title>
          <c:layout/>
          <c:overlay val="0"/>
          <c:spPr>
            <a:noFill/>
            <a:ln>
              <a:noFill/>
            </a:ln>
            <a:effectLst/>
          </c:spPr>
          <c:txPr>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19430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manualLayout>
          <c:layoutTarget val="inner"/>
          <c:xMode val="edge"/>
          <c:yMode val="edge"/>
          <c:x val="0.0727222222222222"/>
          <c:y val="0.176388888888889"/>
          <c:w val="0.894638888888889"/>
          <c:h val="0.5575"/>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[表格.xlsx]Sheet1!$I$48:$J$50</c:f>
              <c:multiLvlStrCache>
                <c:ptCount val="2"/>
                <c:lvl>
                  <c:pt idx="0">
                    <c:v>2022年度</c:v>
                  </c:pt>
                  <c:pt idx="1">
                    <c:v>2023年度</c:v>
                  </c:pt>
                </c:lvl>
                <c:lvl>
                  <c:pt idx="0">
                    <c:v>单位：万元</c:v>
                  </c:pt>
                </c:lvl>
                <c:lvl>
                  <c:pt idx="0">
                    <c:v>一般公共预算财政拨款支出</c:v>
                  </c:pt>
                </c:lvl>
              </c:multiLvlStrCache>
            </c:multiLvlStrRef>
          </c:cat>
          <c:val>
            <c:numRef>
              <c:f>[表格.xlsx]Sheet1!$I$51:$J$51</c:f>
              <c:numCache>
                <c:formatCode>General</c:formatCode>
                <c:ptCount val="2"/>
                <c:pt idx="0">
                  <c:v>140.72</c:v>
                </c:pt>
                <c:pt idx="1">
                  <c:v>133.88</c:v>
                </c:pt>
              </c:numCache>
            </c:numRef>
          </c:val>
        </c:ser>
        <c:dLbls>
          <c:showLegendKey val="0"/>
          <c:showVal val="1"/>
          <c:showCatName val="0"/>
          <c:showSerName val="0"/>
          <c:showPercent val="0"/>
          <c:showBubbleSize val="0"/>
        </c:dLbls>
        <c:gapWidth val="219"/>
        <c:overlap val="-27"/>
        <c:axId val="516245179"/>
        <c:axId val="968541103"/>
      </c:barChart>
      <c:catAx>
        <c:axId val="51624517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8541103"/>
        <c:crosses val="autoZero"/>
        <c:auto val="1"/>
        <c:lblAlgn val="ctr"/>
        <c:lblOffset val="100"/>
        <c:noMultiLvlLbl val="0"/>
      </c:catAx>
      <c:valAx>
        <c:axId val="9685411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162451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Pt>
            <c:idx val="2"/>
            <c:bubble3D val="0"/>
            <c:spPr>
              <a:solidFill>
                <a:schemeClr val="accent3"/>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[表格.xlsx]Sheet1!$A$72:$C$72</c:f>
              <c:strCache>
                <c:ptCount val="3"/>
                <c:pt idx="0">
                  <c:v>社会保障和就业支出</c:v>
                </c:pt>
                <c:pt idx="1">
                  <c:v>卫生健康支出</c:v>
                </c:pt>
                <c:pt idx="2">
                  <c:v>住房保障支出</c:v>
                </c:pt>
              </c:strCache>
            </c:strRef>
          </c:cat>
          <c:val>
            <c:numRef>
              <c:f>[表格.xlsx]Sheet1!$A$73:$C$73</c:f>
              <c:numCache>
                <c:formatCode>General</c:formatCode>
                <c:ptCount val="3"/>
                <c:pt idx="0">
                  <c:v>17.37</c:v>
                </c:pt>
                <c:pt idx="1">
                  <c:v>107.94</c:v>
                </c:pt>
                <c:pt idx="2">
                  <c:v>8.58</c:v>
                </c:pt>
              </c:numCache>
            </c:numRef>
          </c:val>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黄龙乡卫生院“三公”经费财政拨款支出结构图</a:t>
            </a:r>
          </a:p>
        </c:rich>
      </c:tx>
      <c:layout>
        <c:manualLayout>
          <c:xMode val="edge"/>
          <c:yMode val="edge"/>
          <c:x val="0.114444444444444"/>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[表格.xlsx]Sheet1!$I$22:$J$25</c:f>
              <c:multiLvlStrCache>
                <c:ptCount val="4"/>
                <c:lvl>
                  <c:pt idx="1">
                    <c:v>0万元</c:v>
                  </c:pt>
                  <c:pt idx="2">
                    <c:v>0万元</c:v>
                  </c:pt>
                  <c:pt idx="3">
                    <c:v>0万元</c:v>
                  </c:pt>
                </c:lvl>
                <c:lvl>
                  <c:pt idx="0">
                    <c:v>小河镇中心卫生院“三公”经费财政拨款支出结构图</c:v>
                  </c:pt>
                  <c:pt idx="1">
                    <c:v>因公出国（境）费</c:v>
                  </c:pt>
                  <c:pt idx="2">
                    <c:v>公务用车购置及运行维护费</c:v>
                  </c:pt>
                  <c:pt idx="3">
                    <c:v>公务接待费</c:v>
                  </c:pt>
                </c:lvl>
              </c:multiLvlStrCache>
            </c:multiLvlStrRef>
          </c:cat>
          <c:val>
            <c:numRef>
              <c:f>[表格.xlsx]Sheet1!$K$22:$K$25</c:f>
              <c:numCache>
                <c:formatCode>General</c:formatCode>
                <c:ptCount val="4"/>
                <c:pt idx="1" c:formatCode="0%">
                  <c:v>0</c:v>
                </c:pt>
                <c:pt idx="2" c:formatCode="0%">
                  <c:v>0</c:v>
                </c:pt>
                <c:pt idx="3" c:formatCode="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26</Pages>
  <Words>8572</Words>
  <Characters>9418</Characters>
  <Lines>54</Lines>
  <Paragraphs>15</Paragraphs>
  <TotalTime>6</TotalTime>
  <ScaleCrop>false</ScaleCrop>
  <LinksUpToDate>false</LinksUpToDate>
  <CharactersWithSpaces>9585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2023-08-03T02:35:00Z</cp:lastPrinted>
  <dcterms:modified xsi:type="dcterms:W3CDTF">2024-09-23T08:52:12Z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8A7C6FB08E8442DC8A4B3C07436931F6_12</vt:lpwstr>
  </property>
</Properties>
</file>