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52772">
      <w:pPr>
        <w:spacing w:line="600" w:lineRule="exact"/>
        <w:jc w:val="left"/>
        <w:outlineLvl w:val="9"/>
        <w:rPr>
          <w:rFonts w:ascii="方正小标宋简体" w:hAnsi="宋体" w:eastAsia="方正小标宋简体"/>
          <w:szCs w:val="21"/>
        </w:rPr>
      </w:pPr>
      <w:bookmarkStart w:id="0" w:name="_Toc15306267"/>
    </w:p>
    <w:p w14:paraId="3C1E8568">
      <w:pPr>
        <w:pStyle w:val="6"/>
        <w:spacing w:before="93"/>
      </w:pPr>
    </w:p>
    <w:p w14:paraId="3FAF1259">
      <w:pPr>
        <w:spacing w:line="600" w:lineRule="exact"/>
        <w:jc w:val="center"/>
        <w:outlineLvl w:val="9"/>
        <w:rPr>
          <w:rFonts w:ascii="方正小标宋简体" w:hAnsi="宋体" w:eastAsia="方正小标宋简体"/>
          <w:sz w:val="72"/>
          <w:szCs w:val="72"/>
        </w:rPr>
      </w:pPr>
    </w:p>
    <w:p w14:paraId="544060AC">
      <w:pPr>
        <w:spacing w:line="600" w:lineRule="exact"/>
        <w:jc w:val="center"/>
        <w:outlineLvl w:val="9"/>
        <w:rPr>
          <w:rFonts w:ascii="方正小标宋简体" w:hAnsi="宋体" w:eastAsia="方正小标宋简体"/>
          <w:sz w:val="72"/>
          <w:szCs w:val="72"/>
        </w:rPr>
      </w:pPr>
    </w:p>
    <w:p w14:paraId="06FE48CC">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96597"/>
      <w:bookmarkStart w:id="2" w:name="_Toc32266"/>
      <w:bookmarkStart w:id="3" w:name="_Toc15377193"/>
      <w:bookmarkStart w:id="4" w:name="_Toc15396475"/>
      <w:bookmarkStart w:id="5" w:name="_Toc15377425"/>
      <w:bookmarkStart w:id="6" w:name="_Toc15378441"/>
      <w:bookmarkStart w:id="7" w:name="_Toc25980"/>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bookmarkEnd w:id="6"/>
      <w:bookmarkEnd w:id="7"/>
    </w:p>
    <w:p w14:paraId="757B1B43">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val="en-US" w:eastAsia="zh-CN"/>
        </w:rPr>
      </w:pPr>
      <w:bookmarkStart w:id="8" w:name="_Toc15377426"/>
      <w:bookmarkStart w:id="9" w:name="_Toc15396598"/>
      <w:bookmarkStart w:id="10" w:name="_Toc15396476"/>
      <w:bookmarkStart w:id="11" w:name="_Toc15377194"/>
      <w:bookmarkStart w:id="12" w:name="_Toc15378442"/>
      <w:bookmarkStart w:id="13" w:name="_Toc15476"/>
      <w:bookmarkStart w:id="14" w:name="_Toc562"/>
      <w:r>
        <w:rPr>
          <w:rFonts w:hint="eastAsia" w:ascii="方正小标宋简体" w:hAnsi="方正小标宋简体" w:eastAsia="方正小标宋简体" w:cs="方正小标宋简体"/>
          <w:sz w:val="72"/>
          <w:szCs w:val="72"/>
        </w:rPr>
        <w:t>四川省</w:t>
      </w:r>
      <w:bookmarkEnd w:id="0"/>
      <w:bookmarkStart w:id="15" w:name="_Toc15306268"/>
      <w:r>
        <w:rPr>
          <w:rFonts w:hint="eastAsia" w:ascii="方正小标宋简体" w:hAnsi="方正小标宋简体" w:eastAsia="方正小标宋简体" w:cs="方正小标宋简体"/>
          <w:sz w:val="72"/>
          <w:szCs w:val="72"/>
          <w:lang w:val="en-US" w:eastAsia="zh-CN"/>
        </w:rPr>
        <w:t>镇江关镇中心卫生院</w:t>
      </w:r>
      <w:r>
        <w:rPr>
          <w:rFonts w:hint="eastAsia" w:ascii="方正小标宋简体" w:hAnsi="方正小标宋简体" w:eastAsia="方正小标宋简体" w:cs="方正小标宋简体"/>
          <w:sz w:val="72"/>
          <w:szCs w:val="72"/>
        </w:rPr>
        <w:t>单位决算</w:t>
      </w:r>
      <w:bookmarkEnd w:id="8"/>
      <w:bookmarkEnd w:id="9"/>
      <w:bookmarkEnd w:id="10"/>
      <w:bookmarkEnd w:id="11"/>
      <w:bookmarkEnd w:id="12"/>
      <w:bookmarkEnd w:id="15"/>
      <w:r>
        <w:rPr>
          <w:rFonts w:hint="eastAsia" w:ascii="方正小标宋简体" w:hAnsi="方正小标宋简体" w:eastAsia="方正小标宋简体" w:cs="方正小标宋简体"/>
          <w:sz w:val="72"/>
          <w:szCs w:val="72"/>
          <w:lang w:val="en-US" w:eastAsia="zh-CN"/>
        </w:rPr>
        <w:t>公开</w:t>
      </w:r>
      <w:bookmarkEnd w:id="13"/>
      <w:bookmarkEnd w:id="14"/>
    </w:p>
    <w:p w14:paraId="63C586CE">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14:paraId="3E8B937C">
      <w:pPr>
        <w:widowControl/>
        <w:jc w:val="center"/>
        <w:rPr>
          <w:rFonts w:ascii="黑体" w:hAnsi="黑体" w:eastAsia="黑体" w:cstheme="minorBidi"/>
          <w:sz w:val="28"/>
          <w:szCs w:val="28"/>
        </w:rPr>
      </w:pPr>
    </w:p>
    <w:p w14:paraId="0E79539D">
      <w:pPr>
        <w:pStyle w:val="12"/>
      </w:pPr>
      <w:r>
        <w:rPr>
          <w:rFonts w:hint="eastAsia"/>
        </w:rPr>
        <w:t>公开时间：202</w:t>
      </w:r>
      <w:r>
        <w:rPr>
          <w:rFonts w:hint="eastAsia"/>
          <w:lang w:val="en-US" w:eastAsia="zh-CN"/>
        </w:rPr>
        <w:t>4</w:t>
      </w:r>
      <w:r>
        <w:rPr>
          <w:rFonts w:hint="eastAsia"/>
        </w:rPr>
        <w:t>年9月</w:t>
      </w:r>
      <w:r>
        <w:rPr>
          <w:rFonts w:hint="eastAsia"/>
          <w:lang w:val="en-US" w:eastAsia="zh-CN"/>
        </w:rPr>
        <w:t>19</w:t>
      </w:r>
      <w:r>
        <w:rPr>
          <w:rFonts w:hint="eastAsia"/>
        </w:rPr>
        <w:t>日</w:t>
      </w:r>
    </w:p>
    <w:p w14:paraId="78EE331A"/>
    <w:sdt>
      <w:sdtPr>
        <w:rPr>
          <w:rFonts w:ascii="宋体" w:hAnsi="宋体" w:eastAsia="宋体" w:cs="Times New Roman"/>
          <w:kern w:val="2"/>
          <w:sz w:val="21"/>
          <w:szCs w:val="24"/>
          <w:lang w:val="en-US" w:eastAsia="zh-CN" w:bidi="ar-SA"/>
        </w:rPr>
        <w:id w:val="147478875"/>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14:paraId="2FFC955C">
          <w:pPr>
            <w:spacing w:before="0" w:beforeLines="0" w:after="0" w:afterLines="0" w:line="240" w:lineRule="auto"/>
            <w:ind w:left="0" w:leftChars="0" w:right="0" w:rightChars="0" w:firstLine="0" w:firstLineChars="0"/>
            <w:jc w:val="center"/>
          </w:pPr>
        </w:p>
        <w:p w14:paraId="7A067863">
          <w:pPr>
            <w:pStyle w:val="12"/>
            <w:tabs>
              <w:tab w:val="right" w:leader="dot" w:pos="8306"/>
              <w:tab w:val="clear" w:pos="8296"/>
            </w:tabs>
          </w:pPr>
          <w:r>
            <w:fldChar w:fldCharType="begin"/>
          </w:r>
          <w:r>
            <w:instrText xml:space="preserve">TOC \o "1-3" \h \u </w:instrText>
          </w:r>
          <w:r>
            <w:fldChar w:fldCharType="separate"/>
          </w:r>
          <w:r>
            <w:fldChar w:fldCharType="begin"/>
          </w:r>
          <w:r>
            <w:instrText xml:space="preserve"> HYPERLINK \l _Toc157 </w:instrText>
          </w:r>
          <w:r>
            <w:fldChar w:fldCharType="separate"/>
          </w:r>
          <w:r>
            <w:rPr>
              <w:rFonts w:hint="eastAsia" w:ascii="黑体" w:hAnsi="黑体" w:eastAsia="黑体"/>
            </w:rPr>
            <w:t>第一部分 单位</w:t>
          </w:r>
          <w:r>
            <w:rPr>
              <w:rFonts w:hint="eastAsia" w:ascii="黑体" w:hAnsi="黑体" w:eastAsia="黑体"/>
              <w:bCs w:val="0"/>
            </w:rPr>
            <w:t>概况</w:t>
          </w:r>
          <w:r>
            <w:tab/>
          </w:r>
          <w:r>
            <w:fldChar w:fldCharType="begin"/>
          </w:r>
          <w:r>
            <w:instrText xml:space="preserve"> PAGEREF _Toc157 \h </w:instrText>
          </w:r>
          <w:r>
            <w:fldChar w:fldCharType="separate"/>
          </w:r>
          <w:r>
            <w:t>4</w:t>
          </w:r>
          <w:r>
            <w:fldChar w:fldCharType="end"/>
          </w:r>
          <w:r>
            <w:fldChar w:fldCharType="end"/>
          </w:r>
        </w:p>
        <w:p w14:paraId="4C12B130">
          <w:pPr>
            <w:pStyle w:val="13"/>
            <w:tabs>
              <w:tab w:val="right" w:leader="dot" w:pos="8306"/>
              <w:tab w:val="clear" w:pos="8296"/>
            </w:tabs>
          </w:pPr>
          <w:r>
            <w:fldChar w:fldCharType="begin"/>
          </w:r>
          <w:r>
            <w:instrText xml:space="preserve"> HYPERLINK \l _Toc29025 </w:instrText>
          </w:r>
          <w:r>
            <w:fldChar w:fldCharType="separate"/>
          </w:r>
          <w:r>
            <w:rPr>
              <w:rFonts w:hint="eastAsia" w:ascii="黑体" w:hAnsi="黑体" w:eastAsia="黑体"/>
              <w:bCs w:val="0"/>
            </w:rPr>
            <w:t>一、 主要职责</w:t>
          </w:r>
          <w:r>
            <w:tab/>
          </w:r>
          <w:r>
            <w:fldChar w:fldCharType="begin"/>
          </w:r>
          <w:r>
            <w:instrText xml:space="preserve"> PAGEREF _Toc29025 \h </w:instrText>
          </w:r>
          <w:r>
            <w:fldChar w:fldCharType="separate"/>
          </w:r>
          <w:r>
            <w:t>4</w:t>
          </w:r>
          <w:r>
            <w:fldChar w:fldCharType="end"/>
          </w:r>
          <w:r>
            <w:fldChar w:fldCharType="end"/>
          </w:r>
        </w:p>
        <w:p w14:paraId="78A8C86A">
          <w:pPr>
            <w:pStyle w:val="13"/>
            <w:tabs>
              <w:tab w:val="right" w:leader="dot" w:pos="8306"/>
              <w:tab w:val="clear" w:pos="8296"/>
            </w:tabs>
          </w:pPr>
          <w:r>
            <w:fldChar w:fldCharType="begin"/>
          </w:r>
          <w:r>
            <w:instrText xml:space="preserve"> HYPERLINK \l _Toc24059 </w:instrText>
          </w:r>
          <w:r>
            <w:fldChar w:fldCharType="separate"/>
          </w:r>
          <w:r>
            <w:rPr>
              <w:rFonts w:hint="eastAsia" w:ascii="仿宋_GB2312" w:hAnsi="仿宋_GB2312" w:eastAsia="仿宋_GB2312" w:cs="仿宋_GB2312"/>
              <w:szCs w:val="32"/>
              <w:lang w:val="en-US"/>
            </w:rPr>
            <w:t xml:space="preserve">二、 </w:t>
          </w:r>
          <w:r>
            <w:rPr>
              <w:rFonts w:hint="eastAsia" w:ascii="黑体" w:hAnsi="黑体" w:eastAsia="黑体"/>
            </w:rPr>
            <w:t>机构设置</w:t>
          </w:r>
          <w:r>
            <w:tab/>
          </w:r>
          <w:r>
            <w:fldChar w:fldCharType="begin"/>
          </w:r>
          <w:r>
            <w:instrText xml:space="preserve"> PAGEREF _Toc24059 \h </w:instrText>
          </w:r>
          <w:r>
            <w:fldChar w:fldCharType="separate"/>
          </w:r>
          <w:r>
            <w:t>5</w:t>
          </w:r>
          <w:r>
            <w:fldChar w:fldCharType="end"/>
          </w:r>
          <w:r>
            <w:fldChar w:fldCharType="end"/>
          </w:r>
        </w:p>
        <w:p w14:paraId="05980685">
          <w:pPr>
            <w:pStyle w:val="12"/>
            <w:tabs>
              <w:tab w:val="right" w:leader="dot" w:pos="8306"/>
              <w:tab w:val="clear" w:pos="8296"/>
            </w:tabs>
          </w:pPr>
          <w:r>
            <w:fldChar w:fldCharType="begin"/>
          </w:r>
          <w:r>
            <w:instrText xml:space="preserve"> HYPERLINK \l _Toc4785 </w:instrText>
          </w:r>
          <w:r>
            <w:fldChar w:fldCharType="separate"/>
          </w:r>
          <w:r>
            <w:rPr>
              <w:rFonts w:hint="eastAsia" w:ascii="黑体" w:hAnsi="黑体" w:eastAsia="黑体"/>
            </w:rPr>
            <w:t>第二部分 2023年度</w:t>
          </w:r>
          <w:r>
            <w:rPr>
              <w:rFonts w:hint="eastAsia" w:ascii="黑体" w:hAnsi="黑体" w:eastAsia="黑体"/>
              <w:bCs/>
            </w:rPr>
            <w:t>单位决算情况说明</w:t>
          </w:r>
          <w:r>
            <w:tab/>
          </w:r>
          <w:r>
            <w:fldChar w:fldCharType="begin"/>
          </w:r>
          <w:r>
            <w:instrText xml:space="preserve"> PAGEREF _Toc4785 \h </w:instrText>
          </w:r>
          <w:r>
            <w:fldChar w:fldCharType="separate"/>
          </w:r>
          <w:r>
            <w:t>5</w:t>
          </w:r>
          <w:r>
            <w:fldChar w:fldCharType="end"/>
          </w:r>
          <w:r>
            <w:fldChar w:fldCharType="end"/>
          </w:r>
        </w:p>
        <w:p w14:paraId="28A5CD2D">
          <w:pPr>
            <w:pStyle w:val="13"/>
            <w:tabs>
              <w:tab w:val="right" w:leader="dot" w:pos="8306"/>
              <w:tab w:val="clear" w:pos="8296"/>
            </w:tabs>
          </w:pPr>
          <w:r>
            <w:fldChar w:fldCharType="begin"/>
          </w:r>
          <w:r>
            <w:instrText xml:space="preserve"> HYPERLINK \l _Toc8049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_Toc8049 \h </w:instrText>
          </w:r>
          <w:r>
            <w:fldChar w:fldCharType="separate"/>
          </w:r>
          <w:r>
            <w:t>5</w:t>
          </w:r>
          <w:r>
            <w:fldChar w:fldCharType="end"/>
          </w:r>
          <w:r>
            <w:fldChar w:fldCharType="end"/>
          </w:r>
        </w:p>
        <w:p w14:paraId="709E088B">
          <w:pPr>
            <w:pStyle w:val="13"/>
            <w:tabs>
              <w:tab w:val="right" w:leader="dot" w:pos="8306"/>
              <w:tab w:val="clear" w:pos="8296"/>
            </w:tabs>
          </w:pPr>
          <w:r>
            <w:fldChar w:fldCharType="begin"/>
          </w:r>
          <w:r>
            <w:instrText xml:space="preserve"> HYPERLINK \l _Toc26931 </w:instrText>
          </w:r>
          <w: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_Toc26931 \h </w:instrText>
          </w:r>
          <w:r>
            <w:fldChar w:fldCharType="separate"/>
          </w:r>
          <w:r>
            <w:t>6</w:t>
          </w:r>
          <w:r>
            <w:fldChar w:fldCharType="end"/>
          </w:r>
          <w:r>
            <w:fldChar w:fldCharType="end"/>
          </w:r>
        </w:p>
        <w:p w14:paraId="79D1D89F">
          <w:pPr>
            <w:pStyle w:val="13"/>
            <w:tabs>
              <w:tab w:val="right" w:leader="dot" w:pos="8306"/>
              <w:tab w:val="clear" w:pos="8296"/>
            </w:tabs>
          </w:pPr>
          <w:r>
            <w:fldChar w:fldCharType="begin"/>
          </w:r>
          <w:r>
            <w:instrText xml:space="preserve"> HYPERLINK \l _Toc1128 </w:instrText>
          </w:r>
          <w: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_Toc1128 \h </w:instrText>
          </w:r>
          <w:r>
            <w:fldChar w:fldCharType="separate"/>
          </w:r>
          <w:r>
            <w:t>6</w:t>
          </w:r>
          <w:r>
            <w:fldChar w:fldCharType="end"/>
          </w:r>
          <w:r>
            <w:fldChar w:fldCharType="end"/>
          </w:r>
        </w:p>
        <w:p w14:paraId="3C759840">
          <w:pPr>
            <w:pStyle w:val="13"/>
            <w:tabs>
              <w:tab w:val="right" w:leader="dot" w:pos="8306"/>
              <w:tab w:val="clear" w:pos="8296"/>
            </w:tabs>
          </w:pPr>
          <w:r>
            <w:fldChar w:fldCharType="begin"/>
          </w:r>
          <w:r>
            <w:instrText xml:space="preserve"> HYPERLINK \l _Toc9061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_Toc9061 \h </w:instrText>
          </w:r>
          <w:r>
            <w:fldChar w:fldCharType="separate"/>
          </w:r>
          <w:r>
            <w:t>7</w:t>
          </w:r>
          <w:r>
            <w:fldChar w:fldCharType="end"/>
          </w:r>
          <w:r>
            <w:fldChar w:fldCharType="end"/>
          </w:r>
        </w:p>
        <w:p w14:paraId="394FE9A6">
          <w:pPr>
            <w:pStyle w:val="13"/>
            <w:tabs>
              <w:tab w:val="right" w:leader="dot" w:pos="8306"/>
              <w:tab w:val="clear" w:pos="8296"/>
            </w:tabs>
          </w:pPr>
          <w:r>
            <w:fldChar w:fldCharType="begin"/>
          </w:r>
          <w:r>
            <w:instrText xml:space="preserve"> HYPERLINK \l _Toc18804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_Toc18804 \h </w:instrText>
          </w:r>
          <w:r>
            <w:fldChar w:fldCharType="separate"/>
          </w:r>
          <w:r>
            <w:t>8</w:t>
          </w:r>
          <w:r>
            <w:fldChar w:fldCharType="end"/>
          </w:r>
          <w:r>
            <w:fldChar w:fldCharType="end"/>
          </w:r>
        </w:p>
        <w:p w14:paraId="065F4540">
          <w:pPr>
            <w:pStyle w:val="8"/>
            <w:tabs>
              <w:tab w:val="right" w:leader="dot" w:pos="8306"/>
              <w:tab w:val="clear" w:pos="8296"/>
            </w:tabs>
          </w:pPr>
          <w:r>
            <w:fldChar w:fldCharType="begin"/>
          </w:r>
          <w:r>
            <w:instrText xml:space="preserve"> HYPERLINK \l _Toc28209 </w:instrText>
          </w:r>
          <w:r>
            <w:fldChar w:fldCharType="separate"/>
          </w:r>
          <w:r>
            <w:rPr>
              <w:rFonts w:hint="eastAsia" w:ascii="仿宋" w:hAnsi="仿宋" w:eastAsia="仿宋"/>
              <w:szCs w:val="32"/>
            </w:rPr>
            <w:t>（一）一般公共预算财政拨款支出决算总体情况</w:t>
          </w:r>
          <w:r>
            <w:tab/>
          </w:r>
          <w:r>
            <w:fldChar w:fldCharType="begin"/>
          </w:r>
          <w:r>
            <w:instrText xml:space="preserve"> PAGEREF _Toc28209 \h </w:instrText>
          </w:r>
          <w:r>
            <w:fldChar w:fldCharType="separate"/>
          </w:r>
          <w:r>
            <w:t>8</w:t>
          </w:r>
          <w:r>
            <w:fldChar w:fldCharType="end"/>
          </w:r>
          <w:r>
            <w:fldChar w:fldCharType="end"/>
          </w:r>
        </w:p>
        <w:p w14:paraId="58CC409E">
          <w:pPr>
            <w:pStyle w:val="8"/>
            <w:tabs>
              <w:tab w:val="right" w:leader="dot" w:pos="8306"/>
              <w:tab w:val="clear" w:pos="8296"/>
            </w:tabs>
          </w:pPr>
          <w:r>
            <w:fldChar w:fldCharType="begin"/>
          </w:r>
          <w:r>
            <w:instrText xml:space="preserve"> HYPERLINK \l _Toc19372 </w:instrText>
          </w:r>
          <w:r>
            <w:fldChar w:fldCharType="separate"/>
          </w:r>
          <w:r>
            <w:rPr>
              <w:rFonts w:hint="eastAsia" w:ascii="仿宋" w:hAnsi="仿宋" w:eastAsia="仿宋"/>
              <w:szCs w:val="32"/>
            </w:rPr>
            <w:t>（二）一般公共预算财政拨款支出决算结构情况</w:t>
          </w:r>
          <w:r>
            <w:tab/>
          </w:r>
          <w:r>
            <w:fldChar w:fldCharType="begin"/>
          </w:r>
          <w:r>
            <w:instrText xml:space="preserve"> PAGEREF _Toc19372 \h </w:instrText>
          </w:r>
          <w:r>
            <w:fldChar w:fldCharType="separate"/>
          </w:r>
          <w:r>
            <w:t>8</w:t>
          </w:r>
          <w:r>
            <w:fldChar w:fldCharType="end"/>
          </w:r>
          <w:r>
            <w:fldChar w:fldCharType="end"/>
          </w:r>
        </w:p>
        <w:p w14:paraId="4A52BF8B">
          <w:pPr>
            <w:pStyle w:val="8"/>
            <w:tabs>
              <w:tab w:val="right" w:leader="dot" w:pos="8306"/>
              <w:tab w:val="clear" w:pos="8296"/>
            </w:tabs>
          </w:pPr>
          <w:r>
            <w:fldChar w:fldCharType="begin"/>
          </w:r>
          <w:r>
            <w:instrText xml:space="preserve"> HYPERLINK \l _Toc24272 </w:instrText>
          </w:r>
          <w:r>
            <w:fldChar w:fldCharType="separate"/>
          </w:r>
          <w:r>
            <w:rPr>
              <w:rFonts w:hint="eastAsia" w:ascii="仿宋" w:hAnsi="仿宋" w:eastAsia="仿宋"/>
              <w:szCs w:val="32"/>
            </w:rPr>
            <w:t>（三）一般公共预算财政拨款支出决算具体情况</w:t>
          </w:r>
          <w:r>
            <w:tab/>
          </w:r>
          <w:r>
            <w:fldChar w:fldCharType="begin"/>
          </w:r>
          <w:r>
            <w:instrText xml:space="preserve"> PAGEREF _Toc24272 \h </w:instrText>
          </w:r>
          <w:r>
            <w:fldChar w:fldCharType="separate"/>
          </w:r>
          <w:r>
            <w:t>9</w:t>
          </w:r>
          <w:r>
            <w:fldChar w:fldCharType="end"/>
          </w:r>
          <w:r>
            <w:fldChar w:fldCharType="end"/>
          </w:r>
        </w:p>
        <w:p w14:paraId="38D9B5FC">
          <w:pPr>
            <w:pStyle w:val="13"/>
            <w:tabs>
              <w:tab w:val="right" w:leader="dot" w:pos="8306"/>
              <w:tab w:val="clear" w:pos="8296"/>
            </w:tabs>
          </w:pPr>
          <w:r>
            <w:fldChar w:fldCharType="begin"/>
          </w:r>
          <w:r>
            <w:instrText xml:space="preserve"> HYPERLINK \l _Toc13977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_Toc13977 \h </w:instrText>
          </w:r>
          <w:r>
            <w:fldChar w:fldCharType="separate"/>
          </w:r>
          <w:r>
            <w:t>10</w:t>
          </w:r>
          <w:r>
            <w:fldChar w:fldCharType="end"/>
          </w:r>
          <w:r>
            <w:fldChar w:fldCharType="end"/>
          </w:r>
        </w:p>
        <w:p w14:paraId="67767E3C">
          <w:pPr>
            <w:pStyle w:val="13"/>
            <w:tabs>
              <w:tab w:val="right" w:leader="dot" w:pos="8306"/>
              <w:tab w:val="clear" w:pos="8296"/>
            </w:tabs>
          </w:pPr>
          <w:r>
            <w:fldChar w:fldCharType="begin"/>
          </w:r>
          <w:r>
            <w:instrText xml:space="preserve"> HYPERLINK \l _Toc32723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_Toc32723 \h </w:instrText>
          </w:r>
          <w:r>
            <w:fldChar w:fldCharType="separate"/>
          </w:r>
          <w:r>
            <w:t>10</w:t>
          </w:r>
          <w:r>
            <w:fldChar w:fldCharType="end"/>
          </w:r>
          <w:r>
            <w:fldChar w:fldCharType="end"/>
          </w:r>
        </w:p>
        <w:p w14:paraId="65C4B9F2">
          <w:pPr>
            <w:pStyle w:val="13"/>
            <w:tabs>
              <w:tab w:val="right" w:leader="dot" w:pos="8306"/>
              <w:tab w:val="clear" w:pos="8296"/>
            </w:tabs>
          </w:pPr>
          <w:r>
            <w:fldChar w:fldCharType="begin"/>
          </w:r>
          <w:r>
            <w:instrText xml:space="preserve"> HYPERLINK \l _Toc13707 </w:instrText>
          </w:r>
          <w:r>
            <w:fldChar w:fldCharType="separate"/>
          </w:r>
          <w:r>
            <w:rPr>
              <w:rFonts w:hint="eastAsia" w:ascii="黑体" w:eastAsia="黑体"/>
              <w:kern w:val="21"/>
              <w:szCs w:val="32"/>
            </w:rPr>
            <w:t>八、</w:t>
          </w:r>
          <w:r>
            <w:rPr>
              <w:rFonts w:hint="eastAsia" w:ascii="黑体" w:hAnsi="黑体" w:eastAsia="黑体"/>
              <w:kern w:val="21"/>
            </w:rPr>
            <w:t>政府性基金预算支出决算情况说明</w:t>
          </w:r>
          <w:r>
            <w:tab/>
          </w:r>
          <w:r>
            <w:fldChar w:fldCharType="begin"/>
          </w:r>
          <w:r>
            <w:instrText xml:space="preserve"> PAGEREF _Toc13707 \h </w:instrText>
          </w:r>
          <w:r>
            <w:fldChar w:fldCharType="separate"/>
          </w:r>
          <w:r>
            <w:t>12</w:t>
          </w:r>
          <w:r>
            <w:fldChar w:fldCharType="end"/>
          </w:r>
          <w:r>
            <w:fldChar w:fldCharType="end"/>
          </w:r>
        </w:p>
        <w:p w14:paraId="646E5739">
          <w:pPr>
            <w:pStyle w:val="13"/>
            <w:tabs>
              <w:tab w:val="right" w:leader="dot" w:pos="8306"/>
              <w:tab w:val="clear" w:pos="8296"/>
            </w:tabs>
          </w:pPr>
          <w:r>
            <w:fldChar w:fldCharType="begin"/>
          </w:r>
          <w:r>
            <w:instrText xml:space="preserve"> HYPERLINK \l _Toc7819 </w:instrText>
          </w:r>
          <w:r>
            <w:fldChar w:fldCharType="separate"/>
          </w:r>
          <w:r>
            <w:rPr>
              <w:rFonts w:hint="eastAsia" w:ascii="黑体" w:hAnsi="黑体" w:eastAsia="黑体"/>
              <w:kern w:val="21"/>
            </w:rPr>
            <w:t>九、 国有资本经营预算支出决算情况说明</w:t>
          </w:r>
          <w:r>
            <w:tab/>
          </w:r>
          <w:r>
            <w:fldChar w:fldCharType="begin"/>
          </w:r>
          <w:r>
            <w:instrText xml:space="preserve"> PAGEREF _Toc7819 \h </w:instrText>
          </w:r>
          <w:r>
            <w:fldChar w:fldCharType="separate"/>
          </w:r>
          <w:r>
            <w:t>12</w:t>
          </w:r>
          <w:r>
            <w:fldChar w:fldCharType="end"/>
          </w:r>
          <w:r>
            <w:fldChar w:fldCharType="end"/>
          </w:r>
        </w:p>
        <w:p w14:paraId="5D15184C">
          <w:pPr>
            <w:pStyle w:val="13"/>
            <w:tabs>
              <w:tab w:val="right" w:leader="dot" w:pos="8306"/>
              <w:tab w:val="clear" w:pos="8296"/>
            </w:tabs>
          </w:pPr>
          <w:r>
            <w:fldChar w:fldCharType="begin"/>
          </w:r>
          <w:r>
            <w:instrText xml:space="preserve"> HYPERLINK \l _Toc17726 </w:instrText>
          </w:r>
          <w:r>
            <w:fldChar w:fldCharType="separate"/>
          </w:r>
          <w:r>
            <w:rPr>
              <w:rFonts w:hint="eastAsia" w:ascii="黑体" w:hAnsi="黑体" w:eastAsia="黑体"/>
              <w:kern w:val="21"/>
            </w:rPr>
            <w:t>十、 其他重要事项的情况说明</w:t>
          </w:r>
          <w:r>
            <w:tab/>
          </w:r>
          <w:r>
            <w:fldChar w:fldCharType="begin"/>
          </w:r>
          <w:r>
            <w:instrText xml:space="preserve"> PAGEREF _Toc17726 \h </w:instrText>
          </w:r>
          <w:r>
            <w:fldChar w:fldCharType="separate"/>
          </w:r>
          <w:r>
            <w:t>12</w:t>
          </w:r>
          <w:r>
            <w:fldChar w:fldCharType="end"/>
          </w:r>
          <w:r>
            <w:fldChar w:fldCharType="end"/>
          </w:r>
        </w:p>
        <w:p w14:paraId="7A900253">
          <w:pPr>
            <w:pStyle w:val="8"/>
            <w:tabs>
              <w:tab w:val="right" w:leader="dot" w:pos="8306"/>
              <w:tab w:val="clear" w:pos="8296"/>
            </w:tabs>
          </w:pPr>
          <w:r>
            <w:fldChar w:fldCharType="begin"/>
          </w:r>
          <w:r>
            <w:instrText xml:space="preserve"> HYPERLINK \l _Toc6331 </w:instrText>
          </w:r>
          <w:r>
            <w:fldChar w:fldCharType="separate"/>
          </w:r>
          <w:r>
            <w:rPr>
              <w:rFonts w:hint="eastAsia" w:ascii="仿宋" w:hAnsi="仿宋" w:eastAsia="仿宋"/>
              <w:kern w:val="21"/>
              <w:szCs w:val="32"/>
            </w:rPr>
            <w:t>（一）机关运行经费支出情况</w:t>
          </w:r>
          <w:r>
            <w:tab/>
          </w:r>
          <w:r>
            <w:fldChar w:fldCharType="begin"/>
          </w:r>
          <w:r>
            <w:instrText xml:space="preserve"> PAGEREF _Toc6331 \h </w:instrText>
          </w:r>
          <w:r>
            <w:fldChar w:fldCharType="separate"/>
          </w:r>
          <w:r>
            <w:t>12</w:t>
          </w:r>
          <w:r>
            <w:fldChar w:fldCharType="end"/>
          </w:r>
          <w:r>
            <w:fldChar w:fldCharType="end"/>
          </w:r>
        </w:p>
        <w:p w14:paraId="6B841F65">
          <w:pPr>
            <w:pStyle w:val="8"/>
            <w:tabs>
              <w:tab w:val="right" w:leader="dot" w:pos="8306"/>
              <w:tab w:val="clear" w:pos="8296"/>
            </w:tabs>
          </w:pPr>
          <w:r>
            <w:fldChar w:fldCharType="begin"/>
          </w:r>
          <w:r>
            <w:instrText xml:space="preserve"> HYPERLINK \l _Toc16756 </w:instrText>
          </w:r>
          <w:r>
            <w:fldChar w:fldCharType="separate"/>
          </w:r>
          <w:r>
            <w:rPr>
              <w:rFonts w:hint="eastAsia" w:ascii="仿宋" w:hAnsi="仿宋" w:eastAsia="仿宋"/>
              <w:kern w:val="21"/>
              <w:szCs w:val="32"/>
            </w:rPr>
            <w:t>（二）政府采购支出情况</w:t>
          </w:r>
          <w:r>
            <w:tab/>
          </w:r>
          <w:r>
            <w:fldChar w:fldCharType="begin"/>
          </w:r>
          <w:r>
            <w:instrText xml:space="preserve"> PAGEREF _Toc16756 \h </w:instrText>
          </w:r>
          <w:r>
            <w:fldChar w:fldCharType="separate"/>
          </w:r>
          <w:r>
            <w:t>13</w:t>
          </w:r>
          <w:r>
            <w:fldChar w:fldCharType="end"/>
          </w:r>
          <w:r>
            <w:fldChar w:fldCharType="end"/>
          </w:r>
        </w:p>
        <w:p w14:paraId="68BEA085">
          <w:pPr>
            <w:pStyle w:val="8"/>
            <w:tabs>
              <w:tab w:val="right" w:leader="dot" w:pos="8306"/>
              <w:tab w:val="clear" w:pos="8296"/>
            </w:tabs>
          </w:pPr>
          <w:r>
            <w:fldChar w:fldCharType="begin"/>
          </w:r>
          <w:r>
            <w:instrText xml:space="preserve"> HYPERLINK \l _Toc12268 </w:instrText>
          </w:r>
          <w:r>
            <w:fldChar w:fldCharType="separate"/>
          </w:r>
          <w:r>
            <w:rPr>
              <w:rFonts w:hint="eastAsia" w:ascii="仿宋" w:hAnsi="仿宋" w:eastAsia="仿宋"/>
              <w:kern w:val="21"/>
              <w:szCs w:val="32"/>
            </w:rPr>
            <w:t>（三）国有资产占有使用情况</w:t>
          </w:r>
          <w:r>
            <w:tab/>
          </w:r>
          <w:r>
            <w:fldChar w:fldCharType="begin"/>
          </w:r>
          <w:r>
            <w:instrText xml:space="preserve"> PAGEREF _Toc12268 \h </w:instrText>
          </w:r>
          <w:r>
            <w:fldChar w:fldCharType="separate"/>
          </w:r>
          <w:r>
            <w:t>13</w:t>
          </w:r>
          <w:r>
            <w:fldChar w:fldCharType="end"/>
          </w:r>
          <w:r>
            <w:fldChar w:fldCharType="end"/>
          </w:r>
        </w:p>
        <w:p w14:paraId="24D28680">
          <w:pPr>
            <w:pStyle w:val="8"/>
            <w:tabs>
              <w:tab w:val="right" w:leader="dot" w:pos="8306"/>
              <w:tab w:val="clear" w:pos="8296"/>
            </w:tabs>
          </w:pPr>
          <w:r>
            <w:fldChar w:fldCharType="begin"/>
          </w:r>
          <w:r>
            <w:instrText xml:space="preserve"> HYPERLINK \l _Toc29706 </w:instrText>
          </w:r>
          <w:r>
            <w:fldChar w:fldCharType="separate"/>
          </w:r>
          <w:r>
            <w:rPr>
              <w:rFonts w:hint="eastAsia" w:ascii="仿宋" w:hAnsi="仿宋" w:eastAsia="仿宋"/>
              <w:szCs w:val="32"/>
            </w:rPr>
            <w:t>（四）预算绩效管理情况</w:t>
          </w:r>
          <w:r>
            <w:tab/>
          </w:r>
          <w:r>
            <w:fldChar w:fldCharType="begin"/>
          </w:r>
          <w:r>
            <w:instrText xml:space="preserve"> PAGEREF _Toc29706 \h </w:instrText>
          </w:r>
          <w:r>
            <w:fldChar w:fldCharType="separate"/>
          </w:r>
          <w:r>
            <w:t>13</w:t>
          </w:r>
          <w:r>
            <w:fldChar w:fldCharType="end"/>
          </w:r>
          <w:r>
            <w:fldChar w:fldCharType="end"/>
          </w:r>
        </w:p>
        <w:p w14:paraId="482EF85D">
          <w:pPr>
            <w:pStyle w:val="12"/>
            <w:tabs>
              <w:tab w:val="right" w:leader="dot" w:pos="8306"/>
              <w:tab w:val="clear" w:pos="8296"/>
            </w:tabs>
          </w:pPr>
          <w:r>
            <w:fldChar w:fldCharType="begin"/>
          </w:r>
          <w:r>
            <w:instrText xml:space="preserve"> HYPERLINK \l _Toc23762 </w:instrText>
          </w:r>
          <w:r>
            <w:fldChar w:fldCharType="separate"/>
          </w:r>
          <w:r>
            <w:rPr>
              <w:rFonts w:hint="eastAsia" w:ascii="黑体" w:hAnsi="黑体" w:eastAsia="黑体" w:cs="黑体"/>
              <w:szCs w:val="44"/>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_Toc23762 \h </w:instrText>
          </w:r>
          <w:r>
            <w:fldChar w:fldCharType="separate"/>
          </w:r>
          <w:r>
            <w:t>14</w:t>
          </w:r>
          <w:r>
            <w:fldChar w:fldCharType="end"/>
          </w:r>
          <w:r>
            <w:fldChar w:fldCharType="end"/>
          </w:r>
        </w:p>
        <w:p w14:paraId="304B24B0">
          <w:pPr>
            <w:pStyle w:val="12"/>
            <w:tabs>
              <w:tab w:val="right" w:leader="dot" w:pos="8306"/>
              <w:tab w:val="clear" w:pos="8296"/>
            </w:tabs>
          </w:pPr>
          <w:r>
            <w:fldChar w:fldCharType="begin"/>
          </w:r>
          <w:r>
            <w:instrText xml:space="preserve"> HYPERLINK \l _Toc5416 </w:instrText>
          </w:r>
          <w:r>
            <w:fldChar w:fldCharType="separate"/>
          </w:r>
          <w:r>
            <w:rPr>
              <w:rFonts w:hint="eastAsia" w:ascii="黑体" w:hAnsi="黑体" w:eastAsia="黑体" w:cs="黑体"/>
              <w:szCs w:val="44"/>
            </w:rPr>
            <w:t xml:space="preserve">第四部分 </w:t>
          </w:r>
          <w:r>
            <w:rPr>
              <w:rFonts w:hint="eastAsia" w:ascii="黑体" w:hAnsi="黑体" w:eastAsia="黑体"/>
            </w:rPr>
            <w:t>附件</w:t>
          </w:r>
          <w:r>
            <w:tab/>
          </w:r>
          <w:r>
            <w:fldChar w:fldCharType="begin"/>
          </w:r>
          <w:r>
            <w:instrText xml:space="preserve"> PAGEREF _Toc5416 \h </w:instrText>
          </w:r>
          <w:r>
            <w:fldChar w:fldCharType="separate"/>
          </w:r>
          <w:r>
            <w:t>16</w:t>
          </w:r>
          <w:r>
            <w:fldChar w:fldCharType="end"/>
          </w:r>
          <w:r>
            <w:fldChar w:fldCharType="end"/>
          </w:r>
        </w:p>
        <w:p w14:paraId="0D3ED49C">
          <w:pPr>
            <w:pStyle w:val="12"/>
            <w:tabs>
              <w:tab w:val="right" w:leader="dot" w:pos="8306"/>
              <w:tab w:val="clear" w:pos="8296"/>
            </w:tabs>
          </w:pPr>
          <w:r>
            <w:fldChar w:fldCharType="begin"/>
          </w:r>
          <w:r>
            <w:instrText xml:space="preserve"> HYPERLINK \l _Toc25717 </w:instrText>
          </w:r>
          <w:r>
            <w:fldChar w:fldCharType="separate"/>
          </w:r>
          <w:r>
            <w:rPr>
              <w:rFonts w:hint="eastAsia" w:ascii="黑体" w:hAnsi="黑体" w:eastAsia="黑体"/>
              <w:szCs w:val="44"/>
            </w:rPr>
            <w:t>第</w:t>
          </w:r>
          <w:r>
            <w:rPr>
              <w:rFonts w:hint="eastAsia" w:ascii="黑体" w:hAnsi="黑体" w:eastAsia="黑体"/>
            </w:rPr>
            <w:t>五部分 附表</w:t>
          </w:r>
          <w:r>
            <w:tab/>
          </w:r>
          <w:r>
            <w:fldChar w:fldCharType="begin"/>
          </w:r>
          <w:r>
            <w:instrText xml:space="preserve"> PAGEREF _Toc25717 \h </w:instrText>
          </w:r>
          <w:r>
            <w:fldChar w:fldCharType="separate"/>
          </w:r>
          <w:r>
            <w:t>24</w:t>
          </w:r>
          <w:r>
            <w:fldChar w:fldCharType="end"/>
          </w:r>
          <w:r>
            <w:fldChar w:fldCharType="end"/>
          </w:r>
        </w:p>
        <w:p w14:paraId="067B7356">
          <w:pPr>
            <w:pStyle w:val="13"/>
            <w:tabs>
              <w:tab w:val="right" w:leader="dot" w:pos="8306"/>
              <w:tab w:val="clear" w:pos="8296"/>
            </w:tabs>
          </w:pPr>
          <w:r>
            <w:fldChar w:fldCharType="begin"/>
          </w:r>
          <w:r>
            <w:instrText xml:space="preserve"> HYPERLINK \l _Toc10343 </w:instrText>
          </w:r>
          <w: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_Toc10343 \h </w:instrText>
          </w:r>
          <w:r>
            <w:fldChar w:fldCharType="separate"/>
          </w:r>
          <w:r>
            <w:t>24</w:t>
          </w:r>
          <w:r>
            <w:fldChar w:fldCharType="end"/>
          </w:r>
          <w:r>
            <w:fldChar w:fldCharType="end"/>
          </w:r>
        </w:p>
        <w:p w14:paraId="442CCB37">
          <w:pPr>
            <w:pStyle w:val="13"/>
            <w:tabs>
              <w:tab w:val="right" w:leader="dot" w:pos="8306"/>
              <w:tab w:val="clear" w:pos="8296"/>
            </w:tabs>
          </w:pPr>
          <w:r>
            <w:fldChar w:fldCharType="begin"/>
          </w:r>
          <w:r>
            <w:instrText xml:space="preserve"> HYPERLINK \l _Toc10033 </w:instrText>
          </w:r>
          <w: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_Toc10033 \h </w:instrText>
          </w:r>
          <w:r>
            <w:fldChar w:fldCharType="separate"/>
          </w:r>
          <w:r>
            <w:t>24</w:t>
          </w:r>
          <w:r>
            <w:fldChar w:fldCharType="end"/>
          </w:r>
          <w:r>
            <w:fldChar w:fldCharType="end"/>
          </w:r>
        </w:p>
        <w:p w14:paraId="6CA44236">
          <w:pPr>
            <w:pStyle w:val="13"/>
            <w:tabs>
              <w:tab w:val="right" w:leader="dot" w:pos="8306"/>
              <w:tab w:val="clear" w:pos="8296"/>
            </w:tabs>
          </w:pPr>
          <w:r>
            <w:fldChar w:fldCharType="begin"/>
          </w:r>
          <w:r>
            <w:instrText xml:space="preserve"> HYPERLINK \l _Toc27233 </w:instrText>
          </w:r>
          <w: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_Toc27233 \h </w:instrText>
          </w:r>
          <w:r>
            <w:fldChar w:fldCharType="separate"/>
          </w:r>
          <w:r>
            <w:t>24</w:t>
          </w:r>
          <w:r>
            <w:fldChar w:fldCharType="end"/>
          </w:r>
          <w:r>
            <w:fldChar w:fldCharType="end"/>
          </w:r>
        </w:p>
        <w:p w14:paraId="4264B835">
          <w:pPr>
            <w:pStyle w:val="13"/>
            <w:tabs>
              <w:tab w:val="right" w:leader="dot" w:pos="8306"/>
              <w:tab w:val="clear" w:pos="8296"/>
            </w:tabs>
          </w:pPr>
          <w:r>
            <w:fldChar w:fldCharType="begin"/>
          </w:r>
          <w:r>
            <w:instrText xml:space="preserve"> HYPERLINK \l _Toc17369 </w:instrText>
          </w:r>
          <w: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_Toc17369 \h </w:instrText>
          </w:r>
          <w:r>
            <w:fldChar w:fldCharType="separate"/>
          </w:r>
          <w:r>
            <w:t>24</w:t>
          </w:r>
          <w:r>
            <w:fldChar w:fldCharType="end"/>
          </w:r>
          <w:r>
            <w:fldChar w:fldCharType="end"/>
          </w:r>
        </w:p>
        <w:p w14:paraId="6C3905A5">
          <w:pPr>
            <w:pStyle w:val="13"/>
            <w:tabs>
              <w:tab w:val="right" w:leader="dot" w:pos="8306"/>
              <w:tab w:val="clear" w:pos="8296"/>
            </w:tabs>
          </w:pPr>
          <w:r>
            <w:fldChar w:fldCharType="begin"/>
          </w:r>
          <w:r>
            <w:instrText xml:space="preserve"> HYPERLINK \l _Toc26949 </w:instrText>
          </w:r>
          <w: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_Toc26949 \h </w:instrText>
          </w:r>
          <w:r>
            <w:fldChar w:fldCharType="separate"/>
          </w:r>
          <w:r>
            <w:t>24</w:t>
          </w:r>
          <w:r>
            <w:fldChar w:fldCharType="end"/>
          </w:r>
          <w:r>
            <w:fldChar w:fldCharType="end"/>
          </w:r>
        </w:p>
        <w:p w14:paraId="068E9883">
          <w:pPr>
            <w:pStyle w:val="13"/>
            <w:tabs>
              <w:tab w:val="right" w:leader="dot" w:pos="8306"/>
              <w:tab w:val="clear" w:pos="8296"/>
            </w:tabs>
          </w:pPr>
          <w:r>
            <w:fldChar w:fldCharType="begin"/>
          </w:r>
          <w:r>
            <w:instrText xml:space="preserve"> HYPERLINK \l _Toc21179 </w:instrText>
          </w:r>
          <w: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_Toc21179 \h </w:instrText>
          </w:r>
          <w:r>
            <w:fldChar w:fldCharType="separate"/>
          </w:r>
          <w:r>
            <w:t>24</w:t>
          </w:r>
          <w:r>
            <w:fldChar w:fldCharType="end"/>
          </w:r>
          <w:r>
            <w:fldChar w:fldCharType="end"/>
          </w:r>
        </w:p>
        <w:p w14:paraId="7E1A929E">
          <w:pPr>
            <w:pStyle w:val="13"/>
            <w:tabs>
              <w:tab w:val="right" w:leader="dot" w:pos="8306"/>
              <w:tab w:val="clear" w:pos="8296"/>
            </w:tabs>
          </w:pPr>
          <w:r>
            <w:fldChar w:fldCharType="begin"/>
          </w:r>
          <w:r>
            <w:instrText xml:space="preserve"> HYPERLINK \l _Toc31644 </w:instrText>
          </w:r>
          <w: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_Toc31644 \h </w:instrText>
          </w:r>
          <w:r>
            <w:fldChar w:fldCharType="separate"/>
          </w:r>
          <w:r>
            <w:t>24</w:t>
          </w:r>
          <w:r>
            <w:fldChar w:fldCharType="end"/>
          </w:r>
          <w:r>
            <w:fldChar w:fldCharType="end"/>
          </w:r>
        </w:p>
        <w:p w14:paraId="627CEDE9">
          <w:pPr>
            <w:pStyle w:val="13"/>
            <w:tabs>
              <w:tab w:val="right" w:leader="dot" w:pos="8306"/>
              <w:tab w:val="clear" w:pos="8296"/>
            </w:tabs>
          </w:pPr>
          <w:r>
            <w:fldChar w:fldCharType="begin"/>
          </w:r>
          <w:r>
            <w:instrText xml:space="preserve"> HYPERLINK \l _Toc14817 </w:instrText>
          </w:r>
          <w: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_Toc14817 \h </w:instrText>
          </w:r>
          <w:r>
            <w:fldChar w:fldCharType="separate"/>
          </w:r>
          <w:r>
            <w:t>24</w:t>
          </w:r>
          <w:r>
            <w:fldChar w:fldCharType="end"/>
          </w:r>
          <w:r>
            <w:fldChar w:fldCharType="end"/>
          </w:r>
        </w:p>
        <w:p w14:paraId="0BC4F58A">
          <w:pPr>
            <w:pStyle w:val="13"/>
            <w:tabs>
              <w:tab w:val="right" w:leader="dot" w:pos="8306"/>
              <w:tab w:val="clear" w:pos="8296"/>
            </w:tabs>
          </w:pPr>
          <w:r>
            <w:fldChar w:fldCharType="begin"/>
          </w:r>
          <w:r>
            <w:instrText xml:space="preserve"> HYPERLINK \l _Toc23112 </w:instrText>
          </w:r>
          <w: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_Toc23112 \h </w:instrText>
          </w:r>
          <w:r>
            <w:fldChar w:fldCharType="separate"/>
          </w:r>
          <w:r>
            <w:t>24</w:t>
          </w:r>
          <w:r>
            <w:fldChar w:fldCharType="end"/>
          </w:r>
          <w:r>
            <w:fldChar w:fldCharType="end"/>
          </w:r>
        </w:p>
        <w:p w14:paraId="648C22EB">
          <w:pPr>
            <w:pStyle w:val="13"/>
            <w:tabs>
              <w:tab w:val="right" w:leader="dot" w:pos="8306"/>
              <w:tab w:val="clear" w:pos="8296"/>
            </w:tabs>
          </w:pPr>
          <w:r>
            <w:fldChar w:fldCharType="begin"/>
          </w:r>
          <w:r>
            <w:instrText xml:space="preserve"> HYPERLINK \l _Toc5537 </w:instrText>
          </w:r>
          <w: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_Toc5537 \h </w:instrText>
          </w:r>
          <w:r>
            <w:fldChar w:fldCharType="separate"/>
          </w:r>
          <w:r>
            <w:t>24</w:t>
          </w:r>
          <w:r>
            <w:fldChar w:fldCharType="end"/>
          </w:r>
          <w:r>
            <w:fldChar w:fldCharType="end"/>
          </w:r>
        </w:p>
        <w:p w14:paraId="2DBA7172">
          <w:pPr>
            <w:pStyle w:val="13"/>
            <w:tabs>
              <w:tab w:val="right" w:leader="dot" w:pos="8306"/>
              <w:tab w:val="clear" w:pos="8296"/>
            </w:tabs>
          </w:pPr>
          <w:r>
            <w:fldChar w:fldCharType="begin"/>
          </w:r>
          <w:r>
            <w:instrText xml:space="preserve"> HYPERLINK \l _Toc17242 </w:instrText>
          </w:r>
          <w: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_Toc17242 \h </w:instrText>
          </w:r>
          <w:r>
            <w:fldChar w:fldCharType="separate"/>
          </w:r>
          <w:r>
            <w:t>24</w:t>
          </w:r>
          <w:r>
            <w:fldChar w:fldCharType="end"/>
          </w:r>
          <w:r>
            <w:fldChar w:fldCharType="end"/>
          </w:r>
        </w:p>
        <w:p w14:paraId="5BC294E2">
          <w:pPr>
            <w:pStyle w:val="13"/>
            <w:tabs>
              <w:tab w:val="right" w:leader="dot" w:pos="8306"/>
              <w:tab w:val="clear" w:pos="8296"/>
            </w:tabs>
          </w:pPr>
          <w:r>
            <w:fldChar w:fldCharType="begin"/>
          </w:r>
          <w:r>
            <w:instrText xml:space="preserve"> HYPERLINK \l _Toc14994 </w:instrText>
          </w:r>
          <w:r>
            <w:fldChar w:fldCharType="separate"/>
          </w:r>
          <w:r>
            <w:rPr>
              <w:rFonts w:hint="eastAsia" w:ascii="仿宋" w:hAnsi="仿宋" w:eastAsia="仿宋"/>
              <w:bCs w:val="0"/>
            </w:rPr>
            <w:t>十二、国有资本经营预算财政拨款支出决算表</w:t>
          </w:r>
          <w:r>
            <w:tab/>
          </w:r>
          <w:r>
            <w:fldChar w:fldCharType="begin"/>
          </w:r>
          <w:r>
            <w:instrText xml:space="preserve"> PAGEREF _Toc14994 \h </w:instrText>
          </w:r>
          <w:r>
            <w:fldChar w:fldCharType="separate"/>
          </w:r>
          <w:r>
            <w:t>24</w:t>
          </w:r>
          <w:r>
            <w:fldChar w:fldCharType="end"/>
          </w:r>
          <w:r>
            <w:fldChar w:fldCharType="end"/>
          </w:r>
        </w:p>
        <w:p w14:paraId="4171F3F0">
          <w:pPr>
            <w:pStyle w:val="13"/>
            <w:tabs>
              <w:tab w:val="right" w:leader="dot" w:pos="8306"/>
              <w:tab w:val="clear" w:pos="8296"/>
            </w:tabs>
          </w:pPr>
          <w:r>
            <w:fldChar w:fldCharType="begin"/>
          </w:r>
          <w:r>
            <w:instrText xml:space="preserve"> HYPERLINK \l _Toc13489 </w:instrText>
          </w:r>
          <w:r>
            <w:fldChar w:fldCharType="separate"/>
          </w:r>
          <w:r>
            <w:rPr>
              <w:rFonts w:hint="eastAsia" w:ascii="仿宋" w:hAnsi="仿宋" w:eastAsia="仿宋"/>
              <w:bCs w:val="0"/>
            </w:rPr>
            <w:t>十三、财政拨款“三公”经费支出决算表</w:t>
          </w:r>
          <w:r>
            <w:tab/>
          </w:r>
          <w:r>
            <w:fldChar w:fldCharType="begin"/>
          </w:r>
          <w:r>
            <w:instrText xml:space="preserve"> PAGEREF _Toc13489 \h </w:instrText>
          </w:r>
          <w:r>
            <w:fldChar w:fldCharType="separate"/>
          </w:r>
          <w:r>
            <w:t>24</w:t>
          </w:r>
          <w:r>
            <w:fldChar w:fldCharType="end"/>
          </w:r>
          <w:r>
            <w:fldChar w:fldCharType="end"/>
          </w:r>
        </w:p>
        <w:p w14:paraId="2DAAC185">
          <w:r>
            <w:fldChar w:fldCharType="end"/>
          </w:r>
        </w:p>
      </w:sdtContent>
    </w:sdt>
    <w:p w14:paraId="27E01CA4"/>
    <w:p w14:paraId="01380B6E">
      <w:pPr>
        <w:widowControl/>
        <w:spacing w:line="440" w:lineRule="exact"/>
        <w:jc w:val="left"/>
        <w:rPr>
          <w:rFonts w:ascii="仿宋" w:hAnsi="仿宋" w:eastAsia="仿宋"/>
          <w:bCs/>
          <w:kern w:val="44"/>
          <w:sz w:val="24"/>
        </w:rPr>
      </w:pPr>
      <w:r>
        <w:rPr>
          <w:rFonts w:ascii="仿宋" w:hAnsi="仿宋" w:eastAsia="仿宋"/>
          <w:b/>
          <w:sz w:val="24"/>
        </w:rPr>
        <w:br w:type="page"/>
      </w:r>
    </w:p>
    <w:p w14:paraId="034B5B2B">
      <w:pPr>
        <w:pStyle w:val="3"/>
        <w:jc w:val="center"/>
        <w:rPr>
          <w:rFonts w:ascii="黑体" w:eastAsia="黑体"/>
          <w:sz w:val="32"/>
          <w:szCs w:val="32"/>
        </w:rPr>
      </w:pPr>
      <w:bookmarkStart w:id="16" w:name="_Toc157"/>
      <w:r>
        <w:rPr>
          <w:rFonts w:hint="eastAsia" w:ascii="黑体" w:hAnsi="黑体" w:eastAsia="黑体"/>
          <w:b w:val="0"/>
        </w:rPr>
        <w:t>第一部分 单位</w:t>
      </w:r>
      <w:r>
        <w:rPr>
          <w:rStyle w:val="28"/>
          <w:rFonts w:hint="eastAsia" w:ascii="黑体" w:hAnsi="黑体" w:eastAsia="黑体"/>
          <w:b w:val="0"/>
          <w:bCs w:val="0"/>
        </w:rPr>
        <w:t>概况</w:t>
      </w:r>
      <w:bookmarkEnd w:id="16"/>
    </w:p>
    <w:p w14:paraId="1495DBBE">
      <w:pPr>
        <w:pStyle w:val="4"/>
        <w:keepNext/>
        <w:keepLines/>
        <w:pageBreakBefore w:val="0"/>
        <w:widowControl w:val="0"/>
        <w:numPr>
          <w:ilvl w:val="0"/>
          <w:numId w:val="1"/>
        </w:numPr>
        <w:kinsoku/>
        <w:wordWrap/>
        <w:overflowPunct/>
        <w:topLinePunct w:val="0"/>
        <w:autoSpaceDE/>
        <w:autoSpaceDN/>
        <w:bidi w:val="0"/>
        <w:adjustRightInd/>
        <w:snapToGrid/>
        <w:spacing w:after="0" w:line="416" w:lineRule="auto"/>
        <w:textAlignment w:val="auto"/>
        <w:rPr>
          <w:rStyle w:val="29"/>
          <w:rFonts w:ascii="黑体" w:hAnsi="黑体" w:eastAsia="黑体"/>
          <w:b w:val="0"/>
          <w:bCs w:val="0"/>
        </w:rPr>
      </w:pPr>
      <w:bookmarkStart w:id="17" w:name="_Toc29025"/>
      <w:bookmarkStart w:id="18" w:name="_Toc15377197"/>
      <w:bookmarkStart w:id="19" w:name="_Toc15396600"/>
      <w:r>
        <w:rPr>
          <w:rStyle w:val="29"/>
          <w:rFonts w:hint="eastAsia" w:ascii="黑体" w:hAnsi="黑体" w:eastAsia="黑体"/>
          <w:b w:val="0"/>
          <w:bCs w:val="0"/>
        </w:rPr>
        <w:t>主要职责</w:t>
      </w:r>
      <w:bookmarkEnd w:id="17"/>
    </w:p>
    <w:p w14:paraId="10C0EC5D">
      <w:pPr>
        <w:ind w:firstLine="640" w:firstLineChars="200"/>
        <w:rPr>
          <w:rFonts w:hint="default" w:eastAsia="宋体"/>
          <w:lang w:val="en-US" w:eastAsia="zh-CN"/>
        </w:rPr>
      </w:pPr>
      <w:r>
        <w:rPr>
          <w:rFonts w:hint="eastAsia" w:ascii="仿宋_GB2312" w:hAnsi="仿宋_GB2312" w:eastAsia="仿宋_GB2312" w:cs="仿宋_GB2312"/>
          <w:sz w:val="32"/>
          <w:szCs w:val="32"/>
          <w:lang w:val="en-US" w:eastAsia="zh-CN"/>
        </w:rPr>
        <w:t>卫生院的职责：基本医疗服务，1、正确处理常见病、多发病，对疑难重症进行恰当处理并转诊。承担乡村现场应急救护、转诊服务和康复服务。2、卫生院具备能完成外科的止血、缝合、包扎、骨折固定等处置。3、健全消毒、隔离制度，遵守无菌操作规程，加强医疗质量管理。做好医疗废物处理和污水、污物无害化处理。4、执行国家基本药物制度药品集中采购、零差率销售等政策，为实施一体化管理的村卫生室统一代购药品。5、提供政府卫生行政部门批准的其他适宜的医疗服务。卫生院功能：公共卫生服务。1、承担农村居民健康档案规范建档指导、管理及服务。2、普及卫生保健常识，在重点人群和重点场所开展健康教育，帮助居民形成有利于维护和增进健康的行为方式。3、提供并组织实施辖区预防接种服务，落实国家免疫规划。4、及时发现、登记并报告辖区内发现的传染病病例和疑似病例，参与现场疫情处理。5、开展新生儿访视及儿童保健系统管理，进行体格检查和生长发育监测及评价，开展健康指导。6、开展孕产妇保健系统管理和产后访视，进行一般体格检查及孕期营养、心理等健康指导。7、对辖区65岁及以上老年人进行登记管理，进行健康危险因素调查和一般体格检查，开展健康指导。8、对高血压、糖尿病等慢性病高危人群进行指导，对确诊高血压、糖尿病等慢性病病例进行登记管理、定期随访和健康指导。9、对辖区重性精神疾病患者进行登记管理、治疗随访和康复指导。10、负责辖区内突发公共卫生事件的报告并协助处理。11、做好卫生行政部门规定的其他公共卫生服务。</w:t>
      </w:r>
    </w:p>
    <w:p w14:paraId="058AFE53">
      <w:pPr>
        <w:pStyle w:val="4"/>
        <w:keepNext/>
        <w:keepLines/>
        <w:pageBreakBefore w:val="0"/>
        <w:widowControl w:val="0"/>
        <w:numPr>
          <w:ilvl w:val="0"/>
          <w:numId w:val="1"/>
        </w:numPr>
        <w:kinsoku/>
        <w:wordWrap/>
        <w:overflowPunct/>
        <w:topLinePunct w:val="0"/>
        <w:autoSpaceDE/>
        <w:autoSpaceDN/>
        <w:bidi w:val="0"/>
        <w:adjustRightInd/>
        <w:snapToGrid/>
        <w:spacing w:after="0" w:line="416" w:lineRule="auto"/>
        <w:ind w:left="0" w:leftChars="0" w:firstLine="0" w:firstLineChars="0"/>
        <w:textAlignment w:val="auto"/>
        <w:rPr>
          <w:rFonts w:hint="eastAsia" w:ascii="仿宋_GB2312" w:hAnsi="仿宋_GB2312" w:eastAsia="仿宋_GB2312" w:cs="仿宋_GB2312"/>
          <w:sz w:val="32"/>
          <w:szCs w:val="32"/>
          <w:lang w:val="en-US"/>
        </w:rPr>
      </w:pPr>
      <w:bookmarkStart w:id="20" w:name="_Toc24059"/>
      <w:r>
        <w:rPr>
          <w:rFonts w:hint="eastAsia" w:ascii="黑体" w:hAnsi="黑体" w:eastAsia="黑体"/>
          <w:b w:val="0"/>
        </w:rPr>
        <w:t>机构设置</w:t>
      </w:r>
      <w:bookmarkEnd w:id="20"/>
    </w:p>
    <w:p w14:paraId="1E992C97">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645" w:lineRule="atLeast"/>
        <w:ind w:left="0" w:right="0" w:firstLine="646"/>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松潘县镇江镇中心卫生院为财政全额拨款的事业单位，内设机构如下：预防保健科、内科、外科；普通外科专业、妇产科、妇女保健科、儿科、儿童保健科、中医科。核定编制人数21人，截止2023年12月31日实有在职人数17人。</w:t>
      </w:r>
    </w:p>
    <w:p w14:paraId="27B9DD61">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645" w:lineRule="atLeast"/>
        <w:ind w:left="0" w:right="0" w:firstLine="0"/>
        <w:rPr>
          <w:rFonts w:ascii="仿宋" w:hAnsi="仿宋" w:eastAsia="仿宋"/>
          <w:kern w:val="0"/>
          <w:sz w:val="32"/>
          <w:szCs w:val="32"/>
        </w:rPr>
      </w:pPr>
      <w:r>
        <w:rPr>
          <w:rFonts w:hint="default" w:ascii="仿宋_GB2312" w:hAnsi="仿宋_GB2312" w:eastAsia="仿宋_GB2312" w:cs="仿宋_GB2312"/>
          <w:kern w:val="2"/>
          <w:sz w:val="32"/>
          <w:szCs w:val="32"/>
          <w:lang w:val="en-US" w:eastAsia="zh-CN" w:bidi="ar-SA"/>
        </w:rPr>
        <w:t>   </w:t>
      </w:r>
      <w:r>
        <w:rPr>
          <w:rFonts w:hint="eastAsia" w:ascii="仿宋_GB2312" w:hAnsi="仿宋_GB2312" w:eastAsia="仿宋_GB2312" w:cs="仿宋_GB2312"/>
          <w:kern w:val="2"/>
          <w:sz w:val="32"/>
          <w:szCs w:val="32"/>
          <w:lang w:val="en-US" w:eastAsia="zh-CN" w:bidi="ar-SA"/>
        </w:rPr>
        <w:t xml:space="preserve">  </w:t>
      </w:r>
      <w:r>
        <w:rPr>
          <w:rFonts w:hint="default" w:ascii="仿宋_GB2312" w:hAnsi="仿宋_GB2312" w:eastAsia="仿宋_GB2312" w:cs="仿宋_GB2312"/>
          <w:kern w:val="2"/>
          <w:sz w:val="32"/>
          <w:szCs w:val="32"/>
          <w:lang w:val="en-US" w:eastAsia="zh-CN" w:bidi="ar-SA"/>
        </w:rPr>
        <w:t>按照决算管理有关规定，</w:t>
      </w:r>
      <w:r>
        <w:rPr>
          <w:rFonts w:hint="eastAsia" w:ascii="仿宋_GB2312" w:hAnsi="仿宋_GB2312" w:eastAsia="仿宋_GB2312" w:cs="仿宋_GB2312"/>
          <w:kern w:val="2"/>
          <w:sz w:val="32"/>
          <w:szCs w:val="32"/>
          <w:lang w:val="en-US" w:eastAsia="zh-CN" w:bidi="ar-SA"/>
        </w:rPr>
        <w:t>2024</w:t>
      </w:r>
      <w:r>
        <w:rPr>
          <w:rFonts w:hint="default" w:ascii="仿宋_GB2312" w:hAnsi="仿宋_GB2312" w:eastAsia="仿宋_GB2312" w:cs="仿宋_GB2312"/>
          <w:kern w:val="2"/>
          <w:sz w:val="32"/>
          <w:szCs w:val="32"/>
          <w:lang w:val="en-US" w:eastAsia="zh-CN" w:bidi="ar-SA"/>
        </w:rPr>
        <w:t>年</w:t>
      </w:r>
      <w:r>
        <w:rPr>
          <w:rFonts w:hint="eastAsia" w:ascii="仿宋_GB2312" w:hAnsi="仿宋_GB2312" w:eastAsia="仿宋_GB2312" w:cs="仿宋_GB2312"/>
          <w:kern w:val="2"/>
          <w:sz w:val="32"/>
          <w:szCs w:val="32"/>
          <w:lang w:val="en-US" w:eastAsia="zh-CN" w:bidi="ar-SA"/>
        </w:rPr>
        <w:t>镇江镇中心卫生院</w:t>
      </w:r>
      <w:r>
        <w:rPr>
          <w:rFonts w:hint="default" w:ascii="仿宋_GB2312" w:hAnsi="仿宋_GB2312" w:eastAsia="仿宋_GB2312" w:cs="仿宋_GB2312"/>
          <w:kern w:val="2"/>
          <w:sz w:val="32"/>
          <w:szCs w:val="32"/>
          <w:lang w:val="en-US" w:eastAsia="zh-CN" w:bidi="ar-SA"/>
        </w:rPr>
        <w:t>决算编报内容为本级，无所属下级预算单位。</w:t>
      </w:r>
      <w:bookmarkEnd w:id="18"/>
      <w:bookmarkEnd w:id="19"/>
    </w:p>
    <w:p w14:paraId="03CDD470">
      <w:pPr>
        <w:pStyle w:val="3"/>
        <w:ind w:right="440"/>
        <w:jc w:val="center"/>
      </w:pPr>
      <w:bookmarkStart w:id="21" w:name="_Toc15396602"/>
      <w:bookmarkStart w:id="22" w:name="_Toc15377204"/>
      <w:bookmarkStart w:id="23" w:name="_Toc4785"/>
      <w:r>
        <w:rPr>
          <w:rFonts w:hint="eastAsia" w:ascii="黑体" w:hAnsi="黑体" w:eastAsia="黑体"/>
          <w:b w:val="0"/>
        </w:rPr>
        <w:t>第二部分 2023年度</w:t>
      </w:r>
      <w:r>
        <w:rPr>
          <w:rStyle w:val="28"/>
          <w:rFonts w:hint="eastAsia" w:ascii="黑体" w:hAnsi="黑体" w:eastAsia="黑体"/>
          <w:b w:val="0"/>
          <w:bCs/>
        </w:rPr>
        <w:t>单位决算情况说明</w:t>
      </w:r>
      <w:bookmarkEnd w:id="21"/>
      <w:bookmarkEnd w:id="22"/>
      <w:bookmarkEnd w:id="23"/>
    </w:p>
    <w:p w14:paraId="1EE45CD2">
      <w:pPr>
        <w:pStyle w:val="27"/>
        <w:numPr>
          <w:ilvl w:val="0"/>
          <w:numId w:val="2"/>
        </w:numPr>
        <w:spacing w:line="600" w:lineRule="exact"/>
        <w:ind w:firstLineChars="0"/>
        <w:outlineLvl w:val="1"/>
        <w:rPr>
          <w:rStyle w:val="29"/>
          <w:rFonts w:ascii="黑体" w:hAnsi="黑体" w:eastAsia="黑体"/>
          <w:b w:val="0"/>
        </w:rPr>
      </w:pPr>
      <w:bookmarkStart w:id="24" w:name="_Toc8049"/>
      <w:bookmarkStart w:id="25" w:name="_Toc15377205"/>
      <w:bookmarkStart w:id="26" w:name="_Toc15396603"/>
      <w:r>
        <w:rPr>
          <w:rFonts w:hint="eastAsia" w:ascii="黑体" w:hAnsi="黑体" w:eastAsia="黑体"/>
          <w:sz w:val="32"/>
          <w:szCs w:val="32"/>
        </w:rPr>
        <w:t>收</w:t>
      </w:r>
      <w:r>
        <w:rPr>
          <w:rStyle w:val="29"/>
          <w:rFonts w:hint="eastAsia" w:ascii="黑体" w:hAnsi="黑体" w:eastAsia="黑体"/>
          <w:b w:val="0"/>
        </w:rPr>
        <w:t>入支出决算总体情况说明</w:t>
      </w:r>
      <w:bookmarkEnd w:id="24"/>
      <w:bookmarkEnd w:id="25"/>
      <w:bookmarkEnd w:id="26"/>
    </w:p>
    <w:p w14:paraId="5374CCE4">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2023年度收、支总计均为</w:t>
      </w:r>
      <w:r>
        <w:rPr>
          <w:rFonts w:hint="eastAsia" w:ascii="仿宋" w:hAnsi="仿宋" w:eastAsia="仿宋"/>
          <w:b/>
          <w:sz w:val="32"/>
          <w:szCs w:val="32"/>
        </w:rPr>
        <w:t>343.27</w:t>
      </w:r>
      <w:r>
        <w:rPr>
          <w:rFonts w:hint="eastAsia" w:ascii="仿宋" w:hAnsi="仿宋" w:eastAsia="仿宋"/>
          <w:sz w:val="32"/>
          <w:szCs w:val="32"/>
        </w:rPr>
        <w:t>万元。与2022年度相比，收、支总计各增加</w:t>
      </w:r>
      <w:r>
        <w:rPr>
          <w:rFonts w:hint="eastAsia" w:ascii="仿宋" w:hAnsi="仿宋" w:eastAsia="仿宋"/>
          <w:sz w:val="32"/>
          <w:szCs w:val="32"/>
          <w:lang w:val="en-US" w:eastAsia="zh-CN"/>
        </w:rPr>
        <w:t>270.76</w:t>
      </w:r>
      <w:r>
        <w:rPr>
          <w:rFonts w:hint="eastAsia" w:ascii="仿宋" w:hAnsi="仿宋" w:eastAsia="仿宋"/>
          <w:sz w:val="32"/>
          <w:szCs w:val="32"/>
        </w:rPr>
        <w:t>万元，增长</w:t>
      </w:r>
      <w:r>
        <w:rPr>
          <w:rFonts w:hint="eastAsia" w:ascii="仿宋" w:hAnsi="仿宋" w:eastAsia="仿宋"/>
          <w:sz w:val="32"/>
          <w:szCs w:val="32"/>
          <w:lang w:val="en-US" w:eastAsia="zh-CN"/>
        </w:rPr>
        <w:t>26.78</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收入增加</w:t>
      </w:r>
      <w:r>
        <w:rPr>
          <w:rFonts w:hint="eastAsia" w:ascii="仿宋" w:hAnsi="仿宋" w:eastAsia="仿宋"/>
          <w:sz w:val="32"/>
          <w:szCs w:val="32"/>
        </w:rPr>
        <w:t>。</w:t>
      </w:r>
    </w:p>
    <w:p w14:paraId="7894CDE8">
      <w:pPr>
        <w:pStyle w:val="2"/>
        <w:jc w:val="center"/>
        <w:outlineLvl w:val="9"/>
      </w:pPr>
      <w:r>
        <w:drawing>
          <wp:inline distT="0" distB="0" distL="114300" distR="114300">
            <wp:extent cx="5271135" cy="2715895"/>
            <wp:effectExtent l="4445" t="4445" r="20320" b="22860"/>
            <wp:docPr id="8"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7F26D7C">
      <w:pPr>
        <w:spacing w:line="600" w:lineRule="exact"/>
        <w:ind w:firstLine="640" w:firstLineChars="200"/>
        <w:rPr>
          <w:rFonts w:ascii="仿宋_GB2312" w:eastAsia="仿宋_GB2312"/>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14:paraId="29405EDA">
      <w:pPr>
        <w:pStyle w:val="27"/>
        <w:numPr>
          <w:ilvl w:val="0"/>
          <w:numId w:val="2"/>
        </w:numPr>
        <w:spacing w:line="600" w:lineRule="exact"/>
        <w:ind w:firstLineChars="0"/>
        <w:outlineLvl w:val="1"/>
        <w:rPr>
          <w:rStyle w:val="29"/>
          <w:rFonts w:ascii="黑体" w:hAnsi="黑体" w:eastAsia="黑体"/>
          <w:b w:val="0"/>
        </w:rPr>
      </w:pPr>
      <w:bookmarkStart w:id="27" w:name="_Toc15396604"/>
      <w:bookmarkStart w:id="28" w:name="_Toc15377206"/>
      <w:bookmarkStart w:id="29" w:name="_Toc26931"/>
      <w:r>
        <w:rPr>
          <w:rFonts w:hint="eastAsia" w:ascii="黑体" w:hAnsi="黑体" w:eastAsia="黑体"/>
          <w:sz w:val="32"/>
          <w:szCs w:val="32"/>
        </w:rPr>
        <w:t>收</w:t>
      </w:r>
      <w:r>
        <w:rPr>
          <w:rStyle w:val="29"/>
          <w:rFonts w:hint="eastAsia" w:ascii="黑体" w:hAnsi="黑体" w:eastAsia="黑体"/>
          <w:b w:val="0"/>
        </w:rPr>
        <w:t>入决算情况说明</w:t>
      </w:r>
      <w:bookmarkEnd w:id="27"/>
      <w:bookmarkEnd w:id="28"/>
      <w:bookmarkEnd w:id="29"/>
    </w:p>
    <w:p w14:paraId="7253ABFF">
      <w:pPr>
        <w:spacing w:line="600" w:lineRule="exact"/>
        <w:ind w:firstLine="640" w:firstLineChars="200"/>
        <w:outlineLvl w:val="1"/>
        <w:rPr>
          <w:rFonts w:hint="eastAsia" w:ascii="仿宋" w:hAnsi="仿宋" w:eastAsia="仿宋"/>
          <w:sz w:val="32"/>
          <w:szCs w:val="32"/>
        </w:rPr>
      </w:pPr>
      <w:bookmarkStart w:id="30" w:name="_Toc10710"/>
      <w:bookmarkStart w:id="31" w:name="_Toc18519"/>
      <w:r>
        <w:rPr>
          <w:rFonts w:hint="eastAsia" w:ascii="仿宋" w:hAnsi="仿宋" w:eastAsia="仿宋"/>
          <w:sz w:val="32"/>
          <w:szCs w:val="32"/>
        </w:rPr>
        <w:t>2023年度本年收入合计</w:t>
      </w:r>
      <w:r>
        <w:rPr>
          <w:rFonts w:ascii="仿宋" w:hAnsi="仿宋" w:eastAsia="仿宋"/>
          <w:b/>
          <w:sz w:val="32"/>
          <w:szCs w:val="32"/>
        </w:rPr>
        <w:t>343.27</w:t>
      </w:r>
      <w:r>
        <w:rPr>
          <w:rFonts w:hint="eastAsia" w:ascii="仿宋" w:hAnsi="仿宋" w:eastAsia="仿宋"/>
          <w:sz w:val="32"/>
          <w:szCs w:val="32"/>
        </w:rPr>
        <w:t>万元，其中：一般公共预算财政拨款收入</w:t>
      </w:r>
      <w:r>
        <w:rPr>
          <w:rFonts w:ascii="仿宋" w:hAnsi="仿宋" w:eastAsia="仿宋"/>
          <w:b/>
          <w:sz w:val="32"/>
          <w:szCs w:val="32"/>
        </w:rPr>
        <w:t>329.69</w:t>
      </w:r>
      <w:r>
        <w:rPr>
          <w:rFonts w:hint="eastAsia" w:ascii="仿宋" w:hAnsi="仿宋" w:eastAsia="仿宋"/>
          <w:sz w:val="32"/>
          <w:szCs w:val="32"/>
        </w:rPr>
        <w:t>万元，占</w:t>
      </w:r>
      <w:r>
        <w:rPr>
          <w:rFonts w:ascii="仿宋" w:hAnsi="仿宋" w:eastAsia="仿宋"/>
          <w:b/>
          <w:sz w:val="32"/>
          <w:szCs w:val="32"/>
        </w:rPr>
        <w:t>96.04%</w:t>
      </w:r>
      <w:r>
        <w:rPr>
          <w:rFonts w:hint="eastAsia" w:ascii="仿宋" w:hAnsi="仿宋" w:eastAsia="仿宋"/>
          <w:sz w:val="32"/>
          <w:szCs w:val="32"/>
        </w:rPr>
        <w:t>；事业收入</w:t>
      </w:r>
      <w:r>
        <w:rPr>
          <w:rFonts w:ascii="仿宋" w:hAnsi="仿宋" w:eastAsia="仿宋"/>
          <w:b/>
          <w:sz w:val="32"/>
          <w:szCs w:val="32"/>
        </w:rPr>
        <w:t>13.59</w:t>
      </w:r>
      <w:r>
        <w:rPr>
          <w:rFonts w:hint="eastAsia" w:ascii="仿宋" w:hAnsi="仿宋" w:eastAsia="仿宋"/>
          <w:sz w:val="32"/>
          <w:szCs w:val="32"/>
        </w:rPr>
        <w:t>万元，占</w:t>
      </w:r>
      <w:r>
        <w:rPr>
          <w:rFonts w:ascii="仿宋" w:hAnsi="仿宋" w:eastAsia="仿宋"/>
          <w:b/>
          <w:sz w:val="32"/>
          <w:szCs w:val="32"/>
        </w:rPr>
        <w:t>3.95</w:t>
      </w:r>
      <w:r>
        <w:rPr>
          <w:rFonts w:ascii="仿宋" w:hAnsi="仿宋" w:eastAsia="仿宋"/>
          <w:sz w:val="32"/>
          <w:szCs w:val="32"/>
        </w:rPr>
        <w:t>%</w:t>
      </w:r>
      <w:r>
        <w:rPr>
          <w:rFonts w:hint="eastAsia" w:ascii="仿宋" w:hAnsi="仿宋" w:eastAsia="仿宋"/>
          <w:sz w:val="32"/>
          <w:szCs w:val="32"/>
        </w:rPr>
        <w:t>；</w:t>
      </w:r>
      <w:bookmarkEnd w:id="30"/>
      <w:bookmarkEnd w:id="31"/>
    </w:p>
    <w:p w14:paraId="044FCCF8">
      <w:pPr>
        <w:pStyle w:val="2"/>
        <w:jc w:val="center"/>
        <w:outlineLvl w:val="9"/>
      </w:pPr>
      <w:r>
        <w:drawing>
          <wp:inline distT="0" distB="0" distL="114300" distR="114300">
            <wp:extent cx="5210175" cy="2743200"/>
            <wp:effectExtent l="4445" t="4445" r="5080" b="14605"/>
            <wp:docPr id="9"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4242449">
      <w:pPr>
        <w:spacing w:line="600" w:lineRule="exact"/>
        <w:ind w:firstLine="640" w:firstLineChars="200"/>
        <w:rPr>
          <w:rFonts w:ascii="仿宋_GB2312" w:eastAsia="仿宋_GB2312"/>
          <w:sz w:val="32"/>
          <w:szCs w:val="32"/>
        </w:rPr>
      </w:pPr>
      <w:r>
        <w:rPr>
          <w:rFonts w:hint="eastAsia" w:ascii="仿宋" w:hAnsi="仿宋" w:eastAsia="仿宋"/>
          <w:sz w:val="32"/>
          <w:szCs w:val="32"/>
        </w:rPr>
        <w:t>（图2：收入决算结构图）（饼状图）</w:t>
      </w:r>
    </w:p>
    <w:p w14:paraId="05BDBD4E">
      <w:pPr>
        <w:pStyle w:val="27"/>
        <w:numPr>
          <w:ilvl w:val="0"/>
          <w:numId w:val="2"/>
        </w:numPr>
        <w:spacing w:line="600" w:lineRule="exact"/>
        <w:ind w:firstLineChars="0"/>
        <w:outlineLvl w:val="1"/>
        <w:rPr>
          <w:rStyle w:val="29"/>
          <w:rFonts w:ascii="黑体" w:hAnsi="黑体" w:eastAsia="黑体"/>
          <w:b w:val="0"/>
        </w:rPr>
      </w:pPr>
      <w:bookmarkStart w:id="32" w:name="_Toc15396605"/>
      <w:bookmarkStart w:id="33" w:name="_Toc15377207"/>
      <w:bookmarkStart w:id="34" w:name="_Toc1128"/>
      <w:r>
        <w:rPr>
          <w:rFonts w:hint="eastAsia" w:ascii="黑体" w:hAnsi="黑体" w:eastAsia="黑体"/>
          <w:sz w:val="32"/>
          <w:szCs w:val="32"/>
        </w:rPr>
        <w:t>支</w:t>
      </w:r>
      <w:r>
        <w:rPr>
          <w:rStyle w:val="29"/>
          <w:rFonts w:hint="eastAsia" w:ascii="黑体" w:hAnsi="黑体" w:eastAsia="黑体"/>
          <w:b w:val="0"/>
        </w:rPr>
        <w:t>出决算情况说明</w:t>
      </w:r>
      <w:bookmarkEnd w:id="32"/>
      <w:bookmarkEnd w:id="33"/>
      <w:bookmarkEnd w:id="34"/>
    </w:p>
    <w:p w14:paraId="66617B11">
      <w:pPr>
        <w:spacing w:line="600" w:lineRule="exact"/>
        <w:ind w:firstLine="640" w:firstLineChars="200"/>
        <w:outlineLvl w:val="1"/>
        <w:rPr>
          <w:rFonts w:ascii="仿宋" w:hAnsi="仿宋" w:eastAsia="仿宋"/>
          <w:sz w:val="32"/>
          <w:szCs w:val="32"/>
        </w:rPr>
      </w:pPr>
      <w:bookmarkStart w:id="35" w:name="_Toc31928"/>
      <w:bookmarkStart w:id="36" w:name="_Toc3782"/>
      <w:r>
        <w:rPr>
          <w:rFonts w:hint="eastAsia" w:ascii="仿宋" w:hAnsi="仿宋" w:eastAsia="仿宋"/>
          <w:sz w:val="32"/>
          <w:szCs w:val="32"/>
        </w:rPr>
        <w:t>2023年度本年支出合计</w:t>
      </w:r>
      <w:r>
        <w:rPr>
          <w:rFonts w:ascii="仿宋" w:hAnsi="仿宋" w:eastAsia="仿宋"/>
          <w:b/>
          <w:sz w:val="32"/>
          <w:szCs w:val="32"/>
        </w:rPr>
        <w:t>343.27</w:t>
      </w:r>
      <w:r>
        <w:rPr>
          <w:rFonts w:hint="eastAsia" w:ascii="仿宋" w:hAnsi="仿宋" w:eastAsia="仿宋"/>
          <w:sz w:val="32"/>
          <w:szCs w:val="32"/>
        </w:rPr>
        <w:t>万元，其中：基本支出</w:t>
      </w:r>
      <w:r>
        <w:rPr>
          <w:rFonts w:ascii="仿宋" w:hAnsi="仿宋" w:eastAsia="仿宋"/>
          <w:b/>
          <w:sz w:val="32"/>
          <w:szCs w:val="32"/>
        </w:rPr>
        <w:t>312.02</w:t>
      </w:r>
      <w:r>
        <w:rPr>
          <w:rFonts w:hint="eastAsia" w:ascii="仿宋" w:hAnsi="仿宋" w:eastAsia="仿宋"/>
          <w:sz w:val="32"/>
          <w:szCs w:val="32"/>
        </w:rPr>
        <w:t>万元，占</w:t>
      </w:r>
      <w:r>
        <w:rPr>
          <w:rFonts w:ascii="仿宋" w:hAnsi="仿宋" w:eastAsia="仿宋"/>
          <w:b/>
          <w:sz w:val="32"/>
          <w:szCs w:val="32"/>
        </w:rPr>
        <w:t>90.89</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b/>
          <w:sz w:val="32"/>
          <w:szCs w:val="32"/>
        </w:rPr>
        <w:t>31.25</w:t>
      </w:r>
      <w:r>
        <w:rPr>
          <w:rFonts w:hint="eastAsia" w:ascii="仿宋" w:hAnsi="仿宋" w:eastAsia="仿宋"/>
          <w:sz w:val="32"/>
          <w:szCs w:val="32"/>
        </w:rPr>
        <w:t>万元，占</w:t>
      </w:r>
      <w:r>
        <w:rPr>
          <w:rFonts w:ascii="仿宋" w:hAnsi="仿宋" w:eastAsia="仿宋"/>
          <w:b/>
          <w:sz w:val="32"/>
          <w:szCs w:val="32"/>
        </w:rPr>
        <w:t>9.1</w:t>
      </w:r>
      <w:r>
        <w:rPr>
          <w:rFonts w:ascii="仿宋" w:hAnsi="仿宋" w:eastAsia="仿宋"/>
          <w:sz w:val="32"/>
          <w:szCs w:val="32"/>
        </w:rPr>
        <w:t>%</w:t>
      </w:r>
      <w:r>
        <w:rPr>
          <w:rFonts w:hint="eastAsia" w:ascii="仿宋" w:hAnsi="仿宋" w:eastAsia="仿宋"/>
          <w:sz w:val="32"/>
          <w:szCs w:val="32"/>
        </w:rPr>
        <w:t>。</w:t>
      </w:r>
      <w:bookmarkEnd w:id="35"/>
      <w:bookmarkEnd w:id="36"/>
    </w:p>
    <w:p w14:paraId="5BE553E4">
      <w:pPr>
        <w:pStyle w:val="2"/>
        <w:jc w:val="center"/>
        <w:outlineLvl w:val="9"/>
      </w:pPr>
      <w:r>
        <w:drawing>
          <wp:inline distT="0" distB="0" distL="114300" distR="114300">
            <wp:extent cx="3668395" cy="2460625"/>
            <wp:effectExtent l="0" t="0" r="8255" b="158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3668395" cy="2460625"/>
                    </a:xfrm>
                    <a:prstGeom prst="rect">
                      <a:avLst/>
                    </a:prstGeom>
                    <a:noFill/>
                    <a:ln>
                      <a:noFill/>
                    </a:ln>
                  </pic:spPr>
                </pic:pic>
              </a:graphicData>
            </a:graphic>
          </wp:inline>
        </w:drawing>
      </w:r>
    </w:p>
    <w:p w14:paraId="5348CF96">
      <w:pPr>
        <w:spacing w:line="600" w:lineRule="exact"/>
        <w:ind w:firstLine="640" w:firstLineChars="200"/>
        <w:rPr>
          <w:rFonts w:ascii="仿宋_GB2312" w:eastAsia="仿宋_GB2312"/>
          <w:sz w:val="32"/>
          <w:szCs w:val="32"/>
        </w:rPr>
      </w:pPr>
      <w:r>
        <w:rPr>
          <w:rFonts w:hint="eastAsia" w:ascii="仿宋" w:hAnsi="仿宋" w:eastAsia="仿宋"/>
          <w:sz w:val="32"/>
          <w:szCs w:val="32"/>
        </w:rPr>
        <w:t>（图3：支出决算结构图）（饼状图）</w:t>
      </w:r>
    </w:p>
    <w:p w14:paraId="2DB6EDEA">
      <w:pPr>
        <w:spacing w:line="600" w:lineRule="exact"/>
        <w:ind w:firstLine="640" w:firstLineChars="200"/>
        <w:outlineLvl w:val="1"/>
        <w:rPr>
          <w:rStyle w:val="29"/>
          <w:rFonts w:ascii="黑体" w:hAnsi="黑体" w:eastAsia="黑体"/>
          <w:b w:val="0"/>
        </w:rPr>
      </w:pPr>
      <w:bookmarkStart w:id="37" w:name="_Toc9061"/>
      <w:bookmarkStart w:id="38" w:name="_Toc15396606"/>
      <w:bookmarkStart w:id="39" w:name="_Toc15377208"/>
      <w:r>
        <w:rPr>
          <w:rFonts w:hint="eastAsia" w:ascii="黑体" w:hAnsi="黑体" w:eastAsia="黑体"/>
          <w:sz w:val="32"/>
          <w:szCs w:val="32"/>
        </w:rPr>
        <w:t>四、财</w:t>
      </w:r>
      <w:r>
        <w:rPr>
          <w:rStyle w:val="29"/>
          <w:rFonts w:hint="eastAsia" w:ascii="黑体" w:hAnsi="黑体" w:eastAsia="黑体"/>
          <w:b w:val="0"/>
        </w:rPr>
        <w:t>政拨款收入支出决算总体情况说明</w:t>
      </w:r>
      <w:bookmarkEnd w:id="37"/>
      <w:bookmarkEnd w:id="38"/>
      <w:bookmarkEnd w:id="39"/>
    </w:p>
    <w:p w14:paraId="1DF1DE0D">
      <w:pPr>
        <w:spacing w:line="600" w:lineRule="exact"/>
        <w:ind w:firstLine="640"/>
        <w:rPr>
          <w:rFonts w:ascii="仿宋" w:hAnsi="仿宋" w:eastAsia="仿宋"/>
          <w:sz w:val="32"/>
          <w:szCs w:val="32"/>
        </w:rPr>
      </w:pPr>
      <w:r>
        <w:rPr>
          <w:rFonts w:hint="eastAsia" w:ascii="仿宋" w:hAnsi="仿宋" w:eastAsia="仿宋"/>
          <w:sz w:val="32"/>
          <w:szCs w:val="32"/>
        </w:rPr>
        <w:t>2023年度财政拨款收、支总计均为</w:t>
      </w:r>
      <w:r>
        <w:rPr>
          <w:rFonts w:ascii="仿宋" w:hAnsi="仿宋" w:eastAsia="仿宋"/>
          <w:b/>
          <w:sz w:val="32"/>
          <w:szCs w:val="32"/>
        </w:rPr>
        <w:t>329.69</w:t>
      </w:r>
      <w:r>
        <w:rPr>
          <w:rFonts w:hint="eastAsia" w:ascii="仿宋" w:hAnsi="仿宋" w:eastAsia="仿宋"/>
          <w:sz w:val="32"/>
          <w:szCs w:val="32"/>
        </w:rPr>
        <w:t>万元。与2022年度相比，财政拨款收、支总计各增加</w:t>
      </w:r>
      <w:r>
        <w:rPr>
          <w:rFonts w:hint="eastAsia" w:ascii="仿宋" w:hAnsi="仿宋" w:eastAsia="仿宋"/>
          <w:sz w:val="32"/>
          <w:szCs w:val="32"/>
          <w:lang w:val="en-US" w:eastAsia="zh-CN"/>
        </w:rPr>
        <w:t>58.93</w:t>
      </w:r>
      <w:r>
        <w:rPr>
          <w:rFonts w:hint="eastAsia" w:ascii="仿宋" w:hAnsi="仿宋" w:eastAsia="仿宋"/>
          <w:sz w:val="32"/>
          <w:szCs w:val="32"/>
        </w:rPr>
        <w:t>万元，增长</w:t>
      </w:r>
      <w:r>
        <w:rPr>
          <w:rFonts w:ascii="仿宋" w:hAnsi="仿宋" w:eastAsia="仿宋"/>
          <w:sz w:val="32"/>
          <w:szCs w:val="32"/>
        </w:rPr>
        <w:t>/</w:t>
      </w:r>
      <w:r>
        <w:rPr>
          <w:rFonts w:hint="eastAsia" w:ascii="仿宋" w:hAnsi="仿宋" w:eastAsia="仿宋"/>
          <w:sz w:val="32"/>
          <w:szCs w:val="32"/>
        </w:rPr>
        <w:t>下降</w:t>
      </w:r>
      <w:r>
        <w:rPr>
          <w:rFonts w:hint="eastAsia" w:ascii="仿宋" w:hAnsi="仿宋" w:eastAsia="仿宋"/>
          <w:sz w:val="32"/>
          <w:szCs w:val="32"/>
          <w:lang w:val="en-US" w:eastAsia="zh-CN"/>
        </w:rPr>
        <w:t>17.87</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项目经费增加。</w:t>
      </w:r>
    </w:p>
    <w:p w14:paraId="6B7A8A9F">
      <w:pPr>
        <w:pStyle w:val="2"/>
        <w:outlineLvl w:val="9"/>
      </w:pPr>
      <w:r>
        <w:drawing>
          <wp:inline distT="0" distB="0" distL="114300" distR="114300">
            <wp:extent cx="4629150" cy="2494915"/>
            <wp:effectExtent l="4445" t="5080" r="14605" b="14605"/>
            <wp:docPr id="11"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E536B2B">
      <w:pPr>
        <w:spacing w:line="600" w:lineRule="exact"/>
        <w:ind w:firstLine="640" w:firstLineChars="200"/>
        <w:rPr>
          <w:rFonts w:ascii="仿宋" w:hAnsi="仿宋" w:eastAsia="仿宋"/>
          <w:sz w:val="32"/>
          <w:szCs w:val="32"/>
        </w:rPr>
      </w:pPr>
      <w:r>
        <w:rPr>
          <w:rFonts w:hint="eastAsia" w:ascii="仿宋" w:hAnsi="仿宋" w:eastAsia="仿宋"/>
          <w:sz w:val="32"/>
          <w:szCs w:val="32"/>
        </w:rPr>
        <w:t>（图4：财政拨款收、支决算总计变动情况）（柱状图）</w:t>
      </w:r>
    </w:p>
    <w:p w14:paraId="150579D2">
      <w:pPr>
        <w:spacing w:line="600" w:lineRule="exact"/>
        <w:ind w:firstLine="640"/>
        <w:rPr>
          <w:rFonts w:ascii="仿宋" w:hAnsi="仿宋" w:eastAsia="仿宋"/>
          <w:b/>
          <w:sz w:val="32"/>
          <w:szCs w:val="32"/>
        </w:rPr>
      </w:pPr>
    </w:p>
    <w:p w14:paraId="289B6AC2">
      <w:pPr>
        <w:spacing w:line="600" w:lineRule="exact"/>
        <w:ind w:firstLine="640" w:firstLineChars="200"/>
        <w:outlineLvl w:val="1"/>
        <w:rPr>
          <w:rStyle w:val="29"/>
          <w:rFonts w:ascii="黑体" w:hAnsi="黑体" w:eastAsia="黑体"/>
          <w:b w:val="0"/>
        </w:rPr>
      </w:pPr>
      <w:bookmarkStart w:id="40" w:name="_Toc15377209"/>
      <w:bookmarkStart w:id="41" w:name="_Toc15396607"/>
      <w:bookmarkStart w:id="42" w:name="_Toc18804"/>
      <w:r>
        <w:rPr>
          <w:rFonts w:hint="eastAsia" w:ascii="黑体" w:hAnsi="黑体" w:eastAsia="黑体"/>
          <w:sz w:val="32"/>
          <w:szCs w:val="32"/>
        </w:rPr>
        <w:t>五、</w:t>
      </w:r>
      <w:r>
        <w:rPr>
          <w:rFonts w:hint="eastAsia" w:ascii="黑体" w:hAnsi="黑体" w:eastAsia="黑体"/>
          <w:b/>
          <w:sz w:val="32"/>
          <w:szCs w:val="32"/>
        </w:rPr>
        <w:t>一</w:t>
      </w:r>
      <w:r>
        <w:rPr>
          <w:rStyle w:val="29"/>
          <w:rFonts w:hint="eastAsia" w:ascii="黑体" w:hAnsi="黑体" w:eastAsia="黑体"/>
          <w:b w:val="0"/>
        </w:rPr>
        <w:t>般公共预算财政拨款支出决算情况说明</w:t>
      </w:r>
      <w:bookmarkEnd w:id="40"/>
      <w:bookmarkEnd w:id="41"/>
      <w:bookmarkEnd w:id="42"/>
    </w:p>
    <w:p w14:paraId="30FB1ED3">
      <w:pPr>
        <w:spacing w:line="600" w:lineRule="exact"/>
        <w:ind w:firstLine="643" w:firstLineChars="200"/>
        <w:outlineLvl w:val="2"/>
        <w:rPr>
          <w:rFonts w:ascii="仿宋" w:hAnsi="仿宋" w:eastAsia="仿宋"/>
          <w:b/>
          <w:sz w:val="32"/>
          <w:szCs w:val="32"/>
        </w:rPr>
      </w:pPr>
      <w:bookmarkStart w:id="43" w:name="_Toc15377210"/>
      <w:bookmarkStart w:id="44" w:name="_Toc28209"/>
      <w:r>
        <w:rPr>
          <w:rFonts w:hint="eastAsia" w:ascii="仿宋" w:hAnsi="仿宋" w:eastAsia="仿宋"/>
          <w:b/>
          <w:sz w:val="32"/>
          <w:szCs w:val="32"/>
        </w:rPr>
        <w:t>（一）一般公共预算财政拨款支出决算总体情况</w:t>
      </w:r>
      <w:bookmarkEnd w:id="43"/>
      <w:bookmarkEnd w:id="44"/>
    </w:p>
    <w:p w14:paraId="5FEA4F69">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2023年度一般公共预算财政拨款支出</w:t>
      </w:r>
      <w:r>
        <w:rPr>
          <w:rFonts w:ascii="仿宋" w:hAnsi="仿宋" w:eastAsia="仿宋"/>
          <w:b/>
          <w:sz w:val="32"/>
          <w:szCs w:val="32"/>
        </w:rPr>
        <w:t>329.69</w:t>
      </w:r>
      <w:r>
        <w:rPr>
          <w:rFonts w:hint="eastAsia" w:ascii="仿宋" w:hAnsi="仿宋" w:eastAsia="仿宋"/>
          <w:sz w:val="32"/>
          <w:szCs w:val="32"/>
        </w:rPr>
        <w:t>万元，占本年支出合计的</w:t>
      </w:r>
      <w:r>
        <w:rPr>
          <w:rFonts w:ascii="仿宋" w:hAnsi="仿宋" w:eastAsia="仿宋"/>
          <w:b/>
          <w:sz w:val="32"/>
          <w:szCs w:val="32"/>
        </w:rPr>
        <w:t>96.04</w:t>
      </w:r>
      <w:r>
        <w:rPr>
          <w:rFonts w:ascii="仿宋" w:hAnsi="仿宋" w:eastAsia="仿宋"/>
          <w:sz w:val="32"/>
          <w:szCs w:val="32"/>
        </w:rPr>
        <w:t>%</w:t>
      </w:r>
      <w:r>
        <w:rPr>
          <w:rFonts w:hint="eastAsia" w:ascii="仿宋" w:hAnsi="仿宋" w:eastAsia="仿宋"/>
          <w:sz w:val="32"/>
          <w:szCs w:val="32"/>
        </w:rPr>
        <w:t>。与2022年度相比，一般公共预算财政拨款支出增加</w:t>
      </w:r>
      <w:r>
        <w:rPr>
          <w:rFonts w:hint="eastAsia" w:ascii="仿宋" w:hAnsi="仿宋" w:eastAsia="仿宋"/>
          <w:sz w:val="32"/>
          <w:szCs w:val="32"/>
          <w:lang w:val="en-US" w:eastAsia="zh-CN"/>
        </w:rPr>
        <w:t>58.93</w:t>
      </w:r>
      <w:r>
        <w:rPr>
          <w:rFonts w:hint="eastAsia" w:ascii="仿宋" w:hAnsi="仿宋" w:eastAsia="仿宋"/>
          <w:sz w:val="32"/>
          <w:szCs w:val="32"/>
        </w:rPr>
        <w:t>万元，增长</w:t>
      </w:r>
      <w:r>
        <w:rPr>
          <w:rFonts w:hint="eastAsia" w:ascii="仿宋" w:hAnsi="仿宋" w:eastAsia="仿宋"/>
          <w:sz w:val="32"/>
          <w:szCs w:val="32"/>
          <w:lang w:val="en-US" w:eastAsia="zh-CN"/>
        </w:rPr>
        <w:t>21.76</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人员增加。</w:t>
      </w:r>
    </w:p>
    <w:p w14:paraId="6353F96D">
      <w:pPr>
        <w:spacing w:line="600" w:lineRule="exact"/>
        <w:ind w:firstLine="640" w:firstLineChars="200"/>
        <w:rPr>
          <w:rFonts w:ascii="仿宋" w:hAnsi="仿宋" w:eastAsia="仿宋"/>
          <w:sz w:val="32"/>
          <w:szCs w:val="32"/>
        </w:rPr>
      </w:pPr>
    </w:p>
    <w:p w14:paraId="7F7C994C">
      <w:pPr>
        <w:jc w:val="center"/>
        <w:rPr>
          <w:rFonts w:hint="eastAsia" w:ascii="仿宋" w:hAnsi="仿宋" w:eastAsia="仿宋"/>
          <w:sz w:val="32"/>
          <w:szCs w:val="32"/>
        </w:rPr>
      </w:pPr>
      <w:r>
        <w:drawing>
          <wp:inline distT="0" distB="0" distL="114300" distR="114300">
            <wp:extent cx="4572000" cy="2743200"/>
            <wp:effectExtent l="4445" t="4445" r="14605" b="14605"/>
            <wp:docPr id="12"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F65E68E">
      <w:pPr>
        <w:spacing w:line="600" w:lineRule="exact"/>
        <w:ind w:firstLine="560" w:firstLineChars="200"/>
        <w:rPr>
          <w:rFonts w:ascii="仿宋" w:hAnsi="仿宋" w:eastAsia="仿宋"/>
          <w:sz w:val="28"/>
          <w:szCs w:val="28"/>
        </w:rPr>
      </w:pPr>
      <w:r>
        <w:rPr>
          <w:rFonts w:hint="eastAsia" w:ascii="仿宋" w:hAnsi="仿宋" w:eastAsia="仿宋"/>
          <w:sz w:val="28"/>
          <w:szCs w:val="28"/>
        </w:rPr>
        <w:t>（图5：一般公共预算财政拨款支出决算变动情况）（柱状图）</w:t>
      </w:r>
    </w:p>
    <w:p w14:paraId="351C97A1">
      <w:pPr>
        <w:spacing w:line="600" w:lineRule="exact"/>
        <w:ind w:firstLine="643" w:firstLineChars="200"/>
        <w:outlineLvl w:val="2"/>
        <w:rPr>
          <w:rFonts w:ascii="仿宋" w:hAnsi="仿宋" w:eastAsia="仿宋"/>
          <w:b/>
          <w:sz w:val="32"/>
          <w:szCs w:val="32"/>
        </w:rPr>
      </w:pPr>
      <w:bookmarkStart w:id="45" w:name="_Toc15377211"/>
      <w:bookmarkStart w:id="46" w:name="_Toc19372"/>
      <w:r>
        <w:rPr>
          <w:rFonts w:hint="eastAsia" w:ascii="仿宋" w:hAnsi="仿宋" w:eastAsia="仿宋"/>
          <w:b/>
          <w:sz w:val="32"/>
          <w:szCs w:val="32"/>
        </w:rPr>
        <w:t>（二）一般公共预算财政拨款支出决算结构情况</w:t>
      </w:r>
      <w:bookmarkEnd w:id="45"/>
      <w:bookmarkEnd w:id="46"/>
    </w:p>
    <w:p w14:paraId="6F54B4B5">
      <w:pPr>
        <w:spacing w:line="600" w:lineRule="exact"/>
        <w:ind w:firstLine="640"/>
        <w:rPr>
          <w:rFonts w:ascii="仿宋" w:hAnsi="仿宋" w:eastAsia="仿宋"/>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329.69</w:t>
      </w:r>
      <w:r>
        <w:rPr>
          <w:rFonts w:hint="eastAsia" w:ascii="仿宋" w:hAnsi="仿宋" w:eastAsia="仿宋"/>
          <w:sz w:val="32"/>
          <w:szCs w:val="32"/>
        </w:rPr>
        <w:t>万元，</w:t>
      </w:r>
      <w:r>
        <w:rPr>
          <w:rFonts w:hint="eastAsia" w:ascii="仿宋" w:hAnsi="仿宋" w:eastAsia="仿宋"/>
          <w:kern w:val="21"/>
          <w:sz w:val="32"/>
          <w:szCs w:val="32"/>
        </w:rPr>
        <w:t>主要用于以下方面：社会保障和就业支出</w:t>
      </w:r>
      <w:r>
        <w:rPr>
          <w:rFonts w:hint="eastAsia" w:ascii="仿宋" w:hAnsi="仿宋" w:eastAsia="仿宋"/>
          <w:kern w:val="21"/>
          <w:sz w:val="32"/>
          <w:szCs w:val="32"/>
          <w:lang w:val="en-US" w:eastAsia="zh-CN"/>
        </w:rPr>
        <w:t>41.44</w:t>
      </w:r>
      <w:r>
        <w:rPr>
          <w:rFonts w:hint="eastAsia" w:ascii="仿宋" w:hAnsi="仿宋" w:eastAsia="仿宋"/>
          <w:kern w:val="21"/>
          <w:sz w:val="32"/>
          <w:szCs w:val="32"/>
        </w:rPr>
        <w:t>万元，占</w:t>
      </w:r>
      <w:r>
        <w:rPr>
          <w:rFonts w:hint="eastAsia" w:ascii="仿宋" w:hAnsi="仿宋" w:eastAsia="仿宋"/>
          <w:kern w:val="21"/>
          <w:sz w:val="32"/>
          <w:szCs w:val="32"/>
          <w:lang w:val="en-US" w:eastAsia="zh-CN"/>
        </w:rPr>
        <w:t>12.57</w:t>
      </w:r>
      <w:r>
        <w:rPr>
          <w:rFonts w:hint="eastAsia" w:ascii="仿宋" w:hAnsi="仿宋" w:eastAsia="仿宋"/>
          <w:kern w:val="21"/>
          <w:sz w:val="32"/>
          <w:szCs w:val="32"/>
        </w:rPr>
        <w:t>％；卫生健康支出</w:t>
      </w:r>
      <w:r>
        <w:rPr>
          <w:rFonts w:hint="eastAsia" w:ascii="仿宋" w:hAnsi="仿宋" w:eastAsia="仿宋"/>
          <w:kern w:val="21"/>
          <w:sz w:val="32"/>
          <w:szCs w:val="32"/>
          <w:lang w:val="en-US" w:eastAsia="zh-CN"/>
        </w:rPr>
        <w:t>264.80</w:t>
      </w:r>
      <w:r>
        <w:rPr>
          <w:rFonts w:hint="eastAsia" w:ascii="仿宋" w:hAnsi="仿宋" w:eastAsia="仿宋"/>
          <w:kern w:val="21"/>
          <w:sz w:val="32"/>
          <w:szCs w:val="32"/>
        </w:rPr>
        <w:t>万元，占8</w:t>
      </w:r>
      <w:r>
        <w:rPr>
          <w:rFonts w:hint="eastAsia" w:ascii="仿宋" w:hAnsi="仿宋" w:eastAsia="仿宋"/>
          <w:kern w:val="21"/>
          <w:sz w:val="32"/>
          <w:szCs w:val="32"/>
          <w:lang w:val="en-US" w:eastAsia="zh-CN"/>
        </w:rPr>
        <w:t>0.32</w:t>
      </w:r>
      <w:r>
        <w:rPr>
          <w:rFonts w:hint="eastAsia" w:ascii="仿宋" w:hAnsi="仿宋" w:eastAsia="仿宋"/>
          <w:kern w:val="21"/>
          <w:sz w:val="32"/>
          <w:szCs w:val="32"/>
        </w:rPr>
        <w:t>％；住房保障支出</w:t>
      </w:r>
      <w:r>
        <w:rPr>
          <w:rFonts w:hint="eastAsia" w:ascii="仿宋" w:hAnsi="仿宋" w:eastAsia="仿宋"/>
          <w:kern w:val="21"/>
          <w:sz w:val="32"/>
          <w:szCs w:val="32"/>
          <w:lang w:val="en-US" w:eastAsia="zh-CN"/>
        </w:rPr>
        <w:t>23.45</w:t>
      </w:r>
      <w:r>
        <w:rPr>
          <w:rFonts w:hint="eastAsia" w:ascii="仿宋" w:hAnsi="仿宋" w:eastAsia="仿宋"/>
          <w:kern w:val="21"/>
          <w:sz w:val="32"/>
          <w:szCs w:val="32"/>
        </w:rPr>
        <w:t>万元，占</w:t>
      </w:r>
      <w:r>
        <w:rPr>
          <w:rFonts w:hint="eastAsia" w:ascii="仿宋" w:hAnsi="仿宋" w:eastAsia="仿宋"/>
          <w:kern w:val="21"/>
          <w:sz w:val="32"/>
          <w:szCs w:val="32"/>
          <w:lang w:val="en-US" w:eastAsia="zh-CN"/>
        </w:rPr>
        <w:t>7.11</w:t>
      </w:r>
      <w:r>
        <w:rPr>
          <w:rFonts w:hint="eastAsia" w:ascii="仿宋" w:hAnsi="仿宋" w:eastAsia="仿宋"/>
          <w:kern w:val="21"/>
          <w:sz w:val="32"/>
          <w:szCs w:val="32"/>
        </w:rPr>
        <w:t>％。</w:t>
      </w:r>
    </w:p>
    <w:p w14:paraId="36261F87">
      <w:pPr>
        <w:pStyle w:val="2"/>
        <w:jc w:val="center"/>
        <w:outlineLvl w:val="9"/>
      </w:pPr>
      <w:r>
        <w:drawing>
          <wp:inline distT="0" distB="0" distL="114300" distR="114300">
            <wp:extent cx="4572000" cy="2743200"/>
            <wp:effectExtent l="4445" t="4445" r="14605" b="14605"/>
            <wp:docPr id="14"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D4EEFCF">
      <w:pPr>
        <w:spacing w:line="600" w:lineRule="exact"/>
        <w:ind w:firstLine="560" w:firstLineChars="200"/>
        <w:rPr>
          <w:rFonts w:ascii="仿宋" w:hAnsi="仿宋" w:eastAsia="仿宋"/>
          <w:sz w:val="28"/>
          <w:szCs w:val="28"/>
        </w:rPr>
      </w:pPr>
      <w:r>
        <w:rPr>
          <w:rFonts w:hint="eastAsia" w:ascii="仿宋" w:hAnsi="仿宋" w:eastAsia="仿宋"/>
          <w:sz w:val="28"/>
          <w:szCs w:val="28"/>
        </w:rPr>
        <w:t>（图6：一般公共预算财政拨款支出决算结构）（饼状图）</w:t>
      </w:r>
    </w:p>
    <w:p w14:paraId="44BE3765">
      <w:pPr>
        <w:spacing w:line="600" w:lineRule="exact"/>
        <w:ind w:firstLine="643" w:firstLineChars="200"/>
        <w:outlineLvl w:val="2"/>
        <w:rPr>
          <w:rFonts w:ascii="仿宋" w:hAnsi="仿宋" w:eastAsia="仿宋"/>
          <w:b/>
          <w:sz w:val="32"/>
          <w:szCs w:val="32"/>
        </w:rPr>
      </w:pPr>
      <w:bookmarkStart w:id="47" w:name="_Toc15377212"/>
      <w:bookmarkStart w:id="48" w:name="_Toc24272"/>
      <w:r>
        <w:rPr>
          <w:rFonts w:hint="eastAsia" w:ascii="仿宋" w:hAnsi="仿宋" w:eastAsia="仿宋"/>
          <w:b/>
          <w:sz w:val="32"/>
          <w:szCs w:val="32"/>
        </w:rPr>
        <w:t>（三）一般公共预算财政拨款支出决算具体情况</w:t>
      </w:r>
      <w:bookmarkEnd w:id="47"/>
      <w:bookmarkEnd w:id="48"/>
    </w:p>
    <w:p w14:paraId="0A9FAB92">
      <w:pPr>
        <w:spacing w:line="600" w:lineRule="exact"/>
        <w:ind w:firstLine="640"/>
        <w:rPr>
          <w:rFonts w:hint="eastAsia" w:ascii="仿宋" w:hAnsi="仿宋" w:eastAsia="仿宋"/>
          <w:kern w:val="21"/>
          <w:sz w:val="32"/>
          <w:szCs w:val="32"/>
        </w:rPr>
      </w:pPr>
      <w:bookmarkStart w:id="49" w:name="_Toc15377444"/>
      <w:bookmarkStart w:id="50" w:name="_Toc15377213"/>
      <w:bookmarkStart w:id="51" w:name="_Toc15378460"/>
      <w:r>
        <w:rPr>
          <w:rFonts w:hint="eastAsia" w:ascii="仿宋" w:hAnsi="仿宋" w:eastAsia="仿宋"/>
          <w:b/>
          <w:sz w:val="32"/>
          <w:szCs w:val="32"/>
        </w:rPr>
        <w:t>2023年度一般公共预算支出决算数为</w:t>
      </w:r>
      <w:r>
        <w:rPr>
          <w:rFonts w:ascii="仿宋" w:hAnsi="仿宋" w:eastAsia="仿宋"/>
          <w:b/>
          <w:sz w:val="32"/>
          <w:szCs w:val="32"/>
        </w:rPr>
        <w:t>329.69</w:t>
      </w:r>
      <w:r>
        <w:rPr>
          <w:rFonts w:hint="eastAsia" w:ascii="仿宋" w:hAnsi="仿宋" w:eastAsia="仿宋"/>
          <w:sz w:val="32"/>
          <w:szCs w:val="32"/>
        </w:rPr>
        <w:t>，</w:t>
      </w:r>
      <w:bookmarkEnd w:id="49"/>
      <w:bookmarkEnd w:id="50"/>
      <w:bookmarkEnd w:id="51"/>
      <w:r>
        <w:rPr>
          <w:rFonts w:hint="eastAsia" w:ascii="仿宋" w:hAnsi="仿宋" w:eastAsia="仿宋"/>
          <w:kern w:val="21"/>
          <w:sz w:val="32"/>
          <w:szCs w:val="32"/>
        </w:rPr>
        <w:t>完成预算100％。其中：</w:t>
      </w:r>
    </w:p>
    <w:p w14:paraId="082F335E">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1．社会保障和就业支出（类）行政事业单位养老支出、（款）机关事业单位基本养老保险缴费支出（项）：支出决算</w:t>
      </w:r>
      <w:r>
        <w:rPr>
          <w:rFonts w:hint="eastAsia" w:ascii="仿宋" w:hAnsi="仿宋" w:eastAsia="仿宋"/>
          <w:kern w:val="21"/>
          <w:sz w:val="32"/>
          <w:szCs w:val="32"/>
          <w:lang w:val="en-US" w:eastAsia="zh-CN"/>
        </w:rPr>
        <w:t>27.77</w:t>
      </w:r>
      <w:r>
        <w:rPr>
          <w:rFonts w:hint="eastAsia" w:ascii="仿宋" w:hAnsi="仿宋" w:eastAsia="仿宋"/>
          <w:kern w:val="21"/>
          <w:sz w:val="32"/>
          <w:szCs w:val="32"/>
        </w:rPr>
        <w:t>万元，完成预算100％。</w:t>
      </w:r>
    </w:p>
    <w:p w14:paraId="174E8246">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2．社会保障和就业支出（类）行政事业单位养老支出（款）机关事业单位职业年金缴费支出（项）：支出决算</w:t>
      </w:r>
      <w:r>
        <w:rPr>
          <w:rFonts w:hint="eastAsia" w:ascii="仿宋" w:hAnsi="仿宋" w:eastAsia="仿宋"/>
          <w:kern w:val="21"/>
          <w:sz w:val="32"/>
          <w:szCs w:val="32"/>
          <w:lang w:val="en-US" w:eastAsia="zh-CN"/>
        </w:rPr>
        <w:t>13.67</w:t>
      </w:r>
      <w:r>
        <w:rPr>
          <w:rFonts w:hint="eastAsia" w:ascii="仿宋" w:hAnsi="仿宋" w:eastAsia="仿宋"/>
          <w:kern w:val="21"/>
          <w:sz w:val="32"/>
          <w:szCs w:val="32"/>
        </w:rPr>
        <w:t>万元，完成预算100％。</w:t>
      </w:r>
    </w:p>
    <w:p w14:paraId="1FCE5EAF">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3．卫生健康支出（类）基层医疗卫生机构（款）乡镇卫生院（项）：支出决算</w:t>
      </w:r>
      <w:r>
        <w:rPr>
          <w:rFonts w:hint="eastAsia" w:ascii="仿宋" w:hAnsi="仿宋" w:eastAsia="仿宋"/>
          <w:kern w:val="21"/>
          <w:sz w:val="32"/>
          <w:szCs w:val="32"/>
          <w:lang w:val="en-US" w:eastAsia="zh-CN"/>
        </w:rPr>
        <w:t>218</w:t>
      </w:r>
      <w:r>
        <w:rPr>
          <w:rFonts w:hint="eastAsia" w:ascii="仿宋" w:hAnsi="仿宋" w:eastAsia="仿宋"/>
          <w:kern w:val="21"/>
          <w:sz w:val="32"/>
          <w:szCs w:val="32"/>
        </w:rPr>
        <w:t>万元，完成预算100％。</w:t>
      </w:r>
    </w:p>
    <w:p w14:paraId="31F8C5C1">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4．卫生健康支出（类）基层医疗卫生机构（款）其他基层医疗卫生机构支出（项）：支出决算</w:t>
      </w:r>
      <w:r>
        <w:rPr>
          <w:rFonts w:hint="eastAsia" w:ascii="仿宋" w:hAnsi="仿宋" w:eastAsia="仿宋"/>
          <w:kern w:val="21"/>
          <w:sz w:val="32"/>
          <w:szCs w:val="32"/>
          <w:lang w:val="en-US" w:eastAsia="zh-CN"/>
        </w:rPr>
        <w:t>4.86</w:t>
      </w:r>
      <w:r>
        <w:rPr>
          <w:rFonts w:hint="eastAsia" w:ascii="仿宋" w:hAnsi="仿宋" w:eastAsia="仿宋"/>
          <w:kern w:val="21"/>
          <w:sz w:val="32"/>
          <w:szCs w:val="32"/>
        </w:rPr>
        <w:t>万元，完成预算100％。</w:t>
      </w:r>
    </w:p>
    <w:p w14:paraId="6CFED67E">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5．卫生健康支出（类）公共卫生（款）基本公共卫生服务（项）：支出决算</w:t>
      </w:r>
      <w:r>
        <w:rPr>
          <w:rFonts w:hint="eastAsia" w:ascii="仿宋" w:hAnsi="仿宋" w:eastAsia="仿宋"/>
          <w:kern w:val="21"/>
          <w:sz w:val="32"/>
          <w:szCs w:val="32"/>
          <w:lang w:val="en-US" w:eastAsia="zh-CN"/>
        </w:rPr>
        <w:t>26.39</w:t>
      </w:r>
      <w:r>
        <w:rPr>
          <w:rFonts w:hint="eastAsia" w:ascii="仿宋" w:hAnsi="仿宋" w:eastAsia="仿宋"/>
          <w:kern w:val="21"/>
          <w:sz w:val="32"/>
          <w:szCs w:val="32"/>
        </w:rPr>
        <w:t>万元，完成预算100％。</w:t>
      </w:r>
    </w:p>
    <w:p w14:paraId="08D15629">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6．卫生健康支出（类）行政事业单位医疗（款）事业单位医疗（项）：支出决算</w:t>
      </w:r>
      <w:r>
        <w:rPr>
          <w:rFonts w:hint="eastAsia" w:ascii="仿宋" w:hAnsi="仿宋" w:eastAsia="仿宋"/>
          <w:kern w:val="21"/>
          <w:sz w:val="32"/>
          <w:szCs w:val="32"/>
          <w:lang w:val="en-US" w:eastAsia="zh-CN"/>
        </w:rPr>
        <w:t>12.12</w:t>
      </w:r>
      <w:r>
        <w:rPr>
          <w:rFonts w:hint="eastAsia" w:ascii="仿宋" w:hAnsi="仿宋" w:eastAsia="仿宋"/>
          <w:kern w:val="21"/>
          <w:sz w:val="32"/>
          <w:szCs w:val="32"/>
        </w:rPr>
        <w:t>万元，完成预算100％。</w:t>
      </w:r>
    </w:p>
    <w:p w14:paraId="51DA8642">
      <w:pPr>
        <w:spacing w:line="600" w:lineRule="exact"/>
        <w:ind w:firstLine="640" w:firstLineChars="200"/>
        <w:rPr>
          <w:rFonts w:hint="eastAsia" w:ascii="仿宋" w:hAnsi="仿宋" w:eastAsia="仿宋"/>
          <w:kern w:val="21"/>
          <w:sz w:val="32"/>
          <w:szCs w:val="32"/>
          <w:lang w:eastAsia="zh-CN"/>
        </w:rPr>
      </w:pPr>
      <w:r>
        <w:rPr>
          <w:rFonts w:hint="eastAsia" w:ascii="仿宋" w:hAnsi="仿宋" w:eastAsia="仿宋"/>
          <w:kern w:val="21"/>
          <w:sz w:val="32"/>
          <w:szCs w:val="32"/>
        </w:rPr>
        <w:t>7．卫生健康支出（类）行政事业单位医疗（款）其他行政事业单位医疗支出（项）；支出决算</w:t>
      </w:r>
      <w:r>
        <w:rPr>
          <w:rFonts w:hint="eastAsia" w:ascii="仿宋" w:hAnsi="仿宋" w:eastAsia="仿宋"/>
          <w:kern w:val="21"/>
          <w:sz w:val="32"/>
          <w:szCs w:val="32"/>
          <w:lang w:val="en-US" w:eastAsia="zh-CN"/>
        </w:rPr>
        <w:t>3.43</w:t>
      </w:r>
      <w:r>
        <w:rPr>
          <w:rFonts w:hint="eastAsia" w:ascii="仿宋" w:hAnsi="仿宋" w:eastAsia="仿宋"/>
          <w:kern w:val="21"/>
          <w:sz w:val="32"/>
          <w:szCs w:val="32"/>
        </w:rPr>
        <w:t>万元，完成预算100％</w:t>
      </w:r>
      <w:r>
        <w:rPr>
          <w:rFonts w:hint="eastAsia" w:ascii="仿宋" w:hAnsi="仿宋" w:eastAsia="仿宋"/>
          <w:kern w:val="21"/>
          <w:sz w:val="32"/>
          <w:szCs w:val="32"/>
          <w:lang w:eastAsia="zh-CN"/>
        </w:rPr>
        <w:t>。</w:t>
      </w:r>
      <w:bookmarkStart w:id="52" w:name="_Toc15377214"/>
      <w:bookmarkStart w:id="53" w:name="_Toc15396608"/>
    </w:p>
    <w:p w14:paraId="6D4B6A38">
      <w:pPr>
        <w:spacing w:line="600" w:lineRule="exact"/>
        <w:ind w:firstLine="640" w:firstLineChars="200"/>
        <w:rPr>
          <w:rFonts w:hint="default"/>
          <w:lang w:val="en-US" w:eastAsia="zh-CN"/>
        </w:rPr>
      </w:pPr>
      <w:r>
        <w:rPr>
          <w:rFonts w:hint="eastAsia" w:ascii="仿宋" w:hAnsi="仿宋" w:eastAsia="仿宋" w:cs="Times New Roman"/>
          <w:b w:val="0"/>
          <w:kern w:val="21"/>
          <w:sz w:val="32"/>
          <w:szCs w:val="32"/>
          <w:lang w:val="en-US" w:eastAsia="zh-CN" w:bidi="ar-SA"/>
        </w:rPr>
        <w:t>8.住房保障支出（类）住房改革支出（款）住房公积金项）：</w:t>
      </w:r>
      <w:r>
        <w:rPr>
          <w:rFonts w:hint="eastAsia" w:ascii="仿宋" w:hAnsi="仿宋" w:eastAsia="仿宋"/>
          <w:kern w:val="21"/>
          <w:sz w:val="32"/>
          <w:szCs w:val="32"/>
        </w:rPr>
        <w:t>支出决算</w:t>
      </w:r>
      <w:r>
        <w:rPr>
          <w:rFonts w:hint="eastAsia" w:ascii="仿宋" w:hAnsi="仿宋" w:eastAsia="仿宋"/>
          <w:kern w:val="21"/>
          <w:sz w:val="32"/>
          <w:szCs w:val="32"/>
          <w:lang w:val="en-US" w:eastAsia="zh-CN"/>
        </w:rPr>
        <w:t>23.45</w:t>
      </w:r>
      <w:r>
        <w:rPr>
          <w:rFonts w:hint="eastAsia" w:ascii="仿宋" w:hAnsi="仿宋" w:eastAsia="仿宋"/>
          <w:kern w:val="21"/>
          <w:sz w:val="32"/>
          <w:szCs w:val="32"/>
        </w:rPr>
        <w:t>万元，完成预算100％</w:t>
      </w:r>
      <w:r>
        <w:rPr>
          <w:rFonts w:hint="eastAsia" w:ascii="仿宋" w:hAnsi="仿宋" w:eastAsia="仿宋"/>
          <w:kern w:val="21"/>
          <w:sz w:val="32"/>
          <w:szCs w:val="32"/>
          <w:lang w:eastAsia="zh-CN"/>
        </w:rPr>
        <w:t>。</w:t>
      </w:r>
      <w:r>
        <w:rPr>
          <w:rFonts w:hint="eastAsia" w:ascii="仿宋" w:hAnsi="仿宋" w:eastAsia="仿宋"/>
          <w:kern w:val="21"/>
          <w:sz w:val="32"/>
          <w:szCs w:val="32"/>
          <w:lang w:val="en-US" w:eastAsia="zh-CN"/>
        </w:rPr>
        <w:t xml:space="preserve">   </w:t>
      </w:r>
    </w:p>
    <w:p w14:paraId="068CA776">
      <w:pPr>
        <w:spacing w:line="600" w:lineRule="exact"/>
        <w:ind w:firstLine="640" w:firstLineChars="200"/>
        <w:outlineLvl w:val="1"/>
        <w:rPr>
          <w:rStyle w:val="29"/>
        </w:rPr>
      </w:pPr>
      <w:bookmarkStart w:id="54" w:name="_Toc13977"/>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9"/>
          <w:rFonts w:hint="eastAsia" w:ascii="黑体" w:hAnsi="黑体" w:eastAsia="黑体"/>
          <w:b w:val="0"/>
        </w:rPr>
        <w:t>般公共预算财政拨款基本支出决算情况说明</w:t>
      </w:r>
      <w:bookmarkEnd w:id="52"/>
      <w:bookmarkEnd w:id="53"/>
      <w:bookmarkEnd w:id="54"/>
      <w:r>
        <w:rPr>
          <w:rStyle w:val="29"/>
          <w:rFonts w:ascii="黑体" w:hAnsi="黑体" w:eastAsia="黑体"/>
          <w:b w:val="0"/>
        </w:rPr>
        <w:tab/>
      </w:r>
    </w:p>
    <w:p w14:paraId="0DA32207">
      <w:pPr>
        <w:spacing w:line="600" w:lineRule="exact"/>
        <w:ind w:firstLine="640"/>
        <w:rPr>
          <w:rFonts w:hint="eastAsia" w:ascii="仿宋" w:hAnsi="仿宋" w:eastAsia="仿宋"/>
          <w:sz w:val="32"/>
          <w:szCs w:val="32"/>
        </w:rPr>
      </w:pPr>
      <w:r>
        <w:rPr>
          <w:rFonts w:hint="eastAsia" w:ascii="仿宋" w:hAnsi="仿宋" w:eastAsia="仿宋"/>
          <w:sz w:val="32"/>
          <w:szCs w:val="32"/>
        </w:rPr>
        <w:t>2023年度一般公共预算财政拨款基本支出</w:t>
      </w:r>
      <w:r>
        <w:rPr>
          <w:rFonts w:hint="eastAsia" w:ascii="仿宋" w:hAnsi="仿宋" w:eastAsia="仿宋"/>
          <w:b/>
          <w:sz w:val="32"/>
          <w:szCs w:val="32"/>
          <w:lang w:val="en-US" w:eastAsia="zh-CN"/>
        </w:rPr>
        <w:t>298.44</w:t>
      </w:r>
      <w:r>
        <w:rPr>
          <w:rFonts w:hint="eastAsia" w:ascii="仿宋" w:hAnsi="仿宋" w:eastAsia="仿宋"/>
          <w:sz w:val="32"/>
          <w:szCs w:val="32"/>
        </w:rPr>
        <w:t>万元，其中：</w:t>
      </w:r>
    </w:p>
    <w:p w14:paraId="7FC2B392">
      <w:pPr>
        <w:spacing w:line="600" w:lineRule="exact"/>
        <w:ind w:firstLine="640"/>
        <w:rPr>
          <w:rFonts w:hint="eastAsia" w:ascii="仿宋" w:hAnsi="仿宋" w:eastAsia="仿宋"/>
          <w:sz w:val="32"/>
          <w:szCs w:val="32"/>
        </w:rPr>
      </w:pPr>
      <w:r>
        <w:rPr>
          <w:rFonts w:hint="eastAsia" w:ascii="仿宋" w:hAnsi="仿宋" w:eastAsia="仿宋"/>
          <w:sz w:val="32"/>
          <w:szCs w:val="32"/>
        </w:rPr>
        <w:t>人员经费296.07万元，主要包括：基本工资54.22万元、津贴补贴41.03万元、奖金70.69万元、绩效工资48.05万元、机关事业单位基本养老保险缴费27.77万元、职业年金缴费13.67万元、职工基本医疗保险缴费12.12万元、公务员医疗补助缴费3.43万元、其他社会保障缴费1.64万元、住房公积金23.45万元、奖励金0.01万元。</w:t>
      </w:r>
    </w:p>
    <w:p w14:paraId="69922358">
      <w:pPr>
        <w:spacing w:line="600" w:lineRule="exact"/>
        <w:ind w:firstLine="640"/>
        <w:rPr>
          <w:rFonts w:hint="eastAsia" w:ascii="仿宋" w:hAnsi="仿宋" w:eastAsia="仿宋"/>
          <w:b/>
          <w:sz w:val="32"/>
          <w:szCs w:val="32"/>
        </w:rPr>
      </w:pPr>
      <w:r>
        <w:rPr>
          <w:rFonts w:hint="eastAsia" w:ascii="仿宋" w:hAnsi="仿宋" w:eastAsia="仿宋"/>
          <w:sz w:val="32"/>
          <w:szCs w:val="32"/>
        </w:rPr>
        <w:t>公用经费2.36万元，主要包括：工会经费2.36万元。</w:t>
      </w:r>
    </w:p>
    <w:p w14:paraId="47B49D4F">
      <w:pPr>
        <w:spacing w:line="600" w:lineRule="exact"/>
        <w:ind w:firstLine="640"/>
        <w:outlineLvl w:val="1"/>
        <w:rPr>
          <w:rStyle w:val="29"/>
          <w:rFonts w:ascii="黑体" w:hAnsi="黑体" w:eastAsia="黑体"/>
          <w:b w:val="0"/>
        </w:rPr>
      </w:pPr>
      <w:bookmarkStart w:id="55" w:name="_Toc15396609"/>
      <w:bookmarkStart w:id="56" w:name="_Toc32723"/>
      <w:bookmarkStart w:id="57" w:name="_Toc15377215"/>
      <w:r>
        <w:rPr>
          <w:rFonts w:hint="eastAsia" w:ascii="黑体" w:eastAsia="黑体"/>
          <w:sz w:val="32"/>
          <w:szCs w:val="32"/>
        </w:rPr>
        <w:t>七、</w:t>
      </w:r>
      <w:r>
        <w:rPr>
          <w:rStyle w:val="29"/>
          <w:rFonts w:hint="eastAsia" w:ascii="黑体" w:hAnsi="黑体" w:eastAsia="黑体"/>
          <w:b w:val="0"/>
        </w:rPr>
        <w:t>财政拨款</w:t>
      </w:r>
      <w:r>
        <w:rPr>
          <w:rStyle w:val="29"/>
          <w:rFonts w:hint="eastAsia" w:ascii="黑体" w:hAnsi="黑体" w:eastAsia="黑体"/>
        </w:rPr>
        <w:t>“</w:t>
      </w:r>
      <w:r>
        <w:rPr>
          <w:rStyle w:val="29"/>
          <w:rFonts w:hint="eastAsia" w:ascii="黑体" w:hAnsi="黑体" w:eastAsia="黑体"/>
          <w:b w:val="0"/>
        </w:rPr>
        <w:t>三公”经费支出决算情况说明</w:t>
      </w:r>
      <w:bookmarkEnd w:id="55"/>
      <w:bookmarkEnd w:id="56"/>
      <w:bookmarkEnd w:id="57"/>
    </w:p>
    <w:p w14:paraId="7F6407FA">
      <w:pPr>
        <w:spacing w:line="600" w:lineRule="exact"/>
        <w:ind w:firstLine="640"/>
        <w:rPr>
          <w:rFonts w:hint="eastAsia" w:ascii="仿宋" w:hAnsi="仿宋" w:eastAsia="仿宋"/>
          <w:kern w:val="21"/>
          <w:sz w:val="32"/>
          <w:szCs w:val="32"/>
        </w:rPr>
      </w:pPr>
      <w:bookmarkStart w:id="58" w:name="_Toc15377218"/>
      <w:bookmarkStart w:id="59" w:name="_Toc15396610"/>
      <w:r>
        <w:rPr>
          <w:rFonts w:hint="eastAsia" w:ascii="仿宋" w:hAnsi="仿宋" w:eastAsia="仿宋"/>
          <w:kern w:val="21"/>
          <w:sz w:val="32"/>
          <w:szCs w:val="32"/>
          <w:lang w:eastAsia="zh-CN"/>
        </w:rPr>
        <w:t>（－）“</w:t>
      </w:r>
      <w:r>
        <w:rPr>
          <w:rFonts w:hint="eastAsia" w:ascii="仿宋" w:hAnsi="仿宋" w:eastAsia="仿宋"/>
          <w:kern w:val="21"/>
          <w:sz w:val="32"/>
          <w:szCs w:val="32"/>
        </w:rPr>
        <w:t>三公</w:t>
      </w:r>
      <w:r>
        <w:rPr>
          <w:rFonts w:hint="eastAsia" w:ascii="仿宋" w:hAnsi="仿宋" w:eastAsia="仿宋"/>
          <w:kern w:val="21"/>
          <w:sz w:val="32"/>
          <w:szCs w:val="32"/>
          <w:lang w:eastAsia="zh-CN"/>
        </w:rPr>
        <w:t>”</w:t>
      </w:r>
      <w:r>
        <w:rPr>
          <w:rFonts w:hint="eastAsia" w:ascii="仿宋" w:hAnsi="仿宋" w:eastAsia="仿宋"/>
          <w:kern w:val="21"/>
          <w:sz w:val="32"/>
          <w:szCs w:val="32"/>
        </w:rPr>
        <w:t>经费财政拨</w:t>
      </w:r>
      <w:bookmarkStart w:id="105" w:name="_GoBack"/>
      <w:bookmarkEnd w:id="105"/>
      <w:r>
        <w:rPr>
          <w:rFonts w:hint="eastAsia" w:ascii="仿宋" w:hAnsi="仿宋" w:eastAsia="仿宋"/>
          <w:kern w:val="21"/>
          <w:sz w:val="32"/>
          <w:szCs w:val="32"/>
        </w:rPr>
        <w:t>款支出决算总体情况说明</w:t>
      </w:r>
    </w:p>
    <w:p w14:paraId="619B354C">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2023年度“三公”经费财政拨款支出决算为0.00万元</w:t>
      </w:r>
      <w:r>
        <w:rPr>
          <w:rFonts w:hint="eastAsia" w:ascii="仿宋" w:hAnsi="仿宋" w:eastAsia="仿宋"/>
          <w:kern w:val="21"/>
          <w:sz w:val="32"/>
          <w:szCs w:val="32"/>
          <w:lang w:eastAsia="zh-CN"/>
        </w:rPr>
        <w:t>，</w:t>
      </w:r>
      <w:r>
        <w:rPr>
          <w:rFonts w:hint="eastAsia" w:ascii="仿宋" w:hAnsi="仿宋" w:eastAsia="仿宋"/>
          <w:kern w:val="21"/>
          <w:sz w:val="32"/>
          <w:szCs w:val="32"/>
        </w:rPr>
        <w:t>完成预算0.00%</w:t>
      </w:r>
      <w:r>
        <w:rPr>
          <w:rFonts w:hint="eastAsia" w:ascii="仿宋" w:hAnsi="仿宋" w:eastAsia="仿宋"/>
          <w:kern w:val="21"/>
          <w:sz w:val="32"/>
          <w:szCs w:val="32"/>
          <w:lang w:eastAsia="zh-CN"/>
        </w:rPr>
        <w:t>，</w:t>
      </w:r>
      <w:r>
        <w:rPr>
          <w:rFonts w:hint="eastAsia" w:ascii="仿宋" w:hAnsi="仿宋" w:eastAsia="仿宋"/>
          <w:kern w:val="21"/>
          <w:sz w:val="32"/>
          <w:szCs w:val="32"/>
        </w:rPr>
        <w:t>较上年度增加0.00万元</w:t>
      </w:r>
      <w:r>
        <w:rPr>
          <w:rFonts w:hint="eastAsia" w:ascii="仿宋" w:hAnsi="仿宋" w:eastAsia="仿宋"/>
          <w:kern w:val="21"/>
          <w:sz w:val="32"/>
          <w:szCs w:val="32"/>
          <w:lang w:eastAsia="zh-CN"/>
        </w:rPr>
        <w:t>，</w:t>
      </w:r>
      <w:r>
        <w:rPr>
          <w:rFonts w:hint="eastAsia" w:ascii="仿宋" w:hAnsi="仿宋" w:eastAsia="仿宋"/>
          <w:kern w:val="21"/>
          <w:sz w:val="32"/>
          <w:szCs w:val="32"/>
        </w:rPr>
        <w:t>增加0.00%。决算数小于预算数</w:t>
      </w:r>
      <w:r>
        <w:rPr>
          <w:rFonts w:hint="eastAsia" w:ascii="仿宋" w:hAnsi="仿宋" w:eastAsia="仿宋"/>
          <w:kern w:val="21"/>
          <w:sz w:val="32"/>
          <w:szCs w:val="32"/>
          <w:lang w:eastAsia="zh-CN"/>
        </w:rPr>
        <w:t>（</w:t>
      </w:r>
      <w:r>
        <w:rPr>
          <w:rFonts w:hint="eastAsia" w:ascii="仿宋" w:hAnsi="仿宋" w:eastAsia="仿宋"/>
          <w:kern w:val="21"/>
          <w:sz w:val="32"/>
          <w:szCs w:val="32"/>
        </w:rPr>
        <w:t>或与预算数持平</w:t>
      </w:r>
      <w:r>
        <w:rPr>
          <w:rFonts w:hint="eastAsia" w:ascii="仿宋" w:hAnsi="仿宋" w:eastAsia="仿宋"/>
          <w:kern w:val="21"/>
          <w:sz w:val="32"/>
          <w:szCs w:val="32"/>
          <w:lang w:eastAsia="zh-CN"/>
        </w:rPr>
        <w:t>）</w:t>
      </w:r>
      <w:r>
        <w:rPr>
          <w:rFonts w:hint="eastAsia" w:ascii="仿宋" w:hAnsi="仿宋" w:eastAsia="仿宋"/>
          <w:kern w:val="21"/>
          <w:sz w:val="32"/>
          <w:szCs w:val="32"/>
        </w:rPr>
        <w:t>的主要原因是</w:t>
      </w:r>
      <w:r>
        <w:rPr>
          <w:rFonts w:hint="eastAsia" w:ascii="仿宋" w:hAnsi="仿宋" w:eastAsia="仿宋"/>
          <w:kern w:val="21"/>
          <w:sz w:val="32"/>
          <w:szCs w:val="32"/>
          <w:lang w:eastAsia="zh-CN"/>
        </w:rPr>
        <w:t>无该项经费</w:t>
      </w:r>
      <w:r>
        <w:rPr>
          <w:rFonts w:hint="eastAsia" w:ascii="仿宋" w:hAnsi="仿宋" w:eastAsia="仿宋"/>
          <w:kern w:val="21"/>
          <w:sz w:val="32"/>
          <w:szCs w:val="32"/>
        </w:rPr>
        <w:t>。</w:t>
      </w:r>
    </w:p>
    <w:p w14:paraId="0FE6FD3A">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lang w:eastAsia="zh-CN"/>
        </w:rPr>
        <w:t>（</w:t>
      </w:r>
      <w:r>
        <w:rPr>
          <w:rFonts w:hint="eastAsia" w:ascii="仿宋" w:hAnsi="仿宋" w:eastAsia="仿宋"/>
          <w:kern w:val="21"/>
          <w:sz w:val="32"/>
          <w:szCs w:val="32"/>
        </w:rPr>
        <w:t>注</w:t>
      </w:r>
      <w:r>
        <w:rPr>
          <w:rFonts w:hint="eastAsia" w:ascii="仿宋" w:hAnsi="仿宋" w:eastAsia="仿宋"/>
          <w:kern w:val="21"/>
          <w:sz w:val="32"/>
          <w:szCs w:val="32"/>
          <w:lang w:eastAsia="zh-CN"/>
        </w:rPr>
        <w:t>：</w:t>
      </w:r>
      <w:r>
        <w:rPr>
          <w:rFonts w:hint="eastAsia" w:ascii="仿宋" w:hAnsi="仿宋" w:eastAsia="仿宋"/>
          <w:kern w:val="21"/>
          <w:sz w:val="32"/>
          <w:szCs w:val="32"/>
        </w:rPr>
        <w:t>上述“预算”口径为全年预算数</w:t>
      </w:r>
      <w:r>
        <w:rPr>
          <w:rFonts w:hint="eastAsia" w:ascii="仿宋" w:hAnsi="仿宋" w:eastAsia="仿宋"/>
          <w:kern w:val="21"/>
          <w:sz w:val="32"/>
          <w:szCs w:val="32"/>
          <w:lang w:eastAsia="zh-CN"/>
        </w:rPr>
        <w:t>，－</w:t>
      </w:r>
      <w:r>
        <w:rPr>
          <w:rFonts w:hint="eastAsia" w:ascii="仿宋" w:hAnsi="仿宋" w:eastAsia="仿宋"/>
          <w:kern w:val="21"/>
          <w:sz w:val="32"/>
          <w:szCs w:val="32"/>
        </w:rPr>
        <w:t>包括一般公共预算和政府性基金预算财政拨款支出决算情况。</w:t>
      </w:r>
      <w:r>
        <w:rPr>
          <w:rFonts w:hint="eastAsia" w:ascii="仿宋" w:hAnsi="仿宋" w:eastAsia="仿宋"/>
          <w:kern w:val="21"/>
          <w:sz w:val="32"/>
          <w:szCs w:val="32"/>
          <w:lang w:eastAsia="zh-CN"/>
        </w:rPr>
        <w:t>）</w:t>
      </w:r>
    </w:p>
    <w:p w14:paraId="5FB0C281">
      <w:pPr>
        <w:spacing w:line="600" w:lineRule="exact"/>
        <w:ind w:firstLine="640"/>
        <w:outlineLvl w:val="2"/>
        <w:rPr>
          <w:rFonts w:hint="eastAsia" w:ascii="仿宋" w:hAnsi="仿宋" w:eastAsia="仿宋"/>
          <w:kern w:val="21"/>
          <w:sz w:val="32"/>
          <w:szCs w:val="32"/>
        </w:rPr>
      </w:pPr>
      <w:bookmarkStart w:id="60" w:name="_Toc26068"/>
      <w:r>
        <w:rPr>
          <w:rFonts w:hint="eastAsia" w:ascii="仿宋" w:hAnsi="仿宋" w:eastAsia="仿宋"/>
          <w:kern w:val="21"/>
          <w:sz w:val="32"/>
          <w:szCs w:val="32"/>
          <w:lang w:eastAsia="zh-CN"/>
        </w:rPr>
        <w:t>（</w:t>
      </w:r>
      <w:r>
        <w:rPr>
          <w:rFonts w:hint="eastAsia" w:ascii="仿宋" w:hAnsi="仿宋" w:eastAsia="仿宋"/>
          <w:kern w:val="21"/>
          <w:sz w:val="32"/>
          <w:szCs w:val="32"/>
        </w:rPr>
        <w:t>二</w:t>
      </w:r>
      <w:r>
        <w:rPr>
          <w:rFonts w:hint="eastAsia" w:ascii="仿宋" w:hAnsi="仿宋" w:eastAsia="仿宋"/>
          <w:kern w:val="21"/>
          <w:sz w:val="32"/>
          <w:szCs w:val="32"/>
          <w:lang w:eastAsia="zh-CN"/>
        </w:rPr>
        <w:t>）</w:t>
      </w:r>
      <w:r>
        <w:rPr>
          <w:rFonts w:hint="eastAsia" w:ascii="仿宋" w:hAnsi="仿宋" w:eastAsia="仿宋"/>
          <w:kern w:val="21"/>
          <w:sz w:val="32"/>
          <w:szCs w:val="32"/>
        </w:rPr>
        <w:t>“三公”经费财政拨款支出决算具体情况说明</w:t>
      </w:r>
      <w:bookmarkEnd w:id="60"/>
    </w:p>
    <w:p w14:paraId="2C496D9A">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2023年度“三公”经费财政拨款支出0.00万元，因公出国（境）费支出决算0.00万元，占0.00％；公务用车购置及运行维护费支出决算0.00万元，占0.00％；公务接待费支出决算0.00万元，占0.00％。具体情况如下：</w:t>
      </w:r>
    </w:p>
    <w:p w14:paraId="0FE1DEC3">
      <w:pPr>
        <w:pStyle w:val="2"/>
        <w:jc w:val="center"/>
        <w:outlineLvl w:val="9"/>
        <w:rPr>
          <w:kern w:val="21"/>
        </w:rPr>
      </w:pPr>
      <w:r>
        <w:drawing>
          <wp:inline distT="0" distB="0" distL="114300" distR="114300">
            <wp:extent cx="4572000" cy="2743200"/>
            <wp:effectExtent l="4445" t="4445" r="14605" b="14605"/>
            <wp:docPr id="15"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84281E7">
      <w:pPr>
        <w:pStyle w:val="2"/>
        <w:jc w:val="center"/>
        <w:outlineLvl w:val="1"/>
        <w:rPr>
          <w:rFonts w:hint="eastAsia" w:ascii="仿宋" w:hAnsi="仿宋" w:eastAsia="仿宋"/>
          <w:kern w:val="21"/>
          <w:sz w:val="32"/>
          <w:szCs w:val="32"/>
        </w:rPr>
      </w:pPr>
      <w:bookmarkStart w:id="61" w:name="_Toc5238"/>
      <w:r>
        <w:rPr>
          <w:rFonts w:hint="eastAsia" w:ascii="仿宋" w:hAnsi="仿宋" w:eastAsia="仿宋"/>
          <w:kern w:val="21"/>
          <w:sz w:val="32"/>
          <w:szCs w:val="32"/>
        </w:rPr>
        <w:t>（图7：“三公”经费财政拨款支出结构）</w:t>
      </w:r>
      <w:bookmarkEnd w:id="61"/>
    </w:p>
    <w:p w14:paraId="0C929177">
      <w:pPr>
        <w:spacing w:line="600" w:lineRule="exact"/>
        <w:ind w:firstLine="640"/>
        <w:rPr>
          <w:rFonts w:hint="eastAsia" w:ascii="仿宋" w:hAnsi="仿宋" w:eastAsia="仿宋"/>
          <w:kern w:val="21"/>
          <w:sz w:val="32"/>
          <w:szCs w:val="32"/>
        </w:rPr>
      </w:pPr>
      <w:r>
        <w:rPr>
          <w:rFonts w:hint="eastAsia" w:ascii="仿宋" w:hAnsi="仿宋" w:eastAsia="仿宋"/>
          <w:kern w:val="21"/>
          <w:sz w:val="32"/>
          <w:szCs w:val="32"/>
        </w:rPr>
        <w:t>1．因公出国（境）经费支出0.00万元，完成预算100％。全年安排因公出国（境）团组0次，出国（境）0人。因公出国（境）支出决算比2022年增加0.00万元，增加0.00%。</w:t>
      </w:r>
    </w:p>
    <w:p w14:paraId="21D060AD">
      <w:pPr>
        <w:spacing w:line="600" w:lineRule="exact"/>
        <w:ind w:firstLine="640"/>
        <w:rPr>
          <w:rFonts w:hint="eastAsia" w:ascii="仿宋" w:hAnsi="仿宋" w:eastAsia="仿宋"/>
          <w:kern w:val="21"/>
          <w:sz w:val="32"/>
          <w:szCs w:val="32"/>
          <w:lang w:eastAsia="zh-CN"/>
        </w:rPr>
      </w:pPr>
      <w:r>
        <w:rPr>
          <w:rFonts w:hint="eastAsia" w:ascii="仿宋" w:hAnsi="仿宋" w:eastAsia="仿宋"/>
          <w:kern w:val="21"/>
          <w:sz w:val="32"/>
          <w:szCs w:val="32"/>
        </w:rPr>
        <w:t>2．公务用车购置及运行维护费支出0.00万元，完成预算0.00％。公务用车购置及运行维护费支出决算比2022年度增</w:t>
      </w:r>
      <w:r>
        <w:rPr>
          <w:rFonts w:hint="eastAsia" w:ascii="仿宋" w:hAnsi="仿宋" w:eastAsia="仿宋"/>
          <w:kern w:val="21"/>
          <w:sz w:val="32"/>
          <w:szCs w:val="32"/>
          <w:lang w:eastAsia="zh-CN"/>
        </w:rPr>
        <w:t>加</w:t>
      </w:r>
      <w:r>
        <w:rPr>
          <w:rFonts w:hint="eastAsia" w:ascii="仿宋" w:hAnsi="仿宋" w:eastAsia="仿宋"/>
          <w:kern w:val="21"/>
          <w:sz w:val="32"/>
          <w:szCs w:val="32"/>
          <w:lang w:val="en-US" w:eastAsia="zh-CN"/>
        </w:rPr>
        <w:t>0.00万元，</w:t>
      </w:r>
      <w:r>
        <w:rPr>
          <w:rFonts w:hint="eastAsia" w:ascii="仿宋" w:hAnsi="仿宋" w:eastAsia="仿宋"/>
          <w:kern w:val="21"/>
          <w:sz w:val="32"/>
          <w:szCs w:val="32"/>
        </w:rPr>
        <w:t>增加0.00%</w:t>
      </w:r>
      <w:r>
        <w:rPr>
          <w:rFonts w:hint="eastAsia" w:ascii="仿宋" w:hAnsi="仿宋" w:eastAsia="仿宋"/>
          <w:kern w:val="21"/>
          <w:sz w:val="32"/>
          <w:szCs w:val="32"/>
          <w:lang w:eastAsia="zh-CN"/>
        </w:rPr>
        <w:t>。</w:t>
      </w:r>
    </w:p>
    <w:p w14:paraId="77B2DC67">
      <w:pPr>
        <w:spacing w:line="600" w:lineRule="exact"/>
        <w:ind w:firstLine="640"/>
        <w:rPr>
          <w:rFonts w:hint="eastAsia" w:ascii="仿宋" w:hAnsi="仿宋" w:eastAsia="仿宋"/>
          <w:kern w:val="21"/>
          <w:sz w:val="32"/>
          <w:szCs w:val="32"/>
          <w:lang w:val="en-US" w:eastAsia="zh-CN"/>
        </w:rPr>
      </w:pPr>
      <w:r>
        <w:rPr>
          <w:rFonts w:hint="eastAsia"/>
          <w:kern w:val="21"/>
          <w:lang w:val="en-US" w:eastAsia="zh-CN"/>
        </w:rPr>
        <w:t xml:space="preserve"> </w:t>
      </w:r>
      <w:r>
        <w:rPr>
          <w:rFonts w:hint="eastAsia" w:ascii="仿宋" w:hAnsi="仿宋" w:eastAsia="仿宋"/>
          <w:kern w:val="21"/>
          <w:sz w:val="32"/>
          <w:szCs w:val="32"/>
          <w:lang w:val="en-US" w:eastAsia="zh-CN"/>
        </w:rPr>
        <w:t>其中：公务用车购置支出0.00万元。全年按规定更新购置公务用车0辆，其中：轿车0辆、金额0.00万元，越野车0辆、金额0.00万元，载客汽车0辆、金额0.00万元截至2023年12月31日，单位共有公务用车1辆，其中：轿车0辆、越野车0辆、载客汽车0辆。</w:t>
      </w:r>
    </w:p>
    <w:p w14:paraId="58B4A11C">
      <w:pPr>
        <w:spacing w:line="600" w:lineRule="exact"/>
        <w:ind w:firstLine="640"/>
        <w:rPr>
          <w:rFonts w:hint="eastAsia" w:ascii="仿宋" w:hAnsi="仿宋" w:eastAsia="仿宋"/>
          <w:kern w:val="21"/>
          <w:sz w:val="32"/>
          <w:szCs w:val="32"/>
          <w:lang w:val="en-US" w:eastAsia="zh-CN"/>
        </w:rPr>
      </w:pPr>
      <w:r>
        <w:rPr>
          <w:rFonts w:hint="eastAsia" w:ascii="仿宋" w:hAnsi="仿宋" w:eastAsia="仿宋"/>
          <w:kern w:val="21"/>
          <w:sz w:val="32"/>
          <w:szCs w:val="32"/>
          <w:lang w:val="en-US" w:eastAsia="zh-CN"/>
        </w:rPr>
        <w:t>公务用车运行维护费支出0.00万元。</w:t>
      </w:r>
    </w:p>
    <w:p w14:paraId="01B9801B">
      <w:pPr>
        <w:spacing w:line="600" w:lineRule="exact"/>
        <w:ind w:firstLine="640"/>
        <w:rPr>
          <w:rFonts w:hint="eastAsia" w:ascii="仿宋" w:hAnsi="仿宋" w:eastAsia="仿宋"/>
          <w:kern w:val="21"/>
          <w:sz w:val="32"/>
          <w:szCs w:val="32"/>
          <w:lang w:val="en-US" w:eastAsia="zh-CN"/>
        </w:rPr>
      </w:pPr>
      <w:r>
        <w:rPr>
          <w:rFonts w:hint="eastAsia" w:ascii="仿宋" w:hAnsi="仿宋" w:eastAsia="仿宋"/>
          <w:kern w:val="21"/>
          <w:sz w:val="32"/>
          <w:szCs w:val="32"/>
          <w:lang w:val="en-US" w:eastAsia="zh-CN"/>
        </w:rPr>
        <w:t>3．公务接待费支出0.00万元，完成预算0.00％。公务接待费支出决算比2022年度增加0.00万元，增加0.00％。其中：</w:t>
      </w:r>
    </w:p>
    <w:p w14:paraId="1405BDC0">
      <w:pPr>
        <w:spacing w:line="600" w:lineRule="exact"/>
        <w:ind w:firstLine="640"/>
        <w:rPr>
          <w:rFonts w:hint="eastAsia" w:ascii="仿宋" w:hAnsi="仿宋" w:eastAsia="仿宋"/>
          <w:kern w:val="21"/>
          <w:sz w:val="32"/>
          <w:szCs w:val="32"/>
          <w:lang w:val="en-US" w:eastAsia="zh-CN"/>
        </w:rPr>
      </w:pPr>
      <w:r>
        <w:rPr>
          <w:rFonts w:hint="eastAsia" w:ascii="仿宋" w:hAnsi="仿宋" w:eastAsia="仿宋"/>
          <w:kern w:val="21"/>
          <w:sz w:val="32"/>
          <w:szCs w:val="32"/>
          <w:lang w:val="en-US" w:eastAsia="zh-CN"/>
        </w:rPr>
        <w:t>国内公务接待支出0.00万元，主要用于······（执行公务、开展业务活动开支的交通费、住宿费、用餐费等）。国内公务接待0批次，0人次（不包括陪同人员），共计支出0.00万元。</w:t>
      </w:r>
    </w:p>
    <w:p w14:paraId="019B0E48">
      <w:pPr>
        <w:spacing w:line="600" w:lineRule="exact"/>
        <w:ind w:firstLine="640"/>
        <w:rPr>
          <w:rFonts w:ascii="黑体" w:eastAsia="黑体"/>
          <w:kern w:val="21"/>
          <w:sz w:val="32"/>
          <w:szCs w:val="32"/>
        </w:rPr>
      </w:pPr>
      <w:r>
        <w:rPr>
          <w:rFonts w:hint="eastAsia" w:ascii="仿宋" w:hAnsi="仿宋" w:eastAsia="仿宋"/>
          <w:kern w:val="21"/>
          <w:sz w:val="32"/>
          <w:szCs w:val="32"/>
          <w:lang w:val="en-US" w:eastAsia="zh-CN"/>
        </w:rPr>
        <w:t>外事接待支出0.00万元。外事接待0批次，0人次（不包括陪同人员），共计支出0.00万元。</w:t>
      </w:r>
    </w:p>
    <w:p w14:paraId="7F28C984">
      <w:pPr>
        <w:spacing w:line="600" w:lineRule="exact"/>
        <w:ind w:firstLine="640"/>
        <w:outlineLvl w:val="1"/>
        <w:rPr>
          <w:rStyle w:val="29"/>
          <w:rFonts w:ascii="黑体" w:hAnsi="黑体" w:eastAsia="黑体"/>
          <w:kern w:val="21"/>
        </w:rPr>
      </w:pPr>
      <w:bookmarkStart w:id="62" w:name="_Toc13707"/>
      <w:r>
        <w:rPr>
          <w:rFonts w:hint="eastAsia" w:ascii="黑体" w:eastAsia="黑体"/>
          <w:kern w:val="21"/>
          <w:sz w:val="32"/>
          <w:szCs w:val="32"/>
        </w:rPr>
        <w:t>八、</w:t>
      </w:r>
      <w:r>
        <w:rPr>
          <w:rStyle w:val="29"/>
          <w:rFonts w:hint="eastAsia" w:ascii="黑体" w:hAnsi="黑体" w:eastAsia="黑体"/>
          <w:b w:val="0"/>
          <w:kern w:val="21"/>
        </w:rPr>
        <w:t>政府性基金预算支出决算情况说明</w:t>
      </w:r>
      <w:bookmarkEnd w:id="62"/>
    </w:p>
    <w:p w14:paraId="59CF5D9E">
      <w:pPr>
        <w:spacing w:line="600" w:lineRule="exact"/>
        <w:ind w:firstLine="640"/>
        <w:rPr>
          <w:rFonts w:ascii="仿宋_GB2312" w:eastAsia="仿宋_GB2312"/>
          <w:kern w:val="21"/>
          <w:sz w:val="32"/>
          <w:szCs w:val="32"/>
        </w:rPr>
      </w:pPr>
      <w:r>
        <w:rPr>
          <w:rFonts w:hint="eastAsia" w:ascii="仿宋_GB2312" w:eastAsia="仿宋_GB2312"/>
          <w:kern w:val="21"/>
          <w:sz w:val="32"/>
          <w:szCs w:val="32"/>
        </w:rPr>
        <w:t>2023年度政府性基金预算财政拨款支出</w:t>
      </w:r>
      <w:r>
        <w:rPr>
          <w:rFonts w:ascii="仿宋" w:hAnsi="仿宋" w:eastAsia="仿宋"/>
          <w:b/>
          <w:kern w:val="21"/>
          <w:sz w:val="32"/>
          <w:szCs w:val="32"/>
        </w:rPr>
        <w:t>0</w:t>
      </w:r>
      <w:r>
        <w:rPr>
          <w:rFonts w:hint="eastAsia" w:ascii="仿宋_GB2312" w:eastAsia="仿宋_GB2312"/>
          <w:kern w:val="21"/>
          <w:sz w:val="32"/>
          <w:szCs w:val="32"/>
        </w:rPr>
        <w:t>万元。</w:t>
      </w:r>
    </w:p>
    <w:p w14:paraId="68A54420">
      <w:pPr>
        <w:numPr>
          <w:ilvl w:val="0"/>
          <w:numId w:val="3"/>
        </w:numPr>
        <w:spacing w:line="600" w:lineRule="exact"/>
        <w:ind w:firstLine="640"/>
        <w:outlineLvl w:val="1"/>
        <w:rPr>
          <w:rStyle w:val="29"/>
          <w:rFonts w:ascii="黑体" w:hAnsi="黑体" w:eastAsia="黑体"/>
          <w:b w:val="0"/>
          <w:kern w:val="21"/>
        </w:rPr>
      </w:pPr>
      <w:bookmarkStart w:id="63" w:name="_Toc7819"/>
      <w:r>
        <w:rPr>
          <w:rStyle w:val="29"/>
          <w:rFonts w:hint="eastAsia" w:ascii="黑体" w:hAnsi="黑体" w:eastAsia="黑体"/>
          <w:b w:val="0"/>
          <w:kern w:val="21"/>
        </w:rPr>
        <w:t>国有资本经营预算支出决算情况说明</w:t>
      </w:r>
      <w:bookmarkEnd w:id="63"/>
    </w:p>
    <w:p w14:paraId="680D89B2">
      <w:pPr>
        <w:spacing w:line="600" w:lineRule="exact"/>
        <w:ind w:firstLine="640"/>
        <w:rPr>
          <w:rFonts w:ascii="方正小标宋简体" w:hAnsi="方正小标宋简体" w:eastAsia="方正小标宋简体" w:cs="方正小标宋简体"/>
          <w:kern w:val="21"/>
          <w:sz w:val="44"/>
          <w:szCs w:val="44"/>
        </w:rPr>
      </w:pPr>
      <w:r>
        <w:rPr>
          <w:rFonts w:hint="eastAsia" w:ascii="仿宋_GB2312" w:eastAsia="仿宋_GB2312"/>
          <w:kern w:val="21"/>
          <w:sz w:val="32"/>
          <w:szCs w:val="32"/>
        </w:rPr>
        <w:t>2023年度国有资本经营预算财政拨款支出</w:t>
      </w:r>
      <w:r>
        <w:rPr>
          <w:rFonts w:ascii="仿宋" w:hAnsi="仿宋" w:eastAsia="仿宋"/>
          <w:b/>
          <w:kern w:val="21"/>
          <w:sz w:val="32"/>
          <w:szCs w:val="32"/>
        </w:rPr>
        <w:t>0</w:t>
      </w:r>
      <w:r>
        <w:rPr>
          <w:rFonts w:hint="eastAsia" w:ascii="仿宋_GB2312" w:eastAsia="仿宋_GB2312"/>
          <w:kern w:val="21"/>
          <w:sz w:val="32"/>
          <w:szCs w:val="32"/>
        </w:rPr>
        <w:t>万元。</w:t>
      </w:r>
    </w:p>
    <w:p w14:paraId="22703EA7">
      <w:pPr>
        <w:numPr>
          <w:ilvl w:val="0"/>
          <w:numId w:val="3"/>
        </w:numPr>
        <w:spacing w:line="600" w:lineRule="exact"/>
        <w:ind w:firstLine="640"/>
        <w:outlineLvl w:val="1"/>
        <w:rPr>
          <w:rStyle w:val="29"/>
          <w:rFonts w:ascii="黑体" w:hAnsi="黑体" w:eastAsia="黑体"/>
          <w:b w:val="0"/>
          <w:kern w:val="21"/>
        </w:rPr>
      </w:pPr>
      <w:bookmarkStart w:id="64" w:name="_Toc17726"/>
      <w:r>
        <w:rPr>
          <w:rStyle w:val="29"/>
          <w:rFonts w:hint="eastAsia" w:ascii="黑体" w:hAnsi="黑体" w:eastAsia="黑体"/>
          <w:b w:val="0"/>
          <w:kern w:val="21"/>
        </w:rPr>
        <w:t>其他重要事项的情况说明</w:t>
      </w:r>
      <w:bookmarkEnd w:id="64"/>
    </w:p>
    <w:p w14:paraId="67BC5830">
      <w:pPr>
        <w:spacing w:line="600" w:lineRule="exact"/>
        <w:ind w:firstLine="643" w:firstLineChars="200"/>
        <w:outlineLvl w:val="2"/>
        <w:rPr>
          <w:rFonts w:ascii="仿宋" w:hAnsi="仿宋" w:eastAsia="仿宋"/>
          <w:kern w:val="21"/>
          <w:sz w:val="32"/>
          <w:szCs w:val="32"/>
        </w:rPr>
      </w:pPr>
      <w:bookmarkStart w:id="65" w:name="_Toc6331"/>
      <w:r>
        <w:rPr>
          <w:rFonts w:hint="eastAsia" w:ascii="仿宋" w:hAnsi="仿宋" w:eastAsia="仿宋"/>
          <w:b/>
          <w:kern w:val="21"/>
          <w:sz w:val="32"/>
          <w:szCs w:val="32"/>
        </w:rPr>
        <w:t>（一）机关运行经费支出情况</w:t>
      </w:r>
      <w:bookmarkEnd w:id="65"/>
    </w:p>
    <w:p w14:paraId="25366605">
      <w:pPr>
        <w:spacing w:line="600" w:lineRule="exact"/>
        <w:ind w:firstLine="640" w:firstLineChars="200"/>
        <w:rPr>
          <w:rFonts w:ascii="仿宋_GB2312" w:eastAsia="仿宋_GB2312"/>
          <w:kern w:val="21"/>
          <w:sz w:val="32"/>
          <w:szCs w:val="32"/>
        </w:rPr>
      </w:pPr>
      <w:r>
        <w:rPr>
          <w:rFonts w:hint="eastAsia" w:ascii="仿宋_GB2312" w:eastAsia="仿宋_GB2312"/>
          <w:kern w:val="21"/>
          <w:sz w:val="32"/>
          <w:szCs w:val="32"/>
        </w:rPr>
        <w:t>2023年度，</w:t>
      </w:r>
      <w:r>
        <w:rPr>
          <w:rFonts w:ascii="仿宋_GB2312" w:eastAsia="仿宋_GB2312"/>
          <w:b/>
          <w:kern w:val="21"/>
          <w:sz w:val="32"/>
          <w:szCs w:val="32"/>
        </w:rPr>
        <w:t>阿坝州松潘县</w:t>
      </w:r>
      <w:r>
        <w:rPr>
          <w:rFonts w:hint="eastAsia" w:ascii="仿宋_GB2312" w:eastAsia="仿宋_GB2312"/>
          <w:b/>
          <w:kern w:val="21"/>
          <w:sz w:val="32"/>
          <w:szCs w:val="32"/>
          <w:lang w:eastAsia="zh-CN"/>
        </w:rPr>
        <w:t>镇江镇中心</w:t>
      </w:r>
      <w:r>
        <w:rPr>
          <w:rFonts w:ascii="仿宋_GB2312" w:eastAsia="仿宋_GB2312"/>
          <w:b/>
          <w:kern w:val="21"/>
          <w:sz w:val="32"/>
          <w:szCs w:val="32"/>
        </w:rPr>
        <w:t>卫生院</w:t>
      </w:r>
      <w:r>
        <w:rPr>
          <w:rFonts w:hint="eastAsia" w:ascii="仿宋_GB2312" w:eastAsia="仿宋_GB2312"/>
          <w:kern w:val="21"/>
          <w:sz w:val="32"/>
          <w:szCs w:val="32"/>
        </w:rPr>
        <w:t>机关运行经费支出</w:t>
      </w:r>
      <w:r>
        <w:rPr>
          <w:rFonts w:ascii="仿宋" w:hAnsi="仿宋" w:eastAsia="仿宋"/>
          <w:b/>
          <w:kern w:val="21"/>
          <w:sz w:val="32"/>
          <w:szCs w:val="32"/>
        </w:rPr>
        <w:t>0</w:t>
      </w:r>
      <w:r>
        <w:rPr>
          <w:rFonts w:hint="eastAsia" w:ascii="仿宋_GB2312" w:eastAsia="仿宋_GB2312"/>
          <w:kern w:val="21"/>
          <w:sz w:val="32"/>
          <w:szCs w:val="32"/>
        </w:rPr>
        <w:t>万元，比2022年度增加</w:t>
      </w:r>
      <w:r>
        <w:rPr>
          <w:rFonts w:ascii="仿宋_GB2312" w:eastAsia="仿宋_GB2312"/>
          <w:kern w:val="21"/>
          <w:sz w:val="32"/>
          <w:szCs w:val="32"/>
        </w:rPr>
        <w:t>/</w:t>
      </w:r>
      <w:r>
        <w:rPr>
          <w:rFonts w:hint="eastAsia" w:ascii="仿宋_GB2312" w:eastAsia="仿宋_GB2312"/>
          <w:kern w:val="21"/>
          <w:sz w:val="32"/>
          <w:szCs w:val="32"/>
        </w:rPr>
        <w:t>减少</w:t>
      </w:r>
      <w:r>
        <w:rPr>
          <w:rFonts w:hint="eastAsia" w:ascii="仿宋_GB2312" w:eastAsia="仿宋_GB2312"/>
          <w:kern w:val="21"/>
          <w:sz w:val="32"/>
          <w:szCs w:val="32"/>
          <w:lang w:val="en-US" w:eastAsia="zh-CN"/>
        </w:rPr>
        <w:t>0</w:t>
      </w:r>
      <w:r>
        <w:rPr>
          <w:rFonts w:hint="eastAsia" w:ascii="仿宋_GB2312" w:eastAsia="仿宋_GB2312"/>
          <w:kern w:val="21"/>
          <w:sz w:val="32"/>
          <w:szCs w:val="32"/>
        </w:rPr>
        <w:t>万元，增长</w:t>
      </w:r>
      <w:r>
        <w:rPr>
          <w:rFonts w:ascii="仿宋_GB2312" w:eastAsia="仿宋_GB2312"/>
          <w:kern w:val="21"/>
          <w:sz w:val="32"/>
          <w:szCs w:val="32"/>
        </w:rPr>
        <w:t>/</w:t>
      </w:r>
      <w:r>
        <w:rPr>
          <w:rFonts w:hint="eastAsia" w:ascii="仿宋_GB2312" w:eastAsia="仿宋_GB2312"/>
          <w:kern w:val="21"/>
          <w:sz w:val="32"/>
          <w:szCs w:val="32"/>
        </w:rPr>
        <w:t>下降</w:t>
      </w:r>
      <w:r>
        <w:rPr>
          <w:rFonts w:hint="eastAsia" w:ascii="仿宋_GB2312" w:eastAsia="仿宋_GB2312"/>
          <w:kern w:val="21"/>
          <w:sz w:val="32"/>
          <w:szCs w:val="32"/>
          <w:lang w:val="en-US" w:eastAsia="zh-CN"/>
        </w:rPr>
        <w:t>0</w:t>
      </w:r>
      <w:r>
        <w:rPr>
          <w:rFonts w:ascii="仿宋_GB2312" w:eastAsia="仿宋_GB2312"/>
          <w:kern w:val="21"/>
          <w:sz w:val="32"/>
          <w:szCs w:val="32"/>
        </w:rPr>
        <w:t>%</w:t>
      </w:r>
      <w:r>
        <w:rPr>
          <w:rFonts w:hint="eastAsia" w:ascii="仿宋_GB2312" w:eastAsia="仿宋_GB2312"/>
          <w:kern w:val="21"/>
          <w:sz w:val="32"/>
          <w:szCs w:val="32"/>
        </w:rPr>
        <w:t>（或与2022年度决算数持平）。主要原因是</w:t>
      </w:r>
      <w:r>
        <w:rPr>
          <w:rFonts w:hint="eastAsia" w:ascii="仿宋_GB2312" w:eastAsia="仿宋_GB2312"/>
          <w:kern w:val="21"/>
          <w:sz w:val="32"/>
          <w:szCs w:val="32"/>
          <w:lang w:eastAsia="zh-CN"/>
        </w:rPr>
        <w:t>无该项经费</w:t>
      </w:r>
      <w:r>
        <w:rPr>
          <w:rFonts w:hint="eastAsia" w:ascii="仿宋_GB2312" w:eastAsia="仿宋_GB2312"/>
          <w:kern w:val="21"/>
          <w:sz w:val="32"/>
          <w:szCs w:val="32"/>
        </w:rPr>
        <w:t>。</w:t>
      </w:r>
    </w:p>
    <w:p w14:paraId="4CA30B7E">
      <w:pPr>
        <w:autoSpaceDE w:val="0"/>
        <w:autoSpaceDN w:val="0"/>
        <w:adjustRightInd w:val="0"/>
        <w:spacing w:line="600" w:lineRule="exact"/>
        <w:ind w:firstLine="643" w:firstLineChars="200"/>
        <w:jc w:val="left"/>
        <w:outlineLvl w:val="2"/>
        <w:rPr>
          <w:rFonts w:ascii="仿宋" w:hAnsi="仿宋" w:eastAsia="仿宋"/>
          <w:b/>
          <w:kern w:val="21"/>
          <w:sz w:val="32"/>
          <w:szCs w:val="32"/>
        </w:rPr>
      </w:pPr>
      <w:bookmarkStart w:id="66" w:name="_Toc16756"/>
      <w:r>
        <w:rPr>
          <w:rFonts w:hint="eastAsia" w:ascii="仿宋" w:hAnsi="仿宋" w:eastAsia="仿宋"/>
          <w:b/>
          <w:kern w:val="21"/>
          <w:sz w:val="32"/>
          <w:szCs w:val="32"/>
        </w:rPr>
        <w:t>（二）政府采购支出情况</w:t>
      </w:r>
      <w:bookmarkEnd w:id="66"/>
    </w:p>
    <w:p w14:paraId="321AB202">
      <w:pPr>
        <w:spacing w:line="600" w:lineRule="exact"/>
        <w:ind w:firstLine="640" w:firstLineChars="200"/>
        <w:rPr>
          <w:rFonts w:ascii="仿宋_GB2312" w:eastAsia="仿宋_GB2312"/>
          <w:kern w:val="21"/>
          <w:sz w:val="32"/>
          <w:szCs w:val="32"/>
        </w:rPr>
      </w:pPr>
      <w:r>
        <w:rPr>
          <w:rFonts w:hint="eastAsia" w:ascii="仿宋_GB2312" w:eastAsia="仿宋_GB2312"/>
          <w:kern w:val="21"/>
          <w:sz w:val="32"/>
          <w:szCs w:val="32"/>
        </w:rPr>
        <w:t>2023年度，</w:t>
      </w:r>
      <w:r>
        <w:rPr>
          <w:rFonts w:ascii="仿宋_GB2312" w:eastAsia="仿宋_GB2312"/>
          <w:b/>
          <w:kern w:val="21"/>
          <w:sz w:val="32"/>
          <w:szCs w:val="32"/>
        </w:rPr>
        <w:t>阿坝州松潘县</w:t>
      </w:r>
      <w:r>
        <w:rPr>
          <w:rFonts w:hint="eastAsia" w:ascii="仿宋_GB2312" w:eastAsia="仿宋_GB2312"/>
          <w:b/>
          <w:kern w:val="21"/>
          <w:sz w:val="32"/>
          <w:szCs w:val="32"/>
          <w:lang w:eastAsia="zh-CN"/>
        </w:rPr>
        <w:t>镇江镇中心</w:t>
      </w:r>
      <w:r>
        <w:rPr>
          <w:rFonts w:ascii="仿宋_GB2312" w:eastAsia="仿宋_GB2312"/>
          <w:b/>
          <w:kern w:val="21"/>
          <w:sz w:val="32"/>
          <w:szCs w:val="32"/>
        </w:rPr>
        <w:t>卫生院</w:t>
      </w:r>
      <w:r>
        <w:rPr>
          <w:rFonts w:hint="eastAsia" w:ascii="仿宋_GB2312" w:eastAsia="仿宋_GB2312"/>
          <w:kern w:val="21"/>
          <w:sz w:val="32"/>
          <w:szCs w:val="32"/>
        </w:rPr>
        <w:t>政府采购支出总额</w:t>
      </w:r>
      <w:r>
        <w:rPr>
          <w:rFonts w:ascii="仿宋" w:hAnsi="仿宋" w:eastAsia="仿宋"/>
          <w:b/>
          <w:kern w:val="21"/>
          <w:sz w:val="32"/>
          <w:szCs w:val="32"/>
        </w:rPr>
        <w:t>0</w:t>
      </w:r>
      <w:r>
        <w:rPr>
          <w:rFonts w:hint="eastAsia" w:ascii="仿宋_GB2312" w:eastAsia="仿宋_GB2312"/>
          <w:kern w:val="21"/>
          <w:sz w:val="32"/>
          <w:szCs w:val="32"/>
        </w:rPr>
        <w:t>万元，其中：政府采购货物支出</w:t>
      </w:r>
      <w:r>
        <w:rPr>
          <w:rFonts w:ascii="仿宋" w:hAnsi="仿宋" w:eastAsia="仿宋"/>
          <w:b/>
          <w:kern w:val="21"/>
          <w:sz w:val="32"/>
          <w:szCs w:val="32"/>
        </w:rPr>
        <w:t>0</w:t>
      </w:r>
      <w:r>
        <w:rPr>
          <w:rFonts w:hint="eastAsia" w:ascii="仿宋_GB2312" w:eastAsia="仿宋_GB2312"/>
          <w:kern w:val="21"/>
          <w:sz w:val="32"/>
          <w:szCs w:val="32"/>
        </w:rPr>
        <w:t>万元、政府采购工程支出</w:t>
      </w:r>
      <w:r>
        <w:rPr>
          <w:rFonts w:ascii="仿宋" w:hAnsi="仿宋" w:eastAsia="仿宋"/>
          <w:b/>
          <w:kern w:val="21"/>
          <w:sz w:val="32"/>
          <w:szCs w:val="32"/>
        </w:rPr>
        <w:t>0</w:t>
      </w:r>
      <w:r>
        <w:rPr>
          <w:rFonts w:hint="eastAsia" w:ascii="仿宋_GB2312" w:eastAsia="仿宋_GB2312"/>
          <w:kern w:val="21"/>
          <w:sz w:val="32"/>
          <w:szCs w:val="32"/>
        </w:rPr>
        <w:t>万元、政府采购服务支出</w:t>
      </w:r>
      <w:r>
        <w:rPr>
          <w:rFonts w:ascii="仿宋" w:hAnsi="仿宋" w:eastAsia="仿宋"/>
          <w:b/>
          <w:kern w:val="21"/>
          <w:sz w:val="32"/>
          <w:szCs w:val="32"/>
        </w:rPr>
        <w:t>0</w:t>
      </w:r>
      <w:r>
        <w:rPr>
          <w:rFonts w:hint="eastAsia" w:ascii="仿宋_GB2312" w:eastAsia="仿宋_GB2312"/>
          <w:kern w:val="21"/>
          <w:sz w:val="32"/>
          <w:szCs w:val="32"/>
        </w:rPr>
        <w:t>万元。主要用于</w:t>
      </w:r>
      <w:r>
        <w:rPr>
          <w:rFonts w:ascii="仿宋_GB2312" w:eastAsia="仿宋_GB2312"/>
          <w:kern w:val="21"/>
          <w:sz w:val="32"/>
          <w:szCs w:val="32"/>
        </w:rPr>
        <w:t>…</w:t>
      </w:r>
      <w:r>
        <w:rPr>
          <w:rFonts w:hint="eastAsia" w:ascii="仿宋_GB2312" w:eastAsia="仿宋_GB2312"/>
          <w:kern w:val="21"/>
          <w:sz w:val="32"/>
          <w:szCs w:val="32"/>
        </w:rPr>
        <w:t>（具体工作）。授予中小企业合同金额</w:t>
      </w:r>
      <w:r>
        <w:rPr>
          <w:rFonts w:ascii="仿宋" w:hAnsi="仿宋" w:eastAsia="仿宋"/>
          <w:b/>
          <w:kern w:val="21"/>
          <w:sz w:val="32"/>
          <w:szCs w:val="32"/>
        </w:rPr>
        <w:t>0</w:t>
      </w:r>
      <w:r>
        <w:rPr>
          <w:rFonts w:hint="eastAsia" w:ascii="仿宋_GB2312" w:eastAsia="仿宋_GB2312"/>
          <w:kern w:val="21"/>
          <w:sz w:val="32"/>
          <w:szCs w:val="32"/>
        </w:rPr>
        <w:t>万元，占政府采购支出总额的</w:t>
      </w:r>
      <w:r>
        <w:rPr>
          <w:rFonts w:ascii="仿宋_GB2312" w:eastAsia="仿宋_GB2312"/>
          <w:kern w:val="21"/>
          <w:sz w:val="32"/>
          <w:szCs w:val="32"/>
        </w:rPr>
        <w:t>0%</w:t>
      </w:r>
      <w:r>
        <w:rPr>
          <w:rFonts w:hint="eastAsia" w:ascii="仿宋_GB2312" w:eastAsia="仿宋_GB2312"/>
          <w:kern w:val="21"/>
          <w:sz w:val="32"/>
          <w:szCs w:val="32"/>
        </w:rPr>
        <w:t>，其中：授予小微企业合同金额</w:t>
      </w:r>
      <w:r>
        <w:rPr>
          <w:rFonts w:ascii="仿宋" w:hAnsi="仿宋" w:eastAsia="仿宋"/>
          <w:b/>
          <w:kern w:val="21"/>
          <w:sz w:val="32"/>
          <w:szCs w:val="32"/>
        </w:rPr>
        <w:t>0</w:t>
      </w:r>
      <w:r>
        <w:rPr>
          <w:rFonts w:hint="eastAsia" w:ascii="仿宋_GB2312" w:eastAsia="仿宋_GB2312"/>
          <w:kern w:val="21"/>
          <w:sz w:val="32"/>
          <w:szCs w:val="32"/>
        </w:rPr>
        <w:t>万元，占政府采购支出总额的</w:t>
      </w:r>
      <w:r>
        <w:rPr>
          <w:rFonts w:ascii="仿宋_GB2312" w:eastAsia="仿宋_GB2312"/>
          <w:b/>
          <w:kern w:val="21"/>
          <w:sz w:val="32"/>
          <w:szCs w:val="32"/>
        </w:rPr>
        <w:t>0</w:t>
      </w:r>
      <w:r>
        <w:rPr>
          <w:rFonts w:ascii="仿宋_GB2312" w:eastAsia="仿宋_GB2312"/>
          <w:kern w:val="21"/>
          <w:sz w:val="32"/>
          <w:szCs w:val="32"/>
        </w:rPr>
        <w:t>%</w:t>
      </w:r>
      <w:r>
        <w:rPr>
          <w:rFonts w:hint="eastAsia" w:ascii="仿宋_GB2312" w:eastAsia="仿宋_GB2312"/>
          <w:kern w:val="21"/>
          <w:sz w:val="32"/>
          <w:szCs w:val="32"/>
        </w:rPr>
        <w:t>。</w:t>
      </w:r>
    </w:p>
    <w:p w14:paraId="4FA7DD51">
      <w:pPr>
        <w:autoSpaceDE w:val="0"/>
        <w:autoSpaceDN w:val="0"/>
        <w:adjustRightInd w:val="0"/>
        <w:spacing w:line="600" w:lineRule="exact"/>
        <w:ind w:firstLine="643" w:firstLineChars="200"/>
        <w:jc w:val="left"/>
        <w:outlineLvl w:val="2"/>
        <w:rPr>
          <w:rFonts w:ascii="仿宋" w:hAnsi="仿宋" w:eastAsia="仿宋"/>
          <w:b/>
          <w:kern w:val="21"/>
          <w:sz w:val="32"/>
          <w:szCs w:val="32"/>
        </w:rPr>
      </w:pPr>
      <w:bookmarkStart w:id="67" w:name="_Toc12268"/>
      <w:r>
        <w:rPr>
          <w:rFonts w:hint="eastAsia" w:ascii="仿宋" w:hAnsi="仿宋" w:eastAsia="仿宋"/>
          <w:b/>
          <w:kern w:val="21"/>
          <w:sz w:val="32"/>
          <w:szCs w:val="32"/>
        </w:rPr>
        <w:t>（三）国有资产占有使用情况</w:t>
      </w:r>
      <w:bookmarkEnd w:id="67"/>
    </w:p>
    <w:p w14:paraId="55F4D22B">
      <w:pPr>
        <w:autoSpaceDE w:val="0"/>
        <w:autoSpaceDN w:val="0"/>
        <w:adjustRightInd w:val="0"/>
        <w:spacing w:line="600" w:lineRule="exact"/>
        <w:ind w:firstLine="640" w:firstLineChars="200"/>
        <w:jc w:val="left"/>
        <w:rPr>
          <w:rFonts w:hint="eastAsia" w:ascii="仿宋_GB2312" w:eastAsia="仿宋_GB2312"/>
          <w:kern w:val="21"/>
          <w:sz w:val="32"/>
          <w:szCs w:val="32"/>
        </w:rPr>
      </w:pPr>
      <w:r>
        <w:rPr>
          <w:rFonts w:hint="eastAsia" w:ascii="仿宋_GB2312" w:eastAsia="仿宋_GB2312"/>
          <w:kern w:val="21"/>
          <w:sz w:val="32"/>
          <w:szCs w:val="32"/>
        </w:rPr>
        <w:t>截至2023年12月31日，共有车辆</w:t>
      </w:r>
      <w:r>
        <w:rPr>
          <w:rFonts w:hint="eastAsia" w:ascii="仿宋_GB2312" w:eastAsia="仿宋_GB2312"/>
          <w:kern w:val="21"/>
          <w:sz w:val="32"/>
          <w:szCs w:val="32"/>
          <w:lang w:val="en-US" w:eastAsia="zh-CN"/>
        </w:rPr>
        <w:t>1</w:t>
      </w:r>
      <w:r>
        <w:rPr>
          <w:rFonts w:hint="eastAsia" w:ascii="仿宋_GB2312" w:eastAsia="仿宋_GB2312"/>
          <w:kern w:val="21"/>
          <w:sz w:val="32"/>
          <w:szCs w:val="32"/>
        </w:rPr>
        <w:t>辆，其中：主要领导干部用车0辆、机要通信用车0辆、应急保障用车</w:t>
      </w:r>
      <w:r>
        <w:rPr>
          <w:rFonts w:hint="eastAsia" w:ascii="仿宋_GB2312" w:eastAsia="仿宋_GB2312"/>
          <w:kern w:val="21"/>
          <w:sz w:val="32"/>
          <w:szCs w:val="32"/>
          <w:lang w:val="en-US" w:eastAsia="zh-CN"/>
        </w:rPr>
        <w:t>1</w:t>
      </w:r>
      <w:r>
        <w:rPr>
          <w:rFonts w:hint="eastAsia" w:ascii="仿宋_GB2312" w:eastAsia="仿宋_GB2312"/>
          <w:kern w:val="21"/>
          <w:sz w:val="32"/>
          <w:szCs w:val="32"/>
        </w:rPr>
        <w:t>辆、其他用车0辆。单价100万元以上专用设备（不含车辆）0台（套）。</w:t>
      </w:r>
    </w:p>
    <w:p w14:paraId="560637D5">
      <w:pPr>
        <w:autoSpaceDE w:val="0"/>
        <w:autoSpaceDN w:val="0"/>
        <w:adjustRightInd w:val="0"/>
        <w:spacing w:line="600" w:lineRule="exact"/>
        <w:ind w:firstLine="643" w:firstLineChars="200"/>
        <w:jc w:val="left"/>
        <w:rPr>
          <w:rFonts w:ascii="仿宋" w:hAnsi="仿宋" w:eastAsia="仿宋"/>
          <w:b/>
          <w:sz w:val="32"/>
          <w:szCs w:val="32"/>
        </w:rPr>
      </w:pPr>
      <w:r>
        <w:rPr>
          <w:rFonts w:hint="eastAsia" w:ascii="仿宋" w:hAnsi="仿宋" w:eastAsia="仿宋"/>
          <w:b/>
          <w:kern w:val="21"/>
          <w:sz w:val="32"/>
          <w:szCs w:val="32"/>
        </w:rPr>
        <w:t>（注：数据来源于财决附</w:t>
      </w:r>
      <w:r>
        <w:rPr>
          <w:rFonts w:ascii="仿宋" w:hAnsi="仿宋" w:eastAsia="仿宋"/>
          <w:b/>
          <w:kern w:val="21"/>
          <w:sz w:val="32"/>
          <w:szCs w:val="32"/>
        </w:rPr>
        <w:t>03</w:t>
      </w:r>
      <w:r>
        <w:rPr>
          <w:rFonts w:hint="eastAsia" w:ascii="仿宋" w:hAnsi="仿宋" w:eastAsia="仿宋"/>
          <w:b/>
          <w:kern w:val="21"/>
          <w:sz w:val="32"/>
          <w:szCs w:val="32"/>
        </w:rPr>
        <w:t>表，按单位决算报表填报数据罗列车辆情况。）</w:t>
      </w:r>
      <w:bookmarkEnd w:id="58"/>
      <w:bookmarkEnd w:id="59"/>
    </w:p>
    <w:p w14:paraId="63E57A30">
      <w:pPr>
        <w:autoSpaceDE w:val="0"/>
        <w:autoSpaceDN w:val="0"/>
        <w:adjustRightInd w:val="0"/>
        <w:spacing w:line="600" w:lineRule="exact"/>
        <w:ind w:firstLine="643" w:firstLineChars="200"/>
        <w:jc w:val="left"/>
        <w:outlineLvl w:val="2"/>
        <w:rPr>
          <w:rFonts w:ascii="仿宋" w:hAnsi="仿宋" w:eastAsia="仿宋"/>
          <w:b/>
          <w:sz w:val="32"/>
          <w:szCs w:val="32"/>
        </w:rPr>
      </w:pPr>
      <w:bookmarkStart w:id="68" w:name="_Toc29706"/>
      <w:r>
        <w:rPr>
          <w:rFonts w:hint="eastAsia" w:ascii="仿宋" w:hAnsi="仿宋" w:eastAsia="仿宋"/>
          <w:b/>
          <w:sz w:val="32"/>
          <w:szCs w:val="32"/>
        </w:rPr>
        <w:t>（四）预算绩效管理情况</w:t>
      </w:r>
      <w:bookmarkEnd w:id="68"/>
    </w:p>
    <w:p w14:paraId="2170A22E">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根据预算绩效管理要求，本单位在2023年度预算编制阶段，组织对</w:t>
      </w:r>
      <w:r>
        <w:rPr>
          <w:rFonts w:hint="eastAsia" w:ascii="仿宋_GB2312" w:eastAsia="仿宋_GB2312"/>
          <w:sz w:val="32"/>
          <w:szCs w:val="32"/>
          <w:lang w:val="en-US" w:eastAsia="zh-CN"/>
        </w:rPr>
        <w:t>51322422T000006098975－基层医疗卫生机构基本药物制度补助、51322422T000006098985－村卫生室实施国家基本药物制度补助、51322422T000006104104-12项基本公共卫生服务</w:t>
      </w:r>
      <w:r>
        <w:rPr>
          <w:rFonts w:hint="eastAsia" w:ascii="仿宋_GB2312" w:eastAsia="仿宋_GB2312"/>
          <w:sz w:val="32"/>
          <w:szCs w:val="32"/>
        </w:rPr>
        <w:t>等</w:t>
      </w:r>
      <w:r>
        <w:rPr>
          <w:rFonts w:hint="eastAsia" w:ascii="仿宋_GB2312" w:eastAsia="仿宋_GB2312"/>
          <w:sz w:val="32"/>
          <w:szCs w:val="32"/>
          <w:lang w:val="en-US" w:eastAsia="zh-CN"/>
        </w:rPr>
        <w:t>3</w:t>
      </w:r>
      <w:r>
        <w:rPr>
          <w:rFonts w:hint="eastAsia" w:ascii="仿宋_GB2312" w:eastAsia="仿宋_GB2312"/>
          <w:sz w:val="32"/>
          <w:szCs w:val="32"/>
        </w:rPr>
        <w:t>个项目开展了预算事前绩效评估，对</w:t>
      </w:r>
      <w:r>
        <w:rPr>
          <w:rFonts w:hint="eastAsia" w:ascii="仿宋_GB2312" w:eastAsia="仿宋_GB2312"/>
          <w:sz w:val="32"/>
          <w:szCs w:val="32"/>
          <w:lang w:val="en-US" w:eastAsia="zh-CN"/>
        </w:rPr>
        <w:t>3</w:t>
      </w:r>
      <w:r>
        <w:rPr>
          <w:rFonts w:hint="eastAsia" w:ascii="仿宋_GB2312" w:eastAsia="仿宋_GB2312"/>
          <w:sz w:val="32"/>
          <w:szCs w:val="32"/>
        </w:rPr>
        <w:t>个项目编制了绩效目标，预算执行过程中，选取</w:t>
      </w:r>
      <w:r>
        <w:rPr>
          <w:rFonts w:hint="eastAsia" w:ascii="仿宋_GB2312" w:eastAsia="仿宋_GB2312"/>
          <w:sz w:val="32"/>
          <w:szCs w:val="32"/>
          <w:lang w:val="en-US" w:eastAsia="zh-CN"/>
        </w:rPr>
        <w:t>3</w:t>
      </w:r>
      <w:r>
        <w:rPr>
          <w:rFonts w:hint="eastAsia" w:ascii="仿宋_GB2312" w:eastAsia="仿宋_GB2312"/>
          <w:sz w:val="32"/>
          <w:szCs w:val="32"/>
        </w:rPr>
        <w:t>个项目开展绩效监控，组织对</w:t>
      </w:r>
      <w:r>
        <w:rPr>
          <w:rFonts w:hint="eastAsia" w:ascii="仿宋_GB2312" w:eastAsia="仿宋_GB2312"/>
          <w:sz w:val="32"/>
          <w:szCs w:val="32"/>
          <w:lang w:val="en-US" w:eastAsia="zh-CN"/>
        </w:rPr>
        <w:t>3</w:t>
      </w:r>
      <w:r>
        <w:rPr>
          <w:rFonts w:hint="eastAsia" w:ascii="仿宋_GB2312" w:eastAsia="仿宋_GB2312"/>
          <w:sz w:val="32"/>
          <w:szCs w:val="32"/>
        </w:rPr>
        <w:t>个项目开展绩效自评，绩效自评表详见第四部分附件。</w:t>
      </w:r>
    </w:p>
    <w:p w14:paraId="6E3E5D90">
      <w:pPr>
        <w:pStyle w:val="2"/>
        <w:rPr>
          <w:rFonts w:hint="eastAsia" w:ascii="仿宋_GB2312" w:eastAsia="仿宋_GB2312"/>
          <w:sz w:val="32"/>
          <w:szCs w:val="32"/>
        </w:rPr>
      </w:pPr>
    </w:p>
    <w:p w14:paraId="7706D66B">
      <w:pPr>
        <w:rPr>
          <w:rFonts w:hint="eastAsia" w:ascii="仿宋_GB2312" w:eastAsia="仿宋_GB2312"/>
          <w:sz w:val="32"/>
          <w:szCs w:val="32"/>
        </w:rPr>
      </w:pPr>
    </w:p>
    <w:p w14:paraId="7A7E3776">
      <w:pPr>
        <w:pStyle w:val="2"/>
        <w:rPr>
          <w:rFonts w:hint="eastAsia" w:ascii="仿宋_GB2312" w:eastAsia="仿宋_GB2312"/>
          <w:sz w:val="32"/>
          <w:szCs w:val="32"/>
        </w:rPr>
      </w:pPr>
    </w:p>
    <w:p w14:paraId="6E1498CF">
      <w:pPr>
        <w:rPr>
          <w:rFonts w:hint="eastAsia" w:ascii="仿宋_GB2312" w:eastAsia="仿宋_GB2312"/>
          <w:sz w:val="32"/>
          <w:szCs w:val="32"/>
        </w:rPr>
      </w:pPr>
    </w:p>
    <w:p w14:paraId="033DC52A">
      <w:pPr>
        <w:pStyle w:val="2"/>
        <w:rPr>
          <w:rFonts w:hint="eastAsia" w:ascii="仿宋_GB2312" w:eastAsia="仿宋_GB2312"/>
          <w:sz w:val="32"/>
          <w:szCs w:val="32"/>
        </w:rPr>
      </w:pPr>
    </w:p>
    <w:p w14:paraId="4DE3E3C6">
      <w:pPr>
        <w:rPr>
          <w:rFonts w:hint="eastAsia" w:ascii="仿宋_GB2312" w:eastAsia="仿宋_GB2312"/>
          <w:sz w:val="32"/>
          <w:szCs w:val="32"/>
        </w:rPr>
      </w:pPr>
    </w:p>
    <w:p w14:paraId="225A04DD">
      <w:pPr>
        <w:pStyle w:val="2"/>
        <w:rPr>
          <w:rFonts w:hint="eastAsia" w:ascii="仿宋_GB2312" w:eastAsia="仿宋_GB2312"/>
          <w:sz w:val="32"/>
          <w:szCs w:val="32"/>
        </w:rPr>
      </w:pPr>
    </w:p>
    <w:p w14:paraId="3565E496">
      <w:pPr>
        <w:rPr>
          <w:rFonts w:hint="eastAsia" w:ascii="仿宋_GB2312" w:eastAsia="仿宋_GB2312"/>
          <w:sz w:val="32"/>
          <w:szCs w:val="32"/>
        </w:rPr>
      </w:pPr>
    </w:p>
    <w:p w14:paraId="6193F8BA">
      <w:pPr>
        <w:pStyle w:val="2"/>
        <w:rPr>
          <w:rFonts w:hint="eastAsia" w:ascii="仿宋_GB2312" w:eastAsia="仿宋_GB2312"/>
          <w:sz w:val="32"/>
          <w:szCs w:val="32"/>
        </w:rPr>
      </w:pPr>
    </w:p>
    <w:p w14:paraId="05B69F52">
      <w:pPr>
        <w:rPr>
          <w:rFonts w:hint="eastAsia" w:ascii="仿宋_GB2312" w:eastAsia="仿宋_GB2312"/>
          <w:sz w:val="32"/>
          <w:szCs w:val="32"/>
        </w:rPr>
      </w:pPr>
    </w:p>
    <w:p w14:paraId="7B252D20">
      <w:pPr>
        <w:pStyle w:val="2"/>
        <w:rPr>
          <w:rFonts w:hint="eastAsia" w:ascii="仿宋_GB2312" w:eastAsia="仿宋_GB2312"/>
          <w:sz w:val="32"/>
          <w:szCs w:val="32"/>
        </w:rPr>
      </w:pPr>
    </w:p>
    <w:p w14:paraId="7D2A33C4">
      <w:pPr>
        <w:rPr>
          <w:rFonts w:hint="eastAsia" w:ascii="仿宋_GB2312" w:eastAsia="仿宋_GB2312"/>
          <w:sz w:val="32"/>
          <w:szCs w:val="32"/>
        </w:rPr>
      </w:pPr>
    </w:p>
    <w:p w14:paraId="2C326BB4">
      <w:pPr>
        <w:pStyle w:val="2"/>
        <w:rPr>
          <w:rFonts w:hint="eastAsia" w:ascii="仿宋_GB2312" w:eastAsia="仿宋_GB2312"/>
          <w:sz w:val="32"/>
          <w:szCs w:val="32"/>
        </w:rPr>
      </w:pPr>
    </w:p>
    <w:p w14:paraId="7CE500CF">
      <w:pPr>
        <w:rPr>
          <w:rFonts w:hint="eastAsia" w:ascii="仿宋_GB2312" w:eastAsia="仿宋_GB2312"/>
          <w:sz w:val="32"/>
          <w:szCs w:val="32"/>
        </w:rPr>
      </w:pPr>
    </w:p>
    <w:p w14:paraId="68C77EEF">
      <w:pPr>
        <w:pStyle w:val="2"/>
      </w:pPr>
    </w:p>
    <w:p w14:paraId="44EF587D"/>
    <w:p w14:paraId="44BCF6E7">
      <w:pPr>
        <w:numPr>
          <w:ilvl w:val="0"/>
          <w:numId w:val="4"/>
        </w:numPr>
        <w:spacing w:line="600" w:lineRule="exact"/>
        <w:ind w:firstLine="660" w:firstLineChars="150"/>
        <w:jc w:val="center"/>
        <w:outlineLvl w:val="0"/>
        <w:rPr>
          <w:rStyle w:val="28"/>
          <w:rFonts w:ascii="黑体" w:hAnsi="黑体" w:eastAsia="黑体"/>
          <w:b w:val="0"/>
        </w:rPr>
      </w:pPr>
      <w:bookmarkStart w:id="69" w:name="_Toc15396613"/>
      <w:bookmarkStart w:id="70" w:name="_Toc15377225"/>
      <w:bookmarkStart w:id="71" w:name="_Toc23762"/>
      <w:r>
        <w:rPr>
          <w:rFonts w:hint="eastAsia" w:ascii="黑体" w:hAnsi="黑体" w:eastAsia="黑体"/>
          <w:sz w:val="44"/>
          <w:szCs w:val="44"/>
        </w:rPr>
        <w:t>名</w:t>
      </w:r>
      <w:r>
        <w:rPr>
          <w:rStyle w:val="28"/>
          <w:rFonts w:hint="eastAsia" w:ascii="黑体" w:hAnsi="黑体" w:eastAsia="黑体"/>
          <w:b w:val="0"/>
        </w:rPr>
        <w:t>词解释</w:t>
      </w:r>
      <w:bookmarkEnd w:id="69"/>
      <w:bookmarkEnd w:id="70"/>
      <w:bookmarkEnd w:id="71"/>
    </w:p>
    <w:p w14:paraId="77FFDADB">
      <w:pPr>
        <w:spacing w:line="600" w:lineRule="exact"/>
        <w:jc w:val="left"/>
        <w:rPr>
          <w:rFonts w:ascii="宋体"/>
          <w:b/>
          <w:sz w:val="44"/>
          <w:szCs w:val="44"/>
        </w:rPr>
      </w:pPr>
    </w:p>
    <w:p w14:paraId="39F528E2">
      <w:pPr>
        <w:pStyle w:val="26"/>
        <w:spacing w:line="560" w:lineRule="exact"/>
        <w:outlineLvl w:val="1"/>
        <w:rPr>
          <w:rFonts w:ascii="仿宋_GB2312" w:eastAsia="仿宋_GB2312"/>
          <w:color w:val="auto"/>
          <w:sz w:val="32"/>
          <w:szCs w:val="32"/>
        </w:rPr>
      </w:pPr>
      <w:bookmarkStart w:id="72" w:name="_Toc6152"/>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bookmarkEnd w:id="72"/>
    </w:p>
    <w:p w14:paraId="6A9A790A">
      <w:pPr>
        <w:pStyle w:val="26"/>
        <w:spacing w:line="560" w:lineRule="exact"/>
        <w:rPr>
          <w:rFonts w:hint="eastAsia"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14:paraId="05F334D9">
      <w:pPr>
        <w:pStyle w:val="26"/>
        <w:spacing w:line="560" w:lineRule="exact"/>
        <w:rPr>
          <w:rFonts w:hint="eastAsia"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14:paraId="00C3CCC5">
      <w:pPr>
        <w:pStyle w:val="26"/>
        <w:spacing w:line="560" w:lineRule="exact"/>
        <w:outlineLvl w:val="1"/>
        <w:rPr>
          <w:rFonts w:ascii="仿宋_GB2312" w:eastAsia="仿宋_GB2312"/>
          <w:color w:val="auto"/>
          <w:sz w:val="32"/>
          <w:szCs w:val="32"/>
        </w:rPr>
      </w:pPr>
      <w:bookmarkStart w:id="73" w:name="_Toc1770"/>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bookmarkEnd w:id="73"/>
      <w:r>
        <w:rPr>
          <w:rFonts w:ascii="仿宋_GB2312" w:eastAsia="仿宋_GB2312"/>
          <w:color w:val="auto"/>
          <w:sz w:val="32"/>
          <w:szCs w:val="32"/>
        </w:rPr>
        <w:t xml:space="preserve"> </w:t>
      </w:r>
    </w:p>
    <w:p w14:paraId="26B3E501">
      <w:pPr>
        <w:pStyle w:val="26"/>
        <w:spacing w:line="560" w:lineRule="exact"/>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r>
        <w:rPr>
          <w:rFonts w:ascii="仿宋_GB2312" w:eastAsia="仿宋_GB2312"/>
          <w:color w:val="auto"/>
          <w:sz w:val="32"/>
          <w:szCs w:val="32"/>
        </w:rPr>
        <w:t xml:space="preserve"> </w:t>
      </w:r>
    </w:p>
    <w:p w14:paraId="33A8FC2B">
      <w:pPr>
        <w:pStyle w:val="26"/>
        <w:spacing w:line="560" w:lineRule="exact"/>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14:paraId="5AB5FADD">
      <w:pPr>
        <w:pStyle w:val="26"/>
        <w:spacing w:line="560" w:lineRule="exact"/>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64FD25B2">
      <w:pPr>
        <w:pStyle w:val="26"/>
        <w:spacing w:line="560" w:lineRule="exact"/>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14:paraId="30D85519">
      <w:pPr>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．社会保障和就业支出（类）行政事业单位养老支出</w:t>
      </w:r>
      <w:r>
        <w:rPr>
          <w:rFonts w:hint="eastAsia" w:ascii="仿宋_GB2312" w:eastAsia="仿宋_GB2312"/>
          <w:sz w:val="32"/>
          <w:szCs w:val="32"/>
          <w:lang w:eastAsia="zh-CN"/>
        </w:rPr>
        <w:t>，（</w:t>
      </w:r>
      <w:r>
        <w:rPr>
          <w:rFonts w:hint="eastAsia" w:ascii="仿宋_GB2312" w:eastAsia="仿宋_GB2312"/>
          <w:sz w:val="32"/>
          <w:szCs w:val="32"/>
          <w:lang w:val="en-US" w:eastAsia="zh-CN"/>
        </w:rPr>
        <w:t>款）机关事业单位基本养老保险缴费支出（项）：反映机关事业单位实施养老保险制度由单位缴纳的基本养老保险费支出。</w:t>
      </w:r>
    </w:p>
    <w:p w14:paraId="4512B1E1">
      <w:pPr>
        <w:spacing w:line="600" w:lineRule="exact"/>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10.社会保障和就业支出（类）行政事业单位养老支出，机关事业单位职业年金缴费支出（项）：反映机关事业单位实施养老保险制度由单位实际缴纳的职业年金支出。</w:t>
      </w:r>
    </w:p>
    <w:p w14:paraId="6533881E">
      <w:pPr>
        <w:spacing w:line="600" w:lineRule="exact"/>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11.卫生健康支出（类）基层医疗卫生机构（款）乡镇卫生院（项）：反映用于乡镇卫生院的支出。</w:t>
      </w:r>
    </w:p>
    <w:p w14:paraId="0705ECF4">
      <w:pPr>
        <w:spacing w:line="600" w:lineRule="exact"/>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12.卫生健康支出（类）基层医疗卫生机构（款）其他2基层医疗卫生机构支出（项）：反映除上述项目以外的其他用于基层医疗卫生机构的支出。</w:t>
      </w:r>
    </w:p>
    <w:p w14:paraId="067465AC">
      <w:pPr>
        <w:spacing w:line="600" w:lineRule="exact"/>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13.卫生健康支出（类）公共卫生（款）基本公共卫生服务（项）：反映基本公共卫生服务支出。</w:t>
      </w:r>
    </w:p>
    <w:p w14:paraId="6F4643CA">
      <w:pPr>
        <w:spacing w:line="600" w:lineRule="exact"/>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14.卫生健康支出（类）行政事业单位医疗（款）事业单位医疗（项）：反映财政部门安排的事业单位基本医疗保险缴费经费，未参加医疗保险的事业单位的公费医疗经费按国家规定享受离休人员待遇的医疗经费。</w:t>
      </w:r>
    </w:p>
    <w:p w14:paraId="198DDC4A">
      <w:pPr>
        <w:spacing w:line="600" w:lineRule="exact"/>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15.卫生健康支出（类）行政事业单位医疗（款）其他行政事业单位医疗支出（项）：反映除上述项目以外的其他用于行政事业单位医疗方面的支出。</w:t>
      </w:r>
    </w:p>
    <w:p w14:paraId="58D2A37F">
      <w:pPr>
        <w:spacing w:line="600" w:lineRule="exact"/>
        <w:rPr>
          <w:rFonts w:hint="eastAsia" w:ascii="仿宋_GB2312" w:eastAsia="仿宋_GB2312"/>
          <w:sz w:val="32"/>
          <w:szCs w:val="32"/>
        </w:rPr>
      </w:pPr>
      <w:r>
        <w:rPr>
          <w:rFonts w:hint="eastAsia" w:ascii="仿宋_GB2312" w:hAnsi="Calibri" w:eastAsia="仿宋_GB2312" w:cs="仿宋"/>
          <w:color w:val="auto"/>
          <w:kern w:val="0"/>
          <w:sz w:val="32"/>
          <w:szCs w:val="32"/>
          <w:lang w:val="en-US" w:eastAsia="zh-CN" w:bidi="ar-SA"/>
        </w:rPr>
        <w:t>16.住房保障支出（类）住房改革支出（款）住房公积金（项）：反映行政事业单位按人力资源和社会保障部、财</w:t>
      </w:r>
      <w:r>
        <w:rPr>
          <w:rFonts w:hint="eastAsia" w:ascii="仿宋_GB2312" w:eastAsia="仿宋_GB2312"/>
          <w:sz w:val="32"/>
          <w:szCs w:val="32"/>
        </w:rPr>
        <w:t>政部规定的基本工资和津贴补贴以及规定比例为职工缴纳住房公积金。</w:t>
      </w:r>
    </w:p>
    <w:p w14:paraId="767E4E33">
      <w:pPr>
        <w:rPr>
          <w:rFonts w:hint="eastAsia" w:ascii="仿宋_GB2312" w:eastAsia="仿宋_GB2312"/>
          <w:sz w:val="32"/>
          <w:szCs w:val="32"/>
        </w:rPr>
      </w:pPr>
      <w:r>
        <w:rPr>
          <w:rFonts w:hint="eastAsia" w:ascii="仿宋_GB2312" w:eastAsia="仿宋_GB2312"/>
          <w:sz w:val="32"/>
          <w:szCs w:val="32"/>
        </w:rPr>
        <w:t>17.基本支出</w:t>
      </w:r>
      <w:r>
        <w:rPr>
          <w:rFonts w:hint="eastAsia" w:ascii="仿宋_GB2312" w:eastAsia="仿宋_GB2312"/>
          <w:sz w:val="32"/>
          <w:szCs w:val="32"/>
          <w:lang w:eastAsia="zh-CN"/>
        </w:rPr>
        <w:t>：</w:t>
      </w:r>
      <w:r>
        <w:rPr>
          <w:rFonts w:hint="eastAsia" w:ascii="仿宋_GB2312" w:eastAsia="仿宋_GB2312"/>
          <w:sz w:val="32"/>
          <w:szCs w:val="32"/>
        </w:rPr>
        <w:t>指为保障机构正常运转、完成日常工作任务而发生的人员支出和公用支出。</w:t>
      </w:r>
    </w:p>
    <w:p w14:paraId="3F6091D1">
      <w:pPr>
        <w:rPr>
          <w:rFonts w:hint="eastAsia" w:ascii="仿宋_GB2312" w:eastAsia="仿宋_GB2312"/>
          <w:sz w:val="32"/>
          <w:szCs w:val="32"/>
        </w:rPr>
      </w:pPr>
      <w:r>
        <w:rPr>
          <w:rFonts w:hint="eastAsia" w:ascii="仿宋_GB2312" w:eastAsia="仿宋_GB2312"/>
          <w:sz w:val="32"/>
          <w:szCs w:val="32"/>
        </w:rPr>
        <w:t>18.项目支出</w:t>
      </w:r>
      <w:r>
        <w:rPr>
          <w:rFonts w:hint="eastAsia" w:ascii="仿宋_GB2312" w:eastAsia="仿宋_GB2312"/>
          <w:sz w:val="32"/>
          <w:szCs w:val="32"/>
          <w:lang w:eastAsia="zh-CN"/>
        </w:rPr>
        <w:t>：</w:t>
      </w:r>
      <w:r>
        <w:rPr>
          <w:rFonts w:hint="eastAsia" w:ascii="仿宋_GB2312" w:eastAsia="仿宋_GB2312"/>
          <w:sz w:val="32"/>
          <w:szCs w:val="32"/>
        </w:rPr>
        <w:t>指在基本支出之外为完成特定行政任务和事业发展目标所发生的支出。</w:t>
      </w:r>
      <w:bookmarkStart w:id="74" w:name="_Toc15396614"/>
      <w:bookmarkStart w:id="75" w:name="_Toc15377226"/>
    </w:p>
    <w:p w14:paraId="0D1F231C">
      <w:pPr>
        <w:jc w:val="center"/>
        <w:rPr>
          <w:rFonts w:hint="eastAsia" w:ascii="仿宋_GB2312" w:eastAsia="仿宋_GB2312"/>
          <w:sz w:val="32"/>
          <w:szCs w:val="32"/>
        </w:rPr>
      </w:pPr>
    </w:p>
    <w:p w14:paraId="6F9EB91E">
      <w:pPr>
        <w:jc w:val="center"/>
        <w:rPr>
          <w:rFonts w:hint="eastAsia" w:ascii="黑体" w:hAnsi="黑体" w:eastAsia="黑体"/>
          <w:sz w:val="44"/>
          <w:szCs w:val="44"/>
        </w:rPr>
        <w:sectPr>
          <w:footerReference r:id="rId5" w:type="first"/>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pPr>
    </w:p>
    <w:p w14:paraId="6720E0FC">
      <w:pPr>
        <w:numPr>
          <w:ilvl w:val="0"/>
          <w:numId w:val="4"/>
        </w:numPr>
        <w:ind w:left="0" w:leftChars="0" w:firstLine="660" w:firstLineChars="150"/>
        <w:jc w:val="center"/>
        <w:rPr>
          <w:rStyle w:val="28"/>
          <w:rFonts w:hint="eastAsia" w:ascii="黑体" w:hAnsi="黑体" w:eastAsia="黑体"/>
          <w:b w:val="0"/>
        </w:rPr>
      </w:pPr>
      <w:bookmarkStart w:id="76" w:name="_Toc5416"/>
      <w:r>
        <w:rPr>
          <w:rStyle w:val="28"/>
          <w:rFonts w:hint="eastAsia" w:ascii="黑体" w:hAnsi="黑体" w:eastAsia="黑体"/>
          <w:b w:val="0"/>
        </w:rPr>
        <w:t>附件</w:t>
      </w:r>
      <w:bookmarkEnd w:id="74"/>
      <w:bookmarkStart w:id="77" w:name="_Toc15396618"/>
    </w:p>
    <w:bookmarkEnd w:id="76"/>
    <w:tbl>
      <w:tblPr>
        <w:tblStyle w:val="16"/>
        <w:tblW w:w="12966"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
      <w:tblGrid>
        <w:gridCol w:w="661"/>
        <w:gridCol w:w="1742"/>
        <w:gridCol w:w="1633"/>
        <w:gridCol w:w="1929"/>
        <w:gridCol w:w="521"/>
        <w:gridCol w:w="1427"/>
        <w:gridCol w:w="495"/>
        <w:gridCol w:w="1040"/>
        <w:gridCol w:w="505"/>
        <w:gridCol w:w="456"/>
        <w:gridCol w:w="2557"/>
      </w:tblGrid>
      <w:tr w14:paraId="21AB4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07" w:hRule="atLeast"/>
        </w:trPr>
        <w:tc>
          <w:tcPr>
            <w:tcW w:w="5965" w:type="dxa"/>
            <w:gridSpan w:val="4"/>
            <w:tcBorders>
              <w:top w:val="nil"/>
              <w:left w:val="nil"/>
              <w:bottom w:val="nil"/>
              <w:right w:val="nil"/>
            </w:tcBorders>
            <w:shd w:val="clear" w:color="auto" w:fill="FFFFFF" w:themeFill="background1"/>
            <w:vAlign w:val="center"/>
          </w:tcPr>
          <w:p w14:paraId="706CD7EA">
            <w:pPr>
              <w:keepNext w:val="0"/>
              <w:keepLines w:val="0"/>
              <w:widowControl/>
              <w:suppressLineNumbers w:val="0"/>
              <w:jc w:val="left"/>
              <w:textAlignment w:val="center"/>
              <w:rPr>
                <w:rFonts w:ascii="宋体" w:hAnsi="宋体" w:eastAsia="宋体" w:cs="宋体"/>
                <w:i w:val="0"/>
                <w:iCs w:val="0"/>
                <w:color w:val="C0C0C0"/>
                <w:sz w:val="20"/>
                <w:szCs w:val="20"/>
                <w:u w:val="none"/>
              </w:rPr>
            </w:pPr>
            <w:r>
              <w:rPr>
                <w:rFonts w:ascii="宋体" w:hAnsi="宋体" w:eastAsia="宋体" w:cs="宋体"/>
                <w:i w:val="0"/>
                <w:iCs w:val="0"/>
                <w:color w:val="C0C0C0"/>
                <w:kern w:val="0"/>
                <w:sz w:val="20"/>
                <w:szCs w:val="20"/>
                <w:u w:val="none"/>
                <w:lang w:val="en-US" w:eastAsia="zh-CN" w:bidi="ar"/>
              </w:rPr>
              <w:t>报表编号：510000_0013zp</w:t>
            </w:r>
          </w:p>
        </w:tc>
        <w:tc>
          <w:tcPr>
            <w:tcW w:w="521" w:type="dxa"/>
            <w:tcBorders>
              <w:top w:val="nil"/>
              <w:left w:val="nil"/>
              <w:bottom w:val="nil"/>
              <w:right w:val="nil"/>
            </w:tcBorders>
            <w:shd w:val="clear" w:color="auto" w:fill="FFFFFF" w:themeFill="background1"/>
            <w:noWrap/>
            <w:vAlign w:val="center"/>
          </w:tcPr>
          <w:p w14:paraId="3F0BBC20">
            <w:pPr>
              <w:rPr>
                <w:rFonts w:hint="eastAsia" w:ascii="宋体" w:hAnsi="宋体" w:eastAsia="宋体" w:cs="宋体"/>
                <w:i w:val="0"/>
                <w:iCs w:val="0"/>
                <w:color w:val="000000"/>
                <w:sz w:val="22"/>
                <w:szCs w:val="22"/>
                <w:u w:val="none"/>
              </w:rPr>
            </w:pPr>
          </w:p>
        </w:tc>
        <w:tc>
          <w:tcPr>
            <w:tcW w:w="2962" w:type="dxa"/>
            <w:gridSpan w:val="3"/>
            <w:tcBorders>
              <w:top w:val="nil"/>
              <w:left w:val="nil"/>
              <w:bottom w:val="nil"/>
              <w:right w:val="nil"/>
            </w:tcBorders>
            <w:shd w:val="clear" w:color="auto" w:fill="FFFFFF" w:themeFill="background1"/>
            <w:vAlign w:val="center"/>
          </w:tcPr>
          <w:p w14:paraId="6BB836BD">
            <w:pPr>
              <w:rPr>
                <w:rFonts w:hint="eastAsia" w:ascii="宋体" w:hAnsi="宋体" w:eastAsia="宋体" w:cs="宋体"/>
                <w:i w:val="0"/>
                <w:iCs w:val="0"/>
                <w:color w:val="000000"/>
                <w:sz w:val="20"/>
                <w:szCs w:val="20"/>
                <w:u w:val="none"/>
              </w:rPr>
            </w:pPr>
          </w:p>
        </w:tc>
        <w:tc>
          <w:tcPr>
            <w:tcW w:w="505" w:type="dxa"/>
            <w:tcBorders>
              <w:top w:val="nil"/>
              <w:left w:val="nil"/>
              <w:bottom w:val="nil"/>
              <w:right w:val="nil"/>
            </w:tcBorders>
            <w:shd w:val="clear" w:color="auto" w:fill="FFFFFF" w:themeFill="background1"/>
            <w:noWrap/>
            <w:vAlign w:val="center"/>
          </w:tcPr>
          <w:p w14:paraId="65F97A7C">
            <w:pPr>
              <w:rPr>
                <w:rFonts w:hint="eastAsia" w:ascii="宋体" w:hAnsi="宋体" w:eastAsia="宋体" w:cs="宋体"/>
                <w:i w:val="0"/>
                <w:iCs w:val="0"/>
                <w:color w:val="000000"/>
                <w:sz w:val="22"/>
                <w:szCs w:val="22"/>
                <w:u w:val="none"/>
              </w:rPr>
            </w:pPr>
          </w:p>
        </w:tc>
        <w:tc>
          <w:tcPr>
            <w:tcW w:w="456" w:type="dxa"/>
            <w:tcBorders>
              <w:top w:val="nil"/>
              <w:left w:val="nil"/>
              <w:bottom w:val="nil"/>
              <w:right w:val="nil"/>
            </w:tcBorders>
            <w:shd w:val="clear" w:color="auto" w:fill="FFFFFF" w:themeFill="background1"/>
            <w:noWrap/>
            <w:vAlign w:val="center"/>
          </w:tcPr>
          <w:p w14:paraId="529925E6">
            <w:pPr>
              <w:rPr>
                <w:rFonts w:hint="eastAsia" w:ascii="宋体" w:hAnsi="宋体" w:eastAsia="宋体" w:cs="宋体"/>
                <w:i w:val="0"/>
                <w:iCs w:val="0"/>
                <w:color w:val="000000"/>
                <w:sz w:val="22"/>
                <w:szCs w:val="22"/>
                <w:u w:val="none"/>
              </w:rPr>
            </w:pPr>
          </w:p>
        </w:tc>
        <w:tc>
          <w:tcPr>
            <w:tcW w:w="2557" w:type="dxa"/>
            <w:tcBorders>
              <w:top w:val="nil"/>
              <w:left w:val="nil"/>
              <w:bottom w:val="nil"/>
              <w:right w:val="nil"/>
            </w:tcBorders>
            <w:shd w:val="clear" w:color="auto" w:fill="FFFFFF" w:themeFill="background1"/>
            <w:noWrap/>
            <w:vAlign w:val="center"/>
          </w:tcPr>
          <w:p w14:paraId="29A06EBE">
            <w:pPr>
              <w:rPr>
                <w:rFonts w:hint="eastAsia" w:ascii="宋体" w:hAnsi="宋体" w:eastAsia="宋体" w:cs="宋体"/>
                <w:i w:val="0"/>
                <w:iCs w:val="0"/>
                <w:color w:val="000000"/>
                <w:sz w:val="22"/>
                <w:szCs w:val="22"/>
                <w:u w:val="none"/>
              </w:rPr>
            </w:pPr>
          </w:p>
        </w:tc>
      </w:tr>
      <w:tr w14:paraId="06116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2966" w:type="dxa"/>
            <w:gridSpan w:val="11"/>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163F57">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59C77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240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50676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563"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A6963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51322422T000006098975</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基层医疗卫生机构基本药物制度补助</w:t>
            </w:r>
          </w:p>
        </w:tc>
      </w:tr>
      <w:tr w14:paraId="20BCA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512" w:hRule="atLeast"/>
        </w:trPr>
        <w:tc>
          <w:tcPr>
            <w:tcW w:w="240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34138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00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B1238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松潘县卫生健康局本级</w:t>
            </w:r>
          </w:p>
        </w:tc>
        <w:tc>
          <w:tcPr>
            <w:tcW w:w="1040" w:type="dxa"/>
            <w:tcBorders>
              <w:top w:val="nil"/>
              <w:left w:val="nil"/>
              <w:bottom w:val="nil"/>
              <w:right w:val="nil"/>
            </w:tcBorders>
            <w:shd w:val="clear" w:color="auto" w:fill="FFFFFF" w:themeFill="background1"/>
            <w:vAlign w:val="center"/>
          </w:tcPr>
          <w:p w14:paraId="0719044B">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748D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松潘县镇江关镇中心卫生院</w:t>
            </w:r>
          </w:p>
        </w:tc>
      </w:tr>
      <w:tr w14:paraId="25B09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6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8AAE5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42"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0C980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00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62C37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558"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873CE3">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6C428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708"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793A1BA">
            <w:pP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222CE6">
            <w:pPr>
              <w:rPr>
                <w:rFonts w:hint="eastAsia" w:ascii="宋体" w:hAnsi="宋体" w:eastAsia="宋体" w:cs="宋体"/>
                <w:i w:val="0"/>
                <w:iCs w:val="0"/>
                <w:color w:val="000000"/>
                <w:sz w:val="18"/>
                <w:szCs w:val="18"/>
                <w:u w:val="none"/>
              </w:rPr>
            </w:pPr>
          </w:p>
        </w:tc>
        <w:tc>
          <w:tcPr>
            <w:tcW w:w="600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166A8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保障基层医疗机构实施国家基本药物制度，推进综合改革顺利进行， 严格执行基本药物制度，确保药品采购渠道合法、质量可靠、价格合理。</w:t>
            </w:r>
          </w:p>
        </w:tc>
        <w:tc>
          <w:tcPr>
            <w:tcW w:w="4558"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D7228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Style w:val="34"/>
                <w:lang w:val="en-US" w:eastAsia="zh-CN" w:bidi="ar"/>
              </w:rPr>
              <w:t>截止目前我镇基层医疗机构全部实施国家基本药物制度，推进综合改革</w:t>
            </w:r>
            <w:r>
              <w:rPr>
                <w:rStyle w:val="34"/>
                <w:rFonts w:hint="eastAsia"/>
                <w:lang w:val="en-US" w:eastAsia="zh-CN" w:bidi="ar"/>
              </w:rPr>
              <w:t>顺利</w:t>
            </w:r>
            <w:r>
              <w:rPr>
                <w:rStyle w:val="34"/>
                <w:lang w:val="en-US" w:eastAsia="zh-CN" w:bidi="ar"/>
              </w:rPr>
              <w:t>进行：</w:t>
            </w:r>
            <w:r>
              <w:rPr>
                <w:rStyle w:val="34"/>
                <w:lang w:val="en-US" w:eastAsia="zh-CN" w:bidi="ar"/>
              </w:rPr>
              <w:br w:type="textWrapping"/>
            </w:r>
            <w:r>
              <w:rPr>
                <w:rStyle w:val="34"/>
                <w:lang w:val="en-US" w:eastAsia="zh-CN" w:bidi="ar"/>
              </w:rPr>
              <w:t>目前国家基本药物制度在镇卫生院与村卫生室顺利实施：</w:t>
            </w:r>
            <w:r>
              <w:rPr>
                <w:rStyle w:val="35"/>
                <w:rFonts w:eastAsia="黑体"/>
                <w:lang w:val="en-US" w:eastAsia="zh-CN" w:bidi="ar"/>
              </w:rPr>
              <w:t xml:space="preserve"> </w:t>
            </w:r>
            <w:r>
              <w:rPr>
                <w:rStyle w:val="34"/>
                <w:lang w:val="en-US" w:eastAsia="zh-CN" w:bidi="ar"/>
              </w:rPr>
              <w:t>严格执行基本药物制度，确保药品采购渠道合法、质量可靠、价格合理。</w:t>
            </w:r>
          </w:p>
        </w:tc>
      </w:tr>
      <w:tr w14:paraId="45A79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693"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4C2FEB">
            <w:pP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C1F18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563"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3ADD5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对实施国家基本药物制度的基层医疗机构给予补助，支持国家基本药物制度在基层医疗机构顺利实施</w:t>
            </w:r>
            <w:r>
              <w:rPr>
                <w:rFonts w:hint="eastAsia" w:ascii="宋体" w:hAnsi="宋体" w:cs="宋体"/>
                <w:i w:val="0"/>
                <w:iCs w:val="0"/>
                <w:color w:val="000000"/>
                <w:kern w:val="0"/>
                <w:sz w:val="18"/>
                <w:szCs w:val="18"/>
                <w:u w:val="none"/>
                <w:lang w:val="en-US" w:eastAsia="zh-CN" w:bidi="ar"/>
              </w:rPr>
              <w:t>；</w:t>
            </w:r>
          </w:p>
        </w:tc>
      </w:tr>
      <w:tr w14:paraId="516DA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6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9DAB1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C500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C34D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6B60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9153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5E63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09DE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3E9B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4327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2FD74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601AE7">
            <w:pPr>
              <w:jc w:val="cente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633D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A9A9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9FF7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2.42</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7FFD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2.42</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6FAC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F0D0D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4814D3">
            <w:pPr>
              <w:jc w:val="center"/>
              <w:rPr>
                <w:rFonts w:hint="eastAsia" w:ascii="宋体" w:hAnsi="宋体" w:eastAsia="宋体" w:cs="宋体"/>
                <w:i w:val="0"/>
                <w:iCs w:val="0"/>
                <w:color w:val="000000"/>
                <w:sz w:val="18"/>
                <w:szCs w:val="18"/>
                <w:u w:val="none"/>
              </w:rPr>
            </w:pP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5F40C3">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1051B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91"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F39FD4">
            <w:pPr>
              <w:jc w:val="cente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C7E4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FED2F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52BF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2.42</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1E48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2.42</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162E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F9CF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0C71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817A75">
            <w:pPr>
              <w:rPr>
                <w:rFonts w:hint="eastAsia" w:ascii="黑体" w:hAnsi="黑体" w:eastAsia="黑体" w:cs="黑体"/>
                <w:i/>
                <w:iCs/>
                <w:color w:val="000000"/>
                <w:sz w:val="18"/>
                <w:szCs w:val="18"/>
                <w:u w:val="none"/>
              </w:rPr>
            </w:pPr>
          </w:p>
        </w:tc>
      </w:tr>
      <w:tr w14:paraId="35570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5ACD88">
            <w:pPr>
              <w:jc w:val="cente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7745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7AFC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D358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A8E5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C08F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ECB0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B3BB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10C2F4">
            <w:pPr>
              <w:rPr>
                <w:rFonts w:hint="eastAsia" w:ascii="黑体" w:hAnsi="黑体" w:eastAsia="黑体" w:cs="黑体"/>
                <w:i/>
                <w:iCs/>
                <w:color w:val="000000"/>
                <w:sz w:val="18"/>
                <w:szCs w:val="18"/>
                <w:u w:val="none"/>
              </w:rPr>
            </w:pPr>
          </w:p>
        </w:tc>
      </w:tr>
      <w:tr w14:paraId="1DCC3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8C7EBD">
            <w:pPr>
              <w:jc w:val="cente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B580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85F1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6467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3261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FBDC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96C75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B068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7AE25F0">
            <w:pPr>
              <w:rPr>
                <w:rFonts w:hint="eastAsia" w:ascii="黑体" w:hAnsi="黑体" w:eastAsia="黑体" w:cs="黑体"/>
                <w:i/>
                <w:iCs/>
                <w:color w:val="000000"/>
                <w:sz w:val="18"/>
                <w:szCs w:val="18"/>
                <w:u w:val="none"/>
              </w:rPr>
            </w:pPr>
          </w:p>
        </w:tc>
      </w:tr>
      <w:tr w14:paraId="7537C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39"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3D26BF">
            <w:pPr>
              <w:jc w:val="cente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1227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CEFC0A">
            <w:pPr>
              <w:jc w:val="center"/>
              <w:rPr>
                <w:rFonts w:hint="eastAsia" w:ascii="微软雅黑" w:hAnsi="微软雅黑" w:eastAsia="微软雅黑" w:cs="微软雅黑"/>
                <w:i/>
                <w:iCs/>
                <w:color w:val="000000"/>
                <w:sz w:val="16"/>
                <w:szCs w:val="16"/>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5F68A9">
            <w:pPr>
              <w:jc w:val="center"/>
              <w:rPr>
                <w:rFonts w:hint="eastAsia" w:ascii="微软雅黑" w:hAnsi="微软雅黑" w:eastAsia="微软雅黑" w:cs="微软雅黑"/>
                <w:i/>
                <w:iCs/>
                <w:color w:val="000000"/>
                <w:sz w:val="16"/>
                <w:szCs w:val="16"/>
                <w:u w:val="none"/>
              </w:rPr>
            </w:pP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96FFB4">
            <w:pPr>
              <w:jc w:val="center"/>
              <w:rPr>
                <w:rFonts w:hint="eastAsia" w:ascii="微软雅黑" w:hAnsi="微软雅黑" w:eastAsia="微软雅黑" w:cs="微软雅黑"/>
                <w:i/>
                <w:iCs/>
                <w:color w:val="000000"/>
                <w:sz w:val="16"/>
                <w:szCs w:val="16"/>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BF803C">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0BA3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6B08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42C189">
            <w:pPr>
              <w:rPr>
                <w:rFonts w:hint="eastAsia" w:ascii="黑体" w:hAnsi="黑体" w:eastAsia="黑体" w:cs="黑体"/>
                <w:i/>
                <w:iCs/>
                <w:color w:val="000000"/>
                <w:sz w:val="18"/>
                <w:szCs w:val="18"/>
                <w:u w:val="none"/>
              </w:rPr>
            </w:pPr>
          </w:p>
        </w:tc>
      </w:tr>
      <w:tr w14:paraId="5AC2D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0C30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C52C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1280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5347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B110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C937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D1FE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06A9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F232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463C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8B39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51F22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18216B">
            <w:pPr>
              <w:jc w:val="center"/>
              <w:rPr>
                <w:rFonts w:hint="eastAsia" w:ascii="宋体" w:hAnsi="宋体" w:eastAsia="宋体" w:cs="宋体"/>
                <w:i w:val="0"/>
                <w:iCs w:val="0"/>
                <w:color w:val="000000"/>
                <w:sz w:val="18"/>
                <w:szCs w:val="18"/>
                <w:u w:val="none"/>
              </w:rPr>
            </w:pPr>
          </w:p>
        </w:tc>
        <w:tc>
          <w:tcPr>
            <w:tcW w:w="1742"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492E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3C9C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A87B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村卫生室实施国家基本药物制度覆盖率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C0720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78577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F30E3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997B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8C39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6D74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6477D9">
            <w:pPr>
              <w:jc w:val="center"/>
              <w:rPr>
                <w:rFonts w:hint="eastAsia" w:ascii="宋体" w:hAnsi="宋体" w:eastAsia="宋体" w:cs="宋体"/>
                <w:i w:val="0"/>
                <w:iCs w:val="0"/>
                <w:color w:val="000000"/>
                <w:sz w:val="18"/>
                <w:szCs w:val="18"/>
                <w:u w:val="none"/>
              </w:rPr>
            </w:pPr>
          </w:p>
        </w:tc>
      </w:tr>
      <w:tr w14:paraId="703EE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45D71C">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96705A">
            <w:pPr>
              <w:jc w:val="center"/>
              <w:rPr>
                <w:rFonts w:hint="eastAsia" w:ascii="宋体" w:hAnsi="宋体" w:eastAsia="宋体" w:cs="宋体"/>
                <w:i w:val="0"/>
                <w:iCs w:val="0"/>
                <w:color w:val="000000"/>
                <w:sz w:val="18"/>
                <w:szCs w:val="18"/>
                <w:u w:val="none"/>
              </w:rPr>
            </w:pP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CA4B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862AD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基层医疗卫生机构“优质服务基层行”活动达到基本标准及以上的比例</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7A5C0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596C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7631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D7E7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0685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F6A6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612719">
            <w:pPr>
              <w:jc w:val="center"/>
              <w:rPr>
                <w:rFonts w:hint="eastAsia" w:ascii="宋体" w:hAnsi="宋体" w:eastAsia="宋体" w:cs="宋体"/>
                <w:i w:val="0"/>
                <w:iCs w:val="0"/>
                <w:color w:val="000000"/>
                <w:sz w:val="18"/>
                <w:szCs w:val="18"/>
                <w:u w:val="none"/>
              </w:rPr>
            </w:pPr>
          </w:p>
        </w:tc>
      </w:tr>
      <w:tr w14:paraId="2E91F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DE4F27">
            <w:pPr>
              <w:jc w:val="cente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1833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87DC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2169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国家基本药物制度在基层持续实施</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CA9E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10F5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中长期</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46A53B">
            <w:pPr>
              <w:jc w:val="center"/>
              <w:rPr>
                <w:rFonts w:hint="eastAsia" w:ascii="宋体" w:hAnsi="宋体" w:eastAsia="宋体" w:cs="宋体"/>
                <w:i w:val="0"/>
                <w:iCs w:val="0"/>
                <w:color w:val="000000"/>
                <w:sz w:val="18"/>
                <w:szCs w:val="18"/>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085309">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042A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A1AB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ACB4DE">
            <w:pPr>
              <w:jc w:val="center"/>
              <w:rPr>
                <w:rFonts w:hint="eastAsia" w:ascii="宋体" w:hAnsi="宋体" w:eastAsia="宋体" w:cs="宋体"/>
                <w:i w:val="0"/>
                <w:iCs w:val="0"/>
                <w:color w:val="000000"/>
                <w:sz w:val="18"/>
                <w:szCs w:val="18"/>
                <w:u w:val="none"/>
              </w:rPr>
            </w:pPr>
          </w:p>
        </w:tc>
      </w:tr>
      <w:tr w14:paraId="2DFC9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DCA710">
            <w:pPr>
              <w:jc w:val="cente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22B2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46FA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F484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乡村医生收入</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DDFA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F0B4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保持稳定</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EDCC17">
            <w:pPr>
              <w:jc w:val="center"/>
              <w:rPr>
                <w:rFonts w:hint="eastAsia" w:ascii="宋体" w:hAnsi="宋体" w:eastAsia="宋体" w:cs="宋体"/>
                <w:i w:val="0"/>
                <w:iCs w:val="0"/>
                <w:color w:val="000000"/>
                <w:sz w:val="18"/>
                <w:szCs w:val="18"/>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261E78">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205E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43C9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7A89FC">
            <w:pPr>
              <w:jc w:val="center"/>
              <w:rPr>
                <w:rFonts w:hint="eastAsia" w:ascii="宋体" w:hAnsi="宋体" w:eastAsia="宋体" w:cs="宋体"/>
                <w:i w:val="0"/>
                <w:iCs w:val="0"/>
                <w:color w:val="000000"/>
                <w:sz w:val="18"/>
                <w:szCs w:val="18"/>
                <w:u w:val="none"/>
              </w:rPr>
            </w:pPr>
          </w:p>
        </w:tc>
      </w:tr>
      <w:tr w14:paraId="7E021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FA58CF">
            <w:pPr>
              <w:jc w:val="center"/>
              <w:rPr>
                <w:rFonts w:hint="eastAsia" w:ascii="宋体" w:hAnsi="宋体" w:eastAsia="宋体" w:cs="宋体"/>
                <w:i w:val="0"/>
                <w:iCs w:val="0"/>
                <w:color w:val="000000"/>
                <w:sz w:val="18"/>
                <w:szCs w:val="18"/>
                <w:u w:val="none"/>
              </w:rPr>
            </w:pPr>
          </w:p>
        </w:tc>
        <w:tc>
          <w:tcPr>
            <w:tcW w:w="1742"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19AF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633"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8F56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F3A2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医院医务人员满意度</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30B3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F224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较上一年提高</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5887CD">
            <w:pPr>
              <w:jc w:val="center"/>
              <w:rPr>
                <w:rFonts w:hint="eastAsia" w:ascii="宋体" w:hAnsi="宋体" w:eastAsia="宋体" w:cs="宋体"/>
                <w:i w:val="0"/>
                <w:iCs w:val="0"/>
                <w:color w:val="000000"/>
                <w:sz w:val="18"/>
                <w:szCs w:val="18"/>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FA888E">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0384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B15F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DE0D90">
            <w:pPr>
              <w:jc w:val="center"/>
              <w:rPr>
                <w:rFonts w:hint="eastAsia" w:ascii="宋体" w:hAnsi="宋体" w:eastAsia="宋体" w:cs="宋体"/>
                <w:i w:val="0"/>
                <w:iCs w:val="0"/>
                <w:color w:val="000000"/>
                <w:sz w:val="18"/>
                <w:szCs w:val="18"/>
                <w:u w:val="none"/>
              </w:rPr>
            </w:pPr>
          </w:p>
        </w:tc>
      </w:tr>
      <w:tr w14:paraId="43ED8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39"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966A56">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B2C541">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E21421">
            <w:pPr>
              <w:jc w:val="center"/>
              <w:rPr>
                <w:rFonts w:hint="eastAsia" w:ascii="宋体" w:hAnsi="宋体" w:eastAsia="宋体" w:cs="宋体"/>
                <w:i w:val="0"/>
                <w:iCs w:val="0"/>
                <w:color w:val="000000"/>
                <w:sz w:val="18"/>
                <w:szCs w:val="18"/>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7560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对基本药物制度补助满意度</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9016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AD32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E585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41D1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5A73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429D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EA0111C">
            <w:pPr>
              <w:jc w:val="center"/>
              <w:rPr>
                <w:rFonts w:hint="eastAsia" w:ascii="宋体" w:hAnsi="宋体" w:eastAsia="宋体" w:cs="宋体"/>
                <w:i w:val="0"/>
                <w:iCs w:val="0"/>
                <w:color w:val="000000"/>
                <w:sz w:val="18"/>
                <w:szCs w:val="18"/>
                <w:u w:val="none"/>
              </w:rPr>
            </w:pPr>
          </w:p>
        </w:tc>
      </w:tr>
      <w:tr w14:paraId="34E4C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48" w:type="dxa"/>
            <w:gridSpan w:val="8"/>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97C6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3357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A36A2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CCF163">
            <w:pPr>
              <w:rPr>
                <w:rFonts w:hint="eastAsia" w:ascii="宋体" w:hAnsi="宋体" w:eastAsia="宋体" w:cs="宋体"/>
                <w:i w:val="0"/>
                <w:iCs w:val="0"/>
                <w:color w:val="000000"/>
                <w:sz w:val="18"/>
                <w:szCs w:val="18"/>
                <w:u w:val="none"/>
              </w:rPr>
            </w:pPr>
          </w:p>
        </w:tc>
      </w:tr>
      <w:tr w14:paraId="69412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603" w:hRule="atLeast"/>
        </w:trPr>
        <w:tc>
          <w:tcPr>
            <w:tcW w:w="6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1902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305" w:type="dxa"/>
            <w:gridSpan w:val="10"/>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7494D0">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项目自评总分97分，通过项目实施基层医疗机构全部实施国家基本药物制度， 严格执行基本药物制度，确保药品采购渠道合法、质量可靠，推进综合改革顺利完成</w:t>
            </w:r>
          </w:p>
        </w:tc>
      </w:tr>
      <w:tr w14:paraId="55954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572" w:hRule="atLeast"/>
        </w:trPr>
        <w:tc>
          <w:tcPr>
            <w:tcW w:w="6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2080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305" w:type="dxa"/>
            <w:gridSpan w:val="10"/>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143785">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20087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633" w:hRule="atLeast"/>
        </w:trPr>
        <w:tc>
          <w:tcPr>
            <w:tcW w:w="6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2B4C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305" w:type="dxa"/>
            <w:gridSpan w:val="10"/>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14CA21">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12062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6486"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5762EB">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46B9B4">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5E714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61" w:type="dxa"/>
            <w:tcBorders>
              <w:top w:val="nil"/>
              <w:left w:val="nil"/>
              <w:bottom w:val="nil"/>
              <w:right w:val="nil"/>
            </w:tcBorders>
            <w:shd w:val="clear" w:color="auto" w:fill="FFFFFF" w:themeFill="background1"/>
            <w:vAlign w:val="center"/>
          </w:tcPr>
          <w:p w14:paraId="2EC4E431">
            <w:pPr>
              <w:rPr>
                <w:rFonts w:hint="eastAsia" w:ascii="宋体" w:hAnsi="宋体" w:eastAsia="宋体" w:cs="宋体"/>
                <w:i w:val="0"/>
                <w:iCs w:val="0"/>
                <w:color w:val="000000"/>
                <w:sz w:val="18"/>
                <w:szCs w:val="18"/>
                <w:u w:val="none"/>
              </w:rPr>
            </w:pPr>
          </w:p>
        </w:tc>
        <w:tc>
          <w:tcPr>
            <w:tcW w:w="1742" w:type="dxa"/>
            <w:tcBorders>
              <w:top w:val="nil"/>
              <w:left w:val="nil"/>
              <w:bottom w:val="nil"/>
              <w:right w:val="nil"/>
            </w:tcBorders>
            <w:shd w:val="clear" w:color="auto" w:fill="FFFFFF" w:themeFill="background1"/>
            <w:vAlign w:val="center"/>
          </w:tcPr>
          <w:p w14:paraId="642A1729">
            <w:pPr>
              <w:rPr>
                <w:rFonts w:hint="eastAsia" w:ascii="宋体" w:hAnsi="宋体" w:eastAsia="宋体" w:cs="宋体"/>
                <w:i w:val="0"/>
                <w:iCs w:val="0"/>
                <w:color w:val="000000"/>
                <w:sz w:val="18"/>
                <w:szCs w:val="18"/>
                <w:u w:val="none"/>
              </w:rPr>
            </w:pPr>
          </w:p>
        </w:tc>
        <w:tc>
          <w:tcPr>
            <w:tcW w:w="1633" w:type="dxa"/>
            <w:tcBorders>
              <w:top w:val="nil"/>
              <w:left w:val="nil"/>
              <w:bottom w:val="nil"/>
              <w:right w:val="nil"/>
            </w:tcBorders>
            <w:shd w:val="clear" w:color="auto" w:fill="FFFFFF" w:themeFill="background1"/>
            <w:vAlign w:val="center"/>
          </w:tcPr>
          <w:p w14:paraId="35138E43">
            <w:pPr>
              <w:rPr>
                <w:rFonts w:hint="eastAsia" w:ascii="宋体" w:hAnsi="宋体" w:eastAsia="宋体" w:cs="宋体"/>
                <w:i w:val="0"/>
                <w:iCs w:val="0"/>
                <w:color w:val="000000"/>
                <w:sz w:val="18"/>
                <w:szCs w:val="18"/>
                <w:u w:val="none"/>
              </w:rPr>
            </w:pPr>
          </w:p>
        </w:tc>
        <w:tc>
          <w:tcPr>
            <w:tcW w:w="1929" w:type="dxa"/>
            <w:tcBorders>
              <w:top w:val="nil"/>
              <w:left w:val="nil"/>
              <w:bottom w:val="nil"/>
              <w:right w:val="nil"/>
            </w:tcBorders>
            <w:shd w:val="clear" w:color="auto" w:fill="FFFFFF" w:themeFill="background1"/>
            <w:vAlign w:val="center"/>
          </w:tcPr>
          <w:p w14:paraId="6E4BA0A2">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FFFFFF" w:themeFill="background1"/>
            <w:vAlign w:val="center"/>
          </w:tcPr>
          <w:p w14:paraId="3ADFD40B">
            <w:pPr>
              <w:rPr>
                <w:rFonts w:hint="eastAsia" w:ascii="宋体" w:hAnsi="宋体" w:eastAsia="宋体" w:cs="宋体"/>
                <w:i w:val="0"/>
                <w:iCs w:val="0"/>
                <w:color w:val="000000"/>
                <w:sz w:val="18"/>
                <w:szCs w:val="18"/>
                <w:u w:val="none"/>
              </w:rPr>
            </w:pPr>
          </w:p>
        </w:tc>
        <w:tc>
          <w:tcPr>
            <w:tcW w:w="1427" w:type="dxa"/>
            <w:tcBorders>
              <w:top w:val="nil"/>
              <w:left w:val="nil"/>
              <w:bottom w:val="nil"/>
              <w:right w:val="nil"/>
            </w:tcBorders>
            <w:shd w:val="clear" w:color="auto" w:fill="FFFFFF" w:themeFill="background1"/>
            <w:vAlign w:val="center"/>
          </w:tcPr>
          <w:p w14:paraId="1566801E">
            <w:pPr>
              <w:rPr>
                <w:rFonts w:hint="eastAsia" w:ascii="宋体" w:hAnsi="宋体" w:eastAsia="宋体" w:cs="宋体"/>
                <w:i w:val="0"/>
                <w:iCs w:val="0"/>
                <w:color w:val="000000"/>
                <w:sz w:val="18"/>
                <w:szCs w:val="18"/>
                <w:u w:val="none"/>
              </w:rPr>
            </w:pPr>
          </w:p>
        </w:tc>
        <w:tc>
          <w:tcPr>
            <w:tcW w:w="495" w:type="dxa"/>
            <w:tcBorders>
              <w:top w:val="nil"/>
              <w:left w:val="nil"/>
              <w:bottom w:val="nil"/>
              <w:right w:val="nil"/>
            </w:tcBorders>
            <w:shd w:val="clear" w:color="auto" w:fill="FFFFFF" w:themeFill="background1"/>
            <w:vAlign w:val="center"/>
          </w:tcPr>
          <w:p w14:paraId="069C32F7">
            <w:pPr>
              <w:rPr>
                <w:rFonts w:hint="eastAsia" w:ascii="宋体" w:hAnsi="宋体" w:eastAsia="宋体" w:cs="宋体"/>
                <w:i w:val="0"/>
                <w:iCs w:val="0"/>
                <w:color w:val="000000"/>
                <w:sz w:val="18"/>
                <w:szCs w:val="18"/>
                <w:u w:val="none"/>
              </w:rPr>
            </w:pPr>
          </w:p>
        </w:tc>
        <w:tc>
          <w:tcPr>
            <w:tcW w:w="1040" w:type="dxa"/>
            <w:tcBorders>
              <w:top w:val="nil"/>
              <w:left w:val="nil"/>
              <w:bottom w:val="nil"/>
              <w:right w:val="nil"/>
            </w:tcBorders>
            <w:shd w:val="clear" w:color="auto" w:fill="FFFFFF" w:themeFill="background1"/>
            <w:vAlign w:val="center"/>
          </w:tcPr>
          <w:p w14:paraId="31FEBA55">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FFFFFF" w:themeFill="background1"/>
            <w:vAlign w:val="center"/>
          </w:tcPr>
          <w:p w14:paraId="4F5C584B">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FFFFFF" w:themeFill="background1"/>
            <w:vAlign w:val="center"/>
          </w:tcPr>
          <w:p w14:paraId="316026D2">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FFFFFF" w:themeFill="background1"/>
            <w:vAlign w:val="center"/>
          </w:tcPr>
          <w:p w14:paraId="0A930E75">
            <w:pPr>
              <w:rPr>
                <w:rFonts w:hint="eastAsia" w:ascii="宋体" w:hAnsi="宋体" w:eastAsia="宋体" w:cs="宋体"/>
                <w:i w:val="0"/>
                <w:iCs w:val="0"/>
                <w:color w:val="000000"/>
                <w:sz w:val="18"/>
                <w:szCs w:val="18"/>
                <w:u w:val="none"/>
              </w:rPr>
            </w:pPr>
          </w:p>
        </w:tc>
      </w:tr>
      <w:tr w14:paraId="2D466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904" w:hRule="atLeast"/>
        </w:trPr>
        <w:tc>
          <w:tcPr>
            <w:tcW w:w="12966" w:type="dxa"/>
            <w:gridSpan w:val="11"/>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558222">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2A31A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240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6A158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563"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CA976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51322422T000006098985</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村卫生室实施国家基本药物制度补助</w:t>
            </w:r>
          </w:p>
        </w:tc>
      </w:tr>
      <w:tr w14:paraId="4B018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512" w:hRule="atLeast"/>
        </w:trPr>
        <w:tc>
          <w:tcPr>
            <w:tcW w:w="240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C5B22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00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ED8FE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松潘县卫生健康局本级</w:t>
            </w:r>
          </w:p>
        </w:tc>
        <w:tc>
          <w:tcPr>
            <w:tcW w:w="1040" w:type="dxa"/>
            <w:tcBorders>
              <w:top w:val="nil"/>
              <w:left w:val="nil"/>
              <w:bottom w:val="nil"/>
              <w:right w:val="nil"/>
            </w:tcBorders>
            <w:shd w:val="clear" w:color="auto" w:fill="FFFFFF" w:themeFill="background1"/>
            <w:vAlign w:val="center"/>
          </w:tcPr>
          <w:p w14:paraId="085353F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1985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松潘县镇江关镇中心卫生院</w:t>
            </w:r>
          </w:p>
        </w:tc>
      </w:tr>
      <w:tr w14:paraId="16E78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66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56B6F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42"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1611C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00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F12C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558"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472AEA">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4EA47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708"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C0D1DE">
            <w:pP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CBA77C9">
            <w:pPr>
              <w:rPr>
                <w:rFonts w:hint="eastAsia" w:ascii="宋体" w:hAnsi="宋体" w:eastAsia="宋体" w:cs="宋体"/>
                <w:i w:val="0"/>
                <w:iCs w:val="0"/>
                <w:color w:val="000000"/>
                <w:sz w:val="18"/>
                <w:szCs w:val="18"/>
                <w:u w:val="none"/>
              </w:rPr>
            </w:pPr>
          </w:p>
        </w:tc>
        <w:tc>
          <w:tcPr>
            <w:tcW w:w="600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9F293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保障我乡所有基层医疗机构实施国家基本药物制度，推进综合改革顺利进行</w:t>
            </w:r>
            <w:r>
              <w:rPr>
                <w:rFonts w:hint="eastAsia" w:ascii="宋体" w:hAnsi="宋体" w:cs="宋体"/>
                <w:i w:val="0"/>
                <w:iCs w:val="0"/>
                <w:color w:val="000000"/>
                <w:kern w:val="0"/>
                <w:sz w:val="18"/>
                <w:szCs w:val="18"/>
                <w:u w:val="none"/>
                <w:lang w:val="en-US" w:eastAsia="zh-CN" w:bidi="ar"/>
              </w:rPr>
              <w:t>：</w:t>
            </w:r>
          </w:p>
        </w:tc>
        <w:tc>
          <w:tcPr>
            <w:tcW w:w="4558"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E1C88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截至目前我乡基层医疗机构全部实施国家基本药物制度，推进综合改革顺利进行：</w:t>
            </w:r>
            <w:r>
              <w:rPr>
                <w:rFonts w:hint="eastAsia" w:ascii="黑体" w:hAnsi="黑体" w:eastAsia="黑体" w:cs="黑体"/>
                <w:i w:val="0"/>
                <w:iCs w:val="0"/>
                <w:color w:val="000000"/>
                <w:kern w:val="0"/>
                <w:sz w:val="18"/>
                <w:szCs w:val="18"/>
                <w:u w:val="none"/>
                <w:lang w:val="en-US" w:eastAsia="zh-CN" w:bidi="ar"/>
              </w:rPr>
              <w:br w:type="textWrapping"/>
            </w:r>
            <w:r>
              <w:rPr>
                <w:rFonts w:hint="eastAsia" w:ascii="黑体" w:hAnsi="黑体" w:eastAsia="黑体" w:cs="黑体"/>
                <w:i w:val="0"/>
                <w:iCs w:val="0"/>
                <w:color w:val="000000"/>
                <w:kern w:val="0"/>
                <w:sz w:val="18"/>
                <w:szCs w:val="18"/>
                <w:u w:val="none"/>
                <w:lang w:val="en-US" w:eastAsia="zh-CN" w:bidi="ar"/>
              </w:rPr>
              <w:t>对实施国家基本药物制度的乡镇卫生院与村卫生室给予补助，已发放2.6万元，目前国家基本药物制度在乡镇卫生院与村卫生室顺利实施：</w:t>
            </w:r>
          </w:p>
        </w:tc>
      </w:tr>
      <w:tr w14:paraId="47E78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693"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339472">
            <w:pP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E8F3B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563"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C1993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对实施国家基本药物制度的村卫生室给予补助，严格执行基本药物制度，确保药品采购渠道合法、质量可靠，推进综合改革顺利完成支持国家基本药物制度在村卫生室顺利实施</w:t>
            </w:r>
            <w:r>
              <w:rPr>
                <w:rFonts w:hint="eastAsia" w:ascii="宋体" w:hAnsi="宋体" w:cs="宋体"/>
                <w:i w:val="0"/>
                <w:iCs w:val="0"/>
                <w:color w:val="000000"/>
                <w:kern w:val="0"/>
                <w:sz w:val="18"/>
                <w:szCs w:val="18"/>
                <w:u w:val="none"/>
                <w:lang w:val="en-US" w:eastAsia="zh-CN" w:bidi="ar"/>
              </w:rPr>
              <w:t>；</w:t>
            </w:r>
          </w:p>
        </w:tc>
      </w:tr>
      <w:tr w14:paraId="3447C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6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DDB5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F4D9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6286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7161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0148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AF27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1683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43FB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CAB7B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1CCF6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9B150C">
            <w:pPr>
              <w:jc w:val="cente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3840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8F09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F14C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2.60</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5C6A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2.60</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1F05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AB22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E0E6E0">
            <w:pPr>
              <w:jc w:val="center"/>
              <w:rPr>
                <w:rFonts w:hint="eastAsia" w:ascii="宋体" w:hAnsi="宋体" w:eastAsia="宋体" w:cs="宋体"/>
                <w:i w:val="0"/>
                <w:iCs w:val="0"/>
                <w:color w:val="000000"/>
                <w:sz w:val="18"/>
                <w:szCs w:val="18"/>
                <w:u w:val="none"/>
              </w:rPr>
            </w:pP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AF105D">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4B9B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91"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0340447">
            <w:pPr>
              <w:jc w:val="cente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8EF5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685F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8FD55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2.60</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0BA21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2.60</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8611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04A2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F738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E381EC">
            <w:pPr>
              <w:rPr>
                <w:rFonts w:hint="eastAsia" w:ascii="黑体" w:hAnsi="黑体" w:eastAsia="黑体" w:cs="黑体"/>
                <w:i/>
                <w:iCs/>
                <w:color w:val="000000"/>
                <w:sz w:val="18"/>
                <w:szCs w:val="18"/>
                <w:u w:val="none"/>
              </w:rPr>
            </w:pPr>
          </w:p>
        </w:tc>
      </w:tr>
      <w:tr w14:paraId="5BE87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07"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01CA86">
            <w:pPr>
              <w:jc w:val="cente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811D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37963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185E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15A8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406E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8047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6A53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270B2D">
            <w:pPr>
              <w:rPr>
                <w:rFonts w:hint="eastAsia" w:ascii="黑体" w:hAnsi="黑体" w:eastAsia="黑体" w:cs="黑体"/>
                <w:i/>
                <w:iCs/>
                <w:color w:val="000000"/>
                <w:sz w:val="18"/>
                <w:szCs w:val="18"/>
                <w:u w:val="none"/>
              </w:rPr>
            </w:pPr>
          </w:p>
        </w:tc>
      </w:tr>
      <w:tr w14:paraId="59285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67244B">
            <w:pPr>
              <w:jc w:val="cente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3EDB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C79A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CDA8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970E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024C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2EAF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0380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8C3706">
            <w:pPr>
              <w:rPr>
                <w:rFonts w:hint="eastAsia" w:ascii="黑体" w:hAnsi="黑体" w:eastAsia="黑体" w:cs="黑体"/>
                <w:i/>
                <w:iCs/>
                <w:color w:val="000000"/>
                <w:sz w:val="18"/>
                <w:szCs w:val="18"/>
                <w:u w:val="none"/>
              </w:rPr>
            </w:pPr>
          </w:p>
        </w:tc>
      </w:tr>
      <w:tr w14:paraId="03B7A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39"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E5516C">
            <w:pPr>
              <w:jc w:val="cente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335A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1A4B5C">
            <w:pPr>
              <w:jc w:val="center"/>
              <w:rPr>
                <w:rFonts w:hint="eastAsia" w:ascii="微软雅黑" w:hAnsi="微软雅黑" w:eastAsia="微软雅黑" w:cs="微软雅黑"/>
                <w:i/>
                <w:iCs/>
                <w:color w:val="000000"/>
                <w:sz w:val="16"/>
                <w:szCs w:val="16"/>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0EE91A">
            <w:pPr>
              <w:jc w:val="center"/>
              <w:rPr>
                <w:rFonts w:hint="eastAsia" w:ascii="微软雅黑" w:hAnsi="微软雅黑" w:eastAsia="微软雅黑" w:cs="微软雅黑"/>
                <w:i/>
                <w:iCs/>
                <w:color w:val="000000"/>
                <w:sz w:val="16"/>
                <w:szCs w:val="16"/>
                <w:u w:val="none"/>
              </w:rPr>
            </w:pP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737E38">
            <w:pPr>
              <w:jc w:val="center"/>
              <w:rPr>
                <w:rFonts w:hint="eastAsia" w:ascii="微软雅黑" w:hAnsi="微软雅黑" w:eastAsia="微软雅黑" w:cs="微软雅黑"/>
                <w:i/>
                <w:iCs/>
                <w:color w:val="000000"/>
                <w:sz w:val="16"/>
                <w:szCs w:val="16"/>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6A1288">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8E0FD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0DF2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E2AC1D">
            <w:pPr>
              <w:rPr>
                <w:rFonts w:hint="eastAsia" w:ascii="黑体" w:hAnsi="黑体" w:eastAsia="黑体" w:cs="黑体"/>
                <w:i/>
                <w:iCs/>
                <w:color w:val="000000"/>
                <w:sz w:val="18"/>
                <w:szCs w:val="18"/>
                <w:u w:val="none"/>
              </w:rPr>
            </w:pPr>
          </w:p>
        </w:tc>
      </w:tr>
      <w:tr w14:paraId="1BB68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9431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6FED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5FED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A909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6BD5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92CD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C186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BCE8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0E01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5C35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E49F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0A75B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E0BE4E">
            <w:pPr>
              <w:jc w:val="center"/>
              <w:rPr>
                <w:rFonts w:hint="eastAsia" w:ascii="宋体" w:hAnsi="宋体" w:eastAsia="宋体" w:cs="宋体"/>
                <w:i w:val="0"/>
                <w:iCs w:val="0"/>
                <w:color w:val="000000"/>
                <w:sz w:val="18"/>
                <w:szCs w:val="18"/>
                <w:u w:val="none"/>
              </w:rPr>
            </w:pPr>
          </w:p>
        </w:tc>
        <w:tc>
          <w:tcPr>
            <w:tcW w:w="1742"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94D9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B4F5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B930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村卫生室实施国家基本药物制度覆盖率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4BD0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4838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9C41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2009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D3EB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0928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023D94">
            <w:pPr>
              <w:jc w:val="center"/>
              <w:rPr>
                <w:rFonts w:hint="eastAsia" w:ascii="宋体" w:hAnsi="宋体" w:eastAsia="宋体" w:cs="宋体"/>
                <w:i w:val="0"/>
                <w:iCs w:val="0"/>
                <w:color w:val="000000"/>
                <w:sz w:val="18"/>
                <w:szCs w:val="18"/>
                <w:u w:val="none"/>
              </w:rPr>
            </w:pPr>
          </w:p>
        </w:tc>
      </w:tr>
      <w:tr w14:paraId="1F9D9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240189">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9DB8A36">
            <w:pPr>
              <w:jc w:val="center"/>
              <w:rPr>
                <w:rFonts w:hint="eastAsia" w:ascii="宋体" w:hAnsi="宋体" w:eastAsia="宋体" w:cs="宋体"/>
                <w:i w:val="0"/>
                <w:iCs w:val="0"/>
                <w:color w:val="000000"/>
                <w:sz w:val="18"/>
                <w:szCs w:val="18"/>
                <w:u w:val="none"/>
              </w:rPr>
            </w:pP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C78A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3B19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基层医疗卫生机构“优质服务基层行”活动达到基本标准及以上的比例</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A367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B624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0B57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F53D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4B3A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9B06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861386">
            <w:pPr>
              <w:jc w:val="center"/>
              <w:rPr>
                <w:rFonts w:hint="eastAsia" w:ascii="宋体" w:hAnsi="宋体" w:eastAsia="宋体" w:cs="宋体"/>
                <w:i w:val="0"/>
                <w:iCs w:val="0"/>
                <w:color w:val="000000"/>
                <w:sz w:val="18"/>
                <w:szCs w:val="18"/>
                <w:u w:val="none"/>
              </w:rPr>
            </w:pPr>
          </w:p>
        </w:tc>
      </w:tr>
      <w:tr w14:paraId="3FDCE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511F98">
            <w:pPr>
              <w:jc w:val="cente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C826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281F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1459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国家基本药物制度在基层持续实施</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93C8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264F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中长期</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6F5483">
            <w:pPr>
              <w:jc w:val="center"/>
              <w:rPr>
                <w:rFonts w:hint="eastAsia" w:ascii="宋体" w:hAnsi="宋体" w:eastAsia="宋体" w:cs="宋体"/>
                <w:i w:val="0"/>
                <w:iCs w:val="0"/>
                <w:color w:val="000000"/>
                <w:sz w:val="18"/>
                <w:szCs w:val="18"/>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A394B6">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D122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4E83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748A95">
            <w:pPr>
              <w:jc w:val="center"/>
              <w:rPr>
                <w:rFonts w:hint="eastAsia" w:ascii="宋体" w:hAnsi="宋体" w:eastAsia="宋体" w:cs="宋体"/>
                <w:i w:val="0"/>
                <w:iCs w:val="0"/>
                <w:color w:val="000000"/>
                <w:sz w:val="18"/>
                <w:szCs w:val="18"/>
                <w:u w:val="none"/>
              </w:rPr>
            </w:pPr>
          </w:p>
        </w:tc>
      </w:tr>
      <w:tr w14:paraId="60853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EB2237">
            <w:pPr>
              <w:jc w:val="cente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9247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8380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8884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乡村医生收入</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6E15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B2F1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保持稳定</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96A825">
            <w:pPr>
              <w:jc w:val="center"/>
              <w:rPr>
                <w:rFonts w:hint="eastAsia" w:ascii="宋体" w:hAnsi="宋体" w:eastAsia="宋体" w:cs="宋体"/>
                <w:i w:val="0"/>
                <w:iCs w:val="0"/>
                <w:color w:val="000000"/>
                <w:sz w:val="18"/>
                <w:szCs w:val="18"/>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448FAD">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47E9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CE58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29DF31">
            <w:pPr>
              <w:jc w:val="center"/>
              <w:rPr>
                <w:rFonts w:hint="eastAsia" w:ascii="宋体" w:hAnsi="宋体" w:eastAsia="宋体" w:cs="宋体"/>
                <w:i w:val="0"/>
                <w:iCs w:val="0"/>
                <w:color w:val="000000"/>
                <w:sz w:val="18"/>
                <w:szCs w:val="18"/>
                <w:u w:val="none"/>
              </w:rPr>
            </w:pPr>
          </w:p>
        </w:tc>
      </w:tr>
      <w:tr w14:paraId="2B5FA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15A00B">
            <w:pPr>
              <w:jc w:val="center"/>
              <w:rPr>
                <w:rFonts w:hint="eastAsia" w:ascii="宋体" w:hAnsi="宋体" w:eastAsia="宋体" w:cs="宋体"/>
                <w:i w:val="0"/>
                <w:iCs w:val="0"/>
                <w:color w:val="000000"/>
                <w:sz w:val="18"/>
                <w:szCs w:val="18"/>
                <w:u w:val="none"/>
              </w:rPr>
            </w:pPr>
          </w:p>
        </w:tc>
        <w:tc>
          <w:tcPr>
            <w:tcW w:w="1742"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C974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633"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0B03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EB64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医院医务人员满意度</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8AD1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64EF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较上一年提高</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E89551">
            <w:pPr>
              <w:jc w:val="center"/>
              <w:rPr>
                <w:rFonts w:hint="eastAsia" w:ascii="宋体" w:hAnsi="宋体" w:eastAsia="宋体" w:cs="宋体"/>
                <w:i w:val="0"/>
                <w:iCs w:val="0"/>
                <w:color w:val="000000"/>
                <w:sz w:val="18"/>
                <w:szCs w:val="18"/>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252823">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D218D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D383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A31638">
            <w:pPr>
              <w:jc w:val="center"/>
              <w:rPr>
                <w:rFonts w:hint="eastAsia" w:ascii="宋体" w:hAnsi="宋体" w:eastAsia="宋体" w:cs="宋体"/>
                <w:i w:val="0"/>
                <w:iCs w:val="0"/>
                <w:color w:val="000000"/>
                <w:sz w:val="18"/>
                <w:szCs w:val="18"/>
                <w:u w:val="none"/>
              </w:rPr>
            </w:pPr>
          </w:p>
        </w:tc>
      </w:tr>
      <w:tr w14:paraId="03577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39"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CAE7E8">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B3A8FC">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78018E">
            <w:pPr>
              <w:jc w:val="center"/>
              <w:rPr>
                <w:rFonts w:hint="eastAsia" w:ascii="宋体" w:hAnsi="宋体" w:eastAsia="宋体" w:cs="宋体"/>
                <w:i w:val="0"/>
                <w:iCs w:val="0"/>
                <w:color w:val="000000"/>
                <w:sz w:val="18"/>
                <w:szCs w:val="18"/>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DDFE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对基本药物制度补助满意度</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450A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4E2D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3058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D363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3F1B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6EE3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FB798C">
            <w:pPr>
              <w:jc w:val="center"/>
              <w:rPr>
                <w:rFonts w:hint="eastAsia" w:ascii="微软雅黑" w:hAnsi="微软雅黑" w:eastAsia="微软雅黑" w:cs="微软雅黑"/>
                <w:i/>
                <w:iCs/>
                <w:color w:val="000000"/>
                <w:sz w:val="16"/>
                <w:szCs w:val="16"/>
                <w:u w:val="none"/>
              </w:rPr>
            </w:pPr>
          </w:p>
        </w:tc>
      </w:tr>
      <w:tr w14:paraId="58BA4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9448" w:type="dxa"/>
            <w:gridSpan w:val="8"/>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1A23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8633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B93B8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2099A9">
            <w:pPr>
              <w:rPr>
                <w:rFonts w:hint="eastAsia" w:ascii="宋体" w:hAnsi="宋体" w:eastAsia="宋体" w:cs="宋体"/>
                <w:i w:val="0"/>
                <w:iCs w:val="0"/>
                <w:color w:val="000000"/>
                <w:sz w:val="18"/>
                <w:szCs w:val="18"/>
                <w:u w:val="none"/>
              </w:rPr>
            </w:pPr>
          </w:p>
        </w:tc>
      </w:tr>
      <w:tr w14:paraId="52B43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603" w:hRule="atLeast"/>
        </w:trPr>
        <w:tc>
          <w:tcPr>
            <w:tcW w:w="6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8DF3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305" w:type="dxa"/>
            <w:gridSpan w:val="10"/>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5C8A62">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项目自评总分97分，通过项目实施基层医疗机构全部实施国家基本药物制度，严格执行基本药物制度，确保药品采购渠道合法、质量可靠，推进综合改革顺利完成</w:t>
            </w:r>
          </w:p>
        </w:tc>
      </w:tr>
      <w:tr w14:paraId="5E331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572" w:hRule="atLeast"/>
        </w:trPr>
        <w:tc>
          <w:tcPr>
            <w:tcW w:w="6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3CA7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305" w:type="dxa"/>
            <w:gridSpan w:val="10"/>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F46877">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3F0B6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633" w:hRule="atLeast"/>
        </w:trPr>
        <w:tc>
          <w:tcPr>
            <w:tcW w:w="6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2FDB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305" w:type="dxa"/>
            <w:gridSpan w:val="10"/>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7AD374">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22AC8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486"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ECAC6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D65E832">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13ABA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61" w:type="dxa"/>
            <w:tcBorders>
              <w:top w:val="nil"/>
              <w:left w:val="nil"/>
              <w:bottom w:val="nil"/>
              <w:right w:val="nil"/>
            </w:tcBorders>
            <w:shd w:val="clear" w:color="auto" w:fill="FFFFFF" w:themeFill="background1"/>
            <w:vAlign w:val="center"/>
          </w:tcPr>
          <w:p w14:paraId="39D3C061">
            <w:pPr>
              <w:rPr>
                <w:rFonts w:hint="eastAsia" w:ascii="宋体" w:hAnsi="宋体" w:eastAsia="宋体" w:cs="宋体"/>
                <w:i w:val="0"/>
                <w:iCs w:val="0"/>
                <w:color w:val="000000"/>
                <w:sz w:val="18"/>
                <w:szCs w:val="18"/>
                <w:u w:val="none"/>
              </w:rPr>
            </w:pPr>
          </w:p>
        </w:tc>
        <w:tc>
          <w:tcPr>
            <w:tcW w:w="1742" w:type="dxa"/>
            <w:tcBorders>
              <w:top w:val="nil"/>
              <w:left w:val="nil"/>
              <w:bottom w:val="nil"/>
              <w:right w:val="nil"/>
            </w:tcBorders>
            <w:shd w:val="clear" w:color="auto" w:fill="FFFFFF" w:themeFill="background1"/>
            <w:vAlign w:val="center"/>
          </w:tcPr>
          <w:p w14:paraId="49DB8D0C">
            <w:pPr>
              <w:rPr>
                <w:rFonts w:hint="eastAsia" w:ascii="宋体" w:hAnsi="宋体" w:eastAsia="宋体" w:cs="宋体"/>
                <w:i w:val="0"/>
                <w:iCs w:val="0"/>
                <w:color w:val="000000"/>
                <w:sz w:val="18"/>
                <w:szCs w:val="18"/>
                <w:u w:val="none"/>
              </w:rPr>
            </w:pPr>
          </w:p>
        </w:tc>
        <w:tc>
          <w:tcPr>
            <w:tcW w:w="1633" w:type="dxa"/>
            <w:tcBorders>
              <w:top w:val="nil"/>
              <w:left w:val="nil"/>
              <w:bottom w:val="nil"/>
              <w:right w:val="nil"/>
            </w:tcBorders>
            <w:shd w:val="clear" w:color="auto" w:fill="FFFFFF" w:themeFill="background1"/>
            <w:vAlign w:val="center"/>
          </w:tcPr>
          <w:p w14:paraId="197ED118">
            <w:pPr>
              <w:rPr>
                <w:rFonts w:hint="eastAsia" w:ascii="宋体" w:hAnsi="宋体" w:eastAsia="宋体" w:cs="宋体"/>
                <w:i w:val="0"/>
                <w:iCs w:val="0"/>
                <w:color w:val="000000"/>
                <w:sz w:val="18"/>
                <w:szCs w:val="18"/>
                <w:u w:val="none"/>
              </w:rPr>
            </w:pPr>
          </w:p>
        </w:tc>
        <w:tc>
          <w:tcPr>
            <w:tcW w:w="1929" w:type="dxa"/>
            <w:tcBorders>
              <w:top w:val="nil"/>
              <w:left w:val="nil"/>
              <w:bottom w:val="nil"/>
              <w:right w:val="nil"/>
            </w:tcBorders>
            <w:shd w:val="clear" w:color="auto" w:fill="FFFFFF" w:themeFill="background1"/>
            <w:vAlign w:val="center"/>
          </w:tcPr>
          <w:p w14:paraId="4C934487">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FFFFFF" w:themeFill="background1"/>
            <w:vAlign w:val="center"/>
          </w:tcPr>
          <w:p w14:paraId="7B0F6DED">
            <w:pPr>
              <w:rPr>
                <w:rFonts w:hint="eastAsia" w:ascii="宋体" w:hAnsi="宋体" w:eastAsia="宋体" w:cs="宋体"/>
                <w:i w:val="0"/>
                <w:iCs w:val="0"/>
                <w:color w:val="000000"/>
                <w:sz w:val="18"/>
                <w:szCs w:val="18"/>
                <w:u w:val="none"/>
              </w:rPr>
            </w:pPr>
          </w:p>
        </w:tc>
        <w:tc>
          <w:tcPr>
            <w:tcW w:w="1427" w:type="dxa"/>
            <w:tcBorders>
              <w:top w:val="nil"/>
              <w:left w:val="nil"/>
              <w:bottom w:val="nil"/>
              <w:right w:val="nil"/>
            </w:tcBorders>
            <w:shd w:val="clear" w:color="auto" w:fill="FFFFFF" w:themeFill="background1"/>
            <w:vAlign w:val="center"/>
          </w:tcPr>
          <w:p w14:paraId="3AED9884">
            <w:pPr>
              <w:rPr>
                <w:rFonts w:hint="eastAsia" w:ascii="宋体" w:hAnsi="宋体" w:eastAsia="宋体" w:cs="宋体"/>
                <w:i w:val="0"/>
                <w:iCs w:val="0"/>
                <w:color w:val="000000"/>
                <w:sz w:val="18"/>
                <w:szCs w:val="18"/>
                <w:u w:val="none"/>
              </w:rPr>
            </w:pPr>
          </w:p>
        </w:tc>
        <w:tc>
          <w:tcPr>
            <w:tcW w:w="495" w:type="dxa"/>
            <w:tcBorders>
              <w:top w:val="nil"/>
              <w:left w:val="nil"/>
              <w:bottom w:val="nil"/>
              <w:right w:val="nil"/>
            </w:tcBorders>
            <w:shd w:val="clear" w:color="auto" w:fill="FFFFFF" w:themeFill="background1"/>
            <w:vAlign w:val="center"/>
          </w:tcPr>
          <w:p w14:paraId="0F132708">
            <w:pPr>
              <w:rPr>
                <w:rFonts w:hint="eastAsia" w:ascii="宋体" w:hAnsi="宋体" w:eastAsia="宋体" w:cs="宋体"/>
                <w:i w:val="0"/>
                <w:iCs w:val="0"/>
                <w:color w:val="000000"/>
                <w:sz w:val="18"/>
                <w:szCs w:val="18"/>
                <w:u w:val="none"/>
              </w:rPr>
            </w:pPr>
          </w:p>
        </w:tc>
        <w:tc>
          <w:tcPr>
            <w:tcW w:w="1040" w:type="dxa"/>
            <w:tcBorders>
              <w:top w:val="nil"/>
              <w:left w:val="nil"/>
              <w:bottom w:val="nil"/>
              <w:right w:val="nil"/>
            </w:tcBorders>
            <w:shd w:val="clear" w:color="auto" w:fill="FFFFFF" w:themeFill="background1"/>
            <w:vAlign w:val="center"/>
          </w:tcPr>
          <w:p w14:paraId="2A93CDFD">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FFFFFF" w:themeFill="background1"/>
            <w:vAlign w:val="center"/>
          </w:tcPr>
          <w:p w14:paraId="21BF7B71">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FFFFFF" w:themeFill="background1"/>
            <w:vAlign w:val="center"/>
          </w:tcPr>
          <w:p w14:paraId="4AA3AB92">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FFFFFF" w:themeFill="background1"/>
            <w:vAlign w:val="center"/>
          </w:tcPr>
          <w:p w14:paraId="603C2DF8">
            <w:pPr>
              <w:rPr>
                <w:rFonts w:hint="eastAsia" w:ascii="宋体" w:hAnsi="宋体" w:eastAsia="宋体" w:cs="宋体"/>
                <w:i w:val="0"/>
                <w:iCs w:val="0"/>
                <w:color w:val="000000"/>
                <w:sz w:val="18"/>
                <w:szCs w:val="18"/>
                <w:u w:val="none"/>
              </w:rPr>
            </w:pPr>
          </w:p>
        </w:tc>
      </w:tr>
      <w:tr w14:paraId="12889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2966" w:type="dxa"/>
            <w:gridSpan w:val="11"/>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530778">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31A39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240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5F0B2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563"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EDCAE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51322422T000006104104-12项基本公共卫生服务</w:t>
            </w:r>
          </w:p>
        </w:tc>
      </w:tr>
      <w:tr w14:paraId="77038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512" w:hRule="atLeast"/>
        </w:trPr>
        <w:tc>
          <w:tcPr>
            <w:tcW w:w="240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873FE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00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3EFF0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松潘县卫生健康局本级</w:t>
            </w:r>
          </w:p>
        </w:tc>
        <w:tc>
          <w:tcPr>
            <w:tcW w:w="1040" w:type="dxa"/>
            <w:tcBorders>
              <w:top w:val="nil"/>
              <w:left w:val="nil"/>
              <w:bottom w:val="nil"/>
              <w:right w:val="nil"/>
            </w:tcBorders>
            <w:shd w:val="clear" w:color="auto" w:fill="FFFFFF" w:themeFill="background1"/>
            <w:vAlign w:val="center"/>
          </w:tcPr>
          <w:p w14:paraId="17C6635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93F49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松潘县镇江关镇中心卫生院</w:t>
            </w:r>
          </w:p>
        </w:tc>
      </w:tr>
      <w:tr w14:paraId="194C5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6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60745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742"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AD51C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00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D197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558"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389F47">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026C4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708"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DFDA7A">
            <w:pP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37A3E3">
            <w:pPr>
              <w:rPr>
                <w:rFonts w:hint="eastAsia" w:ascii="宋体" w:hAnsi="宋体" w:eastAsia="宋体" w:cs="宋体"/>
                <w:i w:val="0"/>
                <w:iCs w:val="0"/>
                <w:color w:val="000000"/>
                <w:sz w:val="18"/>
                <w:szCs w:val="18"/>
                <w:u w:val="none"/>
              </w:rPr>
            </w:pPr>
          </w:p>
        </w:tc>
        <w:tc>
          <w:tcPr>
            <w:tcW w:w="6005"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7C268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免费向城乡居民继续提供基本公共卫生服务，逐步提高基本公共卫生服务居 民满意度和知晓率，促进基本公共卫生服务均等化的机制基本完善，重大疾病和主要健康危害因素得到有效控制，人民健康水平得到进一步提高</w:t>
            </w:r>
          </w:p>
        </w:tc>
        <w:tc>
          <w:tcPr>
            <w:tcW w:w="4558"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9267806">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严格按照规范要求提供服务，全年各项目均完成预期目标任务，服务对象综合知晓率、满意 度不断提高。</w:t>
            </w:r>
            <w:r>
              <w:rPr>
                <w:rFonts w:hint="eastAsia" w:ascii="黑体" w:hAnsi="黑体" w:eastAsia="黑体" w:cs="黑体"/>
                <w:i w:val="0"/>
                <w:iCs w:val="0"/>
                <w:color w:val="000000"/>
                <w:kern w:val="0"/>
                <w:sz w:val="18"/>
                <w:szCs w:val="18"/>
                <w:u w:val="none"/>
                <w:lang w:val="en-US" w:eastAsia="zh-CN" w:bidi="ar"/>
              </w:rPr>
              <w:br w:type="textWrapping"/>
            </w:r>
            <w:r>
              <w:rPr>
                <w:rFonts w:hint="eastAsia" w:ascii="黑体" w:hAnsi="黑体" w:eastAsia="黑体" w:cs="黑体"/>
                <w:i w:val="0"/>
                <w:iCs w:val="0"/>
                <w:color w:val="000000"/>
                <w:kern w:val="0"/>
                <w:sz w:val="18"/>
                <w:szCs w:val="18"/>
                <w:u w:val="none"/>
                <w:lang w:val="en-US" w:eastAsia="zh-CN" w:bidi="ar"/>
              </w:rPr>
              <w:t>重大疾病和主要健康危害因素得到有效控制，人民健康水平得到进一步提高，城乡居民公共卫生差距不断缩小。</w:t>
            </w:r>
          </w:p>
        </w:tc>
      </w:tr>
      <w:tr w14:paraId="40F7F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410FC3">
            <w:pP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ACD44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563"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BB3C9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免费向城乡居民继续提供基本公共卫生服务，逐步提高基本公共卫生服务居 民满意度和知晓率，促进基本公共卫生服务均等化的机制基本完善，重大疾病和主要健康危害因素得到有效控制，人民健康水平得到进一步提高</w:t>
            </w:r>
          </w:p>
        </w:tc>
      </w:tr>
      <w:tr w14:paraId="693EF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61" w:hRule="atLeast"/>
        </w:trPr>
        <w:tc>
          <w:tcPr>
            <w:tcW w:w="66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FDA3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B90FF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E04A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21BA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A82D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ACF0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2097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6E3F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354A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3DB10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80E39A">
            <w:pPr>
              <w:jc w:val="cente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89DE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EF70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6DF8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26.39</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8F37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26.39</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B733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66F0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D7BC78">
            <w:pPr>
              <w:jc w:val="center"/>
              <w:rPr>
                <w:rFonts w:hint="eastAsia" w:ascii="宋体" w:hAnsi="宋体" w:eastAsia="宋体" w:cs="宋体"/>
                <w:i w:val="0"/>
                <w:iCs w:val="0"/>
                <w:color w:val="000000"/>
                <w:sz w:val="18"/>
                <w:szCs w:val="18"/>
                <w:u w:val="none"/>
              </w:rPr>
            </w:pP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AC668A">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D669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F16585">
            <w:pPr>
              <w:jc w:val="cente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7070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559E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CFEF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26.39</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9F55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26.39</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315CE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B2FF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64BC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DA99CD3">
            <w:pPr>
              <w:rPr>
                <w:rFonts w:hint="eastAsia" w:ascii="黑体" w:hAnsi="黑体" w:eastAsia="黑体" w:cs="黑体"/>
                <w:i/>
                <w:iCs/>
                <w:color w:val="000000"/>
                <w:sz w:val="18"/>
                <w:szCs w:val="18"/>
                <w:u w:val="none"/>
              </w:rPr>
            </w:pPr>
          </w:p>
        </w:tc>
      </w:tr>
      <w:tr w14:paraId="2DEB7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07"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DDD62CA">
            <w:pPr>
              <w:jc w:val="cente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7804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C384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601AF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EEED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773F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21B1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B172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AE6ADF">
            <w:pPr>
              <w:rPr>
                <w:rFonts w:hint="eastAsia" w:ascii="黑体" w:hAnsi="黑体" w:eastAsia="黑体" w:cs="黑体"/>
                <w:i/>
                <w:iCs/>
                <w:color w:val="000000"/>
                <w:sz w:val="18"/>
                <w:szCs w:val="18"/>
                <w:u w:val="none"/>
              </w:rPr>
            </w:pPr>
          </w:p>
        </w:tc>
      </w:tr>
      <w:tr w14:paraId="5F7B0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D2B198">
            <w:pPr>
              <w:jc w:val="cente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B00C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6B8F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8B82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4023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323C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170D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68B9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FA7546">
            <w:pPr>
              <w:rPr>
                <w:rFonts w:hint="eastAsia" w:ascii="黑体" w:hAnsi="黑体" w:eastAsia="黑体" w:cs="黑体"/>
                <w:i/>
                <w:iCs/>
                <w:color w:val="000000"/>
                <w:sz w:val="18"/>
                <w:szCs w:val="18"/>
                <w:u w:val="none"/>
              </w:rPr>
            </w:pPr>
          </w:p>
        </w:tc>
      </w:tr>
      <w:tr w14:paraId="36AEC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39"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4010DB">
            <w:pPr>
              <w:jc w:val="cente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33AA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29FDFD">
            <w:pPr>
              <w:jc w:val="center"/>
              <w:rPr>
                <w:rFonts w:hint="eastAsia" w:ascii="微软雅黑" w:hAnsi="微软雅黑" w:eastAsia="微软雅黑" w:cs="微软雅黑"/>
                <w:i/>
                <w:iCs/>
                <w:color w:val="000000"/>
                <w:sz w:val="16"/>
                <w:szCs w:val="16"/>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3AFA25">
            <w:pPr>
              <w:jc w:val="center"/>
              <w:rPr>
                <w:rFonts w:hint="eastAsia" w:ascii="微软雅黑" w:hAnsi="微软雅黑" w:eastAsia="微软雅黑" w:cs="微软雅黑"/>
                <w:i/>
                <w:iCs/>
                <w:color w:val="000000"/>
                <w:sz w:val="16"/>
                <w:szCs w:val="16"/>
                <w:u w:val="none"/>
              </w:rPr>
            </w:pP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EB922A">
            <w:pPr>
              <w:jc w:val="center"/>
              <w:rPr>
                <w:rFonts w:hint="eastAsia" w:ascii="微软雅黑" w:hAnsi="微软雅黑" w:eastAsia="微软雅黑" w:cs="微软雅黑"/>
                <w:i/>
                <w:iCs/>
                <w:color w:val="000000"/>
                <w:sz w:val="16"/>
                <w:szCs w:val="16"/>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0E9650">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4B6A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24DD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3042DD">
            <w:pPr>
              <w:rPr>
                <w:rFonts w:hint="eastAsia" w:ascii="黑体" w:hAnsi="黑体" w:eastAsia="黑体" w:cs="黑体"/>
                <w:i/>
                <w:iCs/>
                <w:color w:val="000000"/>
                <w:sz w:val="18"/>
                <w:szCs w:val="18"/>
                <w:u w:val="none"/>
              </w:rPr>
            </w:pPr>
          </w:p>
        </w:tc>
      </w:tr>
      <w:tr w14:paraId="6397C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718A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AEAD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BEC1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3D8C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8A06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71868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3C00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0025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8112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2E5A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321C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38F16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7DB79E">
            <w:pPr>
              <w:jc w:val="center"/>
              <w:rPr>
                <w:rFonts w:hint="eastAsia" w:ascii="宋体" w:hAnsi="宋体" w:eastAsia="宋体" w:cs="宋体"/>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75FD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63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7EA4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CA43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DB71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2F77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C77F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A53C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C97D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6FB22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EDA22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38715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BE750D">
            <w:pPr>
              <w:jc w:val="center"/>
              <w:rPr>
                <w:rFonts w:hint="eastAsia" w:ascii="宋体" w:hAnsi="宋体" w:eastAsia="宋体" w:cs="宋体"/>
                <w:i w:val="0"/>
                <w:iCs w:val="0"/>
                <w:color w:val="000000"/>
                <w:sz w:val="18"/>
                <w:szCs w:val="18"/>
                <w:u w:val="none"/>
              </w:rPr>
            </w:pPr>
          </w:p>
        </w:tc>
        <w:tc>
          <w:tcPr>
            <w:tcW w:w="1742"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6C0A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633"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1903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DDF7C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7岁以下儿童健康管理率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5754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21E0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815D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AA2B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00A2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7075F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11CEDD">
            <w:pPr>
              <w:jc w:val="center"/>
              <w:rPr>
                <w:rFonts w:hint="eastAsia" w:ascii="宋体" w:hAnsi="宋体" w:eastAsia="宋体" w:cs="宋体"/>
                <w:i w:val="0"/>
                <w:iCs w:val="0"/>
                <w:color w:val="000000"/>
                <w:sz w:val="18"/>
                <w:szCs w:val="18"/>
                <w:u w:val="none"/>
              </w:rPr>
            </w:pPr>
          </w:p>
        </w:tc>
      </w:tr>
      <w:tr w14:paraId="6DB3C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95AA1A1">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36145F8">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04C1C8">
            <w:pPr>
              <w:jc w:val="center"/>
              <w:rPr>
                <w:rFonts w:hint="eastAsia" w:ascii="宋体" w:hAnsi="宋体" w:eastAsia="宋体" w:cs="宋体"/>
                <w:i w:val="0"/>
                <w:iCs w:val="0"/>
                <w:color w:val="000000"/>
                <w:sz w:val="20"/>
                <w:szCs w:val="20"/>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5CE1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0-6岁儿童眼保健和视力检查覆盖率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0391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FB19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9A59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2FF6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04C9E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352F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3BBD53">
            <w:pPr>
              <w:jc w:val="center"/>
              <w:rPr>
                <w:rFonts w:hint="eastAsia" w:ascii="宋体" w:hAnsi="宋体" w:eastAsia="宋体" w:cs="宋体"/>
                <w:i w:val="0"/>
                <w:iCs w:val="0"/>
                <w:color w:val="000000"/>
                <w:sz w:val="18"/>
                <w:szCs w:val="18"/>
                <w:u w:val="none"/>
              </w:rPr>
            </w:pPr>
          </w:p>
        </w:tc>
      </w:tr>
      <w:tr w14:paraId="1EDB3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C40B75A">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DFD9CA">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A91DE5">
            <w:pPr>
              <w:jc w:val="center"/>
              <w:rPr>
                <w:rFonts w:hint="eastAsia" w:ascii="宋体" w:hAnsi="宋体" w:eastAsia="宋体" w:cs="宋体"/>
                <w:i w:val="0"/>
                <w:iCs w:val="0"/>
                <w:color w:val="000000"/>
                <w:sz w:val="20"/>
                <w:szCs w:val="20"/>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DDB6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孕产妇系统管理率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8C56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E7D9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E993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B85F9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BC1BA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D5DF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4B1BE7">
            <w:pPr>
              <w:jc w:val="center"/>
              <w:rPr>
                <w:rFonts w:hint="eastAsia" w:ascii="宋体" w:hAnsi="宋体" w:eastAsia="宋体" w:cs="宋体"/>
                <w:i w:val="0"/>
                <w:iCs w:val="0"/>
                <w:color w:val="000000"/>
                <w:sz w:val="18"/>
                <w:szCs w:val="18"/>
                <w:u w:val="none"/>
              </w:rPr>
            </w:pPr>
          </w:p>
        </w:tc>
      </w:tr>
      <w:tr w14:paraId="0B381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D5799C">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7FB55C">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85ED1C6">
            <w:pPr>
              <w:jc w:val="center"/>
              <w:rPr>
                <w:rFonts w:hint="eastAsia" w:ascii="宋体" w:hAnsi="宋体" w:eastAsia="宋体" w:cs="宋体"/>
                <w:i w:val="0"/>
                <w:iCs w:val="0"/>
                <w:color w:val="000000"/>
                <w:sz w:val="20"/>
                <w:szCs w:val="20"/>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2C1E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3岁以下儿童系统管理率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724F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3138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3C90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5B77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5DB7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39C9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E590BA">
            <w:pPr>
              <w:jc w:val="center"/>
              <w:rPr>
                <w:rFonts w:hint="eastAsia" w:ascii="宋体" w:hAnsi="宋体" w:eastAsia="宋体" w:cs="宋体"/>
                <w:i w:val="0"/>
                <w:iCs w:val="0"/>
                <w:color w:val="000000"/>
                <w:sz w:val="18"/>
                <w:szCs w:val="18"/>
                <w:u w:val="none"/>
              </w:rPr>
            </w:pPr>
          </w:p>
        </w:tc>
      </w:tr>
      <w:tr w14:paraId="712D2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7805114">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95BAC4C">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008887">
            <w:pPr>
              <w:jc w:val="center"/>
              <w:rPr>
                <w:rFonts w:hint="eastAsia" w:ascii="宋体" w:hAnsi="宋体" w:eastAsia="宋体" w:cs="宋体"/>
                <w:i w:val="0"/>
                <w:iCs w:val="0"/>
                <w:color w:val="000000"/>
                <w:sz w:val="20"/>
                <w:szCs w:val="20"/>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2932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高血压患者管理人数</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339B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7BB97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7A4E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0E9B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5F40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0732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02E5AB">
            <w:pPr>
              <w:jc w:val="center"/>
              <w:rPr>
                <w:rFonts w:hint="eastAsia" w:ascii="宋体" w:hAnsi="宋体" w:eastAsia="宋体" w:cs="宋体"/>
                <w:i w:val="0"/>
                <w:iCs w:val="0"/>
                <w:color w:val="000000"/>
                <w:sz w:val="18"/>
                <w:szCs w:val="18"/>
                <w:u w:val="none"/>
              </w:rPr>
            </w:pPr>
          </w:p>
        </w:tc>
      </w:tr>
      <w:tr w14:paraId="10E66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E08FB6">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72AF4E">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82D7E3">
            <w:pPr>
              <w:jc w:val="center"/>
              <w:rPr>
                <w:rFonts w:hint="eastAsia" w:ascii="宋体" w:hAnsi="宋体" w:eastAsia="宋体" w:cs="宋体"/>
                <w:i w:val="0"/>
                <w:iCs w:val="0"/>
                <w:color w:val="000000"/>
                <w:sz w:val="20"/>
                <w:szCs w:val="20"/>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D0712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2型糖尿病患者管理人数</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D1DB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9D790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AC2C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D22B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D51B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F277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FFBD10">
            <w:pPr>
              <w:jc w:val="center"/>
              <w:rPr>
                <w:rFonts w:hint="eastAsia" w:ascii="宋体" w:hAnsi="宋体" w:eastAsia="宋体" w:cs="宋体"/>
                <w:i w:val="0"/>
                <w:iCs w:val="0"/>
                <w:color w:val="000000"/>
                <w:sz w:val="18"/>
                <w:szCs w:val="18"/>
                <w:u w:val="none"/>
              </w:rPr>
            </w:pPr>
          </w:p>
        </w:tc>
      </w:tr>
      <w:tr w14:paraId="6EC4F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943E99">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6EC062">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D865F6">
            <w:pPr>
              <w:jc w:val="center"/>
              <w:rPr>
                <w:rFonts w:hint="eastAsia" w:ascii="宋体" w:hAnsi="宋体" w:eastAsia="宋体" w:cs="宋体"/>
                <w:i w:val="0"/>
                <w:iCs w:val="0"/>
                <w:color w:val="000000"/>
                <w:sz w:val="20"/>
                <w:szCs w:val="20"/>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7927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肺结核患者管理率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314A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2F06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93AF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BF5B2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A60D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C9CA4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8E8504">
            <w:pPr>
              <w:jc w:val="center"/>
              <w:rPr>
                <w:rFonts w:hint="eastAsia" w:ascii="宋体" w:hAnsi="宋体" w:eastAsia="宋体" w:cs="宋体"/>
                <w:i w:val="0"/>
                <w:iCs w:val="0"/>
                <w:color w:val="000000"/>
                <w:sz w:val="18"/>
                <w:szCs w:val="18"/>
                <w:u w:val="none"/>
              </w:rPr>
            </w:pPr>
          </w:p>
        </w:tc>
      </w:tr>
      <w:tr w14:paraId="4D80B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EB8E83">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D85CBAA">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DFEE04">
            <w:pPr>
              <w:jc w:val="center"/>
              <w:rPr>
                <w:rFonts w:hint="eastAsia" w:ascii="宋体" w:hAnsi="宋体" w:eastAsia="宋体" w:cs="宋体"/>
                <w:i w:val="0"/>
                <w:iCs w:val="0"/>
                <w:color w:val="000000"/>
                <w:sz w:val="20"/>
                <w:szCs w:val="20"/>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E4EA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社区在册居家严重精神障碍患者健康管理率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131D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7C82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A1F1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A3E7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73CB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9C65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ADB84D">
            <w:pPr>
              <w:jc w:val="center"/>
              <w:rPr>
                <w:rFonts w:hint="eastAsia" w:ascii="宋体" w:hAnsi="宋体" w:eastAsia="宋体" w:cs="宋体"/>
                <w:i w:val="0"/>
                <w:iCs w:val="0"/>
                <w:color w:val="000000"/>
                <w:sz w:val="18"/>
                <w:szCs w:val="18"/>
                <w:u w:val="none"/>
              </w:rPr>
            </w:pPr>
          </w:p>
        </w:tc>
      </w:tr>
      <w:tr w14:paraId="0CBA2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2EB111">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436C38">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91CC97">
            <w:pPr>
              <w:jc w:val="center"/>
              <w:rPr>
                <w:rFonts w:hint="eastAsia" w:ascii="宋体" w:hAnsi="宋体" w:eastAsia="宋体" w:cs="宋体"/>
                <w:i w:val="0"/>
                <w:iCs w:val="0"/>
                <w:color w:val="000000"/>
                <w:sz w:val="20"/>
                <w:szCs w:val="20"/>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80EB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老年人中医药健康管理率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C4A0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BD3F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84BE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89C4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95CE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DA2EB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04BA35">
            <w:pPr>
              <w:jc w:val="center"/>
              <w:rPr>
                <w:rFonts w:hint="eastAsia" w:ascii="宋体" w:hAnsi="宋体" w:eastAsia="宋体" w:cs="宋体"/>
                <w:i w:val="0"/>
                <w:iCs w:val="0"/>
                <w:color w:val="000000"/>
                <w:sz w:val="18"/>
                <w:szCs w:val="18"/>
                <w:u w:val="none"/>
              </w:rPr>
            </w:pPr>
          </w:p>
        </w:tc>
      </w:tr>
      <w:tr w14:paraId="29474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53F077">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ADEAB0">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313CA2">
            <w:pPr>
              <w:jc w:val="center"/>
              <w:rPr>
                <w:rFonts w:hint="eastAsia" w:ascii="宋体" w:hAnsi="宋体" w:eastAsia="宋体" w:cs="宋体"/>
                <w:i w:val="0"/>
                <w:iCs w:val="0"/>
                <w:color w:val="000000"/>
                <w:sz w:val="20"/>
                <w:szCs w:val="20"/>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A5EF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卫生监督协管各专业每年巡查</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访</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2次完成率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6937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5EA0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A9D1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5C5C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BC2A9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B6CA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0DA1A4">
            <w:pPr>
              <w:jc w:val="center"/>
              <w:rPr>
                <w:rFonts w:hint="eastAsia" w:ascii="宋体" w:hAnsi="宋体" w:eastAsia="宋体" w:cs="宋体"/>
                <w:i w:val="0"/>
                <w:iCs w:val="0"/>
                <w:color w:val="000000"/>
                <w:sz w:val="18"/>
                <w:szCs w:val="18"/>
                <w:u w:val="none"/>
              </w:rPr>
            </w:pPr>
          </w:p>
        </w:tc>
      </w:tr>
      <w:tr w14:paraId="6F31E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4667A6">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9797F4">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69C03D">
            <w:pPr>
              <w:jc w:val="center"/>
              <w:rPr>
                <w:rFonts w:hint="eastAsia" w:ascii="宋体" w:hAnsi="宋体" w:eastAsia="宋体" w:cs="宋体"/>
                <w:i w:val="0"/>
                <w:iCs w:val="0"/>
                <w:color w:val="000000"/>
                <w:sz w:val="20"/>
                <w:szCs w:val="20"/>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E7E6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贫困地区儿童营养改善项目脱贫县覆盖率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4529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2175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0D304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0244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953D4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3D40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410FF4">
            <w:pPr>
              <w:jc w:val="center"/>
              <w:rPr>
                <w:rFonts w:hint="eastAsia" w:ascii="宋体" w:hAnsi="宋体" w:eastAsia="宋体" w:cs="宋体"/>
                <w:i w:val="0"/>
                <w:iCs w:val="0"/>
                <w:color w:val="000000"/>
                <w:sz w:val="18"/>
                <w:szCs w:val="18"/>
                <w:u w:val="none"/>
              </w:rPr>
            </w:pPr>
          </w:p>
        </w:tc>
      </w:tr>
      <w:tr w14:paraId="7A420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46C1B4">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448067">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BC93C7">
            <w:pPr>
              <w:jc w:val="center"/>
              <w:rPr>
                <w:rFonts w:hint="eastAsia" w:ascii="宋体" w:hAnsi="宋体" w:eastAsia="宋体" w:cs="宋体"/>
                <w:i w:val="0"/>
                <w:iCs w:val="0"/>
                <w:color w:val="000000"/>
                <w:sz w:val="20"/>
                <w:szCs w:val="20"/>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8170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目标人群叶酸服用率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5FA3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DE40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F8BF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BDAD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E9A6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C516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2A95D4">
            <w:pPr>
              <w:jc w:val="center"/>
              <w:rPr>
                <w:rFonts w:hint="eastAsia" w:ascii="宋体" w:hAnsi="宋体" w:eastAsia="宋体" w:cs="宋体"/>
                <w:i w:val="0"/>
                <w:iCs w:val="0"/>
                <w:color w:val="000000"/>
                <w:sz w:val="18"/>
                <w:szCs w:val="18"/>
                <w:u w:val="none"/>
              </w:rPr>
            </w:pPr>
          </w:p>
        </w:tc>
      </w:tr>
      <w:tr w14:paraId="34FBB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607206">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AD9E71">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72A13B">
            <w:pPr>
              <w:jc w:val="center"/>
              <w:rPr>
                <w:rFonts w:hint="eastAsia" w:ascii="宋体" w:hAnsi="宋体" w:eastAsia="宋体" w:cs="宋体"/>
                <w:i w:val="0"/>
                <w:iCs w:val="0"/>
                <w:color w:val="000000"/>
                <w:sz w:val="20"/>
                <w:szCs w:val="20"/>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E40A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孕前优生健康检查目标人群覆盖率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54EC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2A54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D95A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5D78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489E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0E38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25D42C">
            <w:pPr>
              <w:jc w:val="center"/>
              <w:rPr>
                <w:rFonts w:hint="eastAsia" w:ascii="宋体" w:hAnsi="宋体" w:eastAsia="宋体" w:cs="宋体"/>
                <w:i w:val="0"/>
                <w:iCs w:val="0"/>
                <w:color w:val="000000"/>
                <w:sz w:val="18"/>
                <w:szCs w:val="18"/>
                <w:u w:val="none"/>
              </w:rPr>
            </w:pPr>
          </w:p>
        </w:tc>
      </w:tr>
      <w:tr w14:paraId="2071D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AB8561">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71137FC">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CAD42A">
            <w:pPr>
              <w:jc w:val="center"/>
              <w:rPr>
                <w:rFonts w:hint="eastAsia" w:ascii="宋体" w:hAnsi="宋体" w:eastAsia="宋体" w:cs="宋体"/>
                <w:i w:val="0"/>
                <w:iCs w:val="0"/>
                <w:color w:val="000000"/>
                <w:sz w:val="20"/>
                <w:szCs w:val="20"/>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7244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65岁及以上失能老年人健康服务目标任务完成率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F199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3B12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E8FE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D3BF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89C0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93D7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C24088">
            <w:pPr>
              <w:jc w:val="center"/>
              <w:rPr>
                <w:rFonts w:hint="eastAsia" w:ascii="宋体" w:hAnsi="宋体" w:eastAsia="宋体" w:cs="宋体"/>
                <w:i w:val="0"/>
                <w:iCs w:val="0"/>
                <w:color w:val="000000"/>
                <w:sz w:val="18"/>
                <w:szCs w:val="18"/>
                <w:u w:val="none"/>
              </w:rPr>
            </w:pPr>
          </w:p>
        </w:tc>
      </w:tr>
      <w:tr w14:paraId="24808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86991ED">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D905229">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4CBDAE">
            <w:pPr>
              <w:jc w:val="center"/>
              <w:rPr>
                <w:rFonts w:hint="eastAsia" w:ascii="宋体" w:hAnsi="宋体" w:eastAsia="宋体" w:cs="宋体"/>
                <w:i w:val="0"/>
                <w:iCs w:val="0"/>
                <w:color w:val="000000"/>
                <w:sz w:val="20"/>
                <w:szCs w:val="20"/>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412D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地方病监测完成率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0E05B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532B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7454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C1816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2509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9FCB3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D8FAEC">
            <w:pPr>
              <w:jc w:val="center"/>
              <w:rPr>
                <w:rFonts w:hint="eastAsia" w:ascii="宋体" w:hAnsi="宋体" w:eastAsia="宋体" w:cs="宋体"/>
                <w:i w:val="0"/>
                <w:iCs w:val="0"/>
                <w:color w:val="000000"/>
                <w:sz w:val="18"/>
                <w:szCs w:val="18"/>
                <w:u w:val="none"/>
              </w:rPr>
            </w:pPr>
          </w:p>
        </w:tc>
      </w:tr>
      <w:tr w14:paraId="3EFBF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C953F4">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D02A39">
            <w:pPr>
              <w:jc w:val="center"/>
              <w:rPr>
                <w:rFonts w:hint="eastAsia" w:ascii="宋体" w:hAnsi="宋体" w:eastAsia="宋体" w:cs="宋体"/>
                <w:i w:val="0"/>
                <w:iCs w:val="0"/>
                <w:color w:val="000000"/>
                <w:sz w:val="18"/>
                <w:szCs w:val="18"/>
                <w:u w:val="none"/>
              </w:rPr>
            </w:pPr>
          </w:p>
        </w:tc>
        <w:tc>
          <w:tcPr>
            <w:tcW w:w="1633"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F20C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0E41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居民规范化电子健康档案覆盖率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1BA9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509C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9E69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A972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58EE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5B6F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8444BD">
            <w:pPr>
              <w:jc w:val="center"/>
              <w:rPr>
                <w:rFonts w:hint="eastAsia" w:ascii="宋体" w:hAnsi="宋体" w:eastAsia="宋体" w:cs="宋体"/>
                <w:i w:val="0"/>
                <w:iCs w:val="0"/>
                <w:color w:val="000000"/>
                <w:sz w:val="18"/>
                <w:szCs w:val="18"/>
                <w:u w:val="none"/>
              </w:rPr>
            </w:pPr>
          </w:p>
        </w:tc>
      </w:tr>
      <w:tr w14:paraId="3B72C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1AA80A">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BC3AE07">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D94EC9">
            <w:pPr>
              <w:jc w:val="center"/>
              <w:rPr>
                <w:rFonts w:hint="eastAsia" w:ascii="宋体" w:hAnsi="宋体" w:eastAsia="宋体" w:cs="宋体"/>
                <w:i w:val="0"/>
                <w:iCs w:val="0"/>
                <w:color w:val="000000"/>
                <w:sz w:val="20"/>
                <w:szCs w:val="20"/>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211B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高血压患者基层规范管理服务率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8A6B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77E9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C6B3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522F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E052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A358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CA5409">
            <w:pPr>
              <w:jc w:val="center"/>
              <w:rPr>
                <w:rFonts w:hint="eastAsia" w:ascii="宋体" w:hAnsi="宋体" w:eastAsia="宋体" w:cs="宋体"/>
                <w:i w:val="0"/>
                <w:iCs w:val="0"/>
                <w:color w:val="000000"/>
                <w:sz w:val="18"/>
                <w:szCs w:val="18"/>
                <w:u w:val="none"/>
              </w:rPr>
            </w:pPr>
          </w:p>
        </w:tc>
      </w:tr>
      <w:tr w14:paraId="77DA2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6D83B6">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FCD3D38">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E67DA1">
            <w:pPr>
              <w:jc w:val="center"/>
              <w:rPr>
                <w:rFonts w:hint="eastAsia" w:ascii="宋体" w:hAnsi="宋体" w:eastAsia="宋体" w:cs="宋体"/>
                <w:i w:val="0"/>
                <w:iCs w:val="0"/>
                <w:color w:val="000000"/>
                <w:sz w:val="20"/>
                <w:szCs w:val="20"/>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F6543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2型糖尿病患者基层规范管理服务率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BBAA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7DC2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0047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077B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2386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BF96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7AF84D">
            <w:pPr>
              <w:jc w:val="center"/>
              <w:rPr>
                <w:rFonts w:hint="eastAsia" w:ascii="宋体" w:hAnsi="宋体" w:eastAsia="宋体" w:cs="宋体"/>
                <w:i w:val="0"/>
                <w:iCs w:val="0"/>
                <w:color w:val="000000"/>
                <w:sz w:val="18"/>
                <w:szCs w:val="18"/>
                <w:u w:val="none"/>
              </w:rPr>
            </w:pPr>
          </w:p>
        </w:tc>
      </w:tr>
      <w:tr w14:paraId="7ABB8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6B5F2E">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6E069B">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79F311">
            <w:pPr>
              <w:jc w:val="center"/>
              <w:rPr>
                <w:rFonts w:hint="eastAsia" w:ascii="宋体" w:hAnsi="宋体" w:eastAsia="宋体" w:cs="宋体"/>
                <w:i w:val="0"/>
                <w:iCs w:val="0"/>
                <w:color w:val="000000"/>
                <w:sz w:val="20"/>
                <w:szCs w:val="20"/>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0CD9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65岁及以上老年人城乡社区规范健康管理服务率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FA2C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8151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25E4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C544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2141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E2FF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EFD33B4">
            <w:pPr>
              <w:jc w:val="center"/>
              <w:rPr>
                <w:rFonts w:hint="eastAsia" w:ascii="宋体" w:hAnsi="宋体" w:eastAsia="宋体" w:cs="宋体"/>
                <w:i w:val="0"/>
                <w:iCs w:val="0"/>
                <w:color w:val="000000"/>
                <w:sz w:val="18"/>
                <w:szCs w:val="18"/>
                <w:u w:val="none"/>
              </w:rPr>
            </w:pPr>
          </w:p>
        </w:tc>
      </w:tr>
      <w:tr w14:paraId="2AD2A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32B6F9">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F735F8">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6C59BA">
            <w:pPr>
              <w:jc w:val="center"/>
              <w:rPr>
                <w:rFonts w:hint="eastAsia" w:ascii="宋体" w:hAnsi="宋体" w:eastAsia="宋体" w:cs="宋体"/>
                <w:i w:val="0"/>
                <w:iCs w:val="0"/>
                <w:color w:val="000000"/>
                <w:sz w:val="20"/>
                <w:szCs w:val="20"/>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6C321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传染病和突发公共卫生事件报告率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4CCA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C3A1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4E67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D9852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EF50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8A62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5863A4">
            <w:pPr>
              <w:jc w:val="center"/>
              <w:rPr>
                <w:rFonts w:hint="eastAsia" w:ascii="宋体" w:hAnsi="宋体" w:eastAsia="宋体" w:cs="宋体"/>
                <w:i w:val="0"/>
                <w:iCs w:val="0"/>
                <w:color w:val="000000"/>
                <w:sz w:val="18"/>
                <w:szCs w:val="18"/>
                <w:u w:val="none"/>
              </w:rPr>
            </w:pPr>
          </w:p>
        </w:tc>
      </w:tr>
      <w:tr w14:paraId="141BC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FD442E0">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131D2C">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6B8535">
            <w:pPr>
              <w:jc w:val="center"/>
              <w:rPr>
                <w:rFonts w:hint="eastAsia" w:ascii="宋体" w:hAnsi="宋体" w:eastAsia="宋体" w:cs="宋体"/>
                <w:i w:val="0"/>
                <w:iCs w:val="0"/>
                <w:color w:val="000000"/>
                <w:sz w:val="20"/>
                <w:szCs w:val="20"/>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91EB8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国家、省级卫生应急队伍培训演练合格率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E0425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44C46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90ED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8F417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811E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ECA1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6B7ECA">
            <w:pPr>
              <w:jc w:val="center"/>
              <w:rPr>
                <w:rFonts w:hint="eastAsia" w:ascii="宋体" w:hAnsi="宋体" w:eastAsia="宋体" w:cs="宋体"/>
                <w:i w:val="0"/>
                <w:iCs w:val="0"/>
                <w:color w:val="000000"/>
                <w:sz w:val="18"/>
                <w:szCs w:val="18"/>
                <w:u w:val="none"/>
              </w:rPr>
            </w:pPr>
          </w:p>
        </w:tc>
      </w:tr>
      <w:tr w14:paraId="5C2B9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6326B3">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EC03B5">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F151C9">
            <w:pPr>
              <w:jc w:val="center"/>
              <w:rPr>
                <w:rFonts w:hint="eastAsia" w:ascii="宋体" w:hAnsi="宋体" w:eastAsia="宋体" w:cs="宋体"/>
                <w:i w:val="0"/>
                <w:iCs w:val="0"/>
                <w:color w:val="000000"/>
                <w:sz w:val="20"/>
                <w:szCs w:val="20"/>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9DF6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地方病核心指标监测率</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DF7D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B010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124B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1ADF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92E5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A84F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8D4D67">
            <w:pPr>
              <w:jc w:val="center"/>
              <w:rPr>
                <w:rFonts w:hint="eastAsia" w:ascii="宋体" w:hAnsi="宋体" w:eastAsia="宋体" w:cs="宋体"/>
                <w:i w:val="0"/>
                <w:iCs w:val="0"/>
                <w:color w:val="000000"/>
                <w:sz w:val="18"/>
                <w:szCs w:val="18"/>
                <w:u w:val="none"/>
              </w:rPr>
            </w:pPr>
          </w:p>
        </w:tc>
      </w:tr>
      <w:tr w14:paraId="37CE4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D122C9">
            <w:pPr>
              <w:jc w:val="center"/>
              <w:rPr>
                <w:rFonts w:hint="eastAsia" w:ascii="宋体" w:hAnsi="宋体" w:eastAsia="宋体" w:cs="宋体"/>
                <w:i w:val="0"/>
                <w:iCs w:val="0"/>
                <w:color w:val="000000"/>
                <w:sz w:val="18"/>
                <w:szCs w:val="18"/>
                <w:u w:val="none"/>
              </w:rPr>
            </w:pPr>
          </w:p>
        </w:tc>
        <w:tc>
          <w:tcPr>
            <w:tcW w:w="1742"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9C32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633"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74B5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22B0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基本公共卫生服务水平</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F0B2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976B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不断提高</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87E124">
            <w:pPr>
              <w:jc w:val="center"/>
              <w:rPr>
                <w:rFonts w:hint="eastAsia" w:ascii="宋体" w:hAnsi="宋体" w:eastAsia="宋体" w:cs="宋体"/>
                <w:i w:val="0"/>
                <w:iCs w:val="0"/>
                <w:color w:val="000000"/>
                <w:sz w:val="18"/>
                <w:szCs w:val="18"/>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049126">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9611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A979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F9AE87">
            <w:pPr>
              <w:jc w:val="center"/>
              <w:rPr>
                <w:rFonts w:hint="eastAsia" w:ascii="宋体" w:hAnsi="宋体" w:eastAsia="宋体" w:cs="宋体"/>
                <w:i w:val="0"/>
                <w:iCs w:val="0"/>
                <w:color w:val="000000"/>
                <w:sz w:val="18"/>
                <w:szCs w:val="18"/>
                <w:u w:val="none"/>
              </w:rPr>
            </w:pPr>
          </w:p>
        </w:tc>
      </w:tr>
      <w:tr w14:paraId="74B38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D81C83">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2B467D">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7C04F2">
            <w:pPr>
              <w:jc w:val="center"/>
              <w:rPr>
                <w:rFonts w:hint="eastAsia" w:ascii="宋体" w:hAnsi="宋体" w:eastAsia="宋体" w:cs="宋体"/>
                <w:i w:val="0"/>
                <w:iCs w:val="0"/>
                <w:color w:val="000000"/>
                <w:sz w:val="18"/>
                <w:szCs w:val="18"/>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DA7D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城乡居民公共卫生差距</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A186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38E7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不断缩小</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C598F3">
            <w:pPr>
              <w:jc w:val="center"/>
              <w:rPr>
                <w:rFonts w:hint="eastAsia" w:ascii="宋体" w:hAnsi="宋体" w:eastAsia="宋体" w:cs="宋体"/>
                <w:i w:val="0"/>
                <w:iCs w:val="0"/>
                <w:color w:val="000000"/>
                <w:sz w:val="18"/>
                <w:szCs w:val="18"/>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998190">
            <w:pPr>
              <w:jc w:val="center"/>
              <w:rPr>
                <w:rFonts w:hint="eastAsia" w:ascii="宋体" w:hAnsi="宋体" w:eastAsia="宋体" w:cs="宋体"/>
                <w:i w:val="0"/>
                <w:iCs w:val="0"/>
                <w:color w:val="000000"/>
                <w:sz w:val="18"/>
                <w:szCs w:val="18"/>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FBD13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CFA8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4D6C79">
            <w:pPr>
              <w:jc w:val="center"/>
              <w:rPr>
                <w:rFonts w:hint="eastAsia" w:ascii="宋体" w:hAnsi="宋体" w:eastAsia="宋体" w:cs="宋体"/>
                <w:i w:val="0"/>
                <w:iCs w:val="0"/>
                <w:color w:val="000000"/>
                <w:sz w:val="18"/>
                <w:szCs w:val="18"/>
                <w:u w:val="none"/>
              </w:rPr>
            </w:pPr>
          </w:p>
        </w:tc>
      </w:tr>
      <w:tr w14:paraId="6330D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2"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B0DBA3">
            <w:pPr>
              <w:jc w:val="center"/>
              <w:rPr>
                <w:rFonts w:hint="eastAsia" w:ascii="宋体" w:hAnsi="宋体" w:eastAsia="宋体" w:cs="宋体"/>
                <w:i w:val="0"/>
                <w:iCs w:val="0"/>
                <w:color w:val="000000"/>
                <w:sz w:val="18"/>
                <w:szCs w:val="18"/>
                <w:u w:val="none"/>
              </w:rPr>
            </w:pPr>
          </w:p>
        </w:tc>
        <w:tc>
          <w:tcPr>
            <w:tcW w:w="1742"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0A64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指标</w:t>
            </w:r>
          </w:p>
        </w:tc>
        <w:tc>
          <w:tcPr>
            <w:tcW w:w="1633"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7C4C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受益程度指标</w:t>
            </w: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67A4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4599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1E47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较上年提高</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3DB43D">
            <w:pPr>
              <w:jc w:val="center"/>
              <w:rPr>
                <w:rFonts w:hint="eastAsia" w:ascii="宋体" w:hAnsi="宋体" w:eastAsia="宋体" w:cs="宋体"/>
                <w:i w:val="0"/>
                <w:iCs w:val="0"/>
                <w:color w:val="000000"/>
                <w:sz w:val="18"/>
                <w:szCs w:val="18"/>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71D91E">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7601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E193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D28212">
            <w:pPr>
              <w:jc w:val="center"/>
              <w:rPr>
                <w:rFonts w:hint="eastAsia" w:ascii="微软雅黑" w:hAnsi="微软雅黑" w:eastAsia="微软雅黑" w:cs="微软雅黑"/>
                <w:i/>
                <w:iCs/>
                <w:color w:val="000000"/>
                <w:sz w:val="16"/>
                <w:szCs w:val="16"/>
                <w:u w:val="none"/>
              </w:rPr>
            </w:pPr>
          </w:p>
        </w:tc>
      </w:tr>
      <w:tr w14:paraId="52504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39" w:hRule="atLeast"/>
        </w:trPr>
        <w:tc>
          <w:tcPr>
            <w:tcW w:w="6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E9D5AB">
            <w:pPr>
              <w:jc w:val="center"/>
              <w:rPr>
                <w:rFonts w:hint="eastAsia" w:ascii="宋体" w:hAnsi="宋体" w:eastAsia="宋体" w:cs="宋体"/>
                <w:i w:val="0"/>
                <w:iCs w:val="0"/>
                <w:color w:val="000000"/>
                <w:sz w:val="18"/>
                <w:szCs w:val="18"/>
                <w:u w:val="none"/>
              </w:rPr>
            </w:pPr>
          </w:p>
        </w:tc>
        <w:tc>
          <w:tcPr>
            <w:tcW w:w="174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D971E5">
            <w:pPr>
              <w:jc w:val="center"/>
              <w:rPr>
                <w:rFonts w:hint="eastAsia" w:ascii="宋体" w:hAnsi="宋体" w:eastAsia="宋体" w:cs="宋体"/>
                <w:i w:val="0"/>
                <w:iCs w:val="0"/>
                <w:color w:val="000000"/>
                <w:sz w:val="18"/>
                <w:szCs w:val="18"/>
                <w:u w:val="none"/>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D18B73">
            <w:pPr>
              <w:jc w:val="center"/>
              <w:rPr>
                <w:rFonts w:hint="eastAsia" w:ascii="宋体" w:hAnsi="宋体" w:eastAsia="宋体" w:cs="宋体"/>
                <w:i w:val="0"/>
                <w:iCs w:val="0"/>
                <w:color w:val="000000"/>
                <w:sz w:val="18"/>
                <w:szCs w:val="18"/>
                <w:u w:val="none"/>
              </w:rPr>
            </w:pPr>
          </w:p>
        </w:tc>
        <w:tc>
          <w:tcPr>
            <w:tcW w:w="192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FF01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避孕药具发放满意度</w:t>
            </w:r>
          </w:p>
        </w:tc>
        <w:tc>
          <w:tcPr>
            <w:tcW w:w="52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E89FE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4F67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4C68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3493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BFFE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62272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B0AFAE">
            <w:pPr>
              <w:rPr>
                <w:rFonts w:hint="eastAsia" w:ascii="宋体" w:hAnsi="宋体" w:eastAsia="宋体" w:cs="宋体"/>
                <w:i w:val="0"/>
                <w:iCs w:val="0"/>
                <w:color w:val="000000"/>
                <w:sz w:val="18"/>
                <w:szCs w:val="18"/>
                <w:u w:val="none"/>
              </w:rPr>
            </w:pPr>
          </w:p>
        </w:tc>
      </w:tr>
      <w:tr w14:paraId="2B509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9448" w:type="dxa"/>
            <w:gridSpan w:val="8"/>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8E23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EE20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6161A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w:t>
            </w:r>
          </w:p>
        </w:tc>
        <w:tc>
          <w:tcPr>
            <w:tcW w:w="2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65D798">
            <w:pPr>
              <w:rPr>
                <w:rFonts w:hint="eastAsia" w:ascii="宋体" w:hAnsi="宋体" w:eastAsia="宋体" w:cs="宋体"/>
                <w:i w:val="0"/>
                <w:iCs w:val="0"/>
                <w:color w:val="000000"/>
                <w:sz w:val="18"/>
                <w:szCs w:val="18"/>
                <w:u w:val="none"/>
              </w:rPr>
            </w:pPr>
          </w:p>
        </w:tc>
      </w:tr>
      <w:tr w14:paraId="2C22A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71CC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2305" w:type="dxa"/>
            <w:gridSpan w:val="10"/>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7BF160">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项目自评总分94分，通过项目实施我乡12项基本公共卫生服务推进综合改革顺利完成</w:t>
            </w:r>
          </w:p>
        </w:tc>
      </w:tr>
      <w:tr w14:paraId="570A7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572" w:hRule="atLeast"/>
        </w:trPr>
        <w:tc>
          <w:tcPr>
            <w:tcW w:w="6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88A7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2305" w:type="dxa"/>
            <w:gridSpan w:val="10"/>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869555">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46F9F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633" w:hRule="atLeast"/>
        </w:trPr>
        <w:tc>
          <w:tcPr>
            <w:tcW w:w="6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790B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2305" w:type="dxa"/>
            <w:gridSpan w:val="10"/>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A5CF73">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46F45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6486"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B97BB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94E605">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00A13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61" w:type="dxa"/>
            <w:tcBorders>
              <w:top w:val="nil"/>
              <w:left w:val="nil"/>
              <w:bottom w:val="nil"/>
              <w:right w:val="nil"/>
            </w:tcBorders>
            <w:shd w:val="clear" w:color="auto" w:fill="FFFFFF" w:themeFill="background1"/>
            <w:vAlign w:val="center"/>
          </w:tcPr>
          <w:p w14:paraId="5716AEA1">
            <w:pPr>
              <w:rPr>
                <w:rFonts w:hint="eastAsia" w:ascii="宋体" w:hAnsi="宋体" w:eastAsia="宋体" w:cs="宋体"/>
                <w:i w:val="0"/>
                <w:iCs w:val="0"/>
                <w:color w:val="000000"/>
                <w:sz w:val="18"/>
                <w:szCs w:val="18"/>
                <w:u w:val="none"/>
              </w:rPr>
            </w:pPr>
          </w:p>
        </w:tc>
        <w:tc>
          <w:tcPr>
            <w:tcW w:w="1742" w:type="dxa"/>
            <w:tcBorders>
              <w:top w:val="nil"/>
              <w:left w:val="nil"/>
              <w:bottom w:val="nil"/>
              <w:right w:val="nil"/>
            </w:tcBorders>
            <w:shd w:val="clear" w:color="auto" w:fill="FFFFFF" w:themeFill="background1"/>
            <w:vAlign w:val="center"/>
          </w:tcPr>
          <w:p w14:paraId="3481B209">
            <w:pPr>
              <w:rPr>
                <w:rFonts w:hint="eastAsia" w:ascii="宋体" w:hAnsi="宋体" w:eastAsia="宋体" w:cs="宋体"/>
                <w:i w:val="0"/>
                <w:iCs w:val="0"/>
                <w:color w:val="000000"/>
                <w:sz w:val="18"/>
                <w:szCs w:val="18"/>
                <w:u w:val="none"/>
              </w:rPr>
            </w:pPr>
          </w:p>
        </w:tc>
        <w:tc>
          <w:tcPr>
            <w:tcW w:w="1633" w:type="dxa"/>
            <w:tcBorders>
              <w:top w:val="nil"/>
              <w:left w:val="nil"/>
              <w:bottom w:val="nil"/>
              <w:right w:val="nil"/>
            </w:tcBorders>
            <w:shd w:val="clear" w:color="auto" w:fill="FFFFFF" w:themeFill="background1"/>
            <w:vAlign w:val="center"/>
          </w:tcPr>
          <w:p w14:paraId="3768E0C8">
            <w:pPr>
              <w:rPr>
                <w:rFonts w:hint="eastAsia" w:ascii="宋体" w:hAnsi="宋体" w:eastAsia="宋体" w:cs="宋体"/>
                <w:i w:val="0"/>
                <w:iCs w:val="0"/>
                <w:color w:val="000000"/>
                <w:sz w:val="18"/>
                <w:szCs w:val="18"/>
                <w:u w:val="none"/>
              </w:rPr>
            </w:pPr>
          </w:p>
        </w:tc>
        <w:tc>
          <w:tcPr>
            <w:tcW w:w="1929" w:type="dxa"/>
            <w:tcBorders>
              <w:top w:val="nil"/>
              <w:left w:val="nil"/>
              <w:bottom w:val="nil"/>
              <w:right w:val="nil"/>
            </w:tcBorders>
            <w:shd w:val="clear" w:color="auto" w:fill="FFFFFF" w:themeFill="background1"/>
            <w:vAlign w:val="center"/>
          </w:tcPr>
          <w:p w14:paraId="6E807C23">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FFFFFF" w:themeFill="background1"/>
            <w:vAlign w:val="center"/>
          </w:tcPr>
          <w:p w14:paraId="718F1D8A">
            <w:pPr>
              <w:rPr>
                <w:rFonts w:hint="eastAsia" w:ascii="宋体" w:hAnsi="宋体" w:eastAsia="宋体" w:cs="宋体"/>
                <w:i w:val="0"/>
                <w:iCs w:val="0"/>
                <w:color w:val="000000"/>
                <w:sz w:val="18"/>
                <w:szCs w:val="18"/>
                <w:u w:val="none"/>
              </w:rPr>
            </w:pPr>
          </w:p>
        </w:tc>
        <w:tc>
          <w:tcPr>
            <w:tcW w:w="1427" w:type="dxa"/>
            <w:tcBorders>
              <w:top w:val="nil"/>
              <w:left w:val="nil"/>
              <w:bottom w:val="nil"/>
              <w:right w:val="nil"/>
            </w:tcBorders>
            <w:shd w:val="clear" w:color="auto" w:fill="FFFFFF" w:themeFill="background1"/>
            <w:vAlign w:val="center"/>
          </w:tcPr>
          <w:p w14:paraId="6941D2B3">
            <w:pPr>
              <w:rPr>
                <w:rFonts w:hint="eastAsia" w:ascii="宋体" w:hAnsi="宋体" w:eastAsia="宋体" w:cs="宋体"/>
                <w:i w:val="0"/>
                <w:iCs w:val="0"/>
                <w:color w:val="000000"/>
                <w:sz w:val="18"/>
                <w:szCs w:val="18"/>
                <w:u w:val="none"/>
              </w:rPr>
            </w:pPr>
          </w:p>
        </w:tc>
        <w:tc>
          <w:tcPr>
            <w:tcW w:w="495" w:type="dxa"/>
            <w:tcBorders>
              <w:top w:val="nil"/>
              <w:left w:val="nil"/>
              <w:bottom w:val="nil"/>
              <w:right w:val="nil"/>
            </w:tcBorders>
            <w:shd w:val="clear" w:color="auto" w:fill="FFFFFF" w:themeFill="background1"/>
            <w:vAlign w:val="center"/>
          </w:tcPr>
          <w:p w14:paraId="3B66D197">
            <w:pPr>
              <w:rPr>
                <w:rFonts w:hint="eastAsia" w:ascii="宋体" w:hAnsi="宋体" w:eastAsia="宋体" w:cs="宋体"/>
                <w:i w:val="0"/>
                <w:iCs w:val="0"/>
                <w:color w:val="000000"/>
                <w:sz w:val="18"/>
                <w:szCs w:val="18"/>
                <w:u w:val="none"/>
              </w:rPr>
            </w:pPr>
          </w:p>
        </w:tc>
        <w:tc>
          <w:tcPr>
            <w:tcW w:w="1040" w:type="dxa"/>
            <w:tcBorders>
              <w:top w:val="nil"/>
              <w:left w:val="nil"/>
              <w:bottom w:val="nil"/>
              <w:right w:val="nil"/>
            </w:tcBorders>
            <w:shd w:val="clear" w:color="auto" w:fill="FFFFFF" w:themeFill="background1"/>
            <w:vAlign w:val="center"/>
          </w:tcPr>
          <w:p w14:paraId="3D15EE25">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FFFFFF" w:themeFill="background1"/>
            <w:vAlign w:val="center"/>
          </w:tcPr>
          <w:p w14:paraId="7925F189">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FFFFFF" w:themeFill="background1"/>
            <w:vAlign w:val="center"/>
          </w:tcPr>
          <w:p w14:paraId="5FE11E78">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FFFFFF" w:themeFill="background1"/>
            <w:vAlign w:val="center"/>
          </w:tcPr>
          <w:p w14:paraId="60A58900">
            <w:pPr>
              <w:rPr>
                <w:rFonts w:hint="eastAsia" w:ascii="宋体" w:hAnsi="宋体" w:eastAsia="宋体" w:cs="宋体"/>
                <w:i w:val="0"/>
                <w:iCs w:val="0"/>
                <w:color w:val="000000"/>
                <w:sz w:val="18"/>
                <w:szCs w:val="18"/>
                <w:u w:val="none"/>
              </w:rPr>
            </w:pPr>
          </w:p>
        </w:tc>
      </w:tr>
      <w:tr w14:paraId="3004D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12966" w:type="dxa"/>
            <w:gridSpan w:val="11"/>
            <w:tcBorders>
              <w:top w:val="nil"/>
              <w:left w:val="nil"/>
              <w:bottom w:val="nil"/>
              <w:right w:val="nil"/>
            </w:tcBorders>
            <w:shd w:val="clear" w:color="auto" w:fill="FFFFFF" w:themeFill="background1"/>
            <w:vAlign w:val="center"/>
          </w:tcPr>
          <w:p w14:paraId="37B904B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1、报表说明</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该报表查询项目信息、绩效目标信息、预算及执行情况，用于预算单位查询导出开展项目自评。</w:t>
            </w:r>
          </w:p>
        </w:tc>
      </w:tr>
      <w:tr w14:paraId="5C5D8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12966" w:type="dxa"/>
            <w:gridSpan w:val="11"/>
            <w:tcBorders>
              <w:top w:val="nil"/>
              <w:left w:val="nil"/>
              <w:bottom w:val="nil"/>
              <w:right w:val="nil"/>
            </w:tcBorders>
            <w:shd w:val="clear" w:color="auto" w:fill="FFFFFF" w:themeFill="background1"/>
            <w:vAlign w:val="center"/>
          </w:tcPr>
          <w:p w14:paraId="3FB9ACE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2、取数口径：部门项目绩效目标表信息，包括年初预算、追加预算、结转预算和调整预算的绩效目标（以项目的最终绩效目标为准）。</w:t>
            </w:r>
          </w:p>
        </w:tc>
      </w:tr>
      <w:tr w14:paraId="0D202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12966" w:type="dxa"/>
            <w:gridSpan w:val="11"/>
            <w:tcBorders>
              <w:top w:val="nil"/>
              <w:left w:val="nil"/>
              <w:bottom w:val="nil"/>
              <w:right w:val="nil"/>
            </w:tcBorders>
            <w:shd w:val="clear" w:color="auto" w:fill="FFFFFF" w:themeFill="background1"/>
            <w:vAlign w:val="center"/>
          </w:tcPr>
          <w:p w14:paraId="5DD6AF5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适用地区：全省范围</w:t>
            </w:r>
          </w:p>
        </w:tc>
      </w:tr>
      <w:tr w14:paraId="075AA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6" w:hRule="atLeast"/>
        </w:trPr>
        <w:tc>
          <w:tcPr>
            <w:tcW w:w="12966" w:type="dxa"/>
            <w:gridSpan w:val="11"/>
            <w:tcBorders>
              <w:top w:val="nil"/>
              <w:left w:val="nil"/>
              <w:bottom w:val="nil"/>
              <w:right w:val="nil"/>
            </w:tcBorders>
            <w:shd w:val="clear" w:color="auto" w:fill="FFFFFF" w:themeFill="background1"/>
            <w:vAlign w:val="center"/>
          </w:tcPr>
          <w:p w14:paraId="0C0895A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适用用户：部门用户、单位用户</w:t>
            </w:r>
          </w:p>
        </w:tc>
      </w:tr>
    </w:tbl>
    <w:p w14:paraId="02F2E9A0">
      <w:pPr>
        <w:pStyle w:val="6"/>
        <w:spacing w:before="93"/>
        <w:rPr>
          <w:rFonts w:hAnsi="Calibri" w:cs="仿宋"/>
          <w:sz w:val="32"/>
          <w:szCs w:val="32"/>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titlePg/>
          <w:docGrid w:type="lines" w:linePitch="312" w:charSpace="0"/>
        </w:sectPr>
      </w:pPr>
    </w:p>
    <w:p w14:paraId="1A5DD48B">
      <w:pPr>
        <w:spacing w:line="600" w:lineRule="exact"/>
        <w:jc w:val="center"/>
        <w:outlineLvl w:val="0"/>
        <w:rPr>
          <w:rFonts w:ascii="仿宋" w:hAnsi="仿宋" w:eastAsia="仿宋"/>
        </w:rPr>
      </w:pPr>
      <w:bookmarkStart w:id="78" w:name="_Toc25717"/>
      <w:r>
        <w:rPr>
          <w:rFonts w:hint="eastAsia" w:ascii="黑体" w:hAnsi="黑体" w:eastAsia="黑体"/>
          <w:sz w:val="44"/>
          <w:szCs w:val="44"/>
        </w:rPr>
        <w:t>第</w:t>
      </w:r>
      <w:r>
        <w:rPr>
          <w:rStyle w:val="28"/>
          <w:rFonts w:hint="eastAsia" w:ascii="黑体" w:hAnsi="黑体" w:eastAsia="黑体"/>
          <w:b w:val="0"/>
        </w:rPr>
        <w:t>五部分 附表</w:t>
      </w:r>
      <w:bookmarkEnd w:id="75"/>
      <w:bookmarkEnd w:id="77"/>
      <w:bookmarkEnd w:id="78"/>
      <w:bookmarkStart w:id="79" w:name="_Toc15396619"/>
    </w:p>
    <w:p w14:paraId="3F324F4D">
      <w:pPr>
        <w:pStyle w:val="4"/>
        <w:rPr>
          <w:rFonts w:ascii="仿宋" w:hAnsi="仿宋" w:eastAsia="仿宋"/>
        </w:rPr>
      </w:pPr>
      <w:bookmarkStart w:id="80" w:name="_Toc10343"/>
      <w:r>
        <w:rPr>
          <w:rFonts w:hint="eastAsia" w:ascii="仿宋" w:hAnsi="仿宋" w:eastAsia="仿宋"/>
          <w:b w:val="0"/>
        </w:rPr>
        <w:t>一、收</w:t>
      </w:r>
      <w:r>
        <w:rPr>
          <w:rStyle w:val="29"/>
          <w:rFonts w:hint="eastAsia" w:ascii="仿宋" w:hAnsi="仿宋" w:eastAsia="仿宋"/>
          <w:b w:val="0"/>
          <w:bCs w:val="0"/>
        </w:rPr>
        <w:t>入支出决算总表</w:t>
      </w:r>
      <w:bookmarkEnd w:id="79"/>
      <w:bookmarkEnd w:id="80"/>
    </w:p>
    <w:p w14:paraId="3A87EBC9">
      <w:pPr>
        <w:pStyle w:val="4"/>
        <w:rPr>
          <w:rFonts w:ascii="仿宋" w:hAnsi="仿宋" w:eastAsia="仿宋"/>
        </w:rPr>
      </w:pPr>
      <w:bookmarkStart w:id="81" w:name="_Toc15396620"/>
      <w:bookmarkStart w:id="82" w:name="_Toc10033"/>
      <w:r>
        <w:rPr>
          <w:rFonts w:hint="eastAsia" w:ascii="仿宋" w:hAnsi="仿宋" w:eastAsia="仿宋"/>
          <w:b w:val="0"/>
        </w:rPr>
        <w:t>二、收</w:t>
      </w:r>
      <w:r>
        <w:rPr>
          <w:rStyle w:val="29"/>
          <w:rFonts w:hint="eastAsia" w:ascii="仿宋" w:hAnsi="仿宋" w:eastAsia="仿宋"/>
          <w:b w:val="0"/>
          <w:bCs w:val="0"/>
        </w:rPr>
        <w:t>入决算表</w:t>
      </w:r>
      <w:bookmarkEnd w:id="81"/>
      <w:bookmarkEnd w:id="82"/>
    </w:p>
    <w:p w14:paraId="1FF01F9A">
      <w:pPr>
        <w:pStyle w:val="4"/>
        <w:rPr>
          <w:rFonts w:ascii="仿宋" w:hAnsi="仿宋" w:eastAsia="仿宋"/>
        </w:rPr>
      </w:pPr>
      <w:bookmarkStart w:id="83" w:name="_Toc27233"/>
      <w:bookmarkStart w:id="84" w:name="_Toc15396621"/>
      <w:r>
        <w:rPr>
          <w:rStyle w:val="29"/>
          <w:rFonts w:hint="eastAsia" w:ascii="仿宋" w:hAnsi="仿宋" w:eastAsia="仿宋"/>
          <w:b w:val="0"/>
          <w:bCs w:val="0"/>
        </w:rPr>
        <w:t>三、</w:t>
      </w:r>
      <w:r>
        <w:rPr>
          <w:rFonts w:hint="eastAsia" w:ascii="仿宋" w:hAnsi="仿宋" w:eastAsia="仿宋"/>
          <w:b w:val="0"/>
        </w:rPr>
        <w:t>支</w:t>
      </w:r>
      <w:r>
        <w:rPr>
          <w:rStyle w:val="29"/>
          <w:rFonts w:hint="eastAsia" w:ascii="仿宋" w:hAnsi="仿宋" w:eastAsia="仿宋"/>
          <w:b w:val="0"/>
          <w:bCs w:val="0"/>
        </w:rPr>
        <w:t>出决算表</w:t>
      </w:r>
      <w:bookmarkEnd w:id="83"/>
      <w:bookmarkEnd w:id="84"/>
    </w:p>
    <w:p w14:paraId="5157100F">
      <w:pPr>
        <w:pStyle w:val="4"/>
        <w:rPr>
          <w:rFonts w:ascii="仿宋" w:hAnsi="仿宋" w:eastAsia="仿宋"/>
          <w:b w:val="0"/>
        </w:rPr>
      </w:pPr>
      <w:bookmarkStart w:id="85" w:name="_Toc15396622"/>
      <w:bookmarkStart w:id="86" w:name="_Toc17369"/>
      <w:r>
        <w:rPr>
          <w:rStyle w:val="29"/>
          <w:rFonts w:hint="eastAsia" w:ascii="仿宋" w:hAnsi="仿宋" w:eastAsia="仿宋"/>
          <w:b w:val="0"/>
          <w:bCs w:val="0"/>
        </w:rPr>
        <w:t>四、</w:t>
      </w:r>
      <w:r>
        <w:rPr>
          <w:rFonts w:hint="eastAsia" w:ascii="仿宋" w:hAnsi="仿宋" w:eastAsia="仿宋"/>
          <w:b w:val="0"/>
        </w:rPr>
        <w:t>财</w:t>
      </w:r>
      <w:r>
        <w:rPr>
          <w:rStyle w:val="29"/>
          <w:rFonts w:hint="eastAsia" w:ascii="仿宋" w:hAnsi="仿宋" w:eastAsia="仿宋"/>
          <w:b w:val="0"/>
          <w:bCs w:val="0"/>
        </w:rPr>
        <w:t>政拨款收入支出决算总表</w:t>
      </w:r>
      <w:bookmarkEnd w:id="85"/>
      <w:bookmarkEnd w:id="86"/>
    </w:p>
    <w:p w14:paraId="41F042FC">
      <w:pPr>
        <w:pStyle w:val="4"/>
        <w:rPr>
          <w:rStyle w:val="29"/>
          <w:rFonts w:ascii="仿宋" w:hAnsi="仿宋" w:eastAsia="仿宋"/>
          <w:b w:val="0"/>
          <w:bCs w:val="0"/>
        </w:rPr>
      </w:pPr>
      <w:bookmarkStart w:id="87" w:name="_Toc15396623"/>
      <w:bookmarkStart w:id="88" w:name="_Toc26949"/>
      <w:r>
        <w:rPr>
          <w:rStyle w:val="29"/>
          <w:rFonts w:hint="eastAsia" w:ascii="仿宋" w:hAnsi="仿宋" w:eastAsia="仿宋"/>
          <w:b w:val="0"/>
          <w:bCs w:val="0"/>
        </w:rPr>
        <w:t>五、</w:t>
      </w:r>
      <w:r>
        <w:rPr>
          <w:rFonts w:hint="eastAsia" w:ascii="仿宋" w:hAnsi="仿宋" w:eastAsia="仿宋"/>
          <w:b w:val="0"/>
        </w:rPr>
        <w:t>财</w:t>
      </w:r>
      <w:r>
        <w:rPr>
          <w:rStyle w:val="29"/>
          <w:rFonts w:hint="eastAsia" w:ascii="仿宋" w:hAnsi="仿宋" w:eastAsia="仿宋"/>
          <w:b w:val="0"/>
          <w:bCs w:val="0"/>
        </w:rPr>
        <w:t>政拨款支出决算明细表</w:t>
      </w:r>
      <w:bookmarkEnd w:id="87"/>
      <w:bookmarkEnd w:id="88"/>
      <w:bookmarkStart w:id="89" w:name="_Toc15396624"/>
    </w:p>
    <w:p w14:paraId="155F8B37">
      <w:pPr>
        <w:pStyle w:val="4"/>
        <w:rPr>
          <w:rFonts w:ascii="仿宋" w:hAnsi="仿宋" w:eastAsia="仿宋"/>
        </w:rPr>
      </w:pPr>
      <w:bookmarkStart w:id="90" w:name="_Toc21179"/>
      <w:r>
        <w:rPr>
          <w:rStyle w:val="29"/>
          <w:rFonts w:hint="eastAsia" w:ascii="仿宋" w:hAnsi="仿宋" w:eastAsia="仿宋"/>
          <w:b w:val="0"/>
          <w:bCs w:val="0"/>
        </w:rPr>
        <w:t>六、</w:t>
      </w:r>
      <w:r>
        <w:rPr>
          <w:rFonts w:hint="eastAsia" w:ascii="仿宋" w:hAnsi="仿宋" w:eastAsia="仿宋"/>
          <w:b w:val="0"/>
        </w:rPr>
        <w:t>一</w:t>
      </w:r>
      <w:r>
        <w:rPr>
          <w:rStyle w:val="29"/>
          <w:rFonts w:hint="eastAsia" w:ascii="仿宋" w:hAnsi="仿宋" w:eastAsia="仿宋"/>
          <w:b w:val="0"/>
          <w:bCs w:val="0"/>
        </w:rPr>
        <w:t>般公共预算财政拨款支出决算表</w:t>
      </w:r>
      <w:bookmarkEnd w:id="89"/>
      <w:bookmarkEnd w:id="90"/>
    </w:p>
    <w:p w14:paraId="77B28D0E">
      <w:pPr>
        <w:pStyle w:val="4"/>
        <w:rPr>
          <w:rFonts w:ascii="仿宋" w:hAnsi="仿宋" w:eastAsia="仿宋"/>
        </w:rPr>
      </w:pPr>
      <w:bookmarkStart w:id="91" w:name="_Toc31644"/>
      <w:bookmarkStart w:id="92" w:name="_Toc15396625"/>
      <w:r>
        <w:rPr>
          <w:rStyle w:val="29"/>
          <w:rFonts w:hint="eastAsia" w:ascii="仿宋" w:hAnsi="仿宋" w:eastAsia="仿宋"/>
          <w:b w:val="0"/>
          <w:bCs w:val="0"/>
        </w:rPr>
        <w:t>七、</w:t>
      </w:r>
      <w:r>
        <w:rPr>
          <w:rFonts w:hint="eastAsia" w:ascii="仿宋" w:hAnsi="仿宋" w:eastAsia="仿宋"/>
          <w:b w:val="0"/>
        </w:rPr>
        <w:t>一</w:t>
      </w:r>
      <w:r>
        <w:rPr>
          <w:rStyle w:val="29"/>
          <w:rFonts w:hint="eastAsia" w:ascii="仿宋" w:hAnsi="仿宋" w:eastAsia="仿宋"/>
          <w:b w:val="0"/>
          <w:bCs w:val="0"/>
        </w:rPr>
        <w:t>般公共预算财政拨款支出决算明细表</w:t>
      </w:r>
      <w:bookmarkEnd w:id="91"/>
      <w:bookmarkEnd w:id="92"/>
    </w:p>
    <w:p w14:paraId="108ECADF">
      <w:pPr>
        <w:pStyle w:val="4"/>
        <w:rPr>
          <w:rFonts w:ascii="仿宋" w:hAnsi="仿宋" w:eastAsia="仿宋"/>
        </w:rPr>
      </w:pPr>
      <w:bookmarkStart w:id="93" w:name="_Toc14817"/>
      <w:bookmarkStart w:id="94" w:name="_Toc15396626"/>
      <w:r>
        <w:rPr>
          <w:rStyle w:val="29"/>
          <w:rFonts w:hint="eastAsia" w:ascii="仿宋" w:hAnsi="仿宋" w:eastAsia="仿宋"/>
          <w:b w:val="0"/>
          <w:bCs w:val="0"/>
        </w:rPr>
        <w:t>八、</w:t>
      </w:r>
      <w:r>
        <w:rPr>
          <w:rFonts w:hint="eastAsia" w:ascii="仿宋" w:hAnsi="仿宋" w:eastAsia="仿宋"/>
          <w:b w:val="0"/>
        </w:rPr>
        <w:t>一</w:t>
      </w:r>
      <w:r>
        <w:rPr>
          <w:rStyle w:val="29"/>
          <w:rFonts w:hint="eastAsia" w:ascii="仿宋" w:hAnsi="仿宋" w:eastAsia="仿宋"/>
          <w:b w:val="0"/>
          <w:bCs w:val="0"/>
        </w:rPr>
        <w:t>般公共预算财政拨款基本支出决算表</w:t>
      </w:r>
      <w:bookmarkEnd w:id="93"/>
      <w:bookmarkEnd w:id="94"/>
    </w:p>
    <w:p w14:paraId="13F116BA">
      <w:pPr>
        <w:pStyle w:val="4"/>
        <w:rPr>
          <w:rFonts w:ascii="仿宋" w:hAnsi="仿宋" w:eastAsia="仿宋"/>
        </w:rPr>
      </w:pPr>
      <w:bookmarkStart w:id="95" w:name="_Toc15396627"/>
      <w:bookmarkStart w:id="96" w:name="_Toc23112"/>
      <w:r>
        <w:rPr>
          <w:rStyle w:val="29"/>
          <w:rFonts w:hint="eastAsia" w:ascii="仿宋" w:hAnsi="仿宋" w:eastAsia="仿宋"/>
          <w:b w:val="0"/>
          <w:bCs w:val="0"/>
        </w:rPr>
        <w:t>九、</w:t>
      </w:r>
      <w:r>
        <w:rPr>
          <w:rFonts w:hint="eastAsia" w:ascii="仿宋" w:hAnsi="仿宋" w:eastAsia="仿宋"/>
          <w:b w:val="0"/>
        </w:rPr>
        <w:t>一</w:t>
      </w:r>
      <w:r>
        <w:rPr>
          <w:rStyle w:val="29"/>
          <w:rFonts w:hint="eastAsia" w:ascii="仿宋" w:hAnsi="仿宋" w:eastAsia="仿宋"/>
          <w:b w:val="0"/>
          <w:bCs w:val="0"/>
        </w:rPr>
        <w:t>般公共预算财政拨款项目支出决算表</w:t>
      </w:r>
      <w:bookmarkEnd w:id="95"/>
      <w:bookmarkEnd w:id="96"/>
    </w:p>
    <w:p w14:paraId="652EF65F">
      <w:pPr>
        <w:pStyle w:val="4"/>
        <w:rPr>
          <w:rFonts w:ascii="仿宋" w:hAnsi="仿宋" w:eastAsia="仿宋"/>
        </w:rPr>
      </w:pPr>
      <w:bookmarkStart w:id="97" w:name="_Toc15396628"/>
      <w:bookmarkStart w:id="98" w:name="_Toc5537"/>
      <w:r>
        <w:rPr>
          <w:rStyle w:val="29"/>
          <w:rFonts w:hint="eastAsia" w:ascii="仿宋" w:hAnsi="仿宋" w:eastAsia="仿宋"/>
          <w:b w:val="0"/>
          <w:bCs w:val="0"/>
        </w:rPr>
        <w:t>十、</w:t>
      </w:r>
      <w:bookmarkEnd w:id="97"/>
      <w:r>
        <w:rPr>
          <w:rFonts w:hint="eastAsia" w:ascii="仿宋" w:hAnsi="仿宋" w:eastAsia="仿宋"/>
          <w:b w:val="0"/>
        </w:rPr>
        <w:t>政</w:t>
      </w:r>
      <w:r>
        <w:rPr>
          <w:rStyle w:val="29"/>
          <w:rFonts w:hint="eastAsia" w:ascii="仿宋" w:hAnsi="仿宋" w:eastAsia="仿宋"/>
          <w:b w:val="0"/>
          <w:bCs w:val="0"/>
        </w:rPr>
        <w:t>府性基金预算财政拨款收入支出决算表</w:t>
      </w:r>
      <w:bookmarkEnd w:id="98"/>
    </w:p>
    <w:p w14:paraId="40885783">
      <w:pPr>
        <w:pStyle w:val="4"/>
        <w:rPr>
          <w:rFonts w:ascii="仿宋" w:hAnsi="仿宋" w:eastAsia="仿宋"/>
        </w:rPr>
      </w:pPr>
      <w:bookmarkStart w:id="99" w:name="_Toc15396629"/>
      <w:bookmarkStart w:id="100" w:name="_Toc17242"/>
      <w:r>
        <w:rPr>
          <w:rStyle w:val="29"/>
          <w:rFonts w:hint="eastAsia" w:ascii="仿宋" w:hAnsi="仿宋" w:eastAsia="仿宋"/>
          <w:b w:val="0"/>
          <w:bCs w:val="0"/>
        </w:rPr>
        <w:t>十一、</w:t>
      </w:r>
      <w:bookmarkEnd w:id="99"/>
      <w:r>
        <w:rPr>
          <w:rFonts w:hint="eastAsia" w:ascii="仿宋" w:hAnsi="仿宋" w:eastAsia="仿宋"/>
          <w:b w:val="0"/>
        </w:rPr>
        <w:t>国</w:t>
      </w:r>
      <w:r>
        <w:rPr>
          <w:rStyle w:val="29"/>
          <w:rFonts w:hint="eastAsia" w:ascii="仿宋" w:hAnsi="仿宋" w:eastAsia="仿宋"/>
          <w:b w:val="0"/>
          <w:bCs w:val="0"/>
        </w:rPr>
        <w:t>有资本经营预算财政拨款收入支出决算表</w:t>
      </w:r>
      <w:bookmarkEnd w:id="100"/>
    </w:p>
    <w:p w14:paraId="691A9CB0">
      <w:pPr>
        <w:pStyle w:val="4"/>
        <w:rPr>
          <w:rFonts w:ascii="仿宋" w:hAnsi="仿宋" w:eastAsia="仿宋"/>
        </w:rPr>
      </w:pPr>
      <w:bookmarkStart w:id="101" w:name="_Toc15396630"/>
      <w:bookmarkStart w:id="102" w:name="_Toc14994"/>
      <w:r>
        <w:rPr>
          <w:rStyle w:val="29"/>
          <w:rFonts w:hint="eastAsia" w:ascii="仿宋" w:hAnsi="仿宋" w:eastAsia="仿宋"/>
          <w:b w:val="0"/>
          <w:bCs w:val="0"/>
        </w:rPr>
        <w:t>十二、</w:t>
      </w:r>
      <w:bookmarkEnd w:id="101"/>
      <w:r>
        <w:rPr>
          <w:rStyle w:val="29"/>
          <w:rFonts w:hint="eastAsia" w:ascii="仿宋" w:hAnsi="仿宋" w:eastAsia="仿宋"/>
          <w:b w:val="0"/>
          <w:bCs w:val="0"/>
        </w:rPr>
        <w:t>国有资本经营预算财政拨款支出决算表</w:t>
      </w:r>
      <w:bookmarkEnd w:id="102"/>
    </w:p>
    <w:p w14:paraId="13186316">
      <w:pPr>
        <w:pStyle w:val="4"/>
        <w:rPr>
          <w:rFonts w:eastAsia="仿宋"/>
        </w:rPr>
      </w:pPr>
      <w:bookmarkStart w:id="103" w:name="_Toc15396631"/>
      <w:bookmarkStart w:id="104" w:name="_Toc13489"/>
      <w:r>
        <w:rPr>
          <w:rStyle w:val="29"/>
          <w:rFonts w:hint="eastAsia" w:ascii="仿宋" w:hAnsi="仿宋" w:eastAsia="仿宋"/>
          <w:b w:val="0"/>
          <w:bCs w:val="0"/>
        </w:rPr>
        <w:t>十三、</w:t>
      </w:r>
      <w:bookmarkEnd w:id="103"/>
      <w:r>
        <w:rPr>
          <w:rStyle w:val="29"/>
          <w:rFonts w:hint="eastAsia" w:ascii="仿宋" w:hAnsi="仿宋" w:eastAsia="仿宋"/>
          <w:b w:val="0"/>
          <w:bCs w:val="0"/>
        </w:rPr>
        <w:t>财政拨款“三公”经费支出决算表</w:t>
      </w:r>
      <w:bookmarkEnd w:id="104"/>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EDB03">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21D9C58F">
                              <w:pPr>
                                <w:pStyle w:val="10"/>
                                <w:jc w:val="center"/>
                              </w:pPr>
                              <w:r>
                                <w:fldChar w:fldCharType="begin"/>
                              </w:r>
                              <w:r>
                                <w:instrText xml:space="preserve">PAGE   \* MERGEFORMAT</w:instrText>
                              </w:r>
                              <w:r>
                                <w:fldChar w:fldCharType="separate"/>
                              </w:r>
                              <w:r>
                                <w:rPr>
                                  <w:lang w:val="zh-CN"/>
                                </w:rPr>
                                <w:t>15</w:t>
                              </w:r>
                              <w:r>
                                <w:fldChar w:fldCharType="end"/>
                              </w:r>
                            </w:p>
                          </w:sdtContent>
                        </w:sdt>
                        <w:p w14:paraId="14E47414">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sdt>
                    <w:sdtPr>
                      <w:id w:val="-1994781956"/>
                    </w:sdtPr>
                    <w:sdtContent>
                      <w:p w14:paraId="21D9C58F">
                        <w:pPr>
                          <w:pStyle w:val="10"/>
                          <w:jc w:val="center"/>
                        </w:pPr>
                        <w:r>
                          <w:fldChar w:fldCharType="begin"/>
                        </w:r>
                        <w:r>
                          <w:instrText xml:space="preserve">PAGE   \* MERGEFORMAT</w:instrText>
                        </w:r>
                        <w:r>
                          <w:fldChar w:fldCharType="separate"/>
                        </w:r>
                        <w:r>
                          <w:rPr>
                            <w:lang w:val="zh-CN"/>
                          </w:rPr>
                          <w:t>15</w:t>
                        </w:r>
                        <w:r>
                          <w:fldChar w:fldCharType="end"/>
                        </w:r>
                      </w:p>
                    </w:sdtContent>
                  </w:sdt>
                  <w:p w14:paraId="14E47414">
                    <w:pPr>
                      <w:pStyle w:val="2"/>
                    </w:pPr>
                  </w:p>
                </w:txbxContent>
              </v:textbox>
            </v:shape>
          </w:pict>
        </mc:Fallback>
      </mc:AlternateContent>
    </w:r>
  </w:p>
  <w:p w14:paraId="3E4A5F22">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B9A5B">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B653B7">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0B653B7">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3128F">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xYmIxOGQyMmFkYzIxMGJmYTcyYWQyNzc5MmRhZDE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DC2831"/>
    <w:rsid w:val="081B5E94"/>
    <w:rsid w:val="0A2032A3"/>
    <w:rsid w:val="0B8A37D8"/>
    <w:rsid w:val="0F5FFB2F"/>
    <w:rsid w:val="0FFFCF60"/>
    <w:rsid w:val="10C055FF"/>
    <w:rsid w:val="118107EC"/>
    <w:rsid w:val="11DD6519"/>
    <w:rsid w:val="16BB723D"/>
    <w:rsid w:val="18015F3F"/>
    <w:rsid w:val="19721448"/>
    <w:rsid w:val="1BE8440E"/>
    <w:rsid w:val="1D155CEE"/>
    <w:rsid w:val="1FDBBF84"/>
    <w:rsid w:val="20EE5D3B"/>
    <w:rsid w:val="20F57F95"/>
    <w:rsid w:val="240371BF"/>
    <w:rsid w:val="25711CC6"/>
    <w:rsid w:val="25C741E6"/>
    <w:rsid w:val="276F80C0"/>
    <w:rsid w:val="27842671"/>
    <w:rsid w:val="29FD04D3"/>
    <w:rsid w:val="2ABE7A3E"/>
    <w:rsid w:val="2AFF09B6"/>
    <w:rsid w:val="2CA234A8"/>
    <w:rsid w:val="2EFA178C"/>
    <w:rsid w:val="2EFDF86C"/>
    <w:rsid w:val="2F2740D0"/>
    <w:rsid w:val="2F9D17E1"/>
    <w:rsid w:val="30B46D73"/>
    <w:rsid w:val="319F7F4E"/>
    <w:rsid w:val="356A28F1"/>
    <w:rsid w:val="357C035A"/>
    <w:rsid w:val="368D31C0"/>
    <w:rsid w:val="368E000D"/>
    <w:rsid w:val="383D272C"/>
    <w:rsid w:val="39AE70AB"/>
    <w:rsid w:val="3A4DCE41"/>
    <w:rsid w:val="3BCB56FA"/>
    <w:rsid w:val="3C0C0783"/>
    <w:rsid w:val="3EE7C2F4"/>
    <w:rsid w:val="3F371B56"/>
    <w:rsid w:val="3F792ED8"/>
    <w:rsid w:val="3F9F3A96"/>
    <w:rsid w:val="3FECA4B2"/>
    <w:rsid w:val="3FF58C48"/>
    <w:rsid w:val="42FF6694"/>
    <w:rsid w:val="43891A54"/>
    <w:rsid w:val="439005D2"/>
    <w:rsid w:val="48BF60AB"/>
    <w:rsid w:val="493C27E9"/>
    <w:rsid w:val="496F39ED"/>
    <w:rsid w:val="49FF41D3"/>
    <w:rsid w:val="4A910961"/>
    <w:rsid w:val="4BE068DB"/>
    <w:rsid w:val="4BF6002B"/>
    <w:rsid w:val="4BFFC6BE"/>
    <w:rsid w:val="4ECE2238"/>
    <w:rsid w:val="517A1661"/>
    <w:rsid w:val="51DB4B86"/>
    <w:rsid w:val="51F64DB0"/>
    <w:rsid w:val="523472BE"/>
    <w:rsid w:val="54F862A9"/>
    <w:rsid w:val="55333C3E"/>
    <w:rsid w:val="5EF317AF"/>
    <w:rsid w:val="5F67802D"/>
    <w:rsid w:val="5F7DC4F2"/>
    <w:rsid w:val="5FB36814"/>
    <w:rsid w:val="5FBB8E56"/>
    <w:rsid w:val="5FFB5535"/>
    <w:rsid w:val="61DB589C"/>
    <w:rsid w:val="64CA39A1"/>
    <w:rsid w:val="69630ADE"/>
    <w:rsid w:val="69BD5F13"/>
    <w:rsid w:val="69FB0B4B"/>
    <w:rsid w:val="6BFFE1FB"/>
    <w:rsid w:val="6C4A05C8"/>
    <w:rsid w:val="6D3B1A89"/>
    <w:rsid w:val="6DB7D8A3"/>
    <w:rsid w:val="6EC78701"/>
    <w:rsid w:val="6F7A5481"/>
    <w:rsid w:val="6FFE07A9"/>
    <w:rsid w:val="71BF4EC2"/>
    <w:rsid w:val="72734D90"/>
    <w:rsid w:val="73E75B71"/>
    <w:rsid w:val="7412278C"/>
    <w:rsid w:val="75DDCDA9"/>
    <w:rsid w:val="75FF44B1"/>
    <w:rsid w:val="77670518"/>
    <w:rsid w:val="777FA627"/>
    <w:rsid w:val="77DF1B5F"/>
    <w:rsid w:val="77EF2D9D"/>
    <w:rsid w:val="79E7B28D"/>
    <w:rsid w:val="7ACFF0C2"/>
    <w:rsid w:val="7AFB9108"/>
    <w:rsid w:val="7BD5340C"/>
    <w:rsid w:val="7BFB19D2"/>
    <w:rsid w:val="7BFD1750"/>
    <w:rsid w:val="7BFDAA1B"/>
    <w:rsid w:val="7CDF9A82"/>
    <w:rsid w:val="7CFFA1B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styleId="6">
    <w:name w:val="Body Text"/>
    <w:basedOn w:val="1"/>
    <w:link w:val="25"/>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5">
    <w:name w:val="Body Text First Indent 2"/>
    <w:basedOn w:val="7"/>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Header Char"/>
    <w:basedOn w:val="17"/>
    <w:semiHidden/>
    <w:qFormat/>
    <w:uiPriority w:val="99"/>
    <w:rPr>
      <w:rFonts w:ascii="Times New Roman" w:hAnsi="Times New Roman"/>
      <w:sz w:val="18"/>
      <w:szCs w:val="18"/>
    </w:rPr>
  </w:style>
  <w:style w:type="character" w:customStyle="1" w:styleId="21">
    <w:name w:val="页眉 字符"/>
    <w:link w:val="11"/>
    <w:semiHidden/>
    <w:qFormat/>
    <w:locked/>
    <w:uiPriority w:val="99"/>
    <w:rPr>
      <w:sz w:val="18"/>
    </w:rPr>
  </w:style>
  <w:style w:type="character" w:customStyle="1" w:styleId="22">
    <w:name w:val="Footer Char"/>
    <w:basedOn w:val="17"/>
    <w:semiHidden/>
    <w:qFormat/>
    <w:uiPriority w:val="99"/>
    <w:rPr>
      <w:rFonts w:ascii="Times New Roman" w:hAnsi="Times New Roman"/>
      <w:sz w:val="18"/>
      <w:szCs w:val="18"/>
    </w:rPr>
  </w:style>
  <w:style w:type="character" w:customStyle="1" w:styleId="23">
    <w:name w:val="页脚 字符"/>
    <w:link w:val="10"/>
    <w:qFormat/>
    <w:locked/>
    <w:uiPriority w:val="99"/>
    <w:rPr>
      <w:sz w:val="18"/>
    </w:rPr>
  </w:style>
  <w:style w:type="character" w:customStyle="1" w:styleId="24">
    <w:name w:val="Body Text Char"/>
    <w:basedOn w:val="17"/>
    <w:semiHidden/>
    <w:qFormat/>
    <w:uiPriority w:val="99"/>
    <w:rPr>
      <w:rFonts w:ascii="Times New Roman" w:hAnsi="Times New Roman"/>
      <w:szCs w:val="24"/>
    </w:rPr>
  </w:style>
  <w:style w:type="character" w:customStyle="1" w:styleId="25">
    <w:name w:val="正文文本 字符"/>
    <w:link w:val="6"/>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7"/>
    <w:link w:val="3"/>
    <w:qFormat/>
    <w:uiPriority w:val="9"/>
    <w:rPr>
      <w:rFonts w:ascii="Times New Roman" w:hAnsi="Times New Roman"/>
      <w:b/>
      <w:bCs/>
      <w:kern w:val="44"/>
      <w:sz w:val="44"/>
      <w:szCs w:val="44"/>
    </w:rPr>
  </w:style>
  <w:style w:type="character" w:customStyle="1" w:styleId="29">
    <w:name w:val="标题 2 字符"/>
    <w:basedOn w:val="17"/>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7"/>
    <w:link w:val="9"/>
    <w:semiHidden/>
    <w:qFormat/>
    <w:uiPriority w:val="99"/>
    <w:rPr>
      <w:rFonts w:ascii="Times New Roman" w:hAnsi="Times New Roman"/>
      <w:kern w:val="2"/>
      <w:sz w:val="18"/>
      <w:szCs w:val="18"/>
    </w:rPr>
  </w:style>
  <w:style w:type="character" w:customStyle="1" w:styleId="32">
    <w:name w:val="标题 3 字符"/>
    <w:basedOn w:val="17"/>
    <w:link w:val="5"/>
    <w:qFormat/>
    <w:uiPriority w:val="9"/>
    <w:rPr>
      <w:rFonts w:ascii="Times New Roman" w:hAnsi="Times New Roman"/>
      <w:b/>
      <w:bCs/>
      <w:kern w:val="2"/>
      <w:sz w:val="32"/>
      <w:szCs w:val="32"/>
    </w:rPr>
  </w:style>
  <w:style w:type="paragraph" w:customStyle="1" w:styleId="33">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font51"/>
    <w:basedOn w:val="17"/>
    <w:qFormat/>
    <w:uiPriority w:val="0"/>
    <w:rPr>
      <w:rFonts w:hint="eastAsia" w:ascii="黑体" w:hAnsi="黑体" w:eastAsia="黑体" w:cs="黑体"/>
      <w:color w:val="000000"/>
      <w:sz w:val="18"/>
      <w:szCs w:val="18"/>
      <w:u w:val="none"/>
    </w:rPr>
  </w:style>
  <w:style w:type="character" w:customStyle="1" w:styleId="35">
    <w:name w:val="font121"/>
    <w:basedOn w:val="17"/>
    <w:qFormat/>
    <w:uiPriority w:val="0"/>
    <w:rPr>
      <w:rFonts w:ascii="Arial" w:hAnsi="Arial" w:cs="Arial"/>
      <w:color w:val="000000"/>
      <w:sz w:val="18"/>
      <w:szCs w:val="18"/>
      <w:u w:val="none"/>
    </w:rPr>
  </w:style>
  <w:style w:type="paragraph" w:customStyle="1" w:styleId="36">
    <w:name w:val="WPSOffice手动目录 1"/>
    <w:qFormat/>
    <w:uiPriority w:val="0"/>
    <w:pPr>
      <w:ind w:leftChars="0"/>
    </w:pPr>
    <w:rPr>
      <w:rFonts w:ascii="Times New Roman" w:hAnsi="Times New Roman" w:eastAsia="宋体" w:cs="Times New Roman"/>
      <w:sz w:val="20"/>
      <w:szCs w:val="20"/>
    </w:rPr>
  </w:style>
  <w:style w:type="paragraph" w:customStyle="1" w:styleId="37">
    <w:name w:val="WPSOffice手动目录 2"/>
    <w:qFormat/>
    <w:uiPriority w:val="0"/>
    <w:pPr>
      <w:ind w:leftChars="200"/>
    </w:pPr>
    <w:rPr>
      <w:rFonts w:ascii="Times New Roman" w:hAnsi="Times New Roman" w:eastAsia="宋体" w:cs="Times New Roman"/>
      <w:sz w:val="20"/>
      <w:szCs w:val="20"/>
    </w:rPr>
  </w:style>
  <w:style w:type="paragraph" w:customStyle="1" w:styleId="38">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J:\&#20915;&#31639;&#20844;&#24320;\&#34920;&#2668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J:\&#20915;&#31639;&#20844;&#24320;\&#34920;&#2668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J:\&#20915;&#31639;&#20844;&#24320;\&#34920;&#26684;.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J:\&#20915;&#31639;&#20844;&#24320;\&#34920;&#26684;.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J:\&#20915;&#31639;&#20844;&#24320;\&#34920;&#26684;.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J:\&#20915;&#31639;&#20844;&#24320;\&#34920;&#2668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[表格.xlsx]Sheet1!$A$1:$D$3</c:f>
              <c:multiLvlStrCache>
                <c:ptCount val="4"/>
                <c:lvl>
                  <c:pt idx="0">
                    <c:v>收入（万元）</c:v>
                  </c:pt>
                  <c:pt idx="1">
                    <c:v>支出（万元）</c:v>
                  </c:pt>
                  <c:pt idx="2">
                    <c:v>收入（万元）</c:v>
                  </c:pt>
                  <c:pt idx="3">
                    <c:v>支出（万元）</c:v>
                  </c:pt>
                </c:lvl>
                <c:lvl>
                  <c:pt idx="0">
                    <c:v>2023年</c:v>
                  </c:pt>
                  <c:pt idx="2">
                    <c:v>2022年</c:v>
                  </c:pt>
                </c:lvl>
                <c:lvl>
                  <c:pt idx="0">
                    <c:v>镇江关镇中心卫生院收、支决算总计变动表</c:v>
                  </c:pt>
                </c:lvl>
              </c:multiLvlStrCache>
            </c:multiLvlStrRef>
          </c:cat>
          <c:val>
            <c:numRef>
              <c:f>[表格.xlsx]Sheet1!$A$4:$D$4</c:f>
              <c:numCache>
                <c:formatCode>General</c:formatCode>
                <c:ptCount val="4"/>
                <c:pt idx="0">
                  <c:v>343.27</c:v>
                </c:pt>
                <c:pt idx="1">
                  <c:v>343.27</c:v>
                </c:pt>
                <c:pt idx="2">
                  <c:v>270.76</c:v>
                </c:pt>
                <c:pt idx="3">
                  <c:v>270.76</c:v>
                </c:pt>
              </c:numCache>
            </c:numRef>
          </c:val>
        </c:ser>
        <c:dLbls>
          <c:showLegendKey val="0"/>
          <c:showVal val="1"/>
          <c:showCatName val="0"/>
          <c:showSerName val="0"/>
          <c:showPercent val="0"/>
          <c:showBubbleSize val="0"/>
        </c:dLbls>
        <c:gapWidth val="75"/>
        <c:overlap val="40"/>
        <c:axId val="487621753"/>
        <c:axId val="714887441"/>
      </c:barChart>
      <c:catAx>
        <c:axId val="48762175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14887441"/>
        <c:crosses val="autoZero"/>
        <c:auto val="1"/>
        <c:lblAlgn val="ctr"/>
        <c:lblOffset val="100"/>
        <c:noMultiLvlLbl val="0"/>
      </c:catAx>
      <c:valAx>
        <c:axId val="71488744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87621753"/>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镇江关镇中心卫生院收入决算结构图</a:t>
            </a:r>
          </a:p>
        </c:rich>
      </c:tx>
      <c:layout/>
      <c:overlay val="0"/>
      <c:spPr>
        <a:noFill/>
        <a:ln>
          <a:noFill/>
        </a:ln>
        <a:effectLst/>
      </c:spPr>
    </c:title>
    <c:autoTitleDeleted val="0"/>
    <c:plotArea>
      <c:layout/>
      <c:pieChart>
        <c:varyColors val="1"/>
        <c:ser>
          <c:idx val="0"/>
          <c:order val="0"/>
          <c:spPr/>
          <c:explosion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[表格.xlsx]Sheet1!$I$1:$J$3</c:f>
              <c:multiLvlStrCache>
                <c:ptCount val="3"/>
                <c:lvl>
                  <c:pt idx="1">
                    <c:v>329.69（万元）</c:v>
                  </c:pt>
                  <c:pt idx="2">
                    <c:v>13.59（万元）</c:v>
                  </c:pt>
                </c:lvl>
                <c:lvl>
                  <c:pt idx="0">
                    <c:v>镇江关镇中心卫生院收入决算结构图</c:v>
                  </c:pt>
                  <c:pt idx="1">
                    <c:v>一般公共预算财政拨款</c:v>
                  </c:pt>
                  <c:pt idx="2">
                    <c:v>事业收入</c:v>
                  </c:pt>
                </c:lvl>
              </c:multiLvlStrCache>
            </c:multiLvlStrRef>
          </c:cat>
          <c:val>
            <c:numRef>
              <c:f>[表格.xlsx]Sheet1!$K$1:$K$3</c:f>
              <c:numCache>
                <c:formatCode>General</c:formatCode>
                <c:ptCount val="3"/>
                <c:pt idx="1" c:formatCode="0.00%">
                  <c:v>0.9733</c:v>
                </c:pt>
                <c:pt idx="2" c:formatCode="0.00%">
                  <c:v>0.0266</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multiLvlStrRef>
              <c:f>[表格.xlsx]Sheet1!$A$46:$D$48</c:f>
              <c:multiLvlStrCache>
                <c:ptCount val="4"/>
                <c:lvl>
                  <c:pt idx="0">
                    <c:v>收入（万元）</c:v>
                  </c:pt>
                  <c:pt idx="1">
                    <c:v>支出（万元）</c:v>
                  </c:pt>
                  <c:pt idx="2">
                    <c:v>收入（万元）</c:v>
                  </c:pt>
                  <c:pt idx="3">
                    <c:v>支出（万元）</c:v>
                  </c:pt>
                </c:lvl>
                <c:lvl>
                  <c:pt idx="0">
                    <c:v>2023年</c:v>
                  </c:pt>
                  <c:pt idx="2">
                    <c:v>2022年</c:v>
                  </c:pt>
                </c:lvl>
                <c:lvl>
                  <c:pt idx="0">
                    <c:v>镇江关镇中心卫生院财政拨款收、支决算总计变动情况</c:v>
                  </c:pt>
                </c:lvl>
              </c:multiLvlStrCache>
            </c:multiLvlStrRef>
          </c:cat>
          <c:val>
            <c:numRef>
              <c:f>[表格.xlsx]Sheet1!$A$49:$D$49</c:f>
              <c:numCache>
                <c:formatCode>General</c:formatCode>
                <c:ptCount val="4"/>
                <c:pt idx="0">
                  <c:v>329.69</c:v>
                </c:pt>
                <c:pt idx="1">
                  <c:v>329.69</c:v>
                </c:pt>
                <c:pt idx="2">
                  <c:v>270.76</c:v>
                </c:pt>
                <c:pt idx="3">
                  <c:v>270.76</c:v>
                </c:pt>
              </c:numCache>
            </c:numRef>
          </c:val>
        </c:ser>
        <c:dLbls>
          <c:showLegendKey val="0"/>
          <c:showVal val="0"/>
          <c:showCatName val="0"/>
          <c:showSerName val="0"/>
          <c:showPercent val="0"/>
          <c:showBubbleSize val="0"/>
        </c:dLbls>
        <c:gapWidth val="219"/>
        <c:overlap val="-27"/>
        <c:axId val="850762926"/>
        <c:axId val="641625878"/>
      </c:barChart>
      <c:catAx>
        <c:axId val="85076292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41625878"/>
        <c:crosses val="autoZero"/>
        <c:auto val="1"/>
        <c:lblAlgn val="ctr"/>
        <c:lblOffset val="100"/>
        <c:noMultiLvlLbl val="0"/>
      </c:catAx>
      <c:valAx>
        <c:axId val="64162587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5076292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一般公共预算财政拨款支出决算变动情况</a:t>
            </a:r>
          </a:p>
        </c:rich>
      </c:tx>
      <c:layout>
        <c:manualLayout>
          <c:xMode val="edge"/>
          <c:yMode val="edge"/>
          <c:x val="0.153194444444444"/>
          <c:y val="0.0277777777777778"/>
        </c:manualLayout>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multiLvlStrRef>
              <c:f>[表格.xlsx]Sheet1!$H$46:$I$48</c:f>
              <c:multiLvlStrCache>
                <c:ptCount val="2"/>
                <c:lvl>
                  <c:pt idx="0">
                    <c:v>一般公共预算财政拨款（万元）</c:v>
                  </c:pt>
                  <c:pt idx="1">
                    <c:v>一般公共预算财政拨款（万元）</c:v>
                  </c:pt>
                </c:lvl>
                <c:lvl>
                  <c:pt idx="0">
                    <c:v>2023年</c:v>
                  </c:pt>
                  <c:pt idx="1">
                    <c:v>2022年</c:v>
                  </c:pt>
                </c:lvl>
                <c:lvl>
                  <c:pt idx="0">
                    <c:v>一般公共预算财政拨款支出决算变动情况</c:v>
                  </c:pt>
                </c:lvl>
              </c:multiLvlStrCache>
            </c:multiLvlStrRef>
          </c:cat>
          <c:val>
            <c:numRef>
              <c:f>[表格.xlsx]Sheet1!$H$49:$I$49</c:f>
              <c:numCache>
                <c:formatCode>General</c:formatCode>
                <c:ptCount val="2"/>
                <c:pt idx="0">
                  <c:v>329.69</c:v>
                </c:pt>
                <c:pt idx="1">
                  <c:v>270.76</c:v>
                </c:pt>
              </c:numCache>
            </c:numRef>
          </c:val>
        </c:ser>
        <c:dLbls>
          <c:showLegendKey val="0"/>
          <c:showVal val="0"/>
          <c:showCatName val="0"/>
          <c:showSerName val="0"/>
          <c:showPercent val="0"/>
          <c:showBubbleSize val="0"/>
        </c:dLbls>
        <c:gapWidth val="219"/>
        <c:overlap val="-27"/>
        <c:axId val="496180730"/>
        <c:axId val="348265706"/>
      </c:barChart>
      <c:catAx>
        <c:axId val="49618073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8265706"/>
        <c:crosses val="autoZero"/>
        <c:auto val="1"/>
        <c:lblAlgn val="ctr"/>
        <c:lblOffset val="100"/>
        <c:noMultiLvlLbl val="0"/>
      </c:catAx>
      <c:valAx>
        <c:axId val="34826570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9618073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镇江关镇中心卫生院一般公共预算财政拨款支出决算结构</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multiLvlStrRef>
              <c:f>[表格.xlsx]Sheet1!$A$69:$B$72</c:f>
              <c:multiLvlStrCache>
                <c:ptCount val="4"/>
                <c:lvl>
                  <c:pt idx="1">
                    <c:v>41.44（万元）</c:v>
                  </c:pt>
                  <c:pt idx="2">
                    <c:v>264.80（万元）</c:v>
                  </c:pt>
                  <c:pt idx="3">
                    <c:v>23.45（万元）</c:v>
                  </c:pt>
                </c:lvl>
                <c:lvl>
                  <c:pt idx="0">
                    <c:v>镇江关镇中心卫生院一般公共预算财政拨款支出决算结构</c:v>
                  </c:pt>
                  <c:pt idx="1">
                    <c:v>社会保障和就业支出</c:v>
                  </c:pt>
                  <c:pt idx="2">
                    <c:v>卫生健康支出</c:v>
                  </c:pt>
                  <c:pt idx="3">
                    <c:v>住房保障支出</c:v>
                  </c:pt>
                </c:lvl>
              </c:multiLvlStrCache>
            </c:multiLvlStrRef>
          </c:cat>
          <c:val>
            <c:numRef>
              <c:f>[表格.xlsx]Sheet1!$C$69:$C$72</c:f>
              <c:numCache>
                <c:formatCode>General</c:formatCode>
                <c:ptCount val="4"/>
                <c:pt idx="1" c:formatCode="0.00%">
                  <c:v>0.1257</c:v>
                </c:pt>
                <c:pt idx="2" c:formatCode="0.00%">
                  <c:v>0.8032</c:v>
                </c:pt>
                <c:pt idx="3" c:formatCode="0.00%">
                  <c:v>0.0711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镇江关镇中心卫生院“三公”经费财政拨款支出结构图</a:t>
            </a:r>
          </a:p>
        </c:rich>
      </c:tx>
      <c:layout>
        <c:manualLayout>
          <c:xMode val="edge"/>
          <c:yMode val="edge"/>
          <c:x val="0.114444444444444"/>
          <c:y val="0.0416666666666667"/>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multiLvlStrRef>
              <c:f>[表格.xlsx]Sheet1!$I$22:$J$25</c:f>
              <c:multiLvlStrCache>
                <c:ptCount val="4"/>
                <c:lvl>
                  <c:pt idx="1">
                    <c:v>0万元</c:v>
                  </c:pt>
                  <c:pt idx="2">
                    <c:v>0万元</c:v>
                  </c:pt>
                  <c:pt idx="3">
                    <c:v>0万元</c:v>
                  </c:pt>
                </c:lvl>
                <c:lvl>
                  <c:pt idx="0">
                    <c:v>镇江关镇中心卫生院“三公”经费财政拨款支出结构图</c:v>
                  </c:pt>
                  <c:pt idx="1">
                    <c:v>因公出国（境）费</c:v>
                  </c:pt>
                  <c:pt idx="2">
                    <c:v>公务用车购置及运行维护费</c:v>
                  </c:pt>
                  <c:pt idx="3">
                    <c:v>公务接待费</c:v>
                  </c:pt>
                </c:lvl>
              </c:multiLvlStrCache>
            </c:multiLvlStrRef>
          </c:cat>
          <c:val>
            <c:numRef>
              <c:f>[表格.xlsx]Sheet1!$K$22:$K$25</c:f>
              <c:numCache>
                <c:formatCode>General</c:formatCode>
                <c:ptCount val="4"/>
                <c:pt idx="1" c:formatCode="0%">
                  <c:v>0</c:v>
                </c:pt>
                <c:pt idx="2" c:formatCode="0%">
                  <c:v>0</c:v>
                </c:pt>
                <c:pt idx="3" c:formatCode="0%">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25</Pages>
  <Words>8130</Words>
  <Characters>9129</Characters>
  <Lines>54</Lines>
  <Paragraphs>15</Paragraphs>
  <TotalTime>4</TotalTime>
  <ScaleCrop>false</ScaleCrop>
  <LinksUpToDate>false</LinksUpToDate>
  <CharactersWithSpaces>9275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奕夕^_^</cp:lastModifiedBy>
  <cp:lastPrinted>2023-08-03T02:35:00Z</cp:lastPrinted>
  <dcterms:modified xsi:type="dcterms:W3CDTF">2024-09-23T08:53:59Z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FDFE171E69B141E39C2EDEE41FED84F1_12</vt:lpwstr>
  </property>
</Properties>
</file>