
<file path=[Content_Types].xml><?xml version="1.0" encoding="utf-8"?>
<Types xmlns="http://schemas.openxmlformats.org/package/2006/content-types">
  <Default Extension="xml" ContentType="application/xml"/>
  <Default Extension="xlsx" ContentType="application/vnd.openxmlformats-officedocument.spreadsheetml.sheet"/>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colors3.xml" ContentType="application/vnd.ms-office.chartcolorstyle+xml"/>
  <Override PartName="/word/charts/colors4.xml" ContentType="application/vnd.ms-office.chartcolorstyle+xml"/>
  <Override PartName="/word/charts/colors5.xml" ContentType="application/vnd.ms-office.chartcolorstyle+xml"/>
  <Override PartName="/word/charts/colors6.xml" ContentType="application/vnd.ms-office.chartcolorstyle+xml"/>
  <Override PartName="/word/charts/colors7.xml" ContentType="application/vnd.ms-office.chartcolorstyle+xml"/>
  <Override PartName="/word/charts/style1.xml" ContentType="application/vnd.ms-office.chartstyle+xml"/>
  <Override PartName="/word/charts/style2.xml" ContentType="application/vnd.ms-office.chartstyle+xml"/>
  <Override PartName="/word/charts/style3.xml" ContentType="application/vnd.ms-office.chartstyle+xml"/>
  <Override PartName="/word/charts/style4.xml" ContentType="application/vnd.ms-office.chartstyle+xml"/>
  <Override PartName="/word/charts/style5.xml" ContentType="application/vnd.ms-office.chartstyle+xml"/>
  <Override PartName="/word/charts/style6.xml" ContentType="application/vnd.ms-office.chartstyle+xml"/>
  <Override PartName="/word/charts/style7.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07D666B">
      <w:pPr>
        <w:spacing w:line="600" w:lineRule="exact"/>
        <w:jc w:val="left"/>
        <w:outlineLvl w:val="9"/>
        <w:rPr>
          <w:rFonts w:ascii="方正小标宋简体" w:hAnsi="宋体" w:eastAsia="方正小标宋简体"/>
          <w:szCs w:val="21"/>
        </w:rPr>
      </w:pPr>
      <w:bookmarkStart w:id="0" w:name="_Toc15306267"/>
    </w:p>
    <w:p w14:paraId="0D25B9D3">
      <w:pPr>
        <w:pStyle w:val="6"/>
        <w:spacing w:before="93"/>
      </w:pPr>
    </w:p>
    <w:p w14:paraId="17506A54">
      <w:pPr>
        <w:spacing w:line="600" w:lineRule="exact"/>
        <w:jc w:val="center"/>
        <w:outlineLvl w:val="9"/>
        <w:rPr>
          <w:rFonts w:ascii="方正小标宋简体" w:hAnsi="宋体" w:eastAsia="方正小标宋简体"/>
          <w:sz w:val="72"/>
          <w:szCs w:val="72"/>
        </w:rPr>
      </w:pPr>
    </w:p>
    <w:p w14:paraId="1B3200AA">
      <w:pPr>
        <w:spacing w:line="600" w:lineRule="exact"/>
        <w:jc w:val="center"/>
        <w:outlineLvl w:val="9"/>
        <w:rPr>
          <w:rFonts w:ascii="方正小标宋简体" w:hAnsi="宋体" w:eastAsia="方正小标宋简体"/>
          <w:sz w:val="72"/>
          <w:szCs w:val="72"/>
        </w:rPr>
      </w:pPr>
    </w:p>
    <w:p w14:paraId="40EC9A39">
      <w:pPr>
        <w:adjustRightInd w:val="0"/>
        <w:snapToGrid w:val="0"/>
        <w:spacing w:line="360" w:lineRule="auto"/>
        <w:jc w:val="center"/>
        <w:outlineLvl w:val="0"/>
        <w:rPr>
          <w:rFonts w:ascii="方正小标宋简体" w:hAnsi="方正小标宋简体" w:eastAsia="方正小标宋简体" w:cs="方正小标宋简体"/>
          <w:sz w:val="72"/>
          <w:szCs w:val="72"/>
        </w:rPr>
      </w:pPr>
      <w:bookmarkStart w:id="1" w:name="_Toc15378441"/>
      <w:bookmarkStart w:id="2" w:name="_Toc15377193"/>
      <w:bookmarkStart w:id="3" w:name="_Toc15396597"/>
      <w:bookmarkStart w:id="4" w:name="_Toc21472"/>
      <w:bookmarkStart w:id="5" w:name="_Toc18866"/>
      <w:bookmarkStart w:id="6" w:name="_Toc15377425"/>
      <w:bookmarkStart w:id="7" w:name="_Toc15396475"/>
      <w:r>
        <w:rPr>
          <w:rFonts w:hint="eastAsia" w:ascii="方正小标宋简体" w:hAnsi="方正小标宋简体" w:eastAsia="方正小标宋简体" w:cs="方正小标宋简体"/>
          <w:sz w:val="72"/>
          <w:szCs w:val="72"/>
        </w:rPr>
        <w:t>2023年度</w:t>
      </w:r>
      <w:bookmarkEnd w:id="1"/>
      <w:bookmarkEnd w:id="2"/>
      <w:bookmarkEnd w:id="3"/>
      <w:bookmarkEnd w:id="4"/>
      <w:bookmarkEnd w:id="5"/>
      <w:bookmarkEnd w:id="6"/>
      <w:bookmarkEnd w:id="7"/>
    </w:p>
    <w:p w14:paraId="6B7438A9">
      <w:pPr>
        <w:adjustRightInd w:val="0"/>
        <w:snapToGrid w:val="0"/>
        <w:spacing w:line="360" w:lineRule="auto"/>
        <w:jc w:val="center"/>
        <w:outlineLvl w:val="0"/>
        <w:rPr>
          <w:rFonts w:hint="eastAsia" w:ascii="方正小标宋简体" w:hAnsi="方正小标宋简体" w:eastAsia="方正小标宋简体" w:cs="方正小标宋简体"/>
          <w:sz w:val="72"/>
          <w:szCs w:val="72"/>
          <w:lang w:eastAsia="zh-CN"/>
        </w:rPr>
      </w:pPr>
      <w:bookmarkStart w:id="8" w:name="_Toc15377426"/>
      <w:bookmarkStart w:id="9" w:name="_Toc15396476"/>
      <w:bookmarkStart w:id="10" w:name="_Toc15377194"/>
      <w:bookmarkStart w:id="11" w:name="_Toc15396598"/>
      <w:bookmarkStart w:id="12" w:name="_Toc15378442"/>
      <w:bookmarkStart w:id="13" w:name="_Toc31234"/>
      <w:bookmarkStart w:id="14" w:name="_Toc20304"/>
      <w:r>
        <w:rPr>
          <w:rFonts w:hint="eastAsia" w:ascii="方正小标宋简体" w:hAnsi="方正小标宋简体" w:eastAsia="方正小标宋简体" w:cs="方正小标宋简体"/>
          <w:sz w:val="72"/>
          <w:szCs w:val="72"/>
        </w:rPr>
        <w:t>四川省</w:t>
      </w:r>
      <w:bookmarkEnd w:id="0"/>
      <w:bookmarkStart w:id="15" w:name="_Toc15306268"/>
      <w:r>
        <w:rPr>
          <w:rFonts w:hint="eastAsia" w:ascii="方正小标宋简体" w:hAnsi="方正小标宋简体" w:eastAsia="方正小标宋简体" w:cs="方正小标宋简体"/>
          <w:sz w:val="72"/>
          <w:szCs w:val="72"/>
          <w:lang w:eastAsia="zh-CN"/>
        </w:rPr>
        <w:t>阿坝州松潘县疾病预防控制中心</w:t>
      </w:r>
      <w:r>
        <w:rPr>
          <w:rFonts w:hint="eastAsia" w:ascii="方正小标宋简体" w:hAnsi="方正小标宋简体" w:eastAsia="方正小标宋简体" w:cs="方正小标宋简体"/>
          <w:sz w:val="72"/>
          <w:szCs w:val="72"/>
        </w:rPr>
        <w:t>决算</w:t>
      </w:r>
      <w:bookmarkEnd w:id="8"/>
      <w:bookmarkEnd w:id="9"/>
      <w:bookmarkEnd w:id="10"/>
      <w:bookmarkEnd w:id="11"/>
      <w:bookmarkEnd w:id="12"/>
      <w:bookmarkEnd w:id="15"/>
      <w:r>
        <w:rPr>
          <w:rFonts w:hint="eastAsia" w:ascii="方正小标宋简体" w:hAnsi="方正小标宋简体" w:eastAsia="方正小标宋简体" w:cs="方正小标宋简体"/>
          <w:sz w:val="72"/>
          <w:szCs w:val="72"/>
          <w:lang w:eastAsia="zh-CN"/>
        </w:rPr>
        <w:t>公开</w:t>
      </w:r>
      <w:bookmarkEnd w:id="13"/>
      <w:bookmarkEnd w:id="14"/>
    </w:p>
    <w:p w14:paraId="4FA3D70A">
      <w:pPr>
        <w:widowControl/>
        <w:jc w:val="center"/>
        <w:rPr>
          <w:rFonts w:ascii="黑体" w:hAnsi="黑体" w:eastAsia="黑体"/>
          <w:sz w:val="48"/>
          <w:szCs w:val="48"/>
        </w:rPr>
      </w:pPr>
      <w:r>
        <w:rPr>
          <w:rFonts w:ascii="方正小标宋简体" w:hAnsi="宋体" w:eastAsia="方正小标宋简体"/>
          <w:sz w:val="36"/>
          <w:szCs w:val="36"/>
        </w:rPr>
        <w:br w:type="page"/>
      </w:r>
      <w:r>
        <w:rPr>
          <w:rFonts w:hint="eastAsia" w:ascii="黑体" w:hAnsi="黑体" w:eastAsia="黑体"/>
          <w:sz w:val="48"/>
          <w:szCs w:val="48"/>
        </w:rPr>
        <w:t>目</w:t>
      </w:r>
      <w:r>
        <w:rPr>
          <w:rFonts w:hint="eastAsia" w:ascii="黑体" w:hAnsi="黑体" w:eastAsia="黑体"/>
          <w:sz w:val="48"/>
          <w:szCs w:val="48"/>
          <w:lang w:val="en-US" w:eastAsia="zh-CN"/>
        </w:rPr>
        <w:t xml:space="preserve"> </w:t>
      </w:r>
      <w:r>
        <w:rPr>
          <w:rFonts w:hint="eastAsia" w:ascii="黑体" w:hAnsi="黑体" w:eastAsia="黑体"/>
          <w:sz w:val="48"/>
          <w:szCs w:val="48"/>
        </w:rPr>
        <w:t>录</w:t>
      </w:r>
    </w:p>
    <w:p w14:paraId="3F426D2B">
      <w:pPr>
        <w:widowControl/>
        <w:jc w:val="center"/>
        <w:rPr>
          <w:rFonts w:ascii="黑体" w:hAnsi="黑体" w:eastAsia="黑体" w:cstheme="minorBidi"/>
          <w:sz w:val="28"/>
          <w:szCs w:val="28"/>
        </w:rPr>
      </w:pPr>
    </w:p>
    <w:p w14:paraId="1EF9A3A9">
      <w:pPr>
        <w:pStyle w:val="13"/>
      </w:pPr>
      <w:r>
        <w:rPr>
          <w:rFonts w:hint="eastAsia"/>
        </w:rPr>
        <w:t>公开时间：202</w:t>
      </w:r>
      <w:r>
        <w:rPr>
          <w:rFonts w:hint="eastAsia"/>
          <w:lang w:val="en-US" w:eastAsia="zh-CN"/>
        </w:rPr>
        <w:t>4</w:t>
      </w:r>
      <w:r>
        <w:rPr>
          <w:rFonts w:hint="eastAsia"/>
        </w:rPr>
        <w:t>年9月</w:t>
      </w:r>
      <w:r>
        <w:rPr>
          <w:rFonts w:hint="eastAsia"/>
          <w:lang w:val="en-US" w:eastAsia="zh-CN"/>
        </w:rPr>
        <w:t>19</w:t>
      </w:r>
      <w:r>
        <w:rPr>
          <w:rFonts w:hint="eastAsia"/>
        </w:rPr>
        <w:t>日</w:t>
      </w:r>
    </w:p>
    <w:p w14:paraId="7242F500"/>
    <w:sdt>
      <w:sdtPr>
        <w:rPr>
          <w:rFonts w:ascii="宋体" w:hAnsi="宋体" w:eastAsia="宋体" w:cs="Times New Roman"/>
          <w:kern w:val="2"/>
          <w:sz w:val="21"/>
          <w:szCs w:val="24"/>
          <w:lang w:val="en-US" w:eastAsia="zh-CN" w:bidi="ar-SA"/>
        </w:rPr>
        <w:id w:val="147471044"/>
        <w15:color w:val="DBDBDB"/>
        <w:docPartObj>
          <w:docPartGallery w:val="Table of Contents"/>
          <w:docPartUnique/>
        </w:docPartObj>
      </w:sdtPr>
      <w:sdtEndPr>
        <w:rPr>
          <w:rFonts w:ascii="宋体" w:hAnsi="宋体" w:eastAsia="宋体" w:cs="Times New Roman"/>
          <w:kern w:val="2"/>
          <w:sz w:val="21"/>
          <w:szCs w:val="24"/>
          <w:lang w:val="en-US" w:eastAsia="zh-CN" w:bidi="ar-SA"/>
        </w:rPr>
      </w:sdtEndPr>
      <w:sdtContent>
        <w:p w14:paraId="01D1DB80">
          <w:pPr>
            <w:spacing w:before="0" w:beforeLines="0" w:after="0" w:afterLines="0" w:line="240" w:lineRule="auto"/>
            <w:ind w:left="0" w:leftChars="0" w:right="0" w:rightChars="0" w:firstLine="0" w:firstLineChars="0"/>
            <w:jc w:val="center"/>
          </w:pPr>
        </w:p>
        <w:p w14:paraId="672EB4C8">
          <w:pPr>
            <w:pStyle w:val="13"/>
            <w:tabs>
              <w:tab w:val="right" w:leader="dot" w:pos="8306"/>
              <w:tab w:val="clear" w:pos="8296"/>
            </w:tabs>
          </w:pPr>
          <w:r>
            <w:fldChar w:fldCharType="begin"/>
          </w:r>
          <w:r>
            <w:instrText xml:space="preserve">TOC \o "1-3" \h \u </w:instrText>
          </w:r>
          <w:r>
            <w:fldChar w:fldCharType="separate"/>
          </w:r>
          <w:r>
            <w:fldChar w:fldCharType="begin"/>
          </w:r>
          <w:r>
            <w:instrText xml:space="preserve"> HYPERLINK \l _Toc25627 </w:instrText>
          </w:r>
          <w:r>
            <w:fldChar w:fldCharType="separate"/>
          </w:r>
          <w:r>
            <w:rPr>
              <w:rFonts w:hint="eastAsia" w:ascii="黑体" w:hAnsi="黑体" w:eastAsia="黑体"/>
            </w:rPr>
            <w:t>第一部分 单位</w:t>
          </w:r>
          <w:r>
            <w:rPr>
              <w:rFonts w:hint="eastAsia" w:ascii="黑体" w:hAnsi="黑体" w:eastAsia="黑体"/>
              <w:bCs w:val="0"/>
            </w:rPr>
            <w:t>概况</w:t>
          </w:r>
          <w:r>
            <w:tab/>
          </w:r>
          <w:r>
            <w:fldChar w:fldCharType="begin"/>
          </w:r>
          <w:r>
            <w:instrText xml:space="preserve"> PAGEREF _Toc25627 \h </w:instrText>
          </w:r>
          <w:r>
            <w:fldChar w:fldCharType="separate"/>
          </w:r>
          <w:r>
            <w:t>4</w:t>
          </w:r>
          <w:r>
            <w:fldChar w:fldCharType="end"/>
          </w:r>
          <w:r>
            <w:fldChar w:fldCharType="end"/>
          </w:r>
        </w:p>
        <w:p w14:paraId="6CC1A476">
          <w:pPr>
            <w:pStyle w:val="15"/>
            <w:tabs>
              <w:tab w:val="right" w:leader="dot" w:pos="8306"/>
              <w:tab w:val="clear" w:pos="8296"/>
            </w:tabs>
          </w:pPr>
          <w:r>
            <w:fldChar w:fldCharType="begin"/>
          </w:r>
          <w:r>
            <w:instrText xml:space="preserve"> HYPERLINK \l _Toc15713 </w:instrText>
          </w:r>
          <w:r>
            <w:fldChar w:fldCharType="separate"/>
          </w:r>
          <w:r>
            <w:rPr>
              <w:rFonts w:hint="eastAsia" w:ascii="黑体" w:hAnsi="黑体" w:eastAsia="黑体"/>
              <w:bCs w:val="0"/>
            </w:rPr>
            <w:t>一、 主要职责</w:t>
          </w:r>
          <w:r>
            <w:tab/>
          </w:r>
          <w:r>
            <w:fldChar w:fldCharType="begin"/>
          </w:r>
          <w:r>
            <w:instrText xml:space="preserve"> PAGEREF _Toc15713 \h </w:instrText>
          </w:r>
          <w:r>
            <w:fldChar w:fldCharType="separate"/>
          </w:r>
          <w:r>
            <w:t>4</w:t>
          </w:r>
          <w:r>
            <w:fldChar w:fldCharType="end"/>
          </w:r>
          <w:r>
            <w:fldChar w:fldCharType="end"/>
          </w:r>
        </w:p>
        <w:p w14:paraId="386616C6">
          <w:pPr>
            <w:pStyle w:val="15"/>
            <w:tabs>
              <w:tab w:val="right" w:leader="dot" w:pos="8306"/>
              <w:tab w:val="clear" w:pos="8296"/>
            </w:tabs>
          </w:pPr>
          <w:r>
            <w:fldChar w:fldCharType="begin"/>
          </w:r>
          <w:r>
            <w:instrText xml:space="preserve"> HYPERLINK \l _Toc18178 </w:instrText>
          </w:r>
          <w:r>
            <w:fldChar w:fldCharType="separate"/>
          </w:r>
          <w:r>
            <w:rPr>
              <w:rFonts w:hint="eastAsia" w:ascii="黑体" w:hAnsi="黑体" w:eastAsia="黑体"/>
            </w:rPr>
            <w:t>二、 机构设置</w:t>
          </w:r>
          <w:r>
            <w:tab/>
          </w:r>
          <w:r>
            <w:fldChar w:fldCharType="begin"/>
          </w:r>
          <w:r>
            <w:instrText xml:space="preserve"> PAGEREF _Toc18178 \h </w:instrText>
          </w:r>
          <w:r>
            <w:fldChar w:fldCharType="separate"/>
          </w:r>
          <w:r>
            <w:t>11</w:t>
          </w:r>
          <w:r>
            <w:fldChar w:fldCharType="end"/>
          </w:r>
          <w:r>
            <w:fldChar w:fldCharType="end"/>
          </w:r>
        </w:p>
        <w:p w14:paraId="75E0AE9E">
          <w:pPr>
            <w:pStyle w:val="13"/>
            <w:tabs>
              <w:tab w:val="right" w:leader="dot" w:pos="8306"/>
              <w:tab w:val="clear" w:pos="8296"/>
            </w:tabs>
          </w:pPr>
          <w:r>
            <w:fldChar w:fldCharType="begin"/>
          </w:r>
          <w:r>
            <w:instrText xml:space="preserve"> HYPERLINK \l _Toc26734 </w:instrText>
          </w:r>
          <w:r>
            <w:fldChar w:fldCharType="separate"/>
          </w:r>
          <w:r>
            <w:rPr>
              <w:rFonts w:hint="eastAsia" w:ascii="黑体" w:hAnsi="黑体" w:eastAsia="黑体"/>
            </w:rPr>
            <w:t>第二部分 2023年度</w:t>
          </w:r>
          <w:r>
            <w:rPr>
              <w:rFonts w:hint="eastAsia" w:ascii="黑体" w:hAnsi="黑体" w:eastAsia="黑体"/>
              <w:bCs/>
            </w:rPr>
            <w:t>单位决算情况说明</w:t>
          </w:r>
          <w:r>
            <w:tab/>
          </w:r>
          <w:r>
            <w:fldChar w:fldCharType="begin"/>
          </w:r>
          <w:r>
            <w:instrText xml:space="preserve"> PAGEREF _Toc26734 \h </w:instrText>
          </w:r>
          <w:r>
            <w:fldChar w:fldCharType="separate"/>
          </w:r>
          <w:r>
            <w:t>15</w:t>
          </w:r>
          <w:r>
            <w:fldChar w:fldCharType="end"/>
          </w:r>
          <w:r>
            <w:fldChar w:fldCharType="end"/>
          </w:r>
        </w:p>
        <w:p w14:paraId="38E054F0">
          <w:pPr>
            <w:pStyle w:val="15"/>
            <w:tabs>
              <w:tab w:val="right" w:leader="dot" w:pos="8306"/>
              <w:tab w:val="clear" w:pos="8296"/>
            </w:tabs>
          </w:pPr>
          <w:r>
            <w:fldChar w:fldCharType="begin"/>
          </w:r>
          <w:r>
            <w:instrText xml:space="preserve"> HYPERLINK \l _Toc30645 </w:instrText>
          </w:r>
          <w:r>
            <w:fldChar w:fldCharType="separate"/>
          </w:r>
          <w:r>
            <w:rPr>
              <w:rFonts w:hint="default" w:ascii="黑体" w:hAnsi="黑体" w:eastAsia="黑体"/>
            </w:rPr>
            <w:t xml:space="preserve">一、 </w:t>
          </w:r>
          <w:r>
            <w:rPr>
              <w:rFonts w:hint="eastAsia" w:ascii="黑体" w:hAnsi="黑体" w:eastAsia="黑体"/>
              <w:szCs w:val="32"/>
            </w:rPr>
            <w:t>收</w:t>
          </w:r>
          <w:r>
            <w:rPr>
              <w:rFonts w:hint="eastAsia" w:ascii="黑体" w:hAnsi="黑体" w:eastAsia="黑体"/>
            </w:rPr>
            <w:t>入支出决算总体情况说明</w:t>
          </w:r>
          <w:r>
            <w:tab/>
          </w:r>
          <w:r>
            <w:fldChar w:fldCharType="begin"/>
          </w:r>
          <w:r>
            <w:instrText xml:space="preserve"> PAGEREF _Toc30645 \h </w:instrText>
          </w:r>
          <w:r>
            <w:fldChar w:fldCharType="separate"/>
          </w:r>
          <w:r>
            <w:t>15</w:t>
          </w:r>
          <w:r>
            <w:fldChar w:fldCharType="end"/>
          </w:r>
          <w:r>
            <w:fldChar w:fldCharType="end"/>
          </w:r>
        </w:p>
        <w:p w14:paraId="726E3311">
          <w:pPr>
            <w:pStyle w:val="15"/>
            <w:tabs>
              <w:tab w:val="right" w:leader="dot" w:pos="8306"/>
              <w:tab w:val="clear" w:pos="8296"/>
            </w:tabs>
          </w:pPr>
          <w:r>
            <w:fldChar w:fldCharType="begin"/>
          </w:r>
          <w:r>
            <w:instrText xml:space="preserve"> HYPERLINK \l _Toc28717 </w:instrText>
          </w:r>
          <w:r>
            <w:fldChar w:fldCharType="separate"/>
          </w:r>
          <w:r>
            <w:rPr>
              <w:rFonts w:hint="default" w:ascii="黑体" w:hAnsi="黑体" w:eastAsia="黑体"/>
            </w:rPr>
            <w:t xml:space="preserve">二、 </w:t>
          </w:r>
          <w:r>
            <w:rPr>
              <w:rFonts w:hint="eastAsia" w:ascii="黑体" w:hAnsi="黑体" w:eastAsia="黑体"/>
              <w:szCs w:val="32"/>
            </w:rPr>
            <w:t>收</w:t>
          </w:r>
          <w:r>
            <w:rPr>
              <w:rFonts w:hint="eastAsia" w:ascii="黑体" w:hAnsi="黑体" w:eastAsia="黑体"/>
            </w:rPr>
            <w:t>入决算情况说明</w:t>
          </w:r>
          <w:r>
            <w:tab/>
          </w:r>
          <w:r>
            <w:fldChar w:fldCharType="begin"/>
          </w:r>
          <w:r>
            <w:instrText xml:space="preserve"> PAGEREF _Toc28717 \h </w:instrText>
          </w:r>
          <w:r>
            <w:fldChar w:fldCharType="separate"/>
          </w:r>
          <w:r>
            <w:t>15</w:t>
          </w:r>
          <w:r>
            <w:fldChar w:fldCharType="end"/>
          </w:r>
          <w:r>
            <w:fldChar w:fldCharType="end"/>
          </w:r>
        </w:p>
        <w:p w14:paraId="3BEFA531">
          <w:pPr>
            <w:pStyle w:val="15"/>
            <w:tabs>
              <w:tab w:val="right" w:leader="dot" w:pos="8306"/>
              <w:tab w:val="clear" w:pos="8296"/>
            </w:tabs>
          </w:pPr>
          <w:r>
            <w:fldChar w:fldCharType="begin"/>
          </w:r>
          <w:r>
            <w:instrText xml:space="preserve"> HYPERLINK \l _Toc27899 </w:instrText>
          </w:r>
          <w:r>
            <w:fldChar w:fldCharType="separate"/>
          </w:r>
          <w:r>
            <w:rPr>
              <w:rFonts w:hint="eastAsia" w:ascii="黑体" w:hAnsi="黑体" w:eastAsia="黑体"/>
              <w:szCs w:val="32"/>
            </w:rPr>
            <w:t>五、一</w:t>
          </w:r>
          <w:r>
            <w:rPr>
              <w:rFonts w:hint="eastAsia" w:ascii="黑体" w:hAnsi="黑体" w:eastAsia="黑体"/>
            </w:rPr>
            <w:t>般公共预算财政拨款支出决算情况说明</w:t>
          </w:r>
          <w:r>
            <w:tab/>
          </w:r>
          <w:r>
            <w:fldChar w:fldCharType="begin"/>
          </w:r>
          <w:r>
            <w:instrText xml:space="preserve"> PAGEREF _Toc27899 \h </w:instrText>
          </w:r>
          <w:r>
            <w:fldChar w:fldCharType="separate"/>
          </w:r>
          <w:r>
            <w:t>17</w:t>
          </w:r>
          <w:r>
            <w:fldChar w:fldCharType="end"/>
          </w:r>
          <w:r>
            <w:fldChar w:fldCharType="end"/>
          </w:r>
        </w:p>
        <w:p w14:paraId="0B674FF0">
          <w:pPr>
            <w:pStyle w:val="15"/>
            <w:tabs>
              <w:tab w:val="right" w:leader="dot" w:pos="8306"/>
              <w:tab w:val="clear" w:pos="8296"/>
            </w:tabs>
          </w:pPr>
          <w:r>
            <w:fldChar w:fldCharType="begin"/>
          </w:r>
          <w:r>
            <w:instrText xml:space="preserve"> HYPERLINK \l _Toc19917 </w:instrText>
          </w:r>
          <w:r>
            <w:fldChar w:fldCharType="separate"/>
          </w:r>
          <w:r>
            <w:rPr>
              <w:rFonts w:hint="eastAsia" w:ascii="黑体" w:eastAsia="黑体"/>
              <w:szCs w:val="32"/>
            </w:rPr>
            <w:t>六、</w:t>
          </w:r>
          <w:r>
            <w:rPr>
              <w:rFonts w:hint="eastAsia" w:ascii="黑体" w:hAnsi="黑体" w:eastAsia="黑体"/>
              <w:szCs w:val="32"/>
            </w:rPr>
            <w:t>一</w:t>
          </w:r>
          <w:r>
            <w:rPr>
              <w:rFonts w:hint="eastAsia" w:ascii="黑体" w:hAnsi="黑体" w:eastAsia="黑体"/>
            </w:rPr>
            <w:t>般公共预算财政拨款基本支出决算情况说明</w:t>
          </w:r>
          <w:r>
            <w:tab/>
          </w:r>
          <w:r>
            <w:fldChar w:fldCharType="begin"/>
          </w:r>
          <w:r>
            <w:instrText xml:space="preserve"> PAGEREF _Toc19917 \h </w:instrText>
          </w:r>
          <w:r>
            <w:fldChar w:fldCharType="separate"/>
          </w:r>
          <w:r>
            <w:t>19</w:t>
          </w:r>
          <w:r>
            <w:fldChar w:fldCharType="end"/>
          </w:r>
          <w:r>
            <w:fldChar w:fldCharType="end"/>
          </w:r>
        </w:p>
        <w:p w14:paraId="60375E5D">
          <w:pPr>
            <w:pStyle w:val="15"/>
            <w:tabs>
              <w:tab w:val="right" w:leader="dot" w:pos="8306"/>
              <w:tab w:val="clear" w:pos="8296"/>
            </w:tabs>
          </w:pPr>
          <w:r>
            <w:fldChar w:fldCharType="begin"/>
          </w:r>
          <w:r>
            <w:instrText xml:space="preserve"> HYPERLINK \l _Toc23055 </w:instrText>
          </w:r>
          <w:r>
            <w:fldChar w:fldCharType="separate"/>
          </w:r>
          <w:r>
            <w:rPr>
              <w:rFonts w:hint="eastAsia" w:ascii="黑体" w:eastAsia="黑体"/>
              <w:szCs w:val="32"/>
            </w:rPr>
            <w:t>七、</w:t>
          </w:r>
          <w:r>
            <w:rPr>
              <w:rFonts w:hint="eastAsia" w:ascii="黑体" w:hAnsi="黑体" w:eastAsia="黑体"/>
            </w:rPr>
            <w:t>财政拨款“三公”经费支出决算情况说明</w:t>
          </w:r>
          <w:r>
            <w:tab/>
          </w:r>
          <w:r>
            <w:fldChar w:fldCharType="begin"/>
          </w:r>
          <w:r>
            <w:instrText xml:space="preserve"> PAGEREF _Toc23055 \h </w:instrText>
          </w:r>
          <w:r>
            <w:fldChar w:fldCharType="separate"/>
          </w:r>
          <w:r>
            <w:t>20</w:t>
          </w:r>
          <w:r>
            <w:fldChar w:fldCharType="end"/>
          </w:r>
          <w:r>
            <w:fldChar w:fldCharType="end"/>
          </w:r>
        </w:p>
        <w:p w14:paraId="29E7DC78">
          <w:pPr>
            <w:pStyle w:val="9"/>
            <w:tabs>
              <w:tab w:val="right" w:leader="dot" w:pos="8306"/>
              <w:tab w:val="clear" w:pos="8296"/>
            </w:tabs>
          </w:pPr>
          <w:r>
            <w:fldChar w:fldCharType="begin"/>
          </w:r>
          <w:r>
            <w:instrText xml:space="preserve"> HYPERLINK \l _Toc5689 </w:instrText>
          </w:r>
          <w:r>
            <w:fldChar w:fldCharType="separate"/>
          </w:r>
          <w:r>
            <w:rPr>
              <w:rFonts w:hint="eastAsia" w:ascii="仿宋" w:hAnsi="仿宋" w:eastAsia="仿宋"/>
              <w:szCs w:val="32"/>
            </w:rPr>
            <w:t>（一）“三公”经费财政拨款支出决算总体情况说明</w:t>
          </w:r>
          <w:r>
            <w:tab/>
          </w:r>
          <w:r>
            <w:fldChar w:fldCharType="begin"/>
          </w:r>
          <w:r>
            <w:instrText xml:space="preserve"> PAGEREF _Toc5689 \h </w:instrText>
          </w:r>
          <w:r>
            <w:fldChar w:fldCharType="separate"/>
          </w:r>
          <w:r>
            <w:t>20</w:t>
          </w:r>
          <w:r>
            <w:fldChar w:fldCharType="end"/>
          </w:r>
          <w:r>
            <w:fldChar w:fldCharType="end"/>
          </w:r>
        </w:p>
        <w:p w14:paraId="201DA151">
          <w:pPr>
            <w:pStyle w:val="9"/>
            <w:tabs>
              <w:tab w:val="right" w:leader="dot" w:pos="8306"/>
              <w:tab w:val="clear" w:pos="8296"/>
            </w:tabs>
          </w:pPr>
          <w:r>
            <w:fldChar w:fldCharType="begin"/>
          </w:r>
          <w:r>
            <w:instrText xml:space="preserve"> HYPERLINK \l _Toc27161 </w:instrText>
          </w:r>
          <w:r>
            <w:fldChar w:fldCharType="separate"/>
          </w:r>
          <w:r>
            <w:rPr>
              <w:rFonts w:hint="eastAsia" w:ascii="仿宋" w:hAnsi="仿宋" w:eastAsia="仿宋"/>
              <w:szCs w:val="32"/>
            </w:rPr>
            <w:t>（二）“三公”经费财政拨款支出决算具体情况说明</w:t>
          </w:r>
          <w:r>
            <w:tab/>
          </w:r>
          <w:r>
            <w:fldChar w:fldCharType="begin"/>
          </w:r>
          <w:r>
            <w:instrText xml:space="preserve"> PAGEREF _Toc27161 \h </w:instrText>
          </w:r>
          <w:r>
            <w:fldChar w:fldCharType="separate"/>
          </w:r>
          <w:r>
            <w:t>20</w:t>
          </w:r>
          <w:r>
            <w:fldChar w:fldCharType="end"/>
          </w:r>
          <w:r>
            <w:fldChar w:fldCharType="end"/>
          </w:r>
        </w:p>
        <w:p w14:paraId="18C2E525">
          <w:pPr>
            <w:pStyle w:val="15"/>
            <w:tabs>
              <w:tab w:val="right" w:leader="dot" w:pos="8306"/>
              <w:tab w:val="clear" w:pos="8296"/>
            </w:tabs>
          </w:pPr>
          <w:r>
            <w:fldChar w:fldCharType="begin"/>
          </w:r>
          <w:r>
            <w:instrText xml:space="preserve"> HYPERLINK \l _Toc5072 </w:instrText>
          </w:r>
          <w:r>
            <w:fldChar w:fldCharType="separate"/>
          </w:r>
          <w:r>
            <w:rPr>
              <w:rFonts w:hint="eastAsia" w:ascii="黑体" w:eastAsia="黑体"/>
              <w:szCs w:val="32"/>
            </w:rPr>
            <w:t>八、</w:t>
          </w:r>
          <w:r>
            <w:rPr>
              <w:rFonts w:hint="eastAsia" w:ascii="黑体" w:hAnsi="黑体" w:eastAsia="黑体"/>
            </w:rPr>
            <w:t>政府性基金预算支出决算情况说明</w:t>
          </w:r>
          <w:r>
            <w:tab/>
          </w:r>
          <w:r>
            <w:fldChar w:fldCharType="begin"/>
          </w:r>
          <w:r>
            <w:instrText xml:space="preserve"> PAGEREF _Toc5072 \h </w:instrText>
          </w:r>
          <w:r>
            <w:fldChar w:fldCharType="separate"/>
          </w:r>
          <w:r>
            <w:t>22</w:t>
          </w:r>
          <w:r>
            <w:fldChar w:fldCharType="end"/>
          </w:r>
          <w:r>
            <w:fldChar w:fldCharType="end"/>
          </w:r>
        </w:p>
        <w:p w14:paraId="13CF0916">
          <w:pPr>
            <w:pStyle w:val="15"/>
            <w:tabs>
              <w:tab w:val="right" w:leader="dot" w:pos="8306"/>
              <w:tab w:val="clear" w:pos="8296"/>
            </w:tabs>
          </w:pPr>
          <w:r>
            <w:fldChar w:fldCharType="begin"/>
          </w:r>
          <w:r>
            <w:instrText xml:space="preserve"> HYPERLINK \l _Toc11087 </w:instrText>
          </w:r>
          <w:r>
            <w:fldChar w:fldCharType="separate"/>
          </w:r>
          <w:r>
            <w:rPr>
              <w:rFonts w:hint="eastAsia" w:ascii="黑体" w:hAnsi="黑体" w:eastAsia="黑体"/>
            </w:rPr>
            <w:t>九、 国有资本经营预算支出决算情况说明</w:t>
          </w:r>
          <w:r>
            <w:tab/>
          </w:r>
          <w:r>
            <w:fldChar w:fldCharType="begin"/>
          </w:r>
          <w:r>
            <w:instrText xml:space="preserve"> PAGEREF _Toc11087 \h </w:instrText>
          </w:r>
          <w:r>
            <w:fldChar w:fldCharType="separate"/>
          </w:r>
          <w:r>
            <w:t>22</w:t>
          </w:r>
          <w:r>
            <w:fldChar w:fldCharType="end"/>
          </w:r>
          <w:r>
            <w:fldChar w:fldCharType="end"/>
          </w:r>
        </w:p>
        <w:p w14:paraId="7BF7B348">
          <w:pPr>
            <w:pStyle w:val="15"/>
            <w:tabs>
              <w:tab w:val="right" w:leader="dot" w:pos="8306"/>
              <w:tab w:val="clear" w:pos="8296"/>
            </w:tabs>
          </w:pPr>
          <w:r>
            <w:fldChar w:fldCharType="begin"/>
          </w:r>
          <w:r>
            <w:instrText xml:space="preserve"> HYPERLINK \l _Toc22744 </w:instrText>
          </w:r>
          <w:r>
            <w:fldChar w:fldCharType="separate"/>
          </w:r>
          <w:r>
            <w:rPr>
              <w:rFonts w:hint="eastAsia" w:ascii="黑体" w:hAnsi="黑体" w:eastAsia="黑体"/>
            </w:rPr>
            <w:t>十、 其他重要事项的情况说明</w:t>
          </w:r>
          <w:r>
            <w:tab/>
          </w:r>
          <w:r>
            <w:fldChar w:fldCharType="begin"/>
          </w:r>
          <w:r>
            <w:instrText xml:space="preserve"> PAGEREF _Toc22744 \h </w:instrText>
          </w:r>
          <w:r>
            <w:fldChar w:fldCharType="separate"/>
          </w:r>
          <w:r>
            <w:t>22</w:t>
          </w:r>
          <w:r>
            <w:fldChar w:fldCharType="end"/>
          </w:r>
          <w:r>
            <w:fldChar w:fldCharType="end"/>
          </w:r>
        </w:p>
        <w:p w14:paraId="5F6B51E6">
          <w:pPr>
            <w:pStyle w:val="9"/>
            <w:tabs>
              <w:tab w:val="right" w:leader="dot" w:pos="8306"/>
              <w:tab w:val="clear" w:pos="8296"/>
            </w:tabs>
          </w:pPr>
          <w:r>
            <w:fldChar w:fldCharType="begin"/>
          </w:r>
          <w:r>
            <w:instrText xml:space="preserve"> HYPERLINK \l _Toc7776 </w:instrText>
          </w:r>
          <w:r>
            <w:fldChar w:fldCharType="separate"/>
          </w:r>
          <w:r>
            <w:rPr>
              <w:rFonts w:hint="eastAsia" w:ascii="仿宋" w:hAnsi="仿宋" w:eastAsia="仿宋"/>
              <w:szCs w:val="32"/>
            </w:rPr>
            <w:t>（一）机关运行经费支出情况</w:t>
          </w:r>
          <w:r>
            <w:tab/>
          </w:r>
          <w:r>
            <w:fldChar w:fldCharType="begin"/>
          </w:r>
          <w:r>
            <w:instrText xml:space="preserve"> PAGEREF _Toc7776 \h </w:instrText>
          </w:r>
          <w:r>
            <w:fldChar w:fldCharType="separate"/>
          </w:r>
          <w:r>
            <w:t>22</w:t>
          </w:r>
          <w:r>
            <w:fldChar w:fldCharType="end"/>
          </w:r>
          <w:r>
            <w:fldChar w:fldCharType="end"/>
          </w:r>
        </w:p>
        <w:p w14:paraId="6CAC5637">
          <w:pPr>
            <w:pStyle w:val="9"/>
            <w:tabs>
              <w:tab w:val="right" w:leader="dot" w:pos="8306"/>
              <w:tab w:val="clear" w:pos="8296"/>
            </w:tabs>
          </w:pPr>
          <w:r>
            <w:fldChar w:fldCharType="begin"/>
          </w:r>
          <w:r>
            <w:instrText xml:space="preserve"> HYPERLINK \l _Toc9427 </w:instrText>
          </w:r>
          <w:r>
            <w:fldChar w:fldCharType="separate"/>
          </w:r>
          <w:r>
            <w:rPr>
              <w:rFonts w:hint="eastAsia" w:ascii="仿宋" w:hAnsi="仿宋" w:eastAsia="仿宋"/>
              <w:szCs w:val="32"/>
            </w:rPr>
            <w:t>（二）政府采购支出情况</w:t>
          </w:r>
          <w:r>
            <w:tab/>
          </w:r>
          <w:r>
            <w:fldChar w:fldCharType="begin"/>
          </w:r>
          <w:r>
            <w:instrText xml:space="preserve"> PAGEREF _Toc9427 \h </w:instrText>
          </w:r>
          <w:r>
            <w:fldChar w:fldCharType="separate"/>
          </w:r>
          <w:r>
            <w:t>22</w:t>
          </w:r>
          <w:r>
            <w:fldChar w:fldCharType="end"/>
          </w:r>
          <w:r>
            <w:fldChar w:fldCharType="end"/>
          </w:r>
        </w:p>
        <w:p w14:paraId="79334FD5">
          <w:pPr>
            <w:pStyle w:val="9"/>
            <w:tabs>
              <w:tab w:val="right" w:leader="dot" w:pos="8306"/>
              <w:tab w:val="clear" w:pos="8296"/>
            </w:tabs>
          </w:pPr>
          <w:r>
            <w:fldChar w:fldCharType="begin"/>
          </w:r>
          <w:r>
            <w:instrText xml:space="preserve"> HYPERLINK \l _Toc2056 </w:instrText>
          </w:r>
          <w:r>
            <w:fldChar w:fldCharType="separate"/>
          </w:r>
          <w:r>
            <w:rPr>
              <w:rFonts w:hint="eastAsia" w:ascii="仿宋" w:hAnsi="仿宋" w:eastAsia="仿宋"/>
              <w:szCs w:val="32"/>
            </w:rPr>
            <w:t>（三）国有资产占有使用情况</w:t>
          </w:r>
          <w:r>
            <w:tab/>
          </w:r>
          <w:r>
            <w:fldChar w:fldCharType="begin"/>
          </w:r>
          <w:r>
            <w:instrText xml:space="preserve"> PAGEREF _Toc2056 \h </w:instrText>
          </w:r>
          <w:r>
            <w:fldChar w:fldCharType="separate"/>
          </w:r>
          <w:r>
            <w:t>23</w:t>
          </w:r>
          <w:r>
            <w:fldChar w:fldCharType="end"/>
          </w:r>
          <w:r>
            <w:fldChar w:fldCharType="end"/>
          </w:r>
        </w:p>
        <w:p w14:paraId="3572AD44">
          <w:pPr>
            <w:pStyle w:val="9"/>
            <w:tabs>
              <w:tab w:val="right" w:leader="dot" w:pos="8306"/>
              <w:tab w:val="clear" w:pos="8296"/>
            </w:tabs>
          </w:pPr>
          <w:r>
            <w:fldChar w:fldCharType="begin"/>
          </w:r>
          <w:r>
            <w:instrText xml:space="preserve"> HYPERLINK \l _Toc18348 </w:instrText>
          </w:r>
          <w:r>
            <w:fldChar w:fldCharType="separate"/>
          </w:r>
          <w:r>
            <w:rPr>
              <w:rFonts w:hint="eastAsia" w:ascii="仿宋" w:hAnsi="仿宋" w:eastAsia="仿宋"/>
              <w:szCs w:val="32"/>
            </w:rPr>
            <w:t>（四）预算绩效管理情况</w:t>
          </w:r>
          <w:r>
            <w:tab/>
          </w:r>
          <w:r>
            <w:fldChar w:fldCharType="begin"/>
          </w:r>
          <w:r>
            <w:instrText xml:space="preserve"> PAGEREF _Toc18348 \h </w:instrText>
          </w:r>
          <w:r>
            <w:fldChar w:fldCharType="separate"/>
          </w:r>
          <w:r>
            <w:t>23</w:t>
          </w:r>
          <w:r>
            <w:fldChar w:fldCharType="end"/>
          </w:r>
          <w:r>
            <w:fldChar w:fldCharType="end"/>
          </w:r>
        </w:p>
        <w:p w14:paraId="3FD032DB">
          <w:pPr>
            <w:pStyle w:val="13"/>
            <w:tabs>
              <w:tab w:val="right" w:leader="dot" w:pos="8306"/>
              <w:tab w:val="clear" w:pos="8296"/>
            </w:tabs>
          </w:pPr>
          <w:r>
            <w:fldChar w:fldCharType="begin"/>
          </w:r>
          <w:r>
            <w:instrText xml:space="preserve"> HYPERLINK \l _Toc9763 </w:instrText>
          </w:r>
          <w:r>
            <w:fldChar w:fldCharType="separate"/>
          </w:r>
          <w:r>
            <w:rPr>
              <w:rFonts w:hint="eastAsia" w:ascii="黑体" w:hAnsi="黑体" w:eastAsia="黑体" w:cs="黑体"/>
              <w:szCs w:val="44"/>
            </w:rPr>
            <w:t xml:space="preserve">第三部分 </w:t>
          </w:r>
          <w:r>
            <w:rPr>
              <w:rFonts w:hint="eastAsia" w:ascii="黑体" w:hAnsi="黑体" w:eastAsia="黑体"/>
              <w:szCs w:val="44"/>
            </w:rPr>
            <w:t>名</w:t>
          </w:r>
          <w:r>
            <w:rPr>
              <w:rFonts w:hint="eastAsia" w:ascii="黑体" w:hAnsi="黑体" w:eastAsia="黑体"/>
            </w:rPr>
            <w:t>词解释</w:t>
          </w:r>
          <w:r>
            <w:tab/>
          </w:r>
          <w:r>
            <w:fldChar w:fldCharType="begin"/>
          </w:r>
          <w:r>
            <w:instrText xml:space="preserve"> PAGEREF _Toc9763 \h </w:instrText>
          </w:r>
          <w:r>
            <w:fldChar w:fldCharType="separate"/>
          </w:r>
          <w:r>
            <w:t>24</w:t>
          </w:r>
          <w:r>
            <w:fldChar w:fldCharType="end"/>
          </w:r>
          <w:r>
            <w:fldChar w:fldCharType="end"/>
          </w:r>
        </w:p>
        <w:p w14:paraId="4FD86DB9">
          <w:pPr>
            <w:pStyle w:val="13"/>
            <w:tabs>
              <w:tab w:val="right" w:leader="dot" w:pos="8306"/>
              <w:tab w:val="clear" w:pos="8296"/>
            </w:tabs>
          </w:pPr>
          <w:r>
            <w:fldChar w:fldCharType="begin"/>
          </w:r>
          <w:r>
            <w:instrText xml:space="preserve"> HYPERLINK \l _Toc26376 </w:instrText>
          </w:r>
          <w:r>
            <w:fldChar w:fldCharType="separate"/>
          </w:r>
          <w:r>
            <w:rPr>
              <w:rFonts w:hint="eastAsia" w:ascii="黑体" w:hAnsi="黑体" w:eastAsia="黑体"/>
              <w:szCs w:val="44"/>
              <w:lang w:val="en-US" w:eastAsia="zh-CN"/>
            </w:rPr>
            <w:t>第四部分  附件</w:t>
          </w:r>
          <w:r>
            <w:tab/>
          </w:r>
          <w:r>
            <w:fldChar w:fldCharType="begin"/>
          </w:r>
          <w:r>
            <w:instrText xml:space="preserve"> PAGEREF _Toc26376 \h </w:instrText>
          </w:r>
          <w:r>
            <w:fldChar w:fldCharType="separate"/>
          </w:r>
          <w:r>
            <w:t>27</w:t>
          </w:r>
          <w:r>
            <w:fldChar w:fldCharType="end"/>
          </w:r>
          <w:r>
            <w:fldChar w:fldCharType="end"/>
          </w:r>
        </w:p>
        <w:p w14:paraId="38EFBFA1">
          <w:pPr>
            <w:pStyle w:val="13"/>
            <w:tabs>
              <w:tab w:val="right" w:leader="dot" w:pos="8306"/>
              <w:tab w:val="clear" w:pos="8296"/>
            </w:tabs>
          </w:pPr>
          <w:r>
            <w:fldChar w:fldCharType="begin"/>
          </w:r>
          <w:r>
            <w:instrText xml:space="preserve"> HYPERLINK \l _Toc12847 </w:instrText>
          </w:r>
          <w:r>
            <w:fldChar w:fldCharType="separate"/>
          </w:r>
          <w:r>
            <w:rPr>
              <w:rFonts w:hint="eastAsia" w:ascii="黑体" w:hAnsi="黑体" w:eastAsia="黑体"/>
              <w:szCs w:val="44"/>
            </w:rPr>
            <w:t>第</w:t>
          </w:r>
          <w:r>
            <w:rPr>
              <w:rFonts w:hint="eastAsia" w:ascii="黑体" w:hAnsi="黑体" w:eastAsia="黑体"/>
            </w:rPr>
            <w:t>五部分 附表</w:t>
          </w:r>
          <w:r>
            <w:tab/>
          </w:r>
          <w:r>
            <w:fldChar w:fldCharType="begin"/>
          </w:r>
          <w:r>
            <w:instrText xml:space="preserve"> PAGEREF _Toc12847 \h </w:instrText>
          </w:r>
          <w:r>
            <w:fldChar w:fldCharType="separate"/>
          </w:r>
          <w:r>
            <w:t>34</w:t>
          </w:r>
          <w:r>
            <w:fldChar w:fldCharType="end"/>
          </w:r>
          <w:r>
            <w:fldChar w:fldCharType="end"/>
          </w:r>
        </w:p>
        <w:p w14:paraId="5E9FEFD3">
          <w:pPr>
            <w:pStyle w:val="15"/>
            <w:tabs>
              <w:tab w:val="right" w:leader="dot" w:pos="8306"/>
              <w:tab w:val="clear" w:pos="8296"/>
            </w:tabs>
          </w:pPr>
          <w:r>
            <w:fldChar w:fldCharType="begin"/>
          </w:r>
          <w:r>
            <w:instrText xml:space="preserve"> HYPERLINK \l _Toc32553 </w:instrText>
          </w:r>
          <w:r>
            <w:fldChar w:fldCharType="separate"/>
          </w:r>
          <w:r>
            <w:rPr>
              <w:rFonts w:hint="eastAsia" w:ascii="仿宋" w:hAnsi="仿宋" w:eastAsia="仿宋"/>
            </w:rPr>
            <w:t>一、收</w:t>
          </w:r>
          <w:r>
            <w:rPr>
              <w:rFonts w:hint="eastAsia" w:ascii="仿宋" w:hAnsi="仿宋" w:eastAsia="仿宋"/>
              <w:bCs w:val="0"/>
            </w:rPr>
            <w:t>入支出决算总表</w:t>
          </w:r>
          <w:r>
            <w:tab/>
          </w:r>
          <w:r>
            <w:fldChar w:fldCharType="begin"/>
          </w:r>
          <w:r>
            <w:instrText xml:space="preserve"> PAGEREF _Toc32553 \h </w:instrText>
          </w:r>
          <w:r>
            <w:fldChar w:fldCharType="separate"/>
          </w:r>
          <w:r>
            <w:t>34</w:t>
          </w:r>
          <w:r>
            <w:fldChar w:fldCharType="end"/>
          </w:r>
          <w:r>
            <w:fldChar w:fldCharType="end"/>
          </w:r>
        </w:p>
        <w:p w14:paraId="786BB1B3">
          <w:pPr>
            <w:pStyle w:val="15"/>
            <w:tabs>
              <w:tab w:val="right" w:leader="dot" w:pos="8306"/>
              <w:tab w:val="clear" w:pos="8296"/>
            </w:tabs>
          </w:pPr>
          <w:r>
            <w:fldChar w:fldCharType="begin"/>
          </w:r>
          <w:r>
            <w:instrText xml:space="preserve"> HYPERLINK \l _Toc17690 </w:instrText>
          </w:r>
          <w:r>
            <w:fldChar w:fldCharType="separate"/>
          </w:r>
          <w:r>
            <w:rPr>
              <w:rFonts w:hint="eastAsia" w:ascii="仿宋" w:hAnsi="仿宋" w:eastAsia="仿宋"/>
            </w:rPr>
            <w:t>二、收</w:t>
          </w:r>
          <w:r>
            <w:rPr>
              <w:rFonts w:hint="eastAsia" w:ascii="仿宋" w:hAnsi="仿宋" w:eastAsia="仿宋"/>
              <w:bCs w:val="0"/>
            </w:rPr>
            <w:t>入决算表</w:t>
          </w:r>
          <w:r>
            <w:tab/>
          </w:r>
          <w:r>
            <w:fldChar w:fldCharType="begin"/>
          </w:r>
          <w:r>
            <w:instrText xml:space="preserve"> PAGEREF _Toc17690 \h </w:instrText>
          </w:r>
          <w:r>
            <w:fldChar w:fldCharType="separate"/>
          </w:r>
          <w:r>
            <w:t>34</w:t>
          </w:r>
          <w:r>
            <w:fldChar w:fldCharType="end"/>
          </w:r>
          <w:r>
            <w:fldChar w:fldCharType="end"/>
          </w:r>
        </w:p>
        <w:p w14:paraId="550004BD">
          <w:pPr>
            <w:pStyle w:val="15"/>
            <w:tabs>
              <w:tab w:val="right" w:leader="dot" w:pos="8306"/>
              <w:tab w:val="clear" w:pos="8296"/>
            </w:tabs>
          </w:pPr>
          <w:r>
            <w:fldChar w:fldCharType="begin"/>
          </w:r>
          <w:r>
            <w:instrText xml:space="preserve"> HYPERLINK \l _Toc1050 </w:instrText>
          </w:r>
          <w:r>
            <w:fldChar w:fldCharType="separate"/>
          </w:r>
          <w:r>
            <w:rPr>
              <w:rFonts w:hint="eastAsia" w:ascii="仿宋" w:hAnsi="仿宋" w:eastAsia="仿宋"/>
              <w:bCs w:val="0"/>
            </w:rPr>
            <w:t>三、</w:t>
          </w:r>
          <w:r>
            <w:rPr>
              <w:rFonts w:hint="eastAsia" w:ascii="仿宋" w:hAnsi="仿宋" w:eastAsia="仿宋"/>
            </w:rPr>
            <w:t>支</w:t>
          </w:r>
          <w:r>
            <w:rPr>
              <w:rFonts w:hint="eastAsia" w:ascii="仿宋" w:hAnsi="仿宋" w:eastAsia="仿宋"/>
              <w:bCs w:val="0"/>
            </w:rPr>
            <w:t>出决算表</w:t>
          </w:r>
          <w:r>
            <w:tab/>
          </w:r>
          <w:r>
            <w:fldChar w:fldCharType="begin"/>
          </w:r>
          <w:r>
            <w:instrText xml:space="preserve"> PAGEREF _Toc1050 \h </w:instrText>
          </w:r>
          <w:r>
            <w:fldChar w:fldCharType="separate"/>
          </w:r>
          <w:r>
            <w:t>34</w:t>
          </w:r>
          <w:r>
            <w:fldChar w:fldCharType="end"/>
          </w:r>
          <w:r>
            <w:fldChar w:fldCharType="end"/>
          </w:r>
        </w:p>
        <w:p w14:paraId="5E438CAC">
          <w:pPr>
            <w:pStyle w:val="15"/>
            <w:tabs>
              <w:tab w:val="right" w:leader="dot" w:pos="8306"/>
              <w:tab w:val="clear" w:pos="8296"/>
            </w:tabs>
          </w:pPr>
          <w:r>
            <w:fldChar w:fldCharType="begin"/>
          </w:r>
          <w:r>
            <w:instrText xml:space="preserve"> HYPERLINK \l _Toc3666 </w:instrText>
          </w:r>
          <w:r>
            <w:fldChar w:fldCharType="separate"/>
          </w:r>
          <w:r>
            <w:rPr>
              <w:rFonts w:hint="eastAsia" w:ascii="仿宋" w:hAnsi="仿宋" w:eastAsia="仿宋"/>
              <w:bCs w:val="0"/>
            </w:rPr>
            <w:t>四、</w:t>
          </w:r>
          <w:r>
            <w:rPr>
              <w:rFonts w:hint="eastAsia" w:ascii="仿宋" w:hAnsi="仿宋" w:eastAsia="仿宋"/>
            </w:rPr>
            <w:t>财</w:t>
          </w:r>
          <w:r>
            <w:rPr>
              <w:rFonts w:hint="eastAsia" w:ascii="仿宋" w:hAnsi="仿宋" w:eastAsia="仿宋"/>
              <w:bCs w:val="0"/>
            </w:rPr>
            <w:t>政拨款收入支出决算总表</w:t>
          </w:r>
          <w:r>
            <w:tab/>
          </w:r>
          <w:r>
            <w:fldChar w:fldCharType="begin"/>
          </w:r>
          <w:r>
            <w:instrText xml:space="preserve"> PAGEREF _Toc3666 \h </w:instrText>
          </w:r>
          <w:r>
            <w:fldChar w:fldCharType="separate"/>
          </w:r>
          <w:r>
            <w:t>34</w:t>
          </w:r>
          <w:r>
            <w:fldChar w:fldCharType="end"/>
          </w:r>
          <w:r>
            <w:fldChar w:fldCharType="end"/>
          </w:r>
        </w:p>
        <w:p w14:paraId="16DB6EE1">
          <w:pPr>
            <w:pStyle w:val="15"/>
            <w:tabs>
              <w:tab w:val="right" w:leader="dot" w:pos="8306"/>
              <w:tab w:val="clear" w:pos="8296"/>
            </w:tabs>
          </w:pPr>
          <w:r>
            <w:fldChar w:fldCharType="begin"/>
          </w:r>
          <w:r>
            <w:instrText xml:space="preserve"> HYPERLINK \l _Toc27891 </w:instrText>
          </w:r>
          <w:r>
            <w:fldChar w:fldCharType="separate"/>
          </w:r>
          <w:r>
            <w:rPr>
              <w:rFonts w:hint="eastAsia" w:ascii="仿宋" w:hAnsi="仿宋" w:eastAsia="仿宋"/>
              <w:bCs w:val="0"/>
            </w:rPr>
            <w:t>五、</w:t>
          </w:r>
          <w:r>
            <w:rPr>
              <w:rFonts w:hint="eastAsia" w:ascii="仿宋" w:hAnsi="仿宋" w:eastAsia="仿宋"/>
            </w:rPr>
            <w:t>财</w:t>
          </w:r>
          <w:r>
            <w:rPr>
              <w:rFonts w:hint="eastAsia" w:ascii="仿宋" w:hAnsi="仿宋" w:eastAsia="仿宋"/>
              <w:bCs w:val="0"/>
            </w:rPr>
            <w:t>政拨款支出决算明细表</w:t>
          </w:r>
          <w:r>
            <w:tab/>
          </w:r>
          <w:r>
            <w:fldChar w:fldCharType="begin"/>
          </w:r>
          <w:r>
            <w:instrText xml:space="preserve"> PAGEREF _Toc27891 \h </w:instrText>
          </w:r>
          <w:r>
            <w:fldChar w:fldCharType="separate"/>
          </w:r>
          <w:r>
            <w:t>34</w:t>
          </w:r>
          <w:r>
            <w:fldChar w:fldCharType="end"/>
          </w:r>
          <w:r>
            <w:fldChar w:fldCharType="end"/>
          </w:r>
        </w:p>
        <w:p w14:paraId="39BB8907">
          <w:pPr>
            <w:pStyle w:val="15"/>
            <w:tabs>
              <w:tab w:val="right" w:leader="dot" w:pos="8306"/>
              <w:tab w:val="clear" w:pos="8296"/>
            </w:tabs>
          </w:pPr>
          <w:r>
            <w:fldChar w:fldCharType="begin"/>
          </w:r>
          <w:r>
            <w:instrText xml:space="preserve"> HYPERLINK \l _Toc8296 </w:instrText>
          </w:r>
          <w:r>
            <w:fldChar w:fldCharType="separate"/>
          </w:r>
          <w:r>
            <w:rPr>
              <w:rFonts w:hint="eastAsia" w:ascii="仿宋" w:hAnsi="仿宋" w:eastAsia="仿宋"/>
              <w:bCs w:val="0"/>
            </w:rPr>
            <w:t>六、</w:t>
          </w:r>
          <w:r>
            <w:rPr>
              <w:rFonts w:hint="eastAsia" w:ascii="仿宋" w:hAnsi="仿宋" w:eastAsia="仿宋"/>
            </w:rPr>
            <w:t>一</w:t>
          </w:r>
          <w:r>
            <w:rPr>
              <w:rFonts w:hint="eastAsia" w:ascii="仿宋" w:hAnsi="仿宋" w:eastAsia="仿宋"/>
              <w:bCs w:val="0"/>
            </w:rPr>
            <w:t>般公共预算财政拨款支出决算表</w:t>
          </w:r>
          <w:r>
            <w:tab/>
          </w:r>
          <w:r>
            <w:fldChar w:fldCharType="begin"/>
          </w:r>
          <w:r>
            <w:instrText xml:space="preserve"> PAGEREF _Toc8296 \h </w:instrText>
          </w:r>
          <w:r>
            <w:fldChar w:fldCharType="separate"/>
          </w:r>
          <w:r>
            <w:t>34</w:t>
          </w:r>
          <w:r>
            <w:fldChar w:fldCharType="end"/>
          </w:r>
          <w:r>
            <w:fldChar w:fldCharType="end"/>
          </w:r>
        </w:p>
        <w:p w14:paraId="0726679C">
          <w:pPr>
            <w:pStyle w:val="15"/>
            <w:tabs>
              <w:tab w:val="right" w:leader="dot" w:pos="8306"/>
              <w:tab w:val="clear" w:pos="8296"/>
            </w:tabs>
          </w:pPr>
          <w:r>
            <w:fldChar w:fldCharType="begin"/>
          </w:r>
          <w:r>
            <w:instrText xml:space="preserve"> HYPERLINK \l _Toc624 </w:instrText>
          </w:r>
          <w:r>
            <w:fldChar w:fldCharType="separate"/>
          </w:r>
          <w:r>
            <w:rPr>
              <w:rFonts w:hint="eastAsia" w:ascii="仿宋" w:hAnsi="仿宋" w:eastAsia="仿宋"/>
              <w:bCs w:val="0"/>
            </w:rPr>
            <w:t>七、</w:t>
          </w:r>
          <w:r>
            <w:rPr>
              <w:rFonts w:hint="eastAsia" w:ascii="仿宋" w:hAnsi="仿宋" w:eastAsia="仿宋"/>
            </w:rPr>
            <w:t>一</w:t>
          </w:r>
          <w:r>
            <w:rPr>
              <w:rFonts w:hint="eastAsia" w:ascii="仿宋" w:hAnsi="仿宋" w:eastAsia="仿宋"/>
              <w:bCs w:val="0"/>
            </w:rPr>
            <w:t>般公共预算财政拨款支出决算明细表</w:t>
          </w:r>
          <w:r>
            <w:tab/>
          </w:r>
          <w:r>
            <w:fldChar w:fldCharType="begin"/>
          </w:r>
          <w:r>
            <w:instrText xml:space="preserve"> PAGEREF _Toc624 \h </w:instrText>
          </w:r>
          <w:r>
            <w:fldChar w:fldCharType="separate"/>
          </w:r>
          <w:r>
            <w:t>34</w:t>
          </w:r>
          <w:r>
            <w:fldChar w:fldCharType="end"/>
          </w:r>
          <w:r>
            <w:fldChar w:fldCharType="end"/>
          </w:r>
        </w:p>
        <w:p w14:paraId="2448A41C">
          <w:pPr>
            <w:pStyle w:val="15"/>
            <w:tabs>
              <w:tab w:val="right" w:leader="dot" w:pos="8306"/>
              <w:tab w:val="clear" w:pos="8296"/>
            </w:tabs>
          </w:pPr>
          <w:r>
            <w:fldChar w:fldCharType="begin"/>
          </w:r>
          <w:r>
            <w:instrText xml:space="preserve"> HYPERLINK \l _Toc26573 </w:instrText>
          </w:r>
          <w:r>
            <w:fldChar w:fldCharType="separate"/>
          </w:r>
          <w:r>
            <w:rPr>
              <w:rFonts w:hint="eastAsia" w:ascii="仿宋" w:hAnsi="仿宋" w:eastAsia="仿宋"/>
              <w:bCs w:val="0"/>
            </w:rPr>
            <w:t>八、</w:t>
          </w:r>
          <w:r>
            <w:rPr>
              <w:rFonts w:hint="eastAsia" w:ascii="仿宋" w:hAnsi="仿宋" w:eastAsia="仿宋"/>
            </w:rPr>
            <w:t>一</w:t>
          </w:r>
          <w:r>
            <w:rPr>
              <w:rFonts w:hint="eastAsia" w:ascii="仿宋" w:hAnsi="仿宋" w:eastAsia="仿宋"/>
              <w:bCs w:val="0"/>
            </w:rPr>
            <w:t>般公共预算财政拨款基本支出决算表</w:t>
          </w:r>
          <w:r>
            <w:tab/>
          </w:r>
          <w:r>
            <w:fldChar w:fldCharType="begin"/>
          </w:r>
          <w:r>
            <w:instrText xml:space="preserve"> PAGEREF _Toc26573 \h </w:instrText>
          </w:r>
          <w:r>
            <w:fldChar w:fldCharType="separate"/>
          </w:r>
          <w:r>
            <w:t>34</w:t>
          </w:r>
          <w:r>
            <w:fldChar w:fldCharType="end"/>
          </w:r>
          <w:r>
            <w:fldChar w:fldCharType="end"/>
          </w:r>
        </w:p>
        <w:p w14:paraId="33B43AB6">
          <w:pPr>
            <w:pStyle w:val="15"/>
            <w:tabs>
              <w:tab w:val="right" w:leader="dot" w:pos="8306"/>
              <w:tab w:val="clear" w:pos="8296"/>
            </w:tabs>
          </w:pPr>
          <w:r>
            <w:fldChar w:fldCharType="begin"/>
          </w:r>
          <w:r>
            <w:instrText xml:space="preserve"> HYPERLINK \l _Toc21314 </w:instrText>
          </w:r>
          <w:r>
            <w:fldChar w:fldCharType="separate"/>
          </w:r>
          <w:r>
            <w:rPr>
              <w:rFonts w:hint="eastAsia" w:ascii="仿宋" w:hAnsi="仿宋" w:eastAsia="仿宋"/>
              <w:bCs w:val="0"/>
            </w:rPr>
            <w:t>九、</w:t>
          </w:r>
          <w:r>
            <w:rPr>
              <w:rFonts w:hint="eastAsia" w:ascii="仿宋" w:hAnsi="仿宋" w:eastAsia="仿宋"/>
            </w:rPr>
            <w:t>一</w:t>
          </w:r>
          <w:r>
            <w:rPr>
              <w:rFonts w:hint="eastAsia" w:ascii="仿宋" w:hAnsi="仿宋" w:eastAsia="仿宋"/>
              <w:bCs w:val="0"/>
            </w:rPr>
            <w:t>般公共预算财政拨款项目支出决算表</w:t>
          </w:r>
          <w:r>
            <w:tab/>
          </w:r>
          <w:r>
            <w:fldChar w:fldCharType="begin"/>
          </w:r>
          <w:r>
            <w:instrText xml:space="preserve"> PAGEREF _Toc21314 \h </w:instrText>
          </w:r>
          <w:r>
            <w:fldChar w:fldCharType="separate"/>
          </w:r>
          <w:r>
            <w:t>34</w:t>
          </w:r>
          <w:r>
            <w:fldChar w:fldCharType="end"/>
          </w:r>
          <w:r>
            <w:fldChar w:fldCharType="end"/>
          </w:r>
        </w:p>
        <w:p w14:paraId="3BE842BD">
          <w:pPr>
            <w:pStyle w:val="15"/>
            <w:tabs>
              <w:tab w:val="right" w:leader="dot" w:pos="8306"/>
              <w:tab w:val="clear" w:pos="8296"/>
            </w:tabs>
          </w:pPr>
          <w:r>
            <w:fldChar w:fldCharType="begin"/>
          </w:r>
          <w:r>
            <w:instrText xml:space="preserve"> HYPERLINK \l _Toc17520 </w:instrText>
          </w:r>
          <w:r>
            <w:fldChar w:fldCharType="separate"/>
          </w:r>
          <w:r>
            <w:rPr>
              <w:rFonts w:hint="eastAsia" w:ascii="仿宋" w:hAnsi="仿宋" w:eastAsia="仿宋"/>
              <w:bCs w:val="0"/>
            </w:rPr>
            <w:t>十、</w:t>
          </w:r>
          <w:r>
            <w:rPr>
              <w:rFonts w:hint="eastAsia" w:ascii="仿宋" w:hAnsi="仿宋" w:eastAsia="仿宋"/>
            </w:rPr>
            <w:t>政</w:t>
          </w:r>
          <w:r>
            <w:rPr>
              <w:rFonts w:hint="eastAsia" w:ascii="仿宋" w:hAnsi="仿宋" w:eastAsia="仿宋"/>
              <w:bCs w:val="0"/>
            </w:rPr>
            <w:t>府性基金预算财政拨款收入支出决算表</w:t>
          </w:r>
          <w:r>
            <w:tab/>
          </w:r>
          <w:r>
            <w:fldChar w:fldCharType="begin"/>
          </w:r>
          <w:r>
            <w:instrText xml:space="preserve"> PAGEREF _Toc17520 \h </w:instrText>
          </w:r>
          <w:r>
            <w:fldChar w:fldCharType="separate"/>
          </w:r>
          <w:r>
            <w:t>34</w:t>
          </w:r>
          <w:r>
            <w:fldChar w:fldCharType="end"/>
          </w:r>
          <w:r>
            <w:fldChar w:fldCharType="end"/>
          </w:r>
        </w:p>
        <w:p w14:paraId="23AB3A49">
          <w:pPr>
            <w:pStyle w:val="15"/>
            <w:tabs>
              <w:tab w:val="right" w:leader="dot" w:pos="8306"/>
              <w:tab w:val="clear" w:pos="8296"/>
            </w:tabs>
          </w:pPr>
          <w:r>
            <w:fldChar w:fldCharType="begin"/>
          </w:r>
          <w:r>
            <w:instrText xml:space="preserve"> HYPERLINK \l _Toc945 </w:instrText>
          </w:r>
          <w:r>
            <w:fldChar w:fldCharType="separate"/>
          </w:r>
          <w:r>
            <w:rPr>
              <w:rFonts w:hint="eastAsia" w:ascii="仿宋" w:hAnsi="仿宋" w:eastAsia="仿宋"/>
              <w:bCs w:val="0"/>
            </w:rPr>
            <w:t>十一、</w:t>
          </w:r>
          <w:r>
            <w:rPr>
              <w:rFonts w:hint="eastAsia" w:ascii="仿宋" w:hAnsi="仿宋" w:eastAsia="仿宋"/>
            </w:rPr>
            <w:t>国</w:t>
          </w:r>
          <w:r>
            <w:rPr>
              <w:rFonts w:hint="eastAsia" w:ascii="仿宋" w:hAnsi="仿宋" w:eastAsia="仿宋"/>
              <w:bCs w:val="0"/>
            </w:rPr>
            <w:t>有资本经营预算财政拨款收入支出决算表</w:t>
          </w:r>
          <w:r>
            <w:tab/>
          </w:r>
          <w:r>
            <w:fldChar w:fldCharType="begin"/>
          </w:r>
          <w:r>
            <w:instrText xml:space="preserve"> PAGEREF _Toc945 \h </w:instrText>
          </w:r>
          <w:r>
            <w:fldChar w:fldCharType="separate"/>
          </w:r>
          <w:r>
            <w:t>34</w:t>
          </w:r>
          <w:r>
            <w:fldChar w:fldCharType="end"/>
          </w:r>
          <w:r>
            <w:fldChar w:fldCharType="end"/>
          </w:r>
        </w:p>
        <w:p w14:paraId="225BBE1A">
          <w:pPr>
            <w:pStyle w:val="15"/>
            <w:tabs>
              <w:tab w:val="right" w:leader="dot" w:pos="8306"/>
              <w:tab w:val="clear" w:pos="8296"/>
            </w:tabs>
          </w:pPr>
          <w:r>
            <w:fldChar w:fldCharType="begin"/>
          </w:r>
          <w:r>
            <w:instrText xml:space="preserve"> HYPERLINK \l _Toc17729 </w:instrText>
          </w:r>
          <w:r>
            <w:fldChar w:fldCharType="separate"/>
          </w:r>
          <w:r>
            <w:rPr>
              <w:rFonts w:hint="eastAsia" w:ascii="仿宋" w:hAnsi="仿宋" w:eastAsia="仿宋"/>
              <w:bCs w:val="0"/>
            </w:rPr>
            <w:t>十二、国有资本经营预算财政拨款支出决算表</w:t>
          </w:r>
          <w:r>
            <w:tab/>
          </w:r>
          <w:r>
            <w:fldChar w:fldCharType="begin"/>
          </w:r>
          <w:r>
            <w:instrText xml:space="preserve"> PAGEREF _Toc17729 \h </w:instrText>
          </w:r>
          <w:r>
            <w:fldChar w:fldCharType="separate"/>
          </w:r>
          <w:r>
            <w:t>34</w:t>
          </w:r>
          <w:r>
            <w:fldChar w:fldCharType="end"/>
          </w:r>
          <w:r>
            <w:fldChar w:fldCharType="end"/>
          </w:r>
        </w:p>
        <w:p w14:paraId="74B0E82D">
          <w:pPr>
            <w:pStyle w:val="15"/>
            <w:tabs>
              <w:tab w:val="right" w:leader="dot" w:pos="8306"/>
              <w:tab w:val="clear" w:pos="8296"/>
            </w:tabs>
          </w:pPr>
          <w:r>
            <w:fldChar w:fldCharType="begin"/>
          </w:r>
          <w:r>
            <w:instrText xml:space="preserve"> HYPERLINK \l _Toc7051 </w:instrText>
          </w:r>
          <w:r>
            <w:fldChar w:fldCharType="separate"/>
          </w:r>
          <w:r>
            <w:rPr>
              <w:rFonts w:hint="eastAsia" w:ascii="仿宋" w:hAnsi="仿宋" w:eastAsia="仿宋"/>
              <w:bCs w:val="0"/>
            </w:rPr>
            <w:t>十三、财政拨款“三公”经费支出决算表</w:t>
          </w:r>
          <w:r>
            <w:tab/>
          </w:r>
          <w:r>
            <w:fldChar w:fldCharType="begin"/>
          </w:r>
          <w:r>
            <w:instrText xml:space="preserve"> PAGEREF _Toc7051 \h </w:instrText>
          </w:r>
          <w:r>
            <w:fldChar w:fldCharType="separate"/>
          </w:r>
          <w:r>
            <w:t>34</w:t>
          </w:r>
          <w:r>
            <w:fldChar w:fldCharType="end"/>
          </w:r>
          <w:r>
            <w:fldChar w:fldCharType="end"/>
          </w:r>
        </w:p>
        <w:p w14:paraId="10AD8D9C">
          <w:r>
            <w:fldChar w:fldCharType="end"/>
          </w:r>
        </w:p>
      </w:sdtContent>
    </w:sdt>
    <w:p w14:paraId="7403E3ED"/>
    <w:p w14:paraId="46263129">
      <w:pPr>
        <w:widowControl/>
        <w:adjustRightInd w:val="0"/>
        <w:snapToGrid w:val="0"/>
        <w:spacing w:line="440" w:lineRule="exact"/>
        <w:ind w:firstLine="1320" w:firstLineChars="550"/>
        <w:jc w:val="left"/>
        <w:rPr>
          <w:rFonts w:ascii="仿宋" w:hAnsi="仿宋" w:eastAsia="仿宋"/>
          <w:sz w:val="24"/>
        </w:rPr>
      </w:pPr>
      <w:r>
        <w:rPr>
          <w:rFonts w:hint="eastAsia" w:ascii="仿宋" w:hAnsi="仿宋" w:eastAsia="仿宋"/>
          <w:sz w:val="24"/>
          <w:lang w:eastAsia="zh-CN"/>
        </w:rPr>
        <w:t>（</w:t>
      </w:r>
      <w:r>
        <w:rPr>
          <w:rFonts w:ascii="仿宋" w:hAnsi="仿宋" w:eastAsia="仿宋"/>
          <w:sz w:val="24"/>
        </w:rPr>
        <w:t>注：</w:t>
      </w:r>
      <w:r>
        <w:rPr>
          <w:rFonts w:hint="eastAsia" w:ascii="仿宋" w:hAnsi="仿宋" w:eastAsia="仿宋"/>
          <w:sz w:val="24"/>
        </w:rPr>
        <w:t>请单位根据实际注明页码</w:t>
      </w:r>
      <w:r>
        <w:rPr>
          <w:rFonts w:hint="eastAsia" w:ascii="仿宋" w:hAnsi="仿宋" w:eastAsia="仿宋"/>
          <w:sz w:val="24"/>
          <w:lang w:eastAsia="zh-CN"/>
        </w:rPr>
        <w:t>）</w:t>
      </w:r>
    </w:p>
    <w:p w14:paraId="3D6911E9">
      <w:pPr>
        <w:widowControl/>
        <w:spacing w:line="440" w:lineRule="exact"/>
        <w:jc w:val="left"/>
        <w:rPr>
          <w:rFonts w:ascii="仿宋" w:hAnsi="仿宋" w:eastAsia="仿宋"/>
          <w:bCs/>
          <w:kern w:val="44"/>
          <w:sz w:val="24"/>
        </w:rPr>
      </w:pPr>
      <w:bookmarkStart w:id="16" w:name="_Toc15396599"/>
      <w:bookmarkStart w:id="17" w:name="_Toc15377196"/>
      <w:r>
        <w:rPr>
          <w:rFonts w:ascii="仿宋" w:hAnsi="仿宋" w:eastAsia="仿宋"/>
          <w:b/>
          <w:sz w:val="24"/>
        </w:rPr>
        <w:br w:type="page"/>
      </w:r>
    </w:p>
    <w:p w14:paraId="3032616D">
      <w:pPr>
        <w:pStyle w:val="3"/>
        <w:jc w:val="center"/>
        <w:rPr>
          <w:rFonts w:ascii="黑体" w:eastAsia="黑体"/>
          <w:sz w:val="32"/>
          <w:szCs w:val="32"/>
        </w:rPr>
      </w:pPr>
      <w:bookmarkStart w:id="18" w:name="_Toc25627"/>
      <w:r>
        <w:rPr>
          <w:rFonts w:hint="eastAsia" w:ascii="黑体" w:hAnsi="黑体" w:eastAsia="黑体"/>
          <w:b w:val="0"/>
        </w:rPr>
        <w:t>第一部分 单位</w:t>
      </w:r>
      <w:r>
        <w:rPr>
          <w:rStyle w:val="30"/>
          <w:rFonts w:hint="eastAsia" w:ascii="黑体" w:hAnsi="黑体" w:eastAsia="黑体"/>
          <w:b w:val="0"/>
          <w:bCs w:val="0"/>
        </w:rPr>
        <w:t>概况</w:t>
      </w:r>
      <w:bookmarkEnd w:id="16"/>
      <w:bookmarkEnd w:id="17"/>
      <w:bookmarkEnd w:id="18"/>
    </w:p>
    <w:p w14:paraId="0F76E88C">
      <w:pPr>
        <w:pStyle w:val="4"/>
        <w:numPr>
          <w:ilvl w:val="0"/>
          <w:numId w:val="1"/>
        </w:numPr>
        <w:rPr>
          <w:rStyle w:val="31"/>
          <w:rFonts w:ascii="黑体" w:hAnsi="黑体" w:eastAsia="黑体"/>
          <w:b w:val="0"/>
          <w:bCs w:val="0"/>
        </w:rPr>
      </w:pPr>
      <w:bookmarkStart w:id="19" w:name="_Toc15713"/>
      <w:bookmarkStart w:id="20" w:name="_Toc15377197"/>
      <w:bookmarkStart w:id="21" w:name="_Toc15396600"/>
      <w:r>
        <w:rPr>
          <w:rStyle w:val="31"/>
          <w:rFonts w:hint="eastAsia" w:ascii="黑体" w:hAnsi="黑体" w:eastAsia="黑体"/>
          <w:b w:val="0"/>
          <w:bCs w:val="0"/>
        </w:rPr>
        <w:t>主要职责</w:t>
      </w:r>
      <w:bookmarkEnd w:id="19"/>
    </w:p>
    <w:p w14:paraId="6B994FF6">
      <w:pPr>
        <w:numPr>
          <w:ilvl w:val="0"/>
          <w:numId w:val="2"/>
        </w:numPr>
        <w:rPr>
          <w:rFonts w:ascii="仿宋" w:hAnsi="仿宋" w:eastAsia="仿宋"/>
          <w:color w:val="000000"/>
          <w:sz w:val="32"/>
          <w:szCs w:val="32"/>
        </w:rPr>
      </w:pPr>
      <w:r>
        <w:rPr>
          <w:rFonts w:ascii="仿宋" w:hAnsi="仿宋" w:eastAsia="仿宋"/>
          <w:b/>
          <w:bCs/>
          <w:color w:val="000000"/>
          <w:sz w:val="32"/>
          <w:szCs w:val="32"/>
        </w:rPr>
        <w:t>主要职能。</w:t>
      </w:r>
      <w:r>
        <w:rPr>
          <w:rFonts w:ascii="仿宋" w:hAnsi="仿宋" w:eastAsia="仿宋"/>
          <w:color w:val="000000"/>
          <w:sz w:val="32"/>
          <w:szCs w:val="32"/>
        </w:rPr>
        <w:cr/>
      </w:r>
      <w:r>
        <w:rPr>
          <w:rFonts w:hint="eastAsia" w:ascii="仿宋" w:hAnsi="仿宋" w:eastAsia="仿宋"/>
          <w:color w:val="000000"/>
          <w:sz w:val="32"/>
          <w:szCs w:val="32"/>
          <w:lang w:val="en-US" w:eastAsia="zh-CN"/>
        </w:rPr>
        <w:t xml:space="preserve">   </w:t>
      </w:r>
      <w:r>
        <w:rPr>
          <w:rFonts w:hint="eastAsia" w:ascii="仿宋" w:hAnsi="仿宋" w:eastAsia="仿宋"/>
          <w:b/>
          <w:bCs/>
          <w:color w:val="000000"/>
          <w:sz w:val="32"/>
          <w:szCs w:val="32"/>
          <w:lang w:val="en-US" w:eastAsia="zh-CN"/>
        </w:rPr>
        <w:t xml:space="preserve"> 1.</w:t>
      </w:r>
      <w:r>
        <w:rPr>
          <w:rFonts w:ascii="仿宋" w:hAnsi="仿宋" w:eastAsia="仿宋"/>
          <w:color w:val="000000"/>
          <w:sz w:val="32"/>
          <w:szCs w:val="32"/>
        </w:rPr>
        <w:t>拟定和指导实施全县急慢性传染病、慢性非传染性疾病、 职业病、地方病等疾病的预防控制规划、计划、实施方案、工作规范、 标准、</w:t>
      </w:r>
      <w:r>
        <w:rPr>
          <w:rFonts w:hint="eastAsia" w:ascii="仿宋" w:hAnsi="仿宋" w:eastAsia="仿宋"/>
          <w:color w:val="000000"/>
          <w:sz w:val="32"/>
          <w:szCs w:val="32"/>
          <w:lang w:eastAsia="zh-CN"/>
        </w:rPr>
        <w:t>防治</w:t>
      </w:r>
      <w:r>
        <w:rPr>
          <w:rFonts w:ascii="仿宋" w:hAnsi="仿宋" w:eastAsia="仿宋"/>
          <w:color w:val="000000"/>
          <w:sz w:val="32"/>
          <w:szCs w:val="32"/>
        </w:rPr>
        <w:t>对策与技术措施。并对实施情况进行质量控制和效果评估。</w:t>
      </w:r>
      <w:r>
        <w:rPr>
          <w:rFonts w:ascii="仿宋" w:hAnsi="仿宋" w:eastAsia="仿宋"/>
          <w:color w:val="000000"/>
          <w:sz w:val="32"/>
          <w:szCs w:val="32"/>
        </w:rPr>
        <w:cr/>
      </w:r>
      <w:r>
        <w:rPr>
          <w:rFonts w:hint="eastAsia" w:ascii="仿宋" w:hAnsi="仿宋" w:eastAsia="仿宋"/>
          <w:color w:val="000000"/>
          <w:sz w:val="32"/>
          <w:szCs w:val="32"/>
          <w:lang w:val="en-US" w:eastAsia="zh-CN"/>
        </w:rPr>
        <w:t xml:space="preserve">    </w:t>
      </w:r>
      <w:r>
        <w:rPr>
          <w:rFonts w:ascii="仿宋" w:hAnsi="仿宋" w:eastAsia="仿宋"/>
          <w:b/>
          <w:bCs/>
          <w:color w:val="000000"/>
          <w:sz w:val="32"/>
          <w:szCs w:val="32"/>
        </w:rPr>
        <w:t>2.</w:t>
      </w:r>
      <w:r>
        <w:rPr>
          <w:rFonts w:ascii="仿宋" w:hAnsi="仿宋" w:eastAsia="仿宋"/>
          <w:color w:val="000000"/>
          <w:sz w:val="32"/>
          <w:szCs w:val="32"/>
        </w:rPr>
        <w:t xml:space="preserve">建立突发公共卫生事件应急处理运行机制，指导和参与调查处理全县发生的重大传染病疫情、新发传染病、群体性不明原因疾病等突发公共卫生事件。 </w:t>
      </w:r>
      <w:r>
        <w:rPr>
          <w:rFonts w:ascii="仿宋" w:hAnsi="仿宋" w:eastAsia="仿宋"/>
          <w:color w:val="000000"/>
          <w:sz w:val="32"/>
          <w:szCs w:val="32"/>
        </w:rPr>
        <w:cr/>
      </w:r>
      <w:r>
        <w:rPr>
          <w:rFonts w:hint="eastAsia" w:ascii="仿宋" w:hAnsi="仿宋" w:eastAsia="仿宋"/>
          <w:color w:val="000000"/>
          <w:sz w:val="32"/>
          <w:szCs w:val="32"/>
          <w:lang w:val="en-US" w:eastAsia="zh-CN"/>
        </w:rPr>
        <w:t xml:space="preserve">   </w:t>
      </w:r>
      <w:r>
        <w:rPr>
          <w:rFonts w:hint="eastAsia" w:ascii="仿宋" w:hAnsi="仿宋" w:eastAsia="仿宋"/>
          <w:b/>
          <w:bCs/>
          <w:color w:val="000000"/>
          <w:sz w:val="32"/>
          <w:szCs w:val="32"/>
          <w:lang w:val="en-US" w:eastAsia="zh-CN"/>
        </w:rPr>
        <w:t xml:space="preserve"> </w:t>
      </w:r>
      <w:r>
        <w:rPr>
          <w:rFonts w:ascii="仿宋" w:hAnsi="仿宋" w:eastAsia="仿宋"/>
          <w:b/>
          <w:bCs/>
          <w:color w:val="000000"/>
          <w:sz w:val="32"/>
          <w:szCs w:val="32"/>
        </w:rPr>
        <w:t>3.</w:t>
      </w:r>
      <w:r>
        <w:rPr>
          <w:rFonts w:ascii="仿宋" w:hAnsi="仿宋" w:eastAsia="仿宋"/>
          <w:color w:val="000000"/>
          <w:sz w:val="32"/>
          <w:szCs w:val="32"/>
        </w:rPr>
        <w:t>开展对影响人群生存环境卫生质量及生命质量的危险因素和食品、职业、环境、放射、学校卫生等卫生学监测</w:t>
      </w:r>
      <w:r>
        <w:rPr>
          <w:rFonts w:hint="eastAsia" w:ascii="仿宋" w:hAnsi="仿宋" w:eastAsia="仿宋"/>
          <w:color w:val="000000"/>
          <w:sz w:val="32"/>
          <w:szCs w:val="32"/>
          <w:lang w:eastAsia="zh-CN"/>
        </w:rPr>
        <w:t>、</w:t>
      </w:r>
      <w:r>
        <w:rPr>
          <w:rFonts w:ascii="仿宋" w:hAnsi="仿宋" w:eastAsia="仿宋"/>
          <w:color w:val="000000"/>
          <w:sz w:val="32"/>
          <w:szCs w:val="32"/>
        </w:rPr>
        <w:t>组织开展健康危害因素干预。</w:t>
      </w:r>
      <w:r>
        <w:rPr>
          <w:rFonts w:ascii="仿宋" w:hAnsi="仿宋" w:eastAsia="仿宋"/>
          <w:color w:val="000000"/>
          <w:sz w:val="32"/>
          <w:szCs w:val="32"/>
        </w:rPr>
        <w:cr/>
      </w:r>
      <w:r>
        <w:rPr>
          <w:rFonts w:hint="eastAsia" w:ascii="仿宋" w:hAnsi="仿宋" w:eastAsia="仿宋"/>
          <w:color w:val="000000"/>
          <w:sz w:val="32"/>
          <w:szCs w:val="32"/>
          <w:lang w:val="en-US" w:eastAsia="zh-CN"/>
        </w:rPr>
        <w:t xml:space="preserve">    </w:t>
      </w:r>
      <w:r>
        <w:rPr>
          <w:rFonts w:ascii="仿宋" w:hAnsi="仿宋" w:eastAsia="仿宋"/>
          <w:b/>
          <w:bCs/>
          <w:color w:val="000000"/>
          <w:sz w:val="32"/>
          <w:szCs w:val="32"/>
        </w:rPr>
        <w:t>4.</w:t>
      </w:r>
      <w:r>
        <w:rPr>
          <w:rFonts w:ascii="仿宋" w:hAnsi="仿宋" w:eastAsia="仿宋"/>
          <w:color w:val="000000"/>
          <w:sz w:val="32"/>
          <w:szCs w:val="32"/>
        </w:rPr>
        <w:t>对全县急慢性传染病、地方病、寄生虫病、慢性非传染性疾病、职业病、公害病、学生常见病及意外伤害等发生、分布和发展的规律进行流行病学监测、分析和预测、预报。</w:t>
      </w:r>
      <w:r>
        <w:rPr>
          <w:rFonts w:ascii="仿宋" w:hAnsi="仿宋" w:eastAsia="仿宋"/>
          <w:color w:val="000000"/>
          <w:sz w:val="32"/>
          <w:szCs w:val="32"/>
        </w:rPr>
        <w:cr/>
      </w:r>
      <w:r>
        <w:rPr>
          <w:rFonts w:hint="eastAsia" w:ascii="仿宋" w:hAnsi="仿宋" w:eastAsia="仿宋"/>
          <w:color w:val="000000"/>
          <w:sz w:val="32"/>
          <w:szCs w:val="32"/>
          <w:lang w:val="en-US" w:eastAsia="zh-CN"/>
        </w:rPr>
        <w:t xml:space="preserve">    </w:t>
      </w:r>
      <w:r>
        <w:rPr>
          <w:rFonts w:ascii="仿宋" w:hAnsi="仿宋" w:eastAsia="仿宋"/>
          <w:b/>
          <w:bCs/>
          <w:color w:val="000000"/>
          <w:sz w:val="32"/>
          <w:szCs w:val="32"/>
        </w:rPr>
        <w:t>5.</w:t>
      </w:r>
      <w:r>
        <w:rPr>
          <w:rFonts w:ascii="仿宋" w:hAnsi="仿宋" w:eastAsia="仿宋"/>
          <w:color w:val="000000"/>
          <w:sz w:val="32"/>
          <w:szCs w:val="32"/>
        </w:rPr>
        <w:t>组织开展全县免疫和规划免疫预防接种工作，负责免疫预防的技术指导、效果监测与评价，预防用生物制品的计划、订购、供应及冷链系统的监测与使用管理。</w:t>
      </w:r>
      <w:r>
        <w:rPr>
          <w:rFonts w:ascii="仿宋" w:hAnsi="仿宋" w:eastAsia="仿宋"/>
          <w:color w:val="000000"/>
          <w:sz w:val="32"/>
          <w:szCs w:val="32"/>
        </w:rPr>
        <w:cr/>
      </w:r>
      <w:r>
        <w:rPr>
          <w:rFonts w:hint="eastAsia" w:ascii="仿宋" w:hAnsi="仿宋" w:eastAsia="仿宋"/>
          <w:color w:val="000000"/>
          <w:sz w:val="32"/>
          <w:szCs w:val="32"/>
          <w:lang w:val="en-US" w:eastAsia="zh-CN"/>
        </w:rPr>
        <w:t xml:space="preserve">    </w:t>
      </w:r>
      <w:r>
        <w:rPr>
          <w:rFonts w:ascii="仿宋" w:hAnsi="仿宋" w:eastAsia="仿宋"/>
          <w:b/>
          <w:bCs/>
          <w:color w:val="000000"/>
          <w:sz w:val="32"/>
          <w:szCs w:val="32"/>
        </w:rPr>
        <w:t>6.</w:t>
      </w:r>
      <w:r>
        <w:rPr>
          <w:rFonts w:ascii="仿宋" w:hAnsi="仿宋" w:eastAsia="仿宋"/>
          <w:color w:val="000000"/>
          <w:sz w:val="32"/>
          <w:szCs w:val="32"/>
        </w:rPr>
        <w:t>拟定健康教育工作规划、计划与实施方案，开展健康教育和健康促进工作。</w:t>
      </w:r>
      <w:r>
        <w:rPr>
          <w:rFonts w:ascii="仿宋" w:hAnsi="仿宋" w:eastAsia="仿宋"/>
          <w:color w:val="000000"/>
          <w:sz w:val="32"/>
          <w:szCs w:val="32"/>
        </w:rPr>
        <w:cr/>
      </w:r>
      <w:r>
        <w:rPr>
          <w:rFonts w:hint="eastAsia" w:ascii="仿宋" w:hAnsi="仿宋" w:eastAsia="仿宋"/>
          <w:color w:val="000000"/>
          <w:sz w:val="32"/>
          <w:szCs w:val="32"/>
          <w:lang w:val="en-US" w:eastAsia="zh-CN"/>
        </w:rPr>
        <w:t xml:space="preserve">    </w:t>
      </w:r>
      <w:r>
        <w:rPr>
          <w:rFonts w:ascii="仿宋" w:hAnsi="仿宋" w:eastAsia="仿宋"/>
          <w:b/>
          <w:bCs/>
          <w:color w:val="000000"/>
          <w:sz w:val="32"/>
          <w:szCs w:val="32"/>
        </w:rPr>
        <w:t>7.</w:t>
      </w:r>
      <w:r>
        <w:rPr>
          <w:rFonts w:ascii="仿宋" w:hAnsi="仿宋" w:eastAsia="仿宋"/>
          <w:color w:val="000000"/>
          <w:sz w:val="32"/>
          <w:szCs w:val="32"/>
        </w:rPr>
        <w:t xml:space="preserve">拟定全县消毒杀虫工作规划、计划和技术措施，组织开展病原媒介生物和消毒杀虫工作效果监测与评价。 </w:t>
      </w:r>
      <w:r>
        <w:rPr>
          <w:rFonts w:ascii="仿宋" w:hAnsi="仿宋" w:eastAsia="仿宋"/>
          <w:color w:val="000000"/>
          <w:sz w:val="32"/>
          <w:szCs w:val="32"/>
        </w:rPr>
        <w:cr/>
      </w:r>
      <w:r>
        <w:rPr>
          <w:rFonts w:hint="eastAsia" w:ascii="仿宋" w:hAnsi="仿宋" w:eastAsia="仿宋"/>
          <w:color w:val="000000"/>
          <w:sz w:val="32"/>
          <w:szCs w:val="32"/>
          <w:lang w:val="en-US" w:eastAsia="zh-CN"/>
        </w:rPr>
        <w:t xml:space="preserve">    </w:t>
      </w:r>
      <w:r>
        <w:rPr>
          <w:rFonts w:hint="eastAsia" w:ascii="仿宋" w:hAnsi="仿宋" w:eastAsia="仿宋"/>
          <w:b/>
          <w:bCs/>
          <w:color w:val="000000"/>
          <w:sz w:val="32"/>
          <w:szCs w:val="32"/>
          <w:lang w:val="en-US" w:eastAsia="zh-CN"/>
        </w:rPr>
        <w:t>8.</w:t>
      </w:r>
      <w:r>
        <w:rPr>
          <w:rFonts w:ascii="仿宋" w:hAnsi="仿宋" w:eastAsia="仿宋"/>
          <w:color w:val="000000"/>
          <w:sz w:val="32"/>
          <w:szCs w:val="32"/>
        </w:rPr>
        <w:t xml:space="preserve">负责全县传染病疫情等突发公共卫生事件及有关公共卫生信息的收集、分析、报告、管理工作。 </w:t>
      </w:r>
      <w:r>
        <w:rPr>
          <w:rFonts w:ascii="仿宋" w:hAnsi="仿宋" w:eastAsia="仿宋"/>
          <w:color w:val="000000"/>
          <w:sz w:val="32"/>
          <w:szCs w:val="32"/>
        </w:rPr>
        <w:cr/>
      </w:r>
      <w:r>
        <w:rPr>
          <w:rFonts w:hint="eastAsia" w:ascii="仿宋" w:hAnsi="仿宋" w:eastAsia="仿宋"/>
          <w:color w:val="000000"/>
          <w:sz w:val="32"/>
          <w:szCs w:val="32"/>
          <w:lang w:val="en-US" w:eastAsia="zh-CN"/>
        </w:rPr>
        <w:t xml:space="preserve">    </w:t>
      </w:r>
      <w:r>
        <w:rPr>
          <w:rFonts w:ascii="仿宋" w:hAnsi="仿宋" w:eastAsia="仿宋"/>
          <w:b/>
          <w:bCs/>
          <w:color w:val="000000"/>
          <w:sz w:val="32"/>
          <w:szCs w:val="32"/>
        </w:rPr>
        <w:t>9.</w:t>
      </w:r>
      <w:r>
        <w:rPr>
          <w:rFonts w:ascii="仿宋" w:hAnsi="仿宋" w:eastAsia="仿宋"/>
          <w:color w:val="000000"/>
          <w:sz w:val="32"/>
          <w:szCs w:val="32"/>
        </w:rPr>
        <w:t>承担卫生监测检验、预防性健康检查、健康相关产品卫生质量检验、鉴定工作；负责对新建、改建、扩建建设项目的选址、设计和竣工验收的卫生学评价工作。</w:t>
      </w:r>
      <w:r>
        <w:rPr>
          <w:rFonts w:ascii="仿宋" w:hAnsi="仿宋" w:eastAsia="仿宋"/>
          <w:color w:val="000000"/>
          <w:sz w:val="32"/>
          <w:szCs w:val="32"/>
        </w:rPr>
        <w:cr/>
      </w:r>
      <w:r>
        <w:rPr>
          <w:rFonts w:hint="eastAsia" w:ascii="仿宋" w:hAnsi="仿宋" w:eastAsia="仿宋"/>
          <w:color w:val="000000"/>
          <w:sz w:val="32"/>
          <w:szCs w:val="32"/>
          <w:lang w:val="en-US" w:eastAsia="zh-CN"/>
        </w:rPr>
        <w:t xml:space="preserve">    </w:t>
      </w:r>
      <w:r>
        <w:rPr>
          <w:rFonts w:ascii="仿宋" w:hAnsi="仿宋" w:eastAsia="仿宋"/>
          <w:b/>
          <w:bCs/>
          <w:color w:val="000000"/>
          <w:sz w:val="32"/>
          <w:szCs w:val="32"/>
        </w:rPr>
        <w:t>10.</w:t>
      </w:r>
      <w:r>
        <w:rPr>
          <w:rFonts w:ascii="仿宋" w:hAnsi="仿宋" w:eastAsia="仿宋"/>
          <w:color w:val="000000"/>
          <w:sz w:val="32"/>
          <w:szCs w:val="32"/>
        </w:rPr>
        <w:t xml:space="preserve">向社会提供相关的预防保健信息、健康咨询和预防医学诊疗等专业技术服务。 </w:t>
      </w:r>
      <w:r>
        <w:rPr>
          <w:rFonts w:ascii="仿宋" w:hAnsi="仿宋" w:eastAsia="仿宋"/>
          <w:color w:val="000000"/>
          <w:sz w:val="32"/>
          <w:szCs w:val="32"/>
        </w:rPr>
        <w:cr/>
      </w:r>
      <w:r>
        <w:rPr>
          <w:rFonts w:hint="eastAsia" w:ascii="仿宋" w:hAnsi="仿宋" w:eastAsia="仿宋"/>
          <w:color w:val="000000"/>
          <w:sz w:val="32"/>
          <w:szCs w:val="32"/>
          <w:lang w:val="en-US" w:eastAsia="zh-CN"/>
        </w:rPr>
        <w:t xml:space="preserve">    </w:t>
      </w:r>
      <w:r>
        <w:rPr>
          <w:rFonts w:ascii="仿宋" w:hAnsi="仿宋" w:eastAsia="仿宋"/>
          <w:b/>
          <w:bCs/>
          <w:color w:val="000000"/>
          <w:sz w:val="32"/>
          <w:szCs w:val="32"/>
        </w:rPr>
        <w:t>11.</w:t>
      </w:r>
      <w:r>
        <w:rPr>
          <w:rFonts w:ascii="仿宋" w:hAnsi="仿宋" w:eastAsia="仿宋"/>
          <w:color w:val="000000"/>
          <w:sz w:val="32"/>
          <w:szCs w:val="32"/>
        </w:rPr>
        <w:t>负责全县疾病预防控制业务人员的技术培训、进修和业务指导；承担上级卫生行政和业务部门交办</w:t>
      </w:r>
      <w:r>
        <w:rPr>
          <w:rFonts w:hint="eastAsia" w:ascii="仿宋" w:hAnsi="仿宋" w:eastAsia="仿宋"/>
          <w:color w:val="000000"/>
          <w:sz w:val="32"/>
          <w:szCs w:val="32"/>
          <w:lang w:eastAsia="zh-CN"/>
        </w:rPr>
        <w:t>的其他</w:t>
      </w:r>
      <w:r>
        <w:rPr>
          <w:rFonts w:ascii="仿宋" w:hAnsi="仿宋" w:eastAsia="仿宋"/>
          <w:color w:val="000000"/>
          <w:sz w:val="32"/>
          <w:szCs w:val="32"/>
        </w:rPr>
        <w:t>事宜。</w:t>
      </w:r>
    </w:p>
    <w:p w14:paraId="51001CDD">
      <w:pPr>
        <w:pStyle w:val="4"/>
        <w:rPr>
          <w:rFonts w:ascii="仿宋" w:hAnsi="仿宋" w:eastAsia="仿宋"/>
          <w:b/>
          <w:bCs/>
          <w:color w:val="auto"/>
          <w:sz w:val="32"/>
          <w:szCs w:val="32"/>
        </w:rPr>
      </w:pPr>
      <w:bookmarkStart w:id="22" w:name="_Toc4300"/>
      <w:bookmarkStart w:id="23" w:name="_Toc21933"/>
      <w:r>
        <w:rPr>
          <w:rFonts w:ascii="仿宋" w:hAnsi="仿宋" w:eastAsia="仿宋"/>
          <w:b/>
          <w:bCs/>
          <w:color w:val="auto"/>
          <w:sz w:val="32"/>
          <w:szCs w:val="32"/>
        </w:rPr>
        <w:t>（二）202</w:t>
      </w:r>
      <w:r>
        <w:rPr>
          <w:rFonts w:hint="eastAsia" w:ascii="仿宋" w:hAnsi="仿宋" w:eastAsia="仿宋"/>
          <w:b/>
          <w:bCs/>
          <w:color w:val="auto"/>
          <w:sz w:val="32"/>
          <w:szCs w:val="32"/>
          <w:lang w:val="en-US" w:eastAsia="zh-CN"/>
        </w:rPr>
        <w:t>3</w:t>
      </w:r>
      <w:r>
        <w:rPr>
          <w:rFonts w:ascii="仿宋" w:hAnsi="仿宋" w:eastAsia="仿宋"/>
          <w:b/>
          <w:bCs/>
          <w:color w:val="auto"/>
          <w:sz w:val="32"/>
          <w:szCs w:val="32"/>
        </w:rPr>
        <w:t>年重点工作完成情况。</w:t>
      </w:r>
      <w:bookmarkEnd w:id="22"/>
      <w:bookmarkEnd w:id="23"/>
    </w:p>
    <w:p w14:paraId="7250F21B">
      <w:pPr>
        <w:keepNext w:val="0"/>
        <w:keepLines w:val="0"/>
        <w:widowControl w:val="0"/>
        <w:suppressLineNumbers w:val="0"/>
        <w:autoSpaceDE w:val="0"/>
        <w:autoSpaceDN/>
        <w:spacing w:before="0" w:beforeAutospacing="0" w:after="0" w:afterAutospacing="0" w:line="578" w:lineRule="exact"/>
        <w:ind w:left="0" w:right="0" w:firstLine="640" w:firstLineChars="200"/>
        <w:jc w:val="both"/>
        <w:rPr>
          <w:rFonts w:hint="eastAsia" w:ascii="仿宋_GB2312" w:hAnsi="仿宋_GB2312" w:eastAsia="仿宋_GB2312" w:cs="仿宋_GB2312"/>
          <w:bCs/>
          <w:color w:val="auto"/>
          <w:sz w:val="32"/>
          <w:szCs w:val="32"/>
        </w:rPr>
      </w:pPr>
      <w:r>
        <w:rPr>
          <w:rFonts w:hint="eastAsia" w:ascii="黑体" w:hAnsi="黑体" w:eastAsia="黑体" w:cs="黑体"/>
          <w:b w:val="0"/>
          <w:bCs/>
          <w:color w:val="auto"/>
          <w:sz w:val="32"/>
          <w:szCs w:val="32"/>
          <w:lang w:val="en-US" w:eastAsia="zh-CN"/>
        </w:rPr>
        <w:t>1、</w:t>
      </w:r>
      <w:r>
        <w:rPr>
          <w:rFonts w:hint="eastAsia" w:ascii="黑体" w:hAnsi="黑体" w:eastAsia="黑体" w:cs="黑体"/>
          <w:b w:val="0"/>
          <w:bCs/>
          <w:color w:val="auto"/>
          <w:sz w:val="32"/>
          <w:szCs w:val="32"/>
        </w:rPr>
        <w:t>传染病管理工作。</w:t>
      </w:r>
      <w:r>
        <w:rPr>
          <w:rFonts w:hint="eastAsia" w:ascii="黑体" w:hAnsi="黑体" w:eastAsia="黑体" w:cs="黑体"/>
          <w:b w:val="0"/>
          <w:bCs/>
          <w:color w:val="auto"/>
          <w:sz w:val="32"/>
          <w:szCs w:val="32"/>
          <w:lang w:eastAsia="zh-CN"/>
        </w:rPr>
        <w:t>截至</w:t>
      </w:r>
      <w:r>
        <w:rPr>
          <w:rFonts w:hint="eastAsia" w:ascii="仿宋_GB2312" w:hAnsi="仿宋_GB2312" w:eastAsia="仿宋_GB2312" w:cs="仿宋_GB2312"/>
          <w:color w:val="auto"/>
          <w:kern w:val="2"/>
          <w:sz w:val="32"/>
          <w:szCs w:val="32"/>
          <w:lang w:val="en-US" w:eastAsia="zh-CN" w:bidi="ar"/>
        </w:rPr>
        <w:t>2023年12月31日，全县共报告乙丙类传染病11种，报告发病1213例，无死亡病例；报告发病率为1817.12/10万，与去年累计比上升211.75%。甲类传染病无病例报告。2023年全县共报告乙类传染病7种共373例，无死亡，报告发病</w:t>
      </w:r>
      <w:r>
        <w:rPr>
          <w:rFonts w:hint="eastAsia" w:ascii="仿宋_GB2312" w:hAnsi="仿宋_GB2312" w:eastAsia="仿宋_GB2312" w:cs="仿宋_GB2312"/>
          <w:color w:val="auto"/>
          <w:kern w:val="2"/>
          <w:sz w:val="32"/>
          <w:szCs w:val="32"/>
          <w:lang w:val="en-US" w:eastAsia="zh-CN" w:bidi="ar-SA"/>
        </w:rPr>
        <w:t xml:space="preserve">率为558.77/10万，与去年累计比上升65.31%。2023年全县共报告丙类传染病4种840例，无死亡，报告发病率为1258.35/10万，与去年累计比上升413.89%。甲、乙、丙类传染病发病居前三位的分别是流行性感冒、乙肝、手足口病。完成鼠疫、霍乱、新型冠状病毒感染等应急预案及防控方案14份。完成鼠疫、霍乱、新型冠状病毒感染等应急预案及防控方案14份。                                                                                                                                                                                                                                                                                                                                                                                                                                                                                                                                                                                                                                                                                                                                                                                                                                                                                                                                                                                                                                                                                                                                                                                                                                                                                                                                                                                                                                                                                                                                                                                                                                                                                                                                                                                                                                                                                                                                                                                                                                                                                                                                                                                                                                                                                                                                                                                                                                                                                                                                                                                                                                                                                                                                                                                                                                                                                                                                                                                                                                                                                                                                                                                                                                                                                                                                                                                                                                                                                                                                                                                                                                                                                                                                                                                                                                                                                                                                                     </w:t>
      </w:r>
    </w:p>
    <w:p w14:paraId="645D8E15">
      <w:pPr>
        <w:pStyle w:val="14"/>
        <w:numPr>
          <w:ilvl w:val="0"/>
          <w:numId w:val="0"/>
        </w:numPr>
        <w:ind w:left="0" w:leftChars="0" w:firstLine="640" w:firstLineChars="200"/>
        <w:rPr>
          <w:rFonts w:hint="eastAsia" w:ascii="仿宋_GB2312" w:hAnsi="仿宋_GB2312" w:eastAsia="仿宋_GB2312" w:cs="仿宋_GB2312"/>
          <w:color w:val="auto"/>
          <w:sz w:val="32"/>
          <w:szCs w:val="32"/>
        </w:rPr>
      </w:pPr>
      <w:r>
        <w:rPr>
          <w:rFonts w:hint="eastAsia" w:ascii="黑体" w:hAnsi="黑体" w:eastAsia="黑体" w:cs="黑体"/>
          <w:b w:val="0"/>
          <w:bCs w:val="0"/>
          <w:color w:val="auto"/>
          <w:sz w:val="32"/>
          <w:szCs w:val="32"/>
          <w:lang w:val="en-US" w:eastAsia="zh-CN"/>
        </w:rPr>
        <w:t>2、</w:t>
      </w:r>
      <w:r>
        <w:rPr>
          <w:rFonts w:hint="eastAsia" w:ascii="黑体" w:hAnsi="黑体" w:eastAsia="黑体" w:cs="黑体"/>
          <w:b w:val="0"/>
          <w:bCs w:val="0"/>
          <w:color w:val="auto"/>
          <w:sz w:val="32"/>
          <w:szCs w:val="32"/>
        </w:rPr>
        <w:t>免疫</w:t>
      </w:r>
      <w:r>
        <w:rPr>
          <w:rFonts w:hint="eastAsia" w:ascii="黑体" w:hAnsi="黑体" w:eastAsia="黑体" w:cs="黑体"/>
          <w:b w:val="0"/>
          <w:bCs w:val="0"/>
          <w:color w:val="auto"/>
          <w:sz w:val="32"/>
          <w:szCs w:val="32"/>
          <w:lang w:val="en-US" w:eastAsia="zh-CN"/>
        </w:rPr>
        <w:t>规划</w:t>
      </w:r>
      <w:r>
        <w:rPr>
          <w:rFonts w:hint="eastAsia" w:ascii="黑体" w:hAnsi="黑体" w:eastAsia="黑体" w:cs="黑体"/>
          <w:b w:val="0"/>
          <w:bCs w:val="0"/>
          <w:color w:val="auto"/>
          <w:sz w:val="32"/>
          <w:szCs w:val="32"/>
        </w:rPr>
        <w:t>工作情况</w:t>
      </w:r>
      <w:r>
        <w:rPr>
          <w:rFonts w:hint="eastAsia" w:ascii="黑体" w:hAnsi="黑体" w:eastAsia="黑体" w:cs="黑体"/>
          <w:b w:val="0"/>
          <w:bCs w:val="0"/>
          <w:color w:val="auto"/>
          <w:sz w:val="32"/>
          <w:szCs w:val="32"/>
          <w:lang w:eastAsia="zh-CN"/>
        </w:rPr>
        <w:t>。</w:t>
      </w:r>
      <w:r>
        <w:rPr>
          <w:rFonts w:hint="eastAsia" w:ascii="仿宋_GB2312" w:hAnsi="仿宋_GB2312" w:eastAsia="仿宋_GB2312" w:cs="仿宋_GB2312"/>
          <w:color w:val="auto"/>
          <w:sz w:val="32"/>
          <w:szCs w:val="32"/>
          <w:lang w:val="en-US" w:eastAsia="zh-CN"/>
        </w:rPr>
        <w:t>2023年全年，</w:t>
      </w:r>
      <w:r>
        <w:rPr>
          <w:rFonts w:hint="eastAsia" w:ascii="仿宋_GB2312" w:hAnsi="仿宋_GB2312" w:eastAsia="仿宋_GB2312" w:cs="仿宋_GB2312"/>
          <w:color w:val="auto"/>
          <w:sz w:val="32"/>
          <w:szCs w:val="32"/>
        </w:rPr>
        <w:t>全县共接种疫苗2</w:t>
      </w:r>
      <w:r>
        <w:rPr>
          <w:rFonts w:hint="eastAsia" w:ascii="仿宋_GB2312" w:hAnsi="仿宋_GB2312" w:eastAsia="仿宋_GB2312" w:cs="仿宋_GB2312"/>
          <w:color w:val="auto"/>
          <w:sz w:val="32"/>
          <w:szCs w:val="32"/>
          <w:lang w:val="en-US" w:eastAsia="zh-CN"/>
        </w:rPr>
        <w:t>46</w:t>
      </w:r>
      <w:r>
        <w:rPr>
          <w:rFonts w:hint="eastAsia" w:ascii="仿宋_GB2312" w:hAnsi="仿宋_GB2312" w:eastAsia="仿宋_GB2312" w:cs="仿宋_GB2312"/>
          <w:color w:val="auto"/>
          <w:sz w:val="32"/>
          <w:szCs w:val="32"/>
        </w:rPr>
        <w:t>92剂次，其中：免疫规划</w:t>
      </w:r>
      <w:r>
        <w:rPr>
          <w:rFonts w:hint="eastAsia" w:ascii="仿宋_GB2312" w:hAnsi="仿宋_GB2312" w:eastAsia="仿宋_GB2312" w:cs="仿宋_GB2312"/>
          <w:color w:val="auto"/>
          <w:sz w:val="32"/>
          <w:szCs w:val="32"/>
          <w:lang w:val="en-US" w:eastAsia="zh-CN"/>
        </w:rPr>
        <w:t>11263</w:t>
      </w:r>
      <w:r>
        <w:rPr>
          <w:rFonts w:hint="eastAsia" w:ascii="仿宋_GB2312" w:hAnsi="仿宋_GB2312" w:eastAsia="仿宋_GB2312" w:cs="仿宋_GB2312"/>
          <w:color w:val="auto"/>
          <w:sz w:val="32"/>
          <w:szCs w:val="32"/>
        </w:rPr>
        <w:t>剂次，非免疫规划疫苗1</w:t>
      </w:r>
      <w:r>
        <w:rPr>
          <w:rFonts w:hint="eastAsia" w:ascii="仿宋_GB2312" w:hAnsi="仿宋_GB2312" w:eastAsia="仿宋_GB2312" w:cs="仿宋_GB2312"/>
          <w:color w:val="auto"/>
          <w:sz w:val="32"/>
          <w:szCs w:val="32"/>
          <w:lang w:val="en-US" w:eastAsia="zh-CN"/>
        </w:rPr>
        <w:t>3429</w:t>
      </w:r>
      <w:r>
        <w:rPr>
          <w:rFonts w:hint="eastAsia" w:ascii="仿宋_GB2312" w:hAnsi="仿宋_GB2312" w:eastAsia="仿宋_GB2312" w:cs="仿宋_GB2312"/>
          <w:color w:val="auto"/>
          <w:sz w:val="32"/>
          <w:szCs w:val="32"/>
        </w:rPr>
        <w:t>剂次。对乡镇卫生及学校进行入托入学查漏补种工作及日常工作进行督导。2023年疫苗接种基本情况分析报告下发各乡镇卫生院</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rPr>
        <w:t>2023年8月参加州级预防接种竞赛。目前全县18个接种门诊（包括县人民医院的狂犬接种门诊）均正常运行。</w:t>
      </w:r>
    </w:p>
    <w:p w14:paraId="74CD5D76">
      <w:pPr>
        <w:spacing w:line="576" w:lineRule="exact"/>
        <w:ind w:firstLine="640" w:firstLineChars="200"/>
        <w:jc w:val="left"/>
        <w:rPr>
          <w:rFonts w:hint="eastAsia" w:ascii="黑体" w:hAnsi="黑体" w:eastAsia="黑体" w:cs="黑体"/>
          <w:b w:val="0"/>
          <w:bCs/>
          <w:color w:val="auto"/>
          <w:sz w:val="32"/>
          <w:szCs w:val="32"/>
        </w:rPr>
      </w:pPr>
      <w:r>
        <w:rPr>
          <w:rFonts w:hint="eastAsia" w:ascii="黑体" w:hAnsi="黑体" w:eastAsia="黑体" w:cs="黑体"/>
          <w:b w:val="0"/>
          <w:bCs/>
          <w:color w:val="auto"/>
          <w:sz w:val="32"/>
          <w:szCs w:val="32"/>
          <w:lang w:val="en-US" w:eastAsia="zh-CN"/>
        </w:rPr>
        <w:t>3、</w:t>
      </w:r>
      <w:r>
        <w:rPr>
          <w:rFonts w:hint="eastAsia" w:ascii="黑体" w:hAnsi="黑体" w:eastAsia="黑体" w:cs="黑体"/>
          <w:b w:val="0"/>
          <w:bCs/>
          <w:color w:val="auto"/>
          <w:sz w:val="32"/>
          <w:szCs w:val="32"/>
        </w:rPr>
        <w:t>重大传染病防治</w:t>
      </w:r>
    </w:p>
    <w:p w14:paraId="6804B1C5">
      <w:pPr>
        <w:spacing w:line="576" w:lineRule="exact"/>
        <w:ind w:firstLine="643" w:firstLineChars="200"/>
        <w:jc w:val="left"/>
        <w:rPr>
          <w:rFonts w:hint="eastAsia" w:ascii="仿宋_GB2312" w:hAnsi="仿宋_GB2312" w:eastAsia="仿宋_GB2312" w:cs="仿宋_GB2312"/>
          <w:color w:val="auto"/>
          <w:sz w:val="32"/>
          <w:szCs w:val="32"/>
        </w:rPr>
      </w:pPr>
      <w:r>
        <w:rPr>
          <w:rFonts w:hint="eastAsia" w:ascii="仿宋_GB2312" w:hAnsi="仿宋_GB2312" w:eastAsia="仿宋_GB2312" w:cs="仿宋_GB2312"/>
          <w:b/>
          <w:bCs/>
          <w:color w:val="auto"/>
          <w:kern w:val="0"/>
          <w:sz w:val="32"/>
          <w:szCs w:val="32"/>
          <w:lang w:val="en-US" w:eastAsia="zh-CN"/>
        </w:rPr>
        <w:t>（1）艾滋病防治</w:t>
      </w:r>
      <w:r>
        <w:rPr>
          <w:rFonts w:hint="eastAsia" w:ascii="仿宋_GB2312" w:hAnsi="仿宋_GB2312" w:eastAsia="仿宋_GB2312" w:cs="仿宋_GB2312"/>
          <w:b/>
          <w:bCs/>
          <w:color w:val="auto"/>
          <w:kern w:val="0"/>
          <w:sz w:val="32"/>
          <w:szCs w:val="32"/>
        </w:rPr>
        <w:t>。</w:t>
      </w:r>
      <w:r>
        <w:rPr>
          <w:rFonts w:hint="eastAsia" w:ascii="仿宋_GB2312" w:hAnsi="仿宋_GB2312" w:eastAsia="仿宋_GB2312" w:cs="仿宋_GB2312"/>
          <w:color w:val="auto"/>
          <w:sz w:val="32"/>
          <w:szCs w:val="32"/>
        </w:rPr>
        <w:t>积极联合县级“三线办”成员单位开展在管患者治疗随访、CD4、配偶检测等工作，努力提高患者的生存质量。截至1</w:t>
      </w:r>
      <w:r>
        <w:rPr>
          <w:rFonts w:hint="eastAsia" w:ascii="仿宋_GB2312" w:hAnsi="仿宋_GB2312" w:eastAsia="仿宋_GB2312" w:cs="仿宋_GB2312"/>
          <w:color w:val="auto"/>
          <w:sz w:val="32"/>
          <w:szCs w:val="32"/>
          <w:lang w:val="en-US" w:eastAsia="zh-CN"/>
        </w:rPr>
        <w:t>2</w:t>
      </w:r>
      <w:r>
        <w:rPr>
          <w:rFonts w:hint="eastAsia" w:ascii="仿宋_GB2312" w:hAnsi="仿宋_GB2312" w:eastAsia="仿宋_GB2312" w:cs="仿宋_GB2312"/>
          <w:color w:val="auto"/>
          <w:sz w:val="32"/>
          <w:szCs w:val="32"/>
        </w:rPr>
        <w:t>月底，全县现存活感染者和病人82例，1-1</w:t>
      </w:r>
      <w:r>
        <w:rPr>
          <w:rFonts w:hint="eastAsia" w:ascii="仿宋_GB2312" w:hAnsi="仿宋_GB2312" w:eastAsia="仿宋_GB2312" w:cs="仿宋_GB2312"/>
          <w:color w:val="auto"/>
          <w:sz w:val="32"/>
          <w:szCs w:val="32"/>
          <w:lang w:val="en-US" w:eastAsia="zh-CN"/>
        </w:rPr>
        <w:t>2</w:t>
      </w:r>
      <w:r>
        <w:rPr>
          <w:rFonts w:hint="eastAsia" w:ascii="仿宋_GB2312" w:hAnsi="仿宋_GB2312" w:eastAsia="仿宋_GB2312" w:cs="仿宋_GB2312"/>
          <w:color w:val="auto"/>
          <w:sz w:val="32"/>
          <w:szCs w:val="32"/>
        </w:rPr>
        <w:t>月新报告患者6例；全县常住人口筛查23</w:t>
      </w:r>
      <w:r>
        <w:rPr>
          <w:rFonts w:hint="eastAsia" w:ascii="仿宋_GB2312" w:hAnsi="仿宋_GB2312" w:eastAsia="仿宋_GB2312" w:cs="仿宋_GB2312"/>
          <w:color w:val="auto"/>
          <w:sz w:val="32"/>
          <w:szCs w:val="32"/>
          <w:lang w:val="en-US" w:eastAsia="zh-CN"/>
        </w:rPr>
        <w:t>853</w:t>
      </w:r>
      <w:r>
        <w:rPr>
          <w:rFonts w:hint="eastAsia" w:ascii="仿宋_GB2312" w:hAnsi="仿宋_GB2312" w:eastAsia="仿宋_GB2312" w:cs="仿宋_GB2312"/>
          <w:color w:val="auto"/>
          <w:sz w:val="32"/>
          <w:szCs w:val="32"/>
        </w:rPr>
        <w:t>人，检测率为35.</w:t>
      </w:r>
      <w:r>
        <w:rPr>
          <w:rFonts w:hint="eastAsia" w:ascii="仿宋_GB2312" w:hAnsi="仿宋_GB2312" w:eastAsia="仿宋_GB2312" w:cs="仿宋_GB2312"/>
          <w:color w:val="auto"/>
          <w:sz w:val="32"/>
          <w:szCs w:val="32"/>
          <w:lang w:val="en-US" w:eastAsia="zh-CN"/>
        </w:rPr>
        <w:t>83</w:t>
      </w:r>
      <w:r>
        <w:rPr>
          <w:rFonts w:hint="eastAsia" w:ascii="仿宋_GB2312" w:hAnsi="仿宋_GB2312" w:eastAsia="仿宋_GB2312" w:cs="仿宋_GB2312"/>
          <w:color w:val="auto"/>
          <w:sz w:val="32"/>
          <w:szCs w:val="32"/>
        </w:rPr>
        <w:t>%，未筛查出艾滋病阳性病例；CD4应检测82人，已检测75人，检测率91.46%；全县感染者配偶应筛查22人，已检测21人，检测率95.46%；治疗覆盖率为95.</w:t>
      </w:r>
      <w:r>
        <w:rPr>
          <w:rFonts w:hint="eastAsia" w:ascii="仿宋_GB2312" w:hAnsi="仿宋_GB2312" w:eastAsia="仿宋_GB2312" w:cs="仿宋_GB2312"/>
          <w:color w:val="auto"/>
          <w:sz w:val="32"/>
          <w:szCs w:val="32"/>
          <w:lang w:val="en-US" w:eastAsia="zh-CN"/>
        </w:rPr>
        <w:t>18</w:t>
      </w:r>
      <w:r>
        <w:rPr>
          <w:rFonts w:hint="eastAsia" w:ascii="仿宋_GB2312" w:hAnsi="仿宋_GB2312" w:eastAsia="仿宋_GB2312" w:cs="仿宋_GB2312"/>
          <w:color w:val="auto"/>
          <w:sz w:val="32"/>
          <w:szCs w:val="32"/>
        </w:rPr>
        <w:t>%；病毒载量应测78人，病毒载量检测率9</w:t>
      </w:r>
      <w:r>
        <w:rPr>
          <w:rFonts w:hint="eastAsia" w:ascii="仿宋_GB2312" w:hAnsi="仿宋_GB2312" w:eastAsia="仿宋_GB2312" w:cs="仿宋_GB2312"/>
          <w:color w:val="auto"/>
          <w:sz w:val="32"/>
          <w:szCs w:val="32"/>
          <w:lang w:val="en-US" w:eastAsia="zh-CN"/>
        </w:rPr>
        <w:t>7.22</w:t>
      </w:r>
      <w:r>
        <w:rPr>
          <w:rFonts w:hint="eastAsia" w:ascii="仿宋_GB2312" w:hAnsi="仿宋_GB2312" w:eastAsia="仿宋_GB2312" w:cs="仿宋_GB2312"/>
          <w:color w:val="auto"/>
          <w:sz w:val="32"/>
          <w:szCs w:val="32"/>
        </w:rPr>
        <w:t>%，治疗成功率为86.</w:t>
      </w:r>
      <w:r>
        <w:rPr>
          <w:rFonts w:hint="eastAsia" w:ascii="仿宋_GB2312" w:hAnsi="仿宋_GB2312" w:eastAsia="仿宋_GB2312" w:cs="仿宋_GB2312"/>
          <w:color w:val="auto"/>
          <w:sz w:val="32"/>
          <w:szCs w:val="32"/>
          <w:lang w:val="en-US" w:eastAsia="zh-CN"/>
        </w:rPr>
        <w:t>95</w:t>
      </w:r>
      <w:r>
        <w:rPr>
          <w:rFonts w:hint="eastAsia" w:ascii="仿宋_GB2312" w:hAnsi="仿宋_GB2312" w:eastAsia="仿宋_GB2312" w:cs="仿宋_GB2312"/>
          <w:color w:val="auto"/>
          <w:sz w:val="32"/>
          <w:szCs w:val="32"/>
        </w:rPr>
        <w:t>%；全县无艾滋病母婴传播，孕产妇艾滋病检测率100%，孕期检测率100%，孕早期检测率8</w:t>
      </w:r>
      <w:r>
        <w:rPr>
          <w:rFonts w:hint="eastAsia" w:ascii="仿宋_GB2312" w:hAnsi="仿宋_GB2312" w:eastAsia="仿宋_GB2312" w:cs="仿宋_GB2312"/>
          <w:color w:val="auto"/>
          <w:sz w:val="32"/>
          <w:szCs w:val="32"/>
          <w:lang w:val="en-US" w:eastAsia="zh-CN"/>
        </w:rPr>
        <w:t>6.29</w:t>
      </w:r>
      <w:r>
        <w:rPr>
          <w:rFonts w:hint="eastAsia" w:ascii="仿宋_GB2312" w:hAnsi="仿宋_GB2312" w:eastAsia="仿宋_GB2312" w:cs="仿宋_GB2312"/>
          <w:color w:val="auto"/>
          <w:sz w:val="32"/>
          <w:szCs w:val="32"/>
        </w:rPr>
        <w:t>%，感染孕产妇随访率100%，感染孕产妇孕早期用药率100%，感染孕产妇及所生婴儿抗病毒用药率100%；2023年50岁及50岁以上男性哨点检测出梅毒10人，丙肝6人，无HIV阳性感染者。</w:t>
      </w:r>
    </w:p>
    <w:p w14:paraId="2A532671">
      <w:pPr>
        <w:spacing w:line="576" w:lineRule="exact"/>
        <w:ind w:firstLine="643" w:firstLineChars="200"/>
        <w:jc w:val="left"/>
        <w:rPr>
          <w:rFonts w:hint="eastAsia" w:ascii="仿宋_GB2312" w:hAnsi="仿宋_GB2312" w:eastAsia="仿宋_GB2312" w:cs="仿宋_GB2312"/>
          <w:color w:val="auto"/>
          <w:sz w:val="32"/>
          <w:szCs w:val="32"/>
        </w:rPr>
      </w:pPr>
      <w:r>
        <w:rPr>
          <w:rFonts w:hint="eastAsia" w:ascii="仿宋_GB2312" w:hAnsi="仿宋_GB2312" w:eastAsia="仿宋_GB2312" w:cs="仿宋_GB2312"/>
          <w:b/>
          <w:bCs/>
          <w:color w:val="auto"/>
          <w:kern w:val="0"/>
          <w:sz w:val="32"/>
          <w:szCs w:val="32"/>
          <w:lang w:val="en-US" w:eastAsia="zh-CN"/>
        </w:rPr>
        <w:t>（2）结核病防治。截至12月底</w:t>
      </w:r>
      <w:r>
        <w:rPr>
          <w:rFonts w:hint="eastAsia" w:ascii="仿宋_GB2312" w:hAnsi="仿宋_GB2312" w:eastAsia="仿宋_GB2312" w:cs="仿宋_GB2312"/>
          <w:color w:val="auto"/>
          <w:sz w:val="32"/>
          <w:szCs w:val="32"/>
        </w:rPr>
        <w:t>，全县结核病规范管理5</w:t>
      </w:r>
      <w:r>
        <w:rPr>
          <w:rFonts w:hint="eastAsia" w:ascii="仿宋_GB2312" w:hAnsi="仿宋_GB2312" w:eastAsia="仿宋_GB2312" w:cs="仿宋_GB2312"/>
          <w:color w:val="auto"/>
          <w:sz w:val="32"/>
          <w:szCs w:val="32"/>
          <w:lang w:val="en-US" w:eastAsia="zh-CN"/>
        </w:rPr>
        <w:t>6</w:t>
      </w:r>
      <w:r>
        <w:rPr>
          <w:rFonts w:hint="eastAsia" w:ascii="仿宋_GB2312" w:hAnsi="仿宋_GB2312" w:eastAsia="仿宋_GB2312" w:cs="仿宋_GB2312"/>
          <w:color w:val="auto"/>
          <w:sz w:val="32"/>
          <w:szCs w:val="32"/>
        </w:rPr>
        <w:t>人，规范管理率95.74%，治疗成功率</w:t>
      </w:r>
      <w:r>
        <w:rPr>
          <w:rFonts w:hint="eastAsia" w:ascii="仿宋_GB2312" w:hAnsi="仿宋_GB2312" w:eastAsia="仿宋_GB2312" w:cs="仿宋_GB2312"/>
          <w:color w:val="auto"/>
          <w:kern w:val="2"/>
          <w:sz w:val="32"/>
          <w:szCs w:val="32"/>
          <w:u w:val="none"/>
          <w:lang w:val="en-US" w:eastAsia="zh-CN" w:bidi="ar-SA"/>
        </w:rPr>
        <w:t>90.74%</w:t>
      </w:r>
      <w:r>
        <w:rPr>
          <w:rFonts w:hint="eastAsia" w:ascii="仿宋_GB2312" w:hAnsi="仿宋_GB2312" w:eastAsia="仿宋_GB2312" w:cs="仿宋_GB2312"/>
          <w:color w:val="auto"/>
          <w:sz w:val="32"/>
          <w:szCs w:val="32"/>
        </w:rPr>
        <w:t>。总体到位率</w:t>
      </w:r>
      <w:r>
        <w:rPr>
          <w:rFonts w:hint="eastAsia" w:ascii="仿宋_GB2312" w:hAnsi="仿宋_GB2312" w:eastAsia="仿宋_GB2312" w:cs="仿宋_GB2312"/>
          <w:color w:val="auto"/>
          <w:sz w:val="32"/>
          <w:szCs w:val="32"/>
          <w:lang w:val="en-US" w:eastAsia="zh-CN"/>
        </w:rPr>
        <w:t>100</w:t>
      </w:r>
      <w:r>
        <w:rPr>
          <w:rFonts w:hint="eastAsia"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rPr>
        <w:t>肺结核患者病原学阳性率</w:t>
      </w:r>
      <w:r>
        <w:rPr>
          <w:rFonts w:hint="eastAsia" w:ascii="仿宋_GB2312" w:hAnsi="仿宋_GB2312" w:eastAsia="仿宋_GB2312" w:cs="仿宋_GB2312"/>
          <w:color w:val="auto"/>
          <w:kern w:val="2"/>
          <w:sz w:val="32"/>
          <w:szCs w:val="32"/>
          <w:u w:val="none"/>
          <w:lang w:val="en-US" w:eastAsia="zh-CN" w:bidi="ar-SA"/>
        </w:rPr>
        <w:t>59.57%</w:t>
      </w:r>
      <w:r>
        <w:rPr>
          <w:rFonts w:hint="eastAsia" w:ascii="仿宋_GB2312" w:hAnsi="仿宋_GB2312" w:eastAsia="仿宋_GB2312" w:cs="仿宋_GB2312"/>
          <w:color w:val="auto"/>
          <w:sz w:val="32"/>
          <w:szCs w:val="32"/>
        </w:rPr>
        <w:t>，病原学阳性肺结核患者治愈率92.86%。开展学校师生结核病筛查9907人次，筛查率98.36%；累计开展结核病宣传10次，学校结核病防控督导30次，督导次数较往年增多，开展学校结核病专项培训1次，共80余人参会；在筛查工作开展的同时，及时组织召开2023年结核病筛查结果反馈及处置联系会，派遣专管人员在筛查工作中不定时随机筛查质控2000余人，进一步提高了筛查质量。</w:t>
      </w:r>
    </w:p>
    <w:p w14:paraId="11076345">
      <w:pPr>
        <w:spacing w:line="576" w:lineRule="exact"/>
        <w:ind w:firstLine="643" w:firstLineChars="200"/>
        <w:jc w:val="left"/>
        <w:rPr>
          <w:rFonts w:hint="eastAsia" w:ascii="仿宋_GB2312" w:hAnsi="仿宋_GB2312" w:eastAsia="仿宋_GB2312" w:cs="仿宋_GB2312"/>
          <w:color w:val="auto"/>
          <w:sz w:val="32"/>
          <w:szCs w:val="32"/>
        </w:rPr>
      </w:pPr>
      <w:r>
        <w:rPr>
          <w:rFonts w:hint="eastAsia" w:ascii="仿宋_GB2312" w:hAnsi="仿宋_GB2312" w:eastAsia="仿宋_GB2312" w:cs="仿宋_GB2312"/>
          <w:b/>
          <w:bCs/>
          <w:color w:val="auto"/>
          <w:sz w:val="32"/>
          <w:szCs w:val="32"/>
          <w:lang w:val="en-US" w:eastAsia="zh-CN"/>
        </w:rPr>
        <w:t>（3）包虫病防治。</w:t>
      </w:r>
      <w:r>
        <w:rPr>
          <w:rFonts w:hint="eastAsia" w:ascii="仿宋_GB2312" w:hAnsi="仿宋_GB2312" w:eastAsia="仿宋_GB2312" w:cs="仿宋_GB2312"/>
          <w:color w:val="auto"/>
          <w:sz w:val="32"/>
          <w:szCs w:val="32"/>
        </w:rPr>
        <w:t>2023年我县包虫病B超筛查3305人，其中成人2290人，儿童1015人，完成率为100%。犬粪收集完成监测540份（其中家犬534份、野犬6份）结果均为阴性。</w:t>
      </w:r>
    </w:p>
    <w:p w14:paraId="00CD06E9">
      <w:pPr>
        <w:spacing w:line="554" w:lineRule="exact"/>
        <w:ind w:firstLine="640" w:firstLineChars="200"/>
        <w:rPr>
          <w:rFonts w:hint="eastAsia" w:ascii="仿宋_GB2312" w:hAnsi="仿宋_GB2312" w:eastAsia="仿宋_GB2312" w:cs="仿宋_GB2312"/>
          <w:color w:val="auto"/>
          <w:sz w:val="32"/>
          <w:szCs w:val="32"/>
        </w:rPr>
      </w:pPr>
      <w:r>
        <w:rPr>
          <w:rFonts w:hint="eastAsia" w:ascii="黑体" w:hAnsi="黑体" w:eastAsia="黑体" w:cs="黑体"/>
          <w:b w:val="0"/>
          <w:bCs/>
          <w:color w:val="auto"/>
          <w:sz w:val="32"/>
          <w:szCs w:val="32"/>
          <w:lang w:val="en-US" w:eastAsia="zh-CN"/>
        </w:rPr>
        <w:t>4、</w:t>
      </w:r>
      <w:r>
        <w:rPr>
          <w:rFonts w:hint="eastAsia" w:ascii="黑体" w:hAnsi="黑体" w:eastAsia="黑体" w:cs="黑体"/>
          <w:b w:val="0"/>
          <w:bCs/>
          <w:color w:val="auto"/>
          <w:sz w:val="32"/>
          <w:szCs w:val="32"/>
        </w:rPr>
        <w:t>地方病防治工作情况。</w:t>
      </w:r>
      <w:r>
        <w:rPr>
          <w:rFonts w:hint="eastAsia" w:ascii="仿宋_GB2312" w:hAnsi="仿宋_GB2312" w:eastAsia="仿宋_GB2312" w:cs="仿宋_GB2312"/>
          <w:color w:val="auto"/>
          <w:spacing w:val="14"/>
          <w:sz w:val="32"/>
          <w:szCs w:val="32"/>
          <w:shd w:val="clear" w:color="auto" w:fill="FFFFFF"/>
        </w:rPr>
        <w:t>完成了200名学生、100名孕妇碘缺乏病现场尿样、盐样采集工作，采集率均为100%；</w:t>
      </w:r>
      <w:r>
        <w:rPr>
          <w:rFonts w:hint="eastAsia" w:ascii="仿宋_GB2312" w:hAnsi="仿宋_GB2312" w:eastAsia="仿宋_GB2312" w:cs="仿宋_GB2312"/>
          <w:color w:val="auto"/>
          <w:sz w:val="32"/>
          <w:szCs w:val="32"/>
        </w:rPr>
        <w:t>开展地方病宣传教育活动，共计发放宣传资料600余份，碘盐400袋、围腰300件、方巾100张，覆盖人群</w:t>
      </w:r>
      <w:r>
        <w:rPr>
          <w:rFonts w:hint="eastAsia" w:ascii="仿宋_GB2312" w:hAnsi="仿宋_GB2312" w:eastAsia="仿宋_GB2312" w:cs="仿宋_GB2312"/>
          <w:color w:val="auto"/>
          <w:sz w:val="32"/>
          <w:szCs w:val="32"/>
          <w:lang w:eastAsia="zh-CN"/>
        </w:rPr>
        <w:t>2000余</w:t>
      </w:r>
      <w:r>
        <w:rPr>
          <w:rFonts w:hint="eastAsia" w:ascii="仿宋_GB2312" w:hAnsi="仿宋_GB2312" w:eastAsia="仿宋_GB2312" w:cs="仿宋_GB2312"/>
          <w:color w:val="auto"/>
          <w:sz w:val="32"/>
          <w:szCs w:val="32"/>
        </w:rPr>
        <w:t>人；</w:t>
      </w:r>
      <w:r>
        <w:rPr>
          <w:rFonts w:hint="eastAsia" w:ascii="仿宋_GB2312" w:hAnsi="仿宋_GB2312" w:eastAsia="仿宋_GB2312" w:cs="仿宋_GB2312"/>
          <w:color w:val="auto"/>
          <w:spacing w:val="14"/>
          <w:sz w:val="32"/>
          <w:szCs w:val="32"/>
          <w:shd w:val="clear" w:color="auto" w:fill="FFFFFF"/>
        </w:rPr>
        <w:t>组织举办培训会，共80余人参会。</w:t>
      </w:r>
    </w:p>
    <w:p w14:paraId="72480F36">
      <w:pPr>
        <w:ind w:firstLine="640" w:firstLineChars="200"/>
        <w:rPr>
          <w:rFonts w:hint="eastAsia" w:ascii="黑体" w:hAnsi="黑体" w:eastAsia="黑体" w:cs="黑体"/>
          <w:b w:val="0"/>
          <w:bCs w:val="0"/>
          <w:color w:val="auto"/>
          <w:sz w:val="32"/>
          <w:szCs w:val="32"/>
        </w:rPr>
      </w:pPr>
      <w:r>
        <w:rPr>
          <w:rFonts w:hint="eastAsia" w:ascii="黑体" w:hAnsi="黑体" w:eastAsia="黑体" w:cs="黑体"/>
          <w:b w:val="0"/>
          <w:bCs w:val="0"/>
          <w:color w:val="auto"/>
          <w:sz w:val="32"/>
          <w:szCs w:val="32"/>
          <w:lang w:val="en-US" w:eastAsia="zh-CN"/>
        </w:rPr>
        <w:t>5、慢性病</w:t>
      </w:r>
      <w:r>
        <w:rPr>
          <w:rFonts w:hint="eastAsia" w:ascii="黑体" w:hAnsi="黑体" w:eastAsia="黑体" w:cs="黑体"/>
          <w:b w:val="0"/>
          <w:bCs w:val="0"/>
          <w:color w:val="auto"/>
          <w:sz w:val="32"/>
          <w:szCs w:val="32"/>
        </w:rPr>
        <w:t>防控工作情况</w:t>
      </w:r>
    </w:p>
    <w:p w14:paraId="15AB29C4">
      <w:pPr>
        <w:ind w:firstLine="643"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b/>
          <w:bCs/>
          <w:color w:val="auto"/>
          <w:sz w:val="32"/>
          <w:szCs w:val="32"/>
          <w:lang w:eastAsia="zh-CN"/>
        </w:rPr>
        <w:t>（1）</w:t>
      </w:r>
      <w:r>
        <w:rPr>
          <w:rFonts w:hint="eastAsia" w:ascii="仿宋_GB2312" w:hAnsi="仿宋_GB2312" w:eastAsia="仿宋_GB2312" w:cs="仿宋_GB2312"/>
          <w:color w:val="auto"/>
          <w:sz w:val="32"/>
          <w:szCs w:val="32"/>
        </w:rPr>
        <w:t>死因监测</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lang w:val="en-US" w:eastAsia="zh-CN"/>
        </w:rPr>
        <w:t>2023年1-12</w:t>
      </w:r>
      <w:r>
        <w:rPr>
          <w:rFonts w:hint="eastAsia" w:ascii="仿宋_GB2312" w:hAnsi="仿宋_GB2312" w:eastAsia="仿宋_GB2312" w:cs="仿宋_GB2312"/>
          <w:color w:val="auto"/>
          <w:sz w:val="32"/>
          <w:szCs w:val="32"/>
        </w:rPr>
        <w:t>月全县按户籍共报告死亡卡</w:t>
      </w:r>
      <w:r>
        <w:rPr>
          <w:rFonts w:hint="eastAsia" w:ascii="仿宋_GB2312" w:hAnsi="仿宋_GB2312" w:eastAsia="仿宋_GB2312" w:cs="仿宋_GB2312"/>
          <w:color w:val="auto"/>
          <w:sz w:val="32"/>
          <w:szCs w:val="32"/>
          <w:lang w:val="en-US" w:eastAsia="zh-CN"/>
        </w:rPr>
        <w:t>505</w:t>
      </w:r>
      <w:r>
        <w:rPr>
          <w:rFonts w:hint="eastAsia" w:ascii="仿宋_GB2312" w:hAnsi="仿宋_GB2312" w:eastAsia="仿宋_GB2312" w:cs="仿宋_GB2312"/>
          <w:color w:val="auto"/>
          <w:sz w:val="32"/>
          <w:szCs w:val="32"/>
        </w:rPr>
        <w:t>张，审卡通过率100%，人群初死亡率</w:t>
      </w:r>
      <w:r>
        <w:rPr>
          <w:rFonts w:hint="eastAsia" w:ascii="仿宋_GB2312" w:hAnsi="仿宋_GB2312" w:eastAsia="仿宋_GB2312" w:cs="仿宋_GB2312"/>
          <w:color w:val="auto"/>
          <w:sz w:val="32"/>
          <w:szCs w:val="32"/>
          <w:lang w:val="en-US" w:eastAsia="zh-CN"/>
        </w:rPr>
        <w:t>758.65/10</w:t>
      </w:r>
      <w:r>
        <w:rPr>
          <w:rFonts w:hint="eastAsia" w:ascii="仿宋_GB2312" w:hAnsi="仿宋_GB2312" w:eastAsia="仿宋_GB2312" w:cs="仿宋_GB2312"/>
          <w:color w:val="auto"/>
          <w:sz w:val="32"/>
          <w:szCs w:val="32"/>
        </w:rPr>
        <w:t>万，</w:t>
      </w:r>
      <w:r>
        <w:rPr>
          <w:rFonts w:hint="eastAsia" w:ascii="仿宋_GB2312" w:hAnsi="仿宋_GB2312" w:eastAsia="仿宋_GB2312" w:cs="仿宋_GB2312"/>
          <w:color w:val="auto"/>
          <w:sz w:val="32"/>
          <w:szCs w:val="32"/>
          <w:lang w:eastAsia="zh-CN"/>
        </w:rPr>
        <w:t>多连死因填写完整率</w:t>
      </w:r>
      <w:r>
        <w:rPr>
          <w:rFonts w:hint="eastAsia" w:ascii="仿宋_GB2312" w:hAnsi="仿宋_GB2312" w:eastAsia="仿宋_GB2312" w:cs="仿宋_GB2312"/>
          <w:color w:val="auto"/>
          <w:sz w:val="32"/>
          <w:szCs w:val="32"/>
          <w:lang w:val="en-US" w:eastAsia="zh-CN"/>
        </w:rPr>
        <w:t>85.74</w:t>
      </w:r>
      <w:r>
        <w:rPr>
          <w:rFonts w:hint="eastAsia"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lang w:eastAsia="zh-CN"/>
        </w:rPr>
        <w:t>，诊断不明死因比为</w:t>
      </w:r>
      <w:r>
        <w:rPr>
          <w:rFonts w:hint="eastAsia" w:ascii="仿宋_GB2312" w:hAnsi="仿宋_GB2312" w:eastAsia="仿宋_GB2312" w:cs="仿宋_GB2312"/>
          <w:color w:val="auto"/>
          <w:sz w:val="32"/>
          <w:szCs w:val="32"/>
          <w:lang w:val="en-US" w:eastAsia="zh-CN"/>
        </w:rPr>
        <w:t>3.17%。2023年</w:t>
      </w:r>
      <w:r>
        <w:rPr>
          <w:rFonts w:hint="eastAsia" w:ascii="仿宋_GB2312" w:hAnsi="仿宋_GB2312" w:eastAsia="仿宋_GB2312" w:cs="仿宋_GB2312"/>
          <w:color w:val="auto"/>
          <w:sz w:val="32"/>
          <w:szCs w:val="32"/>
          <w:lang w:eastAsia="zh-CN"/>
        </w:rPr>
        <w:t>全县人均期望寿命</w:t>
      </w:r>
      <w:r>
        <w:rPr>
          <w:rFonts w:hint="eastAsia" w:ascii="仿宋_GB2312" w:hAnsi="仿宋_GB2312" w:eastAsia="仿宋_GB2312" w:cs="仿宋_GB2312"/>
          <w:color w:val="auto"/>
          <w:sz w:val="32"/>
          <w:szCs w:val="32"/>
          <w:lang w:val="en-US" w:eastAsia="zh-CN"/>
        </w:rPr>
        <w:t>74.97岁（达省级要求标准），30-70岁之间过早死亡率为14.60%</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lang w:val="en-US" w:eastAsia="zh-CN"/>
        </w:rPr>
        <w:t>达省级要求标准要求</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rPr>
        <w:t>肿瘤确诊人数</w:t>
      </w:r>
      <w:r>
        <w:rPr>
          <w:rFonts w:hint="eastAsia" w:ascii="仿宋_GB2312" w:hAnsi="仿宋_GB2312" w:eastAsia="仿宋_GB2312" w:cs="仿宋_GB2312"/>
          <w:color w:val="auto"/>
          <w:sz w:val="32"/>
          <w:szCs w:val="32"/>
          <w:lang w:val="en-US" w:eastAsia="zh-CN"/>
        </w:rPr>
        <w:t>136</w:t>
      </w:r>
      <w:r>
        <w:rPr>
          <w:rFonts w:hint="eastAsia" w:ascii="仿宋_GB2312" w:hAnsi="仿宋_GB2312" w:eastAsia="仿宋_GB2312" w:cs="仿宋_GB2312"/>
          <w:color w:val="auto"/>
          <w:sz w:val="32"/>
          <w:szCs w:val="32"/>
        </w:rPr>
        <w:t>人，人群审核通过率100%，人群初发病率</w:t>
      </w:r>
      <w:r>
        <w:rPr>
          <w:rFonts w:hint="eastAsia" w:ascii="仿宋_GB2312" w:hAnsi="仿宋_GB2312" w:eastAsia="仿宋_GB2312" w:cs="仿宋_GB2312"/>
          <w:color w:val="auto"/>
          <w:sz w:val="32"/>
          <w:szCs w:val="32"/>
          <w:lang w:val="en-US" w:eastAsia="zh-CN"/>
        </w:rPr>
        <w:t>200/10</w:t>
      </w:r>
      <w:r>
        <w:rPr>
          <w:rFonts w:hint="eastAsia" w:ascii="仿宋_GB2312" w:hAnsi="仿宋_GB2312" w:eastAsia="仿宋_GB2312" w:cs="仿宋_GB2312"/>
          <w:color w:val="auto"/>
          <w:sz w:val="32"/>
          <w:szCs w:val="32"/>
        </w:rPr>
        <w:t>万；</w:t>
      </w:r>
      <w:r>
        <w:rPr>
          <w:rFonts w:hint="eastAsia" w:ascii="仿宋_GB2312" w:hAnsi="仿宋_GB2312" w:eastAsia="仿宋_GB2312" w:cs="仿宋_GB2312"/>
          <w:color w:val="auto"/>
          <w:sz w:val="32"/>
          <w:szCs w:val="32"/>
          <w:lang w:eastAsia="zh-CN"/>
        </w:rPr>
        <w:t>死亡病例</w:t>
      </w:r>
      <w:r>
        <w:rPr>
          <w:rFonts w:hint="eastAsia" w:ascii="仿宋_GB2312" w:hAnsi="仿宋_GB2312" w:eastAsia="仿宋_GB2312" w:cs="仿宋_GB2312"/>
          <w:color w:val="auto"/>
          <w:sz w:val="32"/>
          <w:szCs w:val="32"/>
          <w:lang w:val="en-US" w:eastAsia="zh-CN"/>
        </w:rPr>
        <w:t>43人，总报告死亡率为40/10</w:t>
      </w:r>
      <w:r>
        <w:rPr>
          <w:rFonts w:hint="eastAsia" w:ascii="仿宋_GB2312" w:hAnsi="仿宋_GB2312" w:eastAsia="仿宋_GB2312" w:cs="仿宋_GB2312"/>
          <w:color w:val="auto"/>
          <w:sz w:val="32"/>
          <w:szCs w:val="32"/>
        </w:rPr>
        <w:t>万</w:t>
      </w:r>
      <w:r>
        <w:rPr>
          <w:rFonts w:hint="eastAsia" w:ascii="仿宋_GB2312" w:hAnsi="仿宋_GB2312" w:eastAsia="仿宋_GB2312" w:cs="仿宋_GB2312"/>
          <w:color w:val="auto"/>
          <w:sz w:val="32"/>
          <w:szCs w:val="32"/>
          <w:lang w:val="en-US" w:eastAsia="zh-CN"/>
        </w:rPr>
        <w:t>；病理组织学诊断比例为73.1%，仅有死亡医学证明书比例为10%；</w:t>
      </w:r>
      <w:r>
        <w:rPr>
          <w:rFonts w:hint="eastAsia" w:ascii="仿宋_GB2312" w:hAnsi="仿宋_GB2312" w:eastAsia="仿宋_GB2312" w:cs="仿宋_GB2312"/>
          <w:color w:val="auto"/>
          <w:sz w:val="32"/>
          <w:szCs w:val="32"/>
        </w:rPr>
        <w:t>心脑血管监测报告卡片</w:t>
      </w:r>
      <w:r>
        <w:rPr>
          <w:rFonts w:hint="eastAsia" w:ascii="仿宋_GB2312" w:hAnsi="仿宋_GB2312" w:eastAsia="仿宋_GB2312" w:cs="仿宋_GB2312"/>
          <w:color w:val="auto"/>
          <w:sz w:val="32"/>
          <w:szCs w:val="32"/>
          <w:lang w:val="en-US" w:eastAsia="zh-CN"/>
        </w:rPr>
        <w:t>209张</w:t>
      </w:r>
      <w:r>
        <w:rPr>
          <w:rFonts w:hint="eastAsia" w:ascii="仿宋_GB2312" w:hAnsi="仿宋_GB2312" w:eastAsia="仿宋_GB2312" w:cs="仿宋_GB2312"/>
          <w:color w:val="auto"/>
          <w:sz w:val="32"/>
          <w:szCs w:val="32"/>
        </w:rPr>
        <w:t>，审核通过</w:t>
      </w:r>
      <w:r>
        <w:rPr>
          <w:rFonts w:hint="eastAsia" w:ascii="仿宋_GB2312" w:hAnsi="仿宋_GB2312" w:eastAsia="仿宋_GB2312" w:cs="仿宋_GB2312"/>
          <w:color w:val="auto"/>
          <w:sz w:val="32"/>
          <w:szCs w:val="32"/>
          <w:lang w:val="en-US" w:eastAsia="zh-CN"/>
        </w:rPr>
        <w:t>209</w:t>
      </w:r>
      <w:r>
        <w:rPr>
          <w:rFonts w:hint="eastAsia" w:ascii="仿宋_GB2312" w:hAnsi="仿宋_GB2312" w:eastAsia="仿宋_GB2312" w:cs="仿宋_GB2312"/>
          <w:color w:val="auto"/>
          <w:sz w:val="32"/>
          <w:szCs w:val="32"/>
        </w:rPr>
        <w:t>张</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rPr>
        <w:t>初发病率</w:t>
      </w:r>
      <w:r>
        <w:rPr>
          <w:rFonts w:hint="eastAsia" w:ascii="仿宋_GB2312" w:hAnsi="仿宋_GB2312" w:eastAsia="仿宋_GB2312" w:cs="仿宋_GB2312"/>
          <w:color w:val="auto"/>
          <w:sz w:val="32"/>
          <w:szCs w:val="32"/>
          <w:lang w:val="en-US" w:eastAsia="zh-CN"/>
        </w:rPr>
        <w:t>307.35/10万</w:t>
      </w:r>
      <w:r>
        <w:rPr>
          <w:rFonts w:hint="eastAsia" w:ascii="仿宋_GB2312" w:hAnsi="仿宋_GB2312" w:eastAsia="仿宋_GB2312" w:cs="仿宋_GB2312"/>
          <w:color w:val="auto"/>
          <w:sz w:val="32"/>
          <w:szCs w:val="32"/>
        </w:rPr>
        <w:t>，审核通过率100%</w:t>
      </w:r>
      <w:r>
        <w:rPr>
          <w:rFonts w:hint="eastAsia" w:ascii="仿宋_GB2312" w:hAnsi="仿宋_GB2312" w:eastAsia="仿宋_GB2312" w:cs="仿宋_GB2312"/>
          <w:color w:val="auto"/>
          <w:sz w:val="32"/>
          <w:szCs w:val="32"/>
          <w:lang w:eastAsia="zh-CN"/>
        </w:rPr>
        <w:t>，死亡病例</w:t>
      </w:r>
      <w:r>
        <w:rPr>
          <w:rFonts w:hint="eastAsia" w:ascii="仿宋_GB2312" w:hAnsi="仿宋_GB2312" w:eastAsia="仿宋_GB2312" w:cs="仿宋_GB2312"/>
          <w:color w:val="auto"/>
          <w:sz w:val="32"/>
          <w:szCs w:val="32"/>
          <w:lang w:val="en-US" w:eastAsia="zh-CN"/>
        </w:rPr>
        <w:t>68人，占总报告的33.2%</w:t>
      </w:r>
      <w:r>
        <w:rPr>
          <w:rFonts w:hint="eastAsia" w:ascii="仿宋_GB2312" w:hAnsi="仿宋_GB2312" w:eastAsia="仿宋_GB2312" w:cs="仿宋_GB2312"/>
          <w:color w:val="auto"/>
          <w:sz w:val="32"/>
          <w:szCs w:val="32"/>
        </w:rPr>
        <w:t>。</w:t>
      </w:r>
    </w:p>
    <w:p w14:paraId="1ECA8411">
      <w:pPr>
        <w:ind w:firstLine="643"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b/>
          <w:bCs/>
          <w:color w:val="auto"/>
          <w:sz w:val="32"/>
          <w:szCs w:val="32"/>
          <w:lang w:val="en-US" w:eastAsia="zh-CN"/>
        </w:rPr>
        <w:t>（2）</w:t>
      </w:r>
      <w:r>
        <w:rPr>
          <w:rFonts w:hint="eastAsia" w:ascii="仿宋_GB2312" w:hAnsi="仿宋_GB2312" w:eastAsia="仿宋_GB2312" w:cs="仿宋_GB2312"/>
          <w:b/>
          <w:bCs/>
          <w:color w:val="auto"/>
          <w:sz w:val="32"/>
          <w:szCs w:val="32"/>
        </w:rPr>
        <w:t>高原性心脏病</w:t>
      </w:r>
      <w:r>
        <w:rPr>
          <w:rFonts w:hint="eastAsia" w:ascii="仿宋_GB2312" w:hAnsi="仿宋_GB2312" w:eastAsia="仿宋_GB2312" w:cs="仿宋_GB2312"/>
          <w:b/>
          <w:bCs/>
          <w:color w:val="auto"/>
          <w:sz w:val="32"/>
          <w:szCs w:val="32"/>
          <w:lang w:eastAsia="zh-CN"/>
        </w:rPr>
        <w:t>。</w:t>
      </w:r>
      <w:r>
        <w:rPr>
          <w:rFonts w:hint="eastAsia" w:ascii="仿宋_GB2312" w:hAnsi="仿宋_GB2312" w:eastAsia="仿宋_GB2312" w:cs="仿宋_GB2312"/>
          <w:color w:val="auto"/>
          <w:sz w:val="32"/>
          <w:szCs w:val="32"/>
        </w:rPr>
        <w:t>排查登记患者</w:t>
      </w:r>
      <w:r>
        <w:rPr>
          <w:rFonts w:hint="eastAsia" w:ascii="仿宋_GB2312" w:hAnsi="仿宋_GB2312" w:eastAsia="仿宋_GB2312" w:cs="仿宋_GB2312"/>
          <w:color w:val="auto"/>
          <w:sz w:val="32"/>
          <w:szCs w:val="32"/>
          <w:lang w:val="en-US" w:eastAsia="zh-CN"/>
        </w:rPr>
        <w:t>19</w:t>
      </w:r>
      <w:r>
        <w:rPr>
          <w:rFonts w:hint="eastAsia" w:ascii="仿宋_GB2312" w:hAnsi="仿宋_GB2312" w:eastAsia="仿宋_GB2312" w:cs="仿宋_GB2312"/>
          <w:color w:val="auto"/>
          <w:sz w:val="32"/>
          <w:szCs w:val="32"/>
        </w:rPr>
        <w:t>人，管理数</w:t>
      </w:r>
      <w:r>
        <w:rPr>
          <w:rFonts w:hint="eastAsia" w:ascii="仿宋_GB2312" w:hAnsi="仿宋_GB2312" w:eastAsia="仿宋_GB2312" w:cs="仿宋_GB2312"/>
          <w:color w:val="auto"/>
          <w:sz w:val="32"/>
          <w:szCs w:val="32"/>
          <w:lang w:val="en-US" w:eastAsia="zh-CN"/>
        </w:rPr>
        <w:t>19</w:t>
      </w:r>
      <w:r>
        <w:rPr>
          <w:rFonts w:hint="eastAsia" w:ascii="仿宋_GB2312" w:hAnsi="仿宋_GB2312" w:eastAsia="仿宋_GB2312" w:cs="仿宋_GB2312"/>
          <w:color w:val="auto"/>
          <w:sz w:val="32"/>
          <w:szCs w:val="32"/>
        </w:rPr>
        <w:t>人，规范管理数</w:t>
      </w:r>
      <w:r>
        <w:rPr>
          <w:rFonts w:hint="eastAsia" w:ascii="仿宋_GB2312" w:hAnsi="仿宋_GB2312" w:eastAsia="仿宋_GB2312" w:cs="仿宋_GB2312"/>
          <w:color w:val="auto"/>
          <w:sz w:val="32"/>
          <w:szCs w:val="32"/>
          <w:lang w:val="en-US" w:eastAsia="zh-CN"/>
        </w:rPr>
        <w:t>19</w:t>
      </w:r>
      <w:r>
        <w:rPr>
          <w:rFonts w:hint="eastAsia" w:ascii="仿宋_GB2312" w:hAnsi="仿宋_GB2312" w:eastAsia="仿宋_GB2312" w:cs="仿宋_GB2312"/>
          <w:color w:val="auto"/>
          <w:sz w:val="32"/>
          <w:szCs w:val="32"/>
        </w:rPr>
        <w:t>人，规范管理率</w:t>
      </w:r>
      <w:r>
        <w:rPr>
          <w:rFonts w:hint="eastAsia" w:ascii="仿宋_GB2312" w:hAnsi="仿宋_GB2312" w:eastAsia="仿宋_GB2312" w:cs="仿宋_GB2312"/>
          <w:color w:val="auto"/>
          <w:sz w:val="32"/>
          <w:szCs w:val="32"/>
          <w:lang w:val="en-US" w:eastAsia="zh-CN"/>
        </w:rPr>
        <w:t>100</w:t>
      </w:r>
      <w:r>
        <w:rPr>
          <w:rFonts w:hint="eastAsia" w:ascii="仿宋_GB2312" w:hAnsi="仿宋_GB2312" w:eastAsia="仿宋_GB2312" w:cs="仿宋_GB2312"/>
          <w:color w:val="auto"/>
          <w:sz w:val="32"/>
          <w:szCs w:val="32"/>
        </w:rPr>
        <w:t>%。</w:t>
      </w:r>
    </w:p>
    <w:p w14:paraId="35E64E1A">
      <w:pPr>
        <w:ind w:firstLine="643"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b/>
          <w:bCs/>
          <w:color w:val="auto"/>
          <w:sz w:val="32"/>
          <w:szCs w:val="32"/>
          <w:lang w:val="en-US" w:eastAsia="zh-CN"/>
        </w:rPr>
        <w:t>（3）</w:t>
      </w:r>
      <w:r>
        <w:rPr>
          <w:rFonts w:hint="eastAsia" w:ascii="仿宋_GB2312" w:hAnsi="仿宋_GB2312" w:eastAsia="仿宋_GB2312" w:cs="仿宋_GB2312"/>
          <w:b/>
          <w:bCs/>
          <w:color w:val="auto"/>
          <w:sz w:val="32"/>
          <w:szCs w:val="32"/>
        </w:rPr>
        <w:t>慢阻肺</w:t>
      </w:r>
      <w:r>
        <w:rPr>
          <w:rFonts w:hint="eastAsia" w:ascii="仿宋_GB2312" w:hAnsi="仿宋_GB2312" w:eastAsia="仿宋_GB2312" w:cs="仿宋_GB2312"/>
          <w:b/>
          <w:bCs/>
          <w:color w:val="auto"/>
          <w:sz w:val="32"/>
          <w:szCs w:val="32"/>
          <w:lang w:eastAsia="zh-CN"/>
        </w:rPr>
        <w:t>。</w:t>
      </w:r>
      <w:r>
        <w:rPr>
          <w:rFonts w:hint="eastAsia" w:ascii="仿宋_GB2312" w:hAnsi="仿宋_GB2312" w:eastAsia="仿宋_GB2312" w:cs="仿宋_GB2312"/>
          <w:color w:val="auto"/>
          <w:sz w:val="32"/>
          <w:szCs w:val="32"/>
        </w:rPr>
        <w:t>患者登记</w:t>
      </w:r>
      <w:r>
        <w:rPr>
          <w:rFonts w:hint="eastAsia" w:ascii="仿宋_GB2312" w:hAnsi="仿宋_GB2312" w:eastAsia="仿宋_GB2312" w:cs="仿宋_GB2312"/>
          <w:color w:val="auto"/>
          <w:sz w:val="32"/>
          <w:szCs w:val="32"/>
          <w:lang w:val="en-US" w:eastAsia="zh-CN"/>
        </w:rPr>
        <w:t>160</w:t>
      </w:r>
      <w:r>
        <w:rPr>
          <w:rFonts w:hint="eastAsia" w:ascii="仿宋_GB2312" w:hAnsi="仿宋_GB2312" w:eastAsia="仿宋_GB2312" w:cs="仿宋_GB2312"/>
          <w:color w:val="auto"/>
          <w:sz w:val="32"/>
          <w:szCs w:val="32"/>
        </w:rPr>
        <w:t>例，管理数</w:t>
      </w:r>
      <w:r>
        <w:rPr>
          <w:rFonts w:hint="eastAsia" w:ascii="仿宋_GB2312" w:hAnsi="仿宋_GB2312" w:eastAsia="仿宋_GB2312" w:cs="仿宋_GB2312"/>
          <w:color w:val="auto"/>
          <w:sz w:val="32"/>
          <w:szCs w:val="32"/>
          <w:lang w:val="en-US" w:eastAsia="zh-CN"/>
        </w:rPr>
        <w:t>148</w:t>
      </w:r>
      <w:r>
        <w:rPr>
          <w:rFonts w:hint="eastAsia" w:ascii="仿宋_GB2312" w:hAnsi="仿宋_GB2312" w:eastAsia="仿宋_GB2312" w:cs="仿宋_GB2312"/>
          <w:color w:val="auto"/>
          <w:sz w:val="32"/>
          <w:szCs w:val="32"/>
        </w:rPr>
        <w:t>人，规范管理</w:t>
      </w:r>
      <w:r>
        <w:rPr>
          <w:rFonts w:hint="eastAsia" w:ascii="仿宋_GB2312" w:hAnsi="仿宋_GB2312" w:eastAsia="仿宋_GB2312" w:cs="仿宋_GB2312"/>
          <w:color w:val="auto"/>
          <w:sz w:val="32"/>
          <w:szCs w:val="32"/>
          <w:lang w:val="en-US" w:eastAsia="zh-CN"/>
        </w:rPr>
        <w:t>145</w:t>
      </w:r>
      <w:r>
        <w:rPr>
          <w:rFonts w:hint="eastAsia" w:ascii="仿宋_GB2312" w:hAnsi="仿宋_GB2312" w:eastAsia="仿宋_GB2312" w:cs="仿宋_GB2312"/>
          <w:color w:val="auto"/>
          <w:sz w:val="32"/>
          <w:szCs w:val="32"/>
        </w:rPr>
        <w:t>人，规范管理率</w:t>
      </w:r>
      <w:r>
        <w:rPr>
          <w:rFonts w:hint="eastAsia" w:ascii="仿宋_GB2312" w:hAnsi="仿宋_GB2312" w:eastAsia="仿宋_GB2312" w:cs="仿宋_GB2312"/>
          <w:color w:val="auto"/>
          <w:sz w:val="32"/>
          <w:szCs w:val="32"/>
          <w:lang w:val="en-US" w:eastAsia="zh-CN"/>
        </w:rPr>
        <w:t>97</w:t>
      </w:r>
      <w:r>
        <w:rPr>
          <w:rFonts w:hint="eastAsia" w:ascii="仿宋_GB2312" w:hAnsi="仿宋_GB2312" w:eastAsia="仿宋_GB2312" w:cs="仿宋_GB2312"/>
          <w:color w:val="auto"/>
          <w:sz w:val="32"/>
          <w:szCs w:val="32"/>
        </w:rPr>
        <w:t>%。</w:t>
      </w:r>
    </w:p>
    <w:p w14:paraId="4608B914">
      <w:pPr>
        <w:numPr>
          <w:ilvl w:val="0"/>
          <w:numId w:val="0"/>
        </w:numPr>
        <w:spacing w:line="578" w:lineRule="exact"/>
        <w:ind w:firstLine="643"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b/>
          <w:bCs/>
          <w:color w:val="auto"/>
          <w:sz w:val="32"/>
          <w:szCs w:val="32"/>
          <w:lang w:val="en-US" w:eastAsia="zh-CN"/>
        </w:rPr>
        <w:t>（4）.</w:t>
      </w:r>
      <w:r>
        <w:rPr>
          <w:rFonts w:hint="eastAsia" w:ascii="仿宋_GB2312" w:hAnsi="仿宋_GB2312" w:eastAsia="仿宋_GB2312" w:cs="仿宋_GB2312"/>
          <w:b/>
          <w:bCs/>
          <w:color w:val="auto"/>
          <w:sz w:val="32"/>
          <w:szCs w:val="32"/>
        </w:rPr>
        <w:t>类风关</w:t>
      </w:r>
      <w:r>
        <w:rPr>
          <w:rFonts w:hint="eastAsia" w:ascii="仿宋_GB2312" w:hAnsi="仿宋_GB2312" w:eastAsia="仿宋_GB2312" w:cs="仿宋_GB2312"/>
          <w:b/>
          <w:bCs/>
          <w:color w:val="auto"/>
          <w:sz w:val="32"/>
          <w:szCs w:val="32"/>
          <w:lang w:eastAsia="zh-CN"/>
        </w:rPr>
        <w:t>。</w:t>
      </w:r>
      <w:r>
        <w:rPr>
          <w:rFonts w:hint="eastAsia" w:ascii="仿宋_GB2312" w:hAnsi="仿宋_GB2312" w:eastAsia="仿宋_GB2312" w:cs="仿宋_GB2312"/>
          <w:color w:val="auto"/>
          <w:sz w:val="32"/>
          <w:szCs w:val="32"/>
        </w:rPr>
        <w:t>患者登记管理数</w:t>
      </w:r>
      <w:r>
        <w:rPr>
          <w:rFonts w:hint="eastAsia" w:ascii="仿宋_GB2312" w:hAnsi="仿宋_GB2312" w:eastAsia="仿宋_GB2312" w:cs="仿宋_GB2312"/>
          <w:color w:val="auto"/>
          <w:sz w:val="32"/>
          <w:szCs w:val="32"/>
          <w:lang w:val="en-US" w:eastAsia="zh-CN"/>
        </w:rPr>
        <w:t>82</w:t>
      </w:r>
      <w:r>
        <w:rPr>
          <w:rFonts w:hint="eastAsia" w:ascii="仿宋_GB2312" w:hAnsi="仿宋_GB2312" w:eastAsia="仿宋_GB2312" w:cs="仿宋_GB2312"/>
          <w:color w:val="auto"/>
          <w:sz w:val="32"/>
          <w:szCs w:val="32"/>
        </w:rPr>
        <w:t>例，管理数</w:t>
      </w:r>
      <w:r>
        <w:rPr>
          <w:rFonts w:hint="eastAsia" w:ascii="仿宋_GB2312" w:hAnsi="仿宋_GB2312" w:eastAsia="仿宋_GB2312" w:cs="仿宋_GB2312"/>
          <w:color w:val="auto"/>
          <w:sz w:val="32"/>
          <w:szCs w:val="32"/>
          <w:lang w:val="en-US" w:eastAsia="zh-CN"/>
        </w:rPr>
        <w:t>79</w:t>
      </w:r>
      <w:r>
        <w:rPr>
          <w:rFonts w:hint="eastAsia" w:ascii="仿宋_GB2312" w:hAnsi="仿宋_GB2312" w:eastAsia="仿宋_GB2312" w:cs="仿宋_GB2312"/>
          <w:color w:val="auto"/>
          <w:sz w:val="32"/>
          <w:szCs w:val="32"/>
        </w:rPr>
        <w:t>例，规范管理数</w:t>
      </w:r>
      <w:r>
        <w:rPr>
          <w:rFonts w:hint="eastAsia" w:ascii="仿宋_GB2312" w:hAnsi="仿宋_GB2312" w:eastAsia="仿宋_GB2312" w:cs="仿宋_GB2312"/>
          <w:color w:val="auto"/>
          <w:sz w:val="32"/>
          <w:szCs w:val="32"/>
          <w:lang w:val="en-US" w:eastAsia="zh-CN"/>
        </w:rPr>
        <w:t>66例</w:t>
      </w:r>
      <w:r>
        <w:rPr>
          <w:rFonts w:hint="eastAsia" w:ascii="仿宋_GB2312" w:hAnsi="仿宋_GB2312" w:eastAsia="仿宋_GB2312" w:cs="仿宋_GB2312"/>
          <w:color w:val="auto"/>
          <w:sz w:val="32"/>
          <w:szCs w:val="32"/>
        </w:rPr>
        <w:t>，规范管理率</w:t>
      </w:r>
      <w:r>
        <w:rPr>
          <w:rFonts w:hint="eastAsia" w:ascii="仿宋_GB2312" w:hAnsi="仿宋_GB2312" w:eastAsia="仿宋_GB2312" w:cs="仿宋_GB2312"/>
          <w:color w:val="auto"/>
          <w:sz w:val="32"/>
          <w:szCs w:val="32"/>
          <w:lang w:val="en-US" w:eastAsia="zh-CN"/>
        </w:rPr>
        <w:t>96</w:t>
      </w:r>
      <w:r>
        <w:rPr>
          <w:rFonts w:hint="eastAsia" w:ascii="仿宋_GB2312" w:hAnsi="仿宋_GB2312" w:eastAsia="仿宋_GB2312" w:cs="仿宋_GB2312"/>
          <w:color w:val="auto"/>
          <w:sz w:val="32"/>
          <w:szCs w:val="32"/>
        </w:rPr>
        <w:t>%。</w:t>
      </w:r>
    </w:p>
    <w:p w14:paraId="18ED383D">
      <w:pPr>
        <w:numPr>
          <w:ilvl w:val="0"/>
          <w:numId w:val="0"/>
        </w:numPr>
        <w:spacing w:line="578" w:lineRule="exact"/>
        <w:ind w:firstLine="640" w:firstLineChars="200"/>
        <w:rPr>
          <w:rFonts w:hint="eastAsia" w:ascii="黑体" w:hAnsi="黑体" w:eastAsia="黑体" w:cs="黑体"/>
          <w:b w:val="0"/>
          <w:bCs w:val="0"/>
          <w:color w:val="auto"/>
          <w:sz w:val="32"/>
          <w:szCs w:val="32"/>
          <w:lang w:val="en-US" w:eastAsia="zh-CN"/>
        </w:rPr>
      </w:pPr>
      <w:r>
        <w:rPr>
          <w:rFonts w:hint="eastAsia" w:ascii="黑体" w:hAnsi="黑体" w:eastAsia="黑体" w:cs="黑体"/>
          <w:b w:val="0"/>
          <w:bCs w:val="0"/>
          <w:color w:val="auto"/>
          <w:sz w:val="32"/>
          <w:szCs w:val="32"/>
          <w:lang w:val="en-US" w:eastAsia="zh-CN"/>
        </w:rPr>
        <w:t>6、卫生监测</w:t>
      </w:r>
    </w:p>
    <w:p w14:paraId="5059028E">
      <w:pPr>
        <w:numPr>
          <w:ilvl w:val="0"/>
          <w:numId w:val="0"/>
        </w:numPr>
        <w:spacing w:line="578" w:lineRule="exact"/>
        <w:ind w:firstLine="643" w:firstLineChars="200"/>
        <w:rPr>
          <w:rFonts w:hint="eastAsia" w:ascii="仿宋_GB2312" w:hAnsi="仿宋_GB2312" w:eastAsia="仿宋_GB2312" w:cs="仿宋_GB2312"/>
          <w:b/>
          <w:bCs/>
          <w:color w:val="auto"/>
          <w:sz w:val="32"/>
          <w:szCs w:val="32"/>
          <w:lang w:eastAsia="zh-CN"/>
        </w:rPr>
      </w:pPr>
      <w:r>
        <w:rPr>
          <w:rFonts w:hint="eastAsia" w:ascii="仿宋_GB2312" w:hAnsi="仿宋_GB2312" w:eastAsia="仿宋_GB2312" w:cs="仿宋_GB2312"/>
          <w:b/>
          <w:bCs/>
          <w:color w:val="auto"/>
          <w:sz w:val="32"/>
          <w:szCs w:val="32"/>
          <w:lang w:val="en-US" w:eastAsia="zh-CN"/>
        </w:rPr>
        <w:t>（1）</w:t>
      </w:r>
      <w:r>
        <w:rPr>
          <w:rFonts w:hint="eastAsia" w:ascii="仿宋_GB2312" w:hAnsi="仿宋_GB2312" w:eastAsia="仿宋_GB2312" w:cs="仿宋_GB2312"/>
          <w:b/>
          <w:bCs/>
          <w:color w:val="auto"/>
          <w:sz w:val="32"/>
          <w:szCs w:val="32"/>
        </w:rPr>
        <w:t>水质</w:t>
      </w:r>
      <w:r>
        <w:rPr>
          <w:rFonts w:hint="eastAsia" w:ascii="仿宋_GB2312" w:hAnsi="仿宋_GB2312" w:eastAsia="仿宋_GB2312" w:cs="仿宋_GB2312"/>
          <w:b/>
          <w:bCs/>
          <w:color w:val="auto"/>
          <w:sz w:val="32"/>
          <w:szCs w:val="32"/>
          <w:lang w:eastAsia="zh-CN"/>
        </w:rPr>
        <w:t>监测</w:t>
      </w:r>
      <w:r>
        <w:rPr>
          <w:rFonts w:hint="eastAsia" w:ascii="仿宋_GB2312" w:hAnsi="仿宋_GB2312" w:eastAsia="仿宋_GB2312" w:cs="仿宋_GB2312"/>
          <w:b/>
          <w:bCs/>
          <w:color w:val="auto"/>
          <w:sz w:val="32"/>
          <w:szCs w:val="32"/>
        </w:rPr>
        <w:t>工作开展情况</w:t>
      </w:r>
      <w:r>
        <w:rPr>
          <w:rFonts w:hint="eastAsia" w:ascii="仿宋_GB2312" w:hAnsi="仿宋_GB2312" w:eastAsia="仿宋_GB2312" w:cs="仿宋_GB2312"/>
          <w:b/>
          <w:bCs/>
          <w:color w:val="auto"/>
          <w:sz w:val="32"/>
          <w:szCs w:val="32"/>
          <w:lang w:eastAsia="zh-CN"/>
        </w:rPr>
        <w:t>。</w:t>
      </w:r>
    </w:p>
    <w:p w14:paraId="421CD25C">
      <w:pPr>
        <w:numPr>
          <w:ilvl w:val="0"/>
          <w:numId w:val="0"/>
        </w:numPr>
        <w:spacing w:line="578" w:lineRule="exact"/>
        <w:ind w:firstLine="640" w:firstLineChars="200"/>
        <w:rPr>
          <w:rFonts w:hint="eastAsia" w:ascii="仿宋_GB2312" w:hAnsi="仿宋_GB2312" w:eastAsia="仿宋_GB2312" w:cs="仿宋_GB2312"/>
          <w:color w:val="auto"/>
          <w:sz w:val="32"/>
          <w:szCs w:val="32"/>
        </w:rPr>
      </w:pPr>
      <w:r>
        <w:rPr>
          <w:rFonts w:hint="eastAsia" w:ascii="仿宋_GB2312" w:hAnsi="仿宋_GB2312" w:eastAsia="仿宋_GB2312" w:cs="仿宋_GB2312"/>
          <w:b w:val="0"/>
          <w:bCs w:val="0"/>
          <w:color w:val="auto"/>
          <w:kern w:val="1"/>
          <w:sz w:val="32"/>
          <w:szCs w:val="32"/>
          <w:lang w:val="en-US" w:eastAsia="zh-CN"/>
        </w:rPr>
        <w:t>季度水监测。</w:t>
      </w:r>
      <w:r>
        <w:rPr>
          <w:rFonts w:hint="eastAsia" w:ascii="仿宋_GB2312" w:hAnsi="仿宋_GB2312" w:eastAsia="仿宋_GB2312" w:cs="仿宋_GB2312"/>
          <w:color w:val="auto"/>
          <w:kern w:val="1"/>
          <w:sz w:val="32"/>
          <w:szCs w:val="32"/>
          <w:lang w:val="en-US" w:eastAsia="zh-CN"/>
        </w:rPr>
        <w:t>2023年松潘县疾控中心每季度开展一次（全年共4次，每次6个点位）城市饮用水监测。截至目前，松潘县疾控中心开展了一季度、二季度、三季度、四季度城市饮用水供水的监测，每季度对纳入检测范围的松潘县水厂（出厂水、末梢水）6个点6个样进行检测，共计对纳入检测范围的松潘县水厂（出厂水和末梢水）的24个点24个样进行水质检测工作，水质合格率100%，均在政府网进行了公示</w:t>
      </w:r>
      <w:r>
        <w:rPr>
          <w:rFonts w:hint="eastAsia" w:ascii="仿宋_GB2312" w:hAnsi="仿宋_GB2312" w:eastAsia="仿宋_GB2312" w:cs="仿宋_GB2312"/>
          <w:color w:val="auto"/>
          <w:sz w:val="32"/>
          <w:szCs w:val="32"/>
        </w:rPr>
        <w:t>。</w:t>
      </w:r>
    </w:p>
    <w:p w14:paraId="26C020A4">
      <w:pPr>
        <w:numPr>
          <w:ilvl w:val="0"/>
          <w:numId w:val="0"/>
        </w:numPr>
        <w:spacing w:line="578" w:lineRule="exact"/>
        <w:ind w:firstLine="640" w:firstLineChars="200"/>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b w:val="0"/>
          <w:bCs w:val="0"/>
          <w:color w:val="auto"/>
          <w:sz w:val="32"/>
          <w:szCs w:val="32"/>
          <w:lang w:eastAsia="zh-CN"/>
        </w:rPr>
        <w:t>城乡饮用水。</w:t>
      </w:r>
      <w:r>
        <w:rPr>
          <w:rFonts w:hint="eastAsia" w:ascii="仿宋_GB2312" w:hAnsi="仿宋_GB2312" w:eastAsia="仿宋_GB2312" w:cs="仿宋_GB2312"/>
          <w:b/>
          <w:bCs/>
          <w:color w:val="auto"/>
          <w:sz w:val="32"/>
          <w:szCs w:val="32"/>
          <w:lang w:val="en-US" w:eastAsia="zh-CN"/>
        </w:rPr>
        <w:t>一是枯水期</w:t>
      </w:r>
      <w:r>
        <w:rPr>
          <w:rFonts w:hint="eastAsia" w:ascii="仿宋_GB2312" w:hAnsi="仿宋_GB2312" w:eastAsia="仿宋_GB2312" w:cs="仿宋_GB2312"/>
          <w:b/>
          <w:bCs/>
          <w:color w:val="auto"/>
          <w:sz w:val="32"/>
          <w:szCs w:val="32"/>
        </w:rPr>
        <w:t>监测点覆盖率</w:t>
      </w:r>
      <w:r>
        <w:rPr>
          <w:rFonts w:hint="eastAsia" w:ascii="仿宋_GB2312" w:hAnsi="仿宋_GB2312" w:eastAsia="仿宋_GB2312" w:cs="仿宋_GB2312"/>
          <w:b/>
          <w:bCs/>
          <w:color w:val="auto"/>
          <w:sz w:val="32"/>
          <w:szCs w:val="32"/>
          <w:lang w:eastAsia="zh-CN"/>
        </w:rPr>
        <w:t>：</w:t>
      </w:r>
      <w:r>
        <w:rPr>
          <w:rFonts w:hint="eastAsia" w:ascii="仿宋_GB2312" w:hAnsi="仿宋_GB2312" w:eastAsia="仿宋_GB2312" w:cs="仿宋_GB2312"/>
          <w:color w:val="auto"/>
          <w:sz w:val="32"/>
          <w:szCs w:val="32"/>
        </w:rPr>
        <w:t>完成了枯水期我县农村生活饮用水</w:t>
      </w:r>
      <w:r>
        <w:rPr>
          <w:rFonts w:hint="eastAsia" w:ascii="仿宋_GB2312" w:hAnsi="仿宋_GB2312" w:eastAsia="仿宋_GB2312" w:cs="仿宋_GB2312"/>
          <w:color w:val="auto"/>
          <w:sz w:val="32"/>
          <w:szCs w:val="32"/>
          <w:lang w:val="en-US" w:eastAsia="zh-CN"/>
        </w:rPr>
        <w:t>46个点位</w:t>
      </w:r>
      <w:r>
        <w:rPr>
          <w:rFonts w:hint="eastAsia" w:ascii="仿宋_GB2312" w:hAnsi="仿宋_GB2312" w:eastAsia="仿宋_GB2312" w:cs="仿宋_GB2312"/>
          <w:color w:val="auto"/>
          <w:sz w:val="32"/>
          <w:szCs w:val="32"/>
        </w:rPr>
        <w:t>全覆盖任务，监测率为100%。</w:t>
      </w:r>
      <w:r>
        <w:rPr>
          <w:rFonts w:hint="eastAsia" w:ascii="仿宋_GB2312" w:hAnsi="仿宋_GB2312" w:eastAsia="仿宋_GB2312" w:cs="仿宋_GB2312"/>
          <w:color w:val="auto"/>
          <w:kern w:val="0"/>
          <w:sz w:val="32"/>
          <w:szCs w:val="32"/>
        </w:rPr>
        <w:t>按照《生活饮用水标准检验方法》（GB/T5749-2006）执行</w:t>
      </w:r>
      <w:r>
        <w:rPr>
          <w:rFonts w:hint="eastAsia" w:ascii="仿宋_GB2312" w:hAnsi="仿宋_GB2312" w:eastAsia="仿宋_GB2312" w:cs="仿宋_GB2312"/>
          <w:color w:val="auto"/>
          <w:kern w:val="0"/>
          <w:sz w:val="32"/>
          <w:szCs w:val="32"/>
          <w:lang w:eastAsia="zh-CN"/>
        </w:rPr>
        <w:t>，</w:t>
      </w:r>
      <w:r>
        <w:rPr>
          <w:rFonts w:hint="eastAsia" w:ascii="仿宋_GB2312" w:hAnsi="仿宋_GB2312" w:eastAsia="仿宋_GB2312" w:cs="仿宋_GB2312"/>
          <w:b w:val="0"/>
          <w:bCs w:val="0"/>
          <w:color w:val="auto"/>
          <w:sz w:val="32"/>
          <w:szCs w:val="32"/>
          <w:lang w:eastAsia="zh-CN" w:bidi="zh-CN"/>
        </w:rPr>
        <w:t>经</w:t>
      </w:r>
      <w:r>
        <w:rPr>
          <w:rFonts w:hint="eastAsia" w:ascii="仿宋_GB2312" w:hAnsi="仿宋_GB2312" w:eastAsia="仿宋_GB2312" w:cs="仿宋_GB2312"/>
          <w:color w:val="auto"/>
          <w:sz w:val="32"/>
          <w:szCs w:val="32"/>
          <w:lang w:eastAsia="zh-CN"/>
        </w:rPr>
        <w:t>检测，</w:t>
      </w:r>
      <w:r>
        <w:rPr>
          <w:rFonts w:hint="eastAsia" w:ascii="仿宋_GB2312" w:hAnsi="仿宋_GB2312" w:eastAsia="仿宋_GB2312" w:cs="仿宋_GB2312"/>
          <w:color w:val="auto"/>
          <w:sz w:val="32"/>
          <w:szCs w:val="32"/>
          <w:lang w:val="en-US" w:eastAsia="zh-CN"/>
        </w:rPr>
        <w:t>城区饮用水检测6份，合格6份，合格率为100%。农村饮用水检测40份，合格17份，合格率为42.5%。</w:t>
      </w:r>
      <w:r>
        <w:rPr>
          <w:rFonts w:hint="eastAsia" w:ascii="仿宋_GB2312" w:hAnsi="仿宋_GB2312" w:eastAsia="仿宋_GB2312" w:cs="仿宋_GB2312"/>
          <w:b/>
          <w:bCs/>
          <w:color w:val="auto"/>
          <w:sz w:val="32"/>
          <w:szCs w:val="32"/>
          <w:lang w:val="en-US" w:eastAsia="zh-CN"/>
        </w:rPr>
        <w:t>二是丰水期</w:t>
      </w:r>
      <w:r>
        <w:rPr>
          <w:rFonts w:hint="eastAsia" w:ascii="仿宋_GB2312" w:hAnsi="仿宋_GB2312" w:eastAsia="仿宋_GB2312" w:cs="仿宋_GB2312"/>
          <w:b/>
          <w:bCs/>
          <w:color w:val="auto"/>
          <w:sz w:val="32"/>
          <w:szCs w:val="32"/>
        </w:rPr>
        <w:t>监测点覆盖率</w:t>
      </w:r>
      <w:r>
        <w:rPr>
          <w:rFonts w:hint="eastAsia" w:ascii="仿宋_GB2312" w:hAnsi="仿宋_GB2312" w:eastAsia="仿宋_GB2312" w:cs="仿宋_GB2312"/>
          <w:b/>
          <w:bCs/>
          <w:color w:val="auto"/>
          <w:sz w:val="32"/>
          <w:szCs w:val="32"/>
          <w:lang w:eastAsia="zh-CN"/>
        </w:rPr>
        <w:t>：</w:t>
      </w:r>
      <w:r>
        <w:rPr>
          <w:rFonts w:hint="eastAsia" w:ascii="仿宋_GB2312" w:hAnsi="仿宋_GB2312" w:eastAsia="仿宋_GB2312" w:cs="仿宋_GB2312"/>
          <w:color w:val="auto"/>
          <w:sz w:val="32"/>
          <w:szCs w:val="32"/>
        </w:rPr>
        <w:t>完成了丰水期我县农村生活饮用水</w:t>
      </w:r>
      <w:r>
        <w:rPr>
          <w:rFonts w:hint="eastAsia" w:ascii="仿宋_GB2312" w:hAnsi="仿宋_GB2312" w:eastAsia="仿宋_GB2312" w:cs="仿宋_GB2312"/>
          <w:color w:val="auto"/>
          <w:sz w:val="32"/>
          <w:szCs w:val="32"/>
          <w:lang w:val="en-US" w:eastAsia="zh-CN"/>
        </w:rPr>
        <w:t>46个点位</w:t>
      </w:r>
      <w:r>
        <w:rPr>
          <w:rFonts w:hint="eastAsia" w:ascii="仿宋_GB2312" w:hAnsi="仿宋_GB2312" w:eastAsia="仿宋_GB2312" w:cs="仿宋_GB2312"/>
          <w:color w:val="auto"/>
          <w:sz w:val="32"/>
          <w:szCs w:val="32"/>
        </w:rPr>
        <w:t>全覆盖任务，监测率为100%。</w:t>
      </w:r>
      <w:r>
        <w:rPr>
          <w:rFonts w:hint="eastAsia" w:ascii="仿宋_GB2312" w:hAnsi="仿宋_GB2312" w:eastAsia="仿宋_GB2312" w:cs="仿宋_GB2312"/>
          <w:color w:val="auto"/>
          <w:kern w:val="0"/>
          <w:sz w:val="32"/>
          <w:szCs w:val="32"/>
        </w:rPr>
        <w:t>按照《生活饮用水标准检验方法》（GB/T5749-20</w:t>
      </w:r>
      <w:r>
        <w:rPr>
          <w:rFonts w:hint="eastAsia" w:ascii="仿宋_GB2312" w:hAnsi="仿宋_GB2312" w:eastAsia="仿宋_GB2312" w:cs="仿宋_GB2312"/>
          <w:color w:val="auto"/>
          <w:kern w:val="0"/>
          <w:sz w:val="32"/>
          <w:szCs w:val="32"/>
          <w:lang w:val="en-US" w:eastAsia="zh-CN"/>
        </w:rPr>
        <w:t>22</w:t>
      </w:r>
      <w:r>
        <w:rPr>
          <w:rFonts w:hint="eastAsia" w:ascii="仿宋_GB2312" w:hAnsi="仿宋_GB2312" w:eastAsia="仿宋_GB2312" w:cs="仿宋_GB2312"/>
          <w:color w:val="auto"/>
          <w:kern w:val="0"/>
          <w:sz w:val="32"/>
          <w:szCs w:val="32"/>
        </w:rPr>
        <w:t>）执行</w:t>
      </w:r>
      <w:r>
        <w:rPr>
          <w:rFonts w:hint="eastAsia" w:ascii="仿宋_GB2312" w:hAnsi="仿宋_GB2312" w:eastAsia="仿宋_GB2312" w:cs="仿宋_GB2312"/>
          <w:color w:val="auto"/>
          <w:kern w:val="0"/>
          <w:sz w:val="32"/>
          <w:szCs w:val="32"/>
          <w:lang w:eastAsia="zh-CN"/>
        </w:rPr>
        <w:t>，</w:t>
      </w:r>
      <w:r>
        <w:rPr>
          <w:rFonts w:hint="eastAsia" w:ascii="仿宋_GB2312" w:hAnsi="仿宋_GB2312" w:eastAsia="仿宋_GB2312" w:cs="仿宋_GB2312"/>
          <w:color w:val="auto"/>
          <w:kern w:val="0"/>
          <w:sz w:val="32"/>
          <w:szCs w:val="32"/>
          <w:lang w:val="en-US" w:eastAsia="zh-CN"/>
        </w:rPr>
        <w:t>松潘县疾控中心检测微生物，其余部分由大邑县疾控中心</w:t>
      </w:r>
      <w:r>
        <w:rPr>
          <w:rFonts w:hint="eastAsia" w:ascii="仿宋_GB2312" w:hAnsi="仿宋_GB2312" w:eastAsia="仿宋_GB2312" w:cs="仿宋_GB2312"/>
          <w:color w:val="auto"/>
          <w:sz w:val="32"/>
          <w:szCs w:val="32"/>
          <w:lang w:eastAsia="zh-CN"/>
        </w:rPr>
        <w:t>检测，</w:t>
      </w:r>
      <w:r>
        <w:rPr>
          <w:rFonts w:hint="eastAsia" w:ascii="仿宋_GB2312" w:hAnsi="仿宋_GB2312" w:eastAsia="仿宋_GB2312" w:cs="仿宋_GB2312"/>
          <w:color w:val="auto"/>
          <w:sz w:val="32"/>
          <w:szCs w:val="32"/>
          <w:lang w:val="en-US" w:eastAsia="zh-CN"/>
        </w:rPr>
        <w:t>经检测，城区饮用水检测6份，合格5份，合格率为83.3%。农村饮用水检测40份，合格36份，合格率为90%。</w:t>
      </w:r>
      <w:r>
        <w:rPr>
          <w:rFonts w:hint="eastAsia" w:ascii="仿宋_GB2312" w:hAnsi="仿宋_GB2312" w:eastAsia="仿宋_GB2312" w:cs="仿宋_GB2312"/>
          <w:b/>
          <w:bCs/>
          <w:color w:val="auto"/>
          <w:sz w:val="32"/>
          <w:szCs w:val="32"/>
          <w:lang w:val="en-US" w:eastAsia="zh-CN"/>
        </w:rPr>
        <w:t>三是高氯酸盐监测：</w:t>
      </w:r>
      <w:r>
        <w:rPr>
          <w:rFonts w:hint="eastAsia" w:ascii="仿宋_GB2312" w:hAnsi="仿宋_GB2312" w:eastAsia="仿宋_GB2312" w:cs="仿宋_GB2312"/>
          <w:color w:val="auto"/>
          <w:sz w:val="32"/>
          <w:szCs w:val="32"/>
          <w:lang w:val="en-US" w:eastAsia="zh-CN"/>
        </w:rPr>
        <w:t>已完成枯水期高氯酸盐水质监测工作，水样由州疾控中心完成检测，检测合格率100%。</w:t>
      </w:r>
    </w:p>
    <w:p w14:paraId="19B5D995">
      <w:pPr>
        <w:ind w:firstLine="643" w:firstLineChars="200"/>
        <w:rPr>
          <w:rFonts w:hint="eastAsia" w:ascii="仿宋_GB2312" w:hAnsi="仿宋_GB2312" w:eastAsia="仿宋_GB2312" w:cs="仿宋_GB2312"/>
          <w:b/>
          <w:bCs/>
          <w:color w:val="auto"/>
          <w:sz w:val="32"/>
          <w:szCs w:val="32"/>
          <w:lang w:eastAsia="zh-CN"/>
        </w:rPr>
      </w:pPr>
      <w:r>
        <w:rPr>
          <w:rFonts w:hint="eastAsia" w:ascii="仿宋_GB2312" w:hAnsi="仿宋_GB2312" w:eastAsia="仿宋_GB2312" w:cs="仿宋_GB2312"/>
          <w:b/>
          <w:bCs/>
          <w:color w:val="auto"/>
          <w:sz w:val="32"/>
          <w:szCs w:val="32"/>
          <w:lang w:val="en-US" w:eastAsia="zh-CN"/>
        </w:rPr>
        <w:t>（2）</w:t>
      </w:r>
      <w:r>
        <w:rPr>
          <w:rFonts w:hint="eastAsia" w:ascii="仿宋_GB2312" w:hAnsi="仿宋_GB2312" w:eastAsia="仿宋_GB2312" w:cs="仿宋_GB2312"/>
          <w:b/>
          <w:bCs/>
          <w:color w:val="auto"/>
          <w:sz w:val="32"/>
          <w:szCs w:val="32"/>
        </w:rPr>
        <w:t>职业病</w:t>
      </w:r>
      <w:r>
        <w:rPr>
          <w:rFonts w:hint="eastAsia" w:ascii="仿宋_GB2312" w:hAnsi="仿宋_GB2312" w:eastAsia="仿宋_GB2312" w:cs="仿宋_GB2312"/>
          <w:b/>
          <w:bCs/>
          <w:color w:val="auto"/>
          <w:sz w:val="32"/>
          <w:szCs w:val="32"/>
          <w:lang w:val="en-US" w:eastAsia="zh-CN"/>
        </w:rPr>
        <w:t>监测</w:t>
      </w:r>
      <w:r>
        <w:rPr>
          <w:rFonts w:hint="eastAsia" w:ascii="仿宋_GB2312" w:hAnsi="仿宋_GB2312" w:eastAsia="仿宋_GB2312" w:cs="仿宋_GB2312"/>
          <w:b/>
          <w:bCs/>
          <w:color w:val="auto"/>
          <w:sz w:val="32"/>
          <w:szCs w:val="32"/>
          <w:lang w:eastAsia="zh-CN"/>
        </w:rPr>
        <w:t>。</w:t>
      </w:r>
    </w:p>
    <w:p w14:paraId="35142D2E">
      <w:pPr>
        <w:ind w:firstLine="640" w:firstLineChars="200"/>
        <w:rPr>
          <w:rFonts w:hint="eastAsia" w:ascii="仿宋_GB2312" w:hAnsi="仿宋_GB2312" w:eastAsia="仿宋_GB2312" w:cs="仿宋_GB2312"/>
          <w:b w:val="0"/>
          <w:bCs w:val="0"/>
          <w:color w:val="auto"/>
          <w:kern w:val="2"/>
          <w:sz w:val="32"/>
          <w:szCs w:val="32"/>
          <w:lang w:val="en-US" w:eastAsia="zh-CN" w:bidi="ar-SA"/>
        </w:rPr>
      </w:pPr>
      <w:r>
        <w:rPr>
          <w:rFonts w:hint="eastAsia" w:ascii="仿宋_GB2312" w:hAnsi="仿宋_GB2312" w:eastAsia="仿宋_GB2312" w:cs="仿宋_GB2312"/>
          <w:b w:val="0"/>
          <w:bCs w:val="0"/>
          <w:color w:val="auto"/>
          <w:sz w:val="32"/>
          <w:szCs w:val="32"/>
          <w:lang w:eastAsia="zh-CN"/>
        </w:rPr>
        <w:t>（</w:t>
      </w:r>
      <w:r>
        <w:rPr>
          <w:rFonts w:hint="eastAsia" w:ascii="仿宋_GB2312" w:hAnsi="仿宋_GB2312" w:eastAsia="仿宋_GB2312" w:cs="仿宋_GB2312"/>
          <w:b w:val="0"/>
          <w:bCs w:val="0"/>
          <w:color w:val="auto"/>
          <w:sz w:val="32"/>
          <w:szCs w:val="32"/>
          <w:lang w:val="en-US" w:eastAsia="zh-CN"/>
        </w:rPr>
        <w:t>1</w:t>
      </w:r>
      <w:r>
        <w:rPr>
          <w:rFonts w:hint="eastAsia" w:ascii="仿宋_GB2312" w:hAnsi="仿宋_GB2312" w:eastAsia="仿宋_GB2312" w:cs="仿宋_GB2312"/>
          <w:b w:val="0"/>
          <w:bCs w:val="0"/>
          <w:color w:val="auto"/>
          <w:sz w:val="32"/>
          <w:szCs w:val="32"/>
          <w:lang w:eastAsia="zh-CN"/>
        </w:rPr>
        <w:t>）</w:t>
      </w:r>
      <w:r>
        <w:rPr>
          <w:rFonts w:hint="eastAsia" w:ascii="仿宋_GB2312" w:hAnsi="仿宋_GB2312" w:eastAsia="仿宋_GB2312" w:cs="仿宋_GB2312"/>
          <w:b w:val="0"/>
          <w:bCs w:val="0"/>
          <w:color w:val="auto"/>
          <w:kern w:val="2"/>
          <w:sz w:val="32"/>
          <w:szCs w:val="32"/>
          <w:lang w:val="en-US" w:eastAsia="zh-CN" w:bidi="ar-SA"/>
        </w:rPr>
        <w:t>2022年松潘县工作场所监测任务为2家企业，已完成小河镇锰厂和小河镇沙场的重点场所监测任务。</w:t>
      </w:r>
    </w:p>
    <w:p w14:paraId="49974CA6">
      <w:pPr>
        <w:keepNext w:val="0"/>
        <w:keepLines w:val="0"/>
        <w:pageBreakBefore w:val="0"/>
        <w:widowControl w:val="0"/>
        <w:kinsoku/>
        <w:wordWrap/>
        <w:overflowPunct/>
        <w:topLinePunct w:val="0"/>
        <w:autoSpaceDE w:val="0"/>
        <w:autoSpaceDN/>
        <w:bidi w:val="0"/>
        <w:adjustRightInd/>
        <w:snapToGrid/>
        <w:spacing w:line="576" w:lineRule="exact"/>
        <w:ind w:firstLine="640" w:firstLineChars="200"/>
        <w:textAlignment w:val="auto"/>
        <w:rPr>
          <w:rFonts w:hint="eastAsia" w:ascii="仿宋_GB2312" w:hAnsi="仿宋_GB2312" w:eastAsia="仿宋_GB2312" w:cs="仿宋_GB2312"/>
          <w:b w:val="0"/>
          <w:bCs w:val="0"/>
          <w:color w:val="auto"/>
          <w:kern w:val="2"/>
          <w:sz w:val="32"/>
          <w:szCs w:val="32"/>
          <w:lang w:val="en-US" w:eastAsia="zh-CN" w:bidi="ar-SA"/>
        </w:rPr>
      </w:pPr>
      <w:r>
        <w:rPr>
          <w:rFonts w:hint="eastAsia" w:ascii="仿宋_GB2312" w:hAnsi="仿宋_GB2312" w:eastAsia="仿宋_GB2312" w:cs="仿宋_GB2312"/>
          <w:color w:val="auto"/>
          <w:sz w:val="32"/>
          <w:szCs w:val="32"/>
          <w:lang w:val="en-US" w:eastAsia="zh-CN"/>
        </w:rPr>
        <w:t>（2）</w:t>
      </w:r>
      <w:r>
        <w:rPr>
          <w:rFonts w:hint="eastAsia" w:ascii="仿宋_GB2312" w:hAnsi="仿宋_GB2312" w:eastAsia="仿宋_GB2312" w:cs="仿宋_GB2312"/>
          <w:b w:val="0"/>
          <w:bCs w:val="0"/>
          <w:color w:val="auto"/>
          <w:kern w:val="2"/>
          <w:sz w:val="32"/>
          <w:szCs w:val="32"/>
          <w:lang w:val="en-US" w:eastAsia="zh-CN" w:bidi="ar-SA"/>
        </w:rPr>
        <w:t>2023年松潘县境内的中铁十四局第二工程部为重点职业人群健康素养监测调查点，要求完成14份重点职业人群健康素养监测调查，现已完成14份重点职业人群健康素养监测调查。完成率为100%。</w:t>
      </w:r>
    </w:p>
    <w:p w14:paraId="49A3E38C">
      <w:pPr>
        <w:keepNext w:val="0"/>
        <w:keepLines w:val="0"/>
        <w:pageBreakBefore w:val="0"/>
        <w:widowControl w:val="0"/>
        <w:numPr>
          <w:ilvl w:val="0"/>
          <w:numId w:val="0"/>
        </w:numPr>
        <w:kinsoku/>
        <w:wordWrap/>
        <w:overflowPunct/>
        <w:topLinePunct w:val="0"/>
        <w:autoSpaceDE/>
        <w:autoSpaceDN/>
        <w:bidi w:val="0"/>
        <w:adjustRightInd/>
        <w:snapToGrid/>
        <w:spacing w:afterAutospacing="0" w:line="576" w:lineRule="atLeast"/>
        <w:ind w:firstLine="640" w:firstLineChars="200"/>
        <w:jc w:val="both"/>
        <w:textAlignment w:val="auto"/>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rPr>
        <w:t>2023年5月9日</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rPr>
        <w:t>在松潘县川主寺中铁施工场开展了“改善工作环境和条件，保护劳动者身心健康”为主题的宣传活动。铁路施工现场宣传过程中，通过现场发放宣传资料，面对面地对群众进行职业病防治知识的现场讲解，对群众进行职业病防治知识的宣讲。此次宣传活动共出动车辆1辆，宣传横幅1条，发放宣传单、宣传手册、宣传海报等宣传资料共计3种</w:t>
      </w:r>
      <w:r>
        <w:rPr>
          <w:rFonts w:hint="eastAsia" w:ascii="仿宋_GB2312" w:hAnsi="仿宋_GB2312" w:eastAsia="仿宋_GB2312" w:cs="仿宋_GB2312"/>
          <w:color w:val="auto"/>
          <w:sz w:val="32"/>
          <w:szCs w:val="32"/>
          <w:lang w:val="en-US" w:eastAsia="zh-CN"/>
        </w:rPr>
        <w:t>各</w:t>
      </w:r>
      <w:r>
        <w:rPr>
          <w:rFonts w:hint="eastAsia" w:ascii="仿宋_GB2312" w:hAnsi="仿宋_GB2312" w:eastAsia="仿宋_GB2312" w:cs="仿宋_GB2312"/>
          <w:color w:val="auto"/>
          <w:sz w:val="32"/>
          <w:szCs w:val="32"/>
        </w:rPr>
        <w:t>150份。</w:t>
      </w:r>
    </w:p>
    <w:p w14:paraId="1D9CCA42">
      <w:pPr>
        <w:pStyle w:val="16"/>
        <w:numPr>
          <w:ilvl w:val="0"/>
          <w:numId w:val="0"/>
        </w:numPr>
        <w:spacing w:beforeAutospacing="0" w:afterAutospacing="0" w:line="578" w:lineRule="exact"/>
        <w:ind w:firstLine="643" w:firstLineChars="200"/>
        <w:jc w:val="both"/>
        <w:rPr>
          <w:rFonts w:hint="eastAsia" w:ascii="仿宋_GB2312" w:hAnsi="仿宋_GB2312" w:eastAsia="仿宋_GB2312" w:cs="仿宋_GB2312"/>
          <w:color w:val="auto"/>
          <w:kern w:val="2"/>
          <w:sz w:val="32"/>
          <w:szCs w:val="32"/>
          <w:lang w:val="en-US" w:eastAsia="zh-CN"/>
        </w:rPr>
      </w:pPr>
      <w:r>
        <w:rPr>
          <w:rFonts w:hint="eastAsia" w:ascii="仿宋_GB2312" w:hAnsi="仿宋_GB2312" w:eastAsia="仿宋_GB2312" w:cs="仿宋_GB2312"/>
          <w:b/>
          <w:bCs/>
          <w:color w:val="auto"/>
          <w:sz w:val="32"/>
          <w:szCs w:val="32"/>
          <w:lang w:val="en-US" w:eastAsia="zh-CN"/>
        </w:rPr>
        <w:t>（3）</w:t>
      </w:r>
      <w:r>
        <w:rPr>
          <w:rFonts w:hint="eastAsia" w:ascii="仿宋_GB2312" w:hAnsi="仿宋_GB2312" w:eastAsia="仿宋_GB2312" w:cs="仿宋_GB2312"/>
          <w:b/>
          <w:bCs/>
          <w:color w:val="auto"/>
          <w:sz w:val="32"/>
          <w:szCs w:val="32"/>
        </w:rPr>
        <w:t>食源性疾病</w:t>
      </w:r>
      <w:r>
        <w:rPr>
          <w:rFonts w:hint="eastAsia" w:ascii="仿宋_GB2312" w:hAnsi="仿宋_GB2312" w:eastAsia="仿宋_GB2312" w:cs="仿宋_GB2312"/>
          <w:b/>
          <w:bCs/>
          <w:color w:val="auto"/>
          <w:sz w:val="32"/>
          <w:szCs w:val="32"/>
          <w:lang w:eastAsia="zh-CN"/>
        </w:rPr>
        <w:t>。</w:t>
      </w:r>
      <w:r>
        <w:rPr>
          <w:rFonts w:hint="eastAsia" w:ascii="仿宋_GB2312" w:hAnsi="仿宋_GB2312" w:eastAsia="仿宋_GB2312" w:cs="仿宋_GB2312"/>
          <w:color w:val="auto"/>
          <w:sz w:val="32"/>
          <w:szCs w:val="32"/>
          <w:lang w:val="en-US" w:eastAsia="zh-CN"/>
        </w:rPr>
        <w:t>10月松潘县疾控中心</w:t>
      </w:r>
      <w:r>
        <w:rPr>
          <w:rFonts w:hint="eastAsia" w:ascii="仿宋_GB2312" w:hAnsi="仿宋_GB2312" w:eastAsia="仿宋_GB2312" w:cs="仿宋_GB2312"/>
          <w:color w:val="auto"/>
          <w:sz w:val="32"/>
          <w:szCs w:val="32"/>
          <w:lang w:eastAsia="zh-CN"/>
        </w:rPr>
        <w:t>对中藏医院和县人民医院进行食源性疾病监测督导。</w:t>
      </w:r>
      <w:r>
        <w:rPr>
          <w:rFonts w:hint="eastAsia" w:ascii="仿宋_GB2312" w:hAnsi="仿宋_GB2312" w:eastAsia="仿宋_GB2312" w:cs="仿宋_GB2312"/>
          <w:color w:val="auto"/>
          <w:sz w:val="32"/>
          <w:szCs w:val="32"/>
          <w:lang w:val="en-US" w:eastAsia="zh-CN"/>
        </w:rPr>
        <w:t>截至2023年12月，</w:t>
      </w:r>
      <w:r>
        <w:rPr>
          <w:rFonts w:hint="eastAsia" w:ascii="仿宋_GB2312" w:hAnsi="仿宋_GB2312" w:eastAsia="仿宋_GB2312" w:cs="仿宋_GB2312"/>
          <w:color w:val="auto"/>
          <w:sz w:val="32"/>
          <w:szCs w:val="32"/>
        </w:rPr>
        <w:t>2家哨点医院在专网共报告</w:t>
      </w:r>
      <w:r>
        <w:rPr>
          <w:rFonts w:hint="eastAsia" w:ascii="仿宋_GB2312" w:hAnsi="仿宋_GB2312" w:eastAsia="仿宋_GB2312" w:cs="仿宋_GB2312"/>
          <w:color w:val="auto"/>
          <w:sz w:val="32"/>
          <w:szCs w:val="32"/>
          <w:lang w:eastAsia="zh-CN"/>
        </w:rPr>
        <w:t>病例</w:t>
      </w:r>
      <w:r>
        <w:rPr>
          <w:rFonts w:hint="eastAsia" w:ascii="仿宋_GB2312" w:hAnsi="仿宋_GB2312" w:eastAsia="仿宋_GB2312" w:cs="仿宋_GB2312"/>
          <w:color w:val="auto"/>
          <w:sz w:val="32"/>
          <w:szCs w:val="32"/>
          <w:lang w:val="en-US" w:eastAsia="zh-CN"/>
        </w:rPr>
        <w:t>202</w:t>
      </w:r>
      <w:r>
        <w:rPr>
          <w:rFonts w:hint="eastAsia" w:ascii="仿宋_GB2312" w:hAnsi="仿宋_GB2312" w:eastAsia="仿宋_GB2312" w:cs="仿宋_GB2312"/>
          <w:color w:val="auto"/>
          <w:sz w:val="32"/>
          <w:szCs w:val="32"/>
        </w:rPr>
        <w:t>例</w:t>
      </w:r>
      <w:r>
        <w:rPr>
          <w:rFonts w:hint="eastAsia" w:ascii="仿宋_GB2312" w:hAnsi="仿宋_GB2312" w:eastAsia="仿宋_GB2312" w:cs="仿宋_GB2312"/>
          <w:color w:val="auto"/>
          <w:sz w:val="32"/>
          <w:szCs w:val="32"/>
          <w:lang w:eastAsia="zh-CN"/>
        </w:rPr>
        <w:t>。其中松潘县人民医院报告</w:t>
      </w:r>
      <w:r>
        <w:rPr>
          <w:rFonts w:hint="eastAsia" w:ascii="仿宋_GB2312" w:hAnsi="仿宋_GB2312" w:eastAsia="仿宋_GB2312" w:cs="仿宋_GB2312"/>
          <w:color w:val="auto"/>
          <w:sz w:val="32"/>
          <w:szCs w:val="32"/>
          <w:lang w:val="en-US" w:eastAsia="zh-CN"/>
        </w:rPr>
        <w:t>153例，占比为75.7%；松潘县中藏医院报告49例，占比为24.3%</w:t>
      </w:r>
      <w:r>
        <w:rPr>
          <w:rFonts w:hint="eastAsia" w:ascii="仿宋_GB2312" w:hAnsi="仿宋_GB2312" w:eastAsia="仿宋_GB2312" w:cs="仿宋_GB2312"/>
          <w:color w:val="auto"/>
          <w:sz w:val="32"/>
          <w:szCs w:val="32"/>
        </w:rPr>
        <w:t>。</w:t>
      </w:r>
      <w:r>
        <w:rPr>
          <w:rFonts w:hint="eastAsia" w:ascii="仿宋_GB2312" w:hAnsi="仿宋_GB2312" w:eastAsia="仿宋_GB2312" w:cs="仿宋_GB2312"/>
          <w:color w:val="auto"/>
          <w:sz w:val="32"/>
          <w:szCs w:val="32"/>
          <w:lang w:val="en-US" w:eastAsia="zh-CN"/>
        </w:rPr>
        <w:t>2023年松潘县食源性疾病监测</w:t>
      </w:r>
      <w:r>
        <w:rPr>
          <w:rFonts w:hint="eastAsia" w:ascii="仿宋_GB2312" w:hAnsi="仿宋_GB2312" w:eastAsia="仿宋_GB2312" w:cs="仿宋_GB2312"/>
          <w:color w:val="auto"/>
          <w:sz w:val="32"/>
          <w:szCs w:val="32"/>
          <w:lang w:eastAsia="zh-CN"/>
        </w:rPr>
        <w:t>完成率</w:t>
      </w:r>
      <w:r>
        <w:rPr>
          <w:rFonts w:hint="eastAsia" w:ascii="仿宋_GB2312" w:hAnsi="仿宋_GB2312" w:eastAsia="仿宋_GB2312" w:cs="仿宋_GB2312"/>
          <w:color w:val="auto"/>
          <w:sz w:val="32"/>
          <w:szCs w:val="32"/>
          <w:lang w:val="en-US" w:eastAsia="zh-CN"/>
        </w:rPr>
        <w:t>101%。</w:t>
      </w:r>
    </w:p>
    <w:p w14:paraId="0ED7689A">
      <w:pPr>
        <w:keepNext w:val="0"/>
        <w:keepLines w:val="0"/>
        <w:pageBreakBefore w:val="0"/>
        <w:widowControl w:val="0"/>
        <w:numPr>
          <w:ilvl w:val="0"/>
          <w:numId w:val="0"/>
        </w:numPr>
        <w:kinsoku/>
        <w:wordWrap/>
        <w:overflowPunct/>
        <w:topLinePunct w:val="0"/>
        <w:autoSpaceDN/>
        <w:bidi w:val="0"/>
        <w:adjustRightInd/>
        <w:snapToGrid/>
        <w:spacing w:line="576" w:lineRule="exact"/>
        <w:ind w:leftChars="0" w:firstLine="643" w:firstLineChars="200"/>
        <w:jc w:val="both"/>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b/>
          <w:bCs/>
          <w:color w:val="auto"/>
          <w:sz w:val="32"/>
          <w:szCs w:val="32"/>
          <w:lang w:val="en-US" w:eastAsia="zh-CN"/>
        </w:rPr>
        <w:t>（4）.</w:t>
      </w:r>
      <w:r>
        <w:rPr>
          <w:rFonts w:hint="eastAsia" w:ascii="仿宋_GB2312" w:hAnsi="仿宋_GB2312" w:eastAsia="仿宋_GB2312" w:cs="仿宋_GB2312"/>
          <w:b/>
          <w:bCs/>
          <w:color w:val="auto"/>
          <w:sz w:val="32"/>
          <w:szCs w:val="32"/>
        </w:rPr>
        <w:t>学校卫生</w:t>
      </w:r>
      <w:r>
        <w:rPr>
          <w:rFonts w:hint="eastAsia" w:ascii="仿宋_GB2312" w:hAnsi="仿宋_GB2312" w:eastAsia="仿宋_GB2312" w:cs="仿宋_GB2312"/>
          <w:b/>
          <w:bCs/>
          <w:color w:val="auto"/>
          <w:sz w:val="32"/>
          <w:szCs w:val="32"/>
          <w:lang w:eastAsia="zh-CN"/>
        </w:rPr>
        <w:t>。</w:t>
      </w:r>
      <w:r>
        <w:rPr>
          <w:rFonts w:hint="eastAsia" w:ascii="仿宋_GB2312" w:hAnsi="仿宋_GB2312" w:eastAsia="仿宋_GB2312" w:cs="仿宋_GB2312"/>
          <w:color w:val="auto"/>
          <w:sz w:val="32"/>
          <w:szCs w:val="32"/>
          <w:lang w:eastAsia="zh-CN"/>
        </w:rPr>
        <w:t>根据《202</w:t>
      </w:r>
      <w:r>
        <w:rPr>
          <w:rFonts w:hint="eastAsia" w:ascii="仿宋_GB2312" w:hAnsi="仿宋_GB2312" w:eastAsia="仿宋_GB2312" w:cs="仿宋_GB2312"/>
          <w:color w:val="auto"/>
          <w:sz w:val="32"/>
          <w:szCs w:val="32"/>
          <w:lang w:val="en-US" w:eastAsia="zh-CN"/>
        </w:rPr>
        <w:t>3</w:t>
      </w:r>
      <w:r>
        <w:rPr>
          <w:rFonts w:hint="eastAsia" w:ascii="仿宋_GB2312" w:hAnsi="仿宋_GB2312" w:eastAsia="仿宋_GB2312" w:cs="仿宋_GB2312"/>
          <w:color w:val="auto"/>
          <w:sz w:val="32"/>
          <w:szCs w:val="32"/>
          <w:lang w:eastAsia="zh-CN"/>
        </w:rPr>
        <w:t>年阿坝州学生近视及其他重点常见病和健康影响因素监测与干预工作方案》要求，松潘县</w:t>
      </w:r>
      <w:r>
        <w:rPr>
          <w:rFonts w:hint="eastAsia" w:ascii="仿宋_GB2312" w:hAnsi="仿宋_GB2312" w:eastAsia="仿宋_GB2312" w:cs="仿宋_GB2312"/>
          <w:color w:val="auto"/>
          <w:sz w:val="32"/>
          <w:szCs w:val="32"/>
          <w:lang w:val="en-US" w:eastAsia="zh-CN"/>
        </w:rPr>
        <w:t>2023年任务为：</w:t>
      </w:r>
      <w:r>
        <w:rPr>
          <w:rFonts w:hint="eastAsia" w:ascii="仿宋_GB2312" w:hAnsi="仿宋_GB2312" w:eastAsia="仿宋_GB2312" w:cs="仿宋_GB2312"/>
          <w:color w:val="auto"/>
          <w:sz w:val="32"/>
          <w:szCs w:val="32"/>
          <w:lang w:eastAsia="zh-CN"/>
        </w:rPr>
        <w:t>1所高中、</w:t>
      </w:r>
      <w:r>
        <w:rPr>
          <w:rFonts w:hint="eastAsia" w:ascii="仿宋_GB2312" w:hAnsi="仿宋_GB2312" w:eastAsia="仿宋_GB2312" w:cs="仿宋_GB2312"/>
          <w:color w:val="auto"/>
          <w:sz w:val="32"/>
          <w:szCs w:val="32"/>
          <w:lang w:val="en-US" w:eastAsia="zh-CN"/>
        </w:rPr>
        <w:t>2</w:t>
      </w:r>
      <w:r>
        <w:rPr>
          <w:rFonts w:hint="eastAsia" w:ascii="仿宋_GB2312" w:hAnsi="仿宋_GB2312" w:eastAsia="仿宋_GB2312" w:cs="仿宋_GB2312"/>
          <w:color w:val="auto"/>
          <w:sz w:val="32"/>
          <w:szCs w:val="32"/>
          <w:lang w:eastAsia="zh-CN"/>
        </w:rPr>
        <w:t>所初中、</w:t>
      </w:r>
      <w:r>
        <w:rPr>
          <w:rFonts w:hint="eastAsia" w:ascii="仿宋_GB2312" w:hAnsi="仿宋_GB2312" w:eastAsia="仿宋_GB2312" w:cs="仿宋_GB2312"/>
          <w:color w:val="auto"/>
          <w:sz w:val="32"/>
          <w:szCs w:val="32"/>
          <w:lang w:val="en-US" w:eastAsia="zh-CN"/>
        </w:rPr>
        <w:t>2</w:t>
      </w:r>
      <w:r>
        <w:rPr>
          <w:rFonts w:hint="eastAsia" w:ascii="仿宋_GB2312" w:hAnsi="仿宋_GB2312" w:eastAsia="仿宋_GB2312" w:cs="仿宋_GB2312"/>
          <w:color w:val="auto"/>
          <w:sz w:val="32"/>
          <w:szCs w:val="32"/>
          <w:lang w:eastAsia="zh-CN"/>
        </w:rPr>
        <w:t>所小学、</w:t>
      </w:r>
      <w:r>
        <w:rPr>
          <w:rFonts w:hint="eastAsia" w:ascii="仿宋_GB2312" w:hAnsi="仿宋_GB2312" w:eastAsia="仿宋_GB2312" w:cs="仿宋_GB2312"/>
          <w:color w:val="auto"/>
          <w:sz w:val="32"/>
          <w:szCs w:val="32"/>
          <w:lang w:val="en-US" w:eastAsia="zh-CN"/>
        </w:rPr>
        <w:t>2</w:t>
      </w:r>
      <w:r>
        <w:rPr>
          <w:rFonts w:hint="eastAsia" w:ascii="仿宋_GB2312" w:hAnsi="仿宋_GB2312" w:eastAsia="仿宋_GB2312" w:cs="仿宋_GB2312"/>
          <w:color w:val="auto"/>
          <w:sz w:val="32"/>
          <w:szCs w:val="32"/>
          <w:lang w:eastAsia="zh-CN"/>
        </w:rPr>
        <w:t>所幼儿园开展学生视力筛查及常见病和健康影响因素监测。现完成学生体检19</w:t>
      </w:r>
      <w:r>
        <w:rPr>
          <w:rFonts w:hint="eastAsia" w:ascii="仿宋_GB2312" w:hAnsi="仿宋_GB2312" w:eastAsia="仿宋_GB2312" w:cs="仿宋_GB2312"/>
          <w:color w:val="auto"/>
          <w:sz w:val="32"/>
          <w:szCs w:val="32"/>
          <w:lang w:val="en-US" w:eastAsia="zh-CN"/>
        </w:rPr>
        <w:t>00余</w:t>
      </w:r>
      <w:r>
        <w:rPr>
          <w:rFonts w:hint="eastAsia" w:ascii="仿宋_GB2312" w:hAnsi="仿宋_GB2312" w:eastAsia="仿宋_GB2312" w:cs="仿宋_GB2312"/>
          <w:color w:val="auto"/>
          <w:sz w:val="32"/>
          <w:szCs w:val="32"/>
          <w:lang w:eastAsia="zh-CN"/>
        </w:rPr>
        <w:t>人次，教学环境监测30间，</w:t>
      </w:r>
      <w:r>
        <w:rPr>
          <w:rFonts w:hint="eastAsia" w:ascii="仿宋_GB2312" w:hAnsi="仿宋_GB2312" w:eastAsia="仿宋_GB2312" w:cs="仿宋_GB2312"/>
          <w:color w:val="auto"/>
          <w:sz w:val="32"/>
          <w:szCs w:val="32"/>
          <w:lang w:val="en-US" w:eastAsia="zh-CN"/>
        </w:rPr>
        <w:t>已录入</w:t>
      </w:r>
      <w:r>
        <w:rPr>
          <w:rFonts w:hint="eastAsia" w:ascii="仿宋_GB2312" w:hAnsi="仿宋_GB2312" w:eastAsia="仿宋_GB2312" w:cs="仿宋_GB2312"/>
          <w:color w:val="auto"/>
          <w:sz w:val="32"/>
          <w:szCs w:val="32"/>
          <w:lang w:eastAsia="zh-CN"/>
        </w:rPr>
        <w:t>系统，</w:t>
      </w:r>
      <w:r>
        <w:rPr>
          <w:rFonts w:hint="eastAsia" w:ascii="仿宋_GB2312" w:hAnsi="仿宋_GB2312" w:eastAsia="仿宋_GB2312" w:cs="仿宋_GB2312"/>
          <w:color w:val="auto"/>
          <w:sz w:val="32"/>
          <w:szCs w:val="32"/>
          <w:lang w:val="en-US" w:eastAsia="zh-CN"/>
        </w:rPr>
        <w:t>已完成数据分析，并形成报告《2023年中小学生常见病和健康影响因素监测项目工作分析报告》。</w:t>
      </w:r>
    </w:p>
    <w:p w14:paraId="54FC37DC">
      <w:pPr>
        <w:ind w:firstLine="640" w:firstLineChars="200"/>
        <w:rPr>
          <w:rFonts w:hint="eastAsia" w:ascii="仿宋_GB2312" w:hAnsi="仿宋_GB2312" w:eastAsia="仿宋_GB2312" w:cs="仿宋_GB2312"/>
          <w:color w:val="auto"/>
          <w:sz w:val="32"/>
          <w:szCs w:val="32"/>
          <w:lang w:eastAsia="zh-CN"/>
        </w:rPr>
      </w:pPr>
      <w:r>
        <w:rPr>
          <w:rFonts w:hint="eastAsia" w:ascii="黑体" w:hAnsi="黑体" w:eastAsia="黑体" w:cs="黑体"/>
          <w:color w:val="auto"/>
          <w:kern w:val="0"/>
          <w:sz w:val="32"/>
          <w:szCs w:val="32"/>
          <w:lang w:val="en-US" w:eastAsia="zh-CN" w:bidi="ar"/>
        </w:rPr>
        <w:t>7、健康教育工作。</w:t>
      </w:r>
      <w:r>
        <w:rPr>
          <w:rFonts w:hint="eastAsia" w:ascii="仿宋_GB2312" w:hAnsi="仿宋_GB2312" w:eastAsia="仿宋_GB2312" w:cs="仿宋_GB2312"/>
          <w:color w:val="auto"/>
          <w:kern w:val="0"/>
          <w:sz w:val="32"/>
          <w:szCs w:val="32"/>
          <w:lang w:eastAsia="zh-CN" w:bidi="ar"/>
        </w:rPr>
        <w:t>为了</w:t>
      </w:r>
      <w:r>
        <w:rPr>
          <w:rFonts w:hint="eastAsia" w:ascii="仿宋_GB2312" w:hAnsi="仿宋_GB2312" w:eastAsia="仿宋_GB2312" w:cs="仿宋_GB2312"/>
          <w:color w:val="auto"/>
          <w:kern w:val="0"/>
          <w:sz w:val="32"/>
          <w:szCs w:val="32"/>
          <w:lang w:val="en-US" w:eastAsia="zh-CN" w:bidi="ar"/>
        </w:rPr>
        <w:t>进一步提高群众对健康知识的认知度，提升健康生活行为的形成率</w:t>
      </w:r>
      <w:r>
        <w:rPr>
          <w:rFonts w:hint="eastAsia" w:ascii="仿宋_GB2312" w:hAnsi="仿宋_GB2312" w:eastAsia="仿宋_GB2312" w:cs="仿宋_GB2312"/>
          <w:color w:val="auto"/>
          <w:kern w:val="0"/>
          <w:sz w:val="32"/>
          <w:szCs w:val="32"/>
          <w:lang w:eastAsia="zh-CN" w:bidi="ar"/>
        </w:rPr>
        <w:t>，</w:t>
      </w:r>
      <w:r>
        <w:rPr>
          <w:rFonts w:hint="eastAsia" w:ascii="仿宋_GB2312" w:hAnsi="仿宋_GB2312" w:eastAsia="仿宋_GB2312" w:cs="仿宋_GB2312"/>
          <w:color w:val="auto"/>
          <w:kern w:val="2"/>
          <w:sz w:val="32"/>
          <w:szCs w:val="32"/>
          <w:lang w:val="en-US" w:eastAsia="zh-CN" w:bidi="ar"/>
        </w:rPr>
        <w:t>在县级有关单位协调配合下，用老百姓更能接受的方式</w:t>
      </w:r>
      <w:r>
        <w:rPr>
          <w:rFonts w:hint="eastAsia" w:ascii="仿宋_GB2312" w:hAnsi="仿宋_GB2312" w:eastAsia="仿宋_GB2312" w:cs="仿宋_GB2312"/>
          <w:color w:val="auto"/>
          <w:kern w:val="2"/>
          <w:sz w:val="32"/>
          <w:szCs w:val="32"/>
          <w:lang w:eastAsia="zh-CN" w:bidi="ar"/>
        </w:rPr>
        <w:t>，在</w:t>
      </w:r>
      <w:r>
        <w:rPr>
          <w:rFonts w:hint="eastAsia" w:ascii="仿宋_GB2312" w:hAnsi="仿宋_GB2312" w:eastAsia="仿宋_GB2312" w:cs="仿宋_GB2312"/>
          <w:color w:val="auto"/>
          <w:kern w:val="0"/>
          <w:sz w:val="32"/>
          <w:szCs w:val="32"/>
          <w:lang w:val="en-US" w:eastAsia="zh-CN" w:bidi="ar"/>
        </w:rPr>
        <w:t>各节假日、宣传日、宣传月通过现场健康宣传、健康讲座</w:t>
      </w:r>
      <w:r>
        <w:rPr>
          <w:rFonts w:hint="eastAsia" w:ascii="仿宋_GB2312" w:hAnsi="仿宋_GB2312" w:eastAsia="仿宋_GB2312" w:cs="仿宋_GB2312"/>
          <w:color w:val="auto"/>
          <w:kern w:val="0"/>
          <w:sz w:val="32"/>
          <w:szCs w:val="32"/>
          <w:lang w:eastAsia="zh-CN" w:bidi="ar"/>
        </w:rPr>
        <w:t>、发放各</w:t>
      </w:r>
      <w:r>
        <w:rPr>
          <w:rFonts w:hint="eastAsia" w:ascii="仿宋_GB2312" w:hAnsi="仿宋_GB2312" w:eastAsia="仿宋_GB2312" w:cs="仿宋_GB2312"/>
          <w:color w:val="auto"/>
          <w:kern w:val="0"/>
          <w:sz w:val="32"/>
          <w:szCs w:val="32"/>
          <w:lang w:val="en-US" w:eastAsia="zh-CN" w:bidi="ar"/>
        </w:rPr>
        <w:t>种宣传资料</w:t>
      </w:r>
      <w:r>
        <w:rPr>
          <w:rFonts w:hint="eastAsia" w:ascii="仿宋_GB2312" w:hAnsi="仿宋_GB2312" w:eastAsia="仿宋_GB2312" w:cs="仿宋_GB2312"/>
          <w:color w:val="auto"/>
          <w:kern w:val="0"/>
          <w:sz w:val="32"/>
          <w:szCs w:val="32"/>
          <w:lang w:eastAsia="zh-CN" w:bidi="ar"/>
        </w:rPr>
        <w:t>等</w:t>
      </w:r>
      <w:r>
        <w:rPr>
          <w:rFonts w:hint="eastAsia" w:ascii="仿宋_GB2312" w:hAnsi="仿宋_GB2312" w:eastAsia="仿宋_GB2312" w:cs="仿宋_GB2312"/>
          <w:color w:val="auto"/>
          <w:kern w:val="0"/>
          <w:sz w:val="32"/>
          <w:szCs w:val="32"/>
          <w:lang w:val="en-US" w:eastAsia="zh-CN" w:bidi="ar"/>
        </w:rPr>
        <w:t>多形式</w:t>
      </w:r>
      <w:r>
        <w:rPr>
          <w:rFonts w:hint="eastAsia" w:ascii="仿宋_GB2312" w:hAnsi="仿宋_GB2312" w:eastAsia="仿宋_GB2312" w:cs="仿宋_GB2312"/>
          <w:color w:val="auto"/>
          <w:kern w:val="0"/>
          <w:sz w:val="32"/>
          <w:szCs w:val="32"/>
          <w:lang w:eastAsia="zh-CN" w:bidi="ar"/>
        </w:rPr>
        <w:t>、</w:t>
      </w:r>
      <w:r>
        <w:rPr>
          <w:rFonts w:hint="eastAsia" w:ascii="仿宋_GB2312" w:hAnsi="仿宋_GB2312" w:eastAsia="仿宋_GB2312" w:cs="仿宋_GB2312"/>
          <w:color w:val="auto"/>
          <w:kern w:val="0"/>
          <w:sz w:val="32"/>
          <w:szCs w:val="32"/>
          <w:lang w:val="en-US" w:eastAsia="zh-CN" w:bidi="ar"/>
        </w:rPr>
        <w:t>多渠道开展全民健康生活方式行动宣传工作。</w:t>
      </w:r>
      <w:r>
        <w:rPr>
          <w:rFonts w:hint="eastAsia" w:ascii="仿宋_GB2312" w:hAnsi="仿宋_GB2312" w:eastAsia="仿宋_GB2312" w:cs="仿宋_GB2312"/>
          <w:color w:val="auto"/>
          <w:sz w:val="32"/>
          <w:szCs w:val="32"/>
          <w:highlight w:val="none"/>
          <w:lang w:val="en-US" w:eastAsia="zh-CN"/>
        </w:rPr>
        <w:t>2023</w:t>
      </w:r>
      <w:r>
        <w:rPr>
          <w:rFonts w:hint="eastAsia" w:ascii="仿宋_GB2312" w:hAnsi="仿宋_GB2312" w:eastAsia="仿宋_GB2312" w:cs="仿宋_GB2312"/>
          <w:color w:val="auto"/>
          <w:kern w:val="0"/>
          <w:sz w:val="32"/>
          <w:szCs w:val="32"/>
          <w:lang w:val="en-US" w:eastAsia="zh-CN"/>
        </w:rPr>
        <w:t>年累计出动</w:t>
      </w:r>
      <w:r>
        <w:rPr>
          <w:rFonts w:hint="eastAsia" w:ascii="仿宋_GB2312" w:hAnsi="仿宋_GB2312" w:eastAsia="仿宋_GB2312" w:cs="仿宋_GB2312"/>
          <w:color w:val="auto"/>
          <w:sz w:val="32"/>
          <w:szCs w:val="32"/>
        </w:rPr>
        <w:t>健康宣传队伍</w:t>
      </w:r>
      <w:r>
        <w:rPr>
          <w:rFonts w:hint="eastAsia" w:ascii="仿宋_GB2312" w:hAnsi="仿宋_GB2312" w:eastAsia="仿宋_GB2312" w:cs="仿宋_GB2312"/>
          <w:color w:val="auto"/>
          <w:sz w:val="32"/>
          <w:szCs w:val="32"/>
          <w:lang w:val="en-US" w:eastAsia="zh-CN"/>
        </w:rPr>
        <w:t>234</w:t>
      </w:r>
      <w:r>
        <w:rPr>
          <w:rFonts w:hint="eastAsia" w:ascii="仿宋_GB2312" w:hAnsi="仿宋_GB2312" w:eastAsia="仿宋_GB2312" w:cs="仿宋_GB2312"/>
          <w:color w:val="auto"/>
          <w:sz w:val="32"/>
          <w:szCs w:val="32"/>
        </w:rPr>
        <w:t>支，宣传车辆</w:t>
      </w:r>
      <w:r>
        <w:rPr>
          <w:rFonts w:hint="eastAsia" w:ascii="仿宋_GB2312" w:hAnsi="仿宋_GB2312" w:eastAsia="仿宋_GB2312" w:cs="仿宋_GB2312"/>
          <w:color w:val="auto"/>
          <w:sz w:val="32"/>
          <w:szCs w:val="32"/>
          <w:lang w:val="en-US" w:eastAsia="zh-CN"/>
        </w:rPr>
        <w:t>251</w:t>
      </w:r>
      <w:r>
        <w:rPr>
          <w:rFonts w:hint="eastAsia" w:ascii="仿宋_GB2312" w:hAnsi="仿宋_GB2312" w:eastAsia="仿宋_GB2312" w:cs="仿宋_GB2312"/>
          <w:color w:val="auto"/>
          <w:sz w:val="32"/>
          <w:szCs w:val="32"/>
        </w:rPr>
        <w:t>台次，入户</w:t>
      </w:r>
      <w:r>
        <w:rPr>
          <w:rFonts w:hint="eastAsia" w:ascii="仿宋_GB2312" w:hAnsi="仿宋_GB2312" w:eastAsia="仿宋_GB2312" w:cs="仿宋_GB2312"/>
          <w:color w:val="auto"/>
          <w:sz w:val="32"/>
          <w:szCs w:val="32"/>
          <w:lang w:val="en-US" w:eastAsia="zh-CN"/>
        </w:rPr>
        <w:t>428</w:t>
      </w:r>
      <w:r>
        <w:rPr>
          <w:rFonts w:hint="eastAsia" w:ascii="仿宋_GB2312" w:hAnsi="仿宋_GB2312" w:eastAsia="仿宋_GB2312" w:cs="仿宋_GB2312"/>
          <w:color w:val="auto"/>
          <w:sz w:val="32"/>
          <w:szCs w:val="32"/>
        </w:rPr>
        <w:t>家，学校</w:t>
      </w:r>
      <w:r>
        <w:rPr>
          <w:rFonts w:hint="eastAsia" w:ascii="仿宋_GB2312" w:hAnsi="仿宋_GB2312" w:eastAsia="仿宋_GB2312" w:cs="仿宋_GB2312"/>
          <w:color w:val="auto"/>
          <w:sz w:val="32"/>
          <w:szCs w:val="32"/>
          <w:lang w:val="en-US" w:eastAsia="zh-CN"/>
        </w:rPr>
        <w:t>112</w:t>
      </w:r>
      <w:r>
        <w:rPr>
          <w:rFonts w:hint="eastAsia" w:ascii="仿宋_GB2312" w:hAnsi="仿宋_GB2312" w:eastAsia="仿宋_GB2312" w:cs="仿宋_GB2312"/>
          <w:color w:val="auto"/>
          <w:sz w:val="32"/>
          <w:szCs w:val="32"/>
        </w:rPr>
        <w:t>家，开展现场宣传</w:t>
      </w:r>
      <w:r>
        <w:rPr>
          <w:rFonts w:hint="eastAsia" w:ascii="仿宋_GB2312" w:hAnsi="仿宋_GB2312" w:eastAsia="仿宋_GB2312" w:cs="仿宋_GB2312"/>
          <w:color w:val="auto"/>
          <w:sz w:val="32"/>
          <w:szCs w:val="32"/>
          <w:lang w:val="en-US" w:eastAsia="zh-CN"/>
        </w:rPr>
        <w:t>48</w:t>
      </w:r>
      <w:r>
        <w:rPr>
          <w:rFonts w:hint="eastAsia" w:ascii="仿宋_GB2312" w:hAnsi="仿宋_GB2312" w:eastAsia="仿宋_GB2312" w:cs="仿宋_GB2312"/>
          <w:color w:val="auto"/>
          <w:sz w:val="32"/>
          <w:szCs w:val="32"/>
        </w:rPr>
        <w:t>场，横幅展板</w:t>
      </w:r>
      <w:r>
        <w:rPr>
          <w:rFonts w:hint="eastAsia" w:ascii="仿宋_GB2312" w:hAnsi="仿宋_GB2312" w:eastAsia="仿宋_GB2312" w:cs="仿宋_GB2312"/>
          <w:color w:val="auto"/>
          <w:sz w:val="32"/>
          <w:szCs w:val="32"/>
          <w:lang w:val="en-US" w:eastAsia="zh-CN"/>
        </w:rPr>
        <w:t>35</w:t>
      </w:r>
      <w:r>
        <w:rPr>
          <w:rFonts w:hint="eastAsia" w:ascii="仿宋_GB2312" w:hAnsi="仿宋_GB2312" w:eastAsia="仿宋_GB2312" w:cs="仿宋_GB2312"/>
          <w:color w:val="auto"/>
          <w:sz w:val="32"/>
          <w:szCs w:val="32"/>
        </w:rPr>
        <w:t>个，微信公众号电视</w:t>
      </w:r>
      <w:r>
        <w:rPr>
          <w:rFonts w:hint="eastAsia" w:ascii="仿宋_GB2312" w:hAnsi="仿宋_GB2312" w:eastAsia="仿宋_GB2312" w:cs="仿宋_GB2312"/>
          <w:color w:val="auto"/>
          <w:sz w:val="32"/>
          <w:szCs w:val="32"/>
          <w:lang w:val="en-US" w:eastAsia="zh-CN"/>
        </w:rPr>
        <w:t>87</w:t>
      </w:r>
      <w:r>
        <w:rPr>
          <w:rFonts w:hint="eastAsia" w:ascii="仿宋_GB2312" w:hAnsi="仿宋_GB2312" w:eastAsia="仿宋_GB2312" w:cs="仿宋_GB2312"/>
          <w:color w:val="auto"/>
          <w:sz w:val="32"/>
          <w:szCs w:val="32"/>
        </w:rPr>
        <w:t>条，发放宣传资料</w:t>
      </w:r>
      <w:r>
        <w:rPr>
          <w:rFonts w:hint="eastAsia" w:ascii="仿宋_GB2312" w:hAnsi="仿宋_GB2312" w:eastAsia="仿宋_GB2312" w:cs="仿宋_GB2312"/>
          <w:color w:val="auto"/>
          <w:sz w:val="32"/>
          <w:szCs w:val="32"/>
          <w:lang w:eastAsia="zh-CN"/>
        </w:rPr>
        <w:t>和宣传品</w:t>
      </w:r>
      <w:r>
        <w:rPr>
          <w:rFonts w:hint="eastAsia" w:ascii="仿宋_GB2312" w:hAnsi="仿宋_GB2312" w:eastAsia="仿宋_GB2312" w:cs="仿宋_GB2312"/>
          <w:color w:val="auto"/>
          <w:sz w:val="32"/>
          <w:szCs w:val="32"/>
          <w:lang w:val="en-US" w:eastAsia="zh-CN"/>
        </w:rPr>
        <w:t>23119</w:t>
      </w:r>
      <w:r>
        <w:rPr>
          <w:rFonts w:hint="eastAsia" w:ascii="仿宋_GB2312" w:hAnsi="仿宋_GB2312" w:eastAsia="仿宋_GB2312" w:cs="仿宋_GB2312"/>
          <w:color w:val="auto"/>
          <w:sz w:val="32"/>
          <w:szCs w:val="32"/>
        </w:rPr>
        <w:t>份，LED宣传</w:t>
      </w:r>
      <w:r>
        <w:rPr>
          <w:rFonts w:hint="eastAsia" w:ascii="仿宋_GB2312" w:hAnsi="仿宋_GB2312" w:eastAsia="仿宋_GB2312" w:cs="仿宋_GB2312"/>
          <w:color w:val="auto"/>
          <w:sz w:val="32"/>
          <w:szCs w:val="32"/>
          <w:lang w:val="en-US" w:eastAsia="zh-CN"/>
        </w:rPr>
        <w:t>360</w:t>
      </w:r>
      <w:r>
        <w:rPr>
          <w:rFonts w:hint="eastAsia" w:ascii="仿宋_GB2312" w:hAnsi="仿宋_GB2312" w:eastAsia="仿宋_GB2312" w:cs="仿宋_GB2312"/>
          <w:color w:val="auto"/>
          <w:sz w:val="32"/>
          <w:szCs w:val="32"/>
        </w:rPr>
        <w:t>天，受益人群上万人次</w:t>
      </w:r>
      <w:r>
        <w:rPr>
          <w:rFonts w:hint="eastAsia" w:ascii="仿宋_GB2312" w:hAnsi="仿宋_GB2312" w:eastAsia="仿宋_GB2312" w:cs="仿宋_GB2312"/>
          <w:color w:val="auto"/>
          <w:sz w:val="32"/>
          <w:szCs w:val="32"/>
          <w:lang w:eastAsia="zh-CN"/>
        </w:rPr>
        <w:t>。</w:t>
      </w:r>
      <w:r>
        <w:rPr>
          <w:rFonts w:hint="eastAsia" w:ascii="仿宋_GB2312" w:hAnsi="仿宋_GB2312" w:eastAsia="仿宋_GB2312" w:cs="仿宋_GB2312"/>
          <w:color w:val="auto"/>
          <w:sz w:val="32"/>
          <w:szCs w:val="32"/>
          <w:lang w:val="en-US" w:eastAsia="zh-CN"/>
        </w:rPr>
        <w:t>2023年组织召开了全县全民健康生活方式行动健康管理员培训班，</w:t>
      </w:r>
      <w:r>
        <w:rPr>
          <w:rFonts w:hint="eastAsia" w:ascii="仿宋_GB2312" w:hAnsi="仿宋_GB2312" w:eastAsia="仿宋_GB2312" w:cs="仿宋_GB2312"/>
          <w:color w:val="auto"/>
          <w:sz w:val="32"/>
          <w:szCs w:val="32"/>
          <w:lang w:eastAsia="zh-CN"/>
        </w:rPr>
        <w:t>累计培训</w:t>
      </w:r>
      <w:r>
        <w:rPr>
          <w:rFonts w:hint="eastAsia" w:ascii="仿宋_GB2312" w:hAnsi="仿宋_GB2312" w:eastAsia="仿宋_GB2312" w:cs="仿宋_GB2312"/>
          <w:color w:val="auto"/>
          <w:sz w:val="32"/>
          <w:szCs w:val="32"/>
          <w:lang w:val="en-US" w:eastAsia="zh-CN"/>
        </w:rPr>
        <w:t>健康管理员70名。2016年至今我县大力招募健康生活方式指导员累计1120名（涉及人员有村医、村干部、教师、乡镇干部、村民），并鼓励、引导健康生活方式指导员用不同形式、不同方法向周围群众开展健康教育宣传，为乡村的健康教育、健康促进工作起到了重要作用。</w:t>
      </w:r>
    </w:p>
    <w:p w14:paraId="4E4FCBFC"/>
    <w:p w14:paraId="0EA3B34A">
      <w:pPr>
        <w:pStyle w:val="4"/>
        <w:numPr>
          <w:ilvl w:val="0"/>
          <w:numId w:val="1"/>
        </w:numPr>
        <w:ind w:left="0" w:leftChars="0" w:firstLine="0" w:firstLineChars="0"/>
        <w:rPr>
          <w:rFonts w:hint="eastAsia" w:ascii="黑体" w:hAnsi="黑体" w:eastAsia="黑体"/>
          <w:b w:val="0"/>
        </w:rPr>
      </w:pPr>
      <w:bookmarkStart w:id="24" w:name="_Toc18178"/>
      <w:r>
        <w:rPr>
          <w:rFonts w:hint="eastAsia" w:ascii="黑体" w:hAnsi="黑体" w:eastAsia="黑体"/>
          <w:b w:val="0"/>
        </w:rPr>
        <w:t>机构设置</w:t>
      </w:r>
      <w:bookmarkEnd w:id="24"/>
    </w:p>
    <w:p w14:paraId="69C30BF4">
      <w:pPr>
        <w:pStyle w:val="8"/>
        <w:ind w:left="0" w:leftChars="0" w:firstLine="640" w:firstLineChars="200"/>
        <w:rPr>
          <w:rFonts w:hint="default" w:ascii="Times New Roman" w:hAnsi="Times New Roman" w:eastAsia="仿宋_GB2312" w:cs="Times New Roman"/>
          <w:sz w:val="32"/>
          <w:szCs w:val="36"/>
          <w:lang w:val="en-US" w:eastAsia="zh-CN"/>
        </w:rPr>
      </w:pPr>
      <w:r>
        <w:rPr>
          <w:rFonts w:hint="eastAsia" w:ascii="Times New Roman" w:hAnsi="Times New Roman" w:eastAsia="仿宋_GB2312" w:cs="Times New Roman"/>
          <w:sz w:val="32"/>
          <w:szCs w:val="36"/>
          <w:lang w:val="en-US" w:eastAsia="zh-CN"/>
        </w:rPr>
        <w:t>结合工作实际，共设置4个行政后勤科室，分别为中心党支部办公室、中心办公室、财务科、信息安全管理科；9个业务科室，分别为地方病防治与重传科、传染病管理科、卫生应急办公室、检验科、免疫规划科、质控科、健康教育科、卫生科、慢性非传染性疾病预防控制科。</w:t>
      </w:r>
    </w:p>
    <w:p w14:paraId="666517CE">
      <w:pPr>
        <w:rPr>
          <w:rFonts w:hint="default" w:ascii="Times New Roman" w:hAnsi="Times New Roman" w:eastAsia="仿宋_GB2312" w:cs="Times New Roman"/>
          <w:kern w:val="2"/>
          <w:sz w:val="32"/>
          <w:szCs w:val="36"/>
          <w:lang w:val="en-US" w:eastAsia="zh-CN" w:bidi="ar-SA"/>
        </w:rPr>
      </w:pPr>
      <w:r>
        <w:rPr>
          <w:rFonts w:hint="eastAsia" w:ascii="Times New Roman" w:hAnsi="Times New Roman" w:eastAsia="仿宋_GB2312" w:cs="Times New Roman"/>
          <w:sz w:val="32"/>
          <w:szCs w:val="36"/>
          <w:lang w:val="en-US" w:eastAsia="zh-CN"/>
        </w:rPr>
        <w:t xml:space="preserve">   </w:t>
      </w:r>
      <w:r>
        <w:rPr>
          <w:rFonts w:hint="eastAsia" w:ascii="Times New Roman" w:hAnsi="Times New Roman" w:eastAsia="仿宋_GB2312" w:cs="Times New Roman"/>
          <w:b/>
          <w:bCs/>
          <w:sz w:val="32"/>
          <w:szCs w:val="36"/>
          <w:lang w:val="en-US" w:eastAsia="zh-CN"/>
        </w:rPr>
        <w:t xml:space="preserve"> 中心党支部办公室：</w:t>
      </w:r>
      <w:r>
        <w:rPr>
          <w:rFonts w:hint="eastAsia" w:ascii="Times New Roman" w:hAnsi="Times New Roman" w:eastAsia="仿宋_GB2312" w:cs="Times New Roman"/>
          <w:kern w:val="2"/>
          <w:sz w:val="32"/>
          <w:szCs w:val="36"/>
          <w:lang w:val="en-US" w:eastAsia="zh-CN" w:bidi="ar-SA"/>
        </w:rPr>
        <w:t>负责管理教育党员、监督党员和组织群众、宣传群众、凝聚群众、服务群众的职责。</w:t>
      </w:r>
      <w:r>
        <w:rPr>
          <w:rFonts w:hint="eastAsia" w:ascii="仿宋_GB2312" w:hAnsi="ˎ̥" w:eastAsia="仿宋_GB2312"/>
          <w:color w:val="000000"/>
          <w:sz w:val="32"/>
          <w:szCs w:val="32"/>
        </w:rPr>
        <w:t>负责起草党建工作计划、</w:t>
      </w:r>
      <w:r>
        <w:rPr>
          <w:rFonts w:hint="eastAsia" w:ascii="仿宋_GB2312" w:hAnsi="ˎ̥" w:eastAsia="仿宋_GB2312"/>
          <w:color w:val="000000"/>
          <w:sz w:val="32"/>
          <w:szCs w:val="32"/>
          <w:lang w:val="en-US" w:eastAsia="zh-CN"/>
        </w:rPr>
        <w:t>方案、</w:t>
      </w:r>
      <w:r>
        <w:rPr>
          <w:rFonts w:hint="eastAsia" w:ascii="仿宋_GB2312" w:hAnsi="ˎ̥" w:eastAsia="仿宋_GB2312"/>
          <w:color w:val="000000"/>
          <w:sz w:val="32"/>
          <w:szCs w:val="32"/>
        </w:rPr>
        <w:t>总结</w:t>
      </w:r>
      <w:r>
        <w:rPr>
          <w:rFonts w:hint="eastAsia" w:ascii="仿宋_GB2312" w:hAnsi="ˎ̥" w:eastAsia="仿宋_GB2312"/>
          <w:color w:val="000000"/>
          <w:sz w:val="32"/>
          <w:szCs w:val="32"/>
          <w:lang w:eastAsia="zh-CN"/>
        </w:rPr>
        <w:t>；</w:t>
      </w:r>
      <w:r>
        <w:rPr>
          <w:rFonts w:hint="eastAsia" w:ascii="仿宋_GB2312" w:hAnsi="ˎ̥" w:eastAsia="仿宋_GB2312"/>
          <w:color w:val="000000"/>
          <w:sz w:val="32"/>
          <w:szCs w:val="32"/>
        </w:rPr>
        <w:t>负责召开党建例会，落实会议通知、材料准备等工作</w:t>
      </w:r>
      <w:r>
        <w:rPr>
          <w:rFonts w:hint="eastAsia" w:ascii="仿宋_GB2312" w:hAnsi="ˎ̥" w:eastAsia="仿宋_GB2312"/>
          <w:color w:val="000000"/>
          <w:sz w:val="32"/>
          <w:szCs w:val="32"/>
          <w:lang w:eastAsia="zh-CN"/>
        </w:rPr>
        <w:t>；</w:t>
      </w:r>
      <w:r>
        <w:rPr>
          <w:rFonts w:hint="eastAsia" w:ascii="仿宋_GB2312" w:hAnsi="ˎ̥" w:eastAsia="仿宋_GB2312"/>
          <w:color w:val="000000"/>
          <w:sz w:val="32"/>
          <w:szCs w:val="32"/>
          <w:lang w:val="en-US" w:eastAsia="zh-CN"/>
        </w:rPr>
        <w:t>负责“联户联情”等群众工作。</w:t>
      </w:r>
    </w:p>
    <w:p w14:paraId="20BA8600">
      <w:pPr>
        <w:ind w:firstLine="707" w:firstLineChars="220"/>
        <w:rPr>
          <w:rFonts w:hint="eastAsia" w:ascii="仿宋_GB2312" w:hAnsi="ˎ̥" w:eastAsia="仿宋_GB2312"/>
          <w:color w:val="000000"/>
          <w:sz w:val="32"/>
          <w:szCs w:val="32"/>
        </w:rPr>
      </w:pPr>
      <w:r>
        <w:rPr>
          <w:rFonts w:hint="eastAsia" w:ascii="仿宋_GB2312" w:hAnsi="ˎ̥" w:eastAsia="仿宋_GB2312"/>
          <w:b/>
          <w:bCs/>
          <w:color w:val="000000"/>
          <w:sz w:val="32"/>
          <w:szCs w:val="32"/>
          <w:lang w:val="en-US" w:eastAsia="zh-CN"/>
        </w:rPr>
        <w:t>中心</w:t>
      </w:r>
      <w:r>
        <w:rPr>
          <w:rFonts w:hint="eastAsia" w:ascii="仿宋_GB2312" w:hAnsi="ˎ̥" w:eastAsia="仿宋_GB2312"/>
          <w:b/>
          <w:bCs/>
          <w:color w:val="000000"/>
          <w:sz w:val="32"/>
          <w:szCs w:val="32"/>
        </w:rPr>
        <w:t>办公室：</w:t>
      </w:r>
      <w:r>
        <w:rPr>
          <w:rFonts w:hint="eastAsia" w:ascii="仿宋_GB2312" w:hAnsi="ˎ̥" w:eastAsia="仿宋_GB2312"/>
          <w:color w:val="000000"/>
          <w:sz w:val="32"/>
          <w:szCs w:val="32"/>
        </w:rPr>
        <w:t>负责收集、整理、归纳中心工作计划、总结，起草和处理综合性来往文书，审核各科室起草的发文，以及打印文件；负责制定各项工作规范和规章制度并组织督查；协助中心主任召开中心政务会及其他综合性会议，负责会议记录与纪要整理，督促检查会议和决议的贯彻落实情况；</w:t>
      </w:r>
      <w:r>
        <w:rPr>
          <w:rFonts w:hint="eastAsia" w:ascii="仿宋_GB2312" w:hAnsi="ˎ̥" w:eastAsia="仿宋_GB2312"/>
          <w:color w:val="000000"/>
          <w:sz w:val="32"/>
          <w:szCs w:val="32"/>
          <w:lang w:val="en-US" w:eastAsia="zh-CN"/>
        </w:rPr>
        <w:t>管理</w:t>
      </w:r>
      <w:r>
        <w:rPr>
          <w:rFonts w:hint="eastAsia" w:ascii="仿宋_GB2312" w:hAnsi="ˎ̥" w:eastAsia="仿宋_GB2312"/>
          <w:color w:val="000000"/>
          <w:sz w:val="32"/>
          <w:szCs w:val="32"/>
        </w:rPr>
        <w:t>中心公章等印鉴</w:t>
      </w:r>
      <w:r>
        <w:rPr>
          <w:rFonts w:hint="eastAsia" w:ascii="仿宋_GB2312" w:hAnsi="ˎ̥" w:eastAsia="仿宋_GB2312"/>
          <w:color w:val="000000"/>
          <w:sz w:val="32"/>
          <w:szCs w:val="32"/>
          <w:lang w:eastAsia="zh-CN"/>
        </w:rPr>
        <w:t>；</w:t>
      </w:r>
      <w:r>
        <w:rPr>
          <w:rFonts w:hint="eastAsia" w:ascii="仿宋_GB2312" w:hAnsi="ˎ̥" w:eastAsia="仿宋_GB2312"/>
          <w:color w:val="000000"/>
          <w:sz w:val="32"/>
          <w:szCs w:val="32"/>
          <w:lang w:val="en-US" w:eastAsia="zh-CN"/>
        </w:rPr>
        <w:t>统筹开展安全生产、普法、爱国卫生等其他非业务工作</w:t>
      </w:r>
      <w:r>
        <w:rPr>
          <w:rFonts w:hint="eastAsia" w:ascii="仿宋_GB2312" w:hAnsi="ˎ̥" w:eastAsia="仿宋_GB2312"/>
          <w:color w:val="000000"/>
          <w:sz w:val="32"/>
          <w:szCs w:val="32"/>
        </w:rPr>
        <w:t>。</w:t>
      </w:r>
    </w:p>
    <w:p w14:paraId="5C5F4722">
      <w:pPr>
        <w:ind w:firstLine="643" w:firstLineChars="200"/>
        <w:rPr>
          <w:rFonts w:hint="eastAsia" w:ascii="仿宋_GB2312" w:hAnsi="ˎ̥" w:eastAsia="仿宋_GB2312"/>
          <w:color w:val="000000"/>
          <w:sz w:val="32"/>
          <w:szCs w:val="32"/>
        </w:rPr>
      </w:pPr>
      <w:r>
        <w:rPr>
          <w:rFonts w:hint="eastAsia" w:ascii="Times New Roman" w:hAnsi="Times New Roman" w:eastAsia="仿宋_GB2312" w:cs="Times New Roman"/>
          <w:b/>
          <w:bCs/>
          <w:sz w:val="32"/>
          <w:szCs w:val="36"/>
          <w:lang w:val="en-US" w:eastAsia="zh-CN"/>
        </w:rPr>
        <w:t>财务科：</w:t>
      </w:r>
      <w:r>
        <w:rPr>
          <w:rFonts w:hint="eastAsia" w:ascii="仿宋_GB2312" w:hAnsi="ˎ̥" w:eastAsia="仿宋_GB2312"/>
          <w:color w:val="000000"/>
          <w:sz w:val="32"/>
          <w:szCs w:val="32"/>
        </w:rPr>
        <w:t>负责中心财务</w:t>
      </w:r>
      <w:r>
        <w:rPr>
          <w:rFonts w:hint="eastAsia" w:ascii="仿宋_GB2312" w:hAnsi="ˎ̥" w:eastAsia="仿宋_GB2312"/>
          <w:color w:val="000000"/>
          <w:sz w:val="32"/>
          <w:szCs w:val="32"/>
          <w:lang w:val="en-US" w:eastAsia="zh-CN"/>
        </w:rPr>
        <w:t>往来</w:t>
      </w:r>
      <w:r>
        <w:rPr>
          <w:rFonts w:hint="eastAsia" w:ascii="仿宋_GB2312" w:hAnsi="ˎ̥" w:eastAsia="仿宋_GB2312"/>
          <w:color w:val="000000"/>
          <w:sz w:val="32"/>
          <w:szCs w:val="32"/>
        </w:rPr>
        <w:t>、</w:t>
      </w:r>
      <w:r>
        <w:rPr>
          <w:rFonts w:hint="eastAsia" w:ascii="仿宋_GB2312" w:hAnsi="ˎ̥" w:eastAsia="仿宋_GB2312"/>
          <w:color w:val="000000"/>
          <w:sz w:val="32"/>
          <w:szCs w:val="32"/>
          <w:lang w:val="en-US" w:eastAsia="zh-CN"/>
        </w:rPr>
        <w:t>资产</w:t>
      </w:r>
      <w:r>
        <w:rPr>
          <w:rFonts w:hint="eastAsia" w:ascii="仿宋_GB2312" w:hAnsi="ˎ̥" w:eastAsia="仿宋_GB2312"/>
          <w:color w:val="000000"/>
          <w:sz w:val="32"/>
          <w:szCs w:val="32"/>
        </w:rPr>
        <w:t>统计工作，执行《会计法》以及国家、省市有关财经政策法规和中心财务管理制度等。</w:t>
      </w:r>
    </w:p>
    <w:p w14:paraId="557B6F00">
      <w:pPr>
        <w:pStyle w:val="8"/>
        <w:ind w:left="0" w:leftChars="0" w:firstLine="0" w:firstLineChars="0"/>
        <w:rPr>
          <w:rFonts w:hint="default" w:ascii="Times New Roman" w:hAnsi="Times New Roman" w:eastAsia="仿宋_GB2312" w:cs="Times New Roman"/>
          <w:sz w:val="32"/>
          <w:szCs w:val="36"/>
          <w:lang w:val="en-US" w:eastAsia="zh-CN"/>
        </w:rPr>
      </w:pPr>
      <w:r>
        <w:rPr>
          <w:rFonts w:hint="eastAsia" w:ascii="Times New Roman" w:hAnsi="Times New Roman" w:eastAsia="仿宋_GB2312" w:cs="Times New Roman"/>
          <w:sz w:val="32"/>
          <w:szCs w:val="36"/>
          <w:lang w:val="en-US" w:eastAsia="zh-CN"/>
        </w:rPr>
        <w:t xml:space="preserve">    </w:t>
      </w:r>
      <w:r>
        <w:rPr>
          <w:rFonts w:hint="eastAsia" w:ascii="Times New Roman" w:hAnsi="Times New Roman" w:eastAsia="仿宋_GB2312" w:cs="Times New Roman"/>
          <w:b/>
          <w:bCs/>
          <w:sz w:val="32"/>
          <w:szCs w:val="36"/>
          <w:lang w:val="en-US" w:eastAsia="zh-CN"/>
        </w:rPr>
        <w:t>信息安全管理科：</w:t>
      </w:r>
      <w:r>
        <w:rPr>
          <w:rFonts w:hint="eastAsia" w:ascii="Times New Roman" w:hAnsi="Times New Roman" w:eastAsia="仿宋_GB2312" w:cs="Times New Roman"/>
          <w:sz w:val="32"/>
          <w:szCs w:val="36"/>
          <w:lang w:val="en-US" w:eastAsia="zh-CN"/>
        </w:rPr>
        <w:t>负责中心信息安全管理体系建设及规划；信息安全风险的排查、预防、处置，并制定信息安全应急预案，开展应急演练；安全设备的运维；人员的信息安全宣传教育等信息安全管理工作。</w:t>
      </w:r>
    </w:p>
    <w:p w14:paraId="394362C2">
      <w:pPr>
        <w:ind w:firstLine="707" w:firstLineChars="220"/>
        <w:rPr>
          <w:rFonts w:hint="eastAsia" w:ascii="仿宋_GB2312" w:hAnsi="ˎ̥" w:eastAsia="仿宋_GB2312"/>
          <w:color w:val="000000"/>
          <w:sz w:val="32"/>
          <w:szCs w:val="32"/>
        </w:rPr>
      </w:pPr>
      <w:r>
        <w:rPr>
          <w:rFonts w:hint="eastAsia" w:ascii="仿宋_GB2312" w:hAnsi="ˎ̥" w:eastAsia="仿宋_GB2312"/>
          <w:b/>
          <w:bCs/>
          <w:color w:val="000000"/>
          <w:sz w:val="32"/>
          <w:szCs w:val="32"/>
        </w:rPr>
        <w:t>地方病防治与重传科：</w:t>
      </w:r>
      <w:r>
        <w:rPr>
          <w:rFonts w:hint="eastAsia" w:ascii="仿宋_GB2312" w:hAnsi="ˎ̥" w:eastAsia="仿宋_GB2312"/>
          <w:color w:val="000000"/>
          <w:sz w:val="32"/>
          <w:szCs w:val="32"/>
        </w:rPr>
        <w:t>负责全县寄生虫病、地方病</w:t>
      </w:r>
      <w:r>
        <w:rPr>
          <w:rFonts w:hint="eastAsia" w:ascii="仿宋_GB2312" w:hAnsi="ˎ̥" w:eastAsia="仿宋_GB2312"/>
          <w:color w:val="000000"/>
          <w:sz w:val="32"/>
          <w:szCs w:val="32"/>
          <w:lang w:eastAsia="zh-CN"/>
        </w:rPr>
        <w:t>（</w:t>
      </w:r>
      <w:r>
        <w:rPr>
          <w:rFonts w:hint="eastAsia" w:ascii="仿宋_GB2312" w:hAnsi="ˎ̥" w:eastAsia="仿宋_GB2312"/>
          <w:color w:val="000000"/>
          <w:sz w:val="32"/>
          <w:szCs w:val="32"/>
          <w:lang w:val="en-US" w:eastAsia="zh-CN"/>
        </w:rPr>
        <w:t>地氟病、大骨节病、碘缺乏病</w:t>
      </w:r>
      <w:r>
        <w:rPr>
          <w:rFonts w:hint="eastAsia" w:ascii="仿宋_GB2312" w:hAnsi="ˎ̥" w:eastAsia="仿宋_GB2312"/>
          <w:color w:val="000000"/>
          <w:sz w:val="32"/>
          <w:szCs w:val="32"/>
          <w:lang w:eastAsia="zh-CN"/>
        </w:rPr>
        <w:t>）</w:t>
      </w:r>
      <w:r>
        <w:rPr>
          <w:rFonts w:hint="eastAsia" w:ascii="仿宋_GB2312" w:hAnsi="ˎ̥" w:eastAsia="仿宋_GB2312"/>
          <w:color w:val="000000"/>
          <w:sz w:val="32"/>
          <w:szCs w:val="32"/>
        </w:rPr>
        <w:t>和重点传染病（艾滋病、结核病</w:t>
      </w:r>
      <w:r>
        <w:rPr>
          <w:rFonts w:hint="eastAsia" w:ascii="仿宋_GB2312" w:hAnsi="ˎ̥" w:eastAsia="仿宋_GB2312"/>
          <w:color w:val="000000"/>
          <w:sz w:val="32"/>
          <w:szCs w:val="32"/>
          <w:lang w:eastAsia="zh-CN"/>
        </w:rPr>
        <w:t>、</w:t>
      </w:r>
      <w:r>
        <w:rPr>
          <w:rFonts w:hint="eastAsia" w:ascii="仿宋_GB2312" w:hAnsi="ˎ̥" w:eastAsia="仿宋_GB2312"/>
          <w:color w:val="000000"/>
          <w:sz w:val="32"/>
          <w:szCs w:val="32"/>
          <w:lang w:val="en-US" w:eastAsia="zh-CN"/>
        </w:rPr>
        <w:t>包虫病</w:t>
      </w:r>
      <w:r>
        <w:rPr>
          <w:rFonts w:hint="eastAsia" w:ascii="仿宋_GB2312" w:hAnsi="ˎ̥" w:eastAsia="仿宋_GB2312"/>
          <w:color w:val="000000"/>
          <w:sz w:val="32"/>
          <w:szCs w:val="32"/>
        </w:rPr>
        <w:t>）流行病学调查和防控，掌握人群感染情况、发病情况及流行规律，</w:t>
      </w:r>
      <w:r>
        <w:rPr>
          <w:rFonts w:hint="eastAsia" w:ascii="仿宋_GB2312" w:hAnsi="ˎ̥" w:eastAsia="仿宋_GB2312"/>
          <w:color w:val="000000"/>
          <w:sz w:val="32"/>
          <w:szCs w:val="32"/>
          <w:lang w:val="en-US" w:eastAsia="zh-CN"/>
        </w:rPr>
        <w:t>制定</w:t>
      </w:r>
      <w:r>
        <w:rPr>
          <w:rFonts w:hint="eastAsia" w:ascii="仿宋_GB2312" w:hAnsi="ˎ̥" w:eastAsia="仿宋_GB2312"/>
          <w:color w:val="000000"/>
          <w:sz w:val="32"/>
          <w:szCs w:val="32"/>
        </w:rPr>
        <w:t>预防与控制策略，提出预防控制的具体方案和措施。组织对寄生虫病、地方病和重点传染病预防控制方案实施进行质量跟踪和效果评估。</w:t>
      </w:r>
    </w:p>
    <w:p w14:paraId="78E46E14">
      <w:pPr>
        <w:ind w:firstLine="482" w:firstLineChars="150"/>
        <w:rPr>
          <w:rFonts w:hint="eastAsia" w:ascii="仿宋_GB2312" w:hAnsi="ˎ̥" w:eastAsia="仿宋_GB2312"/>
          <w:color w:val="000000"/>
          <w:sz w:val="32"/>
          <w:szCs w:val="32"/>
        </w:rPr>
      </w:pPr>
      <w:r>
        <w:rPr>
          <w:rFonts w:hint="eastAsia" w:ascii="Times New Roman" w:hAnsi="Times New Roman" w:eastAsia="仿宋_GB2312" w:cs="Times New Roman"/>
          <w:b/>
          <w:bCs/>
          <w:sz w:val="32"/>
          <w:szCs w:val="36"/>
          <w:lang w:val="en-US" w:eastAsia="zh-CN"/>
        </w:rPr>
        <w:t xml:space="preserve"> 传染病管理科（卫生应急办公室）：</w:t>
      </w:r>
      <w:r>
        <w:rPr>
          <w:rFonts w:hint="eastAsia" w:ascii="仿宋_GB2312" w:hAnsi="ˎ̥" w:eastAsia="仿宋_GB2312"/>
          <w:color w:val="000000"/>
          <w:sz w:val="32"/>
          <w:szCs w:val="32"/>
        </w:rPr>
        <w:t>承担法定传染病防控，及其传播、致病因素的监测</w:t>
      </w:r>
      <w:r>
        <w:rPr>
          <w:rFonts w:hint="eastAsia" w:ascii="仿宋_GB2312" w:hAnsi="ˎ̥" w:eastAsia="仿宋_GB2312"/>
          <w:color w:val="000000"/>
          <w:sz w:val="32"/>
          <w:szCs w:val="32"/>
          <w:lang w:val="en-US" w:eastAsia="zh-CN"/>
        </w:rPr>
        <w:t>预警</w:t>
      </w:r>
      <w:r>
        <w:rPr>
          <w:rFonts w:hint="eastAsia" w:ascii="仿宋_GB2312" w:hAnsi="ˎ̥" w:eastAsia="仿宋_GB2312"/>
          <w:color w:val="000000"/>
          <w:sz w:val="32"/>
          <w:szCs w:val="32"/>
        </w:rPr>
        <w:t>、公共卫生</w:t>
      </w:r>
      <w:r>
        <w:rPr>
          <w:rFonts w:hint="eastAsia" w:ascii="仿宋_GB2312" w:hAnsi="ˎ̥" w:eastAsia="仿宋_GB2312"/>
          <w:color w:val="000000"/>
          <w:sz w:val="32"/>
          <w:szCs w:val="32"/>
          <w:lang w:val="en-US" w:eastAsia="zh-CN"/>
        </w:rPr>
        <w:t>事件</w:t>
      </w:r>
      <w:r>
        <w:rPr>
          <w:rFonts w:hint="eastAsia" w:ascii="仿宋_GB2312" w:hAnsi="ˎ̥" w:eastAsia="仿宋_GB2312"/>
          <w:color w:val="000000"/>
          <w:sz w:val="32"/>
          <w:szCs w:val="32"/>
        </w:rPr>
        <w:t>相关工作的质量控制和效果评价</w:t>
      </w:r>
      <w:r>
        <w:rPr>
          <w:rFonts w:hint="eastAsia" w:ascii="仿宋_GB2312" w:hAnsi="ˎ̥" w:eastAsia="仿宋_GB2312"/>
          <w:color w:val="000000"/>
          <w:sz w:val="32"/>
          <w:szCs w:val="32"/>
          <w:lang w:eastAsia="zh-CN"/>
        </w:rPr>
        <w:t>；</w:t>
      </w:r>
      <w:r>
        <w:rPr>
          <w:rFonts w:hint="eastAsia" w:ascii="仿宋_GB2312" w:hAnsi="ˎ̥" w:eastAsia="仿宋_GB2312"/>
          <w:color w:val="000000"/>
          <w:sz w:val="32"/>
          <w:szCs w:val="32"/>
        </w:rPr>
        <w:t>指导疫源地和灾区消毒</w:t>
      </w:r>
      <w:r>
        <w:rPr>
          <w:rFonts w:hint="eastAsia" w:ascii="仿宋_GB2312" w:hAnsi="ˎ̥" w:eastAsia="仿宋_GB2312"/>
          <w:color w:val="000000"/>
          <w:sz w:val="32"/>
          <w:szCs w:val="32"/>
          <w:lang w:eastAsia="zh-CN"/>
        </w:rPr>
        <w:t>，以</w:t>
      </w:r>
      <w:r>
        <w:rPr>
          <w:rFonts w:hint="eastAsia" w:ascii="仿宋_GB2312" w:hAnsi="ˎ̥" w:eastAsia="仿宋_GB2312"/>
          <w:color w:val="000000"/>
          <w:sz w:val="32"/>
          <w:szCs w:val="32"/>
        </w:rPr>
        <w:t>及病媒生物控制和除害杀虫工作，开展预防控制传染性医源性感染的技术指导和调查处理</w:t>
      </w:r>
      <w:r>
        <w:rPr>
          <w:rFonts w:hint="eastAsia" w:ascii="仿宋_GB2312" w:hAnsi="ˎ̥" w:eastAsia="仿宋_GB2312"/>
          <w:color w:val="000000"/>
          <w:sz w:val="32"/>
          <w:szCs w:val="32"/>
          <w:lang w:eastAsia="zh-CN"/>
        </w:rPr>
        <w:t>；</w:t>
      </w:r>
      <w:r>
        <w:rPr>
          <w:rFonts w:hint="eastAsia" w:ascii="仿宋_GB2312" w:hAnsi="ˎ̥" w:eastAsia="仿宋_GB2312"/>
          <w:color w:val="000000"/>
          <w:sz w:val="32"/>
          <w:szCs w:val="32"/>
        </w:rPr>
        <w:t>建立完善全县重大疫情和中毒事件应急</w:t>
      </w:r>
      <w:r>
        <w:rPr>
          <w:rFonts w:hint="eastAsia" w:ascii="仿宋_GB2312" w:hAnsi="ˎ̥" w:eastAsia="仿宋_GB2312"/>
          <w:color w:val="000000"/>
          <w:sz w:val="32"/>
          <w:szCs w:val="32"/>
          <w:lang w:val="en-US" w:eastAsia="zh-CN"/>
        </w:rPr>
        <w:t>预案；</w:t>
      </w:r>
      <w:r>
        <w:rPr>
          <w:rFonts w:hint="eastAsia" w:ascii="仿宋_GB2312" w:hAnsi="ˎ̥" w:eastAsia="仿宋_GB2312"/>
          <w:color w:val="000000"/>
          <w:sz w:val="32"/>
          <w:szCs w:val="32"/>
        </w:rPr>
        <w:t>负责应急24小时总值班制度的落实与管理；组织、协调重大应急事件的调查和处理；及时了解国内外重大疫情、新发传染病等信息与动态。</w:t>
      </w:r>
    </w:p>
    <w:p w14:paraId="45EAF653">
      <w:pPr>
        <w:ind w:firstLine="707" w:firstLineChars="220"/>
        <w:rPr>
          <w:rFonts w:hint="eastAsia" w:ascii="仿宋_GB2312" w:hAnsi="ˎ̥" w:eastAsia="仿宋_GB2312"/>
          <w:color w:val="000000"/>
          <w:sz w:val="32"/>
          <w:szCs w:val="32"/>
        </w:rPr>
      </w:pPr>
      <w:r>
        <w:rPr>
          <w:rFonts w:hint="eastAsia" w:ascii="仿宋_GB2312" w:hAnsi="ˎ̥" w:eastAsia="仿宋_GB2312"/>
          <w:b/>
          <w:bCs/>
          <w:color w:val="000000"/>
          <w:sz w:val="32"/>
          <w:szCs w:val="32"/>
          <w:lang w:val="en-US" w:eastAsia="zh-CN"/>
        </w:rPr>
        <w:t>检验科：</w:t>
      </w:r>
      <w:r>
        <w:rPr>
          <w:rFonts w:hint="eastAsia" w:ascii="仿宋_GB2312" w:hAnsi="ˎ̥" w:eastAsia="仿宋_GB2312"/>
          <w:color w:val="000000"/>
          <w:sz w:val="32"/>
          <w:szCs w:val="32"/>
        </w:rPr>
        <w:t>负责卫生监测</w:t>
      </w:r>
      <w:r>
        <w:rPr>
          <w:rFonts w:hint="eastAsia" w:ascii="仿宋_GB2312" w:hAnsi="ˎ̥" w:eastAsia="仿宋_GB2312"/>
          <w:color w:val="000000"/>
          <w:sz w:val="32"/>
          <w:szCs w:val="32"/>
          <w:lang w:eastAsia="zh-CN"/>
        </w:rPr>
        <w:t>，</w:t>
      </w:r>
      <w:r>
        <w:rPr>
          <w:rFonts w:hint="eastAsia" w:ascii="仿宋_GB2312" w:hAnsi="ˎ̥" w:eastAsia="仿宋_GB2312"/>
          <w:color w:val="000000"/>
          <w:sz w:val="32"/>
          <w:szCs w:val="32"/>
        </w:rPr>
        <w:t>参与化学污染、中毒及卫生突发事件的采样和突发公共卫生事件样品的毒物、污染物的检验</w:t>
      </w:r>
      <w:r>
        <w:rPr>
          <w:rFonts w:hint="eastAsia" w:ascii="仿宋_GB2312" w:hAnsi="ˎ̥" w:eastAsia="仿宋_GB2312"/>
          <w:color w:val="000000"/>
          <w:sz w:val="32"/>
          <w:szCs w:val="32"/>
          <w:lang w:val="en-US" w:eastAsia="zh-CN"/>
        </w:rPr>
        <w:t>检测</w:t>
      </w:r>
      <w:r>
        <w:rPr>
          <w:rFonts w:hint="eastAsia" w:ascii="仿宋_GB2312" w:hAnsi="ˎ̥" w:eastAsia="仿宋_GB2312"/>
          <w:color w:val="000000"/>
          <w:sz w:val="32"/>
          <w:szCs w:val="32"/>
        </w:rPr>
        <w:t>，及时做好应急检测检验，为制定控制措施提供准确数据。参与传染病疫情、食物中毒、生物性污染等突发公共卫生事件的采样，及时开展病原微生物检验检测，为制定控制措施提供准确数据。</w:t>
      </w:r>
    </w:p>
    <w:p w14:paraId="124FAF2F">
      <w:pPr>
        <w:ind w:firstLine="462" w:firstLineChars="220"/>
        <w:rPr>
          <w:rFonts w:hint="eastAsia" w:ascii="仿宋_GB2312" w:hAnsi="ˎ̥" w:eastAsia="仿宋_GB2312"/>
          <w:color w:val="000000"/>
          <w:sz w:val="32"/>
          <w:szCs w:val="32"/>
        </w:rPr>
      </w:pPr>
      <w:r>
        <w:rPr>
          <w:rFonts w:hint="eastAsia" w:eastAsia="仿宋_GB2312"/>
          <w:lang w:val="en-US" w:eastAsia="zh-CN"/>
        </w:rPr>
        <w:t xml:space="preserve"> </w:t>
      </w:r>
      <w:r>
        <w:rPr>
          <w:rFonts w:hint="eastAsia" w:eastAsia="仿宋_GB2312"/>
          <w:b/>
          <w:bCs/>
          <w:lang w:val="en-US" w:eastAsia="zh-CN"/>
        </w:rPr>
        <w:t xml:space="preserve"> </w:t>
      </w:r>
      <w:r>
        <w:rPr>
          <w:rFonts w:hint="eastAsia" w:ascii="仿宋_GB2312" w:hAnsi="ˎ̥" w:eastAsia="仿宋_GB2312" w:cs="Times New Roman"/>
          <w:b/>
          <w:bCs/>
          <w:color w:val="000000"/>
          <w:kern w:val="2"/>
          <w:sz w:val="32"/>
          <w:szCs w:val="32"/>
          <w:lang w:val="en-US" w:eastAsia="zh-CN" w:bidi="ar-SA"/>
        </w:rPr>
        <w:t>免疫规划科：</w:t>
      </w:r>
      <w:r>
        <w:rPr>
          <w:rFonts w:hint="eastAsia" w:ascii="仿宋_GB2312" w:hAnsi="ˎ̥" w:eastAsia="仿宋_GB2312"/>
          <w:color w:val="000000"/>
          <w:sz w:val="32"/>
          <w:szCs w:val="32"/>
        </w:rPr>
        <w:t>组织安排全县免疫规划工作。</w:t>
      </w:r>
      <w:r>
        <w:rPr>
          <w:rFonts w:hint="eastAsia" w:ascii="仿宋_GB2312" w:hAnsi="ˎ̥" w:eastAsia="仿宋_GB2312"/>
          <w:color w:val="000000"/>
          <w:sz w:val="32"/>
          <w:szCs w:val="32"/>
          <w:lang w:val="en-US" w:eastAsia="zh-CN"/>
        </w:rPr>
        <w:t>制定</w:t>
      </w:r>
      <w:r>
        <w:rPr>
          <w:rFonts w:hint="eastAsia" w:ascii="仿宋_GB2312" w:hAnsi="ˎ̥" w:eastAsia="仿宋_GB2312"/>
          <w:color w:val="000000"/>
          <w:sz w:val="32"/>
          <w:szCs w:val="32"/>
        </w:rPr>
        <w:t>免疫规划实施方案、技术规范、年度工作计划及各项免疫</w:t>
      </w:r>
      <w:r>
        <w:rPr>
          <w:rFonts w:hint="eastAsia" w:ascii="仿宋_GB2312" w:hAnsi="ˎ̥" w:eastAsia="仿宋_GB2312"/>
          <w:color w:val="000000"/>
          <w:sz w:val="32"/>
          <w:szCs w:val="32"/>
          <w:lang w:val="en-US" w:eastAsia="zh-CN"/>
        </w:rPr>
        <w:t>规划工作的</w:t>
      </w:r>
      <w:r>
        <w:rPr>
          <w:rFonts w:hint="eastAsia" w:ascii="仿宋_GB2312" w:hAnsi="ˎ̥" w:eastAsia="仿宋_GB2312"/>
          <w:color w:val="000000"/>
          <w:sz w:val="32"/>
          <w:szCs w:val="32"/>
        </w:rPr>
        <w:t>组织</w:t>
      </w:r>
      <w:r>
        <w:rPr>
          <w:rFonts w:hint="eastAsia" w:ascii="仿宋_GB2312" w:hAnsi="ˎ̥" w:eastAsia="仿宋_GB2312"/>
          <w:color w:val="000000"/>
          <w:sz w:val="32"/>
          <w:szCs w:val="32"/>
          <w:lang w:val="en-US" w:eastAsia="zh-CN"/>
        </w:rPr>
        <w:t>实施</w:t>
      </w:r>
      <w:r>
        <w:rPr>
          <w:rFonts w:hint="eastAsia" w:ascii="仿宋_GB2312" w:hAnsi="ˎ̥" w:eastAsia="仿宋_GB2312"/>
          <w:color w:val="000000"/>
          <w:sz w:val="32"/>
          <w:szCs w:val="32"/>
        </w:rPr>
        <w:t>；贯彻和组织落实上级有关免疫规划工作部署</w:t>
      </w:r>
      <w:r>
        <w:rPr>
          <w:rFonts w:hint="eastAsia" w:ascii="仿宋_GB2312" w:hAnsi="ˎ̥" w:eastAsia="仿宋_GB2312"/>
          <w:color w:val="000000"/>
          <w:sz w:val="32"/>
          <w:szCs w:val="32"/>
          <w:lang w:eastAsia="zh-CN"/>
        </w:rPr>
        <w:t>；</w:t>
      </w:r>
      <w:r>
        <w:rPr>
          <w:rFonts w:hint="eastAsia" w:ascii="仿宋_GB2312" w:hAnsi="ˎ̥" w:eastAsia="仿宋_GB2312"/>
          <w:color w:val="000000"/>
          <w:sz w:val="32"/>
          <w:szCs w:val="32"/>
        </w:rPr>
        <w:t>对全县免疫工作的实施情况进行检查、督导、考核、评价。</w:t>
      </w:r>
    </w:p>
    <w:p w14:paraId="4B8A008D">
      <w:pPr>
        <w:pStyle w:val="8"/>
        <w:ind w:left="0" w:leftChars="0" w:firstLine="420" w:firstLineChars="200"/>
        <w:rPr>
          <w:rFonts w:hint="eastAsia" w:ascii="仿宋_GB2312" w:hAnsi="ˎ̥" w:eastAsia="仿宋_GB2312"/>
          <w:color w:val="000000"/>
          <w:sz w:val="32"/>
          <w:szCs w:val="32"/>
        </w:rPr>
      </w:pPr>
      <w:r>
        <w:rPr>
          <w:rFonts w:hint="eastAsia" w:eastAsia="仿宋_GB2312"/>
          <w:lang w:val="en-US" w:eastAsia="zh-CN"/>
        </w:rPr>
        <w:t xml:space="preserve"> </w:t>
      </w:r>
      <w:r>
        <w:rPr>
          <w:rFonts w:hint="eastAsia" w:eastAsia="仿宋_GB2312"/>
          <w:b/>
          <w:bCs/>
          <w:lang w:val="en-US" w:eastAsia="zh-CN"/>
        </w:rPr>
        <w:t xml:space="preserve"> </w:t>
      </w:r>
      <w:r>
        <w:rPr>
          <w:rFonts w:hint="eastAsia" w:ascii="仿宋_GB2312" w:hAnsi="ˎ̥" w:eastAsia="仿宋_GB2312"/>
          <w:b/>
          <w:bCs/>
          <w:color w:val="000000"/>
          <w:sz w:val="32"/>
          <w:szCs w:val="32"/>
        </w:rPr>
        <w:t>综合业务质量管理</w:t>
      </w:r>
      <w:r>
        <w:rPr>
          <w:rFonts w:hint="eastAsia" w:ascii="仿宋_GB2312" w:hAnsi="ˎ̥" w:eastAsia="仿宋_GB2312"/>
          <w:b/>
          <w:bCs/>
          <w:color w:val="000000"/>
          <w:sz w:val="32"/>
          <w:szCs w:val="32"/>
          <w:lang w:eastAsia="zh-CN"/>
        </w:rPr>
        <w:t>（</w:t>
      </w:r>
      <w:r>
        <w:rPr>
          <w:rFonts w:hint="eastAsia" w:ascii="仿宋_GB2312" w:hAnsi="ˎ̥" w:eastAsia="仿宋_GB2312"/>
          <w:b/>
          <w:bCs/>
          <w:color w:val="000000"/>
          <w:sz w:val="32"/>
          <w:szCs w:val="32"/>
          <w:lang w:val="en-US" w:eastAsia="zh-CN"/>
        </w:rPr>
        <w:t>质控科</w:t>
      </w:r>
      <w:r>
        <w:rPr>
          <w:rFonts w:hint="eastAsia" w:ascii="仿宋_GB2312" w:hAnsi="ˎ̥" w:eastAsia="仿宋_GB2312"/>
          <w:b/>
          <w:bCs/>
          <w:color w:val="000000"/>
          <w:sz w:val="32"/>
          <w:szCs w:val="32"/>
          <w:lang w:eastAsia="zh-CN"/>
        </w:rPr>
        <w:t>）</w:t>
      </w:r>
      <w:r>
        <w:rPr>
          <w:rFonts w:hint="eastAsia" w:ascii="仿宋_GB2312" w:hAnsi="ˎ̥" w:eastAsia="仿宋_GB2312"/>
          <w:b/>
          <w:bCs/>
          <w:color w:val="000000"/>
          <w:sz w:val="32"/>
          <w:szCs w:val="32"/>
        </w:rPr>
        <w:t>：</w:t>
      </w:r>
      <w:r>
        <w:rPr>
          <w:rFonts w:hint="eastAsia" w:ascii="仿宋_GB2312" w:hAnsi="ˎ̥" w:eastAsia="仿宋_GB2312"/>
          <w:color w:val="000000"/>
          <w:sz w:val="32"/>
          <w:szCs w:val="32"/>
        </w:rPr>
        <w:t>负责中心</w:t>
      </w:r>
      <w:r>
        <w:rPr>
          <w:rFonts w:hint="eastAsia" w:hAnsi="ˎ̥" w:eastAsia="仿宋_GB2312"/>
          <w:color w:val="000000"/>
          <w:sz w:val="32"/>
          <w:szCs w:val="32"/>
          <w:lang w:eastAsia="zh-CN"/>
        </w:rPr>
        <w:t>卫生防疫</w:t>
      </w:r>
      <w:r>
        <w:rPr>
          <w:rFonts w:hint="eastAsia" w:ascii="仿宋_GB2312" w:hAnsi="ˎ̥" w:eastAsia="仿宋_GB2312"/>
          <w:color w:val="000000"/>
          <w:sz w:val="32"/>
          <w:szCs w:val="32"/>
        </w:rPr>
        <w:t>检测工作质量控制，实施全面质量管理；建立和完善中心质量管理体系，组织制订和审批质量文件，负责受控文件的确认，开展实验室认可和资质认定相关工作，协助中心技术负责人和质量负责人组织管理评审和质量体系内审，负责联系外审。负责中心的质量控制、检测检验的监督检查和评价管理工作。</w:t>
      </w:r>
    </w:p>
    <w:p w14:paraId="173840C2">
      <w:pPr>
        <w:ind w:firstLine="707" w:firstLineChars="220"/>
        <w:rPr>
          <w:rFonts w:hint="eastAsia" w:ascii="仿宋_GB2312" w:hAnsi="ˎ̥" w:eastAsia="仿宋_GB2312" w:cs="Times New Roman"/>
          <w:color w:val="000000"/>
          <w:kern w:val="2"/>
          <w:sz w:val="32"/>
          <w:szCs w:val="32"/>
          <w:lang w:val="en-US" w:eastAsia="zh-CN" w:bidi="ar-SA"/>
        </w:rPr>
      </w:pPr>
      <w:r>
        <w:rPr>
          <w:rFonts w:hint="eastAsia" w:ascii="仿宋_GB2312" w:hAnsi="ˎ̥" w:eastAsia="仿宋_GB2312" w:cs="Times New Roman"/>
          <w:b/>
          <w:bCs/>
          <w:color w:val="000000"/>
          <w:kern w:val="2"/>
          <w:sz w:val="32"/>
          <w:szCs w:val="32"/>
          <w:lang w:val="en-US" w:eastAsia="zh-CN" w:bidi="ar-SA"/>
        </w:rPr>
        <w:t>健康教育科（健教科）：</w:t>
      </w:r>
      <w:r>
        <w:rPr>
          <w:rFonts w:hint="eastAsia" w:ascii="仿宋_GB2312" w:hAnsi="ˎ̥" w:eastAsia="仿宋_GB2312" w:cs="Times New Roman"/>
          <w:color w:val="000000"/>
          <w:kern w:val="2"/>
          <w:sz w:val="32"/>
          <w:szCs w:val="32"/>
          <w:lang w:val="en-US" w:eastAsia="zh-CN" w:bidi="ar-SA"/>
        </w:rPr>
        <w:t>制定实施辖区健康教育与健康促进规划、计划，根据辖区主要公共卫生需求开展一般人群、高危人群等分类健康传播和行为干预针对性宣传教育，开展健康传播材料的设计、制作与传播效果评价；开展对乡镇医疗机构健康管理员等培训及相应的技术指导、考评。</w:t>
      </w:r>
    </w:p>
    <w:p w14:paraId="372296E8">
      <w:pPr>
        <w:ind w:firstLine="707" w:firstLineChars="220"/>
        <w:rPr>
          <w:rFonts w:hint="eastAsia" w:ascii="仿宋_GB2312" w:hAnsi="ˎ̥" w:eastAsia="仿宋_GB2312"/>
          <w:color w:val="000000"/>
          <w:sz w:val="32"/>
          <w:szCs w:val="32"/>
        </w:rPr>
      </w:pPr>
      <w:r>
        <w:rPr>
          <w:rFonts w:hint="eastAsia" w:ascii="仿宋_GB2312" w:hAnsi="ˎ̥" w:eastAsia="仿宋_GB2312" w:cs="Times New Roman"/>
          <w:b/>
          <w:bCs/>
          <w:color w:val="000000"/>
          <w:kern w:val="2"/>
          <w:sz w:val="32"/>
          <w:szCs w:val="32"/>
          <w:lang w:val="en-US" w:eastAsia="zh-CN" w:bidi="ar-SA"/>
        </w:rPr>
        <w:t>卫生科</w:t>
      </w:r>
      <w:r>
        <w:rPr>
          <w:rFonts w:hint="eastAsia" w:ascii="仿宋_GB2312" w:hAnsi="ˎ̥" w:eastAsia="仿宋_GB2312"/>
          <w:b/>
          <w:bCs/>
          <w:color w:val="000000"/>
          <w:sz w:val="32"/>
          <w:szCs w:val="32"/>
        </w:rPr>
        <w:t>（公共卫生健康危害因素控制）</w:t>
      </w:r>
      <w:r>
        <w:rPr>
          <w:rFonts w:hint="eastAsia" w:ascii="仿宋_GB2312" w:hAnsi="ˎ̥" w:eastAsia="仿宋_GB2312" w:cs="Times New Roman"/>
          <w:b/>
          <w:bCs/>
          <w:color w:val="000000"/>
          <w:kern w:val="2"/>
          <w:sz w:val="32"/>
          <w:szCs w:val="32"/>
          <w:lang w:val="en-US" w:eastAsia="zh-CN" w:bidi="ar-SA"/>
        </w:rPr>
        <w:t>：</w:t>
      </w:r>
      <w:r>
        <w:rPr>
          <w:rFonts w:hint="eastAsia" w:ascii="仿宋_GB2312" w:hAnsi="ˎ̥" w:eastAsia="仿宋_GB2312"/>
          <w:color w:val="000000"/>
          <w:sz w:val="32"/>
          <w:szCs w:val="32"/>
        </w:rPr>
        <w:t>完成省州下达的食品卫生、环境卫生、公共场所、</w:t>
      </w:r>
      <w:r>
        <w:rPr>
          <w:rFonts w:hint="eastAsia" w:ascii="仿宋_GB2312" w:hAnsi="ˎ̥" w:eastAsia="仿宋_GB2312"/>
          <w:color w:val="000000"/>
          <w:sz w:val="32"/>
          <w:szCs w:val="32"/>
          <w:lang w:val="en-US" w:eastAsia="zh-CN"/>
        </w:rPr>
        <w:t>饮用水等</w:t>
      </w:r>
      <w:r>
        <w:rPr>
          <w:rFonts w:hint="eastAsia" w:ascii="仿宋_GB2312" w:hAnsi="ˎ̥" w:eastAsia="仿宋_GB2312"/>
          <w:color w:val="000000"/>
          <w:sz w:val="32"/>
          <w:szCs w:val="32"/>
        </w:rPr>
        <w:t>监测任务；对本地区食品卫生、环境卫生、公共场所工作提供技术支持和服务，指导下级卫生机构开展食品卫生、环境卫生、公共场所工作，并组织业务技术培训。</w:t>
      </w:r>
    </w:p>
    <w:p w14:paraId="18C12396">
      <w:pPr>
        <w:rPr>
          <w:rFonts w:hint="default" w:ascii="Times New Roman" w:hAnsi="Times New Roman" w:eastAsia="仿宋_GB2312" w:cs="Times New Roman"/>
          <w:sz w:val="32"/>
          <w:szCs w:val="36"/>
          <w:lang w:val="en-US" w:eastAsia="zh-CN"/>
        </w:rPr>
      </w:pPr>
      <w:r>
        <w:rPr>
          <w:rFonts w:hint="eastAsia" w:ascii="仿宋_GB2312" w:hAnsi="ˎ̥" w:eastAsia="仿宋_GB2312" w:cs="Times New Roman"/>
          <w:color w:val="000000"/>
          <w:kern w:val="2"/>
          <w:sz w:val="32"/>
          <w:szCs w:val="32"/>
          <w:lang w:val="en-US" w:eastAsia="zh-CN" w:bidi="ar-SA"/>
        </w:rPr>
        <w:t xml:space="preserve">   </w:t>
      </w:r>
      <w:r>
        <w:rPr>
          <w:rFonts w:hint="eastAsia" w:ascii="仿宋_GB2312" w:hAnsi="ˎ̥" w:eastAsia="仿宋_GB2312" w:cs="Times New Roman"/>
          <w:b/>
          <w:bCs/>
          <w:color w:val="000000"/>
          <w:kern w:val="2"/>
          <w:sz w:val="32"/>
          <w:szCs w:val="32"/>
          <w:lang w:val="en-US" w:eastAsia="zh-CN" w:bidi="ar-SA"/>
        </w:rPr>
        <w:t xml:space="preserve"> </w:t>
      </w:r>
      <w:r>
        <w:rPr>
          <w:rFonts w:hint="eastAsia" w:ascii="Times New Roman" w:hAnsi="Times New Roman" w:eastAsia="仿宋_GB2312" w:cs="Times New Roman"/>
          <w:b/>
          <w:bCs/>
          <w:sz w:val="32"/>
          <w:szCs w:val="36"/>
          <w:lang w:val="en-US" w:eastAsia="zh-CN"/>
        </w:rPr>
        <w:t>慢性非传染性疾病预防控制科：</w:t>
      </w:r>
      <w:r>
        <w:rPr>
          <w:rFonts w:hint="eastAsia" w:ascii="仿宋_GB2312" w:hAnsi="仿宋_GB2312" w:eastAsia="仿宋_GB2312" w:cs="仿宋_GB2312"/>
          <w:color w:val="auto"/>
          <w:kern w:val="0"/>
          <w:sz w:val="32"/>
          <w:szCs w:val="32"/>
          <w:lang w:val="en-US" w:eastAsia="zh-CN"/>
        </w:rPr>
        <w:t>建立并完善慢病防控工作机制；</w:t>
      </w:r>
      <w:r>
        <w:rPr>
          <w:rFonts w:hint="eastAsia" w:ascii="Times New Roman" w:hAnsi="Times New Roman" w:eastAsia="仿宋_GB2312" w:cs="Times New Roman"/>
          <w:b w:val="0"/>
          <w:bCs w:val="0"/>
          <w:sz w:val="32"/>
          <w:szCs w:val="36"/>
          <w:lang w:val="en-US" w:eastAsia="zh-CN"/>
        </w:rPr>
        <w:t>负责全县死因、肿瘤监测分析预警；开展严重精神病人员综合管理；</w:t>
      </w:r>
      <w:r>
        <w:rPr>
          <w:rFonts w:hint="eastAsia" w:ascii="仿宋_GB2312" w:hAnsi="仿宋_GB2312" w:eastAsia="仿宋_GB2312" w:cs="仿宋_GB2312"/>
          <w:color w:val="auto"/>
          <w:kern w:val="0"/>
          <w:sz w:val="32"/>
          <w:szCs w:val="32"/>
          <w:lang w:val="en-US" w:eastAsia="zh-CN"/>
        </w:rPr>
        <w:t>高原性心脏病、慢阻肺及类风关患者的健康管理工作；对乡镇医疗机构开展技术指导、考核指标完成情况</w:t>
      </w:r>
      <w:r>
        <w:rPr>
          <w:rFonts w:hint="eastAsia" w:ascii="Times New Roman" w:hAnsi="Times New Roman" w:eastAsia="仿宋_GB2312" w:cs="Times New Roman"/>
          <w:b w:val="0"/>
          <w:bCs w:val="0"/>
          <w:sz w:val="32"/>
          <w:szCs w:val="36"/>
          <w:lang w:val="en-US" w:eastAsia="zh-CN"/>
        </w:rPr>
        <w:t>。</w:t>
      </w:r>
    </w:p>
    <w:p w14:paraId="25BB70D8">
      <w:pPr>
        <w:numPr>
          <w:ilvl w:val="0"/>
          <w:numId w:val="0"/>
        </w:numPr>
        <w:ind w:leftChars="0"/>
      </w:pPr>
    </w:p>
    <w:bookmarkEnd w:id="20"/>
    <w:bookmarkEnd w:id="21"/>
    <w:p w14:paraId="4BC39198">
      <w:pPr>
        <w:widowControl/>
        <w:jc w:val="left"/>
        <w:rPr>
          <w:rFonts w:ascii="仿宋" w:hAnsi="仿宋" w:eastAsia="仿宋"/>
          <w:kern w:val="0"/>
          <w:sz w:val="32"/>
          <w:szCs w:val="32"/>
        </w:rPr>
      </w:pPr>
      <w:r>
        <w:rPr>
          <w:rFonts w:ascii="仿宋" w:hAnsi="仿宋" w:eastAsia="仿宋"/>
          <w:sz w:val="32"/>
          <w:szCs w:val="32"/>
        </w:rPr>
        <w:br w:type="page"/>
      </w:r>
    </w:p>
    <w:p w14:paraId="2FE3C34F">
      <w:pPr>
        <w:pStyle w:val="3"/>
        <w:ind w:right="440"/>
        <w:jc w:val="center"/>
        <w:rPr>
          <w:rStyle w:val="30"/>
          <w:rFonts w:ascii="黑体" w:hAnsi="黑体" w:eastAsia="黑体"/>
          <w:b w:val="0"/>
          <w:bCs/>
        </w:rPr>
      </w:pPr>
      <w:bookmarkStart w:id="25" w:name="_Toc15396602"/>
      <w:bookmarkStart w:id="26" w:name="_Toc15377204"/>
      <w:bookmarkStart w:id="27" w:name="_Toc26734"/>
      <w:r>
        <w:rPr>
          <w:rFonts w:hint="eastAsia" w:ascii="黑体" w:hAnsi="黑体" w:eastAsia="黑体"/>
          <w:b w:val="0"/>
        </w:rPr>
        <w:t>第二部分 2023年度</w:t>
      </w:r>
      <w:r>
        <w:rPr>
          <w:rStyle w:val="30"/>
          <w:rFonts w:hint="eastAsia" w:ascii="黑体" w:hAnsi="黑体" w:eastAsia="黑体"/>
          <w:b w:val="0"/>
          <w:bCs/>
        </w:rPr>
        <w:t>单位决算情况说明</w:t>
      </w:r>
      <w:bookmarkEnd w:id="25"/>
      <w:bookmarkEnd w:id="26"/>
      <w:bookmarkEnd w:id="27"/>
    </w:p>
    <w:p w14:paraId="75954DF3"/>
    <w:p w14:paraId="4C06F544">
      <w:pPr>
        <w:pStyle w:val="29"/>
        <w:numPr>
          <w:ilvl w:val="0"/>
          <w:numId w:val="3"/>
        </w:numPr>
        <w:spacing w:line="600" w:lineRule="exact"/>
        <w:ind w:firstLineChars="0"/>
        <w:outlineLvl w:val="1"/>
        <w:rPr>
          <w:rStyle w:val="31"/>
          <w:rFonts w:ascii="黑体" w:hAnsi="黑体" w:eastAsia="黑体"/>
          <w:b w:val="0"/>
        </w:rPr>
      </w:pPr>
      <w:bookmarkStart w:id="28" w:name="_Toc15377205"/>
      <w:bookmarkStart w:id="29" w:name="_Toc15396603"/>
      <w:bookmarkStart w:id="30" w:name="_Toc30645"/>
      <w:r>
        <w:rPr>
          <w:rFonts w:hint="eastAsia" w:ascii="黑体" w:hAnsi="黑体" w:eastAsia="黑体"/>
          <w:sz w:val="32"/>
          <w:szCs w:val="32"/>
        </w:rPr>
        <w:t>收</w:t>
      </w:r>
      <w:r>
        <w:rPr>
          <w:rStyle w:val="31"/>
          <w:rFonts w:hint="eastAsia" w:ascii="黑体" w:hAnsi="黑体" w:eastAsia="黑体"/>
          <w:b w:val="0"/>
        </w:rPr>
        <w:t>入支出决算总体情况说明</w:t>
      </w:r>
      <w:bookmarkEnd w:id="28"/>
      <w:bookmarkEnd w:id="29"/>
      <w:bookmarkEnd w:id="30"/>
    </w:p>
    <w:p w14:paraId="71B91799">
      <w:pPr>
        <w:spacing w:line="600" w:lineRule="exact"/>
        <w:ind w:firstLine="640" w:firstLineChars="200"/>
        <w:rPr>
          <w:rFonts w:hint="eastAsia" w:ascii="仿宋" w:hAnsi="仿宋" w:eastAsia="仿宋"/>
          <w:sz w:val="32"/>
          <w:szCs w:val="32"/>
        </w:rPr>
      </w:pPr>
      <w:r>
        <w:rPr>
          <w:rFonts w:hint="eastAsia" w:ascii="仿宋" w:hAnsi="仿宋" w:eastAsia="仿宋"/>
          <w:sz w:val="32"/>
          <w:szCs w:val="32"/>
        </w:rPr>
        <w:t>2023年度收、支总计均为</w:t>
      </w:r>
      <w:r>
        <w:rPr>
          <w:rFonts w:hint="eastAsia" w:ascii="仿宋" w:hAnsi="仿宋" w:eastAsia="仿宋"/>
          <w:b/>
          <w:sz w:val="32"/>
          <w:szCs w:val="32"/>
        </w:rPr>
        <w:t>1084.94</w:t>
      </w:r>
      <w:r>
        <w:rPr>
          <w:rFonts w:hint="eastAsia" w:ascii="仿宋" w:hAnsi="仿宋" w:eastAsia="仿宋"/>
          <w:sz w:val="32"/>
          <w:szCs w:val="32"/>
        </w:rPr>
        <w:t>万元。与2022年度相比，收、支总计各增加</w:t>
      </w:r>
      <w:r>
        <w:rPr>
          <w:rFonts w:hint="eastAsia" w:ascii="仿宋" w:hAnsi="仿宋" w:eastAsia="仿宋"/>
          <w:b/>
          <w:bCs/>
          <w:sz w:val="32"/>
          <w:szCs w:val="32"/>
          <w:lang w:val="en-US" w:eastAsia="zh-CN"/>
        </w:rPr>
        <w:t>49.37</w:t>
      </w:r>
      <w:r>
        <w:rPr>
          <w:rFonts w:hint="eastAsia" w:ascii="仿宋" w:hAnsi="仿宋" w:eastAsia="仿宋"/>
          <w:sz w:val="32"/>
          <w:szCs w:val="32"/>
        </w:rPr>
        <w:t>万元，增长</w:t>
      </w:r>
      <w:r>
        <w:rPr>
          <w:rFonts w:hint="eastAsia" w:ascii="仿宋" w:hAnsi="仿宋" w:eastAsia="仿宋"/>
          <w:b/>
          <w:bCs/>
          <w:color w:val="auto"/>
          <w:sz w:val="32"/>
          <w:szCs w:val="32"/>
          <w:lang w:val="en-US" w:eastAsia="zh-CN"/>
        </w:rPr>
        <w:t>4.7</w:t>
      </w:r>
      <w:r>
        <w:rPr>
          <w:rFonts w:ascii="仿宋" w:hAnsi="仿宋" w:eastAsia="仿宋"/>
          <w:b/>
          <w:bCs/>
          <w:color w:val="auto"/>
          <w:sz w:val="32"/>
          <w:szCs w:val="32"/>
        </w:rPr>
        <w:t>%</w:t>
      </w:r>
      <w:r>
        <w:rPr>
          <w:rFonts w:hint="eastAsia" w:ascii="仿宋" w:hAnsi="仿宋" w:eastAsia="仿宋"/>
          <w:sz w:val="32"/>
          <w:szCs w:val="32"/>
        </w:rPr>
        <w:t>。主要变动原因是</w:t>
      </w:r>
      <w:r>
        <w:rPr>
          <w:rFonts w:hint="eastAsia" w:ascii="仿宋" w:hAnsi="仿宋" w:eastAsia="仿宋"/>
          <w:sz w:val="32"/>
          <w:szCs w:val="32"/>
          <w:lang w:eastAsia="zh-CN"/>
        </w:rPr>
        <w:t>人员增加，工资调整，基本支出增加</w:t>
      </w:r>
      <w:r>
        <w:rPr>
          <w:rFonts w:hint="eastAsia" w:ascii="仿宋" w:hAnsi="仿宋" w:eastAsia="仿宋"/>
          <w:sz w:val="32"/>
          <w:szCs w:val="32"/>
        </w:rPr>
        <w:t>。</w:t>
      </w:r>
    </w:p>
    <w:p w14:paraId="672D042A">
      <w:pPr>
        <w:pStyle w:val="2"/>
        <w:rPr>
          <w:rFonts w:hint="eastAsia" w:ascii="仿宋" w:hAnsi="仿宋" w:eastAsia="仿宋"/>
          <w:sz w:val="32"/>
          <w:szCs w:val="32"/>
          <w:lang w:val="en-US" w:eastAsia="zh-CN"/>
        </w:rPr>
      </w:pPr>
      <w:r>
        <w:rPr>
          <w:rFonts w:hint="eastAsia" w:ascii="仿宋" w:hAnsi="仿宋" w:eastAsia="仿宋"/>
          <w:sz w:val="32"/>
          <w:szCs w:val="32"/>
          <w:lang w:val="en-US" w:eastAsia="zh-CN"/>
        </w:rPr>
        <w:drawing>
          <wp:inline distT="0" distB="0" distL="114300" distR="114300">
            <wp:extent cx="4953000" cy="3248660"/>
            <wp:effectExtent l="4445" t="4445" r="14605" b="23495"/>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14:paraId="5A11BD26">
      <w:pPr>
        <w:pStyle w:val="29"/>
        <w:numPr>
          <w:ilvl w:val="0"/>
          <w:numId w:val="3"/>
        </w:numPr>
        <w:spacing w:line="600" w:lineRule="exact"/>
        <w:ind w:firstLineChars="0"/>
        <w:outlineLvl w:val="1"/>
        <w:rPr>
          <w:rStyle w:val="31"/>
          <w:rFonts w:ascii="黑体" w:hAnsi="黑体" w:eastAsia="黑体"/>
          <w:b w:val="0"/>
        </w:rPr>
      </w:pPr>
      <w:bookmarkStart w:id="31" w:name="_Toc28717"/>
      <w:bookmarkStart w:id="32" w:name="_Toc15377206"/>
      <w:bookmarkStart w:id="33" w:name="_Toc15396604"/>
      <w:r>
        <w:rPr>
          <w:rFonts w:hint="eastAsia" w:ascii="黑体" w:hAnsi="黑体" w:eastAsia="黑体"/>
          <w:sz w:val="32"/>
          <w:szCs w:val="32"/>
        </w:rPr>
        <w:t>收</w:t>
      </w:r>
      <w:r>
        <w:rPr>
          <w:rStyle w:val="31"/>
          <w:rFonts w:hint="eastAsia" w:ascii="黑体" w:hAnsi="黑体" w:eastAsia="黑体"/>
          <w:b w:val="0"/>
        </w:rPr>
        <w:t>入决算情况说明</w:t>
      </w:r>
      <w:bookmarkEnd w:id="31"/>
      <w:bookmarkEnd w:id="32"/>
      <w:bookmarkEnd w:id="33"/>
    </w:p>
    <w:p w14:paraId="2EB49B60">
      <w:pPr>
        <w:spacing w:line="600" w:lineRule="exact"/>
        <w:ind w:firstLine="640" w:firstLineChars="200"/>
        <w:outlineLvl w:val="1"/>
        <w:rPr>
          <w:rFonts w:ascii="仿宋" w:hAnsi="仿宋" w:eastAsia="仿宋"/>
          <w:sz w:val="32"/>
          <w:szCs w:val="32"/>
        </w:rPr>
      </w:pPr>
      <w:bookmarkStart w:id="34" w:name="_Toc29520"/>
      <w:bookmarkStart w:id="35" w:name="_Toc20749"/>
      <w:r>
        <w:rPr>
          <w:rFonts w:hint="eastAsia" w:ascii="仿宋" w:hAnsi="仿宋" w:eastAsia="仿宋"/>
          <w:sz w:val="32"/>
          <w:szCs w:val="32"/>
        </w:rPr>
        <w:t>2023年度本年收入合计</w:t>
      </w:r>
      <w:r>
        <w:rPr>
          <w:rFonts w:ascii="仿宋" w:hAnsi="仿宋" w:eastAsia="仿宋"/>
          <w:b/>
          <w:sz w:val="32"/>
          <w:szCs w:val="32"/>
        </w:rPr>
        <w:t>981.37</w:t>
      </w:r>
      <w:r>
        <w:rPr>
          <w:rFonts w:hint="eastAsia" w:ascii="仿宋" w:hAnsi="仿宋" w:eastAsia="仿宋"/>
          <w:sz w:val="32"/>
          <w:szCs w:val="32"/>
        </w:rPr>
        <w:t>万元，其中：一般公共预算财政拨款收入</w:t>
      </w:r>
      <w:r>
        <w:rPr>
          <w:rFonts w:ascii="仿宋" w:hAnsi="仿宋" w:eastAsia="仿宋"/>
          <w:b/>
          <w:sz w:val="32"/>
          <w:szCs w:val="32"/>
        </w:rPr>
        <w:t>981.37</w:t>
      </w:r>
      <w:r>
        <w:rPr>
          <w:rFonts w:hint="eastAsia" w:ascii="仿宋" w:hAnsi="仿宋" w:eastAsia="仿宋"/>
          <w:sz w:val="32"/>
          <w:szCs w:val="32"/>
        </w:rPr>
        <w:t>万元，占</w:t>
      </w:r>
      <w:r>
        <w:rPr>
          <w:rFonts w:ascii="仿宋" w:hAnsi="仿宋" w:eastAsia="仿宋"/>
          <w:b/>
          <w:sz w:val="32"/>
          <w:szCs w:val="32"/>
        </w:rPr>
        <w:t>100%</w:t>
      </w:r>
      <w:r>
        <w:rPr>
          <w:rFonts w:hint="eastAsia" w:ascii="仿宋" w:hAnsi="仿宋" w:eastAsia="仿宋"/>
          <w:sz w:val="32"/>
          <w:szCs w:val="32"/>
        </w:rPr>
        <w:t>；政府性基金预算财政拨款收入</w:t>
      </w:r>
      <w:r>
        <w:rPr>
          <w:rFonts w:ascii="仿宋" w:hAnsi="仿宋" w:eastAsia="仿宋"/>
          <w:b/>
          <w:sz w:val="32"/>
          <w:szCs w:val="32"/>
        </w:rPr>
        <w:t>0</w:t>
      </w:r>
      <w:r>
        <w:rPr>
          <w:rFonts w:hint="eastAsia" w:ascii="仿宋" w:hAnsi="仿宋" w:eastAsia="仿宋"/>
          <w:sz w:val="32"/>
          <w:szCs w:val="32"/>
        </w:rPr>
        <w:t>万元，占</w:t>
      </w:r>
      <w:r>
        <w:rPr>
          <w:rFonts w:ascii="仿宋" w:hAnsi="仿宋" w:eastAsia="仿宋"/>
          <w:b/>
          <w:sz w:val="32"/>
          <w:szCs w:val="32"/>
        </w:rPr>
        <w:t>0</w:t>
      </w:r>
      <w:r>
        <w:rPr>
          <w:rFonts w:ascii="仿宋" w:hAnsi="仿宋" w:eastAsia="仿宋"/>
          <w:sz w:val="32"/>
          <w:szCs w:val="32"/>
        </w:rPr>
        <w:t>%</w:t>
      </w:r>
      <w:r>
        <w:rPr>
          <w:rFonts w:hint="eastAsia" w:ascii="仿宋" w:hAnsi="仿宋" w:eastAsia="仿宋"/>
          <w:sz w:val="32"/>
          <w:szCs w:val="32"/>
        </w:rPr>
        <w:t>；国有资本经营预算财政拨款收入</w:t>
      </w:r>
      <w:r>
        <w:rPr>
          <w:rFonts w:ascii="仿宋" w:hAnsi="仿宋" w:eastAsia="仿宋"/>
          <w:b/>
          <w:sz w:val="32"/>
          <w:szCs w:val="32"/>
        </w:rPr>
        <w:t>0</w:t>
      </w:r>
      <w:r>
        <w:rPr>
          <w:rFonts w:hint="eastAsia" w:ascii="仿宋" w:hAnsi="仿宋" w:eastAsia="仿宋"/>
          <w:sz w:val="32"/>
          <w:szCs w:val="32"/>
        </w:rPr>
        <w:t>万元，占</w:t>
      </w:r>
      <w:r>
        <w:rPr>
          <w:rFonts w:ascii="仿宋" w:hAnsi="仿宋" w:eastAsia="仿宋"/>
          <w:b/>
          <w:sz w:val="32"/>
          <w:szCs w:val="32"/>
        </w:rPr>
        <w:t>0</w:t>
      </w:r>
      <w:r>
        <w:rPr>
          <w:rFonts w:ascii="仿宋" w:hAnsi="仿宋" w:eastAsia="仿宋"/>
          <w:sz w:val="32"/>
          <w:szCs w:val="32"/>
        </w:rPr>
        <w:t>%</w:t>
      </w:r>
      <w:r>
        <w:rPr>
          <w:rFonts w:hint="eastAsia" w:ascii="仿宋" w:hAnsi="仿宋" w:eastAsia="仿宋"/>
          <w:sz w:val="32"/>
          <w:szCs w:val="32"/>
        </w:rPr>
        <w:t>；上级补助收入</w:t>
      </w:r>
      <w:r>
        <w:rPr>
          <w:rFonts w:ascii="仿宋" w:hAnsi="仿宋" w:eastAsia="仿宋"/>
          <w:b/>
          <w:sz w:val="32"/>
          <w:szCs w:val="32"/>
        </w:rPr>
        <w:t>0</w:t>
      </w:r>
      <w:r>
        <w:rPr>
          <w:rFonts w:hint="eastAsia" w:ascii="仿宋" w:hAnsi="仿宋" w:eastAsia="仿宋"/>
          <w:sz w:val="32"/>
          <w:szCs w:val="32"/>
        </w:rPr>
        <w:t>万元，占</w:t>
      </w:r>
      <w:r>
        <w:rPr>
          <w:rFonts w:ascii="仿宋" w:hAnsi="仿宋" w:eastAsia="仿宋"/>
          <w:sz w:val="32"/>
          <w:szCs w:val="32"/>
        </w:rPr>
        <w:t>0%</w:t>
      </w:r>
      <w:r>
        <w:rPr>
          <w:rFonts w:hint="eastAsia" w:ascii="仿宋" w:hAnsi="仿宋" w:eastAsia="仿宋"/>
          <w:sz w:val="32"/>
          <w:szCs w:val="32"/>
        </w:rPr>
        <w:t>；事业收入</w:t>
      </w:r>
      <w:r>
        <w:rPr>
          <w:rFonts w:ascii="仿宋" w:hAnsi="仿宋" w:eastAsia="仿宋"/>
          <w:b/>
          <w:sz w:val="32"/>
          <w:szCs w:val="32"/>
        </w:rPr>
        <w:t>0</w:t>
      </w:r>
      <w:r>
        <w:rPr>
          <w:rFonts w:hint="eastAsia" w:ascii="仿宋" w:hAnsi="仿宋" w:eastAsia="仿宋"/>
          <w:sz w:val="32"/>
          <w:szCs w:val="32"/>
        </w:rPr>
        <w:t>万元，占</w:t>
      </w:r>
      <w:r>
        <w:rPr>
          <w:rFonts w:ascii="仿宋" w:hAnsi="仿宋" w:eastAsia="仿宋"/>
          <w:b/>
          <w:sz w:val="32"/>
          <w:szCs w:val="32"/>
        </w:rPr>
        <w:t>0</w:t>
      </w:r>
      <w:r>
        <w:rPr>
          <w:rFonts w:ascii="仿宋" w:hAnsi="仿宋" w:eastAsia="仿宋"/>
          <w:sz w:val="32"/>
          <w:szCs w:val="32"/>
        </w:rPr>
        <w:t>%</w:t>
      </w:r>
      <w:r>
        <w:rPr>
          <w:rFonts w:hint="eastAsia" w:ascii="仿宋" w:hAnsi="仿宋" w:eastAsia="仿宋"/>
          <w:sz w:val="32"/>
          <w:szCs w:val="32"/>
        </w:rPr>
        <w:t>；经营收入</w:t>
      </w:r>
      <w:r>
        <w:rPr>
          <w:rFonts w:ascii="仿宋" w:hAnsi="仿宋" w:eastAsia="仿宋"/>
          <w:b/>
          <w:sz w:val="32"/>
          <w:szCs w:val="32"/>
        </w:rPr>
        <w:t>0</w:t>
      </w:r>
      <w:r>
        <w:rPr>
          <w:rFonts w:hint="eastAsia" w:ascii="仿宋" w:hAnsi="仿宋" w:eastAsia="仿宋"/>
          <w:sz w:val="32"/>
          <w:szCs w:val="32"/>
        </w:rPr>
        <w:t>万元，占</w:t>
      </w:r>
      <w:r>
        <w:rPr>
          <w:rFonts w:ascii="仿宋" w:hAnsi="仿宋" w:eastAsia="仿宋"/>
          <w:b/>
          <w:sz w:val="32"/>
          <w:szCs w:val="32"/>
        </w:rPr>
        <w:t>0</w:t>
      </w:r>
      <w:r>
        <w:rPr>
          <w:rFonts w:ascii="仿宋" w:hAnsi="仿宋" w:eastAsia="仿宋"/>
          <w:sz w:val="32"/>
          <w:szCs w:val="32"/>
        </w:rPr>
        <w:t>%</w:t>
      </w:r>
      <w:r>
        <w:rPr>
          <w:rFonts w:hint="eastAsia" w:ascii="仿宋" w:hAnsi="仿宋" w:eastAsia="仿宋"/>
          <w:sz w:val="32"/>
          <w:szCs w:val="32"/>
        </w:rPr>
        <w:t>；附属单位上缴收入</w:t>
      </w:r>
      <w:r>
        <w:rPr>
          <w:rFonts w:ascii="仿宋" w:hAnsi="仿宋" w:eastAsia="仿宋"/>
          <w:b/>
          <w:sz w:val="32"/>
          <w:szCs w:val="32"/>
        </w:rPr>
        <w:t>0</w:t>
      </w:r>
      <w:r>
        <w:rPr>
          <w:rFonts w:hint="eastAsia" w:ascii="仿宋" w:hAnsi="仿宋" w:eastAsia="仿宋"/>
          <w:sz w:val="32"/>
          <w:szCs w:val="32"/>
        </w:rPr>
        <w:t>万元，占</w:t>
      </w:r>
      <w:r>
        <w:rPr>
          <w:rFonts w:ascii="仿宋" w:hAnsi="仿宋" w:eastAsia="仿宋"/>
          <w:b/>
          <w:sz w:val="32"/>
          <w:szCs w:val="32"/>
        </w:rPr>
        <w:t>0</w:t>
      </w:r>
      <w:r>
        <w:rPr>
          <w:rFonts w:ascii="仿宋" w:hAnsi="仿宋" w:eastAsia="仿宋"/>
          <w:sz w:val="32"/>
          <w:szCs w:val="32"/>
        </w:rPr>
        <w:t>%</w:t>
      </w:r>
      <w:r>
        <w:rPr>
          <w:rFonts w:hint="eastAsia" w:ascii="仿宋" w:hAnsi="仿宋" w:eastAsia="仿宋"/>
          <w:sz w:val="32"/>
          <w:szCs w:val="32"/>
        </w:rPr>
        <w:t>；其他收入</w:t>
      </w:r>
      <w:r>
        <w:rPr>
          <w:rFonts w:ascii="仿宋" w:hAnsi="仿宋" w:eastAsia="仿宋"/>
          <w:b/>
          <w:sz w:val="32"/>
          <w:szCs w:val="32"/>
        </w:rPr>
        <w:t>0</w:t>
      </w:r>
      <w:r>
        <w:rPr>
          <w:rFonts w:hint="eastAsia" w:ascii="仿宋" w:hAnsi="仿宋" w:eastAsia="仿宋"/>
          <w:sz w:val="32"/>
          <w:szCs w:val="32"/>
        </w:rPr>
        <w:t>万元，占</w:t>
      </w:r>
      <w:r>
        <w:rPr>
          <w:rFonts w:ascii="仿宋" w:hAnsi="仿宋" w:eastAsia="仿宋"/>
          <w:b/>
          <w:sz w:val="32"/>
          <w:szCs w:val="32"/>
        </w:rPr>
        <w:t>0</w:t>
      </w:r>
      <w:r>
        <w:rPr>
          <w:rFonts w:ascii="仿宋" w:hAnsi="仿宋" w:eastAsia="仿宋"/>
          <w:sz w:val="32"/>
          <w:szCs w:val="32"/>
        </w:rPr>
        <w:t>%</w:t>
      </w:r>
      <w:bookmarkEnd w:id="34"/>
      <w:bookmarkEnd w:id="35"/>
    </w:p>
    <w:p w14:paraId="6C50A9E9">
      <w:pPr>
        <w:spacing w:line="600" w:lineRule="exact"/>
        <w:ind w:firstLine="640" w:firstLineChars="200"/>
        <w:rPr>
          <w:rFonts w:hint="eastAsia" w:ascii="仿宋" w:hAnsi="仿宋" w:eastAsia="仿宋"/>
          <w:sz w:val="32"/>
          <w:szCs w:val="32"/>
          <w:lang w:eastAsia="zh-CN"/>
        </w:rPr>
      </w:pPr>
    </w:p>
    <w:p w14:paraId="5D29297B">
      <w:pPr>
        <w:spacing w:line="600" w:lineRule="exact"/>
        <w:ind w:firstLine="643" w:firstLineChars="200"/>
        <w:rPr>
          <w:rStyle w:val="31"/>
          <w:rFonts w:ascii="黑体" w:hAnsi="黑体" w:eastAsia="黑体"/>
          <w:b w:val="0"/>
        </w:rPr>
      </w:pPr>
      <w:r>
        <w:rPr>
          <w:rFonts w:hint="eastAsia" w:ascii="黑体" w:hAnsi="黑体" w:eastAsia="黑体" w:cs="黑体"/>
          <w:b/>
          <w:bCs/>
          <w:sz w:val="32"/>
          <w:szCs w:val="32"/>
          <w:lang w:eastAsia="zh-CN"/>
        </w:rPr>
        <w:drawing>
          <wp:anchor distT="0" distB="0" distL="114300" distR="114300" simplePos="0" relativeHeight="251659264" behindDoc="0" locked="0" layoutInCell="1" allowOverlap="1">
            <wp:simplePos x="0" y="0"/>
            <wp:positionH relativeFrom="column">
              <wp:posOffset>114935</wp:posOffset>
            </wp:positionH>
            <wp:positionV relativeFrom="paragraph">
              <wp:posOffset>-52705</wp:posOffset>
            </wp:positionV>
            <wp:extent cx="4857750" cy="2477135"/>
            <wp:effectExtent l="4445" t="4445" r="14605" b="13970"/>
            <wp:wrapTopAndBottom/>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anchor>
        </w:drawing>
      </w:r>
      <w:bookmarkStart w:id="36" w:name="_Toc15377207"/>
      <w:bookmarkStart w:id="37" w:name="_Toc15396605"/>
      <w:r>
        <w:rPr>
          <w:rFonts w:hint="eastAsia" w:ascii="黑体" w:hAnsi="黑体" w:eastAsia="黑体" w:cs="黑体"/>
          <w:b/>
          <w:bCs/>
          <w:sz w:val="32"/>
          <w:szCs w:val="32"/>
          <w:lang w:eastAsia="zh-CN"/>
        </w:rPr>
        <w:t>三、</w:t>
      </w:r>
      <w:r>
        <w:rPr>
          <w:rFonts w:hint="eastAsia" w:ascii="黑体" w:hAnsi="黑体" w:eastAsia="黑体"/>
          <w:sz w:val="32"/>
          <w:szCs w:val="32"/>
        </w:rPr>
        <w:t>支</w:t>
      </w:r>
      <w:r>
        <w:rPr>
          <w:rStyle w:val="31"/>
          <w:rFonts w:hint="eastAsia" w:ascii="黑体" w:hAnsi="黑体" w:eastAsia="黑体"/>
          <w:b w:val="0"/>
        </w:rPr>
        <w:t>出决算情况说明</w:t>
      </w:r>
      <w:bookmarkEnd w:id="36"/>
      <w:bookmarkEnd w:id="37"/>
    </w:p>
    <w:p w14:paraId="538B776D">
      <w:pPr>
        <w:spacing w:line="600" w:lineRule="exact"/>
        <w:ind w:firstLine="640" w:firstLineChars="200"/>
        <w:outlineLvl w:val="1"/>
        <w:rPr>
          <w:rFonts w:ascii="仿宋" w:hAnsi="仿宋" w:eastAsia="仿宋"/>
          <w:sz w:val="32"/>
          <w:szCs w:val="32"/>
          <w:shd w:val="pct10" w:color="auto" w:fill="FFFFFF"/>
        </w:rPr>
      </w:pPr>
      <w:bookmarkStart w:id="38" w:name="_Toc22535"/>
      <w:bookmarkStart w:id="39" w:name="_Toc4427"/>
      <w:r>
        <w:rPr>
          <w:rFonts w:hint="eastAsia" w:ascii="仿宋" w:hAnsi="仿宋" w:eastAsia="仿宋"/>
          <w:sz w:val="32"/>
          <w:szCs w:val="32"/>
        </w:rPr>
        <w:t>2023年度本年支出合计</w:t>
      </w:r>
      <w:r>
        <w:rPr>
          <w:rFonts w:ascii="仿宋" w:hAnsi="仿宋" w:eastAsia="仿宋"/>
          <w:b/>
          <w:sz w:val="32"/>
          <w:szCs w:val="32"/>
        </w:rPr>
        <w:t>1084.94</w:t>
      </w:r>
      <w:r>
        <w:rPr>
          <w:rFonts w:hint="eastAsia" w:ascii="仿宋" w:hAnsi="仿宋" w:eastAsia="仿宋"/>
          <w:sz w:val="32"/>
          <w:szCs w:val="32"/>
        </w:rPr>
        <w:t>万元，其中：基本支出</w:t>
      </w:r>
      <w:r>
        <w:rPr>
          <w:rFonts w:ascii="仿宋" w:hAnsi="仿宋" w:eastAsia="仿宋"/>
          <w:b/>
          <w:sz w:val="32"/>
          <w:szCs w:val="32"/>
        </w:rPr>
        <w:t>749.97</w:t>
      </w:r>
      <w:r>
        <w:rPr>
          <w:rFonts w:hint="eastAsia" w:ascii="仿宋" w:hAnsi="仿宋" w:eastAsia="仿宋"/>
          <w:sz w:val="32"/>
          <w:szCs w:val="32"/>
        </w:rPr>
        <w:t>万元，占</w:t>
      </w:r>
      <w:r>
        <w:rPr>
          <w:rFonts w:ascii="仿宋" w:hAnsi="仿宋" w:eastAsia="仿宋"/>
          <w:b/>
          <w:sz w:val="32"/>
          <w:szCs w:val="32"/>
        </w:rPr>
        <w:t>69.12</w:t>
      </w:r>
      <w:r>
        <w:rPr>
          <w:rFonts w:ascii="仿宋" w:hAnsi="仿宋" w:eastAsia="仿宋"/>
          <w:sz w:val="32"/>
          <w:szCs w:val="32"/>
        </w:rPr>
        <w:t>%</w:t>
      </w:r>
      <w:r>
        <w:rPr>
          <w:rFonts w:hint="eastAsia" w:ascii="仿宋" w:hAnsi="仿宋" w:eastAsia="仿宋"/>
          <w:sz w:val="32"/>
          <w:szCs w:val="32"/>
        </w:rPr>
        <w:t>；项目支出</w:t>
      </w:r>
      <w:r>
        <w:rPr>
          <w:rFonts w:ascii="仿宋" w:hAnsi="仿宋" w:eastAsia="仿宋"/>
          <w:b/>
          <w:sz w:val="32"/>
          <w:szCs w:val="32"/>
        </w:rPr>
        <w:t>334.98</w:t>
      </w:r>
      <w:r>
        <w:rPr>
          <w:rFonts w:hint="eastAsia" w:ascii="仿宋" w:hAnsi="仿宋" w:eastAsia="仿宋"/>
          <w:sz w:val="32"/>
          <w:szCs w:val="32"/>
        </w:rPr>
        <w:t>万元，占</w:t>
      </w:r>
      <w:r>
        <w:rPr>
          <w:rFonts w:ascii="仿宋" w:hAnsi="仿宋" w:eastAsia="仿宋"/>
          <w:b/>
          <w:sz w:val="32"/>
          <w:szCs w:val="32"/>
        </w:rPr>
        <w:t>30.87</w:t>
      </w:r>
      <w:r>
        <w:rPr>
          <w:rFonts w:ascii="仿宋" w:hAnsi="仿宋" w:eastAsia="仿宋"/>
          <w:sz w:val="32"/>
          <w:szCs w:val="32"/>
        </w:rPr>
        <w:t>%</w:t>
      </w:r>
      <w:r>
        <w:rPr>
          <w:rFonts w:hint="eastAsia" w:ascii="仿宋" w:hAnsi="仿宋" w:eastAsia="仿宋"/>
          <w:sz w:val="32"/>
          <w:szCs w:val="32"/>
        </w:rPr>
        <w:t>；上缴上级支出</w:t>
      </w:r>
      <w:r>
        <w:rPr>
          <w:rFonts w:ascii="仿宋" w:hAnsi="仿宋" w:eastAsia="仿宋"/>
          <w:b/>
          <w:sz w:val="32"/>
          <w:szCs w:val="32"/>
        </w:rPr>
        <w:t>0</w:t>
      </w:r>
      <w:r>
        <w:rPr>
          <w:rFonts w:hint="eastAsia" w:ascii="仿宋" w:hAnsi="仿宋" w:eastAsia="仿宋"/>
          <w:sz w:val="32"/>
          <w:szCs w:val="32"/>
        </w:rPr>
        <w:t>万元，占</w:t>
      </w:r>
      <w:r>
        <w:rPr>
          <w:rFonts w:hint="eastAsia" w:ascii="仿宋" w:hAnsi="仿宋" w:eastAsia="仿宋"/>
          <w:b/>
          <w:sz w:val="32"/>
          <w:szCs w:val="32"/>
        </w:rPr>
        <w:t>0</w:t>
      </w:r>
      <w:r>
        <w:rPr>
          <w:rFonts w:ascii="仿宋" w:hAnsi="仿宋" w:eastAsia="仿宋"/>
          <w:sz w:val="32"/>
          <w:szCs w:val="32"/>
        </w:rPr>
        <w:t>%</w:t>
      </w:r>
      <w:r>
        <w:rPr>
          <w:rFonts w:hint="eastAsia" w:ascii="仿宋" w:hAnsi="仿宋" w:eastAsia="仿宋"/>
          <w:sz w:val="32"/>
          <w:szCs w:val="32"/>
        </w:rPr>
        <w:t>；经营支出</w:t>
      </w:r>
      <w:r>
        <w:rPr>
          <w:rFonts w:ascii="仿宋" w:hAnsi="仿宋" w:eastAsia="仿宋"/>
          <w:b/>
          <w:sz w:val="32"/>
          <w:szCs w:val="32"/>
        </w:rPr>
        <w:t>0</w:t>
      </w:r>
      <w:r>
        <w:rPr>
          <w:rFonts w:hint="eastAsia" w:ascii="仿宋" w:hAnsi="仿宋" w:eastAsia="仿宋"/>
          <w:sz w:val="32"/>
          <w:szCs w:val="32"/>
        </w:rPr>
        <w:t>万元，占</w:t>
      </w:r>
      <w:r>
        <w:rPr>
          <w:rFonts w:ascii="仿宋" w:hAnsi="仿宋" w:eastAsia="仿宋"/>
          <w:b/>
          <w:sz w:val="32"/>
          <w:szCs w:val="32"/>
        </w:rPr>
        <w:t>0</w:t>
      </w:r>
      <w:r>
        <w:rPr>
          <w:rFonts w:ascii="仿宋" w:hAnsi="仿宋" w:eastAsia="仿宋"/>
          <w:sz w:val="32"/>
          <w:szCs w:val="32"/>
        </w:rPr>
        <w:t>%</w:t>
      </w:r>
      <w:r>
        <w:rPr>
          <w:rFonts w:hint="eastAsia" w:ascii="仿宋" w:hAnsi="仿宋" w:eastAsia="仿宋"/>
          <w:sz w:val="32"/>
          <w:szCs w:val="32"/>
        </w:rPr>
        <w:t>；对附属单位补助支出</w:t>
      </w:r>
      <w:r>
        <w:rPr>
          <w:rFonts w:ascii="仿宋" w:hAnsi="仿宋" w:eastAsia="仿宋"/>
          <w:b/>
          <w:sz w:val="32"/>
          <w:szCs w:val="32"/>
        </w:rPr>
        <w:t>0</w:t>
      </w:r>
      <w:r>
        <w:rPr>
          <w:rFonts w:hint="eastAsia" w:ascii="仿宋" w:hAnsi="仿宋" w:eastAsia="仿宋"/>
          <w:sz w:val="32"/>
          <w:szCs w:val="32"/>
        </w:rPr>
        <w:t>万元，占</w:t>
      </w:r>
      <w:r>
        <w:rPr>
          <w:rFonts w:ascii="仿宋" w:hAnsi="仿宋" w:eastAsia="仿宋"/>
          <w:b/>
          <w:sz w:val="32"/>
          <w:szCs w:val="32"/>
        </w:rPr>
        <w:t>0</w:t>
      </w:r>
      <w:r>
        <w:rPr>
          <w:rFonts w:ascii="仿宋" w:hAnsi="仿宋" w:eastAsia="仿宋"/>
          <w:sz w:val="32"/>
          <w:szCs w:val="32"/>
        </w:rPr>
        <w:t>%</w:t>
      </w:r>
      <w:r>
        <w:rPr>
          <w:rFonts w:hint="eastAsia" w:ascii="仿宋" w:hAnsi="仿宋" w:eastAsia="仿宋"/>
          <w:sz w:val="32"/>
          <w:szCs w:val="32"/>
        </w:rPr>
        <w:t>。</w:t>
      </w:r>
      <w:bookmarkEnd w:id="38"/>
      <w:bookmarkEnd w:id="39"/>
    </w:p>
    <w:p w14:paraId="0C6F5C89">
      <w:pPr>
        <w:spacing w:line="600" w:lineRule="exact"/>
        <w:ind w:firstLine="640" w:firstLineChars="200"/>
        <w:rPr>
          <w:rStyle w:val="31"/>
          <w:rFonts w:ascii="黑体" w:hAnsi="黑体" w:eastAsia="黑体"/>
          <w:b w:val="0"/>
        </w:rPr>
      </w:pPr>
      <w:r>
        <w:rPr>
          <w:rFonts w:hint="eastAsia" w:ascii="仿宋" w:hAnsi="仿宋" w:eastAsia="仿宋"/>
          <w:sz w:val="32"/>
          <w:szCs w:val="32"/>
          <w:lang w:eastAsia="zh-CN"/>
        </w:rPr>
        <w:drawing>
          <wp:anchor distT="0" distB="0" distL="114300" distR="114300" simplePos="0" relativeHeight="251660288" behindDoc="0" locked="0" layoutInCell="1" allowOverlap="1">
            <wp:simplePos x="0" y="0"/>
            <wp:positionH relativeFrom="column">
              <wp:posOffset>83185</wp:posOffset>
            </wp:positionH>
            <wp:positionV relativeFrom="paragraph">
              <wp:posOffset>211455</wp:posOffset>
            </wp:positionV>
            <wp:extent cx="4634865" cy="2457450"/>
            <wp:effectExtent l="4445" t="4445" r="8890" b="14605"/>
            <wp:wrapTopAndBottom/>
            <wp:docPr id="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anchor>
        </w:drawing>
      </w:r>
      <w:bookmarkStart w:id="40" w:name="_Toc15396606"/>
      <w:bookmarkStart w:id="41" w:name="_Toc15377208"/>
      <w:r>
        <w:rPr>
          <w:rFonts w:hint="eastAsia" w:ascii="黑体" w:hAnsi="黑体" w:eastAsia="黑体"/>
          <w:sz w:val="32"/>
          <w:szCs w:val="32"/>
        </w:rPr>
        <w:t>四、财</w:t>
      </w:r>
      <w:r>
        <w:rPr>
          <w:rStyle w:val="31"/>
          <w:rFonts w:hint="eastAsia" w:ascii="黑体" w:hAnsi="黑体" w:eastAsia="黑体"/>
          <w:b w:val="0"/>
        </w:rPr>
        <w:t>政拨款收入支出决算总体情况说明</w:t>
      </w:r>
      <w:bookmarkEnd w:id="40"/>
      <w:bookmarkEnd w:id="41"/>
    </w:p>
    <w:p w14:paraId="22396370">
      <w:pPr>
        <w:spacing w:line="600" w:lineRule="exact"/>
        <w:ind w:firstLine="640"/>
        <w:rPr>
          <w:rFonts w:ascii="仿宋" w:hAnsi="仿宋" w:eastAsia="仿宋"/>
          <w:b/>
          <w:sz w:val="32"/>
          <w:szCs w:val="32"/>
        </w:rPr>
      </w:pPr>
      <w:r>
        <w:rPr>
          <w:rFonts w:hint="eastAsia" w:ascii="仿宋" w:hAnsi="仿宋" w:eastAsia="仿宋"/>
          <w:sz w:val="32"/>
          <w:szCs w:val="32"/>
        </w:rPr>
        <w:t>2023年度财政拨款收、支总计均为</w:t>
      </w:r>
      <w:r>
        <w:rPr>
          <w:rFonts w:ascii="仿宋" w:hAnsi="仿宋" w:eastAsia="仿宋"/>
          <w:b/>
          <w:sz w:val="32"/>
          <w:szCs w:val="32"/>
        </w:rPr>
        <w:t>1084.94</w:t>
      </w:r>
      <w:r>
        <w:rPr>
          <w:rFonts w:hint="eastAsia" w:ascii="仿宋" w:hAnsi="仿宋" w:eastAsia="仿宋"/>
          <w:sz w:val="32"/>
          <w:szCs w:val="32"/>
        </w:rPr>
        <w:t>万元。与2022年度相比，财政拨款收、支总计各增加</w:t>
      </w:r>
      <w:r>
        <w:rPr>
          <w:rFonts w:hint="eastAsia" w:ascii="仿宋" w:hAnsi="仿宋" w:eastAsia="仿宋"/>
          <w:b/>
          <w:bCs/>
          <w:sz w:val="32"/>
          <w:szCs w:val="32"/>
          <w:lang w:val="en-US" w:eastAsia="zh-CN"/>
        </w:rPr>
        <w:t>49.37</w:t>
      </w:r>
      <w:r>
        <w:rPr>
          <w:rFonts w:hint="eastAsia" w:ascii="仿宋" w:hAnsi="仿宋" w:eastAsia="仿宋"/>
          <w:sz w:val="32"/>
          <w:szCs w:val="32"/>
        </w:rPr>
        <w:t>万元，增长</w:t>
      </w:r>
      <w:r>
        <w:rPr>
          <w:rFonts w:hint="eastAsia" w:ascii="仿宋" w:hAnsi="仿宋" w:eastAsia="仿宋"/>
          <w:b/>
          <w:bCs/>
          <w:color w:val="auto"/>
          <w:sz w:val="32"/>
          <w:szCs w:val="32"/>
          <w:lang w:val="en-US" w:eastAsia="zh-CN"/>
        </w:rPr>
        <w:t>4.7</w:t>
      </w:r>
      <w:r>
        <w:rPr>
          <w:rFonts w:ascii="仿宋" w:hAnsi="仿宋" w:eastAsia="仿宋"/>
          <w:b/>
          <w:bCs/>
          <w:color w:val="auto"/>
          <w:sz w:val="32"/>
          <w:szCs w:val="32"/>
        </w:rPr>
        <w:t>%</w:t>
      </w:r>
      <w:r>
        <w:rPr>
          <w:rFonts w:hint="eastAsia" w:ascii="仿宋" w:hAnsi="仿宋" w:eastAsia="仿宋"/>
          <w:sz w:val="32"/>
          <w:szCs w:val="32"/>
        </w:rPr>
        <w:t>。主要变动原因是</w:t>
      </w:r>
      <w:r>
        <w:rPr>
          <w:rFonts w:hint="eastAsia" w:ascii="仿宋" w:hAnsi="仿宋" w:eastAsia="仿宋"/>
          <w:sz w:val="32"/>
          <w:szCs w:val="32"/>
          <w:lang w:eastAsia="zh-CN"/>
        </w:rPr>
        <w:t>人员增加，工资调整，基本支出增加</w:t>
      </w:r>
      <w:r>
        <w:rPr>
          <w:rFonts w:hint="eastAsia" w:ascii="仿宋" w:hAnsi="仿宋" w:eastAsia="仿宋"/>
          <w:sz w:val="32"/>
          <w:szCs w:val="32"/>
        </w:rPr>
        <w:t>。</w:t>
      </w:r>
      <w:r>
        <w:rPr>
          <w:rFonts w:hint="eastAsia" w:ascii="仿宋" w:hAnsi="仿宋" w:eastAsia="仿宋"/>
          <w:sz w:val="32"/>
          <w:szCs w:val="32"/>
          <w:lang w:eastAsia="zh-CN"/>
        </w:rPr>
        <w:drawing>
          <wp:anchor distT="0" distB="0" distL="114300" distR="114300" simplePos="0" relativeHeight="251661312" behindDoc="0" locked="0" layoutInCell="1" allowOverlap="1">
            <wp:simplePos x="0" y="0"/>
            <wp:positionH relativeFrom="column">
              <wp:posOffset>61595</wp:posOffset>
            </wp:positionH>
            <wp:positionV relativeFrom="paragraph">
              <wp:posOffset>147955</wp:posOffset>
            </wp:positionV>
            <wp:extent cx="5058410" cy="2912110"/>
            <wp:effectExtent l="5080" t="4445" r="22860" b="17145"/>
            <wp:wrapTopAndBottom/>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anchor>
        </w:drawing>
      </w:r>
    </w:p>
    <w:p w14:paraId="4A49BCC0">
      <w:pPr>
        <w:spacing w:line="600" w:lineRule="exact"/>
        <w:ind w:firstLine="640" w:firstLineChars="200"/>
        <w:outlineLvl w:val="1"/>
        <w:rPr>
          <w:rStyle w:val="31"/>
          <w:rFonts w:ascii="黑体" w:hAnsi="黑体" w:eastAsia="黑体"/>
          <w:b w:val="0"/>
        </w:rPr>
      </w:pPr>
      <w:bookmarkStart w:id="42" w:name="_Toc15377209"/>
      <w:bookmarkStart w:id="43" w:name="_Toc27899"/>
      <w:bookmarkStart w:id="44" w:name="_Toc15396607"/>
      <w:r>
        <w:rPr>
          <w:rFonts w:hint="eastAsia" w:ascii="黑体" w:hAnsi="黑体" w:eastAsia="黑体"/>
          <w:sz w:val="32"/>
          <w:szCs w:val="32"/>
        </w:rPr>
        <w:t>五、</w:t>
      </w:r>
      <w:r>
        <w:rPr>
          <w:rFonts w:hint="eastAsia" w:ascii="黑体" w:hAnsi="黑体" w:eastAsia="黑体"/>
          <w:b/>
          <w:sz w:val="32"/>
          <w:szCs w:val="32"/>
        </w:rPr>
        <w:t>一</w:t>
      </w:r>
      <w:r>
        <w:rPr>
          <w:rStyle w:val="31"/>
          <w:rFonts w:hint="eastAsia" w:ascii="黑体" w:hAnsi="黑体" w:eastAsia="黑体"/>
          <w:b w:val="0"/>
        </w:rPr>
        <w:t>般公共预算财政拨款支出决算情况说明</w:t>
      </w:r>
      <w:bookmarkEnd w:id="42"/>
      <w:bookmarkEnd w:id="43"/>
      <w:bookmarkEnd w:id="44"/>
    </w:p>
    <w:p w14:paraId="367CEE48">
      <w:pPr>
        <w:spacing w:line="600" w:lineRule="exact"/>
        <w:ind w:firstLine="643" w:firstLineChars="200"/>
        <w:outlineLvl w:val="2"/>
        <w:rPr>
          <w:rFonts w:ascii="仿宋" w:hAnsi="仿宋" w:eastAsia="仿宋"/>
          <w:b/>
          <w:sz w:val="32"/>
          <w:szCs w:val="32"/>
        </w:rPr>
      </w:pPr>
      <w:bookmarkStart w:id="45" w:name="_Toc15377210"/>
      <w:bookmarkStart w:id="46" w:name="_Toc29802"/>
      <w:bookmarkStart w:id="47" w:name="_Toc31849"/>
      <w:r>
        <w:rPr>
          <w:rFonts w:hint="eastAsia" w:ascii="仿宋" w:hAnsi="仿宋" w:eastAsia="仿宋"/>
          <w:b/>
          <w:sz w:val="32"/>
          <w:szCs w:val="32"/>
        </w:rPr>
        <w:t>（一）一般公共预算财政拨款支出决算总体情况</w:t>
      </w:r>
      <w:bookmarkEnd w:id="45"/>
      <w:bookmarkEnd w:id="46"/>
      <w:bookmarkEnd w:id="47"/>
    </w:p>
    <w:p w14:paraId="4306D40A">
      <w:pPr>
        <w:spacing w:line="600" w:lineRule="exact"/>
        <w:ind w:firstLine="640"/>
        <w:rPr>
          <w:rFonts w:ascii="仿宋" w:hAnsi="仿宋" w:eastAsia="仿宋"/>
          <w:sz w:val="32"/>
          <w:szCs w:val="32"/>
        </w:rPr>
      </w:pPr>
      <w:r>
        <w:rPr>
          <w:rFonts w:hint="eastAsia" w:ascii="仿宋" w:hAnsi="仿宋" w:eastAsia="仿宋"/>
          <w:sz w:val="32"/>
          <w:szCs w:val="32"/>
        </w:rPr>
        <w:t>2023年度一般公共预算财政拨款支出</w:t>
      </w:r>
      <w:r>
        <w:rPr>
          <w:rFonts w:ascii="仿宋" w:hAnsi="仿宋" w:eastAsia="仿宋"/>
          <w:b/>
          <w:sz w:val="32"/>
          <w:szCs w:val="32"/>
        </w:rPr>
        <w:t>1084.94</w:t>
      </w:r>
      <w:r>
        <w:rPr>
          <w:rFonts w:hint="eastAsia" w:ascii="仿宋" w:hAnsi="仿宋" w:eastAsia="仿宋"/>
          <w:sz w:val="32"/>
          <w:szCs w:val="32"/>
        </w:rPr>
        <w:t>万元，占本年支出合计的</w:t>
      </w:r>
      <w:r>
        <w:rPr>
          <w:rFonts w:ascii="仿宋" w:hAnsi="仿宋" w:eastAsia="仿宋"/>
          <w:b/>
          <w:sz w:val="32"/>
          <w:szCs w:val="32"/>
        </w:rPr>
        <w:t>100</w:t>
      </w:r>
      <w:r>
        <w:rPr>
          <w:rFonts w:ascii="仿宋" w:hAnsi="仿宋" w:eastAsia="仿宋"/>
          <w:sz w:val="32"/>
          <w:szCs w:val="32"/>
        </w:rPr>
        <w:t>%</w:t>
      </w:r>
      <w:r>
        <w:rPr>
          <w:rFonts w:hint="eastAsia" w:ascii="仿宋" w:hAnsi="仿宋" w:eastAsia="仿宋"/>
          <w:sz w:val="32"/>
          <w:szCs w:val="32"/>
        </w:rPr>
        <w:t>。与2022年度相比，一般公共预算财政拨款支出增加</w:t>
      </w:r>
      <w:r>
        <w:rPr>
          <w:rFonts w:hint="eastAsia" w:ascii="仿宋" w:hAnsi="仿宋" w:eastAsia="仿宋"/>
          <w:b/>
          <w:bCs/>
          <w:sz w:val="32"/>
          <w:szCs w:val="32"/>
          <w:lang w:val="en-US" w:eastAsia="zh-CN"/>
        </w:rPr>
        <w:t>49.37</w:t>
      </w:r>
      <w:r>
        <w:rPr>
          <w:rFonts w:hint="eastAsia" w:ascii="仿宋" w:hAnsi="仿宋" w:eastAsia="仿宋"/>
          <w:sz w:val="32"/>
          <w:szCs w:val="32"/>
        </w:rPr>
        <w:t>万元，增</w:t>
      </w:r>
      <w:r>
        <w:rPr>
          <w:rFonts w:hint="eastAsia" w:ascii="仿宋" w:hAnsi="仿宋" w:eastAsia="仿宋"/>
          <w:color w:val="auto"/>
          <w:sz w:val="32"/>
          <w:szCs w:val="32"/>
        </w:rPr>
        <w:t>长</w:t>
      </w:r>
      <w:r>
        <w:rPr>
          <w:rFonts w:hint="eastAsia" w:ascii="仿宋" w:hAnsi="仿宋" w:eastAsia="仿宋"/>
          <w:b/>
          <w:bCs/>
          <w:color w:val="auto"/>
          <w:sz w:val="32"/>
          <w:szCs w:val="32"/>
          <w:lang w:val="en-US" w:eastAsia="zh-CN"/>
        </w:rPr>
        <w:t>4.7</w:t>
      </w:r>
      <w:r>
        <w:rPr>
          <w:rFonts w:ascii="仿宋" w:hAnsi="仿宋" w:eastAsia="仿宋"/>
          <w:b/>
          <w:bCs/>
          <w:color w:val="auto"/>
          <w:sz w:val="32"/>
          <w:szCs w:val="32"/>
        </w:rPr>
        <w:t>%</w:t>
      </w:r>
      <w:r>
        <w:rPr>
          <w:rFonts w:hint="eastAsia" w:ascii="仿宋" w:hAnsi="仿宋" w:eastAsia="仿宋"/>
          <w:sz w:val="32"/>
          <w:szCs w:val="32"/>
        </w:rPr>
        <w:t>。主要变动原因是</w:t>
      </w:r>
      <w:r>
        <w:rPr>
          <w:rFonts w:hint="eastAsia" w:ascii="仿宋" w:hAnsi="仿宋" w:eastAsia="仿宋"/>
          <w:sz w:val="32"/>
          <w:szCs w:val="32"/>
          <w:lang w:eastAsia="zh-CN"/>
        </w:rPr>
        <w:t>人员增加，工资调整，基本支出增加</w:t>
      </w:r>
      <w:r>
        <w:rPr>
          <w:rFonts w:hint="eastAsia" w:ascii="仿宋" w:hAnsi="仿宋" w:eastAsia="仿宋"/>
          <w:sz w:val="32"/>
          <w:szCs w:val="32"/>
        </w:rPr>
        <w:t>。</w:t>
      </w:r>
    </w:p>
    <w:p w14:paraId="293F39DF">
      <w:pPr>
        <w:spacing w:line="600" w:lineRule="exact"/>
        <w:ind w:firstLine="640" w:firstLineChars="200"/>
        <w:rPr>
          <w:rFonts w:ascii="仿宋" w:hAnsi="仿宋" w:eastAsia="仿宋"/>
          <w:b/>
          <w:sz w:val="32"/>
          <w:szCs w:val="32"/>
        </w:rPr>
      </w:pPr>
      <w:r>
        <w:rPr>
          <w:rFonts w:hint="eastAsia" w:ascii="仿宋" w:hAnsi="仿宋" w:eastAsia="仿宋"/>
          <w:sz w:val="32"/>
          <w:szCs w:val="32"/>
          <w:lang w:eastAsia="zh-CN"/>
        </w:rPr>
        <w:drawing>
          <wp:anchor distT="0" distB="0" distL="114300" distR="114300" simplePos="0" relativeHeight="251662336" behindDoc="0" locked="0" layoutInCell="1" allowOverlap="1">
            <wp:simplePos x="0" y="0"/>
            <wp:positionH relativeFrom="column">
              <wp:posOffset>12065</wp:posOffset>
            </wp:positionH>
            <wp:positionV relativeFrom="paragraph">
              <wp:posOffset>111760</wp:posOffset>
            </wp:positionV>
            <wp:extent cx="5006340" cy="2498725"/>
            <wp:effectExtent l="4445" t="4445" r="18415" b="11430"/>
            <wp:wrapTopAndBottom/>
            <wp:docPr id="6"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anchor>
        </w:drawing>
      </w:r>
      <w:bookmarkStart w:id="48" w:name="_Toc15377211"/>
      <w:r>
        <w:rPr>
          <w:rFonts w:hint="eastAsia" w:ascii="仿宋" w:hAnsi="仿宋" w:eastAsia="仿宋"/>
          <w:b/>
          <w:sz w:val="32"/>
          <w:szCs w:val="32"/>
        </w:rPr>
        <w:t>（二）一般公共预算财政拨款支出决算结构情况</w:t>
      </w:r>
      <w:bookmarkEnd w:id="48"/>
    </w:p>
    <w:p w14:paraId="17211492">
      <w:pPr>
        <w:spacing w:line="600" w:lineRule="exact"/>
        <w:ind w:firstLine="640"/>
        <w:rPr>
          <w:rFonts w:ascii="仿宋" w:hAnsi="仿宋" w:eastAsia="仿宋"/>
          <w:sz w:val="32"/>
          <w:szCs w:val="32"/>
        </w:rPr>
      </w:pPr>
      <w:r>
        <w:rPr>
          <w:rFonts w:hint="eastAsia" w:ascii="仿宋" w:hAnsi="仿宋" w:eastAsia="仿宋"/>
          <w:sz w:val="32"/>
          <w:szCs w:val="32"/>
        </w:rPr>
        <w:t>2023年度一般公共预算财政拨款支出</w:t>
      </w:r>
      <w:r>
        <w:rPr>
          <w:rFonts w:ascii="仿宋" w:hAnsi="仿宋" w:eastAsia="仿宋"/>
          <w:b/>
          <w:sz w:val="32"/>
          <w:szCs w:val="32"/>
        </w:rPr>
        <w:t>1084.94</w:t>
      </w:r>
      <w:r>
        <w:rPr>
          <w:rFonts w:hint="eastAsia" w:ascii="仿宋" w:hAnsi="仿宋" w:eastAsia="仿宋"/>
          <w:sz w:val="32"/>
          <w:szCs w:val="32"/>
        </w:rPr>
        <w:t>万元，主要用于以下方面</w:t>
      </w:r>
      <w:r>
        <w:rPr>
          <w:rFonts w:hint="eastAsia" w:ascii="仿宋" w:hAnsi="仿宋" w:eastAsia="仿宋"/>
          <w:sz w:val="32"/>
          <w:szCs w:val="32"/>
          <w:lang w:eastAsia="zh-CN"/>
        </w:rPr>
        <w:t>：</w:t>
      </w:r>
      <w:r>
        <w:rPr>
          <w:rFonts w:hint="eastAsia" w:ascii="仿宋" w:hAnsi="仿宋" w:eastAsia="仿宋"/>
          <w:b/>
          <w:sz w:val="32"/>
          <w:szCs w:val="32"/>
        </w:rPr>
        <w:t>一般公共服务</w:t>
      </w:r>
      <w:r>
        <w:rPr>
          <w:rFonts w:hint="eastAsia" w:ascii="仿宋" w:hAnsi="仿宋" w:eastAsia="仿宋"/>
          <w:b/>
          <w:bCs/>
          <w:sz w:val="32"/>
          <w:szCs w:val="32"/>
        </w:rPr>
        <w:t>支出</w:t>
      </w:r>
      <w:r>
        <w:rPr>
          <w:rFonts w:hint="eastAsia" w:ascii="仿宋" w:hAnsi="仿宋" w:eastAsia="仿宋"/>
          <w:b/>
          <w:bCs/>
          <w:sz w:val="32"/>
          <w:szCs w:val="32"/>
          <w:lang w:val="en-US" w:eastAsia="zh-CN"/>
        </w:rPr>
        <w:t>0</w:t>
      </w:r>
      <w:r>
        <w:rPr>
          <w:rFonts w:hint="eastAsia" w:ascii="仿宋" w:hAnsi="仿宋" w:eastAsia="仿宋"/>
          <w:sz w:val="32"/>
          <w:szCs w:val="32"/>
        </w:rPr>
        <w:t>万元，占</w:t>
      </w:r>
      <w:r>
        <w:rPr>
          <w:rFonts w:hint="eastAsia" w:ascii="仿宋" w:hAnsi="仿宋" w:eastAsia="仿宋"/>
          <w:b/>
          <w:bCs/>
          <w:sz w:val="32"/>
          <w:szCs w:val="32"/>
          <w:lang w:val="en-US" w:eastAsia="zh-CN"/>
        </w:rPr>
        <w:t>0</w:t>
      </w:r>
      <w:r>
        <w:rPr>
          <w:rFonts w:ascii="仿宋" w:hAnsi="仿宋" w:eastAsia="仿宋"/>
          <w:b/>
          <w:bCs/>
          <w:sz w:val="32"/>
          <w:szCs w:val="32"/>
        </w:rPr>
        <w:t>%</w:t>
      </w:r>
      <w:r>
        <w:rPr>
          <w:rFonts w:hint="eastAsia" w:ascii="仿宋" w:hAnsi="仿宋" w:eastAsia="仿宋"/>
          <w:sz w:val="32"/>
          <w:szCs w:val="32"/>
        </w:rPr>
        <w:t>；</w:t>
      </w:r>
      <w:r>
        <w:rPr>
          <w:rFonts w:hint="eastAsia" w:ascii="仿宋" w:hAnsi="仿宋" w:eastAsia="仿宋"/>
          <w:b/>
          <w:sz w:val="32"/>
          <w:szCs w:val="32"/>
        </w:rPr>
        <w:t>教育支出</w:t>
      </w:r>
      <w:r>
        <w:rPr>
          <w:rFonts w:hint="eastAsia" w:ascii="仿宋" w:hAnsi="仿宋" w:eastAsia="仿宋"/>
          <w:b/>
          <w:bCs/>
          <w:sz w:val="32"/>
          <w:szCs w:val="32"/>
          <w:lang w:val="en-US" w:eastAsia="zh-CN"/>
        </w:rPr>
        <w:t>0</w:t>
      </w:r>
      <w:r>
        <w:rPr>
          <w:rFonts w:hint="eastAsia" w:ascii="仿宋" w:hAnsi="仿宋" w:eastAsia="仿宋"/>
          <w:sz w:val="32"/>
          <w:szCs w:val="32"/>
        </w:rPr>
        <w:t>万元，占</w:t>
      </w:r>
      <w:r>
        <w:rPr>
          <w:rFonts w:hint="eastAsia" w:ascii="仿宋" w:hAnsi="仿宋" w:eastAsia="仿宋"/>
          <w:b/>
          <w:bCs/>
          <w:sz w:val="32"/>
          <w:szCs w:val="32"/>
          <w:lang w:val="en-US" w:eastAsia="zh-CN"/>
        </w:rPr>
        <w:t>0</w:t>
      </w:r>
      <w:r>
        <w:rPr>
          <w:rFonts w:ascii="仿宋" w:hAnsi="仿宋" w:eastAsia="仿宋"/>
          <w:b/>
          <w:bCs/>
          <w:sz w:val="32"/>
          <w:szCs w:val="32"/>
        </w:rPr>
        <w:t>%</w:t>
      </w:r>
      <w:r>
        <w:rPr>
          <w:rFonts w:hint="eastAsia" w:ascii="仿宋" w:hAnsi="仿宋" w:eastAsia="仿宋"/>
          <w:sz w:val="32"/>
          <w:szCs w:val="32"/>
        </w:rPr>
        <w:t>；</w:t>
      </w:r>
      <w:r>
        <w:rPr>
          <w:rFonts w:hint="eastAsia" w:ascii="仿宋" w:hAnsi="仿宋" w:eastAsia="仿宋"/>
          <w:b/>
          <w:sz w:val="32"/>
          <w:szCs w:val="32"/>
        </w:rPr>
        <w:t>科学技术</w:t>
      </w:r>
      <w:r>
        <w:rPr>
          <w:rFonts w:hint="eastAsia" w:ascii="仿宋" w:hAnsi="仿宋" w:eastAsia="仿宋"/>
          <w:b/>
          <w:bCs/>
          <w:sz w:val="32"/>
          <w:szCs w:val="32"/>
        </w:rPr>
        <w:t>支出</w:t>
      </w:r>
      <w:r>
        <w:rPr>
          <w:rFonts w:hint="eastAsia" w:ascii="仿宋" w:hAnsi="仿宋" w:eastAsia="仿宋"/>
          <w:b/>
          <w:bCs/>
          <w:sz w:val="32"/>
          <w:szCs w:val="32"/>
          <w:lang w:val="en-US" w:eastAsia="zh-CN"/>
        </w:rPr>
        <w:t>0</w:t>
      </w:r>
      <w:r>
        <w:rPr>
          <w:rFonts w:hint="eastAsia" w:ascii="仿宋" w:hAnsi="仿宋" w:eastAsia="仿宋"/>
          <w:sz w:val="32"/>
          <w:szCs w:val="32"/>
        </w:rPr>
        <w:t>万元，占</w:t>
      </w:r>
      <w:r>
        <w:rPr>
          <w:rFonts w:hint="eastAsia" w:ascii="仿宋" w:hAnsi="仿宋" w:eastAsia="仿宋"/>
          <w:b/>
          <w:bCs/>
          <w:sz w:val="32"/>
          <w:szCs w:val="32"/>
          <w:lang w:val="en-US" w:eastAsia="zh-CN"/>
        </w:rPr>
        <w:t>0</w:t>
      </w:r>
      <w:r>
        <w:rPr>
          <w:rFonts w:ascii="仿宋" w:hAnsi="仿宋" w:eastAsia="仿宋"/>
          <w:b/>
          <w:bCs/>
          <w:sz w:val="32"/>
          <w:szCs w:val="32"/>
        </w:rPr>
        <w:t>%</w:t>
      </w:r>
      <w:r>
        <w:rPr>
          <w:rFonts w:hint="eastAsia" w:ascii="仿宋" w:hAnsi="仿宋" w:eastAsia="仿宋"/>
          <w:sz w:val="32"/>
          <w:szCs w:val="32"/>
        </w:rPr>
        <w:t>；</w:t>
      </w:r>
      <w:r>
        <w:rPr>
          <w:rFonts w:hint="eastAsia" w:ascii="仿宋" w:hAnsi="仿宋" w:eastAsia="仿宋"/>
          <w:b/>
          <w:bCs/>
          <w:sz w:val="32"/>
          <w:szCs w:val="32"/>
        </w:rPr>
        <w:t>文化旅游体育与传媒支出</w:t>
      </w:r>
      <w:r>
        <w:rPr>
          <w:rFonts w:hint="eastAsia" w:ascii="仿宋" w:hAnsi="仿宋" w:eastAsia="仿宋"/>
          <w:b/>
          <w:bCs/>
          <w:sz w:val="32"/>
          <w:szCs w:val="32"/>
          <w:lang w:val="en-US" w:eastAsia="zh-CN"/>
        </w:rPr>
        <w:t>0</w:t>
      </w:r>
      <w:r>
        <w:rPr>
          <w:rFonts w:hint="eastAsia" w:ascii="仿宋" w:hAnsi="仿宋" w:eastAsia="仿宋"/>
          <w:b/>
          <w:bCs/>
          <w:sz w:val="32"/>
          <w:szCs w:val="32"/>
        </w:rPr>
        <w:t>万元，占</w:t>
      </w:r>
      <w:r>
        <w:rPr>
          <w:rFonts w:hint="eastAsia" w:ascii="仿宋" w:hAnsi="仿宋" w:eastAsia="仿宋"/>
          <w:b/>
          <w:bCs/>
          <w:sz w:val="32"/>
          <w:szCs w:val="32"/>
          <w:lang w:val="en-US" w:eastAsia="zh-CN"/>
        </w:rPr>
        <w:t>0</w:t>
      </w:r>
      <w:r>
        <w:rPr>
          <w:rFonts w:ascii="仿宋" w:hAnsi="仿宋" w:eastAsia="仿宋"/>
          <w:b/>
          <w:bCs/>
          <w:sz w:val="32"/>
          <w:szCs w:val="32"/>
        </w:rPr>
        <w:t>%</w:t>
      </w:r>
      <w:r>
        <w:rPr>
          <w:rFonts w:hint="eastAsia" w:ascii="仿宋" w:hAnsi="仿宋" w:eastAsia="仿宋"/>
          <w:sz w:val="32"/>
          <w:szCs w:val="32"/>
        </w:rPr>
        <w:t>；</w:t>
      </w:r>
      <w:r>
        <w:rPr>
          <w:rFonts w:hint="eastAsia" w:ascii="仿宋" w:hAnsi="仿宋" w:eastAsia="仿宋"/>
          <w:b/>
          <w:sz w:val="32"/>
          <w:szCs w:val="32"/>
        </w:rPr>
        <w:t>社会保障和就业</w:t>
      </w:r>
      <w:r>
        <w:rPr>
          <w:rFonts w:hint="eastAsia" w:ascii="仿宋" w:hAnsi="仿宋" w:eastAsia="仿宋"/>
          <w:b/>
          <w:bCs/>
          <w:sz w:val="32"/>
          <w:szCs w:val="32"/>
        </w:rPr>
        <w:t>支出</w:t>
      </w:r>
      <w:r>
        <w:rPr>
          <w:rFonts w:hint="eastAsia" w:ascii="仿宋" w:hAnsi="仿宋" w:eastAsia="仿宋"/>
          <w:b/>
          <w:bCs/>
          <w:sz w:val="32"/>
          <w:szCs w:val="32"/>
          <w:lang w:val="en-US" w:eastAsia="zh-CN"/>
        </w:rPr>
        <w:t>105.94</w:t>
      </w:r>
      <w:r>
        <w:rPr>
          <w:rFonts w:hint="eastAsia" w:ascii="仿宋" w:hAnsi="仿宋" w:eastAsia="仿宋"/>
          <w:sz w:val="32"/>
          <w:szCs w:val="32"/>
        </w:rPr>
        <w:t>万元，占</w:t>
      </w:r>
      <w:r>
        <w:rPr>
          <w:rFonts w:hint="eastAsia" w:ascii="仿宋" w:hAnsi="仿宋" w:eastAsia="仿宋"/>
          <w:b/>
          <w:bCs/>
          <w:sz w:val="32"/>
          <w:szCs w:val="32"/>
          <w:lang w:val="en-US" w:eastAsia="zh-CN"/>
        </w:rPr>
        <w:t>9.76</w:t>
      </w:r>
      <w:r>
        <w:rPr>
          <w:rFonts w:ascii="仿宋" w:hAnsi="仿宋" w:eastAsia="仿宋"/>
          <w:b/>
          <w:bCs/>
          <w:sz w:val="32"/>
          <w:szCs w:val="32"/>
        </w:rPr>
        <w:t>%</w:t>
      </w:r>
      <w:r>
        <w:rPr>
          <w:rFonts w:hint="eastAsia" w:ascii="仿宋" w:hAnsi="仿宋" w:eastAsia="仿宋"/>
          <w:sz w:val="32"/>
          <w:szCs w:val="32"/>
        </w:rPr>
        <w:t>；</w:t>
      </w:r>
      <w:r>
        <w:rPr>
          <w:rFonts w:hint="eastAsia" w:ascii="仿宋" w:hAnsi="仿宋" w:eastAsia="仿宋"/>
          <w:b/>
          <w:bCs/>
          <w:sz w:val="32"/>
          <w:szCs w:val="32"/>
        </w:rPr>
        <w:t>卫生健康支出</w:t>
      </w:r>
      <w:r>
        <w:rPr>
          <w:rFonts w:hint="eastAsia" w:ascii="仿宋" w:hAnsi="仿宋" w:eastAsia="仿宋"/>
          <w:b/>
          <w:bCs/>
          <w:sz w:val="32"/>
          <w:szCs w:val="32"/>
          <w:lang w:val="en-US" w:eastAsia="zh-CN"/>
        </w:rPr>
        <w:t>925.13</w:t>
      </w:r>
      <w:r>
        <w:rPr>
          <w:rFonts w:hint="eastAsia" w:ascii="仿宋" w:hAnsi="仿宋" w:eastAsia="仿宋"/>
          <w:sz w:val="32"/>
          <w:szCs w:val="32"/>
        </w:rPr>
        <w:t>万元，占</w:t>
      </w:r>
      <w:r>
        <w:rPr>
          <w:rFonts w:hint="eastAsia" w:ascii="仿宋" w:hAnsi="仿宋" w:eastAsia="仿宋"/>
          <w:b/>
          <w:bCs/>
          <w:sz w:val="32"/>
          <w:szCs w:val="32"/>
          <w:lang w:val="en-US" w:eastAsia="zh-CN"/>
        </w:rPr>
        <w:t>85.27</w:t>
      </w:r>
      <w:r>
        <w:rPr>
          <w:rFonts w:ascii="仿宋" w:hAnsi="仿宋" w:eastAsia="仿宋"/>
          <w:b/>
          <w:bCs/>
          <w:sz w:val="32"/>
          <w:szCs w:val="32"/>
        </w:rPr>
        <w:t>%</w:t>
      </w:r>
      <w:r>
        <w:rPr>
          <w:rFonts w:hint="eastAsia" w:ascii="仿宋" w:hAnsi="仿宋" w:eastAsia="仿宋"/>
          <w:sz w:val="32"/>
          <w:szCs w:val="32"/>
        </w:rPr>
        <w:t>；</w:t>
      </w:r>
      <w:r>
        <w:rPr>
          <w:rFonts w:hint="eastAsia" w:ascii="仿宋" w:hAnsi="仿宋" w:eastAsia="仿宋"/>
          <w:b/>
          <w:bCs/>
          <w:sz w:val="32"/>
          <w:szCs w:val="32"/>
        </w:rPr>
        <w:t>住房保障支出</w:t>
      </w:r>
      <w:r>
        <w:rPr>
          <w:rFonts w:hint="eastAsia" w:ascii="仿宋" w:hAnsi="仿宋" w:eastAsia="仿宋"/>
          <w:b/>
          <w:bCs/>
          <w:sz w:val="32"/>
          <w:szCs w:val="32"/>
          <w:lang w:val="en-US" w:eastAsia="zh-CN"/>
        </w:rPr>
        <w:t>53.87</w:t>
      </w:r>
      <w:r>
        <w:rPr>
          <w:rFonts w:hint="eastAsia" w:ascii="仿宋" w:hAnsi="仿宋" w:eastAsia="仿宋"/>
          <w:sz w:val="32"/>
          <w:szCs w:val="32"/>
        </w:rPr>
        <w:t>万元，占</w:t>
      </w:r>
      <w:r>
        <w:rPr>
          <w:rFonts w:hint="eastAsia" w:ascii="仿宋" w:hAnsi="仿宋" w:eastAsia="仿宋"/>
          <w:b/>
          <w:bCs/>
          <w:sz w:val="32"/>
          <w:szCs w:val="32"/>
          <w:lang w:val="en-US" w:eastAsia="zh-CN"/>
        </w:rPr>
        <w:t>4.96</w:t>
      </w:r>
      <w:r>
        <w:rPr>
          <w:rFonts w:ascii="仿宋" w:hAnsi="仿宋" w:eastAsia="仿宋"/>
          <w:b/>
          <w:bCs/>
          <w:sz w:val="32"/>
          <w:szCs w:val="32"/>
        </w:rPr>
        <w:t>%</w:t>
      </w:r>
      <w:r>
        <w:rPr>
          <w:rFonts w:hint="eastAsia" w:ascii="仿宋" w:hAnsi="仿宋" w:eastAsia="仿宋"/>
          <w:sz w:val="32"/>
          <w:szCs w:val="32"/>
        </w:rPr>
        <w:t>。</w:t>
      </w:r>
    </w:p>
    <w:p w14:paraId="02E90D12">
      <w:pPr>
        <w:spacing w:line="600" w:lineRule="exact"/>
        <w:ind w:firstLine="640" w:firstLineChars="200"/>
        <w:rPr>
          <w:rFonts w:ascii="仿宋" w:hAnsi="仿宋" w:eastAsia="仿宋"/>
          <w:b/>
          <w:sz w:val="32"/>
          <w:szCs w:val="32"/>
        </w:rPr>
      </w:pPr>
      <w:r>
        <w:rPr>
          <w:rFonts w:hint="eastAsia" w:ascii="仿宋" w:hAnsi="仿宋" w:eastAsia="仿宋"/>
          <w:sz w:val="32"/>
          <w:szCs w:val="32"/>
          <w:lang w:eastAsia="zh-CN"/>
        </w:rPr>
        <w:drawing>
          <wp:anchor distT="0" distB="0" distL="114300" distR="114300" simplePos="0" relativeHeight="251663360" behindDoc="0" locked="0" layoutInCell="1" allowOverlap="1">
            <wp:simplePos x="0" y="0"/>
            <wp:positionH relativeFrom="column">
              <wp:posOffset>-97155</wp:posOffset>
            </wp:positionH>
            <wp:positionV relativeFrom="paragraph">
              <wp:posOffset>211455</wp:posOffset>
            </wp:positionV>
            <wp:extent cx="4900930" cy="2953385"/>
            <wp:effectExtent l="4445" t="4445" r="9525" b="13970"/>
            <wp:wrapTopAndBottom/>
            <wp:docPr id="7"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anchor>
        </w:drawing>
      </w:r>
      <w:bookmarkStart w:id="49" w:name="_Toc15377212"/>
      <w:r>
        <w:rPr>
          <w:rFonts w:hint="eastAsia" w:ascii="仿宋" w:hAnsi="仿宋" w:eastAsia="仿宋"/>
          <w:b/>
          <w:sz w:val="32"/>
          <w:szCs w:val="32"/>
        </w:rPr>
        <w:t>（三）一般公共预算财政拨款支出决算具体情况</w:t>
      </w:r>
      <w:bookmarkEnd w:id="49"/>
    </w:p>
    <w:p w14:paraId="023BC7D5">
      <w:pPr>
        <w:spacing w:line="600" w:lineRule="exact"/>
        <w:ind w:firstLine="643" w:firstLineChars="200"/>
        <w:outlineLvl w:val="2"/>
        <w:rPr>
          <w:rFonts w:ascii="仿宋" w:hAnsi="仿宋" w:eastAsia="仿宋"/>
          <w:b/>
          <w:sz w:val="32"/>
          <w:szCs w:val="32"/>
        </w:rPr>
      </w:pPr>
      <w:bookmarkStart w:id="50" w:name="_Toc23290"/>
      <w:bookmarkStart w:id="51" w:name="_Toc15378460"/>
      <w:bookmarkStart w:id="52" w:name="_Toc15377444"/>
      <w:bookmarkStart w:id="53" w:name="_Toc16241"/>
      <w:bookmarkStart w:id="54" w:name="_Toc15377213"/>
      <w:r>
        <w:rPr>
          <w:rFonts w:hint="eastAsia" w:ascii="仿宋" w:hAnsi="仿宋" w:eastAsia="仿宋"/>
          <w:b/>
          <w:sz w:val="32"/>
          <w:szCs w:val="32"/>
        </w:rPr>
        <w:t>2023年度一般公共预算支出决算数为</w:t>
      </w:r>
      <w:r>
        <w:rPr>
          <w:rFonts w:ascii="仿宋" w:hAnsi="仿宋" w:eastAsia="仿宋"/>
          <w:b/>
          <w:sz w:val="32"/>
          <w:szCs w:val="32"/>
        </w:rPr>
        <w:t>1084.94</w:t>
      </w:r>
      <w:r>
        <w:rPr>
          <w:rFonts w:hint="eastAsia" w:ascii="仿宋" w:hAnsi="仿宋" w:eastAsia="仿宋"/>
          <w:sz w:val="32"/>
          <w:szCs w:val="32"/>
        </w:rPr>
        <w:t>，</w:t>
      </w:r>
      <w:r>
        <w:rPr>
          <w:rStyle w:val="19"/>
          <w:rFonts w:hint="eastAsia" w:ascii="仿宋" w:hAnsi="仿宋" w:eastAsia="仿宋"/>
          <w:bCs/>
          <w:sz w:val="32"/>
          <w:szCs w:val="32"/>
        </w:rPr>
        <w:t>完成预算</w:t>
      </w:r>
      <w:r>
        <w:rPr>
          <w:rStyle w:val="19"/>
          <w:rFonts w:hint="eastAsia" w:ascii="仿宋" w:hAnsi="仿宋" w:eastAsia="仿宋"/>
          <w:bCs/>
          <w:sz w:val="32"/>
          <w:szCs w:val="32"/>
          <w:lang w:val="en-US" w:eastAsia="zh-CN"/>
        </w:rPr>
        <w:t>100</w:t>
      </w:r>
      <w:r>
        <w:rPr>
          <w:rStyle w:val="19"/>
          <w:rFonts w:ascii="仿宋" w:hAnsi="仿宋" w:eastAsia="仿宋"/>
          <w:bCs/>
          <w:sz w:val="32"/>
          <w:szCs w:val="32"/>
        </w:rPr>
        <w:t>%</w:t>
      </w:r>
      <w:r>
        <w:rPr>
          <w:rStyle w:val="19"/>
          <w:rFonts w:hint="eastAsia" w:ascii="仿宋" w:hAnsi="仿宋" w:eastAsia="仿宋"/>
          <w:bCs/>
          <w:sz w:val="32"/>
          <w:szCs w:val="32"/>
        </w:rPr>
        <w:t>。其中：</w:t>
      </w:r>
      <w:bookmarkEnd w:id="50"/>
      <w:bookmarkEnd w:id="51"/>
      <w:bookmarkEnd w:id="52"/>
      <w:bookmarkEnd w:id="53"/>
      <w:bookmarkEnd w:id="54"/>
    </w:p>
    <w:p w14:paraId="1B62984E">
      <w:pPr>
        <w:numPr>
          <w:ilvl w:val="0"/>
          <w:numId w:val="4"/>
        </w:numPr>
        <w:spacing w:line="600" w:lineRule="exact"/>
        <w:ind w:left="0" w:leftChars="0" w:firstLine="400" w:firstLineChars="0"/>
        <w:jc w:val="both"/>
        <w:rPr>
          <w:rFonts w:hint="eastAsia" w:ascii="仿宋" w:hAnsi="仿宋" w:eastAsia="仿宋"/>
          <w:color w:val="000000"/>
          <w:sz w:val="32"/>
          <w:szCs w:val="32"/>
        </w:rPr>
      </w:pPr>
      <w:r>
        <w:rPr>
          <w:rFonts w:hint="eastAsia" w:ascii="仿宋" w:hAnsi="仿宋" w:eastAsia="仿宋"/>
          <w:b/>
          <w:bCs/>
          <w:color w:val="000000"/>
          <w:sz w:val="32"/>
          <w:szCs w:val="32"/>
        </w:rPr>
        <w:t>社会保障和就业支出（208）行政事业单位养老支出（20805）机关事业单位基本养老保险缴费支出（2080505）</w:t>
      </w:r>
      <w:r>
        <w:rPr>
          <w:rFonts w:hint="eastAsia" w:ascii="仿宋" w:hAnsi="仿宋" w:eastAsia="仿宋"/>
          <w:color w:val="000000"/>
          <w:sz w:val="32"/>
          <w:szCs w:val="32"/>
          <w:lang w:eastAsia="zh-CN"/>
        </w:rPr>
        <w:t>：</w:t>
      </w:r>
      <w:r>
        <w:rPr>
          <w:rFonts w:hint="eastAsia" w:ascii="仿宋" w:hAnsi="仿宋" w:eastAsia="仿宋"/>
          <w:color w:val="000000"/>
          <w:sz w:val="32"/>
          <w:szCs w:val="32"/>
        </w:rPr>
        <w:t>支出决算</w:t>
      </w:r>
      <w:r>
        <w:rPr>
          <w:rFonts w:hint="eastAsia" w:ascii="仿宋" w:hAnsi="仿宋" w:eastAsia="仿宋"/>
          <w:color w:val="000000"/>
          <w:sz w:val="32"/>
          <w:szCs w:val="32"/>
          <w:lang w:val="en-US" w:eastAsia="zh-CN"/>
        </w:rPr>
        <w:t>69.35</w:t>
      </w:r>
      <w:r>
        <w:rPr>
          <w:rFonts w:hint="eastAsia" w:ascii="仿宋" w:hAnsi="仿宋" w:eastAsia="仿宋"/>
          <w:color w:val="000000"/>
          <w:sz w:val="32"/>
          <w:szCs w:val="32"/>
        </w:rPr>
        <w:t>万元，完成预算100%。</w:t>
      </w:r>
    </w:p>
    <w:p w14:paraId="671ABFC2">
      <w:pPr>
        <w:numPr>
          <w:ilvl w:val="0"/>
          <w:numId w:val="4"/>
        </w:numPr>
        <w:spacing w:line="600" w:lineRule="exact"/>
        <w:ind w:left="0" w:leftChars="0" w:firstLine="400" w:firstLineChars="0"/>
        <w:jc w:val="both"/>
        <w:rPr>
          <w:rFonts w:hint="eastAsia" w:ascii="仿宋" w:hAnsi="仿宋" w:eastAsia="仿宋"/>
          <w:color w:val="000000"/>
          <w:sz w:val="32"/>
          <w:szCs w:val="32"/>
        </w:rPr>
      </w:pPr>
      <w:r>
        <w:rPr>
          <w:rFonts w:hint="eastAsia" w:ascii="仿宋" w:hAnsi="仿宋" w:eastAsia="仿宋"/>
          <w:b/>
          <w:bCs/>
          <w:color w:val="000000"/>
          <w:sz w:val="32"/>
          <w:szCs w:val="32"/>
        </w:rPr>
        <w:t>社会保障和就业支出（208）行政事业单位养老支出（20805）机关事业单位职业年金缴费支出（2080506）</w:t>
      </w:r>
      <w:r>
        <w:rPr>
          <w:rFonts w:hint="eastAsia" w:ascii="仿宋" w:hAnsi="仿宋" w:eastAsia="仿宋"/>
          <w:color w:val="000000"/>
          <w:sz w:val="32"/>
          <w:szCs w:val="32"/>
          <w:lang w:eastAsia="zh-CN"/>
        </w:rPr>
        <w:t>：</w:t>
      </w:r>
      <w:r>
        <w:rPr>
          <w:rFonts w:hint="eastAsia" w:ascii="仿宋" w:hAnsi="仿宋" w:eastAsia="仿宋"/>
          <w:color w:val="000000"/>
          <w:sz w:val="32"/>
          <w:szCs w:val="32"/>
        </w:rPr>
        <w:t>支出决算</w:t>
      </w:r>
      <w:r>
        <w:rPr>
          <w:rFonts w:hint="eastAsia" w:ascii="仿宋" w:hAnsi="仿宋" w:eastAsia="仿宋"/>
          <w:color w:val="000000"/>
          <w:sz w:val="32"/>
          <w:szCs w:val="32"/>
          <w:lang w:val="en-US" w:eastAsia="zh-CN"/>
        </w:rPr>
        <w:t>36.59</w:t>
      </w:r>
      <w:r>
        <w:rPr>
          <w:rFonts w:hint="eastAsia" w:ascii="仿宋" w:hAnsi="仿宋" w:eastAsia="仿宋"/>
          <w:color w:val="000000"/>
          <w:sz w:val="32"/>
          <w:szCs w:val="32"/>
        </w:rPr>
        <w:t>万元，完成预算100%。</w:t>
      </w:r>
    </w:p>
    <w:p w14:paraId="4DD9B618">
      <w:pPr>
        <w:numPr>
          <w:ilvl w:val="0"/>
          <w:numId w:val="4"/>
        </w:numPr>
        <w:spacing w:line="600" w:lineRule="exact"/>
        <w:ind w:left="0" w:leftChars="0" w:firstLine="400" w:firstLineChars="0"/>
        <w:jc w:val="both"/>
        <w:rPr>
          <w:rFonts w:hint="eastAsia" w:ascii="仿宋" w:hAnsi="仿宋" w:eastAsia="仿宋"/>
          <w:color w:val="000000"/>
          <w:sz w:val="32"/>
          <w:szCs w:val="32"/>
        </w:rPr>
      </w:pPr>
      <w:r>
        <w:rPr>
          <w:rFonts w:hint="eastAsia" w:ascii="仿宋" w:hAnsi="仿宋" w:eastAsia="仿宋"/>
          <w:b/>
          <w:bCs/>
          <w:color w:val="000000"/>
          <w:sz w:val="32"/>
          <w:szCs w:val="32"/>
        </w:rPr>
        <w:t>卫生健康支出（210）公共卫生（21004）疾病预防控制机构（2100401）</w:t>
      </w:r>
      <w:r>
        <w:rPr>
          <w:rFonts w:hint="eastAsia" w:ascii="仿宋" w:hAnsi="仿宋" w:eastAsia="仿宋"/>
          <w:color w:val="000000"/>
          <w:sz w:val="32"/>
          <w:szCs w:val="32"/>
          <w:lang w:eastAsia="zh-CN"/>
        </w:rPr>
        <w:t>：</w:t>
      </w:r>
      <w:r>
        <w:rPr>
          <w:rFonts w:hint="eastAsia" w:ascii="仿宋" w:hAnsi="仿宋" w:eastAsia="仿宋"/>
          <w:color w:val="000000"/>
          <w:sz w:val="32"/>
          <w:szCs w:val="32"/>
        </w:rPr>
        <w:t>支出决算</w:t>
      </w:r>
      <w:r>
        <w:rPr>
          <w:rFonts w:hint="eastAsia" w:ascii="仿宋" w:hAnsi="仿宋" w:eastAsia="仿宋"/>
          <w:color w:val="000000"/>
          <w:sz w:val="32"/>
          <w:szCs w:val="32"/>
          <w:lang w:val="en-US" w:eastAsia="zh-CN"/>
        </w:rPr>
        <w:t>557.83</w:t>
      </w:r>
      <w:r>
        <w:rPr>
          <w:rFonts w:hint="eastAsia" w:ascii="仿宋" w:hAnsi="仿宋" w:eastAsia="仿宋"/>
          <w:color w:val="000000"/>
          <w:sz w:val="32"/>
          <w:szCs w:val="32"/>
        </w:rPr>
        <w:t>万元，完成预算100%。</w:t>
      </w:r>
    </w:p>
    <w:p w14:paraId="2544E725">
      <w:pPr>
        <w:numPr>
          <w:ilvl w:val="0"/>
          <w:numId w:val="4"/>
        </w:numPr>
        <w:spacing w:line="600" w:lineRule="exact"/>
        <w:ind w:left="0" w:leftChars="0" w:firstLine="400" w:firstLineChars="0"/>
        <w:jc w:val="both"/>
        <w:rPr>
          <w:rFonts w:hint="eastAsia" w:ascii="仿宋" w:hAnsi="仿宋" w:eastAsia="仿宋"/>
          <w:color w:val="000000"/>
          <w:sz w:val="32"/>
          <w:szCs w:val="32"/>
        </w:rPr>
      </w:pPr>
      <w:r>
        <w:rPr>
          <w:rFonts w:hint="eastAsia" w:ascii="仿宋" w:hAnsi="仿宋" w:eastAsia="仿宋"/>
          <w:b/>
          <w:bCs/>
          <w:color w:val="000000"/>
          <w:sz w:val="32"/>
          <w:szCs w:val="32"/>
        </w:rPr>
        <w:t>卫生健康支出（210）公共卫生（21004）基本公共卫生服务（2100408）</w:t>
      </w:r>
      <w:r>
        <w:rPr>
          <w:rFonts w:hint="eastAsia" w:ascii="仿宋" w:hAnsi="仿宋" w:eastAsia="仿宋"/>
          <w:color w:val="000000"/>
          <w:sz w:val="32"/>
          <w:szCs w:val="32"/>
          <w:lang w:eastAsia="zh-CN"/>
        </w:rPr>
        <w:t>：</w:t>
      </w:r>
      <w:r>
        <w:rPr>
          <w:rFonts w:hint="eastAsia" w:ascii="仿宋" w:hAnsi="仿宋" w:eastAsia="仿宋"/>
          <w:color w:val="000000"/>
          <w:sz w:val="32"/>
          <w:szCs w:val="32"/>
        </w:rPr>
        <w:t>支出决算</w:t>
      </w:r>
      <w:r>
        <w:rPr>
          <w:rFonts w:hint="eastAsia" w:ascii="仿宋" w:hAnsi="仿宋" w:eastAsia="仿宋"/>
          <w:color w:val="000000"/>
          <w:sz w:val="32"/>
          <w:szCs w:val="32"/>
          <w:lang w:val="en-US" w:eastAsia="zh-CN"/>
        </w:rPr>
        <w:t>62.47</w:t>
      </w:r>
      <w:r>
        <w:rPr>
          <w:rFonts w:hint="eastAsia" w:ascii="仿宋" w:hAnsi="仿宋" w:eastAsia="仿宋"/>
          <w:color w:val="000000"/>
          <w:sz w:val="32"/>
          <w:szCs w:val="32"/>
        </w:rPr>
        <w:t>万元，完成预算100%。</w:t>
      </w:r>
    </w:p>
    <w:p w14:paraId="4D820764">
      <w:pPr>
        <w:numPr>
          <w:ilvl w:val="0"/>
          <w:numId w:val="4"/>
        </w:numPr>
        <w:spacing w:line="600" w:lineRule="exact"/>
        <w:ind w:left="0" w:leftChars="0" w:firstLine="400" w:firstLineChars="0"/>
        <w:jc w:val="both"/>
        <w:rPr>
          <w:rFonts w:hint="eastAsia" w:ascii="仿宋" w:hAnsi="仿宋" w:eastAsia="仿宋"/>
          <w:color w:val="000000"/>
          <w:sz w:val="32"/>
          <w:szCs w:val="32"/>
        </w:rPr>
      </w:pPr>
      <w:r>
        <w:rPr>
          <w:rFonts w:hint="eastAsia" w:ascii="仿宋" w:hAnsi="仿宋" w:eastAsia="仿宋"/>
          <w:b/>
          <w:bCs/>
          <w:color w:val="000000"/>
          <w:sz w:val="32"/>
          <w:szCs w:val="32"/>
        </w:rPr>
        <w:t>卫生健康支出（210）公共卫生（21004）重大公共卫生服务（2100409）</w:t>
      </w:r>
      <w:r>
        <w:rPr>
          <w:rFonts w:hint="eastAsia" w:ascii="仿宋" w:hAnsi="仿宋" w:eastAsia="仿宋"/>
          <w:color w:val="000000"/>
          <w:sz w:val="32"/>
          <w:szCs w:val="32"/>
          <w:lang w:eastAsia="zh-CN"/>
        </w:rPr>
        <w:t>：</w:t>
      </w:r>
      <w:r>
        <w:rPr>
          <w:rFonts w:hint="eastAsia" w:ascii="仿宋" w:hAnsi="仿宋" w:eastAsia="仿宋"/>
          <w:color w:val="000000"/>
          <w:sz w:val="32"/>
          <w:szCs w:val="32"/>
        </w:rPr>
        <w:t>支出决算</w:t>
      </w:r>
      <w:r>
        <w:rPr>
          <w:rFonts w:hint="eastAsia" w:ascii="仿宋" w:hAnsi="仿宋" w:eastAsia="仿宋"/>
          <w:color w:val="000000"/>
          <w:sz w:val="32"/>
          <w:szCs w:val="32"/>
          <w:lang w:val="en-US" w:eastAsia="zh-CN"/>
        </w:rPr>
        <w:t>210.05</w:t>
      </w:r>
      <w:r>
        <w:rPr>
          <w:rFonts w:hint="eastAsia" w:ascii="仿宋" w:hAnsi="仿宋" w:eastAsia="仿宋"/>
          <w:color w:val="000000"/>
          <w:sz w:val="32"/>
          <w:szCs w:val="32"/>
        </w:rPr>
        <w:t>万元，完成预算100%。</w:t>
      </w:r>
    </w:p>
    <w:p w14:paraId="4CBB8DB7">
      <w:pPr>
        <w:numPr>
          <w:ilvl w:val="0"/>
          <w:numId w:val="4"/>
        </w:numPr>
        <w:spacing w:line="600" w:lineRule="exact"/>
        <w:ind w:left="0" w:leftChars="0" w:firstLine="400" w:firstLineChars="0"/>
        <w:jc w:val="both"/>
        <w:rPr>
          <w:rFonts w:hint="eastAsia" w:ascii="仿宋" w:hAnsi="仿宋" w:eastAsia="仿宋"/>
          <w:color w:val="000000"/>
          <w:sz w:val="32"/>
          <w:szCs w:val="32"/>
        </w:rPr>
      </w:pPr>
      <w:r>
        <w:rPr>
          <w:rFonts w:hint="eastAsia" w:ascii="仿宋" w:hAnsi="仿宋" w:eastAsia="仿宋"/>
          <w:b/>
          <w:bCs/>
          <w:color w:val="000000"/>
          <w:sz w:val="32"/>
          <w:szCs w:val="32"/>
        </w:rPr>
        <w:t>卫生健康支出（210）公共卫生（21004）其他公共卫生支出（2100499）</w:t>
      </w:r>
      <w:r>
        <w:rPr>
          <w:rFonts w:hint="eastAsia" w:ascii="仿宋" w:hAnsi="仿宋" w:eastAsia="仿宋"/>
          <w:color w:val="000000"/>
          <w:sz w:val="32"/>
          <w:szCs w:val="32"/>
          <w:lang w:eastAsia="zh-CN"/>
        </w:rPr>
        <w:t>：</w:t>
      </w:r>
      <w:r>
        <w:rPr>
          <w:rFonts w:hint="eastAsia" w:ascii="仿宋" w:hAnsi="仿宋" w:eastAsia="仿宋"/>
          <w:color w:val="000000"/>
          <w:sz w:val="32"/>
          <w:szCs w:val="32"/>
        </w:rPr>
        <w:t>支出决算</w:t>
      </w:r>
      <w:r>
        <w:rPr>
          <w:rFonts w:hint="eastAsia" w:ascii="仿宋" w:hAnsi="仿宋" w:eastAsia="仿宋"/>
          <w:color w:val="000000"/>
          <w:sz w:val="32"/>
          <w:szCs w:val="32"/>
          <w:lang w:val="en-US" w:eastAsia="zh-CN"/>
        </w:rPr>
        <w:t>54.07</w:t>
      </w:r>
      <w:r>
        <w:rPr>
          <w:rFonts w:hint="eastAsia" w:ascii="仿宋" w:hAnsi="仿宋" w:eastAsia="仿宋"/>
          <w:color w:val="000000"/>
          <w:sz w:val="32"/>
          <w:szCs w:val="32"/>
        </w:rPr>
        <w:t>万元，完成预算100%。</w:t>
      </w:r>
    </w:p>
    <w:p w14:paraId="39ED9890">
      <w:pPr>
        <w:numPr>
          <w:ilvl w:val="0"/>
          <w:numId w:val="4"/>
        </w:numPr>
        <w:spacing w:line="600" w:lineRule="exact"/>
        <w:ind w:left="0" w:leftChars="0" w:firstLine="400" w:firstLineChars="0"/>
        <w:jc w:val="both"/>
        <w:rPr>
          <w:rFonts w:ascii="仿宋" w:hAnsi="仿宋" w:eastAsia="仿宋"/>
          <w:b/>
          <w:sz w:val="32"/>
          <w:szCs w:val="32"/>
        </w:rPr>
      </w:pPr>
      <w:r>
        <w:rPr>
          <w:rFonts w:hint="eastAsia" w:ascii="仿宋" w:hAnsi="仿宋" w:eastAsia="仿宋"/>
          <w:b/>
          <w:bCs/>
          <w:color w:val="000000"/>
          <w:sz w:val="32"/>
          <w:szCs w:val="32"/>
        </w:rPr>
        <w:t>卫生健康支出（210）行政事业单位医疗（21011）事业单位医疗（2101102）</w:t>
      </w:r>
      <w:r>
        <w:rPr>
          <w:rFonts w:hint="eastAsia" w:ascii="仿宋" w:hAnsi="仿宋" w:eastAsia="仿宋"/>
          <w:color w:val="000000"/>
          <w:sz w:val="32"/>
          <w:szCs w:val="32"/>
          <w:lang w:eastAsia="zh-CN"/>
        </w:rPr>
        <w:t>：</w:t>
      </w:r>
      <w:r>
        <w:rPr>
          <w:rFonts w:hint="eastAsia" w:ascii="仿宋" w:hAnsi="仿宋" w:eastAsia="仿宋"/>
          <w:color w:val="000000"/>
          <w:sz w:val="32"/>
          <w:szCs w:val="32"/>
        </w:rPr>
        <w:t>支出决算</w:t>
      </w:r>
      <w:r>
        <w:rPr>
          <w:rFonts w:hint="eastAsia" w:ascii="仿宋" w:hAnsi="仿宋" w:eastAsia="仿宋"/>
          <w:color w:val="000000"/>
          <w:sz w:val="32"/>
          <w:szCs w:val="32"/>
          <w:lang w:val="en-US" w:eastAsia="zh-CN"/>
        </w:rPr>
        <w:t>29.16</w:t>
      </w:r>
      <w:r>
        <w:rPr>
          <w:rFonts w:hint="eastAsia" w:ascii="仿宋" w:hAnsi="仿宋" w:eastAsia="仿宋"/>
          <w:color w:val="000000"/>
          <w:sz w:val="32"/>
          <w:szCs w:val="32"/>
        </w:rPr>
        <w:t>万元，完成预算100%。</w:t>
      </w:r>
    </w:p>
    <w:p w14:paraId="555A83E7">
      <w:pPr>
        <w:numPr>
          <w:ilvl w:val="0"/>
          <w:numId w:val="4"/>
        </w:numPr>
        <w:spacing w:line="600" w:lineRule="exact"/>
        <w:ind w:left="0" w:leftChars="0" w:firstLine="400" w:firstLineChars="0"/>
        <w:jc w:val="both"/>
        <w:rPr>
          <w:rFonts w:ascii="仿宋" w:hAnsi="仿宋" w:eastAsia="仿宋"/>
          <w:b/>
          <w:sz w:val="32"/>
          <w:szCs w:val="32"/>
        </w:rPr>
      </w:pPr>
      <w:r>
        <w:rPr>
          <w:rFonts w:hint="eastAsia" w:ascii="仿宋" w:hAnsi="仿宋" w:eastAsia="仿宋"/>
          <w:b/>
          <w:bCs/>
          <w:color w:val="000000"/>
          <w:sz w:val="32"/>
          <w:szCs w:val="32"/>
        </w:rPr>
        <w:t>卫生健康支出（210）行政事业单位医疗（21011）</w:t>
      </w:r>
      <w:r>
        <w:rPr>
          <w:rFonts w:hint="eastAsia" w:ascii="仿宋" w:hAnsi="仿宋" w:eastAsia="仿宋"/>
          <w:b/>
          <w:bCs/>
          <w:color w:val="000000"/>
          <w:sz w:val="32"/>
          <w:szCs w:val="32"/>
          <w:lang w:eastAsia="zh-CN"/>
        </w:rPr>
        <w:t>其他行政</w:t>
      </w:r>
      <w:r>
        <w:rPr>
          <w:rFonts w:hint="eastAsia" w:ascii="仿宋" w:hAnsi="仿宋" w:eastAsia="仿宋"/>
          <w:b/>
          <w:bCs/>
          <w:color w:val="000000"/>
          <w:sz w:val="32"/>
          <w:szCs w:val="32"/>
        </w:rPr>
        <w:t>事业单位医疗（21011</w:t>
      </w:r>
      <w:r>
        <w:rPr>
          <w:rFonts w:hint="eastAsia" w:ascii="仿宋" w:hAnsi="仿宋" w:eastAsia="仿宋"/>
          <w:b/>
          <w:bCs/>
          <w:color w:val="000000"/>
          <w:sz w:val="32"/>
          <w:szCs w:val="32"/>
          <w:lang w:val="en-US" w:eastAsia="zh-CN"/>
        </w:rPr>
        <w:t>99</w:t>
      </w:r>
      <w:r>
        <w:rPr>
          <w:rFonts w:hint="eastAsia" w:ascii="仿宋" w:hAnsi="仿宋" w:eastAsia="仿宋"/>
          <w:b/>
          <w:bCs/>
          <w:color w:val="000000"/>
          <w:sz w:val="32"/>
          <w:szCs w:val="32"/>
        </w:rPr>
        <w:t>）</w:t>
      </w:r>
      <w:r>
        <w:rPr>
          <w:rFonts w:hint="eastAsia" w:ascii="仿宋" w:hAnsi="仿宋" w:eastAsia="仿宋"/>
          <w:color w:val="000000"/>
          <w:sz w:val="32"/>
          <w:szCs w:val="32"/>
          <w:lang w:eastAsia="zh-CN"/>
        </w:rPr>
        <w:t>：</w:t>
      </w:r>
      <w:r>
        <w:rPr>
          <w:rFonts w:hint="eastAsia" w:ascii="仿宋" w:hAnsi="仿宋" w:eastAsia="仿宋"/>
          <w:color w:val="000000"/>
          <w:sz w:val="32"/>
          <w:szCs w:val="32"/>
        </w:rPr>
        <w:t>支出决算</w:t>
      </w:r>
      <w:r>
        <w:rPr>
          <w:rFonts w:hint="eastAsia" w:ascii="仿宋" w:hAnsi="仿宋" w:eastAsia="仿宋"/>
          <w:color w:val="000000"/>
          <w:sz w:val="32"/>
          <w:szCs w:val="32"/>
          <w:lang w:val="en-US" w:eastAsia="zh-CN"/>
        </w:rPr>
        <w:t>11.55</w:t>
      </w:r>
      <w:r>
        <w:rPr>
          <w:rFonts w:hint="eastAsia" w:ascii="仿宋" w:hAnsi="仿宋" w:eastAsia="仿宋"/>
          <w:color w:val="000000"/>
          <w:sz w:val="32"/>
          <w:szCs w:val="32"/>
        </w:rPr>
        <w:t>万元，完成预算100%。</w:t>
      </w:r>
    </w:p>
    <w:p w14:paraId="44A79B8E">
      <w:pPr>
        <w:numPr>
          <w:ilvl w:val="0"/>
          <w:numId w:val="4"/>
        </w:numPr>
        <w:spacing w:line="600" w:lineRule="exact"/>
        <w:ind w:left="0" w:leftChars="0" w:firstLine="400" w:firstLineChars="0"/>
        <w:jc w:val="both"/>
        <w:rPr>
          <w:rFonts w:ascii="仿宋" w:hAnsi="仿宋" w:eastAsia="仿宋"/>
          <w:b/>
          <w:sz w:val="32"/>
          <w:szCs w:val="32"/>
        </w:rPr>
      </w:pPr>
      <w:r>
        <w:rPr>
          <w:rFonts w:hint="eastAsia" w:ascii="仿宋" w:hAnsi="仿宋" w:eastAsia="仿宋"/>
          <w:b/>
          <w:bCs/>
          <w:color w:val="000000"/>
          <w:sz w:val="32"/>
          <w:szCs w:val="32"/>
        </w:rPr>
        <w:t>住房保障支出（221）住房改革支出（22102）住房公积金（2210201）</w:t>
      </w:r>
      <w:r>
        <w:rPr>
          <w:rFonts w:hint="eastAsia" w:ascii="仿宋" w:hAnsi="仿宋" w:eastAsia="仿宋"/>
          <w:color w:val="000000"/>
          <w:sz w:val="32"/>
          <w:szCs w:val="32"/>
          <w:lang w:eastAsia="zh-CN"/>
        </w:rPr>
        <w:t>：</w:t>
      </w:r>
      <w:r>
        <w:rPr>
          <w:rFonts w:hint="eastAsia" w:ascii="仿宋" w:hAnsi="仿宋" w:eastAsia="仿宋"/>
          <w:color w:val="000000"/>
          <w:sz w:val="32"/>
          <w:szCs w:val="32"/>
        </w:rPr>
        <w:t>支出决算</w:t>
      </w:r>
      <w:r>
        <w:rPr>
          <w:rFonts w:hint="eastAsia" w:ascii="仿宋" w:hAnsi="仿宋" w:eastAsia="仿宋"/>
          <w:color w:val="000000"/>
          <w:sz w:val="32"/>
          <w:szCs w:val="32"/>
          <w:lang w:val="en-US" w:eastAsia="zh-CN"/>
        </w:rPr>
        <w:t>53.87</w:t>
      </w:r>
      <w:r>
        <w:rPr>
          <w:rFonts w:hint="eastAsia" w:ascii="仿宋" w:hAnsi="仿宋" w:eastAsia="仿宋"/>
          <w:color w:val="000000"/>
          <w:sz w:val="32"/>
          <w:szCs w:val="32"/>
        </w:rPr>
        <w:t>万元，完成预算100%。</w:t>
      </w:r>
    </w:p>
    <w:p w14:paraId="08CBD4F5">
      <w:pPr>
        <w:tabs>
          <w:tab w:val="right" w:pos="8306"/>
        </w:tabs>
        <w:spacing w:line="600" w:lineRule="exact"/>
        <w:ind w:firstLine="640"/>
        <w:outlineLvl w:val="1"/>
        <w:rPr>
          <w:rStyle w:val="31"/>
        </w:rPr>
      </w:pPr>
      <w:bookmarkStart w:id="55" w:name="_Toc15377214"/>
      <w:bookmarkStart w:id="56" w:name="_Toc15396608"/>
      <w:bookmarkStart w:id="57" w:name="_Toc19917"/>
      <w:r>
        <w:rPr>
          <w:rFonts w:hint="eastAsia" w:ascii="黑体" w:eastAsia="黑体"/>
          <w:sz w:val="32"/>
          <w:szCs w:val="32"/>
        </w:rPr>
        <w:t>六</w:t>
      </w:r>
      <w:r>
        <w:rPr>
          <w:rFonts w:hint="eastAsia" w:ascii="黑体" w:eastAsia="黑体"/>
          <w:b/>
          <w:sz w:val="32"/>
          <w:szCs w:val="32"/>
        </w:rPr>
        <w:t>、</w:t>
      </w:r>
      <w:r>
        <w:rPr>
          <w:rFonts w:hint="eastAsia" w:ascii="黑体" w:hAnsi="黑体" w:eastAsia="黑体"/>
          <w:b/>
          <w:sz w:val="32"/>
          <w:szCs w:val="32"/>
        </w:rPr>
        <w:t>一</w:t>
      </w:r>
      <w:r>
        <w:rPr>
          <w:rStyle w:val="31"/>
          <w:rFonts w:hint="eastAsia" w:ascii="黑体" w:hAnsi="黑体" w:eastAsia="黑体"/>
          <w:b w:val="0"/>
        </w:rPr>
        <w:t>般公共预算财政拨款基本支出决算情况说明</w:t>
      </w:r>
      <w:bookmarkEnd w:id="55"/>
      <w:bookmarkEnd w:id="56"/>
      <w:bookmarkEnd w:id="57"/>
      <w:r>
        <w:rPr>
          <w:rStyle w:val="31"/>
          <w:rFonts w:ascii="黑体" w:hAnsi="黑体" w:eastAsia="黑体"/>
          <w:b w:val="0"/>
        </w:rPr>
        <w:tab/>
      </w:r>
    </w:p>
    <w:p w14:paraId="183FF15D">
      <w:pPr>
        <w:spacing w:line="600" w:lineRule="exact"/>
        <w:ind w:firstLine="645"/>
        <w:rPr>
          <w:rFonts w:ascii="仿宋" w:hAnsi="仿宋" w:eastAsia="仿宋"/>
          <w:sz w:val="32"/>
          <w:szCs w:val="32"/>
        </w:rPr>
      </w:pPr>
      <w:r>
        <w:rPr>
          <w:rFonts w:hint="eastAsia" w:ascii="仿宋" w:hAnsi="仿宋" w:eastAsia="仿宋"/>
          <w:sz w:val="32"/>
          <w:szCs w:val="32"/>
        </w:rPr>
        <w:t>2023年度一般公共预算财政拨款基本支出</w:t>
      </w:r>
      <w:r>
        <w:rPr>
          <w:rFonts w:ascii="仿宋" w:hAnsi="仿宋" w:eastAsia="仿宋"/>
          <w:b/>
          <w:sz w:val="32"/>
          <w:szCs w:val="32"/>
        </w:rPr>
        <w:t>749.97</w:t>
      </w:r>
      <w:r>
        <w:rPr>
          <w:rFonts w:hint="eastAsia" w:ascii="仿宋" w:hAnsi="仿宋" w:eastAsia="仿宋"/>
          <w:sz w:val="32"/>
          <w:szCs w:val="32"/>
        </w:rPr>
        <w:t>万元，其中：</w:t>
      </w:r>
    </w:p>
    <w:p w14:paraId="3B6643F1">
      <w:pPr>
        <w:spacing w:line="600" w:lineRule="exact"/>
        <w:ind w:firstLine="645"/>
        <w:rPr>
          <w:rFonts w:hint="eastAsia" w:ascii="仿宋" w:hAnsi="仿宋" w:eastAsia="仿宋"/>
          <w:color w:val="auto"/>
          <w:sz w:val="32"/>
          <w:szCs w:val="32"/>
          <w:lang w:eastAsia="zh-CN"/>
        </w:rPr>
      </w:pPr>
      <w:r>
        <w:rPr>
          <w:rFonts w:hint="eastAsia" w:ascii="仿宋" w:hAnsi="仿宋" w:eastAsia="仿宋"/>
          <w:color w:val="auto"/>
          <w:sz w:val="32"/>
          <w:szCs w:val="32"/>
        </w:rPr>
        <w:t>人员经费</w:t>
      </w:r>
      <w:r>
        <w:rPr>
          <w:rFonts w:ascii="仿宋" w:hAnsi="仿宋" w:eastAsia="仿宋"/>
          <w:b/>
          <w:color w:val="auto"/>
          <w:sz w:val="32"/>
          <w:szCs w:val="32"/>
        </w:rPr>
        <w:t>723.15</w:t>
      </w:r>
      <w:r>
        <w:rPr>
          <w:rFonts w:hint="eastAsia" w:ascii="仿宋" w:hAnsi="仿宋" w:eastAsia="仿宋"/>
          <w:color w:val="auto"/>
          <w:sz w:val="32"/>
          <w:szCs w:val="32"/>
        </w:rPr>
        <w:t>万元，主要包括：基本工资</w:t>
      </w:r>
      <w:r>
        <w:rPr>
          <w:rFonts w:hint="eastAsia" w:ascii="仿宋" w:hAnsi="仿宋" w:eastAsia="仿宋"/>
          <w:b/>
          <w:bCs/>
          <w:color w:val="auto"/>
          <w:sz w:val="32"/>
          <w:szCs w:val="32"/>
          <w:lang w:val="en-US" w:eastAsia="zh-CN"/>
        </w:rPr>
        <w:t>139.44</w:t>
      </w:r>
      <w:r>
        <w:rPr>
          <w:rFonts w:hint="eastAsia" w:ascii="仿宋" w:hAnsi="仿宋" w:eastAsia="仿宋"/>
          <w:color w:val="auto"/>
          <w:sz w:val="32"/>
          <w:szCs w:val="32"/>
          <w:lang w:val="en-US" w:eastAsia="zh-CN"/>
        </w:rPr>
        <w:t>万元</w:t>
      </w:r>
      <w:r>
        <w:rPr>
          <w:rFonts w:hint="eastAsia" w:ascii="仿宋" w:hAnsi="仿宋" w:eastAsia="仿宋"/>
          <w:color w:val="auto"/>
          <w:sz w:val="32"/>
          <w:szCs w:val="32"/>
        </w:rPr>
        <w:t>、津贴补贴</w:t>
      </w:r>
      <w:r>
        <w:rPr>
          <w:rFonts w:hint="eastAsia" w:ascii="仿宋" w:hAnsi="仿宋" w:eastAsia="仿宋"/>
          <w:b/>
          <w:bCs/>
          <w:color w:val="auto"/>
          <w:sz w:val="32"/>
          <w:szCs w:val="32"/>
          <w:lang w:val="en-US" w:eastAsia="zh-CN"/>
        </w:rPr>
        <w:t>79.32</w:t>
      </w:r>
      <w:r>
        <w:rPr>
          <w:rFonts w:hint="eastAsia" w:ascii="仿宋" w:hAnsi="仿宋" w:eastAsia="仿宋"/>
          <w:color w:val="auto"/>
          <w:sz w:val="32"/>
          <w:szCs w:val="32"/>
          <w:lang w:val="en-US" w:eastAsia="zh-CN"/>
        </w:rPr>
        <w:t>万元</w:t>
      </w:r>
      <w:r>
        <w:rPr>
          <w:rFonts w:hint="eastAsia" w:ascii="仿宋" w:hAnsi="仿宋" w:eastAsia="仿宋"/>
          <w:color w:val="auto"/>
          <w:sz w:val="32"/>
          <w:szCs w:val="32"/>
        </w:rPr>
        <w:t>、奖金</w:t>
      </w:r>
      <w:r>
        <w:rPr>
          <w:rFonts w:hint="eastAsia" w:ascii="仿宋" w:hAnsi="仿宋" w:eastAsia="仿宋"/>
          <w:b/>
          <w:bCs/>
          <w:color w:val="auto"/>
          <w:sz w:val="32"/>
          <w:szCs w:val="32"/>
          <w:lang w:val="en-US" w:eastAsia="zh-CN"/>
        </w:rPr>
        <w:t>178.8</w:t>
      </w:r>
      <w:r>
        <w:rPr>
          <w:rFonts w:hint="eastAsia" w:ascii="仿宋" w:hAnsi="仿宋" w:eastAsia="仿宋"/>
          <w:color w:val="auto"/>
          <w:sz w:val="32"/>
          <w:szCs w:val="32"/>
          <w:lang w:val="en-US" w:eastAsia="zh-CN"/>
        </w:rPr>
        <w:t>万元</w:t>
      </w:r>
      <w:r>
        <w:rPr>
          <w:rFonts w:hint="eastAsia" w:ascii="仿宋" w:hAnsi="仿宋" w:eastAsia="仿宋"/>
          <w:color w:val="auto"/>
          <w:sz w:val="32"/>
          <w:szCs w:val="32"/>
        </w:rPr>
        <w:t>、伙食补助费</w:t>
      </w:r>
      <w:r>
        <w:rPr>
          <w:rFonts w:hint="eastAsia" w:ascii="仿宋" w:hAnsi="仿宋" w:eastAsia="仿宋"/>
          <w:b/>
          <w:bCs/>
          <w:color w:val="auto"/>
          <w:sz w:val="32"/>
          <w:szCs w:val="32"/>
          <w:lang w:val="en-US" w:eastAsia="zh-CN"/>
        </w:rPr>
        <w:t>0</w:t>
      </w:r>
      <w:r>
        <w:rPr>
          <w:rFonts w:hint="eastAsia" w:ascii="仿宋" w:hAnsi="仿宋" w:eastAsia="仿宋"/>
          <w:color w:val="auto"/>
          <w:sz w:val="32"/>
          <w:szCs w:val="32"/>
          <w:lang w:val="en-US" w:eastAsia="zh-CN"/>
        </w:rPr>
        <w:t>万元</w:t>
      </w:r>
      <w:r>
        <w:rPr>
          <w:rFonts w:hint="eastAsia" w:ascii="仿宋" w:hAnsi="仿宋" w:eastAsia="仿宋"/>
          <w:color w:val="auto"/>
          <w:sz w:val="32"/>
          <w:szCs w:val="32"/>
        </w:rPr>
        <w:t>、绩效工资</w:t>
      </w:r>
      <w:r>
        <w:rPr>
          <w:rFonts w:hint="eastAsia" w:ascii="仿宋" w:hAnsi="仿宋" w:eastAsia="仿宋"/>
          <w:b/>
          <w:bCs/>
          <w:color w:val="auto"/>
          <w:sz w:val="32"/>
          <w:szCs w:val="32"/>
          <w:lang w:val="en-US" w:eastAsia="zh-CN"/>
        </w:rPr>
        <w:t>121.2</w:t>
      </w:r>
      <w:r>
        <w:rPr>
          <w:rFonts w:hint="eastAsia" w:ascii="仿宋" w:hAnsi="仿宋" w:eastAsia="仿宋"/>
          <w:color w:val="auto"/>
          <w:sz w:val="32"/>
          <w:szCs w:val="32"/>
          <w:lang w:val="en-US" w:eastAsia="zh-CN"/>
        </w:rPr>
        <w:t>万元</w:t>
      </w:r>
      <w:r>
        <w:rPr>
          <w:rFonts w:hint="eastAsia" w:ascii="仿宋" w:hAnsi="仿宋" w:eastAsia="仿宋"/>
          <w:color w:val="auto"/>
          <w:sz w:val="32"/>
          <w:szCs w:val="32"/>
        </w:rPr>
        <w:t>、机关事业单位基本养老保险缴费</w:t>
      </w:r>
      <w:r>
        <w:rPr>
          <w:rFonts w:hint="eastAsia" w:ascii="仿宋" w:hAnsi="仿宋" w:eastAsia="仿宋"/>
          <w:b/>
          <w:bCs/>
          <w:color w:val="auto"/>
          <w:sz w:val="32"/>
          <w:szCs w:val="32"/>
          <w:lang w:val="en-US" w:eastAsia="zh-CN"/>
        </w:rPr>
        <w:t>69.35</w:t>
      </w:r>
      <w:r>
        <w:rPr>
          <w:rFonts w:hint="eastAsia" w:ascii="仿宋" w:hAnsi="仿宋" w:eastAsia="仿宋"/>
          <w:color w:val="auto"/>
          <w:sz w:val="32"/>
          <w:szCs w:val="32"/>
          <w:lang w:val="en-US" w:eastAsia="zh-CN"/>
        </w:rPr>
        <w:t>万元</w:t>
      </w:r>
      <w:r>
        <w:rPr>
          <w:rFonts w:hint="eastAsia" w:ascii="仿宋" w:hAnsi="仿宋" w:eastAsia="仿宋"/>
          <w:color w:val="auto"/>
          <w:sz w:val="32"/>
          <w:szCs w:val="32"/>
        </w:rPr>
        <w:t>、职业年金缴费</w:t>
      </w:r>
      <w:r>
        <w:rPr>
          <w:rFonts w:hint="eastAsia" w:ascii="仿宋" w:hAnsi="仿宋" w:eastAsia="仿宋"/>
          <w:b/>
          <w:bCs/>
          <w:color w:val="auto"/>
          <w:sz w:val="32"/>
          <w:szCs w:val="32"/>
          <w:lang w:val="en-US" w:eastAsia="zh-CN"/>
        </w:rPr>
        <w:t>36.59</w:t>
      </w:r>
      <w:r>
        <w:rPr>
          <w:rFonts w:hint="eastAsia" w:ascii="仿宋" w:hAnsi="仿宋" w:eastAsia="仿宋"/>
          <w:color w:val="auto"/>
          <w:sz w:val="32"/>
          <w:szCs w:val="32"/>
          <w:lang w:val="en-US" w:eastAsia="zh-CN"/>
        </w:rPr>
        <w:t>万元</w:t>
      </w:r>
      <w:r>
        <w:rPr>
          <w:rFonts w:hint="eastAsia" w:ascii="仿宋" w:hAnsi="仿宋" w:eastAsia="仿宋"/>
          <w:color w:val="auto"/>
          <w:sz w:val="32"/>
          <w:szCs w:val="32"/>
        </w:rPr>
        <w:t>、</w:t>
      </w:r>
      <w:r>
        <w:rPr>
          <w:rFonts w:hint="eastAsia" w:ascii="仿宋" w:hAnsi="仿宋" w:eastAsia="仿宋"/>
          <w:color w:val="auto"/>
          <w:sz w:val="32"/>
          <w:szCs w:val="32"/>
          <w:lang w:eastAsia="zh-CN"/>
        </w:rPr>
        <w:t>职工基本医疗保险缴费</w:t>
      </w:r>
      <w:r>
        <w:rPr>
          <w:rFonts w:hint="eastAsia" w:ascii="仿宋" w:hAnsi="仿宋" w:eastAsia="仿宋"/>
          <w:b/>
          <w:bCs/>
          <w:color w:val="auto"/>
          <w:sz w:val="32"/>
          <w:szCs w:val="32"/>
          <w:lang w:val="en-US" w:eastAsia="zh-CN"/>
        </w:rPr>
        <w:t>29.16</w:t>
      </w:r>
      <w:r>
        <w:rPr>
          <w:rFonts w:hint="eastAsia" w:ascii="仿宋" w:hAnsi="仿宋" w:eastAsia="仿宋"/>
          <w:color w:val="auto"/>
          <w:sz w:val="32"/>
          <w:szCs w:val="32"/>
          <w:lang w:val="en-US" w:eastAsia="zh-CN"/>
        </w:rPr>
        <w:t>万元、公务员医疗补助缴费</w:t>
      </w:r>
      <w:r>
        <w:rPr>
          <w:rFonts w:hint="eastAsia" w:ascii="仿宋" w:hAnsi="仿宋" w:eastAsia="仿宋"/>
          <w:b/>
          <w:bCs/>
          <w:color w:val="auto"/>
          <w:sz w:val="32"/>
          <w:szCs w:val="32"/>
          <w:lang w:val="en-US" w:eastAsia="zh-CN"/>
        </w:rPr>
        <w:t>11.55</w:t>
      </w:r>
      <w:r>
        <w:rPr>
          <w:rFonts w:hint="eastAsia" w:ascii="仿宋" w:hAnsi="仿宋" w:eastAsia="仿宋"/>
          <w:color w:val="auto"/>
          <w:sz w:val="32"/>
          <w:szCs w:val="32"/>
          <w:lang w:val="en-US" w:eastAsia="zh-CN"/>
        </w:rPr>
        <w:t>万元、</w:t>
      </w:r>
      <w:r>
        <w:rPr>
          <w:rFonts w:hint="eastAsia" w:ascii="仿宋" w:hAnsi="仿宋" w:eastAsia="仿宋"/>
          <w:color w:val="auto"/>
          <w:sz w:val="32"/>
          <w:szCs w:val="32"/>
        </w:rPr>
        <w:t>其他社会保障缴费</w:t>
      </w:r>
      <w:r>
        <w:rPr>
          <w:rFonts w:hint="eastAsia" w:ascii="仿宋" w:hAnsi="仿宋" w:eastAsia="仿宋"/>
          <w:b/>
          <w:bCs/>
          <w:color w:val="auto"/>
          <w:sz w:val="32"/>
          <w:szCs w:val="32"/>
          <w:lang w:val="en-US" w:eastAsia="zh-CN"/>
        </w:rPr>
        <w:t>3.33</w:t>
      </w:r>
      <w:r>
        <w:rPr>
          <w:rFonts w:hint="eastAsia" w:ascii="仿宋" w:hAnsi="仿宋" w:eastAsia="仿宋"/>
          <w:color w:val="auto"/>
          <w:sz w:val="32"/>
          <w:szCs w:val="32"/>
          <w:lang w:val="en-US" w:eastAsia="zh-CN"/>
        </w:rPr>
        <w:t>万元</w:t>
      </w:r>
      <w:r>
        <w:rPr>
          <w:rFonts w:hint="eastAsia" w:ascii="仿宋" w:hAnsi="仿宋" w:eastAsia="仿宋"/>
          <w:color w:val="auto"/>
          <w:sz w:val="32"/>
          <w:szCs w:val="32"/>
        </w:rPr>
        <w:t>、其他工资福利支出</w:t>
      </w:r>
      <w:r>
        <w:rPr>
          <w:rFonts w:hint="eastAsia" w:ascii="仿宋" w:hAnsi="仿宋" w:eastAsia="仿宋"/>
          <w:b/>
          <w:bCs/>
          <w:color w:val="auto"/>
          <w:sz w:val="32"/>
          <w:szCs w:val="32"/>
          <w:lang w:val="en-US" w:eastAsia="zh-CN"/>
        </w:rPr>
        <w:t>0</w:t>
      </w:r>
      <w:r>
        <w:rPr>
          <w:rFonts w:hint="eastAsia" w:ascii="仿宋" w:hAnsi="仿宋" w:eastAsia="仿宋"/>
          <w:color w:val="auto"/>
          <w:sz w:val="32"/>
          <w:szCs w:val="32"/>
          <w:lang w:val="en-US" w:eastAsia="zh-CN"/>
        </w:rPr>
        <w:t>万元</w:t>
      </w:r>
      <w:r>
        <w:rPr>
          <w:rFonts w:hint="eastAsia" w:ascii="仿宋" w:hAnsi="仿宋" w:eastAsia="仿宋"/>
          <w:color w:val="auto"/>
          <w:sz w:val="32"/>
          <w:szCs w:val="32"/>
        </w:rPr>
        <w:t>、离休费</w:t>
      </w:r>
      <w:r>
        <w:rPr>
          <w:rFonts w:hint="eastAsia" w:ascii="仿宋" w:hAnsi="仿宋" w:eastAsia="仿宋"/>
          <w:b/>
          <w:bCs/>
          <w:color w:val="auto"/>
          <w:sz w:val="32"/>
          <w:szCs w:val="32"/>
          <w:lang w:val="en-US" w:eastAsia="zh-CN"/>
        </w:rPr>
        <w:t>0</w:t>
      </w:r>
      <w:r>
        <w:rPr>
          <w:rFonts w:hint="eastAsia" w:ascii="仿宋" w:hAnsi="仿宋" w:eastAsia="仿宋"/>
          <w:color w:val="auto"/>
          <w:sz w:val="32"/>
          <w:szCs w:val="32"/>
          <w:lang w:val="en-US" w:eastAsia="zh-CN"/>
        </w:rPr>
        <w:t>万元</w:t>
      </w:r>
      <w:r>
        <w:rPr>
          <w:rFonts w:hint="eastAsia" w:ascii="仿宋" w:hAnsi="仿宋" w:eastAsia="仿宋"/>
          <w:color w:val="auto"/>
          <w:sz w:val="32"/>
          <w:szCs w:val="32"/>
        </w:rPr>
        <w:t>、退休费</w:t>
      </w:r>
      <w:r>
        <w:rPr>
          <w:rFonts w:hint="eastAsia" w:ascii="仿宋" w:hAnsi="仿宋" w:eastAsia="仿宋"/>
          <w:b/>
          <w:bCs/>
          <w:color w:val="auto"/>
          <w:sz w:val="32"/>
          <w:szCs w:val="32"/>
          <w:lang w:val="en-US" w:eastAsia="zh-CN"/>
        </w:rPr>
        <w:t>0</w:t>
      </w:r>
      <w:r>
        <w:rPr>
          <w:rFonts w:hint="eastAsia" w:ascii="仿宋" w:hAnsi="仿宋" w:eastAsia="仿宋"/>
          <w:color w:val="auto"/>
          <w:sz w:val="32"/>
          <w:szCs w:val="32"/>
          <w:lang w:val="en-US" w:eastAsia="zh-CN"/>
        </w:rPr>
        <w:t>万元</w:t>
      </w:r>
      <w:r>
        <w:rPr>
          <w:rFonts w:hint="eastAsia" w:ascii="仿宋" w:hAnsi="仿宋" w:eastAsia="仿宋"/>
          <w:color w:val="auto"/>
          <w:sz w:val="32"/>
          <w:szCs w:val="32"/>
        </w:rPr>
        <w:t>、抚恤金</w:t>
      </w:r>
      <w:r>
        <w:rPr>
          <w:rFonts w:hint="eastAsia" w:ascii="仿宋" w:hAnsi="仿宋" w:eastAsia="仿宋"/>
          <w:b/>
          <w:bCs/>
          <w:color w:val="auto"/>
          <w:sz w:val="32"/>
          <w:szCs w:val="32"/>
          <w:lang w:val="en-US" w:eastAsia="zh-CN"/>
        </w:rPr>
        <w:t>0</w:t>
      </w:r>
      <w:r>
        <w:rPr>
          <w:rFonts w:hint="eastAsia" w:ascii="仿宋" w:hAnsi="仿宋" w:eastAsia="仿宋"/>
          <w:color w:val="auto"/>
          <w:sz w:val="32"/>
          <w:szCs w:val="32"/>
          <w:lang w:val="en-US" w:eastAsia="zh-CN"/>
        </w:rPr>
        <w:t>万元</w:t>
      </w:r>
      <w:r>
        <w:rPr>
          <w:rFonts w:hint="eastAsia" w:ascii="仿宋" w:hAnsi="仿宋" w:eastAsia="仿宋"/>
          <w:color w:val="auto"/>
          <w:sz w:val="32"/>
          <w:szCs w:val="32"/>
        </w:rPr>
        <w:t>、生活补助</w:t>
      </w:r>
      <w:r>
        <w:rPr>
          <w:rFonts w:hint="eastAsia" w:ascii="仿宋" w:hAnsi="仿宋" w:eastAsia="仿宋"/>
          <w:b/>
          <w:bCs/>
          <w:color w:val="auto"/>
          <w:sz w:val="32"/>
          <w:szCs w:val="32"/>
          <w:lang w:val="en-US" w:eastAsia="zh-CN"/>
        </w:rPr>
        <w:t>0.52</w:t>
      </w:r>
      <w:r>
        <w:rPr>
          <w:rFonts w:hint="eastAsia" w:ascii="仿宋" w:hAnsi="仿宋" w:eastAsia="仿宋"/>
          <w:color w:val="auto"/>
          <w:sz w:val="32"/>
          <w:szCs w:val="32"/>
        </w:rPr>
        <w:t>、医疗费补助</w:t>
      </w:r>
      <w:r>
        <w:rPr>
          <w:rFonts w:hint="eastAsia" w:ascii="仿宋" w:hAnsi="仿宋" w:eastAsia="仿宋"/>
          <w:b/>
          <w:bCs/>
          <w:color w:val="auto"/>
          <w:sz w:val="32"/>
          <w:szCs w:val="32"/>
          <w:lang w:val="en-US" w:eastAsia="zh-CN"/>
        </w:rPr>
        <w:t>0</w:t>
      </w:r>
      <w:r>
        <w:rPr>
          <w:rFonts w:hint="eastAsia" w:ascii="仿宋" w:hAnsi="仿宋" w:eastAsia="仿宋"/>
          <w:color w:val="auto"/>
          <w:sz w:val="32"/>
          <w:szCs w:val="32"/>
          <w:lang w:val="en-US" w:eastAsia="zh-CN"/>
        </w:rPr>
        <w:t>万元</w:t>
      </w:r>
      <w:r>
        <w:rPr>
          <w:rFonts w:hint="eastAsia" w:ascii="仿宋" w:hAnsi="仿宋" w:eastAsia="仿宋"/>
          <w:color w:val="auto"/>
          <w:sz w:val="32"/>
          <w:szCs w:val="32"/>
        </w:rPr>
        <w:t>、奖励金</w:t>
      </w:r>
      <w:r>
        <w:rPr>
          <w:rFonts w:hint="eastAsia" w:ascii="仿宋" w:hAnsi="仿宋" w:eastAsia="仿宋"/>
          <w:b/>
          <w:bCs/>
          <w:color w:val="auto"/>
          <w:sz w:val="32"/>
          <w:szCs w:val="32"/>
          <w:lang w:val="en-US" w:eastAsia="zh-CN"/>
        </w:rPr>
        <w:t>0.013</w:t>
      </w:r>
      <w:r>
        <w:rPr>
          <w:rFonts w:hint="eastAsia" w:ascii="仿宋" w:hAnsi="仿宋" w:eastAsia="仿宋"/>
          <w:color w:val="auto"/>
          <w:sz w:val="32"/>
          <w:szCs w:val="32"/>
        </w:rPr>
        <w:t>、住房公积金</w:t>
      </w:r>
      <w:r>
        <w:rPr>
          <w:rFonts w:hint="eastAsia" w:ascii="仿宋" w:hAnsi="仿宋" w:eastAsia="仿宋"/>
          <w:b/>
          <w:bCs/>
          <w:color w:val="auto"/>
          <w:sz w:val="32"/>
          <w:szCs w:val="32"/>
          <w:lang w:val="en-US" w:eastAsia="zh-CN"/>
        </w:rPr>
        <w:t>53.87</w:t>
      </w:r>
      <w:r>
        <w:rPr>
          <w:rFonts w:hint="eastAsia" w:ascii="仿宋" w:hAnsi="仿宋" w:eastAsia="仿宋"/>
          <w:color w:val="auto"/>
          <w:sz w:val="32"/>
          <w:szCs w:val="32"/>
          <w:lang w:val="en-US" w:eastAsia="zh-CN"/>
        </w:rPr>
        <w:t>万元</w:t>
      </w:r>
      <w:r>
        <w:rPr>
          <w:rFonts w:hint="eastAsia" w:ascii="仿宋" w:hAnsi="仿宋" w:eastAsia="仿宋"/>
          <w:color w:val="auto"/>
          <w:sz w:val="32"/>
          <w:szCs w:val="32"/>
        </w:rPr>
        <w:t>、其他对个人和家庭的补助支出</w:t>
      </w:r>
      <w:r>
        <w:rPr>
          <w:rFonts w:hint="eastAsia" w:ascii="仿宋" w:hAnsi="仿宋" w:eastAsia="仿宋"/>
          <w:b/>
          <w:bCs/>
          <w:color w:val="auto"/>
          <w:sz w:val="32"/>
          <w:szCs w:val="32"/>
          <w:lang w:val="en-US" w:eastAsia="zh-CN"/>
        </w:rPr>
        <w:t>0万元</w:t>
      </w:r>
      <w:r>
        <w:rPr>
          <w:rFonts w:hint="eastAsia" w:ascii="仿宋" w:hAnsi="仿宋" w:eastAsia="仿宋"/>
          <w:color w:val="auto"/>
          <w:sz w:val="32"/>
          <w:szCs w:val="32"/>
        </w:rPr>
        <w:t>等。</w:t>
      </w:r>
    </w:p>
    <w:p w14:paraId="682D26DF">
      <w:pPr>
        <w:spacing w:line="600" w:lineRule="exact"/>
        <w:ind w:firstLine="645"/>
        <w:rPr>
          <w:rFonts w:ascii="仿宋" w:hAnsi="仿宋" w:eastAsia="仿宋"/>
          <w:sz w:val="32"/>
          <w:szCs w:val="32"/>
        </w:rPr>
      </w:pPr>
      <w:r>
        <w:rPr>
          <w:rFonts w:hint="eastAsia" w:ascii="仿宋" w:hAnsi="仿宋" w:eastAsia="仿宋"/>
          <w:sz w:val="32"/>
          <w:szCs w:val="32"/>
        </w:rPr>
        <w:t>公用经费</w:t>
      </w:r>
      <w:r>
        <w:rPr>
          <w:rFonts w:ascii="仿宋" w:hAnsi="仿宋" w:eastAsia="仿宋"/>
          <w:b/>
          <w:sz w:val="32"/>
          <w:szCs w:val="32"/>
        </w:rPr>
        <w:t>26.81</w:t>
      </w:r>
      <w:r>
        <w:rPr>
          <w:rFonts w:hint="eastAsia" w:ascii="仿宋" w:hAnsi="仿宋" w:eastAsia="仿宋"/>
          <w:sz w:val="32"/>
          <w:szCs w:val="32"/>
        </w:rPr>
        <w:t>万元，主要包括：办公费</w:t>
      </w:r>
      <w:r>
        <w:rPr>
          <w:rFonts w:hint="eastAsia" w:ascii="仿宋" w:hAnsi="仿宋" w:eastAsia="仿宋"/>
          <w:b/>
          <w:bCs/>
          <w:sz w:val="32"/>
          <w:szCs w:val="32"/>
          <w:lang w:val="en-US" w:eastAsia="zh-CN"/>
        </w:rPr>
        <w:t>3.8</w:t>
      </w:r>
      <w:r>
        <w:rPr>
          <w:rFonts w:hint="eastAsia" w:ascii="仿宋" w:hAnsi="仿宋" w:eastAsia="仿宋"/>
          <w:sz w:val="32"/>
          <w:szCs w:val="32"/>
          <w:lang w:val="en-US" w:eastAsia="zh-CN"/>
        </w:rPr>
        <w:t>万元</w:t>
      </w:r>
      <w:r>
        <w:rPr>
          <w:rFonts w:hint="eastAsia" w:ascii="仿宋" w:hAnsi="仿宋" w:eastAsia="仿宋"/>
          <w:sz w:val="32"/>
          <w:szCs w:val="32"/>
        </w:rPr>
        <w:t>、印刷费</w:t>
      </w:r>
      <w:r>
        <w:rPr>
          <w:rFonts w:hint="eastAsia" w:ascii="仿宋" w:hAnsi="仿宋" w:eastAsia="仿宋"/>
          <w:b/>
          <w:bCs/>
          <w:color w:val="auto"/>
          <w:sz w:val="32"/>
          <w:szCs w:val="32"/>
          <w:lang w:val="en-US" w:eastAsia="zh-CN"/>
        </w:rPr>
        <w:t>0</w:t>
      </w:r>
      <w:r>
        <w:rPr>
          <w:rFonts w:hint="eastAsia" w:ascii="仿宋" w:hAnsi="仿宋" w:eastAsia="仿宋"/>
          <w:color w:val="auto"/>
          <w:sz w:val="32"/>
          <w:szCs w:val="32"/>
          <w:lang w:val="en-US" w:eastAsia="zh-CN"/>
        </w:rPr>
        <w:t>万元</w:t>
      </w:r>
      <w:r>
        <w:rPr>
          <w:rFonts w:hint="eastAsia" w:ascii="仿宋" w:hAnsi="仿宋" w:eastAsia="仿宋"/>
          <w:sz w:val="32"/>
          <w:szCs w:val="32"/>
        </w:rPr>
        <w:t>、咨询费</w:t>
      </w:r>
      <w:r>
        <w:rPr>
          <w:rFonts w:hint="eastAsia" w:ascii="仿宋" w:hAnsi="仿宋" w:eastAsia="仿宋"/>
          <w:b/>
          <w:bCs/>
          <w:color w:val="auto"/>
          <w:sz w:val="32"/>
          <w:szCs w:val="32"/>
          <w:lang w:val="en-US" w:eastAsia="zh-CN"/>
        </w:rPr>
        <w:t>0</w:t>
      </w:r>
      <w:r>
        <w:rPr>
          <w:rFonts w:hint="eastAsia" w:ascii="仿宋" w:hAnsi="仿宋" w:eastAsia="仿宋"/>
          <w:color w:val="auto"/>
          <w:sz w:val="32"/>
          <w:szCs w:val="32"/>
          <w:lang w:val="en-US" w:eastAsia="zh-CN"/>
        </w:rPr>
        <w:t>万元</w:t>
      </w:r>
      <w:r>
        <w:rPr>
          <w:rFonts w:hint="eastAsia" w:ascii="仿宋" w:hAnsi="仿宋" w:eastAsia="仿宋"/>
          <w:sz w:val="32"/>
          <w:szCs w:val="32"/>
        </w:rPr>
        <w:t>、手续费</w:t>
      </w:r>
      <w:r>
        <w:rPr>
          <w:rFonts w:hint="eastAsia" w:ascii="仿宋" w:hAnsi="仿宋" w:eastAsia="仿宋"/>
          <w:b/>
          <w:bCs/>
          <w:color w:val="auto"/>
          <w:sz w:val="32"/>
          <w:szCs w:val="32"/>
          <w:lang w:val="en-US" w:eastAsia="zh-CN"/>
        </w:rPr>
        <w:t>0</w:t>
      </w:r>
      <w:r>
        <w:rPr>
          <w:rFonts w:hint="eastAsia" w:ascii="仿宋" w:hAnsi="仿宋" w:eastAsia="仿宋"/>
          <w:color w:val="auto"/>
          <w:sz w:val="32"/>
          <w:szCs w:val="32"/>
          <w:lang w:val="en-US" w:eastAsia="zh-CN"/>
        </w:rPr>
        <w:t>万元</w:t>
      </w:r>
      <w:r>
        <w:rPr>
          <w:rFonts w:hint="eastAsia" w:ascii="仿宋" w:hAnsi="仿宋" w:eastAsia="仿宋"/>
          <w:sz w:val="32"/>
          <w:szCs w:val="32"/>
        </w:rPr>
        <w:t>、水费</w:t>
      </w:r>
      <w:r>
        <w:rPr>
          <w:rFonts w:hint="eastAsia" w:ascii="仿宋" w:hAnsi="仿宋" w:eastAsia="仿宋"/>
          <w:b/>
          <w:bCs/>
          <w:sz w:val="32"/>
          <w:szCs w:val="32"/>
          <w:lang w:val="en-US" w:eastAsia="zh-CN"/>
        </w:rPr>
        <w:t>0.1</w:t>
      </w:r>
      <w:r>
        <w:rPr>
          <w:rFonts w:hint="eastAsia" w:ascii="仿宋" w:hAnsi="仿宋" w:eastAsia="仿宋"/>
          <w:sz w:val="32"/>
          <w:szCs w:val="32"/>
          <w:lang w:val="en-US" w:eastAsia="zh-CN"/>
        </w:rPr>
        <w:t>万元</w:t>
      </w:r>
      <w:r>
        <w:rPr>
          <w:rFonts w:hint="eastAsia" w:ascii="仿宋" w:hAnsi="仿宋" w:eastAsia="仿宋"/>
          <w:sz w:val="32"/>
          <w:szCs w:val="32"/>
        </w:rPr>
        <w:t>、电费</w:t>
      </w:r>
      <w:r>
        <w:rPr>
          <w:rFonts w:hint="eastAsia" w:ascii="仿宋" w:hAnsi="仿宋" w:eastAsia="仿宋"/>
          <w:b/>
          <w:bCs/>
          <w:sz w:val="32"/>
          <w:szCs w:val="32"/>
          <w:lang w:val="en-US" w:eastAsia="zh-CN"/>
        </w:rPr>
        <w:t>2.8</w:t>
      </w:r>
      <w:r>
        <w:rPr>
          <w:rFonts w:hint="eastAsia" w:ascii="仿宋" w:hAnsi="仿宋" w:eastAsia="仿宋"/>
          <w:sz w:val="32"/>
          <w:szCs w:val="32"/>
          <w:lang w:val="en-US" w:eastAsia="zh-CN"/>
        </w:rPr>
        <w:t>万元</w:t>
      </w:r>
      <w:r>
        <w:rPr>
          <w:rFonts w:hint="eastAsia" w:ascii="仿宋" w:hAnsi="仿宋" w:eastAsia="仿宋"/>
          <w:sz w:val="32"/>
          <w:szCs w:val="32"/>
        </w:rPr>
        <w:t>、邮电费</w:t>
      </w:r>
      <w:r>
        <w:rPr>
          <w:rFonts w:hint="eastAsia" w:ascii="仿宋" w:hAnsi="仿宋" w:eastAsia="仿宋"/>
          <w:b/>
          <w:bCs/>
          <w:sz w:val="32"/>
          <w:szCs w:val="32"/>
          <w:lang w:val="en-US" w:eastAsia="zh-CN"/>
        </w:rPr>
        <w:t>0.44</w:t>
      </w:r>
      <w:r>
        <w:rPr>
          <w:rFonts w:hint="eastAsia" w:ascii="仿宋" w:hAnsi="仿宋" w:eastAsia="仿宋"/>
          <w:sz w:val="32"/>
          <w:szCs w:val="32"/>
          <w:lang w:val="en-US" w:eastAsia="zh-CN"/>
        </w:rPr>
        <w:t>万元</w:t>
      </w:r>
      <w:r>
        <w:rPr>
          <w:rFonts w:hint="eastAsia" w:ascii="仿宋" w:hAnsi="仿宋" w:eastAsia="仿宋"/>
          <w:sz w:val="32"/>
          <w:szCs w:val="32"/>
        </w:rPr>
        <w:t>、取暖费</w:t>
      </w:r>
      <w:r>
        <w:rPr>
          <w:rFonts w:hint="eastAsia" w:ascii="仿宋" w:hAnsi="仿宋" w:eastAsia="仿宋"/>
          <w:b/>
          <w:bCs/>
          <w:color w:val="auto"/>
          <w:sz w:val="32"/>
          <w:szCs w:val="32"/>
          <w:lang w:val="en-US" w:eastAsia="zh-CN"/>
        </w:rPr>
        <w:t>0</w:t>
      </w:r>
      <w:r>
        <w:rPr>
          <w:rFonts w:hint="eastAsia" w:ascii="仿宋" w:hAnsi="仿宋" w:eastAsia="仿宋"/>
          <w:color w:val="auto"/>
          <w:sz w:val="32"/>
          <w:szCs w:val="32"/>
          <w:lang w:val="en-US" w:eastAsia="zh-CN"/>
        </w:rPr>
        <w:t>万元</w:t>
      </w:r>
      <w:r>
        <w:rPr>
          <w:rFonts w:hint="eastAsia" w:ascii="仿宋" w:hAnsi="仿宋" w:eastAsia="仿宋"/>
          <w:sz w:val="32"/>
          <w:szCs w:val="32"/>
        </w:rPr>
        <w:t>、物业管理费</w:t>
      </w:r>
      <w:r>
        <w:rPr>
          <w:rFonts w:hint="eastAsia" w:ascii="仿宋" w:hAnsi="仿宋" w:eastAsia="仿宋"/>
          <w:b/>
          <w:bCs/>
          <w:color w:val="auto"/>
          <w:sz w:val="32"/>
          <w:szCs w:val="32"/>
          <w:lang w:val="en-US" w:eastAsia="zh-CN"/>
        </w:rPr>
        <w:t>0</w:t>
      </w:r>
      <w:r>
        <w:rPr>
          <w:rFonts w:hint="eastAsia" w:ascii="仿宋" w:hAnsi="仿宋" w:eastAsia="仿宋"/>
          <w:color w:val="auto"/>
          <w:sz w:val="32"/>
          <w:szCs w:val="32"/>
          <w:lang w:val="en-US" w:eastAsia="zh-CN"/>
        </w:rPr>
        <w:t>万元</w:t>
      </w:r>
      <w:r>
        <w:rPr>
          <w:rFonts w:hint="eastAsia" w:ascii="仿宋" w:hAnsi="仿宋" w:eastAsia="仿宋"/>
          <w:sz w:val="32"/>
          <w:szCs w:val="32"/>
        </w:rPr>
        <w:t>、差旅费</w:t>
      </w:r>
      <w:r>
        <w:rPr>
          <w:rFonts w:hint="eastAsia" w:ascii="仿宋" w:hAnsi="仿宋" w:eastAsia="仿宋"/>
          <w:b/>
          <w:bCs/>
          <w:sz w:val="32"/>
          <w:szCs w:val="32"/>
          <w:lang w:val="en-US" w:eastAsia="zh-CN"/>
        </w:rPr>
        <w:t>8.91</w:t>
      </w:r>
      <w:r>
        <w:rPr>
          <w:rFonts w:hint="eastAsia" w:ascii="仿宋" w:hAnsi="仿宋" w:eastAsia="仿宋"/>
          <w:sz w:val="32"/>
          <w:szCs w:val="32"/>
          <w:lang w:val="en-US" w:eastAsia="zh-CN"/>
        </w:rPr>
        <w:t>万元</w:t>
      </w:r>
      <w:r>
        <w:rPr>
          <w:rFonts w:hint="eastAsia" w:ascii="仿宋" w:hAnsi="仿宋" w:eastAsia="仿宋"/>
          <w:sz w:val="32"/>
          <w:szCs w:val="32"/>
        </w:rPr>
        <w:t>、因公出国（境）费用</w:t>
      </w:r>
      <w:r>
        <w:rPr>
          <w:rFonts w:hint="eastAsia" w:ascii="仿宋" w:hAnsi="仿宋" w:eastAsia="仿宋"/>
          <w:b/>
          <w:bCs/>
          <w:color w:val="auto"/>
          <w:sz w:val="32"/>
          <w:szCs w:val="32"/>
          <w:lang w:val="en-US" w:eastAsia="zh-CN"/>
        </w:rPr>
        <w:t>0</w:t>
      </w:r>
      <w:r>
        <w:rPr>
          <w:rFonts w:hint="eastAsia" w:ascii="仿宋" w:hAnsi="仿宋" w:eastAsia="仿宋"/>
          <w:color w:val="auto"/>
          <w:sz w:val="32"/>
          <w:szCs w:val="32"/>
          <w:lang w:val="en-US" w:eastAsia="zh-CN"/>
        </w:rPr>
        <w:t>万元</w:t>
      </w:r>
      <w:r>
        <w:rPr>
          <w:rFonts w:hint="eastAsia" w:ascii="仿宋" w:hAnsi="仿宋" w:eastAsia="仿宋"/>
          <w:sz w:val="32"/>
          <w:szCs w:val="32"/>
        </w:rPr>
        <w:t>、维修（护）费</w:t>
      </w:r>
      <w:r>
        <w:rPr>
          <w:rFonts w:hint="eastAsia" w:ascii="仿宋" w:hAnsi="仿宋" w:eastAsia="仿宋"/>
          <w:b/>
          <w:bCs/>
          <w:color w:val="auto"/>
          <w:sz w:val="32"/>
          <w:szCs w:val="32"/>
          <w:lang w:val="en-US" w:eastAsia="zh-CN"/>
        </w:rPr>
        <w:t>0</w:t>
      </w:r>
      <w:r>
        <w:rPr>
          <w:rFonts w:hint="eastAsia" w:ascii="仿宋" w:hAnsi="仿宋" w:eastAsia="仿宋"/>
          <w:color w:val="auto"/>
          <w:sz w:val="32"/>
          <w:szCs w:val="32"/>
          <w:lang w:val="en-US" w:eastAsia="zh-CN"/>
        </w:rPr>
        <w:t>万元</w:t>
      </w:r>
      <w:r>
        <w:rPr>
          <w:rFonts w:hint="eastAsia" w:ascii="仿宋" w:hAnsi="仿宋" w:eastAsia="仿宋"/>
          <w:sz w:val="32"/>
          <w:szCs w:val="32"/>
        </w:rPr>
        <w:t>、租赁费</w:t>
      </w:r>
      <w:r>
        <w:rPr>
          <w:rFonts w:hint="eastAsia" w:ascii="仿宋" w:hAnsi="仿宋" w:eastAsia="仿宋"/>
          <w:b/>
          <w:bCs/>
          <w:color w:val="auto"/>
          <w:sz w:val="32"/>
          <w:szCs w:val="32"/>
          <w:lang w:val="en-US" w:eastAsia="zh-CN"/>
        </w:rPr>
        <w:t>0</w:t>
      </w:r>
      <w:r>
        <w:rPr>
          <w:rFonts w:hint="eastAsia" w:ascii="仿宋" w:hAnsi="仿宋" w:eastAsia="仿宋"/>
          <w:color w:val="auto"/>
          <w:sz w:val="32"/>
          <w:szCs w:val="32"/>
          <w:lang w:val="en-US" w:eastAsia="zh-CN"/>
        </w:rPr>
        <w:t>万元</w:t>
      </w:r>
      <w:r>
        <w:rPr>
          <w:rFonts w:hint="eastAsia" w:ascii="仿宋" w:hAnsi="仿宋" w:eastAsia="仿宋"/>
          <w:sz w:val="32"/>
          <w:szCs w:val="32"/>
        </w:rPr>
        <w:t>、会议费</w:t>
      </w:r>
      <w:r>
        <w:rPr>
          <w:rFonts w:hint="eastAsia" w:ascii="仿宋" w:hAnsi="仿宋" w:eastAsia="仿宋"/>
          <w:b/>
          <w:bCs/>
          <w:color w:val="auto"/>
          <w:sz w:val="32"/>
          <w:szCs w:val="32"/>
          <w:lang w:val="en-US" w:eastAsia="zh-CN"/>
        </w:rPr>
        <w:t>0</w:t>
      </w:r>
      <w:r>
        <w:rPr>
          <w:rFonts w:hint="eastAsia" w:ascii="仿宋" w:hAnsi="仿宋" w:eastAsia="仿宋"/>
          <w:color w:val="auto"/>
          <w:sz w:val="32"/>
          <w:szCs w:val="32"/>
          <w:lang w:val="en-US" w:eastAsia="zh-CN"/>
        </w:rPr>
        <w:t>万元</w:t>
      </w:r>
      <w:r>
        <w:rPr>
          <w:rFonts w:hint="eastAsia" w:ascii="仿宋" w:hAnsi="仿宋" w:eastAsia="仿宋"/>
          <w:sz w:val="32"/>
          <w:szCs w:val="32"/>
        </w:rPr>
        <w:t>、培训费</w:t>
      </w:r>
      <w:r>
        <w:rPr>
          <w:rFonts w:hint="eastAsia" w:ascii="仿宋" w:hAnsi="仿宋" w:eastAsia="仿宋"/>
          <w:b/>
          <w:bCs/>
          <w:sz w:val="32"/>
          <w:szCs w:val="32"/>
          <w:lang w:val="en-US" w:eastAsia="zh-CN"/>
        </w:rPr>
        <w:t>0.21</w:t>
      </w:r>
      <w:r>
        <w:rPr>
          <w:rFonts w:hint="eastAsia" w:ascii="仿宋" w:hAnsi="仿宋" w:eastAsia="仿宋"/>
          <w:sz w:val="32"/>
          <w:szCs w:val="32"/>
          <w:lang w:val="en-US" w:eastAsia="zh-CN"/>
        </w:rPr>
        <w:t>万元</w:t>
      </w:r>
      <w:r>
        <w:rPr>
          <w:rFonts w:hint="eastAsia" w:ascii="仿宋" w:hAnsi="仿宋" w:eastAsia="仿宋"/>
          <w:sz w:val="32"/>
          <w:szCs w:val="32"/>
        </w:rPr>
        <w:t>、公务接待费</w:t>
      </w:r>
      <w:r>
        <w:rPr>
          <w:rFonts w:hint="eastAsia" w:ascii="仿宋" w:hAnsi="仿宋" w:eastAsia="仿宋"/>
          <w:b/>
          <w:bCs/>
          <w:color w:val="auto"/>
          <w:sz w:val="32"/>
          <w:szCs w:val="32"/>
          <w:lang w:val="en-US" w:eastAsia="zh-CN"/>
        </w:rPr>
        <w:t>0</w:t>
      </w:r>
      <w:r>
        <w:rPr>
          <w:rFonts w:hint="eastAsia" w:ascii="仿宋" w:hAnsi="仿宋" w:eastAsia="仿宋"/>
          <w:color w:val="auto"/>
          <w:sz w:val="32"/>
          <w:szCs w:val="32"/>
          <w:lang w:val="en-US" w:eastAsia="zh-CN"/>
        </w:rPr>
        <w:t>万元</w:t>
      </w:r>
      <w:r>
        <w:rPr>
          <w:rFonts w:hint="eastAsia" w:ascii="仿宋" w:hAnsi="仿宋" w:eastAsia="仿宋"/>
          <w:sz w:val="32"/>
          <w:szCs w:val="32"/>
        </w:rPr>
        <w:t>、劳务费</w:t>
      </w:r>
      <w:r>
        <w:rPr>
          <w:rFonts w:hint="eastAsia" w:ascii="仿宋" w:hAnsi="仿宋" w:eastAsia="仿宋"/>
          <w:b/>
          <w:bCs/>
          <w:color w:val="auto"/>
          <w:sz w:val="32"/>
          <w:szCs w:val="32"/>
          <w:lang w:val="en-US" w:eastAsia="zh-CN"/>
        </w:rPr>
        <w:t>0</w:t>
      </w:r>
      <w:r>
        <w:rPr>
          <w:rFonts w:hint="eastAsia" w:ascii="仿宋" w:hAnsi="仿宋" w:eastAsia="仿宋"/>
          <w:color w:val="auto"/>
          <w:sz w:val="32"/>
          <w:szCs w:val="32"/>
          <w:lang w:val="en-US" w:eastAsia="zh-CN"/>
        </w:rPr>
        <w:t>万元</w:t>
      </w:r>
      <w:r>
        <w:rPr>
          <w:rFonts w:hint="eastAsia" w:ascii="仿宋" w:hAnsi="仿宋" w:eastAsia="仿宋"/>
          <w:sz w:val="32"/>
          <w:szCs w:val="32"/>
        </w:rPr>
        <w:t>、委托业务费</w:t>
      </w:r>
      <w:r>
        <w:rPr>
          <w:rFonts w:hint="eastAsia" w:ascii="仿宋" w:hAnsi="仿宋" w:eastAsia="仿宋"/>
          <w:b/>
          <w:bCs/>
          <w:color w:val="auto"/>
          <w:sz w:val="32"/>
          <w:szCs w:val="32"/>
          <w:lang w:val="en-US" w:eastAsia="zh-CN"/>
        </w:rPr>
        <w:t>0</w:t>
      </w:r>
      <w:r>
        <w:rPr>
          <w:rFonts w:hint="eastAsia" w:ascii="仿宋" w:hAnsi="仿宋" w:eastAsia="仿宋"/>
          <w:color w:val="auto"/>
          <w:sz w:val="32"/>
          <w:szCs w:val="32"/>
          <w:lang w:val="en-US" w:eastAsia="zh-CN"/>
        </w:rPr>
        <w:t>万元</w:t>
      </w:r>
      <w:r>
        <w:rPr>
          <w:rFonts w:hint="eastAsia" w:ascii="仿宋" w:hAnsi="仿宋" w:eastAsia="仿宋"/>
          <w:sz w:val="32"/>
          <w:szCs w:val="32"/>
        </w:rPr>
        <w:t>、工会经费</w:t>
      </w:r>
      <w:r>
        <w:rPr>
          <w:rFonts w:hint="eastAsia" w:ascii="仿宋" w:hAnsi="仿宋" w:eastAsia="仿宋"/>
          <w:b/>
          <w:bCs/>
          <w:sz w:val="32"/>
          <w:szCs w:val="32"/>
          <w:lang w:val="en-US" w:eastAsia="zh-CN"/>
        </w:rPr>
        <w:t>5.86</w:t>
      </w:r>
      <w:r>
        <w:rPr>
          <w:rFonts w:hint="eastAsia" w:ascii="仿宋" w:hAnsi="仿宋" w:eastAsia="仿宋"/>
          <w:sz w:val="32"/>
          <w:szCs w:val="32"/>
          <w:lang w:val="en-US" w:eastAsia="zh-CN"/>
        </w:rPr>
        <w:t>万元</w:t>
      </w:r>
      <w:r>
        <w:rPr>
          <w:rFonts w:hint="eastAsia" w:ascii="仿宋" w:hAnsi="仿宋" w:eastAsia="仿宋"/>
          <w:sz w:val="32"/>
          <w:szCs w:val="32"/>
        </w:rPr>
        <w:t>、福利费</w:t>
      </w:r>
      <w:r>
        <w:rPr>
          <w:rFonts w:hint="eastAsia" w:ascii="仿宋" w:hAnsi="仿宋" w:eastAsia="仿宋"/>
          <w:b/>
          <w:bCs/>
          <w:color w:val="auto"/>
          <w:sz w:val="32"/>
          <w:szCs w:val="32"/>
          <w:lang w:val="en-US" w:eastAsia="zh-CN"/>
        </w:rPr>
        <w:t>0</w:t>
      </w:r>
      <w:r>
        <w:rPr>
          <w:rFonts w:hint="eastAsia" w:ascii="仿宋" w:hAnsi="仿宋" w:eastAsia="仿宋"/>
          <w:color w:val="auto"/>
          <w:sz w:val="32"/>
          <w:szCs w:val="32"/>
          <w:lang w:val="en-US" w:eastAsia="zh-CN"/>
        </w:rPr>
        <w:t>万元</w:t>
      </w:r>
      <w:r>
        <w:rPr>
          <w:rFonts w:hint="eastAsia" w:ascii="仿宋" w:hAnsi="仿宋" w:eastAsia="仿宋"/>
          <w:sz w:val="32"/>
          <w:szCs w:val="32"/>
        </w:rPr>
        <w:t>、公务用车运行维护费</w:t>
      </w:r>
      <w:r>
        <w:rPr>
          <w:rFonts w:hint="eastAsia" w:ascii="仿宋" w:hAnsi="仿宋" w:eastAsia="仿宋"/>
          <w:b/>
          <w:bCs/>
          <w:sz w:val="32"/>
          <w:szCs w:val="32"/>
          <w:lang w:val="en-US" w:eastAsia="zh-CN"/>
        </w:rPr>
        <w:t>4.69</w:t>
      </w:r>
      <w:r>
        <w:rPr>
          <w:rFonts w:hint="eastAsia" w:ascii="仿宋" w:hAnsi="仿宋" w:eastAsia="仿宋"/>
          <w:sz w:val="32"/>
          <w:szCs w:val="32"/>
          <w:lang w:val="en-US" w:eastAsia="zh-CN"/>
        </w:rPr>
        <w:t>万元</w:t>
      </w:r>
      <w:r>
        <w:rPr>
          <w:rFonts w:hint="eastAsia" w:ascii="仿宋" w:hAnsi="仿宋" w:eastAsia="仿宋"/>
          <w:sz w:val="32"/>
          <w:szCs w:val="32"/>
        </w:rPr>
        <w:t>、其他交通费</w:t>
      </w:r>
      <w:r>
        <w:rPr>
          <w:rFonts w:hint="eastAsia" w:ascii="仿宋" w:hAnsi="仿宋" w:eastAsia="仿宋"/>
          <w:b/>
          <w:bCs/>
          <w:color w:val="auto"/>
          <w:sz w:val="32"/>
          <w:szCs w:val="32"/>
          <w:lang w:val="en-US" w:eastAsia="zh-CN"/>
        </w:rPr>
        <w:t>0</w:t>
      </w:r>
      <w:r>
        <w:rPr>
          <w:rFonts w:hint="eastAsia" w:ascii="仿宋" w:hAnsi="仿宋" w:eastAsia="仿宋"/>
          <w:color w:val="auto"/>
          <w:sz w:val="32"/>
          <w:szCs w:val="32"/>
          <w:lang w:val="en-US" w:eastAsia="zh-CN"/>
        </w:rPr>
        <w:t>万元</w:t>
      </w:r>
      <w:r>
        <w:rPr>
          <w:rFonts w:hint="eastAsia" w:ascii="仿宋" w:hAnsi="仿宋" w:eastAsia="仿宋"/>
          <w:sz w:val="32"/>
          <w:szCs w:val="32"/>
        </w:rPr>
        <w:t>、税金及附加费用</w:t>
      </w:r>
      <w:r>
        <w:rPr>
          <w:rFonts w:hint="eastAsia" w:ascii="仿宋" w:hAnsi="仿宋" w:eastAsia="仿宋"/>
          <w:b/>
          <w:bCs/>
          <w:color w:val="auto"/>
          <w:sz w:val="32"/>
          <w:szCs w:val="32"/>
          <w:lang w:val="en-US" w:eastAsia="zh-CN"/>
        </w:rPr>
        <w:t>0</w:t>
      </w:r>
      <w:r>
        <w:rPr>
          <w:rFonts w:hint="eastAsia" w:ascii="仿宋" w:hAnsi="仿宋" w:eastAsia="仿宋"/>
          <w:color w:val="auto"/>
          <w:sz w:val="32"/>
          <w:szCs w:val="32"/>
          <w:lang w:val="en-US" w:eastAsia="zh-CN"/>
        </w:rPr>
        <w:t>万元</w:t>
      </w:r>
      <w:r>
        <w:rPr>
          <w:rFonts w:hint="eastAsia" w:ascii="仿宋" w:hAnsi="仿宋" w:eastAsia="仿宋"/>
          <w:sz w:val="32"/>
          <w:szCs w:val="32"/>
        </w:rPr>
        <w:t>、其他商品和服务支出</w:t>
      </w:r>
      <w:r>
        <w:rPr>
          <w:rFonts w:hint="eastAsia" w:ascii="仿宋" w:hAnsi="仿宋" w:eastAsia="仿宋"/>
          <w:b/>
          <w:bCs/>
          <w:color w:val="auto"/>
          <w:sz w:val="32"/>
          <w:szCs w:val="32"/>
          <w:lang w:val="en-US" w:eastAsia="zh-CN"/>
        </w:rPr>
        <w:t>0</w:t>
      </w:r>
      <w:r>
        <w:rPr>
          <w:rFonts w:hint="eastAsia" w:ascii="仿宋" w:hAnsi="仿宋" w:eastAsia="仿宋"/>
          <w:color w:val="auto"/>
          <w:sz w:val="32"/>
          <w:szCs w:val="32"/>
          <w:lang w:val="en-US" w:eastAsia="zh-CN"/>
        </w:rPr>
        <w:t>万元</w:t>
      </w:r>
      <w:r>
        <w:rPr>
          <w:rFonts w:hint="eastAsia" w:ascii="仿宋" w:hAnsi="仿宋" w:eastAsia="仿宋"/>
          <w:sz w:val="32"/>
          <w:szCs w:val="32"/>
        </w:rPr>
        <w:t>、办公设备购置</w:t>
      </w:r>
      <w:r>
        <w:rPr>
          <w:rFonts w:hint="eastAsia" w:ascii="仿宋" w:hAnsi="仿宋" w:eastAsia="仿宋"/>
          <w:b/>
          <w:bCs/>
          <w:color w:val="auto"/>
          <w:sz w:val="32"/>
          <w:szCs w:val="32"/>
          <w:lang w:val="en-US" w:eastAsia="zh-CN"/>
        </w:rPr>
        <w:t>0</w:t>
      </w:r>
      <w:r>
        <w:rPr>
          <w:rFonts w:hint="eastAsia" w:ascii="仿宋" w:hAnsi="仿宋" w:eastAsia="仿宋"/>
          <w:color w:val="auto"/>
          <w:sz w:val="32"/>
          <w:szCs w:val="32"/>
          <w:lang w:val="en-US" w:eastAsia="zh-CN"/>
        </w:rPr>
        <w:t>万元</w:t>
      </w:r>
      <w:r>
        <w:rPr>
          <w:rFonts w:hint="eastAsia" w:ascii="仿宋" w:hAnsi="仿宋" w:eastAsia="仿宋"/>
          <w:sz w:val="32"/>
          <w:szCs w:val="32"/>
        </w:rPr>
        <w:t>、专用设备购置</w:t>
      </w:r>
      <w:r>
        <w:rPr>
          <w:rFonts w:hint="eastAsia" w:ascii="仿宋" w:hAnsi="仿宋" w:eastAsia="仿宋"/>
          <w:b/>
          <w:bCs/>
          <w:color w:val="auto"/>
          <w:sz w:val="32"/>
          <w:szCs w:val="32"/>
          <w:lang w:val="en-US" w:eastAsia="zh-CN"/>
        </w:rPr>
        <w:t>0</w:t>
      </w:r>
      <w:r>
        <w:rPr>
          <w:rFonts w:hint="eastAsia" w:ascii="仿宋" w:hAnsi="仿宋" w:eastAsia="仿宋"/>
          <w:color w:val="auto"/>
          <w:sz w:val="32"/>
          <w:szCs w:val="32"/>
          <w:lang w:val="en-US" w:eastAsia="zh-CN"/>
        </w:rPr>
        <w:t>万元</w:t>
      </w:r>
      <w:r>
        <w:rPr>
          <w:rFonts w:hint="eastAsia" w:ascii="仿宋" w:hAnsi="仿宋" w:eastAsia="仿宋"/>
          <w:sz w:val="32"/>
          <w:szCs w:val="32"/>
        </w:rPr>
        <w:t>、信息网络及软件购置更新</w:t>
      </w:r>
      <w:r>
        <w:rPr>
          <w:rFonts w:hint="eastAsia" w:ascii="仿宋" w:hAnsi="仿宋" w:eastAsia="仿宋"/>
          <w:b/>
          <w:bCs/>
          <w:color w:val="auto"/>
          <w:sz w:val="32"/>
          <w:szCs w:val="32"/>
          <w:lang w:val="en-US" w:eastAsia="zh-CN"/>
        </w:rPr>
        <w:t>0</w:t>
      </w:r>
      <w:r>
        <w:rPr>
          <w:rFonts w:hint="eastAsia" w:ascii="仿宋" w:hAnsi="仿宋" w:eastAsia="仿宋"/>
          <w:color w:val="auto"/>
          <w:sz w:val="32"/>
          <w:szCs w:val="32"/>
          <w:lang w:val="en-US" w:eastAsia="zh-CN"/>
        </w:rPr>
        <w:t>万元</w:t>
      </w:r>
      <w:r>
        <w:rPr>
          <w:rFonts w:hint="eastAsia" w:ascii="仿宋" w:hAnsi="仿宋" w:eastAsia="仿宋"/>
          <w:sz w:val="32"/>
          <w:szCs w:val="32"/>
        </w:rPr>
        <w:t>、其他资本性支出</w:t>
      </w:r>
      <w:r>
        <w:rPr>
          <w:rFonts w:hint="eastAsia" w:ascii="仿宋" w:hAnsi="仿宋" w:eastAsia="仿宋"/>
          <w:b/>
          <w:bCs/>
          <w:color w:val="auto"/>
          <w:sz w:val="32"/>
          <w:szCs w:val="32"/>
          <w:lang w:val="en-US" w:eastAsia="zh-CN"/>
        </w:rPr>
        <w:t>0</w:t>
      </w:r>
      <w:r>
        <w:rPr>
          <w:rFonts w:hint="eastAsia" w:ascii="仿宋" w:hAnsi="仿宋" w:eastAsia="仿宋"/>
          <w:color w:val="auto"/>
          <w:sz w:val="32"/>
          <w:szCs w:val="32"/>
          <w:lang w:val="en-US" w:eastAsia="zh-CN"/>
        </w:rPr>
        <w:t>万元</w:t>
      </w:r>
      <w:r>
        <w:rPr>
          <w:rFonts w:hint="eastAsia" w:ascii="仿宋" w:hAnsi="仿宋" w:eastAsia="仿宋"/>
          <w:sz w:val="32"/>
          <w:szCs w:val="32"/>
        </w:rPr>
        <w:t>等。</w:t>
      </w:r>
    </w:p>
    <w:p w14:paraId="67A75793">
      <w:pPr>
        <w:spacing w:line="600" w:lineRule="exact"/>
        <w:ind w:firstLine="640"/>
        <w:outlineLvl w:val="1"/>
        <w:rPr>
          <w:rStyle w:val="31"/>
          <w:rFonts w:ascii="黑体" w:hAnsi="黑体" w:eastAsia="黑体"/>
          <w:b w:val="0"/>
        </w:rPr>
      </w:pPr>
      <w:bookmarkStart w:id="58" w:name="_Toc15377215"/>
      <w:bookmarkStart w:id="59" w:name="_Toc15396609"/>
      <w:bookmarkStart w:id="60" w:name="_Toc23055"/>
      <w:r>
        <w:rPr>
          <w:rFonts w:hint="eastAsia" w:ascii="黑体" w:eastAsia="黑体"/>
          <w:sz w:val="32"/>
          <w:szCs w:val="32"/>
        </w:rPr>
        <w:t>七、</w:t>
      </w:r>
      <w:r>
        <w:rPr>
          <w:rStyle w:val="31"/>
          <w:rFonts w:hint="eastAsia" w:ascii="黑体" w:hAnsi="黑体" w:eastAsia="黑体"/>
          <w:b w:val="0"/>
        </w:rPr>
        <w:t>财政拨款</w:t>
      </w:r>
      <w:r>
        <w:rPr>
          <w:rStyle w:val="31"/>
          <w:rFonts w:hint="eastAsia" w:ascii="黑体" w:hAnsi="黑体" w:eastAsia="黑体"/>
        </w:rPr>
        <w:t>“</w:t>
      </w:r>
      <w:r>
        <w:rPr>
          <w:rStyle w:val="31"/>
          <w:rFonts w:hint="eastAsia" w:ascii="黑体" w:hAnsi="黑体" w:eastAsia="黑体"/>
          <w:b w:val="0"/>
        </w:rPr>
        <w:t>三公”经费支出决算情况说明</w:t>
      </w:r>
      <w:bookmarkEnd w:id="58"/>
      <w:bookmarkEnd w:id="59"/>
      <w:bookmarkEnd w:id="60"/>
    </w:p>
    <w:p w14:paraId="6E31672D">
      <w:pPr>
        <w:spacing w:line="600" w:lineRule="exact"/>
        <w:ind w:firstLine="640"/>
        <w:outlineLvl w:val="2"/>
        <w:rPr>
          <w:rFonts w:ascii="仿宋" w:hAnsi="仿宋" w:eastAsia="仿宋"/>
          <w:b/>
          <w:sz w:val="32"/>
          <w:szCs w:val="32"/>
        </w:rPr>
      </w:pPr>
      <w:bookmarkStart w:id="61" w:name="_Toc5689"/>
      <w:bookmarkStart w:id="62" w:name="_Toc15377216"/>
      <w:r>
        <w:rPr>
          <w:rFonts w:hint="eastAsia" w:ascii="仿宋" w:hAnsi="仿宋" w:eastAsia="仿宋"/>
          <w:b/>
          <w:sz w:val="32"/>
          <w:szCs w:val="32"/>
        </w:rPr>
        <w:t>（一）“三公”经费财政拨款支出决算总体情况说明</w:t>
      </w:r>
      <w:bookmarkEnd w:id="61"/>
      <w:bookmarkEnd w:id="62"/>
    </w:p>
    <w:p w14:paraId="6AB4BA5A">
      <w:pPr>
        <w:spacing w:line="600" w:lineRule="exact"/>
        <w:ind w:firstLine="640"/>
        <w:rPr>
          <w:rFonts w:ascii="仿宋" w:hAnsi="仿宋" w:eastAsia="仿宋"/>
          <w:sz w:val="32"/>
          <w:szCs w:val="32"/>
        </w:rPr>
      </w:pPr>
      <w:r>
        <w:rPr>
          <w:rFonts w:hint="eastAsia" w:ascii="仿宋" w:hAnsi="仿宋" w:eastAsia="仿宋"/>
          <w:sz w:val="32"/>
          <w:szCs w:val="32"/>
        </w:rPr>
        <w:t>2023年度“三公”经费财政拨款支出决算为</w:t>
      </w:r>
      <w:r>
        <w:rPr>
          <w:rFonts w:ascii="仿宋" w:hAnsi="仿宋" w:eastAsia="仿宋"/>
          <w:b/>
          <w:sz w:val="32"/>
          <w:szCs w:val="32"/>
        </w:rPr>
        <w:t>4.69</w:t>
      </w:r>
      <w:r>
        <w:rPr>
          <w:rFonts w:hint="eastAsia" w:ascii="仿宋" w:hAnsi="仿宋" w:eastAsia="仿宋"/>
          <w:sz w:val="32"/>
          <w:szCs w:val="32"/>
        </w:rPr>
        <w:t>万元，完成预算</w:t>
      </w:r>
      <w:r>
        <w:rPr>
          <w:rFonts w:ascii="仿宋" w:hAnsi="仿宋" w:eastAsia="仿宋"/>
          <w:b/>
          <w:sz w:val="32"/>
          <w:szCs w:val="32"/>
        </w:rPr>
        <w:t>100</w:t>
      </w:r>
      <w:r>
        <w:rPr>
          <w:rFonts w:ascii="仿宋" w:hAnsi="仿宋" w:eastAsia="仿宋"/>
          <w:sz w:val="32"/>
          <w:szCs w:val="32"/>
        </w:rPr>
        <w:t>%</w:t>
      </w:r>
      <w:r>
        <w:rPr>
          <w:rFonts w:hint="eastAsia" w:ascii="仿宋" w:hAnsi="仿宋" w:eastAsia="仿宋"/>
          <w:sz w:val="32"/>
          <w:szCs w:val="32"/>
        </w:rPr>
        <w:t>，较上年度减少</w:t>
      </w:r>
      <w:r>
        <w:rPr>
          <w:rFonts w:hint="eastAsia" w:ascii="仿宋" w:hAnsi="仿宋" w:eastAsia="仿宋"/>
          <w:b/>
          <w:bCs/>
          <w:sz w:val="32"/>
          <w:szCs w:val="32"/>
          <w:lang w:val="en-US" w:eastAsia="zh-CN"/>
        </w:rPr>
        <w:t>3.96</w:t>
      </w:r>
      <w:r>
        <w:rPr>
          <w:rFonts w:hint="eastAsia" w:ascii="仿宋" w:hAnsi="仿宋" w:eastAsia="仿宋"/>
          <w:sz w:val="32"/>
          <w:szCs w:val="32"/>
        </w:rPr>
        <w:t>万元，下降</w:t>
      </w:r>
      <w:r>
        <w:rPr>
          <w:rFonts w:hint="eastAsia" w:ascii="仿宋" w:hAnsi="仿宋" w:eastAsia="仿宋"/>
          <w:b/>
          <w:bCs/>
          <w:sz w:val="32"/>
          <w:szCs w:val="32"/>
          <w:lang w:val="en-US" w:eastAsia="zh-CN"/>
        </w:rPr>
        <w:t>45.78</w:t>
      </w:r>
      <w:r>
        <w:rPr>
          <w:rFonts w:hint="eastAsia" w:ascii="仿宋" w:hAnsi="仿宋" w:eastAsia="仿宋"/>
          <w:sz w:val="32"/>
          <w:szCs w:val="32"/>
        </w:rPr>
        <w:t>%。决算数与预算数持平。</w:t>
      </w:r>
    </w:p>
    <w:p w14:paraId="0E89364A">
      <w:pPr>
        <w:spacing w:line="600" w:lineRule="exact"/>
        <w:ind w:firstLine="640"/>
        <w:outlineLvl w:val="2"/>
        <w:rPr>
          <w:rFonts w:ascii="仿宋" w:hAnsi="仿宋" w:eastAsia="仿宋"/>
          <w:b/>
          <w:sz w:val="32"/>
          <w:szCs w:val="32"/>
        </w:rPr>
      </w:pPr>
      <w:bookmarkStart w:id="63" w:name="_Toc27161"/>
      <w:bookmarkStart w:id="64" w:name="_Toc15377217"/>
      <w:r>
        <w:rPr>
          <w:rFonts w:hint="eastAsia" w:ascii="仿宋" w:hAnsi="仿宋" w:eastAsia="仿宋"/>
          <w:b/>
          <w:sz w:val="32"/>
          <w:szCs w:val="32"/>
        </w:rPr>
        <w:t>（二）“三公”经费财政拨款支出决算具体情况说明</w:t>
      </w:r>
      <w:bookmarkEnd w:id="63"/>
      <w:bookmarkEnd w:id="64"/>
    </w:p>
    <w:p w14:paraId="0BDED5FB">
      <w:pPr>
        <w:spacing w:line="600" w:lineRule="exact"/>
        <w:ind w:firstLine="640"/>
        <w:rPr>
          <w:rFonts w:ascii="仿宋" w:hAnsi="仿宋" w:eastAsia="仿宋"/>
          <w:sz w:val="32"/>
          <w:szCs w:val="32"/>
        </w:rPr>
      </w:pPr>
      <w:r>
        <w:rPr>
          <w:rFonts w:hint="eastAsia" w:ascii="仿宋" w:hAnsi="仿宋" w:eastAsia="仿宋"/>
          <w:sz w:val="32"/>
          <w:szCs w:val="32"/>
        </w:rPr>
        <w:t>2023年度“三公”经费财政拨款支出决算中，因公出国（境）费支出决算</w:t>
      </w:r>
      <w:r>
        <w:rPr>
          <w:rFonts w:ascii="仿宋" w:hAnsi="仿宋" w:eastAsia="仿宋"/>
          <w:b/>
          <w:sz w:val="32"/>
          <w:szCs w:val="32"/>
        </w:rPr>
        <w:t>0</w:t>
      </w:r>
      <w:r>
        <w:rPr>
          <w:rFonts w:hint="eastAsia" w:ascii="仿宋" w:hAnsi="仿宋" w:eastAsia="仿宋"/>
          <w:sz w:val="32"/>
          <w:szCs w:val="32"/>
        </w:rPr>
        <w:t>万元，占</w:t>
      </w:r>
      <w:r>
        <w:rPr>
          <w:rFonts w:ascii="仿宋" w:hAnsi="仿宋" w:eastAsia="仿宋"/>
          <w:b/>
          <w:sz w:val="32"/>
          <w:szCs w:val="32"/>
        </w:rPr>
        <w:t>0</w:t>
      </w:r>
      <w:r>
        <w:rPr>
          <w:rFonts w:ascii="仿宋" w:hAnsi="仿宋" w:eastAsia="仿宋"/>
          <w:sz w:val="32"/>
          <w:szCs w:val="32"/>
        </w:rPr>
        <w:t>%</w:t>
      </w:r>
      <w:r>
        <w:rPr>
          <w:rFonts w:hint="eastAsia" w:ascii="仿宋" w:hAnsi="仿宋" w:eastAsia="仿宋"/>
          <w:sz w:val="32"/>
          <w:szCs w:val="32"/>
        </w:rPr>
        <w:t>；公务用车购置及运行维护费支出决算</w:t>
      </w:r>
      <w:r>
        <w:rPr>
          <w:rFonts w:ascii="仿宋" w:hAnsi="仿宋" w:eastAsia="仿宋"/>
          <w:b/>
          <w:sz w:val="32"/>
          <w:szCs w:val="32"/>
        </w:rPr>
        <w:t>4.69</w:t>
      </w:r>
      <w:r>
        <w:rPr>
          <w:rFonts w:hint="eastAsia" w:ascii="仿宋" w:hAnsi="仿宋" w:eastAsia="仿宋"/>
          <w:sz w:val="32"/>
          <w:szCs w:val="32"/>
        </w:rPr>
        <w:t>万元，占</w:t>
      </w:r>
      <w:r>
        <w:rPr>
          <w:rFonts w:ascii="仿宋" w:hAnsi="仿宋" w:eastAsia="仿宋"/>
          <w:b/>
          <w:sz w:val="32"/>
          <w:szCs w:val="32"/>
        </w:rPr>
        <w:t>100</w:t>
      </w:r>
      <w:r>
        <w:rPr>
          <w:rFonts w:ascii="仿宋" w:hAnsi="仿宋" w:eastAsia="仿宋"/>
          <w:sz w:val="32"/>
          <w:szCs w:val="32"/>
        </w:rPr>
        <w:t>%</w:t>
      </w:r>
      <w:r>
        <w:rPr>
          <w:rFonts w:hint="eastAsia" w:ascii="仿宋" w:hAnsi="仿宋" w:eastAsia="仿宋"/>
          <w:sz w:val="32"/>
          <w:szCs w:val="32"/>
        </w:rPr>
        <w:t>；公务接待费支出决算</w:t>
      </w:r>
      <w:r>
        <w:rPr>
          <w:rFonts w:ascii="仿宋" w:hAnsi="仿宋" w:eastAsia="仿宋"/>
          <w:b/>
          <w:sz w:val="32"/>
          <w:szCs w:val="32"/>
        </w:rPr>
        <w:t>0</w:t>
      </w:r>
      <w:r>
        <w:rPr>
          <w:rFonts w:hint="eastAsia" w:ascii="仿宋" w:hAnsi="仿宋" w:eastAsia="仿宋"/>
          <w:sz w:val="32"/>
          <w:szCs w:val="32"/>
        </w:rPr>
        <w:t>万元，占</w:t>
      </w:r>
      <w:r>
        <w:rPr>
          <w:rFonts w:ascii="仿宋" w:hAnsi="仿宋" w:eastAsia="仿宋"/>
          <w:b/>
          <w:sz w:val="32"/>
          <w:szCs w:val="32"/>
        </w:rPr>
        <w:t>0</w:t>
      </w:r>
      <w:r>
        <w:rPr>
          <w:rFonts w:ascii="仿宋" w:hAnsi="仿宋" w:eastAsia="仿宋"/>
          <w:sz w:val="32"/>
          <w:szCs w:val="32"/>
        </w:rPr>
        <w:t>%</w:t>
      </w:r>
      <w:r>
        <w:rPr>
          <w:rFonts w:hint="eastAsia" w:ascii="仿宋" w:hAnsi="仿宋" w:eastAsia="仿宋"/>
          <w:sz w:val="32"/>
          <w:szCs w:val="32"/>
        </w:rPr>
        <w:t>。具体情况如下：</w:t>
      </w:r>
      <w:r>
        <w:rPr>
          <w:rFonts w:hint="eastAsia" w:ascii="仿宋" w:hAnsi="仿宋" w:eastAsia="仿宋"/>
          <w:sz w:val="32"/>
          <w:szCs w:val="32"/>
          <w:lang w:eastAsia="zh-CN"/>
        </w:rPr>
        <w:drawing>
          <wp:anchor distT="0" distB="0" distL="114300" distR="114300" simplePos="0" relativeHeight="251664384" behindDoc="0" locked="0" layoutInCell="1" allowOverlap="1">
            <wp:simplePos x="0" y="0"/>
            <wp:positionH relativeFrom="column">
              <wp:posOffset>135890</wp:posOffset>
            </wp:positionH>
            <wp:positionV relativeFrom="paragraph">
              <wp:posOffset>67945</wp:posOffset>
            </wp:positionV>
            <wp:extent cx="4796155" cy="2182495"/>
            <wp:effectExtent l="4445" t="4445" r="19050" b="22860"/>
            <wp:wrapTopAndBottom/>
            <wp:docPr id="8"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anchor>
        </w:drawing>
      </w:r>
    </w:p>
    <w:p w14:paraId="05182FB3">
      <w:pPr>
        <w:spacing w:line="600" w:lineRule="exact"/>
        <w:ind w:firstLine="640"/>
        <w:rPr>
          <w:rFonts w:ascii="仿宋_GB2312" w:eastAsia="仿宋_GB2312"/>
          <w:b/>
          <w:sz w:val="32"/>
          <w:szCs w:val="32"/>
        </w:rPr>
      </w:pPr>
      <w:bookmarkStart w:id="65" w:name="_Toc15377218"/>
      <w:bookmarkStart w:id="66" w:name="_Toc15396610"/>
      <w:r>
        <w:rPr>
          <w:rFonts w:ascii="仿宋_GB2312" w:eastAsia="仿宋_GB2312"/>
          <w:b/>
          <w:sz w:val="32"/>
          <w:szCs w:val="32"/>
        </w:rPr>
        <w:t>1.</w:t>
      </w:r>
      <w:r>
        <w:rPr>
          <w:rFonts w:hint="eastAsia" w:ascii="仿宋_GB2312" w:eastAsia="仿宋_GB2312"/>
          <w:b/>
          <w:sz w:val="32"/>
          <w:szCs w:val="32"/>
        </w:rPr>
        <w:t>因公出国（境）经费支出</w:t>
      </w:r>
      <w:r>
        <w:rPr>
          <w:rFonts w:ascii="仿宋" w:hAnsi="仿宋" w:eastAsia="仿宋"/>
          <w:b/>
          <w:sz w:val="32"/>
          <w:szCs w:val="32"/>
        </w:rPr>
        <w:t>0</w:t>
      </w:r>
      <w:r>
        <w:rPr>
          <w:rFonts w:hint="eastAsia" w:ascii="仿宋_GB2312" w:eastAsia="仿宋_GB2312"/>
          <w:sz w:val="32"/>
          <w:szCs w:val="32"/>
        </w:rPr>
        <w:t>万元，</w:t>
      </w:r>
      <w:r>
        <w:rPr>
          <w:rStyle w:val="19"/>
          <w:rFonts w:hint="eastAsia" w:ascii="仿宋" w:hAnsi="仿宋" w:eastAsia="仿宋"/>
          <w:b w:val="0"/>
          <w:bCs/>
          <w:sz w:val="32"/>
          <w:szCs w:val="32"/>
        </w:rPr>
        <w:t>完成预算</w:t>
      </w:r>
      <w:r>
        <w:rPr>
          <w:rStyle w:val="19"/>
          <w:rFonts w:ascii="仿宋" w:hAnsi="仿宋" w:eastAsia="仿宋"/>
          <w:bCs/>
          <w:sz w:val="32"/>
          <w:szCs w:val="32"/>
        </w:rPr>
        <w:t>0</w:t>
      </w:r>
      <w:r>
        <w:rPr>
          <w:rStyle w:val="19"/>
          <w:rFonts w:ascii="仿宋" w:hAnsi="仿宋" w:eastAsia="仿宋"/>
          <w:b w:val="0"/>
          <w:bCs/>
          <w:sz w:val="32"/>
          <w:szCs w:val="32"/>
        </w:rPr>
        <w:t>%</w:t>
      </w:r>
      <w:r>
        <w:rPr>
          <w:rStyle w:val="19"/>
          <w:rFonts w:hint="eastAsia" w:ascii="仿宋" w:hAnsi="仿宋" w:eastAsia="仿宋"/>
          <w:b w:val="0"/>
          <w:bCs/>
          <w:sz w:val="32"/>
          <w:szCs w:val="32"/>
        </w:rPr>
        <w:t>。</w:t>
      </w:r>
      <w:r>
        <w:rPr>
          <w:rFonts w:hint="eastAsia" w:ascii="仿宋_GB2312" w:eastAsia="仿宋_GB2312"/>
          <w:sz w:val="32"/>
          <w:szCs w:val="32"/>
        </w:rPr>
        <w:t>全年安排因公出国（境）团组</w:t>
      </w:r>
      <w:r>
        <w:rPr>
          <w:rFonts w:ascii="仿宋_GB2312" w:eastAsia="仿宋_GB2312"/>
          <w:b/>
          <w:sz w:val="32"/>
          <w:szCs w:val="32"/>
        </w:rPr>
        <w:t>0</w:t>
      </w:r>
      <w:r>
        <w:rPr>
          <w:rFonts w:hint="eastAsia" w:ascii="仿宋_GB2312" w:eastAsia="仿宋_GB2312"/>
          <w:sz w:val="32"/>
          <w:szCs w:val="32"/>
        </w:rPr>
        <w:t>次，出国（境）</w:t>
      </w:r>
      <w:r>
        <w:rPr>
          <w:rFonts w:ascii="仿宋_GB2312" w:eastAsia="仿宋_GB2312"/>
          <w:b/>
          <w:sz w:val="32"/>
          <w:szCs w:val="32"/>
        </w:rPr>
        <w:t>0</w:t>
      </w:r>
      <w:r>
        <w:rPr>
          <w:rFonts w:hint="eastAsia" w:ascii="仿宋_GB2312" w:eastAsia="仿宋_GB2312"/>
          <w:sz w:val="32"/>
          <w:szCs w:val="32"/>
        </w:rPr>
        <w:t>人。因公出国（境）支出决算比2022年增加</w:t>
      </w:r>
      <w:r>
        <w:rPr>
          <w:rFonts w:ascii="仿宋_GB2312" w:eastAsia="仿宋_GB2312"/>
          <w:sz w:val="32"/>
          <w:szCs w:val="32"/>
        </w:rPr>
        <w:t>/</w:t>
      </w:r>
      <w:r>
        <w:rPr>
          <w:rFonts w:hint="eastAsia" w:ascii="仿宋_GB2312" w:eastAsia="仿宋_GB2312"/>
          <w:sz w:val="32"/>
          <w:szCs w:val="32"/>
        </w:rPr>
        <w:t>减少</w:t>
      </w:r>
      <w:r>
        <w:rPr>
          <w:rFonts w:hint="eastAsia" w:ascii="仿宋_GB2312" w:eastAsia="仿宋_GB2312"/>
          <w:b/>
          <w:bCs/>
          <w:sz w:val="32"/>
          <w:szCs w:val="32"/>
          <w:lang w:val="en-US" w:eastAsia="zh-CN"/>
        </w:rPr>
        <w:t>0</w:t>
      </w:r>
      <w:r>
        <w:rPr>
          <w:rFonts w:hint="eastAsia" w:ascii="仿宋_GB2312" w:eastAsia="仿宋_GB2312"/>
          <w:sz w:val="32"/>
          <w:szCs w:val="32"/>
        </w:rPr>
        <w:t>万元，增长</w:t>
      </w:r>
      <w:r>
        <w:rPr>
          <w:rFonts w:ascii="仿宋_GB2312" w:eastAsia="仿宋_GB2312"/>
          <w:sz w:val="32"/>
          <w:szCs w:val="32"/>
        </w:rPr>
        <w:t>/</w:t>
      </w:r>
      <w:r>
        <w:rPr>
          <w:rFonts w:hint="eastAsia" w:ascii="仿宋_GB2312" w:eastAsia="仿宋_GB2312"/>
          <w:sz w:val="32"/>
          <w:szCs w:val="32"/>
        </w:rPr>
        <w:t>下降</w:t>
      </w:r>
      <w:r>
        <w:rPr>
          <w:rFonts w:hint="eastAsia" w:ascii="仿宋_GB2312" w:eastAsia="仿宋_GB2312"/>
          <w:b/>
          <w:bCs/>
          <w:sz w:val="32"/>
          <w:szCs w:val="32"/>
          <w:lang w:val="en-US" w:eastAsia="zh-CN"/>
        </w:rPr>
        <w:t>0</w:t>
      </w:r>
      <w:r>
        <w:rPr>
          <w:rFonts w:ascii="仿宋_GB2312" w:eastAsia="仿宋_GB2312"/>
          <w:sz w:val="32"/>
          <w:szCs w:val="32"/>
        </w:rPr>
        <w:t>%</w:t>
      </w:r>
      <w:r>
        <w:rPr>
          <w:rFonts w:hint="eastAsia" w:ascii="仿宋_GB2312" w:eastAsia="仿宋_GB2312"/>
          <w:sz w:val="32"/>
          <w:szCs w:val="32"/>
        </w:rPr>
        <w:t>。</w:t>
      </w:r>
    </w:p>
    <w:p w14:paraId="6D688583">
      <w:pPr>
        <w:spacing w:line="600" w:lineRule="exact"/>
        <w:ind w:firstLine="640"/>
        <w:rPr>
          <w:rFonts w:ascii="仿宋_GB2312" w:eastAsia="仿宋_GB2312"/>
          <w:b/>
          <w:sz w:val="32"/>
          <w:szCs w:val="32"/>
        </w:rPr>
      </w:pPr>
      <w:r>
        <w:rPr>
          <w:rFonts w:ascii="仿宋_GB2312" w:eastAsia="仿宋_GB2312"/>
          <w:b/>
          <w:color w:val="auto"/>
          <w:sz w:val="32"/>
          <w:szCs w:val="32"/>
        </w:rPr>
        <w:t>2.</w:t>
      </w:r>
      <w:r>
        <w:rPr>
          <w:rFonts w:hint="eastAsia" w:ascii="仿宋_GB2312" w:eastAsia="仿宋_GB2312"/>
          <w:b/>
          <w:color w:val="auto"/>
          <w:sz w:val="32"/>
          <w:szCs w:val="32"/>
        </w:rPr>
        <w:t>公务用车购置及运行维护费支出</w:t>
      </w:r>
      <w:r>
        <w:rPr>
          <w:rFonts w:ascii="仿宋" w:hAnsi="仿宋" w:eastAsia="仿宋"/>
          <w:b/>
          <w:color w:val="auto"/>
          <w:sz w:val="32"/>
          <w:szCs w:val="32"/>
        </w:rPr>
        <w:t>4.69</w:t>
      </w:r>
      <w:r>
        <w:rPr>
          <w:rFonts w:hint="eastAsia" w:ascii="仿宋_GB2312" w:eastAsia="仿宋_GB2312"/>
          <w:color w:val="auto"/>
          <w:sz w:val="32"/>
          <w:szCs w:val="32"/>
        </w:rPr>
        <w:t>万元</w:t>
      </w:r>
      <w:r>
        <w:rPr>
          <w:rFonts w:hint="eastAsia" w:ascii="仿宋_GB2312" w:eastAsia="仿宋_GB2312"/>
          <w:color w:val="auto"/>
          <w:sz w:val="32"/>
          <w:szCs w:val="32"/>
          <w:lang w:eastAsia="zh-CN"/>
        </w:rPr>
        <w:t>，</w:t>
      </w:r>
      <w:r>
        <w:rPr>
          <w:rStyle w:val="19"/>
          <w:rFonts w:hint="eastAsia" w:ascii="仿宋" w:hAnsi="仿宋" w:eastAsia="仿宋"/>
          <w:b w:val="0"/>
          <w:bCs/>
          <w:color w:val="auto"/>
          <w:sz w:val="32"/>
          <w:szCs w:val="32"/>
        </w:rPr>
        <w:t>完成预算</w:t>
      </w:r>
      <w:r>
        <w:rPr>
          <w:rStyle w:val="19"/>
          <w:rFonts w:ascii="仿宋" w:hAnsi="仿宋" w:eastAsia="仿宋"/>
          <w:bCs/>
          <w:sz w:val="32"/>
          <w:szCs w:val="32"/>
        </w:rPr>
        <w:t>100</w:t>
      </w:r>
      <w:r>
        <w:rPr>
          <w:rStyle w:val="19"/>
          <w:rFonts w:ascii="仿宋" w:hAnsi="仿宋" w:eastAsia="仿宋"/>
          <w:b w:val="0"/>
          <w:bCs/>
          <w:sz w:val="32"/>
          <w:szCs w:val="32"/>
        </w:rPr>
        <w:t>%</w:t>
      </w:r>
      <w:r>
        <w:rPr>
          <w:rStyle w:val="19"/>
          <w:rFonts w:hint="eastAsia" w:ascii="仿宋" w:hAnsi="仿宋" w:eastAsia="仿宋"/>
          <w:b w:val="0"/>
          <w:bCs/>
          <w:sz w:val="32"/>
          <w:szCs w:val="32"/>
        </w:rPr>
        <w:t>。</w:t>
      </w:r>
      <w:r>
        <w:rPr>
          <w:rFonts w:hint="eastAsia" w:ascii="仿宋_GB2312" w:eastAsia="仿宋_GB2312"/>
          <w:sz w:val="32"/>
          <w:szCs w:val="32"/>
        </w:rPr>
        <w:t>公务用车购置及运行维护费支出决算比2022年度减少</w:t>
      </w:r>
      <w:r>
        <w:rPr>
          <w:rFonts w:hint="eastAsia" w:ascii="仿宋" w:hAnsi="仿宋" w:eastAsia="仿宋"/>
          <w:b/>
          <w:color w:val="auto"/>
          <w:sz w:val="32"/>
          <w:szCs w:val="32"/>
          <w:lang w:val="en-US" w:eastAsia="zh-CN"/>
        </w:rPr>
        <w:t>3.96</w:t>
      </w:r>
      <w:r>
        <w:rPr>
          <w:rFonts w:hint="eastAsia" w:ascii="仿宋_GB2312" w:eastAsia="仿宋_GB2312"/>
          <w:sz w:val="32"/>
          <w:szCs w:val="32"/>
        </w:rPr>
        <w:t>万元，下降</w:t>
      </w:r>
      <w:r>
        <w:rPr>
          <w:rFonts w:hint="eastAsia" w:ascii="仿宋" w:hAnsi="仿宋" w:eastAsia="仿宋"/>
          <w:b/>
          <w:color w:val="auto"/>
          <w:sz w:val="32"/>
          <w:szCs w:val="32"/>
          <w:lang w:val="en-US" w:eastAsia="zh-CN"/>
        </w:rPr>
        <w:t>45.78</w:t>
      </w:r>
      <w:r>
        <w:rPr>
          <w:rFonts w:ascii="仿宋_GB2312" w:eastAsia="仿宋_GB2312"/>
          <w:sz w:val="32"/>
          <w:szCs w:val="32"/>
        </w:rPr>
        <w:t>%</w:t>
      </w:r>
      <w:r>
        <w:rPr>
          <w:rFonts w:hint="eastAsia" w:ascii="仿宋_GB2312" w:eastAsia="仿宋_GB2312"/>
          <w:sz w:val="32"/>
          <w:szCs w:val="32"/>
        </w:rPr>
        <w:t>。</w:t>
      </w:r>
      <w:r>
        <w:rPr>
          <w:rFonts w:hint="eastAsia" w:ascii="仿宋_GB2312" w:eastAsia="仿宋_GB2312"/>
          <w:color w:val="auto"/>
          <w:sz w:val="32"/>
          <w:szCs w:val="32"/>
        </w:rPr>
        <w:t>主要原因</w:t>
      </w:r>
      <w:r>
        <w:rPr>
          <w:rFonts w:hint="eastAsia" w:ascii="仿宋_GB2312" w:eastAsia="仿宋_GB2312"/>
          <w:color w:val="auto"/>
          <w:sz w:val="32"/>
          <w:szCs w:val="32"/>
          <w:lang w:eastAsia="zh-CN"/>
        </w:rPr>
        <w:t>一是单位整体预算下降，二是新型冠状病毒疫情得以控制，处理突发公共卫生事件的频次减少，公务用车运行维护费减少</w:t>
      </w:r>
      <w:r>
        <w:rPr>
          <w:rFonts w:hint="eastAsia" w:ascii="仿宋_GB2312" w:eastAsia="仿宋_GB2312"/>
          <w:sz w:val="32"/>
          <w:szCs w:val="32"/>
        </w:rPr>
        <w:t>。</w:t>
      </w:r>
    </w:p>
    <w:p w14:paraId="7333C56C">
      <w:pPr>
        <w:spacing w:line="600" w:lineRule="exact"/>
        <w:ind w:firstLine="640" w:firstLineChars="200"/>
        <w:rPr>
          <w:rFonts w:ascii="仿宋_GB2312" w:eastAsia="仿宋_GB2312"/>
          <w:b/>
          <w:sz w:val="32"/>
          <w:szCs w:val="32"/>
        </w:rPr>
      </w:pPr>
      <w:r>
        <w:rPr>
          <w:rFonts w:hint="eastAsia" w:ascii="仿宋_GB2312" w:eastAsia="仿宋_GB2312"/>
          <w:sz w:val="32"/>
          <w:szCs w:val="32"/>
        </w:rPr>
        <w:t>其中：</w:t>
      </w:r>
      <w:r>
        <w:rPr>
          <w:rFonts w:hint="eastAsia" w:ascii="仿宋_GB2312" w:eastAsia="仿宋_GB2312"/>
          <w:b/>
          <w:sz w:val="32"/>
          <w:szCs w:val="32"/>
        </w:rPr>
        <w:t>公务用车购置支出</w:t>
      </w:r>
      <w:r>
        <w:rPr>
          <w:rFonts w:ascii="仿宋" w:hAnsi="仿宋" w:eastAsia="仿宋"/>
          <w:b/>
          <w:sz w:val="32"/>
          <w:szCs w:val="32"/>
        </w:rPr>
        <w:t>0</w:t>
      </w:r>
      <w:r>
        <w:rPr>
          <w:rFonts w:hint="eastAsia" w:ascii="仿宋_GB2312" w:eastAsia="仿宋_GB2312"/>
          <w:sz w:val="32"/>
          <w:szCs w:val="32"/>
        </w:rPr>
        <w:t>万元。全年按规定更新购置公务用车</w:t>
      </w:r>
      <w:r>
        <w:rPr>
          <w:rFonts w:hint="eastAsia" w:ascii="仿宋_GB2312" w:eastAsia="仿宋_GB2312"/>
          <w:sz w:val="32"/>
          <w:szCs w:val="32"/>
          <w:lang w:val="en-US" w:eastAsia="zh-CN"/>
        </w:rPr>
        <w:t>0</w:t>
      </w:r>
      <w:r>
        <w:rPr>
          <w:rFonts w:hint="eastAsia" w:ascii="仿宋_GB2312" w:eastAsia="仿宋_GB2312"/>
          <w:sz w:val="32"/>
          <w:szCs w:val="32"/>
        </w:rPr>
        <w:t>辆，其中：轿车</w:t>
      </w:r>
      <w:r>
        <w:rPr>
          <w:rFonts w:hint="eastAsia" w:ascii="仿宋_GB2312" w:eastAsia="仿宋_GB2312"/>
          <w:sz w:val="32"/>
          <w:szCs w:val="32"/>
          <w:lang w:val="en-US" w:eastAsia="zh-CN"/>
        </w:rPr>
        <w:t>0</w:t>
      </w:r>
      <w:r>
        <w:rPr>
          <w:rFonts w:hint="eastAsia" w:ascii="仿宋_GB2312" w:eastAsia="仿宋_GB2312"/>
          <w:sz w:val="32"/>
          <w:szCs w:val="32"/>
        </w:rPr>
        <w:t>辆、金额</w:t>
      </w:r>
      <w:r>
        <w:rPr>
          <w:rFonts w:hint="eastAsia" w:ascii="仿宋_GB2312" w:eastAsia="仿宋_GB2312"/>
          <w:sz w:val="32"/>
          <w:szCs w:val="32"/>
          <w:lang w:val="en-US" w:eastAsia="zh-CN"/>
        </w:rPr>
        <w:t>0</w:t>
      </w:r>
      <w:r>
        <w:rPr>
          <w:rFonts w:hint="eastAsia" w:ascii="仿宋_GB2312" w:eastAsia="仿宋_GB2312"/>
          <w:sz w:val="32"/>
          <w:szCs w:val="32"/>
        </w:rPr>
        <w:t>万元，越野车</w:t>
      </w:r>
      <w:r>
        <w:rPr>
          <w:rFonts w:hint="eastAsia" w:ascii="仿宋_GB2312" w:eastAsia="仿宋_GB2312"/>
          <w:sz w:val="32"/>
          <w:szCs w:val="32"/>
          <w:lang w:val="en-US" w:eastAsia="zh-CN"/>
        </w:rPr>
        <w:t>0</w:t>
      </w:r>
      <w:r>
        <w:rPr>
          <w:rFonts w:hint="eastAsia" w:ascii="仿宋_GB2312" w:eastAsia="仿宋_GB2312"/>
          <w:sz w:val="32"/>
          <w:szCs w:val="32"/>
        </w:rPr>
        <w:t>辆、金额</w:t>
      </w:r>
      <w:r>
        <w:rPr>
          <w:rFonts w:hint="eastAsia" w:ascii="仿宋_GB2312" w:eastAsia="仿宋_GB2312"/>
          <w:sz w:val="32"/>
          <w:szCs w:val="32"/>
          <w:lang w:val="en-US" w:eastAsia="zh-CN"/>
        </w:rPr>
        <w:t>0</w:t>
      </w:r>
      <w:r>
        <w:rPr>
          <w:rFonts w:hint="eastAsia" w:ascii="仿宋_GB2312" w:eastAsia="仿宋_GB2312"/>
          <w:sz w:val="32"/>
          <w:szCs w:val="32"/>
        </w:rPr>
        <w:t>万元，载客汽车</w:t>
      </w:r>
      <w:r>
        <w:rPr>
          <w:rFonts w:hint="eastAsia" w:ascii="仿宋_GB2312" w:eastAsia="仿宋_GB2312"/>
          <w:sz w:val="32"/>
          <w:szCs w:val="32"/>
          <w:lang w:val="en-US" w:eastAsia="zh-CN"/>
        </w:rPr>
        <w:t>0</w:t>
      </w:r>
      <w:r>
        <w:rPr>
          <w:rFonts w:hint="eastAsia" w:ascii="仿宋_GB2312" w:eastAsia="仿宋_GB2312"/>
          <w:sz w:val="32"/>
          <w:szCs w:val="32"/>
        </w:rPr>
        <w:t>辆、金额</w:t>
      </w:r>
      <w:r>
        <w:rPr>
          <w:rFonts w:hint="eastAsia" w:ascii="仿宋_GB2312" w:eastAsia="仿宋_GB2312"/>
          <w:sz w:val="32"/>
          <w:szCs w:val="32"/>
          <w:lang w:val="en-US" w:eastAsia="zh-CN"/>
        </w:rPr>
        <w:t>0</w:t>
      </w:r>
      <w:r>
        <w:rPr>
          <w:rFonts w:hint="eastAsia" w:ascii="仿宋_GB2312" w:eastAsia="仿宋_GB2312"/>
          <w:sz w:val="32"/>
          <w:szCs w:val="32"/>
        </w:rPr>
        <w:t>万元。截至2023年</w:t>
      </w:r>
      <w:r>
        <w:rPr>
          <w:rFonts w:ascii="仿宋_GB2312" w:eastAsia="仿宋_GB2312"/>
          <w:sz w:val="32"/>
          <w:szCs w:val="32"/>
        </w:rPr>
        <w:t>12</w:t>
      </w:r>
      <w:r>
        <w:rPr>
          <w:rFonts w:hint="eastAsia" w:ascii="仿宋_GB2312" w:eastAsia="仿宋_GB2312"/>
          <w:sz w:val="32"/>
          <w:szCs w:val="32"/>
        </w:rPr>
        <w:t>月31日，单位共有公务用车</w:t>
      </w:r>
      <w:r>
        <w:rPr>
          <w:rFonts w:hint="eastAsia" w:ascii="仿宋_GB2312" w:eastAsia="仿宋_GB2312"/>
          <w:sz w:val="32"/>
          <w:szCs w:val="32"/>
          <w:lang w:val="en-US" w:eastAsia="zh-CN"/>
        </w:rPr>
        <w:t>7</w:t>
      </w:r>
      <w:r>
        <w:rPr>
          <w:rFonts w:hint="eastAsia" w:ascii="仿宋_GB2312" w:eastAsia="仿宋_GB2312"/>
          <w:sz w:val="32"/>
          <w:szCs w:val="32"/>
        </w:rPr>
        <w:t>辆，其中：轿车</w:t>
      </w:r>
      <w:r>
        <w:rPr>
          <w:rFonts w:hint="eastAsia" w:ascii="仿宋_GB2312" w:eastAsia="仿宋_GB2312"/>
          <w:sz w:val="32"/>
          <w:szCs w:val="32"/>
          <w:lang w:val="en-US" w:eastAsia="zh-CN"/>
        </w:rPr>
        <w:t>0</w:t>
      </w:r>
      <w:r>
        <w:rPr>
          <w:rFonts w:hint="eastAsia" w:ascii="仿宋_GB2312" w:eastAsia="仿宋_GB2312"/>
          <w:sz w:val="32"/>
          <w:szCs w:val="32"/>
        </w:rPr>
        <w:t>辆、越野车</w:t>
      </w:r>
      <w:r>
        <w:rPr>
          <w:rFonts w:hint="eastAsia" w:ascii="仿宋_GB2312" w:eastAsia="仿宋_GB2312"/>
          <w:sz w:val="32"/>
          <w:szCs w:val="32"/>
          <w:lang w:val="en-US" w:eastAsia="zh-CN"/>
        </w:rPr>
        <w:t>7</w:t>
      </w:r>
      <w:r>
        <w:rPr>
          <w:rFonts w:hint="eastAsia" w:ascii="仿宋_GB2312" w:eastAsia="仿宋_GB2312"/>
          <w:sz w:val="32"/>
          <w:szCs w:val="32"/>
        </w:rPr>
        <w:t>辆、载客汽车</w:t>
      </w:r>
      <w:r>
        <w:rPr>
          <w:rFonts w:hint="eastAsia" w:ascii="仿宋_GB2312" w:eastAsia="仿宋_GB2312"/>
          <w:sz w:val="32"/>
          <w:szCs w:val="32"/>
          <w:lang w:val="en-US" w:eastAsia="zh-CN"/>
        </w:rPr>
        <w:t>0</w:t>
      </w:r>
      <w:r>
        <w:rPr>
          <w:rFonts w:hint="eastAsia" w:ascii="仿宋_GB2312" w:eastAsia="仿宋_GB2312"/>
          <w:sz w:val="32"/>
          <w:szCs w:val="32"/>
        </w:rPr>
        <w:t>辆。</w:t>
      </w:r>
    </w:p>
    <w:p w14:paraId="7AD33F51">
      <w:pPr>
        <w:spacing w:line="600" w:lineRule="exact"/>
        <w:ind w:firstLine="640"/>
        <w:rPr>
          <w:rFonts w:ascii="仿宋_GB2312" w:eastAsia="仿宋_GB2312"/>
          <w:color w:val="auto"/>
          <w:sz w:val="32"/>
          <w:szCs w:val="32"/>
        </w:rPr>
      </w:pPr>
      <w:r>
        <w:rPr>
          <w:rFonts w:hint="eastAsia" w:ascii="仿宋_GB2312" w:eastAsia="仿宋_GB2312"/>
          <w:b/>
          <w:sz w:val="32"/>
          <w:szCs w:val="32"/>
        </w:rPr>
        <w:t>公务用车运行维护费支出</w:t>
      </w:r>
      <w:r>
        <w:rPr>
          <w:rFonts w:ascii="仿宋" w:hAnsi="仿宋" w:eastAsia="仿宋"/>
          <w:b/>
          <w:sz w:val="32"/>
          <w:szCs w:val="32"/>
        </w:rPr>
        <w:t>4.69</w:t>
      </w:r>
      <w:r>
        <w:rPr>
          <w:rFonts w:hint="eastAsia" w:ascii="仿宋_GB2312" w:eastAsia="仿宋_GB2312"/>
          <w:sz w:val="32"/>
          <w:szCs w:val="32"/>
        </w:rPr>
        <w:t>万元</w:t>
      </w:r>
      <w:r>
        <w:rPr>
          <w:rFonts w:hint="eastAsia" w:ascii="仿宋_GB2312" w:eastAsia="仿宋_GB2312"/>
          <w:color w:val="auto"/>
          <w:sz w:val="32"/>
          <w:szCs w:val="32"/>
        </w:rPr>
        <w:t>。主要用于</w:t>
      </w:r>
      <w:r>
        <w:rPr>
          <w:rFonts w:hint="eastAsia" w:ascii="仿宋_GB2312" w:eastAsia="仿宋_GB2312"/>
          <w:color w:val="auto"/>
          <w:sz w:val="32"/>
          <w:szCs w:val="32"/>
          <w:lang w:eastAsia="zh-CN"/>
        </w:rPr>
        <w:t>传染病管理、追踪、治疗、督导，</w:t>
      </w:r>
      <w:r>
        <w:rPr>
          <w:rFonts w:hint="eastAsia" w:ascii="仿宋_GB2312" w:hAnsi="仿宋_GB2312" w:eastAsia="仿宋_GB2312" w:cs="仿宋_GB2312"/>
          <w:color w:val="auto"/>
          <w:sz w:val="32"/>
          <w:szCs w:val="32"/>
        </w:rPr>
        <w:t>处理突发公共卫生应急事件</w:t>
      </w:r>
      <w:r>
        <w:rPr>
          <w:rFonts w:hint="eastAsia" w:ascii="仿宋_GB2312" w:eastAsia="仿宋_GB2312"/>
          <w:color w:val="auto"/>
          <w:sz w:val="32"/>
          <w:szCs w:val="32"/>
        </w:rPr>
        <w:t>等所需的公务用车燃料费、维修费、过路过桥费、保险费等支出。</w:t>
      </w:r>
    </w:p>
    <w:p w14:paraId="79113D92">
      <w:pPr>
        <w:spacing w:line="600" w:lineRule="exact"/>
        <w:ind w:firstLine="640"/>
        <w:rPr>
          <w:rFonts w:ascii="仿宋_GB2312" w:eastAsia="仿宋_GB2312"/>
          <w:sz w:val="32"/>
          <w:szCs w:val="32"/>
        </w:rPr>
      </w:pPr>
      <w:r>
        <w:rPr>
          <w:rFonts w:ascii="仿宋_GB2312" w:eastAsia="仿宋_GB2312"/>
          <w:b/>
          <w:color w:val="auto"/>
          <w:sz w:val="32"/>
          <w:szCs w:val="32"/>
        </w:rPr>
        <w:t>3.</w:t>
      </w:r>
      <w:r>
        <w:rPr>
          <w:rFonts w:hint="eastAsia" w:ascii="仿宋_GB2312" w:eastAsia="仿宋_GB2312"/>
          <w:b/>
          <w:color w:val="auto"/>
          <w:sz w:val="32"/>
          <w:szCs w:val="32"/>
        </w:rPr>
        <w:t>公务接待费支出</w:t>
      </w:r>
      <w:r>
        <w:rPr>
          <w:rFonts w:ascii="仿宋" w:hAnsi="仿宋" w:eastAsia="仿宋"/>
          <w:b/>
          <w:color w:val="auto"/>
          <w:sz w:val="32"/>
          <w:szCs w:val="32"/>
        </w:rPr>
        <w:t>0</w:t>
      </w:r>
      <w:r>
        <w:rPr>
          <w:rFonts w:hint="eastAsia" w:ascii="仿宋_GB2312" w:eastAsia="仿宋_GB2312"/>
          <w:color w:val="auto"/>
          <w:sz w:val="32"/>
          <w:szCs w:val="32"/>
        </w:rPr>
        <w:t>万元，</w:t>
      </w:r>
      <w:r>
        <w:rPr>
          <w:rStyle w:val="19"/>
          <w:rFonts w:hint="eastAsia" w:ascii="仿宋" w:hAnsi="仿宋" w:eastAsia="仿宋"/>
          <w:b w:val="0"/>
          <w:bCs/>
          <w:color w:val="auto"/>
          <w:sz w:val="32"/>
          <w:szCs w:val="32"/>
        </w:rPr>
        <w:t>完成预算</w:t>
      </w:r>
      <w:r>
        <w:rPr>
          <w:rStyle w:val="19"/>
          <w:rFonts w:ascii="仿宋" w:hAnsi="仿宋" w:eastAsia="仿宋"/>
          <w:b/>
          <w:bCs/>
          <w:color w:val="auto"/>
          <w:sz w:val="32"/>
          <w:szCs w:val="32"/>
        </w:rPr>
        <w:t>0</w:t>
      </w:r>
      <w:r>
        <w:rPr>
          <w:rStyle w:val="19"/>
          <w:rFonts w:ascii="仿宋" w:hAnsi="仿宋" w:eastAsia="仿宋"/>
          <w:b w:val="0"/>
          <w:bCs/>
          <w:color w:val="auto"/>
          <w:sz w:val="32"/>
          <w:szCs w:val="32"/>
        </w:rPr>
        <w:t>%</w:t>
      </w:r>
      <w:r>
        <w:rPr>
          <w:rStyle w:val="19"/>
          <w:rFonts w:hint="eastAsia" w:ascii="仿宋" w:hAnsi="仿宋" w:eastAsia="仿宋"/>
          <w:b w:val="0"/>
          <w:bCs/>
          <w:sz w:val="32"/>
          <w:szCs w:val="32"/>
        </w:rPr>
        <w:t>。</w:t>
      </w:r>
      <w:r>
        <w:rPr>
          <w:rFonts w:hint="eastAsia" w:ascii="仿宋_GB2312" w:eastAsia="仿宋_GB2312"/>
          <w:sz w:val="32"/>
          <w:szCs w:val="32"/>
        </w:rPr>
        <w:t>公务接待费支出决算比2022年度增加</w:t>
      </w:r>
      <w:r>
        <w:rPr>
          <w:rFonts w:ascii="仿宋_GB2312" w:eastAsia="仿宋_GB2312"/>
          <w:sz w:val="32"/>
          <w:szCs w:val="32"/>
        </w:rPr>
        <w:t>/</w:t>
      </w:r>
      <w:r>
        <w:rPr>
          <w:rFonts w:hint="eastAsia" w:ascii="仿宋_GB2312" w:eastAsia="仿宋_GB2312"/>
          <w:sz w:val="32"/>
          <w:szCs w:val="32"/>
        </w:rPr>
        <w:t>减少</w:t>
      </w:r>
      <w:r>
        <w:rPr>
          <w:rFonts w:hint="eastAsia" w:ascii="仿宋_GB2312" w:eastAsia="仿宋_GB2312"/>
          <w:b/>
          <w:bCs/>
          <w:sz w:val="32"/>
          <w:szCs w:val="32"/>
          <w:lang w:val="en-US" w:eastAsia="zh-CN"/>
        </w:rPr>
        <w:t>0</w:t>
      </w:r>
      <w:r>
        <w:rPr>
          <w:rFonts w:hint="eastAsia" w:ascii="仿宋_GB2312" w:eastAsia="仿宋_GB2312"/>
          <w:sz w:val="32"/>
          <w:szCs w:val="32"/>
        </w:rPr>
        <w:t>万元，增长</w:t>
      </w:r>
      <w:r>
        <w:rPr>
          <w:rFonts w:ascii="仿宋_GB2312" w:eastAsia="仿宋_GB2312"/>
          <w:sz w:val="32"/>
          <w:szCs w:val="32"/>
        </w:rPr>
        <w:t>/</w:t>
      </w:r>
      <w:r>
        <w:rPr>
          <w:rFonts w:hint="eastAsia" w:ascii="仿宋_GB2312" w:eastAsia="仿宋_GB2312"/>
          <w:sz w:val="32"/>
          <w:szCs w:val="32"/>
        </w:rPr>
        <w:t>下降</w:t>
      </w:r>
      <w:r>
        <w:rPr>
          <w:rFonts w:hint="eastAsia" w:ascii="仿宋_GB2312" w:eastAsia="仿宋_GB2312"/>
          <w:b/>
          <w:bCs/>
          <w:sz w:val="32"/>
          <w:szCs w:val="32"/>
          <w:lang w:val="en-US" w:eastAsia="zh-CN"/>
        </w:rPr>
        <w:t>0</w:t>
      </w:r>
      <w:r>
        <w:rPr>
          <w:rFonts w:ascii="仿宋_GB2312" w:eastAsia="仿宋_GB2312"/>
          <w:sz w:val="32"/>
          <w:szCs w:val="32"/>
        </w:rPr>
        <w:t>%</w:t>
      </w:r>
      <w:r>
        <w:rPr>
          <w:rFonts w:hint="eastAsia" w:ascii="仿宋_GB2312" w:eastAsia="仿宋_GB2312"/>
          <w:sz w:val="32"/>
          <w:szCs w:val="32"/>
        </w:rPr>
        <w:t>。</w:t>
      </w:r>
    </w:p>
    <w:p w14:paraId="5B17B62E">
      <w:pPr>
        <w:spacing w:line="600" w:lineRule="exact"/>
        <w:ind w:firstLine="640"/>
        <w:rPr>
          <w:rFonts w:ascii="仿宋_GB2312" w:eastAsia="仿宋_GB2312"/>
          <w:sz w:val="32"/>
          <w:szCs w:val="32"/>
        </w:rPr>
      </w:pPr>
      <w:r>
        <w:rPr>
          <w:rFonts w:hint="eastAsia" w:ascii="仿宋" w:hAnsi="仿宋" w:eastAsia="仿宋"/>
          <w:b/>
          <w:sz w:val="32"/>
          <w:szCs w:val="32"/>
        </w:rPr>
        <w:t>国内公务接待支出</w:t>
      </w:r>
      <w:r>
        <w:rPr>
          <w:rFonts w:ascii="仿宋" w:hAnsi="仿宋" w:eastAsia="仿宋"/>
          <w:b/>
          <w:sz w:val="32"/>
          <w:szCs w:val="32"/>
        </w:rPr>
        <w:t>0</w:t>
      </w:r>
      <w:r>
        <w:rPr>
          <w:rFonts w:hint="eastAsia" w:ascii="仿宋_GB2312" w:eastAsia="仿宋_GB2312"/>
          <w:sz w:val="32"/>
          <w:szCs w:val="32"/>
        </w:rPr>
        <w:t>万元，国内公务接待</w:t>
      </w:r>
      <w:r>
        <w:rPr>
          <w:rFonts w:hint="eastAsia" w:ascii="仿宋_GB2312" w:eastAsia="仿宋_GB2312"/>
          <w:b/>
          <w:bCs/>
          <w:sz w:val="32"/>
          <w:szCs w:val="32"/>
          <w:lang w:val="en-US" w:eastAsia="zh-CN"/>
        </w:rPr>
        <w:t>0</w:t>
      </w:r>
      <w:r>
        <w:rPr>
          <w:rFonts w:hint="eastAsia" w:ascii="仿宋_GB2312" w:eastAsia="仿宋_GB2312"/>
          <w:sz w:val="32"/>
          <w:szCs w:val="32"/>
        </w:rPr>
        <w:t>批次，</w:t>
      </w:r>
      <w:r>
        <w:rPr>
          <w:rFonts w:hint="eastAsia" w:ascii="仿宋_GB2312" w:eastAsia="仿宋_GB2312"/>
          <w:b/>
          <w:bCs/>
          <w:sz w:val="32"/>
          <w:szCs w:val="32"/>
          <w:lang w:val="en-US" w:eastAsia="zh-CN"/>
        </w:rPr>
        <w:t>0</w:t>
      </w:r>
      <w:r>
        <w:rPr>
          <w:rFonts w:hint="eastAsia" w:ascii="仿宋_GB2312" w:eastAsia="仿宋_GB2312"/>
          <w:sz w:val="32"/>
          <w:szCs w:val="32"/>
        </w:rPr>
        <w:t>人次（不包括陪同人员），共计支出</w:t>
      </w:r>
      <w:r>
        <w:rPr>
          <w:rFonts w:hint="eastAsia" w:ascii="仿宋_GB2312" w:eastAsia="仿宋_GB2312"/>
          <w:b/>
          <w:bCs/>
          <w:sz w:val="32"/>
          <w:szCs w:val="32"/>
          <w:lang w:val="en-US" w:eastAsia="zh-CN"/>
        </w:rPr>
        <w:t>0</w:t>
      </w:r>
      <w:r>
        <w:rPr>
          <w:rFonts w:hint="eastAsia" w:ascii="仿宋_GB2312" w:eastAsia="仿宋_GB2312"/>
          <w:sz w:val="32"/>
          <w:szCs w:val="32"/>
        </w:rPr>
        <w:t>万元。</w:t>
      </w:r>
    </w:p>
    <w:p w14:paraId="69488E89">
      <w:pPr>
        <w:spacing w:line="600" w:lineRule="exact"/>
        <w:ind w:firstLine="643" w:firstLineChars="200"/>
        <w:rPr>
          <w:rFonts w:ascii="仿宋_GB2312" w:eastAsia="仿宋_GB2312"/>
          <w:sz w:val="32"/>
          <w:szCs w:val="32"/>
        </w:rPr>
      </w:pPr>
      <w:r>
        <w:rPr>
          <w:rFonts w:hint="eastAsia" w:ascii="仿宋" w:hAnsi="仿宋" w:eastAsia="仿宋"/>
          <w:b/>
          <w:sz w:val="32"/>
          <w:szCs w:val="32"/>
        </w:rPr>
        <w:t>外事接待支出</w:t>
      </w:r>
      <w:r>
        <w:rPr>
          <w:rFonts w:ascii="仿宋" w:hAnsi="仿宋" w:eastAsia="仿宋"/>
          <w:b/>
          <w:sz w:val="32"/>
          <w:szCs w:val="32"/>
        </w:rPr>
        <w:t>0</w:t>
      </w:r>
      <w:r>
        <w:rPr>
          <w:rFonts w:hint="eastAsia" w:ascii="仿宋_GB2312" w:eastAsia="仿宋_GB2312"/>
          <w:sz w:val="32"/>
          <w:szCs w:val="32"/>
        </w:rPr>
        <w:t>万元，外事接待</w:t>
      </w:r>
      <w:r>
        <w:rPr>
          <w:rFonts w:hint="eastAsia" w:ascii="仿宋_GB2312" w:eastAsia="仿宋_GB2312"/>
          <w:b/>
          <w:bCs/>
          <w:sz w:val="32"/>
          <w:szCs w:val="32"/>
          <w:lang w:val="en-US" w:eastAsia="zh-CN"/>
        </w:rPr>
        <w:t>0</w:t>
      </w:r>
      <w:r>
        <w:rPr>
          <w:rFonts w:hint="eastAsia" w:ascii="仿宋_GB2312" w:eastAsia="仿宋_GB2312"/>
          <w:sz w:val="32"/>
          <w:szCs w:val="32"/>
        </w:rPr>
        <w:t>批次，</w:t>
      </w:r>
      <w:r>
        <w:rPr>
          <w:rFonts w:hint="eastAsia" w:ascii="仿宋_GB2312" w:eastAsia="仿宋_GB2312"/>
          <w:b/>
          <w:bCs/>
          <w:sz w:val="32"/>
          <w:szCs w:val="32"/>
          <w:lang w:val="en-US" w:eastAsia="zh-CN"/>
        </w:rPr>
        <w:t>0</w:t>
      </w:r>
      <w:r>
        <w:rPr>
          <w:rFonts w:hint="eastAsia" w:ascii="仿宋_GB2312" w:eastAsia="仿宋_GB2312"/>
          <w:sz w:val="32"/>
          <w:szCs w:val="32"/>
        </w:rPr>
        <w:t>人次（不包括陪同人员），共计支出</w:t>
      </w:r>
      <w:r>
        <w:rPr>
          <w:rFonts w:hint="eastAsia" w:ascii="仿宋_GB2312" w:eastAsia="仿宋_GB2312"/>
          <w:b/>
          <w:bCs/>
          <w:sz w:val="32"/>
          <w:szCs w:val="32"/>
          <w:lang w:val="en-US" w:eastAsia="zh-CN"/>
        </w:rPr>
        <w:t>0</w:t>
      </w:r>
      <w:r>
        <w:rPr>
          <w:rFonts w:hint="eastAsia" w:ascii="仿宋_GB2312" w:eastAsia="仿宋_GB2312"/>
          <w:sz w:val="32"/>
          <w:szCs w:val="32"/>
        </w:rPr>
        <w:t>万元。</w:t>
      </w:r>
    </w:p>
    <w:p w14:paraId="1E1183AD">
      <w:pPr>
        <w:spacing w:line="600" w:lineRule="exact"/>
        <w:ind w:firstLine="640"/>
        <w:outlineLvl w:val="1"/>
        <w:rPr>
          <w:rStyle w:val="31"/>
          <w:rFonts w:ascii="黑体" w:hAnsi="黑体" w:eastAsia="黑体"/>
        </w:rPr>
      </w:pPr>
      <w:bookmarkStart w:id="67" w:name="_Toc5072"/>
      <w:r>
        <w:rPr>
          <w:rFonts w:hint="eastAsia" w:ascii="黑体" w:eastAsia="黑体"/>
          <w:sz w:val="32"/>
          <w:szCs w:val="32"/>
        </w:rPr>
        <w:t>八、</w:t>
      </w:r>
      <w:r>
        <w:rPr>
          <w:rStyle w:val="31"/>
          <w:rFonts w:hint="eastAsia" w:ascii="黑体" w:hAnsi="黑体" w:eastAsia="黑体"/>
          <w:b w:val="0"/>
        </w:rPr>
        <w:t>政府性基金预算支出决算情况说明</w:t>
      </w:r>
      <w:bookmarkEnd w:id="65"/>
      <w:bookmarkEnd w:id="66"/>
      <w:bookmarkEnd w:id="67"/>
    </w:p>
    <w:p w14:paraId="4D12AC94">
      <w:pPr>
        <w:spacing w:line="600" w:lineRule="exact"/>
        <w:ind w:firstLine="640"/>
        <w:rPr>
          <w:rFonts w:ascii="仿宋_GB2312" w:eastAsia="仿宋_GB2312"/>
          <w:sz w:val="32"/>
          <w:szCs w:val="32"/>
        </w:rPr>
      </w:pPr>
      <w:r>
        <w:rPr>
          <w:rFonts w:hint="eastAsia" w:ascii="仿宋_GB2312" w:eastAsia="仿宋_GB2312"/>
          <w:sz w:val="32"/>
          <w:szCs w:val="32"/>
        </w:rPr>
        <w:t>2023年度政府性基金预算财政拨款支出</w:t>
      </w:r>
      <w:r>
        <w:rPr>
          <w:rFonts w:ascii="仿宋" w:hAnsi="仿宋" w:eastAsia="仿宋"/>
          <w:b/>
          <w:sz w:val="32"/>
          <w:szCs w:val="32"/>
        </w:rPr>
        <w:t>0</w:t>
      </w:r>
      <w:r>
        <w:rPr>
          <w:rFonts w:hint="eastAsia" w:ascii="仿宋_GB2312" w:eastAsia="仿宋_GB2312"/>
          <w:sz w:val="32"/>
          <w:szCs w:val="32"/>
        </w:rPr>
        <w:t>万元。</w:t>
      </w:r>
    </w:p>
    <w:p w14:paraId="3F608874">
      <w:pPr>
        <w:numPr>
          <w:ilvl w:val="0"/>
          <w:numId w:val="5"/>
        </w:numPr>
        <w:spacing w:line="600" w:lineRule="exact"/>
        <w:ind w:firstLine="640"/>
        <w:outlineLvl w:val="1"/>
        <w:rPr>
          <w:rStyle w:val="31"/>
          <w:rFonts w:ascii="黑体" w:hAnsi="黑体" w:eastAsia="黑体"/>
          <w:b w:val="0"/>
        </w:rPr>
      </w:pPr>
      <w:bookmarkStart w:id="68" w:name="_Toc15377219"/>
      <w:bookmarkStart w:id="69" w:name="_Toc11087"/>
      <w:bookmarkStart w:id="70" w:name="_Toc15396611"/>
      <w:r>
        <w:rPr>
          <w:rStyle w:val="31"/>
          <w:rFonts w:hint="eastAsia" w:ascii="黑体" w:hAnsi="黑体" w:eastAsia="黑体"/>
          <w:b w:val="0"/>
        </w:rPr>
        <w:t>国有资本经营预算支出决算情况说明</w:t>
      </w:r>
      <w:bookmarkEnd w:id="68"/>
      <w:bookmarkEnd w:id="69"/>
      <w:bookmarkEnd w:id="70"/>
    </w:p>
    <w:p w14:paraId="0FFEDDFC">
      <w:pPr>
        <w:spacing w:line="600" w:lineRule="exact"/>
        <w:ind w:firstLine="640"/>
        <w:rPr>
          <w:rFonts w:ascii="仿宋_GB2312" w:eastAsia="仿宋_GB2312"/>
          <w:sz w:val="32"/>
          <w:szCs w:val="32"/>
        </w:rPr>
      </w:pPr>
      <w:r>
        <w:rPr>
          <w:rFonts w:hint="eastAsia" w:ascii="仿宋_GB2312" w:eastAsia="仿宋_GB2312"/>
          <w:sz w:val="32"/>
          <w:szCs w:val="32"/>
        </w:rPr>
        <w:t>2023年度国有资本经营预算财政拨款支出</w:t>
      </w:r>
      <w:r>
        <w:rPr>
          <w:rFonts w:ascii="仿宋" w:hAnsi="仿宋" w:eastAsia="仿宋"/>
          <w:b/>
          <w:sz w:val="32"/>
          <w:szCs w:val="32"/>
        </w:rPr>
        <w:t>0</w:t>
      </w:r>
      <w:r>
        <w:rPr>
          <w:rFonts w:hint="eastAsia" w:ascii="仿宋_GB2312" w:eastAsia="仿宋_GB2312"/>
          <w:sz w:val="32"/>
          <w:szCs w:val="32"/>
        </w:rPr>
        <w:t>万元。</w:t>
      </w:r>
    </w:p>
    <w:p w14:paraId="0751D62A">
      <w:pPr>
        <w:numPr>
          <w:ilvl w:val="0"/>
          <w:numId w:val="5"/>
        </w:numPr>
        <w:spacing w:line="600" w:lineRule="exact"/>
        <w:ind w:firstLine="640"/>
        <w:outlineLvl w:val="1"/>
        <w:rPr>
          <w:rStyle w:val="31"/>
          <w:rFonts w:ascii="黑体" w:hAnsi="黑体" w:eastAsia="黑体"/>
          <w:b w:val="0"/>
        </w:rPr>
      </w:pPr>
      <w:bookmarkStart w:id="71" w:name="_Toc15377221"/>
      <w:bookmarkStart w:id="72" w:name="_Toc15396612"/>
      <w:bookmarkStart w:id="73" w:name="_Toc22744"/>
      <w:r>
        <w:rPr>
          <w:rStyle w:val="31"/>
          <w:rFonts w:hint="eastAsia" w:ascii="黑体" w:hAnsi="黑体" w:eastAsia="黑体"/>
          <w:b w:val="0"/>
        </w:rPr>
        <w:t>其他重要事项的情况说明</w:t>
      </w:r>
      <w:bookmarkEnd w:id="71"/>
      <w:bookmarkEnd w:id="72"/>
      <w:bookmarkEnd w:id="73"/>
    </w:p>
    <w:p w14:paraId="582868DD">
      <w:pPr>
        <w:spacing w:line="600" w:lineRule="exact"/>
        <w:ind w:firstLine="643" w:firstLineChars="200"/>
        <w:outlineLvl w:val="2"/>
        <w:rPr>
          <w:rFonts w:ascii="仿宋" w:hAnsi="仿宋" w:eastAsia="仿宋"/>
          <w:sz w:val="32"/>
          <w:szCs w:val="32"/>
        </w:rPr>
      </w:pPr>
      <w:bookmarkStart w:id="74" w:name="_Toc15377222"/>
      <w:bookmarkStart w:id="75" w:name="_Toc7776"/>
      <w:r>
        <w:rPr>
          <w:rFonts w:hint="eastAsia" w:ascii="仿宋" w:hAnsi="仿宋" w:eastAsia="仿宋"/>
          <w:b/>
          <w:sz w:val="32"/>
          <w:szCs w:val="32"/>
        </w:rPr>
        <w:t>（一）机关运行经费支出情况</w:t>
      </w:r>
      <w:bookmarkEnd w:id="74"/>
      <w:bookmarkEnd w:id="75"/>
    </w:p>
    <w:p w14:paraId="167511BE">
      <w:pPr>
        <w:spacing w:line="600" w:lineRule="exact"/>
        <w:ind w:firstLine="640" w:firstLineChars="200"/>
        <w:rPr>
          <w:rFonts w:ascii="仿宋_GB2312" w:eastAsia="仿宋_GB2312"/>
          <w:sz w:val="32"/>
          <w:szCs w:val="32"/>
        </w:rPr>
      </w:pPr>
      <w:r>
        <w:rPr>
          <w:rFonts w:hint="eastAsia" w:ascii="仿宋_GB2312" w:eastAsia="仿宋_GB2312"/>
          <w:sz w:val="32"/>
          <w:szCs w:val="32"/>
        </w:rPr>
        <w:t>2023年度，</w:t>
      </w:r>
      <w:r>
        <w:rPr>
          <w:rFonts w:ascii="仿宋_GB2312" w:eastAsia="仿宋_GB2312"/>
          <w:b/>
          <w:sz w:val="32"/>
          <w:szCs w:val="32"/>
        </w:rPr>
        <w:t>阿坝州松潘县疾病预防控制中心</w:t>
      </w:r>
      <w:r>
        <w:rPr>
          <w:rFonts w:hint="eastAsia" w:ascii="仿宋_GB2312" w:eastAsia="仿宋_GB2312"/>
          <w:sz w:val="32"/>
          <w:szCs w:val="32"/>
        </w:rPr>
        <w:t>机关运行经费支出</w:t>
      </w:r>
      <w:r>
        <w:rPr>
          <w:rFonts w:ascii="仿宋" w:hAnsi="仿宋" w:eastAsia="仿宋"/>
          <w:b/>
          <w:sz w:val="32"/>
          <w:szCs w:val="32"/>
        </w:rPr>
        <w:t>0</w:t>
      </w:r>
      <w:r>
        <w:rPr>
          <w:rFonts w:hint="eastAsia" w:ascii="仿宋_GB2312" w:eastAsia="仿宋_GB2312"/>
          <w:sz w:val="32"/>
          <w:szCs w:val="32"/>
        </w:rPr>
        <w:t>万元，比2022年度增加</w:t>
      </w:r>
      <w:r>
        <w:rPr>
          <w:rFonts w:hint="eastAsia" w:ascii="仿宋" w:hAnsi="仿宋" w:eastAsia="仿宋"/>
          <w:b/>
          <w:sz w:val="32"/>
          <w:szCs w:val="32"/>
          <w:lang w:val="en-US" w:eastAsia="zh-CN"/>
        </w:rPr>
        <w:t>0</w:t>
      </w:r>
      <w:r>
        <w:rPr>
          <w:rFonts w:hint="eastAsia" w:ascii="仿宋_GB2312" w:eastAsia="仿宋_GB2312"/>
          <w:sz w:val="32"/>
          <w:szCs w:val="32"/>
        </w:rPr>
        <w:t>万元，增长</w:t>
      </w:r>
      <w:r>
        <w:rPr>
          <w:rFonts w:hint="eastAsia" w:ascii="仿宋" w:hAnsi="仿宋" w:eastAsia="仿宋"/>
          <w:b/>
          <w:sz w:val="32"/>
          <w:szCs w:val="32"/>
          <w:lang w:val="en-US" w:eastAsia="zh-CN"/>
        </w:rPr>
        <w:t>0</w:t>
      </w:r>
      <w:r>
        <w:rPr>
          <w:rFonts w:ascii="仿宋_GB2312" w:eastAsia="仿宋_GB2312"/>
          <w:sz w:val="32"/>
          <w:szCs w:val="32"/>
        </w:rPr>
        <w:t>%</w:t>
      </w:r>
      <w:r>
        <w:rPr>
          <w:rFonts w:hint="eastAsia" w:ascii="仿宋_GB2312" w:eastAsia="仿宋_GB2312"/>
          <w:sz w:val="32"/>
          <w:szCs w:val="32"/>
        </w:rPr>
        <w:t>。</w:t>
      </w:r>
    </w:p>
    <w:p w14:paraId="54563520">
      <w:pPr>
        <w:autoSpaceDE w:val="0"/>
        <w:autoSpaceDN w:val="0"/>
        <w:adjustRightInd w:val="0"/>
        <w:spacing w:line="600" w:lineRule="exact"/>
        <w:ind w:firstLine="643" w:firstLineChars="200"/>
        <w:jc w:val="left"/>
        <w:outlineLvl w:val="2"/>
        <w:rPr>
          <w:rFonts w:ascii="仿宋" w:hAnsi="仿宋" w:eastAsia="仿宋"/>
          <w:b/>
          <w:sz w:val="32"/>
          <w:szCs w:val="32"/>
        </w:rPr>
      </w:pPr>
      <w:bookmarkStart w:id="76" w:name="_Toc15377223"/>
      <w:bookmarkStart w:id="77" w:name="_Toc9427"/>
      <w:r>
        <w:rPr>
          <w:rFonts w:hint="eastAsia" w:ascii="仿宋" w:hAnsi="仿宋" w:eastAsia="仿宋"/>
          <w:b/>
          <w:sz w:val="32"/>
          <w:szCs w:val="32"/>
        </w:rPr>
        <w:t>（二）政府采购支出情况</w:t>
      </w:r>
      <w:bookmarkEnd w:id="76"/>
      <w:bookmarkEnd w:id="77"/>
    </w:p>
    <w:p w14:paraId="61EE63F6">
      <w:pPr>
        <w:spacing w:line="600" w:lineRule="exact"/>
        <w:ind w:firstLine="640" w:firstLineChars="200"/>
        <w:rPr>
          <w:rFonts w:ascii="仿宋_GB2312" w:eastAsia="仿宋_GB2312"/>
          <w:sz w:val="32"/>
          <w:szCs w:val="32"/>
        </w:rPr>
      </w:pPr>
      <w:r>
        <w:rPr>
          <w:rFonts w:hint="eastAsia" w:ascii="仿宋_GB2312" w:eastAsia="仿宋_GB2312"/>
          <w:sz w:val="32"/>
          <w:szCs w:val="32"/>
        </w:rPr>
        <w:t>2023年度，</w:t>
      </w:r>
      <w:r>
        <w:rPr>
          <w:rFonts w:ascii="仿宋_GB2312" w:eastAsia="仿宋_GB2312"/>
          <w:b/>
          <w:sz w:val="32"/>
          <w:szCs w:val="32"/>
        </w:rPr>
        <w:t>阿坝州松潘县疾病预防控制中心</w:t>
      </w:r>
      <w:r>
        <w:rPr>
          <w:rFonts w:hint="eastAsia" w:ascii="仿宋_GB2312" w:eastAsia="仿宋_GB2312"/>
          <w:sz w:val="32"/>
          <w:szCs w:val="32"/>
        </w:rPr>
        <w:t>政府采购支出总额</w:t>
      </w:r>
      <w:r>
        <w:rPr>
          <w:rFonts w:ascii="仿宋" w:hAnsi="仿宋" w:eastAsia="仿宋"/>
          <w:b/>
          <w:sz w:val="32"/>
          <w:szCs w:val="32"/>
        </w:rPr>
        <w:t>32.86</w:t>
      </w:r>
      <w:r>
        <w:rPr>
          <w:rFonts w:hint="eastAsia" w:ascii="仿宋_GB2312" w:eastAsia="仿宋_GB2312"/>
          <w:sz w:val="32"/>
          <w:szCs w:val="32"/>
        </w:rPr>
        <w:t>万元，其中：政府采购货物支出</w:t>
      </w:r>
      <w:r>
        <w:rPr>
          <w:rFonts w:ascii="仿宋" w:hAnsi="仿宋" w:eastAsia="仿宋"/>
          <w:b/>
          <w:sz w:val="32"/>
          <w:szCs w:val="32"/>
        </w:rPr>
        <w:t>32.86</w:t>
      </w:r>
      <w:r>
        <w:rPr>
          <w:rFonts w:hint="eastAsia" w:ascii="仿宋_GB2312" w:eastAsia="仿宋_GB2312"/>
          <w:sz w:val="32"/>
          <w:szCs w:val="32"/>
        </w:rPr>
        <w:t>万元、政府采购工程支出</w:t>
      </w:r>
      <w:r>
        <w:rPr>
          <w:rFonts w:ascii="仿宋" w:hAnsi="仿宋" w:eastAsia="仿宋"/>
          <w:b/>
          <w:sz w:val="32"/>
          <w:szCs w:val="32"/>
        </w:rPr>
        <w:t>0</w:t>
      </w:r>
      <w:r>
        <w:rPr>
          <w:rFonts w:hint="eastAsia" w:ascii="仿宋_GB2312" w:eastAsia="仿宋_GB2312"/>
          <w:sz w:val="32"/>
          <w:szCs w:val="32"/>
        </w:rPr>
        <w:t>万元、政府采购服务支出</w:t>
      </w:r>
      <w:r>
        <w:rPr>
          <w:rFonts w:ascii="仿宋" w:hAnsi="仿宋" w:eastAsia="仿宋"/>
          <w:b/>
          <w:sz w:val="32"/>
          <w:szCs w:val="32"/>
        </w:rPr>
        <w:t>0</w:t>
      </w:r>
      <w:r>
        <w:rPr>
          <w:rFonts w:hint="eastAsia" w:ascii="仿宋_GB2312" w:eastAsia="仿宋_GB2312"/>
          <w:sz w:val="32"/>
          <w:szCs w:val="32"/>
        </w:rPr>
        <w:t>万元。主要用于</w:t>
      </w:r>
      <w:r>
        <w:rPr>
          <w:rFonts w:hint="eastAsia" w:ascii="仿宋_GB2312" w:eastAsia="仿宋_GB2312"/>
          <w:sz w:val="32"/>
          <w:szCs w:val="32"/>
          <w:lang w:eastAsia="zh-CN"/>
        </w:rPr>
        <w:t>包虫病</w:t>
      </w:r>
      <w:bookmarkStart w:id="115" w:name="_GoBack"/>
      <w:bookmarkEnd w:id="115"/>
      <w:r>
        <w:rPr>
          <w:rFonts w:hint="eastAsia" w:ascii="仿宋_GB2312" w:eastAsia="仿宋_GB2312"/>
          <w:sz w:val="32"/>
          <w:szCs w:val="32"/>
          <w:lang w:eastAsia="zh-CN"/>
        </w:rPr>
        <w:t>项目犬粪抗体检测等工作</w:t>
      </w:r>
      <w:r>
        <w:rPr>
          <w:rFonts w:hint="eastAsia" w:ascii="仿宋_GB2312" w:eastAsia="仿宋_GB2312"/>
          <w:sz w:val="32"/>
          <w:szCs w:val="32"/>
        </w:rPr>
        <w:t>。授予中小企业合同金额</w:t>
      </w:r>
      <w:r>
        <w:rPr>
          <w:rFonts w:ascii="仿宋" w:hAnsi="仿宋" w:eastAsia="仿宋"/>
          <w:b/>
          <w:sz w:val="32"/>
          <w:szCs w:val="32"/>
        </w:rPr>
        <w:t>32.86</w:t>
      </w:r>
      <w:r>
        <w:rPr>
          <w:rFonts w:hint="eastAsia" w:ascii="仿宋_GB2312" w:eastAsia="仿宋_GB2312"/>
          <w:sz w:val="32"/>
          <w:szCs w:val="32"/>
        </w:rPr>
        <w:t>万元，占政府采购支出总额的</w:t>
      </w:r>
      <w:r>
        <w:rPr>
          <w:rFonts w:hint="eastAsia" w:ascii="仿宋_GB2312" w:eastAsia="仿宋_GB2312"/>
          <w:b/>
          <w:bCs/>
          <w:sz w:val="32"/>
          <w:szCs w:val="32"/>
          <w:lang w:val="en-US" w:eastAsia="zh-CN"/>
        </w:rPr>
        <w:t>100</w:t>
      </w:r>
      <w:r>
        <w:rPr>
          <w:rFonts w:ascii="仿宋_GB2312" w:eastAsia="仿宋_GB2312"/>
          <w:sz w:val="32"/>
          <w:szCs w:val="32"/>
        </w:rPr>
        <w:t>%</w:t>
      </w:r>
      <w:r>
        <w:rPr>
          <w:rFonts w:hint="eastAsia" w:ascii="仿宋_GB2312" w:eastAsia="仿宋_GB2312"/>
          <w:sz w:val="32"/>
          <w:szCs w:val="32"/>
          <w:lang w:eastAsia="zh-CN"/>
        </w:rPr>
        <w:t>。</w:t>
      </w:r>
    </w:p>
    <w:p w14:paraId="64427C2F">
      <w:pPr>
        <w:autoSpaceDE w:val="0"/>
        <w:autoSpaceDN w:val="0"/>
        <w:adjustRightInd w:val="0"/>
        <w:spacing w:line="600" w:lineRule="exact"/>
        <w:ind w:firstLine="643" w:firstLineChars="200"/>
        <w:jc w:val="left"/>
        <w:outlineLvl w:val="2"/>
        <w:rPr>
          <w:rFonts w:ascii="仿宋" w:hAnsi="仿宋" w:eastAsia="仿宋"/>
          <w:b/>
          <w:sz w:val="32"/>
          <w:szCs w:val="32"/>
        </w:rPr>
      </w:pPr>
      <w:bookmarkStart w:id="78" w:name="_Toc15377224"/>
      <w:bookmarkStart w:id="79" w:name="_Toc2056"/>
      <w:r>
        <w:rPr>
          <w:rFonts w:hint="eastAsia" w:ascii="仿宋" w:hAnsi="仿宋" w:eastAsia="仿宋"/>
          <w:b/>
          <w:sz w:val="32"/>
          <w:szCs w:val="32"/>
        </w:rPr>
        <w:t>（三）国有资产占有使用情况</w:t>
      </w:r>
      <w:bookmarkEnd w:id="78"/>
      <w:bookmarkEnd w:id="79"/>
    </w:p>
    <w:p w14:paraId="3A5A573D">
      <w:pPr>
        <w:autoSpaceDE w:val="0"/>
        <w:autoSpaceDN w:val="0"/>
        <w:adjustRightInd w:val="0"/>
        <w:spacing w:line="600" w:lineRule="exact"/>
        <w:ind w:firstLine="640" w:firstLineChars="200"/>
        <w:jc w:val="left"/>
        <w:rPr>
          <w:rFonts w:ascii="仿宋_GB2312" w:eastAsia="仿宋_GB2312"/>
          <w:sz w:val="32"/>
          <w:szCs w:val="32"/>
        </w:rPr>
      </w:pPr>
      <w:r>
        <w:rPr>
          <w:rFonts w:hint="eastAsia" w:ascii="仿宋_GB2312" w:eastAsia="仿宋_GB2312"/>
          <w:sz w:val="32"/>
          <w:szCs w:val="32"/>
        </w:rPr>
        <w:t>截至2023年</w:t>
      </w:r>
      <w:r>
        <w:rPr>
          <w:rFonts w:ascii="仿宋_GB2312" w:eastAsia="仿宋_GB2312"/>
          <w:sz w:val="32"/>
          <w:szCs w:val="32"/>
        </w:rPr>
        <w:t>12</w:t>
      </w:r>
      <w:r>
        <w:rPr>
          <w:rFonts w:hint="eastAsia" w:ascii="仿宋_GB2312" w:eastAsia="仿宋_GB2312"/>
          <w:sz w:val="32"/>
          <w:szCs w:val="32"/>
        </w:rPr>
        <w:t>月</w:t>
      </w:r>
      <w:r>
        <w:rPr>
          <w:rFonts w:ascii="仿宋_GB2312" w:eastAsia="仿宋_GB2312"/>
          <w:sz w:val="32"/>
          <w:szCs w:val="32"/>
        </w:rPr>
        <w:t>31</w:t>
      </w:r>
      <w:r>
        <w:rPr>
          <w:rFonts w:hint="eastAsia" w:ascii="仿宋_GB2312" w:eastAsia="仿宋_GB2312"/>
          <w:sz w:val="32"/>
          <w:szCs w:val="32"/>
        </w:rPr>
        <w:t>日，</w:t>
      </w:r>
      <w:r>
        <w:rPr>
          <w:rFonts w:ascii="仿宋_GB2312" w:eastAsia="仿宋_GB2312"/>
          <w:b/>
          <w:sz w:val="32"/>
          <w:szCs w:val="32"/>
        </w:rPr>
        <w:t>阿坝州松潘县疾病预防控制中心</w:t>
      </w:r>
      <w:r>
        <w:rPr>
          <w:rFonts w:hint="eastAsia" w:ascii="仿宋_GB2312" w:eastAsia="仿宋_GB2312"/>
          <w:sz w:val="32"/>
          <w:szCs w:val="32"/>
        </w:rPr>
        <w:t>共有车辆</w:t>
      </w:r>
      <w:r>
        <w:rPr>
          <w:rFonts w:hint="eastAsia" w:ascii="仿宋_GB2312" w:eastAsia="仿宋_GB2312"/>
          <w:b/>
          <w:sz w:val="32"/>
          <w:szCs w:val="32"/>
        </w:rPr>
        <w:t>7</w:t>
      </w:r>
      <w:r>
        <w:rPr>
          <w:rFonts w:hint="eastAsia" w:ascii="仿宋_GB2312" w:eastAsia="仿宋_GB2312"/>
          <w:sz w:val="32"/>
          <w:szCs w:val="32"/>
        </w:rPr>
        <w:t>辆，其中：主要领导干部用车</w:t>
      </w:r>
      <w:r>
        <w:rPr>
          <w:rFonts w:hint="eastAsia" w:ascii="仿宋_GB2312" w:eastAsia="仿宋_GB2312"/>
          <w:b/>
          <w:bCs/>
          <w:sz w:val="32"/>
          <w:szCs w:val="32"/>
          <w:lang w:val="en-US" w:eastAsia="zh-CN"/>
        </w:rPr>
        <w:t>0</w:t>
      </w:r>
      <w:r>
        <w:rPr>
          <w:rFonts w:hint="eastAsia" w:ascii="仿宋_GB2312" w:eastAsia="仿宋_GB2312"/>
          <w:sz w:val="32"/>
          <w:szCs w:val="32"/>
        </w:rPr>
        <w:t>辆、机要通信用车</w:t>
      </w:r>
      <w:r>
        <w:rPr>
          <w:rFonts w:hint="eastAsia" w:ascii="仿宋_GB2312" w:eastAsia="仿宋_GB2312"/>
          <w:sz w:val="32"/>
          <w:szCs w:val="32"/>
          <w:lang w:val="en-US" w:eastAsia="zh-CN"/>
        </w:rPr>
        <w:t>0</w:t>
      </w:r>
      <w:r>
        <w:rPr>
          <w:rFonts w:hint="eastAsia" w:ascii="仿宋_GB2312" w:eastAsia="仿宋_GB2312"/>
          <w:sz w:val="32"/>
          <w:szCs w:val="32"/>
        </w:rPr>
        <w:t>辆、应急保障用车</w:t>
      </w:r>
      <w:r>
        <w:rPr>
          <w:rFonts w:hint="eastAsia" w:ascii="仿宋_GB2312" w:eastAsia="仿宋_GB2312"/>
          <w:b/>
          <w:bCs/>
          <w:sz w:val="32"/>
          <w:szCs w:val="32"/>
          <w:lang w:val="en-US" w:eastAsia="zh-CN"/>
        </w:rPr>
        <w:t>7</w:t>
      </w:r>
      <w:r>
        <w:rPr>
          <w:rFonts w:hint="eastAsia" w:ascii="仿宋_GB2312" w:eastAsia="仿宋_GB2312"/>
          <w:sz w:val="32"/>
          <w:szCs w:val="32"/>
        </w:rPr>
        <w:t>辆、其他用车</w:t>
      </w:r>
      <w:r>
        <w:rPr>
          <w:rFonts w:hint="eastAsia" w:ascii="仿宋_GB2312" w:eastAsia="仿宋_GB2312"/>
          <w:b/>
          <w:bCs/>
          <w:sz w:val="32"/>
          <w:szCs w:val="32"/>
          <w:lang w:val="en-US" w:eastAsia="zh-CN"/>
        </w:rPr>
        <w:t>0</w:t>
      </w:r>
      <w:r>
        <w:rPr>
          <w:rFonts w:hint="eastAsia" w:ascii="仿宋_GB2312" w:eastAsia="仿宋_GB2312"/>
          <w:sz w:val="32"/>
          <w:szCs w:val="32"/>
        </w:rPr>
        <w:t>辆。单价</w:t>
      </w:r>
      <w:r>
        <w:rPr>
          <w:rFonts w:ascii="仿宋_GB2312" w:eastAsia="仿宋_GB2312"/>
          <w:sz w:val="32"/>
          <w:szCs w:val="32"/>
        </w:rPr>
        <w:t>100</w:t>
      </w:r>
      <w:r>
        <w:rPr>
          <w:rFonts w:hint="eastAsia" w:ascii="仿宋_GB2312" w:eastAsia="仿宋_GB2312"/>
          <w:sz w:val="32"/>
          <w:szCs w:val="32"/>
        </w:rPr>
        <w:t>万元以上设备（不含车辆）</w:t>
      </w:r>
      <w:r>
        <w:rPr>
          <w:rFonts w:ascii="仿宋_GB2312" w:eastAsia="仿宋_GB2312"/>
          <w:b/>
          <w:sz w:val="32"/>
          <w:szCs w:val="32"/>
        </w:rPr>
        <w:t>0</w:t>
      </w:r>
      <w:r>
        <w:rPr>
          <w:rFonts w:hint="eastAsia" w:ascii="仿宋_GB2312" w:eastAsia="仿宋_GB2312"/>
          <w:sz w:val="32"/>
          <w:szCs w:val="32"/>
        </w:rPr>
        <w:t>台（套）。</w:t>
      </w:r>
    </w:p>
    <w:p w14:paraId="1CD819F4">
      <w:pPr>
        <w:autoSpaceDE w:val="0"/>
        <w:autoSpaceDN w:val="0"/>
        <w:adjustRightInd w:val="0"/>
        <w:spacing w:line="600" w:lineRule="exact"/>
        <w:ind w:firstLine="643" w:firstLineChars="200"/>
        <w:jc w:val="left"/>
        <w:outlineLvl w:val="2"/>
        <w:rPr>
          <w:rFonts w:ascii="仿宋" w:hAnsi="仿宋" w:eastAsia="仿宋"/>
          <w:b/>
          <w:sz w:val="32"/>
          <w:szCs w:val="32"/>
        </w:rPr>
      </w:pPr>
      <w:bookmarkStart w:id="80" w:name="_Toc18348"/>
      <w:r>
        <w:rPr>
          <w:rFonts w:hint="eastAsia" w:ascii="仿宋" w:hAnsi="仿宋" w:eastAsia="仿宋"/>
          <w:b/>
          <w:sz w:val="32"/>
          <w:szCs w:val="32"/>
        </w:rPr>
        <w:t>（四）预算绩效管理情况</w:t>
      </w:r>
      <w:bookmarkEnd w:id="80"/>
    </w:p>
    <w:p w14:paraId="5D33661C">
      <w:pPr>
        <w:spacing w:line="600" w:lineRule="exact"/>
        <w:ind w:firstLine="640" w:firstLineChars="200"/>
        <w:rPr>
          <w:rFonts w:hint="eastAsia" w:ascii="仿宋_GB2312" w:eastAsia="仿宋_GB2312"/>
          <w:color w:val="auto"/>
          <w:sz w:val="32"/>
          <w:szCs w:val="32"/>
          <w:lang w:eastAsia="zh-CN"/>
        </w:rPr>
      </w:pPr>
      <w:r>
        <w:rPr>
          <w:rFonts w:hint="eastAsia" w:ascii="仿宋_GB2312" w:eastAsia="仿宋_GB2312"/>
          <w:color w:val="auto"/>
          <w:sz w:val="32"/>
          <w:szCs w:val="32"/>
        </w:rPr>
        <w:t>根据预算绩效管理要求，本单位在2023年度预算编制阶段，组织对基本公共卫生服务</w:t>
      </w:r>
      <w:r>
        <w:rPr>
          <w:rFonts w:hint="eastAsia" w:ascii="仿宋_GB2312" w:eastAsia="仿宋_GB2312"/>
          <w:color w:val="auto"/>
          <w:sz w:val="32"/>
          <w:szCs w:val="32"/>
          <w:lang w:eastAsia="zh-CN"/>
        </w:rPr>
        <w:t>（</w:t>
      </w:r>
      <w:r>
        <w:rPr>
          <w:rFonts w:hint="eastAsia" w:ascii="仿宋_GB2312" w:eastAsia="仿宋_GB2312"/>
          <w:color w:val="auto"/>
          <w:sz w:val="32"/>
          <w:szCs w:val="32"/>
        </w:rPr>
        <w:t>其他并入基本公共卫生服务</w:t>
      </w:r>
      <w:r>
        <w:rPr>
          <w:rFonts w:hint="eastAsia" w:ascii="仿宋_GB2312" w:eastAsia="仿宋_GB2312"/>
          <w:color w:val="auto"/>
          <w:sz w:val="32"/>
          <w:szCs w:val="32"/>
          <w:lang w:eastAsia="zh-CN"/>
        </w:rPr>
        <w:t>）</w:t>
      </w:r>
      <w:r>
        <w:rPr>
          <w:rFonts w:hint="eastAsia" w:ascii="仿宋_GB2312" w:eastAsia="仿宋_GB2312"/>
          <w:color w:val="auto"/>
          <w:sz w:val="32"/>
          <w:szCs w:val="32"/>
        </w:rPr>
        <w:t>、重大传染病和地方病</w:t>
      </w:r>
      <w:r>
        <w:rPr>
          <w:rFonts w:hint="eastAsia" w:ascii="仿宋_GB2312" w:eastAsia="仿宋_GB2312"/>
          <w:color w:val="auto"/>
          <w:sz w:val="32"/>
          <w:szCs w:val="32"/>
          <w:lang w:eastAsia="zh-CN"/>
        </w:rPr>
        <w:t>防治</w:t>
      </w:r>
      <w:r>
        <w:rPr>
          <w:rFonts w:hint="eastAsia" w:ascii="仿宋_GB2312" w:eastAsia="仿宋_GB2312"/>
          <w:color w:val="auto"/>
          <w:sz w:val="32"/>
          <w:szCs w:val="32"/>
        </w:rPr>
        <w:t>项目、松潘县省级</w:t>
      </w:r>
      <w:r>
        <w:rPr>
          <w:rFonts w:hint="eastAsia" w:ascii="仿宋_GB2312" w:eastAsia="仿宋_GB2312"/>
          <w:color w:val="auto"/>
          <w:sz w:val="32"/>
          <w:szCs w:val="32"/>
          <w:lang w:eastAsia="zh-CN"/>
        </w:rPr>
        <w:t>慢性病</w:t>
      </w:r>
      <w:r>
        <w:rPr>
          <w:rFonts w:hint="eastAsia" w:ascii="仿宋_GB2312" w:eastAsia="仿宋_GB2312"/>
          <w:color w:val="auto"/>
          <w:sz w:val="32"/>
          <w:szCs w:val="32"/>
        </w:rPr>
        <w:t>综合示范区创建、艾滋病防控及传染病管理经费、基本公共卫生服务（直达资金）</w:t>
      </w:r>
      <w:r>
        <w:rPr>
          <w:rFonts w:hint="eastAsia" w:ascii="仿宋_GB2312" w:eastAsia="仿宋_GB2312"/>
          <w:color w:val="auto"/>
          <w:sz w:val="32"/>
          <w:szCs w:val="32"/>
          <w:lang w:val="en-US" w:eastAsia="zh-CN"/>
        </w:rPr>
        <w:t>5</w:t>
      </w:r>
      <w:r>
        <w:rPr>
          <w:rFonts w:hint="eastAsia" w:ascii="仿宋_GB2312" w:eastAsia="仿宋_GB2312"/>
          <w:color w:val="auto"/>
          <w:sz w:val="32"/>
          <w:szCs w:val="32"/>
        </w:rPr>
        <w:t>个项目开展了预算事前绩效评估，对</w:t>
      </w:r>
      <w:r>
        <w:rPr>
          <w:rFonts w:hint="eastAsia" w:ascii="仿宋_GB2312" w:eastAsia="仿宋_GB2312"/>
          <w:color w:val="auto"/>
          <w:sz w:val="32"/>
          <w:szCs w:val="32"/>
          <w:lang w:val="en-US" w:eastAsia="zh-CN"/>
        </w:rPr>
        <w:t>5</w:t>
      </w:r>
      <w:r>
        <w:rPr>
          <w:rFonts w:hint="eastAsia" w:ascii="仿宋_GB2312" w:eastAsia="仿宋_GB2312"/>
          <w:color w:val="auto"/>
          <w:sz w:val="32"/>
          <w:szCs w:val="32"/>
        </w:rPr>
        <w:t>个项目编制了绩效目标，预算执行过程中，选取</w:t>
      </w:r>
      <w:r>
        <w:rPr>
          <w:rFonts w:hint="eastAsia" w:ascii="仿宋_GB2312" w:eastAsia="仿宋_GB2312"/>
          <w:color w:val="auto"/>
          <w:sz w:val="32"/>
          <w:szCs w:val="32"/>
          <w:lang w:val="en-US" w:eastAsia="zh-CN"/>
        </w:rPr>
        <w:t>5</w:t>
      </w:r>
      <w:r>
        <w:rPr>
          <w:rFonts w:hint="eastAsia" w:ascii="仿宋_GB2312" w:eastAsia="仿宋_GB2312"/>
          <w:color w:val="auto"/>
          <w:sz w:val="32"/>
          <w:szCs w:val="32"/>
        </w:rPr>
        <w:t>个项目开展绩效监控，组织对</w:t>
      </w:r>
      <w:r>
        <w:rPr>
          <w:rFonts w:hint="eastAsia" w:ascii="仿宋_GB2312" w:eastAsia="仿宋_GB2312"/>
          <w:color w:val="auto"/>
          <w:sz w:val="32"/>
          <w:szCs w:val="32"/>
          <w:lang w:val="en-US" w:eastAsia="zh-CN"/>
        </w:rPr>
        <w:t>5</w:t>
      </w:r>
      <w:r>
        <w:rPr>
          <w:rFonts w:hint="eastAsia" w:ascii="仿宋_GB2312" w:eastAsia="仿宋_GB2312"/>
          <w:color w:val="auto"/>
          <w:sz w:val="32"/>
          <w:szCs w:val="32"/>
        </w:rPr>
        <w:t>个项目开展绩效自评，绩效自评表详见第四部分附件</w:t>
      </w:r>
      <w:r>
        <w:rPr>
          <w:rFonts w:hint="eastAsia" w:ascii="仿宋_GB2312" w:eastAsia="仿宋_GB2312"/>
          <w:color w:val="auto"/>
          <w:sz w:val="32"/>
          <w:szCs w:val="32"/>
          <w:lang w:eastAsia="zh-CN"/>
        </w:rPr>
        <w:t>。</w:t>
      </w:r>
    </w:p>
    <w:p w14:paraId="16154D2F">
      <w:pPr>
        <w:pStyle w:val="2"/>
        <w:rPr>
          <w:rFonts w:hint="eastAsia" w:ascii="仿宋_GB2312" w:eastAsia="仿宋_GB2312"/>
          <w:sz w:val="32"/>
          <w:szCs w:val="32"/>
          <w:lang w:eastAsia="zh-CN"/>
        </w:rPr>
      </w:pPr>
      <w:r>
        <w:rPr>
          <w:rFonts w:hint="eastAsia" w:ascii="仿宋_GB2312" w:eastAsia="仿宋_GB2312"/>
          <w:color w:val="auto"/>
          <w:sz w:val="32"/>
          <w:szCs w:val="32"/>
          <w:lang w:eastAsia="zh-CN"/>
        </w:rPr>
        <w:t>从总体评价来看，各项目申报和支出基本符合工作实际，</w:t>
      </w:r>
      <w:r>
        <w:rPr>
          <w:rFonts w:hint="eastAsia" w:ascii="仿宋_GB2312" w:eastAsia="仿宋_GB2312"/>
          <w:sz w:val="32"/>
          <w:szCs w:val="32"/>
          <w:lang w:eastAsia="zh-CN"/>
        </w:rPr>
        <w:t>项目预算绩效完成情况较好，资金支出基本满足预期，但进度稍缓。</w:t>
      </w:r>
    </w:p>
    <w:p w14:paraId="793F57C7">
      <w:pPr>
        <w:pStyle w:val="2"/>
        <w:rPr>
          <w:rFonts w:hint="eastAsia" w:ascii="仿宋_GB2312" w:eastAsia="仿宋_GB2312"/>
          <w:sz w:val="32"/>
          <w:szCs w:val="32"/>
          <w:lang w:eastAsia="zh-CN"/>
        </w:rPr>
      </w:pPr>
    </w:p>
    <w:p w14:paraId="5FE2FF2E">
      <w:pPr>
        <w:pStyle w:val="2"/>
        <w:rPr>
          <w:rFonts w:hint="eastAsia" w:ascii="仿宋_GB2312" w:eastAsia="仿宋_GB2312"/>
          <w:sz w:val="32"/>
          <w:szCs w:val="32"/>
          <w:lang w:eastAsia="zh-CN"/>
        </w:rPr>
      </w:pPr>
    </w:p>
    <w:p w14:paraId="23E32F77">
      <w:pPr>
        <w:pStyle w:val="2"/>
        <w:rPr>
          <w:rFonts w:hint="eastAsia" w:ascii="仿宋_GB2312" w:eastAsia="仿宋_GB2312"/>
          <w:sz w:val="32"/>
          <w:szCs w:val="32"/>
          <w:lang w:eastAsia="zh-CN"/>
        </w:rPr>
      </w:pPr>
    </w:p>
    <w:p w14:paraId="02B1E888">
      <w:pPr>
        <w:pStyle w:val="2"/>
        <w:rPr>
          <w:rFonts w:hint="eastAsia" w:ascii="仿宋_GB2312" w:eastAsia="仿宋_GB2312"/>
          <w:sz w:val="32"/>
          <w:szCs w:val="32"/>
          <w:lang w:eastAsia="zh-CN"/>
        </w:rPr>
      </w:pPr>
    </w:p>
    <w:p w14:paraId="7ED8B3B3">
      <w:pPr>
        <w:pStyle w:val="2"/>
        <w:rPr>
          <w:rFonts w:hint="eastAsia" w:ascii="仿宋_GB2312" w:eastAsia="仿宋_GB2312"/>
          <w:sz w:val="32"/>
          <w:szCs w:val="32"/>
          <w:lang w:eastAsia="zh-CN"/>
        </w:rPr>
      </w:pPr>
    </w:p>
    <w:p w14:paraId="7CDC30F1">
      <w:pPr>
        <w:pStyle w:val="2"/>
        <w:rPr>
          <w:rFonts w:hint="eastAsia" w:ascii="仿宋_GB2312" w:eastAsia="仿宋_GB2312"/>
          <w:sz w:val="32"/>
          <w:szCs w:val="32"/>
          <w:lang w:eastAsia="zh-CN"/>
        </w:rPr>
      </w:pPr>
    </w:p>
    <w:p w14:paraId="72F3EE24">
      <w:pPr>
        <w:pStyle w:val="2"/>
        <w:rPr>
          <w:rFonts w:hint="eastAsia" w:ascii="仿宋_GB2312" w:eastAsia="仿宋_GB2312"/>
          <w:sz w:val="32"/>
          <w:szCs w:val="32"/>
          <w:lang w:eastAsia="zh-CN"/>
        </w:rPr>
      </w:pPr>
    </w:p>
    <w:p w14:paraId="723B227E">
      <w:pPr>
        <w:pStyle w:val="2"/>
        <w:ind w:left="0" w:leftChars="0" w:firstLine="0" w:firstLineChars="0"/>
        <w:rPr>
          <w:rFonts w:hint="eastAsia" w:ascii="仿宋_GB2312" w:eastAsia="仿宋_GB2312"/>
          <w:sz w:val="32"/>
          <w:szCs w:val="32"/>
          <w:lang w:eastAsia="zh-CN"/>
        </w:rPr>
      </w:pPr>
    </w:p>
    <w:p w14:paraId="3C3C27D6">
      <w:pPr>
        <w:numPr>
          <w:ilvl w:val="0"/>
          <w:numId w:val="6"/>
        </w:numPr>
        <w:spacing w:line="600" w:lineRule="exact"/>
        <w:ind w:firstLine="660" w:firstLineChars="150"/>
        <w:jc w:val="center"/>
        <w:outlineLvl w:val="0"/>
        <w:rPr>
          <w:rStyle w:val="30"/>
          <w:rFonts w:ascii="黑体" w:hAnsi="黑体" w:eastAsia="黑体"/>
          <w:b w:val="0"/>
        </w:rPr>
      </w:pPr>
      <w:bookmarkStart w:id="81" w:name="_Toc15396613"/>
      <w:bookmarkStart w:id="82" w:name="_Toc15377225"/>
      <w:bookmarkStart w:id="83" w:name="_Toc9763"/>
      <w:r>
        <w:rPr>
          <w:rFonts w:hint="eastAsia" w:ascii="黑体" w:hAnsi="黑体" w:eastAsia="黑体"/>
          <w:sz w:val="44"/>
          <w:szCs w:val="44"/>
        </w:rPr>
        <w:t>名</w:t>
      </w:r>
      <w:r>
        <w:rPr>
          <w:rStyle w:val="30"/>
          <w:rFonts w:hint="eastAsia" w:ascii="黑体" w:hAnsi="黑体" w:eastAsia="黑体"/>
          <w:b w:val="0"/>
        </w:rPr>
        <w:t>词解释</w:t>
      </w:r>
      <w:bookmarkEnd w:id="81"/>
      <w:bookmarkEnd w:id="82"/>
      <w:bookmarkEnd w:id="83"/>
    </w:p>
    <w:p w14:paraId="47BFE2FB">
      <w:pPr>
        <w:spacing w:line="600" w:lineRule="exact"/>
        <w:jc w:val="left"/>
        <w:rPr>
          <w:rFonts w:ascii="宋体"/>
          <w:b/>
          <w:sz w:val="44"/>
          <w:szCs w:val="44"/>
        </w:rPr>
      </w:pPr>
    </w:p>
    <w:p w14:paraId="5E28D4DF">
      <w:pPr>
        <w:pStyle w:val="28"/>
        <w:spacing w:line="560" w:lineRule="exact"/>
        <w:ind w:firstLine="640" w:firstLineChars="200"/>
        <w:rPr>
          <w:rFonts w:ascii="仿宋_GB2312" w:eastAsia="仿宋_GB2312"/>
          <w:color w:val="auto"/>
          <w:sz w:val="32"/>
          <w:szCs w:val="32"/>
        </w:rPr>
      </w:pPr>
      <w:r>
        <w:rPr>
          <w:rFonts w:ascii="仿宋_GB2312" w:eastAsia="仿宋_GB2312"/>
          <w:color w:val="auto"/>
          <w:sz w:val="32"/>
          <w:szCs w:val="32"/>
        </w:rPr>
        <w:t>1.</w:t>
      </w:r>
      <w:r>
        <w:rPr>
          <w:rFonts w:hint="eastAsia" w:ascii="仿宋_GB2312" w:eastAsia="仿宋_GB2312"/>
          <w:color w:val="auto"/>
          <w:sz w:val="32"/>
          <w:szCs w:val="32"/>
        </w:rPr>
        <w:t>财政拨款收入：指单位从同级财政部门取得的财政预算资金。</w:t>
      </w:r>
    </w:p>
    <w:p w14:paraId="646EE141">
      <w:pPr>
        <w:pStyle w:val="28"/>
        <w:spacing w:line="560" w:lineRule="exact"/>
        <w:ind w:firstLine="640" w:firstLineChars="200"/>
        <w:rPr>
          <w:rFonts w:ascii="仿宋_GB2312" w:eastAsia="仿宋_GB2312"/>
          <w:color w:val="auto"/>
          <w:sz w:val="32"/>
          <w:szCs w:val="32"/>
        </w:rPr>
      </w:pPr>
      <w:r>
        <w:rPr>
          <w:rFonts w:ascii="仿宋_GB2312" w:eastAsia="仿宋_GB2312"/>
          <w:color w:val="auto"/>
          <w:sz w:val="32"/>
          <w:szCs w:val="32"/>
        </w:rPr>
        <w:t>2.</w:t>
      </w:r>
      <w:r>
        <w:rPr>
          <w:rFonts w:hint="eastAsia" w:ascii="仿宋_GB2312" w:eastAsia="仿宋_GB2312"/>
          <w:color w:val="auto"/>
          <w:sz w:val="32"/>
          <w:szCs w:val="32"/>
        </w:rPr>
        <w:t>事业收入：指事业单位开展专业业务活动及辅助活动取得的收入。</w:t>
      </w:r>
    </w:p>
    <w:p w14:paraId="181C0EEF">
      <w:pPr>
        <w:pStyle w:val="28"/>
        <w:spacing w:line="560" w:lineRule="exact"/>
        <w:ind w:firstLine="640" w:firstLineChars="200"/>
        <w:rPr>
          <w:rFonts w:hint="eastAsia" w:ascii="仿宋_GB2312" w:eastAsia="仿宋_GB2312"/>
          <w:color w:val="auto"/>
          <w:sz w:val="32"/>
          <w:szCs w:val="32"/>
        </w:rPr>
      </w:pPr>
      <w:r>
        <w:rPr>
          <w:rFonts w:ascii="仿宋_GB2312" w:eastAsia="仿宋_GB2312"/>
          <w:color w:val="auto"/>
          <w:sz w:val="32"/>
          <w:szCs w:val="32"/>
        </w:rPr>
        <w:t>3.</w:t>
      </w:r>
      <w:r>
        <w:rPr>
          <w:rFonts w:hint="eastAsia" w:ascii="仿宋_GB2312" w:eastAsia="仿宋_GB2312"/>
          <w:color w:val="auto"/>
          <w:sz w:val="32"/>
          <w:szCs w:val="32"/>
        </w:rPr>
        <w:t>经营收入：指事业单位在专业业务活动及其辅助活动之外开展非独立核算经营活动取得的收入。</w:t>
      </w:r>
    </w:p>
    <w:p w14:paraId="6C036C07">
      <w:pPr>
        <w:pStyle w:val="28"/>
        <w:spacing w:line="560" w:lineRule="exact"/>
        <w:ind w:firstLine="640" w:firstLineChars="200"/>
        <w:rPr>
          <w:rFonts w:hint="eastAsia" w:ascii="仿宋_GB2312" w:eastAsia="仿宋_GB2312"/>
          <w:color w:val="auto"/>
          <w:sz w:val="32"/>
          <w:szCs w:val="32"/>
          <w:lang w:val="en-US" w:eastAsia="zh-CN"/>
        </w:rPr>
      </w:pPr>
      <w:r>
        <w:rPr>
          <w:rFonts w:hint="eastAsia" w:ascii="仿宋_GB2312" w:eastAsia="仿宋_GB2312"/>
          <w:color w:val="auto"/>
          <w:sz w:val="32"/>
          <w:szCs w:val="32"/>
          <w:lang w:val="en-US" w:eastAsia="zh-CN"/>
        </w:rPr>
        <w:t>4.其他收入：指单位取得的除上述收入以外的各项收入。</w:t>
      </w:r>
    </w:p>
    <w:p w14:paraId="4AAF1F85">
      <w:pPr>
        <w:pStyle w:val="28"/>
        <w:spacing w:line="560" w:lineRule="exact"/>
        <w:ind w:firstLine="640" w:firstLineChars="200"/>
        <w:rPr>
          <w:rFonts w:ascii="仿宋_GB2312" w:eastAsia="仿宋_GB2312"/>
          <w:color w:val="auto"/>
          <w:sz w:val="32"/>
          <w:szCs w:val="32"/>
        </w:rPr>
      </w:pPr>
      <w:r>
        <w:rPr>
          <w:rFonts w:hint="eastAsia" w:ascii="仿宋_GB2312" w:eastAsia="仿宋_GB2312"/>
          <w:color w:val="auto"/>
          <w:sz w:val="32"/>
          <w:szCs w:val="32"/>
          <w:lang w:val="en-US" w:eastAsia="zh-CN"/>
        </w:rPr>
        <w:t>5</w:t>
      </w:r>
      <w:r>
        <w:rPr>
          <w:rFonts w:ascii="仿宋_GB2312" w:eastAsia="仿宋_GB2312"/>
          <w:color w:val="auto"/>
          <w:sz w:val="32"/>
          <w:szCs w:val="32"/>
        </w:rPr>
        <w:t>.</w:t>
      </w:r>
      <w:r>
        <w:rPr>
          <w:rFonts w:hint="eastAsia" w:ascii="仿宋_GB2312" w:eastAsia="仿宋_GB2312"/>
          <w:color w:val="auto"/>
          <w:sz w:val="32"/>
          <w:szCs w:val="32"/>
        </w:rPr>
        <w:t>年初结转和结余：指以前年度尚未完成、结转到本年按有关规定继续使用的资金。</w:t>
      </w:r>
      <w:r>
        <w:rPr>
          <w:rFonts w:ascii="仿宋_GB2312" w:eastAsia="仿宋_GB2312"/>
          <w:color w:val="auto"/>
          <w:sz w:val="32"/>
          <w:szCs w:val="32"/>
        </w:rPr>
        <w:t xml:space="preserve"> </w:t>
      </w:r>
    </w:p>
    <w:p w14:paraId="42BFBEA8">
      <w:pPr>
        <w:pStyle w:val="28"/>
        <w:spacing w:line="560" w:lineRule="exact"/>
        <w:ind w:firstLine="640" w:firstLineChars="200"/>
        <w:rPr>
          <w:rFonts w:ascii="仿宋_GB2312" w:eastAsia="仿宋_GB2312"/>
          <w:color w:val="auto"/>
          <w:sz w:val="32"/>
          <w:szCs w:val="32"/>
        </w:rPr>
      </w:pPr>
      <w:r>
        <w:rPr>
          <w:rFonts w:hint="eastAsia" w:ascii="仿宋_GB2312" w:eastAsia="仿宋_GB2312"/>
          <w:color w:val="auto"/>
          <w:sz w:val="32"/>
          <w:szCs w:val="32"/>
          <w:lang w:val="en-US" w:eastAsia="zh-CN"/>
        </w:rPr>
        <w:t>6</w:t>
      </w:r>
      <w:r>
        <w:rPr>
          <w:rFonts w:ascii="仿宋_GB2312" w:eastAsia="仿宋_GB2312"/>
          <w:color w:val="auto"/>
          <w:sz w:val="32"/>
          <w:szCs w:val="32"/>
        </w:rPr>
        <w:t>.</w:t>
      </w:r>
      <w:r>
        <w:rPr>
          <w:rFonts w:hint="eastAsia" w:ascii="仿宋_GB2312" w:eastAsia="仿宋_GB2312"/>
          <w:color w:val="auto"/>
          <w:sz w:val="32"/>
          <w:szCs w:val="32"/>
        </w:rPr>
        <w:t>结余分配：指事业单位按照</w:t>
      </w:r>
      <w:r>
        <w:rPr>
          <w:rFonts w:hint="eastAsia" w:ascii="仿宋_GB2312" w:eastAsia="仿宋_GB2312"/>
          <w:color w:val="auto"/>
          <w:sz w:val="32"/>
          <w:szCs w:val="32"/>
          <w:lang w:eastAsia="zh-CN"/>
        </w:rPr>
        <w:t>事业单位</w:t>
      </w:r>
      <w:r>
        <w:rPr>
          <w:rFonts w:hint="eastAsia" w:ascii="仿宋_GB2312" w:eastAsia="仿宋_GB2312"/>
          <w:color w:val="auto"/>
          <w:sz w:val="32"/>
          <w:szCs w:val="32"/>
        </w:rPr>
        <w:t>会计制度规定</w:t>
      </w:r>
      <w:r>
        <w:rPr>
          <w:rFonts w:hint="eastAsia" w:ascii="仿宋_GB2312" w:eastAsia="仿宋_GB2312"/>
          <w:color w:val="auto"/>
          <w:sz w:val="32"/>
          <w:szCs w:val="32"/>
          <w:lang w:eastAsia="zh-CN"/>
        </w:rPr>
        <w:t>从财政补助结余中分配的事业基金和职工福利基金等。</w:t>
      </w:r>
    </w:p>
    <w:p w14:paraId="1AC850A4">
      <w:pPr>
        <w:pStyle w:val="28"/>
        <w:spacing w:line="560" w:lineRule="exact"/>
        <w:ind w:firstLine="640" w:firstLineChars="200"/>
        <w:rPr>
          <w:rFonts w:ascii="仿宋_GB2312" w:eastAsia="仿宋_GB2312"/>
          <w:color w:val="auto"/>
          <w:sz w:val="32"/>
          <w:szCs w:val="32"/>
        </w:rPr>
      </w:pPr>
      <w:r>
        <w:rPr>
          <w:rFonts w:hint="eastAsia" w:ascii="仿宋_GB2312" w:eastAsia="仿宋_GB2312"/>
          <w:color w:val="auto"/>
          <w:sz w:val="32"/>
          <w:szCs w:val="32"/>
          <w:lang w:val="en-US" w:eastAsia="zh-CN"/>
        </w:rPr>
        <w:t>7</w:t>
      </w:r>
      <w:r>
        <w:rPr>
          <w:rFonts w:hint="eastAsia" w:ascii="仿宋_GB2312" w:eastAsia="仿宋_GB2312"/>
          <w:color w:val="auto"/>
          <w:sz w:val="32"/>
          <w:szCs w:val="32"/>
        </w:rPr>
        <w:t>.年末结转和结余：指单位按有关规定结转到下年或以后年度继续使用的资金。</w:t>
      </w:r>
    </w:p>
    <w:p w14:paraId="182C0505">
      <w:pPr>
        <w:pStyle w:val="28"/>
        <w:spacing w:line="560" w:lineRule="exact"/>
        <w:ind w:firstLine="640" w:firstLineChars="200"/>
        <w:rPr>
          <w:rFonts w:hint="eastAsia" w:ascii="仿宋_GB2312" w:eastAsia="仿宋_GB2312"/>
          <w:color w:val="auto"/>
          <w:sz w:val="32"/>
          <w:szCs w:val="32"/>
          <w:lang w:eastAsia="zh-CN"/>
        </w:rPr>
      </w:pPr>
      <w:r>
        <w:rPr>
          <w:rFonts w:hint="eastAsia" w:ascii="仿宋_GB2312" w:eastAsia="仿宋_GB2312"/>
          <w:color w:val="auto"/>
          <w:sz w:val="32"/>
          <w:szCs w:val="32"/>
          <w:lang w:val="en-US" w:eastAsia="zh-CN"/>
        </w:rPr>
        <w:t>8</w:t>
      </w:r>
      <w:r>
        <w:rPr>
          <w:rFonts w:ascii="仿宋_GB2312" w:eastAsia="仿宋_GB2312"/>
          <w:color w:val="auto"/>
          <w:sz w:val="32"/>
          <w:szCs w:val="32"/>
        </w:rPr>
        <w:t>.</w:t>
      </w:r>
      <w:r>
        <w:rPr>
          <w:rFonts w:hint="eastAsia" w:ascii="仿宋_GB2312" w:eastAsia="仿宋_GB2312"/>
          <w:color w:val="auto"/>
          <w:sz w:val="32"/>
          <w:szCs w:val="32"/>
        </w:rPr>
        <w:t>社会保障和就业支出（208）行政事业单位养老支出（20805）机关事业单位基本养老保险缴费支出（2080505）</w:t>
      </w:r>
      <w:r>
        <w:rPr>
          <w:rFonts w:hint="eastAsia" w:ascii="仿宋_GB2312" w:eastAsia="仿宋_GB2312"/>
          <w:color w:val="auto"/>
          <w:sz w:val="32"/>
          <w:szCs w:val="32"/>
          <w:lang w:eastAsia="zh-CN"/>
        </w:rPr>
        <w:t>：反映机关事业单位实施养老保险制度由单位缴纳的基本养老保险费支出。</w:t>
      </w:r>
    </w:p>
    <w:p w14:paraId="14FF5043">
      <w:pPr>
        <w:pStyle w:val="28"/>
        <w:spacing w:line="560" w:lineRule="exact"/>
        <w:ind w:firstLine="640" w:firstLineChars="200"/>
        <w:rPr>
          <w:rFonts w:hint="eastAsia" w:ascii="仿宋_GB2312" w:eastAsia="仿宋_GB2312"/>
          <w:color w:val="auto"/>
          <w:sz w:val="32"/>
          <w:szCs w:val="32"/>
          <w:lang w:eastAsia="zh-CN"/>
        </w:rPr>
      </w:pPr>
      <w:r>
        <w:rPr>
          <w:rFonts w:hint="eastAsia" w:ascii="仿宋_GB2312" w:eastAsia="仿宋_GB2312"/>
          <w:color w:val="auto"/>
          <w:sz w:val="32"/>
          <w:szCs w:val="32"/>
          <w:lang w:val="en-US" w:eastAsia="zh-CN"/>
        </w:rPr>
        <w:t>9</w:t>
      </w:r>
      <w:r>
        <w:rPr>
          <w:rFonts w:hint="eastAsia" w:ascii="仿宋_GB2312" w:eastAsia="仿宋_GB2312"/>
          <w:color w:val="auto"/>
          <w:sz w:val="32"/>
          <w:szCs w:val="32"/>
        </w:rPr>
        <w:t>.社会保障和就业支出（208）行政事业单位养老支出（20805）机关事业单位职业年金缴费支出（2080506）</w:t>
      </w:r>
      <w:r>
        <w:rPr>
          <w:rFonts w:hint="eastAsia" w:ascii="仿宋_GB2312" w:eastAsia="仿宋_GB2312"/>
          <w:color w:val="auto"/>
          <w:sz w:val="32"/>
          <w:szCs w:val="32"/>
          <w:lang w:eastAsia="zh-CN"/>
        </w:rPr>
        <w:t>：反映机关事业单位实施养老保险制度由单位实际缴纳的职业年金支出。</w:t>
      </w:r>
    </w:p>
    <w:p w14:paraId="10273B45">
      <w:pPr>
        <w:pStyle w:val="28"/>
        <w:spacing w:line="560" w:lineRule="exact"/>
        <w:ind w:firstLine="640" w:firstLineChars="200"/>
        <w:rPr>
          <w:rFonts w:hint="eastAsia" w:ascii="仿宋_GB2312" w:eastAsia="仿宋_GB2312"/>
          <w:color w:val="auto"/>
          <w:sz w:val="32"/>
          <w:szCs w:val="32"/>
          <w:lang w:eastAsia="zh-CN"/>
        </w:rPr>
      </w:pPr>
      <w:r>
        <w:rPr>
          <w:rFonts w:hint="eastAsia" w:ascii="仿宋_GB2312" w:eastAsia="仿宋_GB2312"/>
          <w:color w:val="auto"/>
          <w:sz w:val="32"/>
          <w:szCs w:val="32"/>
          <w:lang w:val="en-US" w:eastAsia="zh-CN"/>
        </w:rPr>
        <w:t>10</w:t>
      </w:r>
      <w:r>
        <w:rPr>
          <w:rFonts w:hint="eastAsia" w:ascii="仿宋_GB2312" w:eastAsia="仿宋_GB2312"/>
          <w:color w:val="auto"/>
          <w:sz w:val="32"/>
          <w:szCs w:val="32"/>
        </w:rPr>
        <w:t>.卫生健康支出（210）公共卫生（21004）疾病预防控制机构（2100401）</w:t>
      </w:r>
      <w:r>
        <w:rPr>
          <w:rFonts w:hint="eastAsia" w:ascii="仿宋_GB2312" w:eastAsia="仿宋_GB2312"/>
          <w:color w:val="auto"/>
          <w:sz w:val="32"/>
          <w:szCs w:val="32"/>
          <w:lang w:eastAsia="zh-CN"/>
        </w:rPr>
        <w:t>：反映卫生健康部门所属疾病预防控制机构的支出。</w:t>
      </w:r>
    </w:p>
    <w:p w14:paraId="5BF7C78C">
      <w:pPr>
        <w:pStyle w:val="28"/>
        <w:spacing w:line="560" w:lineRule="exact"/>
        <w:ind w:firstLine="640" w:firstLineChars="200"/>
        <w:rPr>
          <w:rFonts w:hint="eastAsia" w:ascii="仿宋_GB2312" w:eastAsia="仿宋_GB2312"/>
          <w:color w:val="auto"/>
          <w:sz w:val="32"/>
          <w:szCs w:val="32"/>
          <w:lang w:eastAsia="zh-CN"/>
        </w:rPr>
      </w:pPr>
      <w:r>
        <w:rPr>
          <w:rFonts w:hint="eastAsia" w:ascii="仿宋_GB2312" w:eastAsia="仿宋_GB2312"/>
          <w:color w:val="auto"/>
          <w:sz w:val="32"/>
          <w:szCs w:val="32"/>
          <w:lang w:val="en-US" w:eastAsia="zh-CN"/>
        </w:rPr>
        <w:t>11</w:t>
      </w:r>
      <w:r>
        <w:rPr>
          <w:rFonts w:hint="eastAsia" w:ascii="仿宋_GB2312" w:eastAsia="仿宋_GB2312"/>
          <w:color w:val="auto"/>
          <w:sz w:val="32"/>
          <w:szCs w:val="32"/>
        </w:rPr>
        <w:t>.卫生健康支出（210）公共卫生（21004）基本公共卫生服务（2100408）</w:t>
      </w:r>
      <w:r>
        <w:rPr>
          <w:rFonts w:hint="eastAsia" w:ascii="仿宋_GB2312" w:eastAsia="仿宋_GB2312"/>
          <w:color w:val="auto"/>
          <w:sz w:val="32"/>
          <w:szCs w:val="32"/>
          <w:lang w:eastAsia="zh-CN"/>
        </w:rPr>
        <w:t>：反映基本公共卫生服务支出。</w:t>
      </w:r>
    </w:p>
    <w:p w14:paraId="1ED63DFF">
      <w:pPr>
        <w:pStyle w:val="28"/>
        <w:spacing w:line="560" w:lineRule="exact"/>
        <w:ind w:firstLine="640" w:firstLineChars="200"/>
        <w:rPr>
          <w:rFonts w:hint="eastAsia" w:ascii="仿宋_GB2312" w:eastAsia="仿宋_GB2312"/>
          <w:color w:val="auto"/>
          <w:sz w:val="32"/>
          <w:szCs w:val="32"/>
          <w:lang w:eastAsia="zh-CN"/>
        </w:rPr>
      </w:pPr>
      <w:r>
        <w:rPr>
          <w:rFonts w:hint="eastAsia" w:ascii="仿宋_GB2312" w:eastAsia="仿宋_GB2312"/>
          <w:color w:val="auto"/>
          <w:sz w:val="32"/>
          <w:szCs w:val="32"/>
          <w:lang w:val="en-US" w:eastAsia="zh-CN"/>
        </w:rPr>
        <w:t>12</w:t>
      </w:r>
      <w:r>
        <w:rPr>
          <w:rFonts w:hint="eastAsia" w:ascii="仿宋_GB2312" w:eastAsia="仿宋_GB2312"/>
          <w:color w:val="auto"/>
          <w:sz w:val="32"/>
          <w:szCs w:val="32"/>
        </w:rPr>
        <w:t>.卫生健康支出（210）公共卫生（21004）重大公共卫生服务（2100409）</w:t>
      </w:r>
      <w:r>
        <w:rPr>
          <w:rFonts w:hint="eastAsia" w:ascii="仿宋_GB2312" w:eastAsia="仿宋_GB2312"/>
          <w:color w:val="auto"/>
          <w:sz w:val="32"/>
          <w:szCs w:val="32"/>
          <w:lang w:eastAsia="zh-CN"/>
        </w:rPr>
        <w:t>：反映重大疾病、重大传染病预防控制等重大公共卫生服务项目支出。</w:t>
      </w:r>
    </w:p>
    <w:p w14:paraId="6FCDB2F5">
      <w:pPr>
        <w:pStyle w:val="28"/>
        <w:spacing w:line="560" w:lineRule="exact"/>
        <w:ind w:firstLine="640" w:firstLineChars="200"/>
        <w:rPr>
          <w:rFonts w:hint="eastAsia" w:ascii="仿宋" w:hAnsi="仿宋" w:eastAsia="仿宋"/>
          <w:color w:val="000000"/>
          <w:sz w:val="32"/>
          <w:szCs w:val="32"/>
          <w:lang w:eastAsia="zh-CN"/>
        </w:rPr>
      </w:pPr>
      <w:r>
        <w:rPr>
          <w:rFonts w:hint="eastAsia" w:ascii="仿宋_GB2312" w:eastAsia="仿宋_GB2312"/>
          <w:color w:val="auto"/>
          <w:sz w:val="32"/>
          <w:szCs w:val="32"/>
          <w:lang w:val="en-US" w:eastAsia="zh-CN"/>
        </w:rPr>
        <w:t>13</w:t>
      </w:r>
      <w:r>
        <w:rPr>
          <w:rFonts w:hint="eastAsia" w:ascii="仿宋_GB2312" w:eastAsia="仿宋_GB2312"/>
          <w:color w:val="auto"/>
          <w:sz w:val="32"/>
          <w:szCs w:val="32"/>
        </w:rPr>
        <w:t>.卫生健康支出（210）公共卫生（21004）其他公共卫生支出（2100499）</w:t>
      </w:r>
      <w:r>
        <w:rPr>
          <w:rFonts w:hint="eastAsia" w:ascii="仿宋_GB2312" w:eastAsia="仿宋_GB2312"/>
          <w:color w:val="auto"/>
          <w:sz w:val="32"/>
          <w:szCs w:val="32"/>
          <w:lang w:eastAsia="zh-CN"/>
        </w:rPr>
        <w:t>：反映除上述项目以外的其他用于公共卫生方面的支出。</w:t>
      </w:r>
      <w:r>
        <w:rPr>
          <w:rFonts w:hint="eastAsia" w:ascii="仿宋_GB2312" w:eastAsia="仿宋_GB2312"/>
          <w:color w:val="auto"/>
          <w:sz w:val="32"/>
          <w:szCs w:val="32"/>
        </w:rPr>
        <w:cr/>
      </w:r>
      <w:r>
        <w:rPr>
          <w:rFonts w:hint="eastAsia" w:ascii="仿宋_GB2312" w:eastAsia="仿宋_GB2312"/>
          <w:color w:val="auto"/>
          <w:sz w:val="32"/>
          <w:szCs w:val="32"/>
          <w:lang w:val="en-US" w:eastAsia="zh-CN"/>
        </w:rPr>
        <w:t xml:space="preserve">    14</w:t>
      </w:r>
      <w:r>
        <w:rPr>
          <w:rFonts w:hint="eastAsia" w:ascii="仿宋_GB2312" w:eastAsia="仿宋_GB2312"/>
          <w:color w:val="auto"/>
          <w:sz w:val="32"/>
          <w:szCs w:val="32"/>
        </w:rPr>
        <w:t>.卫生健康支出（210）行政事业单位医疗（21011）事业单位医疗（2101102）</w:t>
      </w:r>
      <w:r>
        <w:rPr>
          <w:rFonts w:hint="eastAsia" w:ascii="仿宋_GB2312" w:eastAsia="仿宋_GB2312"/>
          <w:color w:val="auto"/>
          <w:sz w:val="32"/>
          <w:szCs w:val="32"/>
          <w:lang w:eastAsia="zh-CN"/>
        </w:rPr>
        <w:t>：反映财政部门安排的事业单位基本医疗保险缴费经费，未参加医疗保险的事业单位的公费医疗经费，按国家规定享受离休人员待</w:t>
      </w:r>
      <w:r>
        <w:rPr>
          <w:rFonts w:hint="eastAsia" w:ascii="仿宋" w:hAnsi="仿宋" w:eastAsia="仿宋"/>
          <w:color w:val="000000"/>
          <w:sz w:val="32"/>
          <w:szCs w:val="32"/>
          <w:lang w:eastAsia="zh-CN"/>
        </w:rPr>
        <w:t>遇的医疗经费。</w:t>
      </w:r>
    </w:p>
    <w:p w14:paraId="27C6C924">
      <w:pPr>
        <w:pStyle w:val="28"/>
        <w:spacing w:line="560" w:lineRule="exact"/>
        <w:ind w:firstLine="640" w:firstLineChars="200"/>
        <w:rPr>
          <w:rFonts w:hint="eastAsia" w:ascii="仿宋_GB2312" w:eastAsia="仿宋_GB2312"/>
          <w:color w:val="auto"/>
          <w:sz w:val="32"/>
          <w:szCs w:val="32"/>
          <w:lang w:eastAsia="zh-CN"/>
        </w:rPr>
      </w:pPr>
      <w:r>
        <w:rPr>
          <w:rFonts w:hint="eastAsia" w:ascii="仿宋_GB2312" w:eastAsia="仿宋_GB2312"/>
          <w:color w:val="auto"/>
          <w:sz w:val="32"/>
          <w:szCs w:val="32"/>
          <w:lang w:val="en-US" w:eastAsia="zh-CN"/>
        </w:rPr>
        <w:t>15</w:t>
      </w:r>
      <w:r>
        <w:rPr>
          <w:rFonts w:hint="eastAsia" w:ascii="仿宋_GB2312" w:eastAsia="仿宋_GB2312"/>
          <w:color w:val="auto"/>
          <w:sz w:val="32"/>
          <w:szCs w:val="32"/>
        </w:rPr>
        <w:t>.卫生健康支出（210）行政事业单位医疗（21011）</w:t>
      </w:r>
      <w:r>
        <w:rPr>
          <w:rFonts w:hint="eastAsia" w:ascii="仿宋_GB2312" w:eastAsia="仿宋_GB2312"/>
          <w:color w:val="auto"/>
          <w:sz w:val="32"/>
          <w:szCs w:val="32"/>
          <w:lang w:eastAsia="zh-CN"/>
        </w:rPr>
        <w:t>其他行政</w:t>
      </w:r>
      <w:r>
        <w:rPr>
          <w:rFonts w:hint="eastAsia" w:ascii="仿宋_GB2312" w:eastAsia="仿宋_GB2312"/>
          <w:color w:val="auto"/>
          <w:sz w:val="32"/>
          <w:szCs w:val="32"/>
        </w:rPr>
        <w:t>事业单位医疗（21011</w:t>
      </w:r>
      <w:r>
        <w:rPr>
          <w:rFonts w:hint="eastAsia" w:ascii="仿宋_GB2312" w:eastAsia="仿宋_GB2312"/>
          <w:color w:val="auto"/>
          <w:sz w:val="32"/>
          <w:szCs w:val="32"/>
          <w:lang w:val="en-US" w:eastAsia="zh-CN"/>
        </w:rPr>
        <w:t>99</w:t>
      </w:r>
      <w:r>
        <w:rPr>
          <w:rFonts w:hint="eastAsia" w:ascii="仿宋_GB2312" w:eastAsia="仿宋_GB2312"/>
          <w:color w:val="auto"/>
          <w:sz w:val="32"/>
          <w:szCs w:val="32"/>
        </w:rPr>
        <w:t>）</w:t>
      </w:r>
      <w:r>
        <w:rPr>
          <w:rFonts w:hint="eastAsia" w:ascii="仿宋_GB2312" w:eastAsia="仿宋_GB2312"/>
          <w:color w:val="auto"/>
          <w:sz w:val="32"/>
          <w:szCs w:val="32"/>
          <w:lang w:eastAsia="zh-CN"/>
        </w:rPr>
        <w:t>：反映除事业单位医疗以外的其他行政事业单位医疗支出。</w:t>
      </w:r>
    </w:p>
    <w:p w14:paraId="176DAFD6">
      <w:pPr>
        <w:pStyle w:val="28"/>
        <w:spacing w:line="560" w:lineRule="exact"/>
        <w:ind w:firstLine="640" w:firstLineChars="200"/>
        <w:rPr>
          <w:rFonts w:hint="eastAsia" w:ascii="仿宋_GB2312" w:eastAsia="仿宋_GB2312"/>
          <w:color w:val="auto"/>
          <w:sz w:val="32"/>
          <w:szCs w:val="32"/>
          <w:lang w:eastAsia="zh-CN"/>
        </w:rPr>
      </w:pPr>
      <w:r>
        <w:rPr>
          <w:rFonts w:hint="eastAsia" w:ascii="仿宋_GB2312" w:eastAsia="仿宋_GB2312"/>
          <w:color w:val="auto"/>
          <w:sz w:val="32"/>
          <w:szCs w:val="32"/>
          <w:lang w:val="en-US" w:eastAsia="zh-CN"/>
        </w:rPr>
        <w:t>16</w:t>
      </w:r>
      <w:r>
        <w:rPr>
          <w:rFonts w:hint="eastAsia" w:ascii="仿宋_GB2312" w:eastAsia="仿宋_GB2312"/>
          <w:color w:val="auto"/>
          <w:sz w:val="32"/>
          <w:szCs w:val="32"/>
        </w:rPr>
        <w:t>.住房保障支出（221）住房改革支出（22102）住房公积金（2210201）</w:t>
      </w:r>
      <w:r>
        <w:rPr>
          <w:rFonts w:hint="eastAsia" w:ascii="仿宋_GB2312" w:eastAsia="仿宋_GB2312"/>
          <w:color w:val="auto"/>
          <w:sz w:val="32"/>
          <w:szCs w:val="32"/>
          <w:lang w:eastAsia="zh-CN"/>
        </w:rPr>
        <w:t>：反映行政事业单位按人力资源和社会保障部、财政部规定的基本工资和津贴补贴以及规定比例为职工缴纳的住房公积金。</w:t>
      </w:r>
    </w:p>
    <w:p w14:paraId="03B5573C">
      <w:pPr>
        <w:pStyle w:val="28"/>
        <w:spacing w:line="560" w:lineRule="exact"/>
        <w:ind w:firstLine="640" w:firstLineChars="200"/>
        <w:rPr>
          <w:rFonts w:hint="eastAsia" w:ascii="仿宋_GB2312" w:eastAsia="仿宋_GB2312"/>
          <w:color w:val="auto"/>
          <w:sz w:val="32"/>
          <w:szCs w:val="32"/>
        </w:rPr>
      </w:pPr>
      <w:r>
        <w:rPr>
          <w:rFonts w:hint="eastAsia" w:ascii="仿宋_GB2312" w:eastAsia="仿宋_GB2312"/>
          <w:color w:val="auto"/>
          <w:sz w:val="32"/>
          <w:szCs w:val="32"/>
          <w:lang w:val="en-US" w:eastAsia="zh-CN"/>
        </w:rPr>
        <w:t>17</w:t>
      </w:r>
      <w:r>
        <w:rPr>
          <w:rFonts w:hint="eastAsia" w:ascii="仿宋_GB2312" w:eastAsia="仿宋_GB2312"/>
          <w:color w:val="auto"/>
          <w:sz w:val="32"/>
          <w:szCs w:val="32"/>
        </w:rPr>
        <w:t>.基本支出：指为保障机构正常运转、完成日常工作任务而发生的人员支出和公用支出。</w:t>
      </w:r>
    </w:p>
    <w:p w14:paraId="66985AE0">
      <w:pPr>
        <w:pStyle w:val="28"/>
        <w:spacing w:line="560" w:lineRule="exact"/>
        <w:ind w:firstLine="640" w:firstLineChars="200"/>
        <w:rPr>
          <w:rFonts w:hint="eastAsia" w:ascii="仿宋_GB2312" w:eastAsia="仿宋_GB2312"/>
          <w:color w:val="auto"/>
          <w:sz w:val="32"/>
          <w:szCs w:val="32"/>
        </w:rPr>
      </w:pPr>
      <w:r>
        <w:rPr>
          <w:rFonts w:hint="eastAsia" w:ascii="仿宋_GB2312" w:eastAsia="仿宋_GB2312"/>
          <w:color w:val="auto"/>
          <w:sz w:val="32"/>
          <w:szCs w:val="32"/>
          <w:lang w:val="en-US" w:eastAsia="zh-CN"/>
        </w:rPr>
        <w:t>18</w:t>
      </w:r>
      <w:r>
        <w:rPr>
          <w:rFonts w:hint="eastAsia" w:ascii="仿宋_GB2312" w:eastAsia="仿宋_GB2312"/>
          <w:color w:val="auto"/>
          <w:sz w:val="32"/>
          <w:szCs w:val="32"/>
        </w:rPr>
        <w:t xml:space="preserve">.项目支出：指在基本支出之外为完成特定行政任务和事业发展目标所发生的支出。 </w:t>
      </w:r>
    </w:p>
    <w:p w14:paraId="341103B0">
      <w:pPr>
        <w:pStyle w:val="28"/>
        <w:spacing w:line="560" w:lineRule="exact"/>
        <w:ind w:firstLine="640" w:firstLineChars="200"/>
        <w:rPr>
          <w:rFonts w:hint="eastAsia" w:ascii="仿宋_GB2312" w:eastAsia="仿宋_GB2312"/>
          <w:color w:val="auto"/>
          <w:sz w:val="32"/>
          <w:szCs w:val="32"/>
        </w:rPr>
      </w:pPr>
      <w:r>
        <w:rPr>
          <w:rFonts w:hint="eastAsia" w:ascii="仿宋_GB2312" w:eastAsia="仿宋_GB2312"/>
          <w:color w:val="auto"/>
          <w:sz w:val="32"/>
          <w:szCs w:val="32"/>
          <w:lang w:val="en-US" w:eastAsia="zh-CN"/>
        </w:rPr>
        <w:t>19</w:t>
      </w:r>
      <w:r>
        <w:rPr>
          <w:rFonts w:hint="eastAsia" w:ascii="仿宋_GB2312" w:eastAsia="仿宋_GB2312"/>
          <w:color w:val="auto"/>
          <w:sz w:val="32"/>
          <w:szCs w:val="32"/>
        </w:rPr>
        <w:t>.经营支出：指事业单位在专业业务活动及其辅助活动之外开展非独立核算经营活动发生的支出。</w:t>
      </w:r>
    </w:p>
    <w:p w14:paraId="361D96C2">
      <w:pPr>
        <w:pStyle w:val="28"/>
        <w:spacing w:line="560" w:lineRule="exact"/>
        <w:ind w:firstLine="640" w:firstLineChars="200"/>
        <w:rPr>
          <w:rFonts w:hint="eastAsia" w:ascii="仿宋_GB2312" w:eastAsia="仿宋_GB2312"/>
          <w:color w:val="auto"/>
          <w:sz w:val="32"/>
          <w:szCs w:val="32"/>
        </w:rPr>
      </w:pPr>
      <w:r>
        <w:rPr>
          <w:rFonts w:hint="eastAsia" w:ascii="仿宋_GB2312" w:eastAsia="仿宋_GB2312"/>
          <w:color w:val="auto"/>
          <w:sz w:val="32"/>
          <w:szCs w:val="32"/>
          <w:lang w:val="en-US" w:eastAsia="zh-CN"/>
        </w:rPr>
        <w:t>20</w:t>
      </w:r>
      <w:r>
        <w:rPr>
          <w:rFonts w:hint="eastAsia" w:ascii="仿宋_GB2312" w:eastAsia="仿宋_GB2312"/>
          <w:color w:val="auto"/>
          <w:sz w:val="32"/>
          <w:szCs w:val="32"/>
        </w:rPr>
        <w:t>.“三公”经费：指单位用财政拨款安排的因公出国（境）费、公务用车购置及运行费和公务接待费。其中，因公出国（境）费反映单位公务出国（境）的国际旅费、国外城市间交通费、住宿费、伙食费、培训费、公杂费等支出；公务用车购置及运行费反映单位公务用车车辆购置支出（含车辆购置税）及租用费、燃料费、维修费、过路过桥费、保险费等支出；公务接待费反映单位按规定开支的各类公务接待（含外宾接待）支出。</w:t>
      </w:r>
    </w:p>
    <w:p w14:paraId="7EC5C0DC">
      <w:pPr>
        <w:pStyle w:val="28"/>
        <w:spacing w:line="560" w:lineRule="exact"/>
        <w:ind w:firstLine="640" w:firstLineChars="200"/>
        <w:rPr>
          <w:rFonts w:hint="eastAsia" w:ascii="仿宋_GB2312" w:eastAsia="仿宋_GB2312"/>
          <w:color w:val="auto"/>
          <w:sz w:val="32"/>
          <w:szCs w:val="32"/>
        </w:rPr>
      </w:pPr>
      <w:r>
        <w:rPr>
          <w:rFonts w:hint="eastAsia" w:ascii="仿宋_GB2312" w:eastAsia="仿宋_GB2312"/>
          <w:color w:val="auto"/>
          <w:sz w:val="32"/>
          <w:szCs w:val="32"/>
          <w:lang w:val="en-US" w:eastAsia="zh-CN"/>
        </w:rPr>
        <w:t>21</w:t>
      </w:r>
      <w:r>
        <w:rPr>
          <w:rFonts w:hint="eastAsia" w:ascii="仿宋_GB2312" w:eastAsia="仿宋_GB2312"/>
          <w:color w:val="auto"/>
          <w:sz w:val="32"/>
          <w:szCs w:val="32"/>
        </w:rPr>
        <w:t>.机关运行经费：为保障行政单位（含参照公务员法管理的事业单位）运行用于购买货物和服务的各项资金，包括办公及印刷费、邮电费、差旅费、会议费、福利费、日常维修费、专用材料及一般设备购置费、办公用房水电费、办公用房取暖费、办公用房物业管理费、公务用车运行维护费</w:t>
      </w:r>
    </w:p>
    <w:p w14:paraId="4E32AC1E">
      <w:pPr>
        <w:pStyle w:val="28"/>
        <w:spacing w:line="560" w:lineRule="exact"/>
        <w:rPr>
          <w:rFonts w:hint="eastAsia" w:ascii="仿宋_GB2312" w:eastAsia="仿宋_GB2312"/>
          <w:color w:val="auto"/>
          <w:sz w:val="32"/>
          <w:szCs w:val="32"/>
        </w:rPr>
      </w:pPr>
      <w:r>
        <w:rPr>
          <w:rFonts w:hint="eastAsia" w:ascii="仿宋_GB2312" w:eastAsia="仿宋_GB2312"/>
          <w:color w:val="auto"/>
          <w:sz w:val="32"/>
          <w:szCs w:val="32"/>
        </w:rPr>
        <w:t>以及其他费用。</w:t>
      </w:r>
    </w:p>
    <w:p w14:paraId="5C003B76">
      <w:pPr>
        <w:spacing w:line="600" w:lineRule="exact"/>
        <w:jc w:val="center"/>
        <w:outlineLvl w:val="9"/>
        <w:rPr>
          <w:rFonts w:hint="eastAsia" w:ascii="黑体" w:hAnsi="黑体" w:eastAsia="黑体"/>
          <w:sz w:val="44"/>
          <w:szCs w:val="44"/>
        </w:rPr>
      </w:pPr>
      <w:bookmarkStart w:id="84" w:name="_Toc15396614"/>
      <w:bookmarkStart w:id="85" w:name="_Toc15377226"/>
    </w:p>
    <w:p w14:paraId="5F53F56C">
      <w:pPr>
        <w:pStyle w:val="2"/>
        <w:rPr>
          <w:rFonts w:hint="eastAsia" w:ascii="黑体" w:hAnsi="黑体" w:eastAsia="黑体"/>
          <w:sz w:val="44"/>
          <w:szCs w:val="44"/>
        </w:rPr>
      </w:pPr>
    </w:p>
    <w:p w14:paraId="09A5FA63">
      <w:pPr>
        <w:pStyle w:val="2"/>
        <w:rPr>
          <w:rFonts w:hint="eastAsia" w:ascii="黑体" w:hAnsi="黑体" w:eastAsia="黑体"/>
          <w:sz w:val="44"/>
          <w:szCs w:val="44"/>
        </w:rPr>
      </w:pPr>
    </w:p>
    <w:p w14:paraId="5677A4F9">
      <w:pPr>
        <w:pStyle w:val="2"/>
        <w:rPr>
          <w:rFonts w:hint="eastAsia" w:ascii="黑体" w:hAnsi="黑体" w:eastAsia="黑体"/>
          <w:sz w:val="44"/>
          <w:szCs w:val="44"/>
        </w:rPr>
      </w:pPr>
    </w:p>
    <w:p w14:paraId="0CEA5825">
      <w:pPr>
        <w:pStyle w:val="2"/>
        <w:ind w:left="0" w:leftChars="0" w:firstLine="0" w:firstLineChars="0"/>
        <w:rPr>
          <w:rFonts w:hint="eastAsia" w:ascii="黑体" w:hAnsi="黑体" w:eastAsia="黑体"/>
          <w:sz w:val="44"/>
          <w:szCs w:val="44"/>
          <w:lang w:val="en-US" w:eastAsia="zh-CN"/>
        </w:rPr>
      </w:pPr>
    </w:p>
    <w:p w14:paraId="5CB2EAB0">
      <w:pPr>
        <w:pStyle w:val="2"/>
        <w:ind w:left="0" w:leftChars="0" w:firstLine="0" w:firstLineChars="0"/>
        <w:jc w:val="center"/>
        <w:outlineLvl w:val="0"/>
        <w:rPr>
          <w:rFonts w:hint="eastAsia" w:ascii="黑体" w:hAnsi="黑体" w:eastAsia="黑体"/>
          <w:sz w:val="44"/>
          <w:szCs w:val="44"/>
          <w:lang w:val="en-US" w:eastAsia="zh-CN"/>
        </w:rPr>
      </w:pPr>
      <w:bookmarkStart w:id="86" w:name="_Toc26376"/>
      <w:r>
        <w:rPr>
          <w:rFonts w:hint="eastAsia" w:ascii="黑体" w:hAnsi="黑体" w:eastAsia="黑体"/>
          <w:sz w:val="44"/>
          <w:szCs w:val="44"/>
          <w:lang w:val="en-US" w:eastAsia="zh-CN"/>
        </w:rPr>
        <w:t>第四部分  附件</w:t>
      </w:r>
      <w:bookmarkEnd w:id="86"/>
    </w:p>
    <w:p w14:paraId="104056B5">
      <w:pPr>
        <w:pStyle w:val="2"/>
        <w:ind w:left="0" w:leftChars="0" w:firstLine="0" w:firstLineChars="0"/>
        <w:jc w:val="center"/>
        <w:rPr>
          <w:rFonts w:hint="eastAsia" w:ascii="黑体" w:hAnsi="黑体" w:eastAsia="黑体"/>
          <w:sz w:val="44"/>
          <w:szCs w:val="44"/>
          <w:lang w:val="en-US" w:eastAsia="zh-CN"/>
        </w:rPr>
      </w:pPr>
    </w:p>
    <w:p w14:paraId="5F29DAB9">
      <w:pPr>
        <w:pStyle w:val="28"/>
        <w:spacing w:line="560" w:lineRule="exact"/>
        <w:ind w:firstLine="640" w:firstLineChars="200"/>
        <w:rPr>
          <w:rFonts w:hint="eastAsia" w:ascii="仿宋_GB2312" w:eastAsia="仿宋_GB2312"/>
          <w:color w:val="auto"/>
          <w:sz w:val="32"/>
          <w:szCs w:val="32"/>
          <w:lang w:val="en-US" w:eastAsia="zh-CN"/>
        </w:rPr>
      </w:pPr>
      <w:r>
        <w:rPr>
          <w:rFonts w:hint="eastAsia" w:ascii="仿宋_GB2312" w:eastAsia="仿宋_GB2312"/>
          <w:color w:val="auto"/>
          <w:sz w:val="32"/>
          <w:szCs w:val="32"/>
          <w:lang w:val="en-US" w:eastAsia="zh-CN"/>
        </w:rPr>
        <w:t>部门预算项目支出绩效自评表（2023年度）</w:t>
      </w:r>
    </w:p>
    <w:p w14:paraId="71D65E96">
      <w:pPr>
        <w:pStyle w:val="2"/>
        <w:ind w:left="0" w:leftChars="0" w:firstLine="0" w:firstLineChars="0"/>
        <w:jc w:val="center"/>
        <w:rPr>
          <w:rFonts w:hint="default" w:ascii="黑体" w:hAnsi="黑体" w:eastAsia="黑体"/>
          <w:sz w:val="44"/>
          <w:szCs w:val="44"/>
          <w:lang w:val="en-US" w:eastAsia="zh-CN"/>
        </w:rPr>
        <w:sectPr>
          <w:footerReference r:id="rId5" w:type="first"/>
          <w:headerReference r:id="rId3" w:type="default"/>
          <w:footerReference r:id="rId4" w:type="default"/>
          <w:pgSz w:w="11906" w:h="16838"/>
          <w:pgMar w:top="1440" w:right="1800" w:bottom="1440" w:left="1800" w:header="851" w:footer="992" w:gutter="0"/>
          <w:pgNumType w:start="1"/>
          <w:cols w:space="425" w:num="1"/>
          <w:titlePg/>
          <w:docGrid w:type="lines" w:linePitch="312" w:charSpace="0"/>
        </w:sectPr>
      </w:pPr>
    </w:p>
    <w:tbl>
      <w:tblPr>
        <w:tblStyle w:val="17"/>
        <w:tblW w:w="9829"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845"/>
        <w:gridCol w:w="234"/>
        <w:gridCol w:w="1829"/>
        <w:gridCol w:w="422"/>
        <w:gridCol w:w="1121"/>
        <w:gridCol w:w="165"/>
        <w:gridCol w:w="1380"/>
        <w:gridCol w:w="165"/>
        <w:gridCol w:w="76"/>
        <w:gridCol w:w="509"/>
        <w:gridCol w:w="165"/>
        <w:gridCol w:w="177"/>
        <w:gridCol w:w="259"/>
        <w:gridCol w:w="165"/>
        <w:gridCol w:w="116"/>
        <w:gridCol w:w="298"/>
        <w:gridCol w:w="168"/>
        <w:gridCol w:w="549"/>
        <w:gridCol w:w="60"/>
        <w:gridCol w:w="540"/>
        <w:gridCol w:w="48"/>
        <w:gridCol w:w="165"/>
        <w:gridCol w:w="279"/>
        <w:gridCol w:w="181"/>
        <w:gridCol w:w="165"/>
        <w:gridCol w:w="279"/>
        <w:gridCol w:w="123"/>
        <w:gridCol w:w="162"/>
        <w:gridCol w:w="205"/>
        <w:gridCol w:w="75"/>
        <w:gridCol w:w="490"/>
        <w:gridCol w:w="1254"/>
        <w:gridCol w:w="577"/>
        <w:gridCol w:w="236"/>
        <w:gridCol w:w="695"/>
        <w:gridCol w:w="9344"/>
        <w:gridCol w:w="73"/>
        <w:gridCol w:w="565"/>
        <w:gridCol w:w="3058"/>
        <w:gridCol w:w="647"/>
      </w:tblGrid>
      <w:tr w14:paraId="227992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gridAfter w:val="5"/>
          <w:wAfter w:w="2456" w:type="pct"/>
          <w:trHeight w:val="433" w:hRule="atLeast"/>
        </w:trPr>
        <w:tc>
          <w:tcPr>
            <w:tcW w:w="2543" w:type="pct"/>
            <w:gridSpan w:val="35"/>
            <w:tcBorders>
              <w:top w:val="single" w:color="000000" w:sz="4" w:space="0"/>
              <w:left w:val="single" w:color="000000" w:sz="4" w:space="0"/>
              <w:bottom w:val="single" w:color="000000" w:sz="4" w:space="0"/>
              <w:right w:val="single" w:color="000000" w:sz="4" w:space="0"/>
            </w:tcBorders>
            <w:shd w:val="clear" w:color="auto" w:fill="auto"/>
            <w:vAlign w:val="center"/>
          </w:tcPr>
          <w:p w14:paraId="741F676D">
            <w:pPr>
              <w:keepNext w:val="0"/>
              <w:keepLines w:val="0"/>
              <w:widowControl/>
              <w:suppressLineNumbers w:val="0"/>
              <w:jc w:val="center"/>
              <w:textAlignment w:val="center"/>
              <w:rPr>
                <w:rFonts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79880F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286" w:hRule="atLeast"/>
        </w:trPr>
        <w:tc>
          <w:tcPr>
            <w:tcW w:w="597"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3B6C88F">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1946" w:type="pct"/>
            <w:gridSpan w:val="31"/>
            <w:tcBorders>
              <w:top w:val="single" w:color="000000" w:sz="4" w:space="0"/>
              <w:left w:val="single" w:color="000000" w:sz="4" w:space="0"/>
              <w:bottom w:val="single" w:color="000000" w:sz="4" w:space="0"/>
              <w:right w:val="single" w:color="000000" w:sz="4" w:space="0"/>
            </w:tcBorders>
            <w:shd w:val="clear" w:color="auto" w:fill="auto"/>
            <w:vAlign w:val="center"/>
          </w:tcPr>
          <w:p w14:paraId="608E734B">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51322422T000006104122-基本公共卫生服务</w:t>
            </w:r>
            <w:r>
              <w:rPr>
                <w:rFonts w:hint="eastAsia" w:ascii="宋体" w:hAnsi="宋体" w:cs="宋体"/>
                <w:i w:val="0"/>
                <w:iCs w:val="0"/>
                <w:color w:val="000000"/>
                <w:kern w:val="0"/>
                <w:sz w:val="18"/>
                <w:szCs w:val="18"/>
                <w:u w:val="none"/>
                <w:lang w:val="en-US" w:eastAsia="zh-CN" w:bidi="ar"/>
              </w:rPr>
              <w:t>（</w:t>
            </w:r>
            <w:r>
              <w:rPr>
                <w:rFonts w:ascii="宋体" w:hAnsi="宋体" w:eastAsia="宋体" w:cs="宋体"/>
                <w:i w:val="0"/>
                <w:iCs w:val="0"/>
                <w:color w:val="000000"/>
                <w:kern w:val="0"/>
                <w:sz w:val="18"/>
                <w:szCs w:val="18"/>
                <w:u w:val="none"/>
                <w:lang w:val="en-US" w:eastAsia="zh-CN" w:bidi="ar"/>
              </w:rPr>
              <w:t>其他并入基本公共卫生服务</w:t>
            </w:r>
            <w:r>
              <w:rPr>
                <w:rFonts w:hint="eastAsia" w:ascii="宋体" w:hAnsi="宋体" w:cs="宋体"/>
                <w:i w:val="0"/>
                <w:iCs w:val="0"/>
                <w:color w:val="000000"/>
                <w:kern w:val="0"/>
                <w:sz w:val="18"/>
                <w:szCs w:val="18"/>
                <w:u w:val="none"/>
                <w:lang w:val="en-US" w:eastAsia="zh-CN" w:bidi="ar"/>
              </w:rPr>
              <w:t>）</w:t>
            </w:r>
          </w:p>
        </w:tc>
      </w:tr>
      <w:tr w14:paraId="354E92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498" w:hRule="atLeast"/>
        </w:trPr>
        <w:tc>
          <w:tcPr>
            <w:tcW w:w="597"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612D59F8">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824" w:type="pct"/>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14F6537D">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松潘县卫生健康局本级</w:t>
            </w:r>
          </w:p>
        </w:tc>
        <w:tc>
          <w:tcPr>
            <w:tcW w:w="236" w:type="pct"/>
            <w:gridSpan w:val="4"/>
            <w:tcBorders>
              <w:top w:val="nil"/>
              <w:left w:val="nil"/>
              <w:bottom w:val="nil"/>
              <w:right w:val="nil"/>
            </w:tcBorders>
            <w:shd w:val="clear" w:color="auto" w:fill="auto"/>
            <w:vAlign w:val="center"/>
          </w:tcPr>
          <w:p w14:paraId="1FADE5C7">
            <w:pPr>
              <w:keepNext w:val="0"/>
              <w:keepLines w:val="0"/>
              <w:widowControl/>
              <w:suppressLineNumbers w:val="0"/>
              <w:jc w:val="left"/>
              <w:textAlignment w:val="center"/>
              <w:rPr>
                <w:rFonts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885" w:type="pct"/>
            <w:gridSpan w:val="15"/>
            <w:tcBorders>
              <w:top w:val="single" w:color="000000" w:sz="4" w:space="0"/>
              <w:left w:val="single" w:color="000000" w:sz="4" w:space="0"/>
              <w:bottom w:val="single" w:color="000000" w:sz="4" w:space="0"/>
              <w:right w:val="single" w:color="000000" w:sz="4" w:space="0"/>
            </w:tcBorders>
            <w:shd w:val="clear" w:color="auto" w:fill="auto"/>
            <w:vAlign w:val="center"/>
          </w:tcPr>
          <w:p w14:paraId="0FFB1DDF">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松潘县疾病预防控制中心</w:t>
            </w:r>
          </w:p>
        </w:tc>
      </w:tr>
      <w:tr w14:paraId="14C0F8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5"/>
          <w:wAfter w:w="2456" w:type="pct"/>
          <w:trHeight w:val="286" w:hRule="atLeast"/>
        </w:trPr>
        <w:tc>
          <w:tcPr>
            <w:tcW w:w="193"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713350D">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403"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32DEB83">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824" w:type="pct"/>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030DBB65">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1121" w:type="pct"/>
            <w:gridSpan w:val="19"/>
            <w:tcBorders>
              <w:top w:val="single" w:color="000000" w:sz="4" w:space="0"/>
              <w:left w:val="single" w:color="000000" w:sz="4" w:space="0"/>
              <w:bottom w:val="single" w:color="000000" w:sz="4" w:space="0"/>
              <w:right w:val="single" w:color="000000" w:sz="4" w:space="0"/>
            </w:tcBorders>
            <w:shd w:val="clear" w:color="auto" w:fill="auto"/>
            <w:vAlign w:val="center"/>
          </w:tcPr>
          <w:p w14:paraId="3F587597">
            <w:pPr>
              <w:keepNext w:val="0"/>
              <w:keepLines w:val="0"/>
              <w:widowControl/>
              <w:suppressLineNumbers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07903A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328" w:hRule="atLeast"/>
        </w:trPr>
        <w:tc>
          <w:tcPr>
            <w:tcW w:w="19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5BBAEE">
            <w:pPr>
              <w:rPr>
                <w:rFonts w:hint="eastAsia" w:ascii="宋体" w:hAnsi="宋体" w:eastAsia="宋体" w:cs="宋体"/>
                <w:i w:val="0"/>
                <w:iCs w:val="0"/>
                <w:color w:val="000000"/>
                <w:sz w:val="18"/>
                <w:szCs w:val="18"/>
                <w:u w:val="none"/>
              </w:rPr>
            </w:pPr>
          </w:p>
        </w:tc>
        <w:tc>
          <w:tcPr>
            <w:tcW w:w="40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08FF9C">
            <w:pPr>
              <w:rPr>
                <w:rFonts w:hint="eastAsia" w:ascii="宋体" w:hAnsi="宋体" w:eastAsia="宋体" w:cs="宋体"/>
                <w:i w:val="0"/>
                <w:iCs w:val="0"/>
                <w:color w:val="000000"/>
                <w:sz w:val="18"/>
                <w:szCs w:val="18"/>
                <w:u w:val="none"/>
              </w:rPr>
            </w:pPr>
          </w:p>
        </w:tc>
        <w:tc>
          <w:tcPr>
            <w:tcW w:w="824" w:type="pct"/>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4A954660">
            <w:pPr>
              <w:rPr>
                <w:rFonts w:hint="eastAsia" w:ascii="宋体" w:hAnsi="宋体" w:eastAsia="宋体" w:cs="宋体"/>
                <w:i w:val="0"/>
                <w:iCs w:val="0"/>
                <w:color w:val="000000"/>
                <w:sz w:val="18"/>
                <w:szCs w:val="18"/>
                <w:u w:val="none"/>
              </w:rPr>
            </w:pPr>
          </w:p>
        </w:tc>
        <w:tc>
          <w:tcPr>
            <w:tcW w:w="1121" w:type="pct"/>
            <w:gridSpan w:val="19"/>
            <w:tcBorders>
              <w:top w:val="single" w:color="000000" w:sz="4" w:space="0"/>
              <w:left w:val="single" w:color="000000" w:sz="4" w:space="0"/>
              <w:bottom w:val="single" w:color="000000" w:sz="4" w:space="0"/>
              <w:right w:val="single" w:color="000000" w:sz="4" w:space="0"/>
            </w:tcBorders>
            <w:shd w:val="clear" w:color="auto" w:fill="auto"/>
            <w:vAlign w:val="center"/>
          </w:tcPr>
          <w:p w14:paraId="30D2B5A6">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对照年度目标，说明相关任务目标的完成情况（100字以内）</w:t>
            </w:r>
          </w:p>
        </w:tc>
      </w:tr>
      <w:tr w14:paraId="6C3226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433" w:hRule="atLeast"/>
        </w:trPr>
        <w:tc>
          <w:tcPr>
            <w:tcW w:w="19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300AD0">
            <w:pPr>
              <w:rPr>
                <w:rFonts w:hint="eastAsia" w:ascii="宋体" w:hAnsi="宋体" w:eastAsia="宋体" w:cs="宋体"/>
                <w:i w:val="0"/>
                <w:iCs w:val="0"/>
                <w:color w:val="000000"/>
                <w:sz w:val="18"/>
                <w:szCs w:val="18"/>
                <w:u w:val="none"/>
              </w:rPr>
            </w:pPr>
          </w:p>
        </w:tc>
        <w:tc>
          <w:tcPr>
            <w:tcW w:w="40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FF1E190">
            <w:pPr>
              <w:keepNext w:val="0"/>
              <w:keepLines w:val="0"/>
              <w:widowControl/>
              <w:suppressLineNumbers w:val="0"/>
              <w:jc w:val="left"/>
              <w:textAlignment w:val="center"/>
              <w:rPr>
                <w:rFonts w:ascii="宋体" w:hAnsi="宋体" w:eastAsia="宋体" w:cs="宋体"/>
                <w:i w:val="0"/>
                <w:iCs w:val="0"/>
                <w:color w:val="000000"/>
                <w:sz w:val="15"/>
                <w:szCs w:val="15"/>
                <w:u w:val="none"/>
              </w:rPr>
            </w:pPr>
            <w:r>
              <w:rPr>
                <w:rFonts w:ascii="宋体" w:hAnsi="宋体" w:eastAsia="宋体" w:cs="宋体"/>
                <w:i w:val="0"/>
                <w:iCs w:val="0"/>
                <w:color w:val="000000"/>
                <w:kern w:val="0"/>
                <w:sz w:val="15"/>
                <w:szCs w:val="15"/>
                <w:u w:val="none"/>
                <w:lang w:val="en-US" w:eastAsia="zh-CN" w:bidi="ar"/>
              </w:rPr>
              <w:t>2.项目实施内容及过程概述</w:t>
            </w:r>
          </w:p>
        </w:tc>
        <w:tc>
          <w:tcPr>
            <w:tcW w:w="1946" w:type="pct"/>
            <w:gridSpan w:val="31"/>
            <w:tcBorders>
              <w:top w:val="single" w:color="000000" w:sz="4" w:space="0"/>
              <w:left w:val="single" w:color="000000" w:sz="4" w:space="0"/>
              <w:bottom w:val="single" w:color="000000" w:sz="4" w:space="0"/>
              <w:right w:val="single" w:color="000000" w:sz="4" w:space="0"/>
            </w:tcBorders>
            <w:shd w:val="clear" w:color="auto" w:fill="auto"/>
            <w:vAlign w:val="center"/>
          </w:tcPr>
          <w:p w14:paraId="1BE8D87F">
            <w:pPr>
              <w:rPr>
                <w:rFonts w:hint="eastAsia" w:ascii="宋体" w:hAnsi="宋体" w:eastAsia="宋体" w:cs="宋体"/>
                <w:i w:val="0"/>
                <w:iCs w:val="0"/>
                <w:color w:val="000000"/>
                <w:sz w:val="18"/>
                <w:szCs w:val="18"/>
                <w:u w:val="none"/>
              </w:rPr>
            </w:pPr>
          </w:p>
        </w:tc>
      </w:tr>
      <w:tr w14:paraId="0C9992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5"/>
          <w:wAfter w:w="2456" w:type="pct"/>
          <w:trHeight w:val="463" w:hRule="atLeast"/>
        </w:trPr>
        <w:tc>
          <w:tcPr>
            <w:tcW w:w="193"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18DBC75">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40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7950989">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FD9A72">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1C9F7C7">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346"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5488D8F0">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23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28B7C462">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12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110B065">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10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D7599A3">
            <w:pPr>
              <w:keepNext w:val="0"/>
              <w:keepLines w:val="0"/>
              <w:widowControl/>
              <w:suppressLineNumbers w:val="0"/>
              <w:jc w:val="center"/>
              <w:textAlignment w:val="center"/>
              <w:rPr>
                <w:rFonts w:ascii="宋体" w:hAnsi="宋体" w:eastAsia="宋体" w:cs="宋体"/>
                <w:i w:val="0"/>
                <w:iCs w:val="0"/>
                <w:color w:val="000000"/>
                <w:sz w:val="16"/>
                <w:szCs w:val="16"/>
                <w:u w:val="none"/>
              </w:rPr>
            </w:pPr>
            <w:r>
              <w:rPr>
                <w:rFonts w:ascii="宋体" w:hAnsi="宋体" w:eastAsia="宋体" w:cs="宋体"/>
                <w:i w:val="0"/>
                <w:iCs w:val="0"/>
                <w:color w:val="000000"/>
                <w:kern w:val="0"/>
                <w:sz w:val="16"/>
                <w:szCs w:val="16"/>
                <w:u w:val="none"/>
                <w:lang w:val="en-US" w:eastAsia="zh-CN" w:bidi="ar"/>
              </w:rPr>
              <w:t>得分</w:t>
            </w:r>
          </w:p>
        </w:tc>
        <w:tc>
          <w:tcPr>
            <w:tcW w:w="662" w:type="pct"/>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48F880D4">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14:paraId="4B966B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346" w:hRule="atLeast"/>
        </w:trPr>
        <w:tc>
          <w:tcPr>
            <w:tcW w:w="19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E72BBC">
            <w:pPr>
              <w:jc w:val="center"/>
              <w:rPr>
                <w:rFonts w:hint="eastAsia" w:ascii="宋体" w:hAnsi="宋体" w:eastAsia="宋体" w:cs="宋体"/>
                <w:i w:val="0"/>
                <w:iCs w:val="0"/>
                <w:color w:val="000000"/>
                <w:sz w:val="18"/>
                <w:szCs w:val="18"/>
                <w:u w:val="none"/>
              </w:rPr>
            </w:pPr>
          </w:p>
        </w:tc>
        <w:tc>
          <w:tcPr>
            <w:tcW w:w="40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C4E89CE">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33AD91">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76DB38F">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35.81</w:t>
            </w:r>
          </w:p>
        </w:tc>
        <w:tc>
          <w:tcPr>
            <w:tcW w:w="346"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74766808">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23.14</w:t>
            </w:r>
          </w:p>
        </w:tc>
        <w:tc>
          <w:tcPr>
            <w:tcW w:w="23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22FB95E">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64.62%</w:t>
            </w:r>
          </w:p>
        </w:tc>
        <w:tc>
          <w:tcPr>
            <w:tcW w:w="12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662A989C">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0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1D7122E">
            <w:pPr>
              <w:jc w:val="center"/>
              <w:rPr>
                <w:rFonts w:hint="eastAsia" w:ascii="宋体" w:hAnsi="宋体" w:eastAsia="宋体" w:cs="宋体"/>
                <w:i w:val="0"/>
                <w:iCs w:val="0"/>
                <w:color w:val="000000"/>
                <w:sz w:val="18"/>
                <w:szCs w:val="18"/>
                <w:u w:val="none"/>
              </w:rPr>
            </w:pPr>
          </w:p>
        </w:tc>
        <w:tc>
          <w:tcPr>
            <w:tcW w:w="662" w:type="pct"/>
            <w:gridSpan w:val="8"/>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2FC255D">
            <w:pPr>
              <w:keepNext w:val="0"/>
              <w:keepLines w:val="0"/>
              <w:widowControl/>
              <w:suppressLineNumbers w:val="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45A9EA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391" w:hRule="atLeast"/>
        </w:trPr>
        <w:tc>
          <w:tcPr>
            <w:tcW w:w="19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1B1484">
            <w:pPr>
              <w:jc w:val="center"/>
              <w:rPr>
                <w:rFonts w:hint="eastAsia" w:ascii="宋体" w:hAnsi="宋体" w:eastAsia="宋体" w:cs="宋体"/>
                <w:i w:val="0"/>
                <w:iCs w:val="0"/>
                <w:color w:val="000000"/>
                <w:sz w:val="18"/>
                <w:szCs w:val="18"/>
                <w:u w:val="none"/>
              </w:rPr>
            </w:pPr>
          </w:p>
        </w:tc>
        <w:tc>
          <w:tcPr>
            <w:tcW w:w="40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7880A68">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1679FF">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F78CDF0">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35.81</w:t>
            </w:r>
          </w:p>
        </w:tc>
        <w:tc>
          <w:tcPr>
            <w:tcW w:w="346"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688BBFDA">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23.14</w:t>
            </w:r>
          </w:p>
        </w:tc>
        <w:tc>
          <w:tcPr>
            <w:tcW w:w="23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77575B10">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64.62%</w:t>
            </w:r>
          </w:p>
        </w:tc>
        <w:tc>
          <w:tcPr>
            <w:tcW w:w="12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3E58379">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455997C">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62" w:type="pct"/>
            <w:gridSpan w:val="8"/>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D46287">
            <w:pPr>
              <w:rPr>
                <w:rFonts w:hint="eastAsia" w:ascii="黑体" w:hAnsi="黑体" w:eastAsia="黑体" w:cs="黑体"/>
                <w:i/>
                <w:iCs/>
                <w:color w:val="000000"/>
                <w:sz w:val="18"/>
                <w:szCs w:val="18"/>
                <w:u w:val="none"/>
              </w:rPr>
            </w:pPr>
          </w:p>
        </w:tc>
      </w:tr>
      <w:tr w14:paraId="153F69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407" w:hRule="atLeast"/>
        </w:trPr>
        <w:tc>
          <w:tcPr>
            <w:tcW w:w="19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0CDF03">
            <w:pPr>
              <w:jc w:val="center"/>
              <w:rPr>
                <w:rFonts w:hint="eastAsia" w:ascii="宋体" w:hAnsi="宋体" w:eastAsia="宋体" w:cs="宋体"/>
                <w:i w:val="0"/>
                <w:iCs w:val="0"/>
                <w:color w:val="000000"/>
                <w:sz w:val="18"/>
                <w:szCs w:val="18"/>
                <w:u w:val="none"/>
              </w:rPr>
            </w:pPr>
          </w:p>
        </w:tc>
        <w:tc>
          <w:tcPr>
            <w:tcW w:w="40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CAA609E">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48A5A7">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12D4536">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346"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27AD2D96">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3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FE446D9">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2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C8FC210">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F64AD58">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62" w:type="pct"/>
            <w:gridSpan w:val="8"/>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E6ADAC">
            <w:pPr>
              <w:rPr>
                <w:rFonts w:hint="eastAsia" w:ascii="黑体" w:hAnsi="黑体" w:eastAsia="黑体" w:cs="黑体"/>
                <w:i/>
                <w:iCs/>
                <w:color w:val="000000"/>
                <w:sz w:val="18"/>
                <w:szCs w:val="18"/>
                <w:u w:val="none"/>
              </w:rPr>
            </w:pPr>
          </w:p>
        </w:tc>
      </w:tr>
      <w:tr w14:paraId="1D0B72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361" w:hRule="atLeast"/>
        </w:trPr>
        <w:tc>
          <w:tcPr>
            <w:tcW w:w="19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61BEE2">
            <w:pPr>
              <w:jc w:val="center"/>
              <w:rPr>
                <w:rFonts w:hint="eastAsia" w:ascii="宋体" w:hAnsi="宋体" w:eastAsia="宋体" w:cs="宋体"/>
                <w:i w:val="0"/>
                <w:iCs w:val="0"/>
                <w:color w:val="000000"/>
                <w:sz w:val="18"/>
                <w:szCs w:val="18"/>
                <w:u w:val="none"/>
              </w:rPr>
            </w:pPr>
          </w:p>
        </w:tc>
        <w:tc>
          <w:tcPr>
            <w:tcW w:w="40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CD45000">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1230E9">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025FEBA">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346"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2FABD3FA">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3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70995BAD">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2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087A8F2">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F4AB365">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62" w:type="pct"/>
            <w:gridSpan w:val="8"/>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7EBBD9">
            <w:pPr>
              <w:rPr>
                <w:rFonts w:hint="eastAsia" w:ascii="黑体" w:hAnsi="黑体" w:eastAsia="黑体" w:cs="黑体"/>
                <w:i/>
                <w:iCs/>
                <w:color w:val="000000"/>
                <w:sz w:val="18"/>
                <w:szCs w:val="18"/>
                <w:u w:val="none"/>
              </w:rPr>
            </w:pPr>
          </w:p>
        </w:tc>
      </w:tr>
      <w:tr w14:paraId="03C411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339" w:hRule="atLeast"/>
        </w:trPr>
        <w:tc>
          <w:tcPr>
            <w:tcW w:w="19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39549C">
            <w:pPr>
              <w:jc w:val="center"/>
              <w:rPr>
                <w:rFonts w:hint="eastAsia" w:ascii="宋体" w:hAnsi="宋体" w:eastAsia="宋体" w:cs="宋体"/>
                <w:i w:val="0"/>
                <w:iCs w:val="0"/>
                <w:color w:val="000000"/>
                <w:sz w:val="18"/>
                <w:szCs w:val="18"/>
                <w:u w:val="none"/>
              </w:rPr>
            </w:pPr>
          </w:p>
        </w:tc>
        <w:tc>
          <w:tcPr>
            <w:tcW w:w="40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D9715DB">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6FD324">
            <w:pPr>
              <w:jc w:val="center"/>
              <w:rPr>
                <w:rFonts w:hint="eastAsia" w:ascii="微软雅黑" w:hAnsi="微软雅黑" w:eastAsia="微软雅黑" w:cs="微软雅黑"/>
                <w:i/>
                <w:iCs/>
                <w:color w:val="000000"/>
                <w:sz w:val="16"/>
                <w:szCs w:val="16"/>
                <w:u w:val="none"/>
              </w:rPr>
            </w:pP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FAF1E8E">
            <w:pPr>
              <w:jc w:val="center"/>
              <w:rPr>
                <w:rFonts w:hint="eastAsia" w:ascii="微软雅黑" w:hAnsi="微软雅黑" w:eastAsia="微软雅黑" w:cs="微软雅黑"/>
                <w:i/>
                <w:iCs/>
                <w:color w:val="000000"/>
                <w:sz w:val="16"/>
                <w:szCs w:val="16"/>
                <w:u w:val="none"/>
              </w:rPr>
            </w:pPr>
          </w:p>
        </w:tc>
        <w:tc>
          <w:tcPr>
            <w:tcW w:w="346"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3BDF2EC9">
            <w:pPr>
              <w:jc w:val="center"/>
              <w:rPr>
                <w:rFonts w:hint="eastAsia" w:ascii="微软雅黑" w:hAnsi="微软雅黑" w:eastAsia="微软雅黑" w:cs="微软雅黑"/>
                <w:i/>
                <w:iCs/>
                <w:color w:val="000000"/>
                <w:sz w:val="16"/>
                <w:szCs w:val="16"/>
                <w:u w:val="none"/>
              </w:rPr>
            </w:pPr>
          </w:p>
        </w:tc>
        <w:tc>
          <w:tcPr>
            <w:tcW w:w="23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69B9641">
            <w:pPr>
              <w:jc w:val="center"/>
              <w:rPr>
                <w:rFonts w:hint="eastAsia" w:ascii="微软雅黑" w:hAnsi="微软雅黑" w:eastAsia="微软雅黑" w:cs="微软雅黑"/>
                <w:i/>
                <w:iCs/>
                <w:color w:val="000000"/>
                <w:sz w:val="16"/>
                <w:szCs w:val="16"/>
                <w:u w:val="none"/>
              </w:rPr>
            </w:pPr>
          </w:p>
        </w:tc>
        <w:tc>
          <w:tcPr>
            <w:tcW w:w="12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AD37EB9">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8C008F8">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62" w:type="pct"/>
            <w:gridSpan w:val="8"/>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DC77F6">
            <w:pPr>
              <w:rPr>
                <w:rFonts w:hint="eastAsia" w:ascii="黑体" w:hAnsi="黑体" w:eastAsia="黑体" w:cs="黑体"/>
                <w:i/>
                <w:iCs/>
                <w:color w:val="000000"/>
                <w:sz w:val="18"/>
                <w:szCs w:val="18"/>
                <w:u w:val="none"/>
              </w:rPr>
            </w:pPr>
          </w:p>
        </w:tc>
      </w:tr>
      <w:tr w14:paraId="3296D3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516" w:hRule="atLeast"/>
        </w:trPr>
        <w:tc>
          <w:tcPr>
            <w:tcW w:w="193"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E3B31FB">
            <w:pPr>
              <w:keepNext w:val="0"/>
              <w:keepLines w:val="0"/>
              <w:widowControl/>
              <w:suppressLineNumbers w:val="0"/>
              <w:jc w:val="center"/>
              <w:textAlignment w:val="center"/>
              <w:rPr>
                <w:rFonts w:ascii="宋体" w:hAnsi="宋体" w:eastAsia="宋体" w:cs="宋体"/>
                <w:i w:val="0"/>
                <w:iCs w:val="0"/>
                <w:color w:val="000000"/>
                <w:sz w:val="15"/>
                <w:szCs w:val="15"/>
                <w:u w:val="none"/>
              </w:rPr>
            </w:pPr>
            <w:r>
              <w:rPr>
                <w:rFonts w:ascii="宋体" w:hAnsi="宋体" w:eastAsia="宋体" w:cs="宋体"/>
                <w:i w:val="0"/>
                <w:iCs w:val="0"/>
                <w:color w:val="000000"/>
                <w:kern w:val="0"/>
                <w:sz w:val="15"/>
                <w:szCs w:val="15"/>
                <w:u w:val="none"/>
                <w:lang w:val="en-US" w:eastAsia="zh-CN" w:bidi="ar"/>
              </w:rPr>
              <w:t>绩效指标（90分）</w:t>
            </w:r>
          </w:p>
        </w:tc>
        <w:tc>
          <w:tcPr>
            <w:tcW w:w="40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8EEE7F1">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72A8E7">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6CD7C57">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134"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D5A6691">
            <w:pPr>
              <w:keepNext w:val="0"/>
              <w:keepLines w:val="0"/>
              <w:widowControl/>
              <w:suppressLineNumbers w:val="0"/>
              <w:jc w:val="center"/>
              <w:textAlignment w:val="center"/>
              <w:rPr>
                <w:rFonts w:ascii="宋体" w:hAnsi="宋体" w:eastAsia="宋体" w:cs="宋体"/>
                <w:i w:val="0"/>
                <w:iCs w:val="0"/>
                <w:color w:val="000000"/>
                <w:sz w:val="13"/>
                <w:szCs w:val="13"/>
                <w:u w:val="none"/>
              </w:rPr>
            </w:pPr>
            <w:r>
              <w:rPr>
                <w:rFonts w:ascii="宋体" w:hAnsi="宋体" w:eastAsia="宋体" w:cs="宋体"/>
                <w:i w:val="0"/>
                <w:iCs w:val="0"/>
                <w:color w:val="000000"/>
                <w:kern w:val="0"/>
                <w:sz w:val="13"/>
                <w:szCs w:val="13"/>
                <w:u w:val="none"/>
                <w:lang w:val="en-US" w:eastAsia="zh-CN" w:bidi="ar"/>
              </w:rPr>
              <w:t>指标性质</w:t>
            </w:r>
          </w:p>
        </w:tc>
        <w:tc>
          <w:tcPr>
            <w:tcW w:w="107"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DE360C3">
            <w:pPr>
              <w:keepNext w:val="0"/>
              <w:keepLines w:val="0"/>
              <w:widowControl/>
              <w:suppressLineNumbers w:val="0"/>
              <w:jc w:val="center"/>
              <w:textAlignment w:val="center"/>
              <w:rPr>
                <w:rFonts w:ascii="宋体" w:hAnsi="宋体" w:eastAsia="宋体" w:cs="宋体"/>
                <w:i w:val="0"/>
                <w:iCs w:val="0"/>
                <w:color w:val="000000"/>
                <w:sz w:val="13"/>
                <w:szCs w:val="13"/>
                <w:u w:val="none"/>
              </w:rPr>
            </w:pPr>
            <w:r>
              <w:rPr>
                <w:rFonts w:ascii="宋体" w:hAnsi="宋体" w:eastAsia="宋体" w:cs="宋体"/>
                <w:i w:val="0"/>
                <w:iCs w:val="0"/>
                <w:color w:val="000000"/>
                <w:kern w:val="0"/>
                <w:sz w:val="13"/>
                <w:szCs w:val="13"/>
                <w:u w:val="none"/>
                <w:lang w:val="en-US" w:eastAsia="zh-CN" w:bidi="ar"/>
              </w:rPr>
              <w:t>指标值</w:t>
            </w:r>
          </w:p>
        </w:tc>
        <w:tc>
          <w:tcPr>
            <w:tcW w:w="103"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A6BF6CF">
            <w:pPr>
              <w:keepNext w:val="0"/>
              <w:keepLines w:val="0"/>
              <w:widowControl/>
              <w:suppressLineNumbers w:val="0"/>
              <w:jc w:val="center"/>
              <w:textAlignment w:val="center"/>
              <w:rPr>
                <w:rFonts w:ascii="宋体" w:hAnsi="宋体" w:eastAsia="宋体" w:cs="宋体"/>
                <w:i w:val="0"/>
                <w:iCs w:val="0"/>
                <w:color w:val="000000"/>
                <w:sz w:val="13"/>
                <w:szCs w:val="13"/>
                <w:u w:val="none"/>
              </w:rPr>
            </w:pPr>
            <w:r>
              <w:rPr>
                <w:rFonts w:ascii="宋体" w:hAnsi="宋体" w:eastAsia="宋体" w:cs="宋体"/>
                <w:i w:val="0"/>
                <w:iCs w:val="0"/>
                <w:color w:val="000000"/>
                <w:kern w:val="0"/>
                <w:sz w:val="13"/>
                <w:szCs w:val="13"/>
                <w:u w:val="none"/>
                <w:lang w:val="en-US" w:eastAsia="zh-CN" w:bidi="ar"/>
              </w:rPr>
              <w:t>度量单位</w:t>
            </w:r>
          </w:p>
        </w:tc>
        <w:tc>
          <w:tcPr>
            <w:tcW w:w="23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D81DFE3">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12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B8A1BF3">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10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41EE945">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662" w:type="pct"/>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63C33B8A">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14:paraId="44F86A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204" w:hRule="atLeast"/>
        </w:trPr>
        <w:tc>
          <w:tcPr>
            <w:tcW w:w="19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8E61B1">
            <w:pPr>
              <w:jc w:val="center"/>
              <w:rPr>
                <w:rFonts w:hint="eastAsia" w:ascii="宋体" w:hAnsi="宋体" w:eastAsia="宋体" w:cs="宋体"/>
                <w:i w:val="0"/>
                <w:iCs w:val="0"/>
                <w:color w:val="000000"/>
                <w:sz w:val="18"/>
                <w:szCs w:val="18"/>
                <w:u w:val="none"/>
              </w:rPr>
            </w:pPr>
          </w:p>
        </w:tc>
        <w:tc>
          <w:tcPr>
            <w:tcW w:w="40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43C37EF">
            <w:pPr>
              <w:jc w:val="both"/>
              <w:rPr>
                <w:rFonts w:hint="eastAsia" w:ascii="宋体" w:hAnsi="宋体" w:eastAsia="宋体" w:cs="宋体"/>
                <w:i w:val="0"/>
                <w:iCs w:val="0"/>
                <w:color w:val="000000"/>
                <w:sz w:val="18"/>
                <w:szCs w:val="18"/>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7E8390">
            <w:pPr>
              <w:jc w:val="center"/>
              <w:rPr>
                <w:rFonts w:hint="eastAsia" w:ascii="宋体" w:hAnsi="宋体" w:eastAsia="宋体" w:cs="宋体"/>
                <w:i w:val="0"/>
                <w:iCs w:val="0"/>
                <w:color w:val="000000"/>
                <w:sz w:val="18"/>
                <w:szCs w:val="18"/>
                <w:u w:val="none"/>
              </w:rPr>
            </w:pP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A1EB176">
            <w:pPr>
              <w:jc w:val="center"/>
              <w:rPr>
                <w:rFonts w:hint="eastAsia" w:ascii="宋体" w:hAnsi="宋体" w:eastAsia="宋体" w:cs="宋体"/>
                <w:i w:val="0"/>
                <w:iCs w:val="0"/>
                <w:color w:val="000000"/>
                <w:sz w:val="18"/>
                <w:szCs w:val="18"/>
                <w:u w:val="none"/>
              </w:rPr>
            </w:pPr>
          </w:p>
        </w:tc>
        <w:tc>
          <w:tcPr>
            <w:tcW w:w="134"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AEA0247">
            <w:pPr>
              <w:jc w:val="center"/>
              <w:rPr>
                <w:rFonts w:hint="eastAsia" w:ascii="宋体" w:hAnsi="宋体" w:eastAsia="宋体" w:cs="宋体"/>
                <w:i w:val="0"/>
                <w:iCs w:val="0"/>
                <w:color w:val="000000"/>
                <w:sz w:val="18"/>
                <w:szCs w:val="18"/>
                <w:u w:val="none"/>
              </w:rPr>
            </w:pPr>
          </w:p>
        </w:tc>
        <w:tc>
          <w:tcPr>
            <w:tcW w:w="107"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D73B49">
            <w:pPr>
              <w:jc w:val="center"/>
              <w:rPr>
                <w:rFonts w:hint="eastAsia" w:ascii="宋体" w:hAnsi="宋体" w:eastAsia="宋体" w:cs="宋体"/>
                <w:i w:val="0"/>
                <w:iCs w:val="0"/>
                <w:color w:val="000000"/>
                <w:sz w:val="18"/>
                <w:szCs w:val="18"/>
                <w:u w:val="none"/>
              </w:rPr>
            </w:pPr>
          </w:p>
        </w:tc>
        <w:tc>
          <w:tcPr>
            <w:tcW w:w="103"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FAE3A23">
            <w:pPr>
              <w:jc w:val="center"/>
              <w:rPr>
                <w:rFonts w:hint="eastAsia" w:ascii="宋体" w:hAnsi="宋体" w:eastAsia="宋体" w:cs="宋体"/>
                <w:i w:val="0"/>
                <w:iCs w:val="0"/>
                <w:color w:val="000000"/>
                <w:sz w:val="18"/>
                <w:szCs w:val="18"/>
                <w:u w:val="none"/>
              </w:rPr>
            </w:pPr>
          </w:p>
        </w:tc>
        <w:tc>
          <w:tcPr>
            <w:tcW w:w="23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4EA36F2">
            <w:pPr>
              <w:jc w:val="both"/>
              <w:rPr>
                <w:rFonts w:hint="eastAsia" w:ascii="微软雅黑" w:hAnsi="微软雅黑" w:eastAsia="微软雅黑" w:cs="微软雅黑"/>
                <w:i/>
                <w:iCs/>
                <w:color w:val="000000"/>
                <w:sz w:val="16"/>
                <w:szCs w:val="16"/>
                <w:u w:val="none"/>
              </w:rPr>
            </w:pPr>
          </w:p>
        </w:tc>
        <w:tc>
          <w:tcPr>
            <w:tcW w:w="12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7EB245EA">
            <w:pPr>
              <w:jc w:val="center"/>
              <w:rPr>
                <w:rFonts w:hint="eastAsia" w:ascii="宋体" w:hAnsi="宋体" w:eastAsia="宋体" w:cs="宋体"/>
                <w:i w:val="0"/>
                <w:iCs w:val="0"/>
                <w:color w:val="000000"/>
                <w:sz w:val="18"/>
                <w:szCs w:val="18"/>
                <w:u w:val="none"/>
              </w:rPr>
            </w:pPr>
          </w:p>
        </w:tc>
        <w:tc>
          <w:tcPr>
            <w:tcW w:w="10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BC3D30B">
            <w:pPr>
              <w:jc w:val="center"/>
              <w:rPr>
                <w:rFonts w:hint="eastAsia" w:ascii="宋体" w:hAnsi="宋体" w:eastAsia="宋体" w:cs="宋体"/>
                <w:i w:val="0"/>
                <w:iCs w:val="0"/>
                <w:color w:val="000000"/>
                <w:sz w:val="18"/>
                <w:szCs w:val="18"/>
                <w:u w:val="none"/>
              </w:rPr>
            </w:pPr>
          </w:p>
        </w:tc>
        <w:tc>
          <w:tcPr>
            <w:tcW w:w="662" w:type="pct"/>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0641E7C8">
            <w:pPr>
              <w:jc w:val="both"/>
              <w:rPr>
                <w:rFonts w:hint="eastAsia" w:ascii="微软雅黑" w:hAnsi="微软雅黑" w:eastAsia="微软雅黑" w:cs="微软雅黑"/>
                <w:i/>
                <w:iCs/>
                <w:color w:val="000000"/>
                <w:sz w:val="16"/>
                <w:szCs w:val="16"/>
                <w:u w:val="none"/>
              </w:rPr>
            </w:pPr>
          </w:p>
        </w:tc>
      </w:tr>
      <w:tr w14:paraId="552856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5"/>
          <w:wAfter w:w="2456" w:type="pct"/>
          <w:trHeight w:val="286" w:hRule="atLeast"/>
        </w:trPr>
        <w:tc>
          <w:tcPr>
            <w:tcW w:w="1658" w:type="pct"/>
            <w:gridSpan w:val="20"/>
            <w:tcBorders>
              <w:top w:val="single" w:color="000000" w:sz="4" w:space="0"/>
              <w:left w:val="single" w:color="000000" w:sz="4" w:space="0"/>
              <w:bottom w:val="single" w:color="000000" w:sz="4" w:space="0"/>
              <w:right w:val="single" w:color="000000" w:sz="4" w:space="0"/>
            </w:tcBorders>
            <w:shd w:val="clear" w:color="auto" w:fill="auto"/>
            <w:vAlign w:val="center"/>
          </w:tcPr>
          <w:p w14:paraId="4908B690">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12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102FDA8">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10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D650266">
            <w:pPr>
              <w:rPr>
                <w:rFonts w:hint="eastAsia" w:ascii="宋体" w:hAnsi="宋体" w:eastAsia="宋体" w:cs="宋体"/>
                <w:i w:val="0"/>
                <w:iCs w:val="0"/>
                <w:color w:val="000000"/>
                <w:sz w:val="18"/>
                <w:szCs w:val="18"/>
                <w:u w:val="none"/>
              </w:rPr>
            </w:pPr>
          </w:p>
        </w:tc>
        <w:tc>
          <w:tcPr>
            <w:tcW w:w="662" w:type="pct"/>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66D311B8">
            <w:pPr>
              <w:rPr>
                <w:rFonts w:hint="eastAsia" w:ascii="宋体" w:hAnsi="宋体" w:eastAsia="宋体" w:cs="宋体"/>
                <w:i w:val="0"/>
                <w:iCs w:val="0"/>
                <w:color w:val="000000"/>
                <w:sz w:val="18"/>
                <w:szCs w:val="18"/>
                <w:u w:val="none"/>
              </w:rPr>
            </w:pPr>
          </w:p>
        </w:tc>
      </w:tr>
      <w:tr w14:paraId="05B487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5"/>
          <w:wAfter w:w="2456" w:type="pct"/>
          <w:trHeight w:val="433" w:hRule="atLeast"/>
        </w:trPr>
        <w:tc>
          <w:tcPr>
            <w:tcW w:w="19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7A66225">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2350" w:type="pct"/>
            <w:gridSpan w:val="33"/>
            <w:tcBorders>
              <w:top w:val="single" w:color="000000" w:sz="4" w:space="0"/>
              <w:left w:val="single" w:color="000000" w:sz="4" w:space="0"/>
              <w:bottom w:val="single" w:color="000000" w:sz="4" w:space="0"/>
              <w:right w:val="single" w:color="000000" w:sz="4" w:space="0"/>
            </w:tcBorders>
            <w:shd w:val="clear" w:color="auto" w:fill="auto"/>
            <w:vAlign w:val="center"/>
          </w:tcPr>
          <w:p w14:paraId="3A3D2778">
            <w:pPr>
              <w:keepNext w:val="0"/>
              <w:keepLines w:val="0"/>
              <w:widowControl/>
              <w:suppressLineNumbers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结合自评情况，说明项目自评总分，说明项目实施取得的成效或成果。（200字以内）</w:t>
            </w:r>
          </w:p>
        </w:tc>
      </w:tr>
      <w:tr w14:paraId="29F7E0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5"/>
          <w:wAfter w:w="2456" w:type="pct"/>
          <w:trHeight w:val="397" w:hRule="atLeast"/>
        </w:trPr>
        <w:tc>
          <w:tcPr>
            <w:tcW w:w="19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9C29246">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2350" w:type="pct"/>
            <w:gridSpan w:val="33"/>
            <w:tcBorders>
              <w:top w:val="single" w:color="000000" w:sz="4" w:space="0"/>
              <w:left w:val="single" w:color="000000" w:sz="4" w:space="0"/>
              <w:bottom w:val="single" w:color="000000" w:sz="4" w:space="0"/>
              <w:right w:val="single" w:color="000000" w:sz="4" w:space="0"/>
            </w:tcBorders>
            <w:shd w:val="clear" w:color="auto" w:fill="auto"/>
            <w:vAlign w:val="center"/>
          </w:tcPr>
          <w:p w14:paraId="3EC34B54">
            <w:pPr>
              <w:keepNext w:val="0"/>
              <w:keepLines w:val="0"/>
              <w:widowControl/>
              <w:suppressLineNumbers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结合自评情况，分析存在的问题及原因。（200字以内）</w:t>
            </w:r>
          </w:p>
        </w:tc>
      </w:tr>
      <w:tr w14:paraId="2F1AA80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5"/>
          <w:wAfter w:w="2456" w:type="pct"/>
          <w:trHeight w:val="443" w:hRule="atLeast"/>
        </w:trPr>
        <w:tc>
          <w:tcPr>
            <w:tcW w:w="19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FA02237">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2350" w:type="pct"/>
            <w:gridSpan w:val="33"/>
            <w:tcBorders>
              <w:top w:val="single" w:color="000000" w:sz="4" w:space="0"/>
              <w:left w:val="single" w:color="000000" w:sz="4" w:space="0"/>
              <w:bottom w:val="single" w:color="000000" w:sz="4" w:space="0"/>
              <w:right w:val="single" w:color="000000" w:sz="4" w:space="0"/>
            </w:tcBorders>
            <w:shd w:val="clear" w:color="auto" w:fill="auto"/>
            <w:vAlign w:val="center"/>
          </w:tcPr>
          <w:p w14:paraId="01D96269">
            <w:pPr>
              <w:keepNext w:val="0"/>
              <w:keepLines w:val="0"/>
              <w:widowControl/>
              <w:suppressLineNumbers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针对项目自评中发现的问题，提出下一步改进完善的意见及有关政策性建议。（200字以内）</w:t>
            </w:r>
          </w:p>
        </w:tc>
      </w:tr>
      <w:tr w14:paraId="31F8F7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5"/>
          <w:wAfter w:w="2456" w:type="pct"/>
          <w:trHeight w:val="286" w:hRule="atLeast"/>
        </w:trPr>
        <w:tc>
          <w:tcPr>
            <w:tcW w:w="1210"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0E6ED933">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项目负责人：芮国竞</w:t>
            </w:r>
          </w:p>
        </w:tc>
        <w:tc>
          <w:tcPr>
            <w:tcW w:w="1333" w:type="pct"/>
            <w:gridSpan w:val="25"/>
            <w:tcBorders>
              <w:top w:val="single" w:color="000000" w:sz="4" w:space="0"/>
              <w:left w:val="single" w:color="000000" w:sz="4" w:space="0"/>
              <w:bottom w:val="single" w:color="000000" w:sz="4" w:space="0"/>
              <w:right w:val="single" w:color="000000" w:sz="4" w:space="0"/>
            </w:tcBorders>
            <w:shd w:val="clear" w:color="auto" w:fill="auto"/>
            <w:vAlign w:val="center"/>
          </w:tcPr>
          <w:p w14:paraId="40EC59CC">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财务负责人：朱卫东</w:t>
            </w:r>
          </w:p>
        </w:tc>
      </w:tr>
      <w:tr w14:paraId="4F8CC6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508" w:hRule="atLeast"/>
        </w:trPr>
        <w:tc>
          <w:tcPr>
            <w:tcW w:w="2543" w:type="pct"/>
            <w:gridSpan w:val="35"/>
            <w:tcBorders>
              <w:top w:val="single" w:color="auto" w:sz="4" w:space="0"/>
              <w:left w:val="single" w:color="auto" w:sz="4" w:space="0"/>
              <w:bottom w:val="single" w:color="auto" w:sz="4" w:space="0"/>
              <w:right w:val="single" w:color="auto" w:sz="4" w:space="0"/>
            </w:tcBorders>
            <w:shd w:val="clear" w:color="auto" w:fill="auto"/>
            <w:vAlign w:val="center"/>
          </w:tcPr>
          <w:p w14:paraId="1523943E">
            <w:pPr>
              <w:keepNext w:val="0"/>
              <w:keepLines w:val="0"/>
              <w:widowControl/>
              <w:suppressLineNumbers w:val="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2B9F84F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5"/>
          <w:wAfter w:w="2456" w:type="pct"/>
          <w:trHeight w:val="286" w:hRule="atLeast"/>
        </w:trPr>
        <w:tc>
          <w:tcPr>
            <w:tcW w:w="597" w:type="pct"/>
            <w:gridSpan w:val="4"/>
            <w:tcBorders>
              <w:top w:val="single" w:color="auto" w:sz="4" w:space="0"/>
              <w:left w:val="single" w:color="000000" w:sz="4" w:space="0"/>
              <w:bottom w:val="single" w:color="000000" w:sz="4" w:space="0"/>
              <w:right w:val="single" w:color="000000" w:sz="4" w:space="0"/>
            </w:tcBorders>
            <w:shd w:val="clear" w:color="auto" w:fill="auto"/>
            <w:vAlign w:val="center"/>
          </w:tcPr>
          <w:p w14:paraId="742E93CC">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1946" w:type="pct"/>
            <w:gridSpan w:val="31"/>
            <w:tcBorders>
              <w:top w:val="single" w:color="auto" w:sz="4" w:space="0"/>
              <w:left w:val="single" w:color="000000" w:sz="4" w:space="0"/>
              <w:bottom w:val="single" w:color="000000" w:sz="4" w:space="0"/>
              <w:right w:val="single" w:color="000000" w:sz="4" w:space="0"/>
            </w:tcBorders>
            <w:shd w:val="clear" w:color="auto" w:fill="auto"/>
            <w:vAlign w:val="center"/>
          </w:tcPr>
          <w:p w14:paraId="6F1F4CF1">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51322422T000006104156</w:t>
            </w:r>
            <w:r>
              <w:rPr>
                <w:rFonts w:hint="eastAsia" w:ascii="宋体" w:hAnsi="宋体" w:cs="宋体"/>
                <w:i w:val="0"/>
                <w:iCs w:val="0"/>
                <w:color w:val="000000"/>
                <w:kern w:val="0"/>
                <w:sz w:val="18"/>
                <w:szCs w:val="18"/>
                <w:u w:val="none"/>
                <w:lang w:val="en-US" w:eastAsia="zh-CN" w:bidi="ar"/>
              </w:rPr>
              <w:t>－</w:t>
            </w:r>
            <w:r>
              <w:rPr>
                <w:rFonts w:ascii="宋体" w:hAnsi="宋体" w:eastAsia="宋体" w:cs="宋体"/>
                <w:i w:val="0"/>
                <w:iCs w:val="0"/>
                <w:color w:val="000000"/>
                <w:kern w:val="0"/>
                <w:sz w:val="18"/>
                <w:szCs w:val="18"/>
                <w:u w:val="none"/>
                <w:lang w:val="en-US" w:eastAsia="zh-CN" w:bidi="ar"/>
              </w:rPr>
              <w:t>重大传染病和地方病</w:t>
            </w:r>
            <w:r>
              <w:rPr>
                <w:rFonts w:hint="eastAsia" w:ascii="宋体" w:hAnsi="宋体" w:cs="宋体"/>
                <w:i w:val="0"/>
                <w:iCs w:val="0"/>
                <w:color w:val="000000"/>
                <w:kern w:val="0"/>
                <w:sz w:val="18"/>
                <w:szCs w:val="18"/>
                <w:u w:val="none"/>
                <w:lang w:val="en-US" w:eastAsia="zh-CN" w:bidi="ar"/>
              </w:rPr>
              <w:t>防治</w:t>
            </w:r>
            <w:r>
              <w:rPr>
                <w:rFonts w:ascii="宋体" w:hAnsi="宋体" w:eastAsia="宋体" w:cs="宋体"/>
                <w:i w:val="0"/>
                <w:iCs w:val="0"/>
                <w:color w:val="000000"/>
                <w:kern w:val="0"/>
                <w:sz w:val="18"/>
                <w:szCs w:val="18"/>
                <w:u w:val="none"/>
                <w:lang w:val="en-US" w:eastAsia="zh-CN" w:bidi="ar"/>
              </w:rPr>
              <w:t>项目</w:t>
            </w:r>
          </w:p>
        </w:tc>
      </w:tr>
      <w:tr w14:paraId="618CFD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5"/>
          <w:wAfter w:w="2456" w:type="pct"/>
          <w:trHeight w:val="512" w:hRule="atLeast"/>
        </w:trPr>
        <w:tc>
          <w:tcPr>
            <w:tcW w:w="597"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2107ED8">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824" w:type="pct"/>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4DE6AE72">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松潘县卫生健康局本级</w:t>
            </w:r>
          </w:p>
        </w:tc>
        <w:tc>
          <w:tcPr>
            <w:tcW w:w="236" w:type="pct"/>
            <w:gridSpan w:val="4"/>
            <w:tcBorders>
              <w:top w:val="nil"/>
              <w:left w:val="nil"/>
              <w:bottom w:val="nil"/>
              <w:right w:val="nil"/>
            </w:tcBorders>
            <w:shd w:val="clear" w:color="auto" w:fill="auto"/>
            <w:vAlign w:val="center"/>
          </w:tcPr>
          <w:p w14:paraId="15DF013A">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885" w:type="pct"/>
            <w:gridSpan w:val="15"/>
            <w:tcBorders>
              <w:top w:val="single" w:color="000000" w:sz="4" w:space="0"/>
              <w:left w:val="single" w:color="000000" w:sz="4" w:space="0"/>
              <w:bottom w:val="single" w:color="000000" w:sz="4" w:space="0"/>
              <w:right w:val="single" w:color="000000" w:sz="4" w:space="0"/>
            </w:tcBorders>
            <w:shd w:val="clear" w:color="auto" w:fill="auto"/>
            <w:vAlign w:val="center"/>
          </w:tcPr>
          <w:p w14:paraId="2FFC4096">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松潘县疾病预防控制中心</w:t>
            </w:r>
          </w:p>
        </w:tc>
      </w:tr>
      <w:tr w14:paraId="5872FE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286" w:hRule="atLeast"/>
        </w:trPr>
        <w:tc>
          <w:tcPr>
            <w:tcW w:w="193"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EE21CF1">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403"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A59F985">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824" w:type="pct"/>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7644BEA0">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1121" w:type="pct"/>
            <w:gridSpan w:val="19"/>
            <w:tcBorders>
              <w:top w:val="single" w:color="000000" w:sz="4" w:space="0"/>
              <w:left w:val="single" w:color="000000" w:sz="4" w:space="0"/>
              <w:bottom w:val="single" w:color="000000" w:sz="4" w:space="0"/>
              <w:right w:val="single" w:color="000000" w:sz="4" w:space="0"/>
            </w:tcBorders>
            <w:shd w:val="clear" w:color="auto" w:fill="auto"/>
            <w:vAlign w:val="center"/>
          </w:tcPr>
          <w:p w14:paraId="4444A1A4">
            <w:pPr>
              <w:keepNext w:val="0"/>
              <w:keepLines w:val="0"/>
              <w:widowControl/>
              <w:suppressLineNumbers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0826E5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338" w:hRule="atLeast"/>
        </w:trPr>
        <w:tc>
          <w:tcPr>
            <w:tcW w:w="19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871070">
            <w:pPr>
              <w:rPr>
                <w:rFonts w:hint="eastAsia" w:ascii="宋体" w:hAnsi="宋体" w:eastAsia="宋体" w:cs="宋体"/>
                <w:i w:val="0"/>
                <w:iCs w:val="0"/>
                <w:color w:val="000000"/>
                <w:sz w:val="18"/>
                <w:szCs w:val="18"/>
                <w:u w:val="none"/>
              </w:rPr>
            </w:pPr>
          </w:p>
        </w:tc>
        <w:tc>
          <w:tcPr>
            <w:tcW w:w="40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DAD362">
            <w:pPr>
              <w:rPr>
                <w:rFonts w:hint="eastAsia" w:ascii="宋体" w:hAnsi="宋体" w:eastAsia="宋体" w:cs="宋体"/>
                <w:i w:val="0"/>
                <w:iCs w:val="0"/>
                <w:color w:val="000000"/>
                <w:sz w:val="18"/>
                <w:szCs w:val="18"/>
                <w:u w:val="none"/>
              </w:rPr>
            </w:pPr>
          </w:p>
        </w:tc>
        <w:tc>
          <w:tcPr>
            <w:tcW w:w="824" w:type="pct"/>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5E3EE861">
            <w:pPr>
              <w:rPr>
                <w:rFonts w:hint="eastAsia" w:ascii="宋体" w:hAnsi="宋体" w:eastAsia="宋体" w:cs="宋体"/>
                <w:i w:val="0"/>
                <w:iCs w:val="0"/>
                <w:color w:val="000000"/>
                <w:sz w:val="18"/>
                <w:szCs w:val="18"/>
                <w:u w:val="none"/>
              </w:rPr>
            </w:pPr>
          </w:p>
        </w:tc>
        <w:tc>
          <w:tcPr>
            <w:tcW w:w="1121" w:type="pct"/>
            <w:gridSpan w:val="19"/>
            <w:tcBorders>
              <w:top w:val="single" w:color="000000" w:sz="4" w:space="0"/>
              <w:left w:val="single" w:color="000000" w:sz="4" w:space="0"/>
              <w:bottom w:val="single" w:color="000000" w:sz="4" w:space="0"/>
              <w:right w:val="single" w:color="000000" w:sz="4" w:space="0"/>
            </w:tcBorders>
            <w:shd w:val="clear" w:color="auto" w:fill="auto"/>
            <w:vAlign w:val="center"/>
          </w:tcPr>
          <w:p w14:paraId="533580D1">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对照年度目标，说明相关任务目标的完成情况（100字以内）</w:t>
            </w:r>
          </w:p>
        </w:tc>
      </w:tr>
      <w:tr w14:paraId="171E25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413" w:hRule="atLeast"/>
        </w:trPr>
        <w:tc>
          <w:tcPr>
            <w:tcW w:w="19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228763">
            <w:pPr>
              <w:rPr>
                <w:rFonts w:hint="eastAsia" w:ascii="宋体" w:hAnsi="宋体" w:eastAsia="宋体" w:cs="宋体"/>
                <w:i w:val="0"/>
                <w:iCs w:val="0"/>
                <w:color w:val="000000"/>
                <w:sz w:val="18"/>
                <w:szCs w:val="18"/>
                <w:u w:val="none"/>
              </w:rPr>
            </w:pPr>
          </w:p>
        </w:tc>
        <w:tc>
          <w:tcPr>
            <w:tcW w:w="40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C115EBA">
            <w:pPr>
              <w:keepNext w:val="0"/>
              <w:keepLines w:val="0"/>
              <w:widowControl/>
              <w:suppressLineNumbers w:val="0"/>
              <w:jc w:val="left"/>
              <w:textAlignment w:val="center"/>
              <w:rPr>
                <w:rFonts w:ascii="宋体" w:hAnsi="宋体" w:eastAsia="宋体" w:cs="宋体"/>
                <w:i w:val="0"/>
                <w:iCs w:val="0"/>
                <w:color w:val="000000"/>
                <w:sz w:val="16"/>
                <w:szCs w:val="16"/>
                <w:u w:val="none"/>
              </w:rPr>
            </w:pPr>
            <w:r>
              <w:rPr>
                <w:rFonts w:ascii="宋体" w:hAnsi="宋体" w:eastAsia="宋体" w:cs="宋体"/>
                <w:i w:val="0"/>
                <w:iCs w:val="0"/>
                <w:color w:val="000000"/>
                <w:kern w:val="0"/>
                <w:sz w:val="16"/>
                <w:szCs w:val="16"/>
                <w:u w:val="none"/>
                <w:lang w:val="en-US" w:eastAsia="zh-CN" w:bidi="ar"/>
              </w:rPr>
              <w:t>2.项目实施内容及过程概述</w:t>
            </w:r>
          </w:p>
        </w:tc>
        <w:tc>
          <w:tcPr>
            <w:tcW w:w="1946" w:type="pct"/>
            <w:gridSpan w:val="31"/>
            <w:tcBorders>
              <w:top w:val="single" w:color="000000" w:sz="4" w:space="0"/>
              <w:left w:val="single" w:color="000000" w:sz="4" w:space="0"/>
              <w:bottom w:val="single" w:color="000000" w:sz="4" w:space="0"/>
              <w:right w:val="single" w:color="000000" w:sz="4" w:space="0"/>
            </w:tcBorders>
            <w:shd w:val="clear" w:color="auto" w:fill="auto"/>
            <w:vAlign w:val="center"/>
          </w:tcPr>
          <w:p w14:paraId="33035DC1">
            <w:pPr>
              <w:rPr>
                <w:rFonts w:hint="eastAsia" w:ascii="宋体" w:hAnsi="宋体" w:eastAsia="宋体" w:cs="宋体"/>
                <w:i w:val="0"/>
                <w:iCs w:val="0"/>
                <w:color w:val="000000"/>
                <w:sz w:val="18"/>
                <w:szCs w:val="18"/>
                <w:u w:val="none"/>
              </w:rPr>
            </w:pPr>
          </w:p>
        </w:tc>
      </w:tr>
      <w:tr w14:paraId="189CAA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418" w:hRule="atLeast"/>
        </w:trPr>
        <w:tc>
          <w:tcPr>
            <w:tcW w:w="193"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1F36BC5">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40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06FCC8E">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8BCC3D">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7D76330">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346"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450339EB">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23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5364969">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12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C7CE5F7">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10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8A5743D">
            <w:pPr>
              <w:keepNext w:val="0"/>
              <w:keepLines w:val="0"/>
              <w:widowControl/>
              <w:suppressLineNumbers w:val="0"/>
              <w:jc w:val="center"/>
              <w:textAlignment w:val="center"/>
              <w:rPr>
                <w:rFonts w:ascii="宋体" w:hAnsi="宋体" w:eastAsia="宋体" w:cs="宋体"/>
                <w:i w:val="0"/>
                <w:iCs w:val="0"/>
                <w:color w:val="000000"/>
                <w:sz w:val="16"/>
                <w:szCs w:val="16"/>
                <w:u w:val="none"/>
              </w:rPr>
            </w:pPr>
            <w:r>
              <w:rPr>
                <w:rFonts w:ascii="宋体" w:hAnsi="宋体" w:eastAsia="宋体" w:cs="宋体"/>
                <w:i w:val="0"/>
                <w:iCs w:val="0"/>
                <w:color w:val="000000"/>
                <w:kern w:val="0"/>
                <w:sz w:val="16"/>
                <w:szCs w:val="16"/>
                <w:u w:val="none"/>
                <w:lang w:val="en-US" w:eastAsia="zh-CN" w:bidi="ar"/>
              </w:rPr>
              <w:t>得分</w:t>
            </w:r>
          </w:p>
        </w:tc>
        <w:tc>
          <w:tcPr>
            <w:tcW w:w="662" w:type="pct"/>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380A51DF">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14:paraId="12FADB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346" w:hRule="atLeast"/>
        </w:trPr>
        <w:tc>
          <w:tcPr>
            <w:tcW w:w="19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D7F2D0">
            <w:pPr>
              <w:jc w:val="center"/>
              <w:rPr>
                <w:rFonts w:hint="eastAsia" w:ascii="宋体" w:hAnsi="宋体" w:eastAsia="宋体" w:cs="宋体"/>
                <w:i w:val="0"/>
                <w:iCs w:val="0"/>
                <w:color w:val="000000"/>
                <w:sz w:val="18"/>
                <w:szCs w:val="18"/>
                <w:u w:val="none"/>
              </w:rPr>
            </w:pPr>
          </w:p>
        </w:tc>
        <w:tc>
          <w:tcPr>
            <w:tcW w:w="40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92F0A6E">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142967">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E14CB1E">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367.12</w:t>
            </w:r>
          </w:p>
        </w:tc>
        <w:tc>
          <w:tcPr>
            <w:tcW w:w="346"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24094F50">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208.96</w:t>
            </w:r>
          </w:p>
        </w:tc>
        <w:tc>
          <w:tcPr>
            <w:tcW w:w="23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74C56DF9">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56.92%</w:t>
            </w:r>
          </w:p>
        </w:tc>
        <w:tc>
          <w:tcPr>
            <w:tcW w:w="12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A3F52FE">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0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C3B030D">
            <w:pPr>
              <w:jc w:val="center"/>
              <w:rPr>
                <w:rFonts w:hint="eastAsia" w:ascii="宋体" w:hAnsi="宋体" w:eastAsia="宋体" w:cs="宋体"/>
                <w:i w:val="0"/>
                <w:iCs w:val="0"/>
                <w:color w:val="000000"/>
                <w:sz w:val="18"/>
                <w:szCs w:val="18"/>
                <w:u w:val="none"/>
              </w:rPr>
            </w:pPr>
          </w:p>
        </w:tc>
        <w:tc>
          <w:tcPr>
            <w:tcW w:w="662" w:type="pct"/>
            <w:gridSpan w:val="8"/>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27062E3">
            <w:pPr>
              <w:keepNext w:val="0"/>
              <w:keepLines w:val="0"/>
              <w:widowControl/>
              <w:suppressLineNumbers w:val="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244B125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5"/>
          <w:wAfter w:w="2456" w:type="pct"/>
          <w:trHeight w:val="391" w:hRule="atLeast"/>
        </w:trPr>
        <w:tc>
          <w:tcPr>
            <w:tcW w:w="19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D0F1C5">
            <w:pPr>
              <w:jc w:val="center"/>
              <w:rPr>
                <w:rFonts w:hint="eastAsia" w:ascii="宋体" w:hAnsi="宋体" w:eastAsia="宋体" w:cs="宋体"/>
                <w:i w:val="0"/>
                <w:iCs w:val="0"/>
                <w:color w:val="000000"/>
                <w:sz w:val="18"/>
                <w:szCs w:val="18"/>
                <w:u w:val="none"/>
              </w:rPr>
            </w:pPr>
          </w:p>
        </w:tc>
        <w:tc>
          <w:tcPr>
            <w:tcW w:w="40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A647F40">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2197B2">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495894C">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367.12</w:t>
            </w:r>
          </w:p>
        </w:tc>
        <w:tc>
          <w:tcPr>
            <w:tcW w:w="346"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66B08E0B">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208.96</w:t>
            </w:r>
          </w:p>
        </w:tc>
        <w:tc>
          <w:tcPr>
            <w:tcW w:w="23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7A0B8AB1">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56.92%</w:t>
            </w:r>
          </w:p>
        </w:tc>
        <w:tc>
          <w:tcPr>
            <w:tcW w:w="12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26BD6972">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519CA07">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62" w:type="pct"/>
            <w:gridSpan w:val="8"/>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0A58EB">
            <w:pPr>
              <w:rPr>
                <w:rFonts w:hint="eastAsia" w:ascii="黑体" w:hAnsi="黑体" w:eastAsia="黑体" w:cs="黑体"/>
                <w:i/>
                <w:iCs/>
                <w:color w:val="000000"/>
                <w:sz w:val="18"/>
                <w:szCs w:val="18"/>
                <w:u w:val="none"/>
              </w:rPr>
            </w:pPr>
          </w:p>
        </w:tc>
      </w:tr>
      <w:tr w14:paraId="7A70DA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407" w:hRule="atLeast"/>
        </w:trPr>
        <w:tc>
          <w:tcPr>
            <w:tcW w:w="19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F224AD">
            <w:pPr>
              <w:jc w:val="center"/>
              <w:rPr>
                <w:rFonts w:hint="eastAsia" w:ascii="宋体" w:hAnsi="宋体" w:eastAsia="宋体" w:cs="宋体"/>
                <w:i w:val="0"/>
                <w:iCs w:val="0"/>
                <w:color w:val="000000"/>
                <w:sz w:val="18"/>
                <w:szCs w:val="18"/>
                <w:u w:val="none"/>
              </w:rPr>
            </w:pPr>
          </w:p>
        </w:tc>
        <w:tc>
          <w:tcPr>
            <w:tcW w:w="40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4AA0704">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104FE1">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1094B22">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346"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1409FA15">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3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2427C891">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2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23F5F65">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0785116">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62" w:type="pct"/>
            <w:gridSpan w:val="8"/>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05543D">
            <w:pPr>
              <w:rPr>
                <w:rFonts w:hint="eastAsia" w:ascii="黑体" w:hAnsi="黑体" w:eastAsia="黑体" w:cs="黑体"/>
                <w:i/>
                <w:iCs/>
                <w:color w:val="000000"/>
                <w:sz w:val="18"/>
                <w:szCs w:val="18"/>
                <w:u w:val="none"/>
              </w:rPr>
            </w:pPr>
          </w:p>
        </w:tc>
      </w:tr>
      <w:tr w14:paraId="2EA235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361" w:hRule="atLeast"/>
        </w:trPr>
        <w:tc>
          <w:tcPr>
            <w:tcW w:w="19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1CF1C8">
            <w:pPr>
              <w:jc w:val="center"/>
              <w:rPr>
                <w:rFonts w:hint="eastAsia" w:ascii="宋体" w:hAnsi="宋体" w:eastAsia="宋体" w:cs="宋体"/>
                <w:i w:val="0"/>
                <w:iCs w:val="0"/>
                <w:color w:val="000000"/>
                <w:sz w:val="18"/>
                <w:szCs w:val="18"/>
                <w:u w:val="none"/>
              </w:rPr>
            </w:pPr>
          </w:p>
        </w:tc>
        <w:tc>
          <w:tcPr>
            <w:tcW w:w="40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EBFC296">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FF5198">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7C264D7">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346"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73CD2659">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3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72CCF813">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2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7F42675">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5EF24D2">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62" w:type="pct"/>
            <w:gridSpan w:val="8"/>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3128E8">
            <w:pPr>
              <w:rPr>
                <w:rFonts w:hint="eastAsia" w:ascii="黑体" w:hAnsi="黑体" w:eastAsia="黑体" w:cs="黑体"/>
                <w:i/>
                <w:iCs/>
                <w:color w:val="000000"/>
                <w:sz w:val="18"/>
                <w:szCs w:val="18"/>
                <w:u w:val="none"/>
              </w:rPr>
            </w:pPr>
          </w:p>
        </w:tc>
      </w:tr>
      <w:tr w14:paraId="601F82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339" w:hRule="atLeast"/>
        </w:trPr>
        <w:tc>
          <w:tcPr>
            <w:tcW w:w="19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0DE156">
            <w:pPr>
              <w:jc w:val="center"/>
              <w:rPr>
                <w:rFonts w:hint="eastAsia" w:ascii="宋体" w:hAnsi="宋体" w:eastAsia="宋体" w:cs="宋体"/>
                <w:i w:val="0"/>
                <w:iCs w:val="0"/>
                <w:color w:val="000000"/>
                <w:sz w:val="18"/>
                <w:szCs w:val="18"/>
                <w:u w:val="none"/>
              </w:rPr>
            </w:pPr>
          </w:p>
        </w:tc>
        <w:tc>
          <w:tcPr>
            <w:tcW w:w="40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66CE791">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70490D">
            <w:pPr>
              <w:jc w:val="center"/>
              <w:rPr>
                <w:rFonts w:hint="eastAsia" w:ascii="微软雅黑" w:hAnsi="微软雅黑" w:eastAsia="微软雅黑" w:cs="微软雅黑"/>
                <w:i/>
                <w:iCs/>
                <w:color w:val="000000"/>
                <w:sz w:val="16"/>
                <w:szCs w:val="16"/>
                <w:u w:val="none"/>
              </w:rPr>
            </w:pP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C706EAD">
            <w:pPr>
              <w:jc w:val="center"/>
              <w:rPr>
                <w:rFonts w:hint="eastAsia" w:ascii="微软雅黑" w:hAnsi="微软雅黑" w:eastAsia="微软雅黑" w:cs="微软雅黑"/>
                <w:i/>
                <w:iCs/>
                <w:color w:val="000000"/>
                <w:sz w:val="16"/>
                <w:szCs w:val="16"/>
                <w:u w:val="none"/>
              </w:rPr>
            </w:pPr>
          </w:p>
        </w:tc>
        <w:tc>
          <w:tcPr>
            <w:tcW w:w="346"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1DC4EF8C">
            <w:pPr>
              <w:jc w:val="center"/>
              <w:rPr>
                <w:rFonts w:hint="eastAsia" w:ascii="微软雅黑" w:hAnsi="微软雅黑" w:eastAsia="微软雅黑" w:cs="微软雅黑"/>
                <w:i/>
                <w:iCs/>
                <w:color w:val="000000"/>
                <w:sz w:val="16"/>
                <w:szCs w:val="16"/>
                <w:u w:val="none"/>
              </w:rPr>
            </w:pPr>
          </w:p>
        </w:tc>
        <w:tc>
          <w:tcPr>
            <w:tcW w:w="23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7B72814">
            <w:pPr>
              <w:jc w:val="center"/>
              <w:rPr>
                <w:rFonts w:hint="eastAsia" w:ascii="微软雅黑" w:hAnsi="微软雅黑" w:eastAsia="微软雅黑" w:cs="微软雅黑"/>
                <w:i/>
                <w:iCs/>
                <w:color w:val="000000"/>
                <w:sz w:val="16"/>
                <w:szCs w:val="16"/>
                <w:u w:val="none"/>
              </w:rPr>
            </w:pPr>
          </w:p>
        </w:tc>
        <w:tc>
          <w:tcPr>
            <w:tcW w:w="12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775DA6AB">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9FC785A">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62" w:type="pct"/>
            <w:gridSpan w:val="8"/>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A22647">
            <w:pPr>
              <w:rPr>
                <w:rFonts w:hint="eastAsia" w:ascii="黑体" w:hAnsi="黑体" w:eastAsia="黑体" w:cs="黑体"/>
                <w:i/>
                <w:iCs/>
                <w:color w:val="000000"/>
                <w:sz w:val="18"/>
                <w:szCs w:val="18"/>
                <w:u w:val="none"/>
              </w:rPr>
            </w:pPr>
          </w:p>
        </w:tc>
      </w:tr>
      <w:tr w14:paraId="2CE878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452" w:hRule="atLeast"/>
        </w:trPr>
        <w:tc>
          <w:tcPr>
            <w:tcW w:w="193"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CD026C9">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40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A971FE9">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D54CDE">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B72C828">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134"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5D19F5A">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107"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6E58A40">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103"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F634D44">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23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BCB91DB">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12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D424677">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10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6A345AE">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662" w:type="pct"/>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34FDE4E0">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14:paraId="5E8A50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339" w:hRule="atLeast"/>
        </w:trPr>
        <w:tc>
          <w:tcPr>
            <w:tcW w:w="19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BF8C11">
            <w:pPr>
              <w:jc w:val="center"/>
              <w:rPr>
                <w:rFonts w:hint="eastAsia" w:ascii="宋体" w:hAnsi="宋体" w:eastAsia="宋体" w:cs="宋体"/>
                <w:i w:val="0"/>
                <w:iCs w:val="0"/>
                <w:color w:val="000000"/>
                <w:sz w:val="18"/>
                <w:szCs w:val="18"/>
                <w:u w:val="none"/>
              </w:rPr>
            </w:pPr>
          </w:p>
        </w:tc>
        <w:tc>
          <w:tcPr>
            <w:tcW w:w="40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A57FC81">
            <w:pPr>
              <w:jc w:val="center"/>
              <w:rPr>
                <w:rFonts w:hint="eastAsia" w:ascii="宋体" w:hAnsi="宋体" w:eastAsia="宋体" w:cs="宋体"/>
                <w:i w:val="0"/>
                <w:iCs w:val="0"/>
                <w:color w:val="000000"/>
                <w:sz w:val="18"/>
                <w:szCs w:val="18"/>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9BD856">
            <w:pPr>
              <w:jc w:val="center"/>
              <w:rPr>
                <w:rFonts w:hint="eastAsia" w:ascii="宋体" w:hAnsi="宋体" w:eastAsia="宋体" w:cs="宋体"/>
                <w:i w:val="0"/>
                <w:iCs w:val="0"/>
                <w:color w:val="000000"/>
                <w:sz w:val="18"/>
                <w:szCs w:val="18"/>
                <w:u w:val="none"/>
              </w:rPr>
            </w:pP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EC418B">
            <w:pPr>
              <w:jc w:val="center"/>
              <w:rPr>
                <w:rFonts w:hint="eastAsia" w:ascii="宋体" w:hAnsi="宋体" w:eastAsia="宋体" w:cs="宋体"/>
                <w:i w:val="0"/>
                <w:iCs w:val="0"/>
                <w:color w:val="000000"/>
                <w:sz w:val="18"/>
                <w:szCs w:val="18"/>
                <w:u w:val="none"/>
              </w:rPr>
            </w:pPr>
          </w:p>
        </w:tc>
        <w:tc>
          <w:tcPr>
            <w:tcW w:w="134"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7C4B7D4">
            <w:pPr>
              <w:jc w:val="center"/>
              <w:rPr>
                <w:rFonts w:hint="eastAsia" w:ascii="宋体" w:hAnsi="宋体" w:eastAsia="宋体" w:cs="宋体"/>
                <w:i w:val="0"/>
                <w:iCs w:val="0"/>
                <w:color w:val="000000"/>
                <w:sz w:val="18"/>
                <w:szCs w:val="18"/>
                <w:u w:val="none"/>
              </w:rPr>
            </w:pPr>
          </w:p>
        </w:tc>
        <w:tc>
          <w:tcPr>
            <w:tcW w:w="107"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AAD0627">
            <w:pPr>
              <w:jc w:val="center"/>
              <w:rPr>
                <w:rFonts w:hint="eastAsia" w:ascii="宋体" w:hAnsi="宋体" w:eastAsia="宋体" w:cs="宋体"/>
                <w:i w:val="0"/>
                <w:iCs w:val="0"/>
                <w:color w:val="000000"/>
                <w:sz w:val="18"/>
                <w:szCs w:val="18"/>
                <w:u w:val="none"/>
              </w:rPr>
            </w:pPr>
          </w:p>
        </w:tc>
        <w:tc>
          <w:tcPr>
            <w:tcW w:w="103"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2D14BD">
            <w:pPr>
              <w:jc w:val="center"/>
              <w:rPr>
                <w:rFonts w:hint="eastAsia" w:ascii="宋体" w:hAnsi="宋体" w:eastAsia="宋体" w:cs="宋体"/>
                <w:i w:val="0"/>
                <w:iCs w:val="0"/>
                <w:color w:val="000000"/>
                <w:sz w:val="18"/>
                <w:szCs w:val="18"/>
                <w:u w:val="none"/>
              </w:rPr>
            </w:pPr>
          </w:p>
        </w:tc>
        <w:tc>
          <w:tcPr>
            <w:tcW w:w="23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235CB951">
            <w:pPr>
              <w:jc w:val="center"/>
              <w:rPr>
                <w:rFonts w:hint="eastAsia" w:ascii="微软雅黑" w:hAnsi="微软雅黑" w:eastAsia="微软雅黑" w:cs="微软雅黑"/>
                <w:i/>
                <w:iCs/>
                <w:color w:val="000000"/>
                <w:sz w:val="16"/>
                <w:szCs w:val="16"/>
                <w:u w:val="none"/>
              </w:rPr>
            </w:pPr>
          </w:p>
        </w:tc>
        <w:tc>
          <w:tcPr>
            <w:tcW w:w="12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2947DB79">
            <w:pPr>
              <w:jc w:val="center"/>
              <w:rPr>
                <w:rFonts w:hint="eastAsia" w:ascii="宋体" w:hAnsi="宋体" w:eastAsia="宋体" w:cs="宋体"/>
                <w:i w:val="0"/>
                <w:iCs w:val="0"/>
                <w:color w:val="000000"/>
                <w:sz w:val="18"/>
                <w:szCs w:val="18"/>
                <w:u w:val="none"/>
              </w:rPr>
            </w:pPr>
          </w:p>
        </w:tc>
        <w:tc>
          <w:tcPr>
            <w:tcW w:w="10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FACD7D8">
            <w:pPr>
              <w:jc w:val="center"/>
              <w:rPr>
                <w:rFonts w:hint="eastAsia" w:ascii="宋体" w:hAnsi="宋体" w:eastAsia="宋体" w:cs="宋体"/>
                <w:i w:val="0"/>
                <w:iCs w:val="0"/>
                <w:color w:val="000000"/>
                <w:sz w:val="18"/>
                <w:szCs w:val="18"/>
                <w:u w:val="none"/>
              </w:rPr>
            </w:pPr>
          </w:p>
        </w:tc>
        <w:tc>
          <w:tcPr>
            <w:tcW w:w="662" w:type="pct"/>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4713D59C">
            <w:pPr>
              <w:jc w:val="center"/>
              <w:rPr>
                <w:rFonts w:hint="eastAsia" w:ascii="微软雅黑" w:hAnsi="微软雅黑" w:eastAsia="微软雅黑" w:cs="微软雅黑"/>
                <w:i/>
                <w:iCs/>
                <w:color w:val="000000"/>
                <w:sz w:val="16"/>
                <w:szCs w:val="16"/>
                <w:u w:val="none"/>
              </w:rPr>
            </w:pPr>
          </w:p>
        </w:tc>
      </w:tr>
      <w:tr w14:paraId="0B2043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5"/>
          <w:wAfter w:w="2456" w:type="pct"/>
          <w:trHeight w:val="286" w:hRule="atLeast"/>
        </w:trPr>
        <w:tc>
          <w:tcPr>
            <w:tcW w:w="1658" w:type="pct"/>
            <w:gridSpan w:val="20"/>
            <w:tcBorders>
              <w:top w:val="single" w:color="000000" w:sz="4" w:space="0"/>
              <w:left w:val="single" w:color="000000" w:sz="4" w:space="0"/>
              <w:bottom w:val="single" w:color="000000" w:sz="4" w:space="0"/>
              <w:right w:val="single" w:color="000000" w:sz="4" w:space="0"/>
            </w:tcBorders>
            <w:shd w:val="clear" w:color="auto" w:fill="auto"/>
            <w:vAlign w:val="center"/>
          </w:tcPr>
          <w:p w14:paraId="7314BEEC">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12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E0A121A">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10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DB4479A">
            <w:pPr>
              <w:rPr>
                <w:rFonts w:hint="eastAsia" w:ascii="宋体" w:hAnsi="宋体" w:eastAsia="宋体" w:cs="宋体"/>
                <w:i w:val="0"/>
                <w:iCs w:val="0"/>
                <w:color w:val="000000"/>
                <w:sz w:val="18"/>
                <w:szCs w:val="18"/>
                <w:u w:val="none"/>
              </w:rPr>
            </w:pPr>
          </w:p>
        </w:tc>
        <w:tc>
          <w:tcPr>
            <w:tcW w:w="662" w:type="pct"/>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2D6ABFF3">
            <w:pPr>
              <w:rPr>
                <w:rFonts w:hint="eastAsia" w:ascii="宋体" w:hAnsi="宋体" w:eastAsia="宋体" w:cs="宋体"/>
                <w:i w:val="0"/>
                <w:iCs w:val="0"/>
                <w:color w:val="000000"/>
                <w:sz w:val="18"/>
                <w:szCs w:val="18"/>
                <w:u w:val="none"/>
              </w:rPr>
            </w:pPr>
          </w:p>
        </w:tc>
      </w:tr>
      <w:tr w14:paraId="567B98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443" w:hRule="atLeast"/>
        </w:trPr>
        <w:tc>
          <w:tcPr>
            <w:tcW w:w="19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0C4C362">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2350" w:type="pct"/>
            <w:gridSpan w:val="33"/>
            <w:tcBorders>
              <w:top w:val="single" w:color="000000" w:sz="4" w:space="0"/>
              <w:left w:val="single" w:color="000000" w:sz="4" w:space="0"/>
              <w:bottom w:val="single" w:color="000000" w:sz="4" w:space="0"/>
              <w:right w:val="single" w:color="000000" w:sz="4" w:space="0"/>
            </w:tcBorders>
            <w:shd w:val="clear" w:color="auto" w:fill="auto"/>
            <w:vAlign w:val="center"/>
          </w:tcPr>
          <w:p w14:paraId="75E20ECA">
            <w:pPr>
              <w:keepNext w:val="0"/>
              <w:keepLines w:val="0"/>
              <w:widowControl/>
              <w:suppressLineNumbers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结合自评情况，说明项目自评总分，说明项目实施取得的成效或成果。（200字以内）</w:t>
            </w:r>
          </w:p>
        </w:tc>
      </w:tr>
      <w:tr w14:paraId="0513325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5"/>
          <w:wAfter w:w="2456" w:type="pct"/>
          <w:trHeight w:val="427" w:hRule="atLeast"/>
        </w:trPr>
        <w:tc>
          <w:tcPr>
            <w:tcW w:w="19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5A90D1E">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2350" w:type="pct"/>
            <w:gridSpan w:val="33"/>
            <w:tcBorders>
              <w:top w:val="single" w:color="000000" w:sz="4" w:space="0"/>
              <w:left w:val="single" w:color="000000" w:sz="4" w:space="0"/>
              <w:bottom w:val="single" w:color="000000" w:sz="4" w:space="0"/>
              <w:right w:val="single" w:color="000000" w:sz="4" w:space="0"/>
            </w:tcBorders>
            <w:shd w:val="clear" w:color="auto" w:fill="auto"/>
            <w:vAlign w:val="center"/>
          </w:tcPr>
          <w:p w14:paraId="57BEDED5">
            <w:pPr>
              <w:keepNext w:val="0"/>
              <w:keepLines w:val="0"/>
              <w:widowControl/>
              <w:suppressLineNumbers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结合自评情况，分析存在的问题及原因。（200字以内）</w:t>
            </w:r>
          </w:p>
        </w:tc>
      </w:tr>
      <w:tr w14:paraId="4F3AA4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518" w:hRule="atLeast"/>
        </w:trPr>
        <w:tc>
          <w:tcPr>
            <w:tcW w:w="19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C3B990E">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2350" w:type="pct"/>
            <w:gridSpan w:val="33"/>
            <w:tcBorders>
              <w:top w:val="single" w:color="000000" w:sz="4" w:space="0"/>
              <w:left w:val="single" w:color="000000" w:sz="4" w:space="0"/>
              <w:bottom w:val="single" w:color="000000" w:sz="4" w:space="0"/>
              <w:right w:val="single" w:color="000000" w:sz="4" w:space="0"/>
            </w:tcBorders>
            <w:shd w:val="clear" w:color="auto" w:fill="auto"/>
            <w:vAlign w:val="center"/>
          </w:tcPr>
          <w:p w14:paraId="076CE18A">
            <w:pPr>
              <w:keepNext w:val="0"/>
              <w:keepLines w:val="0"/>
              <w:widowControl/>
              <w:suppressLineNumbers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针对项目自评中发现的问题，提出下一步改进完善的意见及有关政策性建议。（200字以内）</w:t>
            </w:r>
          </w:p>
        </w:tc>
      </w:tr>
      <w:tr w14:paraId="27FF90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286" w:hRule="atLeast"/>
        </w:trPr>
        <w:tc>
          <w:tcPr>
            <w:tcW w:w="1210"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3F65A333">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项目负责人：芮国竞</w:t>
            </w:r>
          </w:p>
        </w:tc>
        <w:tc>
          <w:tcPr>
            <w:tcW w:w="1333" w:type="pct"/>
            <w:gridSpan w:val="25"/>
            <w:tcBorders>
              <w:top w:val="single" w:color="000000" w:sz="4" w:space="0"/>
              <w:left w:val="single" w:color="000000" w:sz="4" w:space="0"/>
              <w:bottom w:val="single" w:color="000000" w:sz="4" w:space="0"/>
              <w:right w:val="single" w:color="000000" w:sz="4" w:space="0"/>
            </w:tcBorders>
            <w:shd w:val="clear" w:color="auto" w:fill="auto"/>
            <w:vAlign w:val="center"/>
          </w:tcPr>
          <w:p w14:paraId="189A73C1">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财务负责人：朱卫东</w:t>
            </w:r>
          </w:p>
        </w:tc>
      </w:tr>
      <w:tr w14:paraId="5E5FAC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684" w:hRule="atLeast"/>
        </w:trPr>
        <w:tc>
          <w:tcPr>
            <w:tcW w:w="2543" w:type="pct"/>
            <w:gridSpan w:val="35"/>
            <w:tcBorders>
              <w:top w:val="single" w:color="000000" w:sz="4" w:space="0"/>
              <w:left w:val="single" w:color="000000" w:sz="4" w:space="0"/>
              <w:bottom w:val="single" w:color="000000" w:sz="4" w:space="0"/>
              <w:right w:val="single" w:color="000000" w:sz="4" w:space="0"/>
            </w:tcBorders>
            <w:shd w:val="clear" w:color="auto" w:fill="auto"/>
            <w:vAlign w:val="center"/>
          </w:tcPr>
          <w:p w14:paraId="37A89C30">
            <w:pPr>
              <w:keepNext w:val="0"/>
              <w:keepLines w:val="0"/>
              <w:widowControl/>
              <w:suppressLineNumbers w:val="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3D404A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286" w:hRule="atLeast"/>
        </w:trPr>
        <w:tc>
          <w:tcPr>
            <w:tcW w:w="597"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5AC5B5B">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1946" w:type="pct"/>
            <w:gridSpan w:val="31"/>
            <w:tcBorders>
              <w:top w:val="single" w:color="000000" w:sz="4" w:space="0"/>
              <w:left w:val="single" w:color="000000" w:sz="4" w:space="0"/>
              <w:bottom w:val="single" w:color="000000" w:sz="4" w:space="0"/>
              <w:right w:val="single" w:color="000000" w:sz="4" w:space="0"/>
            </w:tcBorders>
            <w:shd w:val="clear" w:color="auto" w:fill="auto"/>
            <w:vAlign w:val="center"/>
          </w:tcPr>
          <w:p w14:paraId="78BC84B5">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51322422T000006231137</w:t>
            </w:r>
            <w:r>
              <w:rPr>
                <w:rFonts w:hint="eastAsia" w:ascii="宋体" w:hAnsi="宋体" w:cs="宋体"/>
                <w:i w:val="0"/>
                <w:iCs w:val="0"/>
                <w:color w:val="000000"/>
                <w:kern w:val="0"/>
                <w:sz w:val="18"/>
                <w:szCs w:val="18"/>
                <w:u w:val="none"/>
                <w:lang w:val="en-US" w:eastAsia="zh-CN" w:bidi="ar"/>
              </w:rPr>
              <w:t>－</w:t>
            </w:r>
            <w:r>
              <w:rPr>
                <w:rFonts w:ascii="宋体" w:hAnsi="宋体" w:eastAsia="宋体" w:cs="宋体"/>
                <w:i w:val="0"/>
                <w:iCs w:val="0"/>
                <w:color w:val="000000"/>
                <w:kern w:val="0"/>
                <w:sz w:val="18"/>
                <w:szCs w:val="18"/>
                <w:u w:val="none"/>
                <w:lang w:val="en-US" w:eastAsia="zh-CN" w:bidi="ar"/>
              </w:rPr>
              <w:t>松潘县省级</w:t>
            </w:r>
            <w:r>
              <w:rPr>
                <w:rFonts w:hint="eastAsia" w:ascii="宋体" w:hAnsi="宋体" w:cs="宋体"/>
                <w:i w:val="0"/>
                <w:iCs w:val="0"/>
                <w:color w:val="000000"/>
                <w:kern w:val="0"/>
                <w:sz w:val="18"/>
                <w:szCs w:val="18"/>
                <w:u w:val="none"/>
                <w:lang w:val="en-US" w:eastAsia="zh-CN" w:bidi="ar"/>
              </w:rPr>
              <w:t>慢性病</w:t>
            </w:r>
            <w:r>
              <w:rPr>
                <w:rFonts w:ascii="宋体" w:hAnsi="宋体" w:eastAsia="宋体" w:cs="宋体"/>
                <w:i w:val="0"/>
                <w:iCs w:val="0"/>
                <w:color w:val="000000"/>
                <w:kern w:val="0"/>
                <w:sz w:val="18"/>
                <w:szCs w:val="18"/>
                <w:u w:val="none"/>
                <w:lang w:val="en-US" w:eastAsia="zh-CN" w:bidi="ar"/>
              </w:rPr>
              <w:t>综合示范区创建</w:t>
            </w:r>
          </w:p>
        </w:tc>
      </w:tr>
      <w:tr w14:paraId="0ACD0F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468" w:hRule="atLeast"/>
        </w:trPr>
        <w:tc>
          <w:tcPr>
            <w:tcW w:w="597"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125B3BE">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824" w:type="pct"/>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520DC004">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松潘县卫生健康局本级</w:t>
            </w:r>
          </w:p>
        </w:tc>
        <w:tc>
          <w:tcPr>
            <w:tcW w:w="236" w:type="pct"/>
            <w:gridSpan w:val="4"/>
            <w:tcBorders>
              <w:top w:val="nil"/>
              <w:left w:val="nil"/>
              <w:bottom w:val="nil"/>
              <w:right w:val="nil"/>
            </w:tcBorders>
            <w:shd w:val="clear" w:color="auto" w:fill="auto"/>
            <w:vAlign w:val="center"/>
          </w:tcPr>
          <w:p w14:paraId="3E938752">
            <w:pPr>
              <w:keepNext w:val="0"/>
              <w:keepLines w:val="0"/>
              <w:widowControl/>
              <w:suppressLineNumbers w:val="0"/>
              <w:jc w:val="left"/>
              <w:textAlignment w:val="center"/>
              <w:rPr>
                <w:rFonts w:hint="eastAsia" w:ascii="黑体" w:hAnsi="黑体" w:eastAsia="黑体" w:cs="黑体"/>
                <w:i w:val="0"/>
                <w:iCs w:val="0"/>
                <w:color w:val="000000"/>
                <w:sz w:val="13"/>
                <w:szCs w:val="13"/>
                <w:u w:val="none"/>
              </w:rPr>
            </w:pPr>
            <w:r>
              <w:rPr>
                <w:rFonts w:hint="eastAsia" w:ascii="黑体" w:hAnsi="黑体" w:eastAsia="黑体" w:cs="黑体"/>
                <w:i w:val="0"/>
                <w:iCs w:val="0"/>
                <w:color w:val="000000"/>
                <w:kern w:val="0"/>
                <w:sz w:val="13"/>
                <w:szCs w:val="13"/>
                <w:u w:val="none"/>
                <w:lang w:val="en-US" w:eastAsia="zh-CN" w:bidi="ar"/>
              </w:rPr>
              <w:t>实施单位 （盖章）</w:t>
            </w:r>
          </w:p>
        </w:tc>
        <w:tc>
          <w:tcPr>
            <w:tcW w:w="885" w:type="pct"/>
            <w:gridSpan w:val="15"/>
            <w:tcBorders>
              <w:top w:val="single" w:color="000000" w:sz="4" w:space="0"/>
              <w:left w:val="single" w:color="000000" w:sz="4" w:space="0"/>
              <w:bottom w:val="single" w:color="000000" w:sz="4" w:space="0"/>
              <w:right w:val="single" w:color="000000" w:sz="4" w:space="0"/>
            </w:tcBorders>
            <w:shd w:val="clear" w:color="auto" w:fill="auto"/>
            <w:vAlign w:val="center"/>
          </w:tcPr>
          <w:p w14:paraId="561D510D">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松潘县疾病预防控制中心</w:t>
            </w:r>
          </w:p>
        </w:tc>
      </w:tr>
      <w:tr w14:paraId="65BEE83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5"/>
          <w:wAfter w:w="2456" w:type="pct"/>
          <w:trHeight w:val="286" w:hRule="atLeast"/>
        </w:trPr>
        <w:tc>
          <w:tcPr>
            <w:tcW w:w="193"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140D3A4">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403"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9600146">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824" w:type="pct"/>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78E5A5F5">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1121" w:type="pct"/>
            <w:gridSpan w:val="19"/>
            <w:tcBorders>
              <w:top w:val="single" w:color="000000" w:sz="4" w:space="0"/>
              <w:left w:val="single" w:color="000000" w:sz="4" w:space="0"/>
              <w:bottom w:val="single" w:color="000000" w:sz="4" w:space="0"/>
              <w:right w:val="single" w:color="000000" w:sz="4" w:space="0"/>
            </w:tcBorders>
            <w:shd w:val="clear" w:color="auto" w:fill="auto"/>
            <w:vAlign w:val="center"/>
          </w:tcPr>
          <w:p w14:paraId="3FB6A23A">
            <w:pPr>
              <w:keepNext w:val="0"/>
              <w:keepLines w:val="0"/>
              <w:widowControl/>
              <w:suppressLineNumbers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3E10D5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298" w:hRule="atLeast"/>
        </w:trPr>
        <w:tc>
          <w:tcPr>
            <w:tcW w:w="19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D763F5">
            <w:pPr>
              <w:rPr>
                <w:rFonts w:hint="eastAsia" w:ascii="宋体" w:hAnsi="宋体" w:eastAsia="宋体" w:cs="宋体"/>
                <w:i w:val="0"/>
                <w:iCs w:val="0"/>
                <w:color w:val="000000"/>
                <w:sz w:val="18"/>
                <w:szCs w:val="18"/>
                <w:u w:val="none"/>
              </w:rPr>
            </w:pPr>
          </w:p>
        </w:tc>
        <w:tc>
          <w:tcPr>
            <w:tcW w:w="40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7E6FB3">
            <w:pPr>
              <w:rPr>
                <w:rFonts w:hint="eastAsia" w:ascii="宋体" w:hAnsi="宋体" w:eastAsia="宋体" w:cs="宋体"/>
                <w:i w:val="0"/>
                <w:iCs w:val="0"/>
                <w:color w:val="000000"/>
                <w:sz w:val="18"/>
                <w:szCs w:val="18"/>
                <w:u w:val="none"/>
              </w:rPr>
            </w:pPr>
          </w:p>
        </w:tc>
        <w:tc>
          <w:tcPr>
            <w:tcW w:w="824" w:type="pct"/>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475E8A52">
            <w:pPr>
              <w:rPr>
                <w:rFonts w:hint="eastAsia" w:ascii="宋体" w:hAnsi="宋体" w:eastAsia="宋体" w:cs="宋体"/>
                <w:i w:val="0"/>
                <w:iCs w:val="0"/>
                <w:color w:val="000000"/>
                <w:sz w:val="18"/>
                <w:szCs w:val="18"/>
                <w:u w:val="none"/>
              </w:rPr>
            </w:pPr>
          </w:p>
        </w:tc>
        <w:tc>
          <w:tcPr>
            <w:tcW w:w="1121" w:type="pct"/>
            <w:gridSpan w:val="19"/>
            <w:tcBorders>
              <w:top w:val="single" w:color="000000" w:sz="4" w:space="0"/>
              <w:left w:val="single" w:color="000000" w:sz="4" w:space="0"/>
              <w:bottom w:val="single" w:color="000000" w:sz="4" w:space="0"/>
              <w:right w:val="single" w:color="000000" w:sz="4" w:space="0"/>
            </w:tcBorders>
            <w:shd w:val="clear" w:color="auto" w:fill="auto"/>
            <w:vAlign w:val="center"/>
          </w:tcPr>
          <w:p w14:paraId="4FD11AFC">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对照年度目标，说明相关任务目标的完成情况（100字以内）</w:t>
            </w:r>
          </w:p>
        </w:tc>
      </w:tr>
      <w:tr w14:paraId="7DEE9F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338" w:hRule="atLeast"/>
        </w:trPr>
        <w:tc>
          <w:tcPr>
            <w:tcW w:w="19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B9E207">
            <w:pPr>
              <w:rPr>
                <w:rFonts w:hint="eastAsia" w:ascii="宋体" w:hAnsi="宋体" w:eastAsia="宋体" w:cs="宋体"/>
                <w:i w:val="0"/>
                <w:iCs w:val="0"/>
                <w:color w:val="000000"/>
                <w:sz w:val="18"/>
                <w:szCs w:val="18"/>
                <w:u w:val="none"/>
              </w:rPr>
            </w:pPr>
          </w:p>
        </w:tc>
        <w:tc>
          <w:tcPr>
            <w:tcW w:w="40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86358F">
            <w:pPr>
              <w:keepNext w:val="0"/>
              <w:keepLines w:val="0"/>
              <w:widowControl/>
              <w:suppressLineNumbers w:val="0"/>
              <w:jc w:val="left"/>
              <w:textAlignment w:val="center"/>
              <w:rPr>
                <w:rFonts w:ascii="宋体" w:hAnsi="宋体" w:eastAsia="宋体" w:cs="宋体"/>
                <w:i w:val="0"/>
                <w:iCs w:val="0"/>
                <w:color w:val="000000"/>
                <w:sz w:val="16"/>
                <w:szCs w:val="16"/>
                <w:u w:val="none"/>
              </w:rPr>
            </w:pPr>
            <w:r>
              <w:rPr>
                <w:rFonts w:ascii="宋体" w:hAnsi="宋体" w:eastAsia="宋体" w:cs="宋体"/>
                <w:i w:val="0"/>
                <w:iCs w:val="0"/>
                <w:color w:val="000000"/>
                <w:kern w:val="0"/>
                <w:sz w:val="16"/>
                <w:szCs w:val="16"/>
                <w:u w:val="none"/>
                <w:lang w:val="en-US" w:eastAsia="zh-CN" w:bidi="ar"/>
              </w:rPr>
              <w:t>2.项目实施内容及过程概述</w:t>
            </w:r>
          </w:p>
        </w:tc>
        <w:tc>
          <w:tcPr>
            <w:tcW w:w="1946" w:type="pct"/>
            <w:gridSpan w:val="31"/>
            <w:tcBorders>
              <w:top w:val="single" w:color="000000" w:sz="4" w:space="0"/>
              <w:left w:val="single" w:color="000000" w:sz="4" w:space="0"/>
              <w:bottom w:val="single" w:color="000000" w:sz="4" w:space="0"/>
              <w:right w:val="single" w:color="000000" w:sz="4" w:space="0"/>
            </w:tcBorders>
            <w:shd w:val="clear" w:color="auto" w:fill="auto"/>
            <w:vAlign w:val="center"/>
          </w:tcPr>
          <w:p w14:paraId="05FF4A74">
            <w:pPr>
              <w:rPr>
                <w:rFonts w:hint="eastAsia" w:ascii="宋体" w:hAnsi="宋体" w:eastAsia="宋体" w:cs="宋体"/>
                <w:i w:val="0"/>
                <w:iCs w:val="0"/>
                <w:color w:val="000000"/>
                <w:sz w:val="18"/>
                <w:szCs w:val="18"/>
                <w:u w:val="none"/>
              </w:rPr>
            </w:pPr>
          </w:p>
        </w:tc>
      </w:tr>
      <w:tr w14:paraId="6AB31D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361" w:hRule="atLeast"/>
        </w:trPr>
        <w:tc>
          <w:tcPr>
            <w:tcW w:w="193"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512BFA0">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40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580632D">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702403">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053013A">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346"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4D744624">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23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E0851BB">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12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605CAA01">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10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6548B1D">
            <w:pPr>
              <w:keepNext w:val="0"/>
              <w:keepLines w:val="0"/>
              <w:widowControl/>
              <w:suppressLineNumbers w:val="0"/>
              <w:jc w:val="center"/>
              <w:textAlignment w:val="center"/>
              <w:rPr>
                <w:rFonts w:ascii="宋体" w:hAnsi="宋体" w:eastAsia="宋体" w:cs="宋体"/>
                <w:i w:val="0"/>
                <w:iCs w:val="0"/>
                <w:color w:val="000000"/>
                <w:sz w:val="16"/>
                <w:szCs w:val="16"/>
                <w:u w:val="none"/>
              </w:rPr>
            </w:pPr>
            <w:r>
              <w:rPr>
                <w:rFonts w:ascii="宋体" w:hAnsi="宋体" w:eastAsia="宋体" w:cs="宋体"/>
                <w:i w:val="0"/>
                <w:iCs w:val="0"/>
                <w:color w:val="000000"/>
                <w:kern w:val="0"/>
                <w:sz w:val="16"/>
                <w:szCs w:val="16"/>
                <w:u w:val="none"/>
                <w:lang w:val="en-US" w:eastAsia="zh-CN" w:bidi="ar"/>
              </w:rPr>
              <w:t>得分</w:t>
            </w:r>
          </w:p>
        </w:tc>
        <w:tc>
          <w:tcPr>
            <w:tcW w:w="662" w:type="pct"/>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767877A4">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14:paraId="3AF112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346" w:hRule="atLeast"/>
        </w:trPr>
        <w:tc>
          <w:tcPr>
            <w:tcW w:w="19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1D5BD9">
            <w:pPr>
              <w:jc w:val="center"/>
              <w:rPr>
                <w:rFonts w:hint="eastAsia" w:ascii="宋体" w:hAnsi="宋体" w:eastAsia="宋体" w:cs="宋体"/>
                <w:i w:val="0"/>
                <w:iCs w:val="0"/>
                <w:color w:val="000000"/>
                <w:sz w:val="18"/>
                <w:szCs w:val="18"/>
                <w:u w:val="none"/>
              </w:rPr>
            </w:pPr>
          </w:p>
        </w:tc>
        <w:tc>
          <w:tcPr>
            <w:tcW w:w="40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44382E8">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FBA606">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7672B0A">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27.71</w:t>
            </w:r>
          </w:p>
        </w:tc>
        <w:tc>
          <w:tcPr>
            <w:tcW w:w="346"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4B39F611">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22.11</w:t>
            </w:r>
          </w:p>
        </w:tc>
        <w:tc>
          <w:tcPr>
            <w:tcW w:w="23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04AFC18">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79.80%</w:t>
            </w:r>
          </w:p>
        </w:tc>
        <w:tc>
          <w:tcPr>
            <w:tcW w:w="12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4479E8D">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0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DD7EFDF">
            <w:pPr>
              <w:jc w:val="center"/>
              <w:rPr>
                <w:rFonts w:hint="eastAsia" w:ascii="宋体" w:hAnsi="宋体" w:eastAsia="宋体" w:cs="宋体"/>
                <w:i w:val="0"/>
                <w:iCs w:val="0"/>
                <w:color w:val="000000"/>
                <w:sz w:val="18"/>
                <w:szCs w:val="18"/>
                <w:u w:val="none"/>
              </w:rPr>
            </w:pPr>
          </w:p>
        </w:tc>
        <w:tc>
          <w:tcPr>
            <w:tcW w:w="662" w:type="pct"/>
            <w:gridSpan w:val="8"/>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82F2B94">
            <w:pPr>
              <w:keepNext w:val="0"/>
              <w:keepLines w:val="0"/>
              <w:widowControl/>
              <w:suppressLineNumbers w:val="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461255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391" w:hRule="atLeast"/>
        </w:trPr>
        <w:tc>
          <w:tcPr>
            <w:tcW w:w="19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FF9570">
            <w:pPr>
              <w:jc w:val="center"/>
              <w:rPr>
                <w:rFonts w:hint="eastAsia" w:ascii="宋体" w:hAnsi="宋体" w:eastAsia="宋体" w:cs="宋体"/>
                <w:i w:val="0"/>
                <w:iCs w:val="0"/>
                <w:color w:val="000000"/>
                <w:sz w:val="18"/>
                <w:szCs w:val="18"/>
                <w:u w:val="none"/>
              </w:rPr>
            </w:pPr>
          </w:p>
        </w:tc>
        <w:tc>
          <w:tcPr>
            <w:tcW w:w="40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4570C4">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AE1C6C">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05CC211">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27.71</w:t>
            </w:r>
          </w:p>
        </w:tc>
        <w:tc>
          <w:tcPr>
            <w:tcW w:w="346"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77138608">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22.11</w:t>
            </w:r>
          </w:p>
        </w:tc>
        <w:tc>
          <w:tcPr>
            <w:tcW w:w="23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21EBF3BC">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79.80%</w:t>
            </w:r>
          </w:p>
        </w:tc>
        <w:tc>
          <w:tcPr>
            <w:tcW w:w="12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E1A2305">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3F2E2F8">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62" w:type="pct"/>
            <w:gridSpan w:val="8"/>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4E8F55">
            <w:pPr>
              <w:rPr>
                <w:rFonts w:hint="eastAsia" w:ascii="黑体" w:hAnsi="黑体" w:eastAsia="黑体" w:cs="黑体"/>
                <w:i/>
                <w:iCs/>
                <w:color w:val="000000"/>
                <w:sz w:val="18"/>
                <w:szCs w:val="18"/>
                <w:u w:val="none"/>
              </w:rPr>
            </w:pPr>
          </w:p>
        </w:tc>
      </w:tr>
      <w:tr w14:paraId="71F1B0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407" w:hRule="atLeast"/>
        </w:trPr>
        <w:tc>
          <w:tcPr>
            <w:tcW w:w="19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1CA236">
            <w:pPr>
              <w:jc w:val="center"/>
              <w:rPr>
                <w:rFonts w:hint="eastAsia" w:ascii="宋体" w:hAnsi="宋体" w:eastAsia="宋体" w:cs="宋体"/>
                <w:i w:val="0"/>
                <w:iCs w:val="0"/>
                <w:color w:val="000000"/>
                <w:sz w:val="18"/>
                <w:szCs w:val="18"/>
                <w:u w:val="none"/>
              </w:rPr>
            </w:pPr>
          </w:p>
        </w:tc>
        <w:tc>
          <w:tcPr>
            <w:tcW w:w="40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73BEF0">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FDBEED">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A7ABDCC">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346"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1CB3DD84">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3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2527E13C">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2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CE10C7E">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E4B5CB3">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62" w:type="pct"/>
            <w:gridSpan w:val="8"/>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635999">
            <w:pPr>
              <w:rPr>
                <w:rFonts w:hint="eastAsia" w:ascii="黑体" w:hAnsi="黑体" w:eastAsia="黑体" w:cs="黑体"/>
                <w:i/>
                <w:iCs/>
                <w:color w:val="000000"/>
                <w:sz w:val="18"/>
                <w:szCs w:val="18"/>
                <w:u w:val="none"/>
              </w:rPr>
            </w:pPr>
          </w:p>
        </w:tc>
      </w:tr>
      <w:tr w14:paraId="5DB7F8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361" w:hRule="atLeast"/>
        </w:trPr>
        <w:tc>
          <w:tcPr>
            <w:tcW w:w="19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3D58E7">
            <w:pPr>
              <w:jc w:val="center"/>
              <w:rPr>
                <w:rFonts w:hint="eastAsia" w:ascii="宋体" w:hAnsi="宋体" w:eastAsia="宋体" w:cs="宋体"/>
                <w:i w:val="0"/>
                <w:iCs w:val="0"/>
                <w:color w:val="000000"/>
                <w:sz w:val="18"/>
                <w:szCs w:val="18"/>
                <w:u w:val="none"/>
              </w:rPr>
            </w:pPr>
          </w:p>
        </w:tc>
        <w:tc>
          <w:tcPr>
            <w:tcW w:w="40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5726986">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266720">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6CFD831">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346"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3F7EA8A7">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3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D8B8C61">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2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AAFBF4B">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B3E8E37">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62" w:type="pct"/>
            <w:gridSpan w:val="8"/>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C998CE">
            <w:pPr>
              <w:rPr>
                <w:rFonts w:hint="eastAsia" w:ascii="黑体" w:hAnsi="黑体" w:eastAsia="黑体" w:cs="黑体"/>
                <w:i/>
                <w:iCs/>
                <w:color w:val="000000"/>
                <w:sz w:val="18"/>
                <w:szCs w:val="18"/>
                <w:u w:val="none"/>
              </w:rPr>
            </w:pPr>
          </w:p>
        </w:tc>
      </w:tr>
      <w:tr w14:paraId="65A7B6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339" w:hRule="atLeast"/>
        </w:trPr>
        <w:tc>
          <w:tcPr>
            <w:tcW w:w="19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AA06ED">
            <w:pPr>
              <w:jc w:val="center"/>
              <w:rPr>
                <w:rFonts w:hint="eastAsia" w:ascii="宋体" w:hAnsi="宋体" w:eastAsia="宋体" w:cs="宋体"/>
                <w:i w:val="0"/>
                <w:iCs w:val="0"/>
                <w:color w:val="000000"/>
                <w:sz w:val="18"/>
                <w:szCs w:val="18"/>
                <w:u w:val="none"/>
              </w:rPr>
            </w:pPr>
          </w:p>
        </w:tc>
        <w:tc>
          <w:tcPr>
            <w:tcW w:w="40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9DC19EB">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E452F9">
            <w:pPr>
              <w:jc w:val="center"/>
              <w:rPr>
                <w:rFonts w:hint="eastAsia" w:ascii="微软雅黑" w:hAnsi="微软雅黑" w:eastAsia="微软雅黑" w:cs="微软雅黑"/>
                <w:i/>
                <w:iCs/>
                <w:color w:val="000000"/>
                <w:sz w:val="16"/>
                <w:szCs w:val="16"/>
                <w:u w:val="none"/>
              </w:rPr>
            </w:pP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8AC4464">
            <w:pPr>
              <w:jc w:val="center"/>
              <w:rPr>
                <w:rFonts w:hint="eastAsia" w:ascii="微软雅黑" w:hAnsi="微软雅黑" w:eastAsia="微软雅黑" w:cs="微软雅黑"/>
                <w:i/>
                <w:iCs/>
                <w:color w:val="000000"/>
                <w:sz w:val="16"/>
                <w:szCs w:val="16"/>
                <w:u w:val="none"/>
              </w:rPr>
            </w:pPr>
          </w:p>
        </w:tc>
        <w:tc>
          <w:tcPr>
            <w:tcW w:w="346"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7F0FBDB5">
            <w:pPr>
              <w:jc w:val="center"/>
              <w:rPr>
                <w:rFonts w:hint="eastAsia" w:ascii="微软雅黑" w:hAnsi="微软雅黑" w:eastAsia="微软雅黑" w:cs="微软雅黑"/>
                <w:i/>
                <w:iCs/>
                <w:color w:val="000000"/>
                <w:sz w:val="16"/>
                <w:szCs w:val="16"/>
                <w:u w:val="none"/>
              </w:rPr>
            </w:pPr>
          </w:p>
        </w:tc>
        <w:tc>
          <w:tcPr>
            <w:tcW w:w="23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D3FDF2A">
            <w:pPr>
              <w:jc w:val="center"/>
              <w:rPr>
                <w:rFonts w:hint="eastAsia" w:ascii="微软雅黑" w:hAnsi="微软雅黑" w:eastAsia="微软雅黑" w:cs="微软雅黑"/>
                <w:i/>
                <w:iCs/>
                <w:color w:val="000000"/>
                <w:sz w:val="16"/>
                <w:szCs w:val="16"/>
                <w:u w:val="none"/>
              </w:rPr>
            </w:pPr>
          </w:p>
        </w:tc>
        <w:tc>
          <w:tcPr>
            <w:tcW w:w="12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E55B234">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5DBD2DF">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62" w:type="pct"/>
            <w:gridSpan w:val="8"/>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4A0390">
            <w:pPr>
              <w:rPr>
                <w:rFonts w:hint="eastAsia" w:ascii="黑体" w:hAnsi="黑体" w:eastAsia="黑体" w:cs="黑体"/>
                <w:i/>
                <w:iCs/>
                <w:color w:val="000000"/>
                <w:sz w:val="18"/>
                <w:szCs w:val="18"/>
                <w:u w:val="none"/>
              </w:rPr>
            </w:pPr>
          </w:p>
        </w:tc>
      </w:tr>
      <w:tr w14:paraId="152343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452" w:hRule="atLeast"/>
        </w:trPr>
        <w:tc>
          <w:tcPr>
            <w:tcW w:w="193"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CA14595">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40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70D5139">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CEC313">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F9FEC6D">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134"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22065CE">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107"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39C3C33">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103"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D135C0C">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23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7E007184">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12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67C9ECA5">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10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EBB1EFF">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662" w:type="pct"/>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0392A425">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14:paraId="51B4C8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339" w:hRule="atLeast"/>
        </w:trPr>
        <w:tc>
          <w:tcPr>
            <w:tcW w:w="19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B8BAEC">
            <w:pPr>
              <w:jc w:val="center"/>
              <w:rPr>
                <w:rFonts w:hint="eastAsia" w:ascii="宋体" w:hAnsi="宋体" w:eastAsia="宋体" w:cs="宋体"/>
                <w:i w:val="0"/>
                <w:iCs w:val="0"/>
                <w:color w:val="000000"/>
                <w:sz w:val="18"/>
                <w:szCs w:val="18"/>
                <w:u w:val="none"/>
              </w:rPr>
            </w:pPr>
          </w:p>
        </w:tc>
        <w:tc>
          <w:tcPr>
            <w:tcW w:w="40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F2885DE">
            <w:pPr>
              <w:jc w:val="center"/>
              <w:rPr>
                <w:rFonts w:hint="eastAsia" w:ascii="宋体" w:hAnsi="宋体" w:eastAsia="宋体" w:cs="宋体"/>
                <w:i w:val="0"/>
                <w:iCs w:val="0"/>
                <w:color w:val="000000"/>
                <w:sz w:val="18"/>
                <w:szCs w:val="18"/>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03AC3B">
            <w:pPr>
              <w:jc w:val="center"/>
              <w:rPr>
                <w:rFonts w:hint="eastAsia" w:ascii="宋体" w:hAnsi="宋体" w:eastAsia="宋体" w:cs="宋体"/>
                <w:i w:val="0"/>
                <w:iCs w:val="0"/>
                <w:color w:val="000000"/>
                <w:sz w:val="18"/>
                <w:szCs w:val="18"/>
                <w:u w:val="none"/>
              </w:rPr>
            </w:pP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6C9EE46">
            <w:pPr>
              <w:jc w:val="center"/>
              <w:rPr>
                <w:rFonts w:hint="eastAsia" w:ascii="宋体" w:hAnsi="宋体" w:eastAsia="宋体" w:cs="宋体"/>
                <w:i w:val="0"/>
                <w:iCs w:val="0"/>
                <w:color w:val="000000"/>
                <w:sz w:val="18"/>
                <w:szCs w:val="18"/>
                <w:u w:val="none"/>
              </w:rPr>
            </w:pPr>
          </w:p>
        </w:tc>
        <w:tc>
          <w:tcPr>
            <w:tcW w:w="134"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E0F1763">
            <w:pPr>
              <w:jc w:val="center"/>
              <w:rPr>
                <w:rFonts w:hint="eastAsia" w:ascii="宋体" w:hAnsi="宋体" w:eastAsia="宋体" w:cs="宋体"/>
                <w:i w:val="0"/>
                <w:iCs w:val="0"/>
                <w:color w:val="000000"/>
                <w:sz w:val="18"/>
                <w:szCs w:val="18"/>
                <w:u w:val="none"/>
              </w:rPr>
            </w:pPr>
          </w:p>
        </w:tc>
        <w:tc>
          <w:tcPr>
            <w:tcW w:w="107"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ABB957A">
            <w:pPr>
              <w:jc w:val="center"/>
              <w:rPr>
                <w:rFonts w:hint="eastAsia" w:ascii="宋体" w:hAnsi="宋体" w:eastAsia="宋体" w:cs="宋体"/>
                <w:i w:val="0"/>
                <w:iCs w:val="0"/>
                <w:color w:val="000000"/>
                <w:sz w:val="18"/>
                <w:szCs w:val="18"/>
                <w:u w:val="none"/>
              </w:rPr>
            </w:pPr>
          </w:p>
        </w:tc>
        <w:tc>
          <w:tcPr>
            <w:tcW w:w="103"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6057905">
            <w:pPr>
              <w:jc w:val="center"/>
              <w:rPr>
                <w:rFonts w:hint="eastAsia" w:ascii="宋体" w:hAnsi="宋体" w:eastAsia="宋体" w:cs="宋体"/>
                <w:i w:val="0"/>
                <w:iCs w:val="0"/>
                <w:color w:val="000000"/>
                <w:sz w:val="18"/>
                <w:szCs w:val="18"/>
                <w:u w:val="none"/>
              </w:rPr>
            </w:pPr>
          </w:p>
        </w:tc>
        <w:tc>
          <w:tcPr>
            <w:tcW w:w="23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F1525BE">
            <w:pPr>
              <w:jc w:val="center"/>
              <w:rPr>
                <w:rFonts w:hint="eastAsia" w:ascii="微软雅黑" w:hAnsi="微软雅黑" w:eastAsia="微软雅黑" w:cs="微软雅黑"/>
                <w:i/>
                <w:iCs/>
                <w:color w:val="000000"/>
                <w:sz w:val="16"/>
                <w:szCs w:val="16"/>
                <w:u w:val="none"/>
              </w:rPr>
            </w:pPr>
          </w:p>
        </w:tc>
        <w:tc>
          <w:tcPr>
            <w:tcW w:w="120"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9411DE9">
            <w:pPr>
              <w:jc w:val="center"/>
              <w:rPr>
                <w:rFonts w:hint="eastAsia" w:ascii="宋体" w:hAnsi="宋体" w:eastAsia="宋体" w:cs="宋体"/>
                <w:i w:val="0"/>
                <w:iCs w:val="0"/>
                <w:color w:val="000000"/>
                <w:sz w:val="18"/>
                <w:szCs w:val="18"/>
                <w:u w:val="none"/>
              </w:rPr>
            </w:pPr>
          </w:p>
        </w:tc>
        <w:tc>
          <w:tcPr>
            <w:tcW w:w="10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6A2A895">
            <w:pPr>
              <w:jc w:val="center"/>
              <w:rPr>
                <w:rFonts w:hint="eastAsia" w:ascii="宋体" w:hAnsi="宋体" w:eastAsia="宋体" w:cs="宋体"/>
                <w:i w:val="0"/>
                <w:iCs w:val="0"/>
                <w:color w:val="000000"/>
                <w:sz w:val="18"/>
                <w:szCs w:val="18"/>
                <w:u w:val="none"/>
              </w:rPr>
            </w:pPr>
          </w:p>
        </w:tc>
        <w:tc>
          <w:tcPr>
            <w:tcW w:w="662" w:type="pct"/>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40D4258C">
            <w:pPr>
              <w:jc w:val="center"/>
              <w:rPr>
                <w:rFonts w:hint="eastAsia" w:ascii="微软雅黑" w:hAnsi="微软雅黑" w:eastAsia="微软雅黑" w:cs="微软雅黑"/>
                <w:i/>
                <w:iCs/>
                <w:color w:val="000000"/>
                <w:sz w:val="16"/>
                <w:szCs w:val="16"/>
                <w:u w:val="none"/>
              </w:rPr>
            </w:pPr>
          </w:p>
        </w:tc>
      </w:tr>
      <w:tr w14:paraId="540990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116" w:type="pct"/>
          <w:trHeight w:val="286" w:hRule="atLeast"/>
        </w:trPr>
        <w:tc>
          <w:tcPr>
            <w:tcW w:w="1658" w:type="pct"/>
            <w:gridSpan w:val="20"/>
            <w:tcBorders>
              <w:top w:val="single" w:color="000000" w:sz="4" w:space="0"/>
              <w:left w:val="single" w:color="000000" w:sz="4" w:space="0"/>
              <w:bottom w:val="single" w:color="000000" w:sz="4" w:space="0"/>
              <w:right w:val="single" w:color="000000" w:sz="4" w:space="0"/>
            </w:tcBorders>
            <w:shd w:val="clear" w:color="auto" w:fill="auto"/>
            <w:vAlign w:val="center"/>
          </w:tcPr>
          <w:p w14:paraId="574BEC1C">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88"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EE73D71">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473" w:type="pct"/>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3D488F85">
            <w:pPr>
              <w:rPr>
                <w:rFonts w:hint="eastAsia" w:ascii="宋体" w:hAnsi="宋体" w:eastAsia="宋体" w:cs="宋体"/>
                <w:i w:val="0"/>
                <w:iCs w:val="0"/>
                <w:color w:val="000000"/>
                <w:sz w:val="18"/>
                <w:szCs w:val="18"/>
                <w:u w:val="none"/>
              </w:rPr>
            </w:pPr>
          </w:p>
        </w:tc>
        <w:tc>
          <w:tcPr>
            <w:tcW w:w="663"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29297F0">
            <w:pPr>
              <w:rPr>
                <w:rFonts w:hint="eastAsia" w:ascii="宋体" w:hAnsi="宋体" w:eastAsia="宋体" w:cs="宋体"/>
                <w:i w:val="0"/>
                <w:iCs w:val="0"/>
                <w:color w:val="000000"/>
                <w:sz w:val="18"/>
                <w:szCs w:val="18"/>
                <w:u w:val="none"/>
              </w:rPr>
            </w:pPr>
          </w:p>
        </w:tc>
      </w:tr>
      <w:tr w14:paraId="151E10B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5"/>
          <w:wAfter w:w="2456" w:type="pct"/>
          <w:trHeight w:val="398" w:hRule="atLeast"/>
        </w:trPr>
        <w:tc>
          <w:tcPr>
            <w:tcW w:w="19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C6B3334">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2350" w:type="pct"/>
            <w:gridSpan w:val="33"/>
            <w:tcBorders>
              <w:top w:val="single" w:color="000000" w:sz="4" w:space="0"/>
              <w:left w:val="single" w:color="000000" w:sz="4" w:space="0"/>
              <w:bottom w:val="single" w:color="000000" w:sz="4" w:space="0"/>
              <w:right w:val="single" w:color="000000" w:sz="4" w:space="0"/>
            </w:tcBorders>
            <w:shd w:val="clear" w:color="auto" w:fill="auto"/>
            <w:vAlign w:val="center"/>
          </w:tcPr>
          <w:p w14:paraId="220035B6">
            <w:pPr>
              <w:keepNext w:val="0"/>
              <w:keepLines w:val="0"/>
              <w:widowControl/>
              <w:suppressLineNumbers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结合自评情况，说明项目自评总分，说明项目实施取得的成效或成果。（200字以内）</w:t>
            </w:r>
          </w:p>
        </w:tc>
      </w:tr>
      <w:tr w14:paraId="3335DF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5"/>
          <w:wAfter w:w="2456" w:type="pct"/>
          <w:trHeight w:val="442" w:hRule="atLeast"/>
        </w:trPr>
        <w:tc>
          <w:tcPr>
            <w:tcW w:w="19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22AE63C">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2350" w:type="pct"/>
            <w:gridSpan w:val="33"/>
            <w:tcBorders>
              <w:top w:val="single" w:color="000000" w:sz="4" w:space="0"/>
              <w:left w:val="single" w:color="000000" w:sz="4" w:space="0"/>
              <w:bottom w:val="single" w:color="000000" w:sz="4" w:space="0"/>
              <w:right w:val="single" w:color="000000" w:sz="4" w:space="0"/>
            </w:tcBorders>
            <w:shd w:val="clear" w:color="auto" w:fill="auto"/>
            <w:vAlign w:val="center"/>
          </w:tcPr>
          <w:p w14:paraId="3E064704">
            <w:pPr>
              <w:keepNext w:val="0"/>
              <w:keepLines w:val="0"/>
              <w:widowControl/>
              <w:suppressLineNumbers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结合自评情况，分析存在的问题及原因。（200字以内）</w:t>
            </w:r>
          </w:p>
        </w:tc>
      </w:tr>
      <w:tr w14:paraId="4B476D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428" w:hRule="atLeast"/>
        </w:trPr>
        <w:tc>
          <w:tcPr>
            <w:tcW w:w="19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BFDEACC">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2350" w:type="pct"/>
            <w:gridSpan w:val="33"/>
            <w:tcBorders>
              <w:top w:val="single" w:color="000000" w:sz="4" w:space="0"/>
              <w:left w:val="single" w:color="000000" w:sz="4" w:space="0"/>
              <w:bottom w:val="single" w:color="000000" w:sz="4" w:space="0"/>
              <w:right w:val="single" w:color="000000" w:sz="4" w:space="0"/>
            </w:tcBorders>
            <w:shd w:val="clear" w:color="auto" w:fill="auto"/>
            <w:vAlign w:val="center"/>
          </w:tcPr>
          <w:p w14:paraId="7F61BCFB">
            <w:pPr>
              <w:keepNext w:val="0"/>
              <w:keepLines w:val="0"/>
              <w:widowControl/>
              <w:suppressLineNumbers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针对项目自评中发现的问题，提出下一步改进完善的意见及有关政策性建议。（200字以内）</w:t>
            </w:r>
          </w:p>
        </w:tc>
      </w:tr>
      <w:tr w14:paraId="11ECE19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5"/>
          <w:wAfter w:w="2456" w:type="pct"/>
          <w:trHeight w:val="428" w:hRule="atLeast"/>
        </w:trPr>
        <w:tc>
          <w:tcPr>
            <w:tcW w:w="1368" w:type="pct"/>
            <w:gridSpan w:val="15"/>
            <w:tcBorders>
              <w:top w:val="single" w:color="000000" w:sz="4" w:space="0"/>
              <w:left w:val="single" w:color="000000" w:sz="4" w:space="0"/>
              <w:bottom w:val="single" w:color="000000" w:sz="4" w:space="0"/>
              <w:right w:val="single" w:color="000000" w:sz="4" w:space="0"/>
            </w:tcBorders>
            <w:shd w:val="clear" w:color="auto" w:fill="auto"/>
            <w:vAlign w:val="center"/>
          </w:tcPr>
          <w:p w14:paraId="7BA96C29">
            <w:pPr>
              <w:keepNext w:val="0"/>
              <w:keepLines w:val="0"/>
              <w:widowControl/>
              <w:suppressLineNumbers w:val="0"/>
              <w:jc w:val="left"/>
              <w:textAlignment w:val="center"/>
              <w:rPr>
                <w:rFonts w:hint="eastAsia" w:ascii="微软雅黑" w:hAnsi="微软雅黑" w:eastAsia="微软雅黑" w:cs="微软雅黑"/>
                <w:i/>
                <w:iCs/>
                <w:color w:val="000000"/>
                <w:kern w:val="0"/>
                <w:sz w:val="16"/>
                <w:szCs w:val="16"/>
                <w:u w:val="none"/>
                <w:lang w:val="en-US" w:eastAsia="zh-CN" w:bidi="ar"/>
              </w:rPr>
            </w:pPr>
            <w:r>
              <w:rPr>
                <w:rFonts w:hint="eastAsia" w:ascii="黑体" w:hAnsi="黑体" w:eastAsia="黑体" w:cs="黑体"/>
                <w:i w:val="0"/>
                <w:iCs w:val="0"/>
                <w:color w:val="000000"/>
                <w:kern w:val="0"/>
                <w:sz w:val="18"/>
                <w:szCs w:val="18"/>
                <w:u w:val="none"/>
                <w:lang w:val="en-US" w:eastAsia="zh-CN" w:bidi="ar"/>
              </w:rPr>
              <w:t>项目负责人：芮国竞</w:t>
            </w:r>
          </w:p>
        </w:tc>
        <w:tc>
          <w:tcPr>
            <w:tcW w:w="1175" w:type="pct"/>
            <w:gridSpan w:val="20"/>
            <w:tcBorders>
              <w:top w:val="single" w:color="000000" w:sz="4" w:space="0"/>
              <w:left w:val="single" w:color="000000" w:sz="4" w:space="0"/>
              <w:bottom w:val="single" w:color="000000" w:sz="4" w:space="0"/>
              <w:right w:val="single" w:color="000000" w:sz="4" w:space="0"/>
            </w:tcBorders>
            <w:shd w:val="clear" w:color="auto" w:fill="auto"/>
            <w:vAlign w:val="center"/>
          </w:tcPr>
          <w:p w14:paraId="1A4B963B">
            <w:pPr>
              <w:keepNext w:val="0"/>
              <w:keepLines w:val="0"/>
              <w:widowControl/>
              <w:suppressLineNumbers w:val="0"/>
              <w:jc w:val="left"/>
              <w:textAlignment w:val="center"/>
              <w:rPr>
                <w:rFonts w:hint="eastAsia" w:ascii="微软雅黑" w:hAnsi="微软雅黑" w:eastAsia="微软雅黑" w:cs="微软雅黑"/>
                <w:i/>
                <w:iCs/>
                <w:color w:val="000000"/>
                <w:kern w:val="0"/>
                <w:sz w:val="16"/>
                <w:szCs w:val="16"/>
                <w:u w:val="none"/>
                <w:lang w:val="en-US" w:eastAsia="zh-CN" w:bidi="ar"/>
              </w:rPr>
            </w:pPr>
            <w:r>
              <w:rPr>
                <w:rFonts w:hint="eastAsia" w:ascii="黑体" w:hAnsi="黑体" w:eastAsia="黑体" w:cs="黑体"/>
                <w:i w:val="0"/>
                <w:iCs w:val="0"/>
                <w:color w:val="000000"/>
                <w:kern w:val="0"/>
                <w:sz w:val="18"/>
                <w:szCs w:val="18"/>
                <w:u w:val="none"/>
                <w:lang w:val="en-US" w:eastAsia="zh-CN" w:bidi="ar"/>
              </w:rPr>
              <w:t>财务负责人：朱卫东</w:t>
            </w:r>
          </w:p>
        </w:tc>
      </w:tr>
      <w:tr w14:paraId="53027F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609" w:hRule="atLeast"/>
        </w:trPr>
        <w:tc>
          <w:tcPr>
            <w:tcW w:w="2543" w:type="pct"/>
            <w:gridSpan w:val="35"/>
            <w:tcBorders>
              <w:top w:val="single" w:color="000000" w:sz="4" w:space="0"/>
              <w:left w:val="single" w:color="000000" w:sz="4" w:space="0"/>
              <w:bottom w:val="single" w:color="000000" w:sz="4" w:space="0"/>
              <w:right w:val="single" w:color="000000" w:sz="4" w:space="0"/>
            </w:tcBorders>
            <w:shd w:val="clear" w:color="auto" w:fill="auto"/>
            <w:vAlign w:val="center"/>
          </w:tcPr>
          <w:p w14:paraId="121599F6">
            <w:pPr>
              <w:keepNext w:val="0"/>
              <w:keepLines w:val="0"/>
              <w:widowControl/>
              <w:suppressLineNumbers w:val="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70B65F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286" w:hRule="atLeast"/>
        </w:trPr>
        <w:tc>
          <w:tcPr>
            <w:tcW w:w="19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B36BA06">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2350" w:type="pct"/>
            <w:gridSpan w:val="33"/>
            <w:tcBorders>
              <w:top w:val="single" w:color="000000" w:sz="4" w:space="0"/>
              <w:left w:val="single" w:color="000000" w:sz="4" w:space="0"/>
              <w:bottom w:val="single" w:color="000000" w:sz="4" w:space="0"/>
              <w:right w:val="single" w:color="000000" w:sz="4" w:space="0"/>
            </w:tcBorders>
            <w:shd w:val="clear" w:color="auto" w:fill="auto"/>
            <w:vAlign w:val="center"/>
          </w:tcPr>
          <w:p w14:paraId="4BBC104F">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51322423T000008423629-艾滋病防控及传染病管理经费</w:t>
            </w:r>
          </w:p>
        </w:tc>
      </w:tr>
      <w:tr w14:paraId="069DAD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512" w:hRule="atLeast"/>
        </w:trPr>
        <w:tc>
          <w:tcPr>
            <w:tcW w:w="19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614FFA5">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40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C8DA975">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松潘县卫生健康局本级</w:t>
            </w:r>
          </w:p>
        </w:tc>
        <w:tc>
          <w:tcPr>
            <w:tcW w:w="1061" w:type="pct"/>
            <w:gridSpan w:val="16"/>
            <w:tcBorders>
              <w:top w:val="nil"/>
              <w:left w:val="nil"/>
              <w:bottom w:val="nil"/>
              <w:right w:val="nil"/>
            </w:tcBorders>
            <w:shd w:val="clear" w:color="auto" w:fill="auto"/>
            <w:vAlign w:val="center"/>
          </w:tcPr>
          <w:p w14:paraId="084397A5">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885" w:type="pct"/>
            <w:gridSpan w:val="15"/>
            <w:tcBorders>
              <w:top w:val="single" w:color="000000" w:sz="4" w:space="0"/>
              <w:left w:val="single" w:color="000000" w:sz="4" w:space="0"/>
              <w:bottom w:val="single" w:color="000000" w:sz="4" w:space="0"/>
              <w:right w:val="single" w:color="000000" w:sz="4" w:space="0"/>
            </w:tcBorders>
            <w:shd w:val="clear" w:color="auto" w:fill="auto"/>
            <w:vAlign w:val="center"/>
          </w:tcPr>
          <w:p w14:paraId="25548A63">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松潘县疾病预防控制中心</w:t>
            </w:r>
          </w:p>
        </w:tc>
      </w:tr>
      <w:tr w14:paraId="496D42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5"/>
          <w:wAfter w:w="2456" w:type="pct"/>
          <w:trHeight w:val="286" w:hRule="atLeast"/>
        </w:trPr>
        <w:tc>
          <w:tcPr>
            <w:tcW w:w="15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76D55B5">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445" w:type="pct"/>
            <w:gridSpan w:val="3"/>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DA00D49">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854" w:type="pct"/>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57E41589">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1091" w:type="pct"/>
            <w:gridSpan w:val="18"/>
            <w:tcBorders>
              <w:top w:val="single" w:color="000000" w:sz="4" w:space="0"/>
              <w:left w:val="single" w:color="000000" w:sz="4" w:space="0"/>
              <w:bottom w:val="single" w:color="000000" w:sz="4" w:space="0"/>
              <w:right w:val="single" w:color="000000" w:sz="4" w:space="0"/>
            </w:tcBorders>
            <w:shd w:val="clear" w:color="auto" w:fill="auto"/>
            <w:vAlign w:val="center"/>
          </w:tcPr>
          <w:p w14:paraId="2B7BB6D0">
            <w:pPr>
              <w:keepNext w:val="0"/>
              <w:keepLines w:val="0"/>
              <w:widowControl/>
              <w:suppressLineNumbers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207EC6B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5"/>
          <w:wAfter w:w="2456" w:type="pct"/>
          <w:trHeight w:val="708" w:hRule="atLeast"/>
        </w:trPr>
        <w:tc>
          <w:tcPr>
            <w:tcW w:w="1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7C881B">
            <w:pPr>
              <w:rPr>
                <w:rFonts w:hint="eastAsia" w:ascii="宋体" w:hAnsi="宋体" w:eastAsia="宋体" w:cs="宋体"/>
                <w:i w:val="0"/>
                <w:iCs w:val="0"/>
                <w:color w:val="000000"/>
                <w:sz w:val="18"/>
                <w:szCs w:val="18"/>
                <w:u w:val="none"/>
              </w:rPr>
            </w:pPr>
          </w:p>
        </w:tc>
        <w:tc>
          <w:tcPr>
            <w:tcW w:w="445" w:type="pct"/>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46A9E2">
            <w:pPr>
              <w:rPr>
                <w:rFonts w:hint="eastAsia" w:ascii="宋体" w:hAnsi="宋体" w:eastAsia="宋体" w:cs="宋体"/>
                <w:i w:val="0"/>
                <w:iCs w:val="0"/>
                <w:color w:val="000000"/>
                <w:sz w:val="18"/>
                <w:szCs w:val="18"/>
                <w:u w:val="none"/>
              </w:rPr>
            </w:pPr>
          </w:p>
        </w:tc>
        <w:tc>
          <w:tcPr>
            <w:tcW w:w="854" w:type="pct"/>
            <w:gridSpan w:val="13"/>
            <w:tcBorders>
              <w:top w:val="single" w:color="000000" w:sz="4" w:space="0"/>
              <w:left w:val="single" w:color="000000" w:sz="4" w:space="0"/>
              <w:bottom w:val="single" w:color="000000" w:sz="4" w:space="0"/>
              <w:right w:val="single" w:color="000000" w:sz="4" w:space="0"/>
            </w:tcBorders>
            <w:shd w:val="clear" w:color="auto" w:fill="auto"/>
            <w:vAlign w:val="center"/>
          </w:tcPr>
          <w:p w14:paraId="2F912153">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全面落实艾滋病、传染病各项防控措施、提高发现率，扩大治疗覆盖面，提高治疗质量，降低新发感染，降低死亡率，提高感染者和病人生活质量。</w:t>
            </w:r>
          </w:p>
        </w:tc>
        <w:tc>
          <w:tcPr>
            <w:tcW w:w="1091" w:type="pct"/>
            <w:gridSpan w:val="18"/>
            <w:tcBorders>
              <w:top w:val="single" w:color="000000" w:sz="4" w:space="0"/>
              <w:left w:val="single" w:color="000000" w:sz="4" w:space="0"/>
              <w:bottom w:val="single" w:color="000000" w:sz="4" w:space="0"/>
              <w:right w:val="single" w:color="000000" w:sz="4" w:space="0"/>
            </w:tcBorders>
            <w:shd w:val="clear" w:color="auto" w:fill="auto"/>
            <w:vAlign w:val="center"/>
          </w:tcPr>
          <w:p w14:paraId="3F0DE96E">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对照年度目标，说明相关任务目标的完成情况（100字以内）</w:t>
            </w:r>
          </w:p>
        </w:tc>
      </w:tr>
      <w:tr w14:paraId="1113C3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443" w:hRule="atLeast"/>
        </w:trPr>
        <w:tc>
          <w:tcPr>
            <w:tcW w:w="1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1ABF3E">
            <w:pPr>
              <w:rPr>
                <w:rFonts w:hint="eastAsia" w:ascii="宋体" w:hAnsi="宋体" w:eastAsia="宋体" w:cs="宋体"/>
                <w:i w:val="0"/>
                <w:iCs w:val="0"/>
                <w:color w:val="000000"/>
                <w:sz w:val="18"/>
                <w:szCs w:val="18"/>
                <w:u w:val="none"/>
              </w:rPr>
            </w:pPr>
          </w:p>
        </w:tc>
        <w:tc>
          <w:tcPr>
            <w:tcW w:w="445"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D6564EA">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1946" w:type="pct"/>
            <w:gridSpan w:val="31"/>
            <w:tcBorders>
              <w:top w:val="single" w:color="000000" w:sz="4" w:space="0"/>
              <w:left w:val="single" w:color="000000" w:sz="4" w:space="0"/>
              <w:bottom w:val="single" w:color="000000" w:sz="4" w:space="0"/>
              <w:right w:val="single" w:color="000000" w:sz="4" w:space="0"/>
            </w:tcBorders>
            <w:shd w:val="clear" w:color="auto" w:fill="auto"/>
            <w:vAlign w:val="center"/>
          </w:tcPr>
          <w:p w14:paraId="3540390D">
            <w:pPr>
              <w:rPr>
                <w:rFonts w:hint="eastAsia" w:ascii="宋体" w:hAnsi="宋体" w:eastAsia="宋体" w:cs="宋体"/>
                <w:i w:val="0"/>
                <w:iCs w:val="0"/>
                <w:color w:val="000000"/>
                <w:sz w:val="18"/>
                <w:szCs w:val="18"/>
                <w:u w:val="none"/>
              </w:rPr>
            </w:pPr>
          </w:p>
        </w:tc>
      </w:tr>
      <w:tr w14:paraId="0EDA63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361" w:hRule="atLeast"/>
        </w:trPr>
        <w:tc>
          <w:tcPr>
            <w:tcW w:w="15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24269AD">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445"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2E9CEB8">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230"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02B2043">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289FB32">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346"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603DAFC2">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244"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B42CE01">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11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D3B4904">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10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B649816">
            <w:pPr>
              <w:keepNext w:val="0"/>
              <w:keepLines w:val="0"/>
              <w:widowControl/>
              <w:suppressLineNumbers w:val="0"/>
              <w:jc w:val="center"/>
              <w:textAlignment w:val="center"/>
              <w:rPr>
                <w:rFonts w:ascii="宋体" w:hAnsi="宋体" w:eastAsia="宋体" w:cs="宋体"/>
                <w:i w:val="0"/>
                <w:iCs w:val="0"/>
                <w:color w:val="000000"/>
                <w:sz w:val="16"/>
                <w:szCs w:val="16"/>
                <w:u w:val="none"/>
              </w:rPr>
            </w:pPr>
            <w:r>
              <w:rPr>
                <w:rFonts w:ascii="宋体" w:hAnsi="宋体" w:eastAsia="宋体" w:cs="宋体"/>
                <w:i w:val="0"/>
                <w:iCs w:val="0"/>
                <w:color w:val="000000"/>
                <w:kern w:val="0"/>
                <w:sz w:val="16"/>
                <w:szCs w:val="16"/>
                <w:u w:val="none"/>
                <w:lang w:val="en-US" w:eastAsia="zh-CN" w:bidi="ar"/>
              </w:rPr>
              <w:t>得分</w:t>
            </w:r>
          </w:p>
        </w:tc>
        <w:tc>
          <w:tcPr>
            <w:tcW w:w="633" w:type="pct"/>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0D64DF61">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14:paraId="7110D7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346" w:hRule="atLeast"/>
        </w:trPr>
        <w:tc>
          <w:tcPr>
            <w:tcW w:w="1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DFAA90">
            <w:pPr>
              <w:jc w:val="center"/>
              <w:rPr>
                <w:rFonts w:hint="eastAsia" w:ascii="宋体" w:hAnsi="宋体" w:eastAsia="宋体" w:cs="宋体"/>
                <w:i w:val="0"/>
                <w:iCs w:val="0"/>
                <w:color w:val="000000"/>
                <w:sz w:val="18"/>
                <w:szCs w:val="18"/>
                <w:u w:val="none"/>
              </w:rPr>
            </w:pPr>
          </w:p>
        </w:tc>
        <w:tc>
          <w:tcPr>
            <w:tcW w:w="445"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89DF971">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230"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61D9954">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12.00</w:t>
            </w: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B465395">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12.59</w:t>
            </w:r>
          </w:p>
        </w:tc>
        <w:tc>
          <w:tcPr>
            <w:tcW w:w="346"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46F021BE">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12.59</w:t>
            </w:r>
          </w:p>
        </w:tc>
        <w:tc>
          <w:tcPr>
            <w:tcW w:w="244"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7B950D0">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11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86D0B65">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0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12BFCBF">
            <w:pPr>
              <w:jc w:val="center"/>
              <w:rPr>
                <w:rFonts w:hint="eastAsia" w:ascii="宋体" w:hAnsi="宋体" w:eastAsia="宋体" w:cs="宋体"/>
                <w:i w:val="0"/>
                <w:iCs w:val="0"/>
                <w:color w:val="000000"/>
                <w:sz w:val="18"/>
                <w:szCs w:val="18"/>
                <w:u w:val="none"/>
              </w:rPr>
            </w:pPr>
          </w:p>
        </w:tc>
        <w:tc>
          <w:tcPr>
            <w:tcW w:w="633" w:type="pct"/>
            <w:gridSpan w:val="7"/>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8209CE">
            <w:pPr>
              <w:keepNext w:val="0"/>
              <w:keepLines w:val="0"/>
              <w:widowControl/>
              <w:suppressLineNumbers w:val="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0CB120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391" w:hRule="atLeast"/>
        </w:trPr>
        <w:tc>
          <w:tcPr>
            <w:tcW w:w="1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265A99">
            <w:pPr>
              <w:jc w:val="center"/>
              <w:rPr>
                <w:rFonts w:hint="eastAsia" w:ascii="宋体" w:hAnsi="宋体" w:eastAsia="宋体" w:cs="宋体"/>
                <w:i w:val="0"/>
                <w:iCs w:val="0"/>
                <w:color w:val="000000"/>
                <w:sz w:val="18"/>
                <w:szCs w:val="18"/>
                <w:u w:val="none"/>
              </w:rPr>
            </w:pPr>
          </w:p>
        </w:tc>
        <w:tc>
          <w:tcPr>
            <w:tcW w:w="445"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B26EB3">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230"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20F5DBC">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12.00</w:t>
            </w: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26FD58E">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12.59</w:t>
            </w:r>
          </w:p>
        </w:tc>
        <w:tc>
          <w:tcPr>
            <w:tcW w:w="346"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5605BBC7">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12.59</w:t>
            </w:r>
          </w:p>
        </w:tc>
        <w:tc>
          <w:tcPr>
            <w:tcW w:w="244"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022962B">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11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31C555">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5909F8B">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33" w:type="pct"/>
            <w:gridSpan w:val="7"/>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AE642C">
            <w:pPr>
              <w:rPr>
                <w:rFonts w:hint="eastAsia" w:ascii="黑体" w:hAnsi="黑体" w:eastAsia="黑体" w:cs="黑体"/>
                <w:i/>
                <w:iCs/>
                <w:color w:val="000000"/>
                <w:sz w:val="18"/>
                <w:szCs w:val="18"/>
                <w:u w:val="none"/>
              </w:rPr>
            </w:pPr>
          </w:p>
        </w:tc>
      </w:tr>
      <w:tr w14:paraId="4DF8F4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5"/>
          <w:wAfter w:w="2456" w:type="pct"/>
          <w:trHeight w:val="407" w:hRule="atLeast"/>
        </w:trPr>
        <w:tc>
          <w:tcPr>
            <w:tcW w:w="1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DDE441">
            <w:pPr>
              <w:jc w:val="center"/>
              <w:rPr>
                <w:rFonts w:hint="eastAsia" w:ascii="宋体" w:hAnsi="宋体" w:eastAsia="宋体" w:cs="宋体"/>
                <w:i w:val="0"/>
                <w:iCs w:val="0"/>
                <w:color w:val="000000"/>
                <w:sz w:val="18"/>
                <w:szCs w:val="18"/>
                <w:u w:val="none"/>
              </w:rPr>
            </w:pPr>
          </w:p>
        </w:tc>
        <w:tc>
          <w:tcPr>
            <w:tcW w:w="445"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22D5FF">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230"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7C03C14">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AA41AD9">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346"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12FCD3AB">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44"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28888A1">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1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44A58F3">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76EB49E">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33" w:type="pct"/>
            <w:gridSpan w:val="7"/>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B8611E">
            <w:pPr>
              <w:rPr>
                <w:rFonts w:hint="eastAsia" w:ascii="黑体" w:hAnsi="黑体" w:eastAsia="黑体" w:cs="黑体"/>
                <w:i/>
                <w:iCs/>
                <w:color w:val="000000"/>
                <w:sz w:val="18"/>
                <w:szCs w:val="18"/>
                <w:u w:val="none"/>
              </w:rPr>
            </w:pPr>
          </w:p>
        </w:tc>
      </w:tr>
      <w:tr w14:paraId="5BCFC3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361" w:hRule="atLeast"/>
        </w:trPr>
        <w:tc>
          <w:tcPr>
            <w:tcW w:w="1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ED162B">
            <w:pPr>
              <w:jc w:val="center"/>
              <w:rPr>
                <w:rFonts w:hint="eastAsia" w:ascii="宋体" w:hAnsi="宋体" w:eastAsia="宋体" w:cs="宋体"/>
                <w:i w:val="0"/>
                <w:iCs w:val="0"/>
                <w:color w:val="000000"/>
                <w:sz w:val="18"/>
                <w:szCs w:val="18"/>
                <w:u w:val="none"/>
              </w:rPr>
            </w:pPr>
          </w:p>
        </w:tc>
        <w:tc>
          <w:tcPr>
            <w:tcW w:w="445"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119D6C0">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230"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2825545">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89CD15F">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346"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206FC45D">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44"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D430C0E">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1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BEF0AE">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21D672C">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33" w:type="pct"/>
            <w:gridSpan w:val="7"/>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A70F42">
            <w:pPr>
              <w:rPr>
                <w:rFonts w:hint="eastAsia" w:ascii="黑体" w:hAnsi="黑体" w:eastAsia="黑体" w:cs="黑体"/>
                <w:i/>
                <w:iCs/>
                <w:color w:val="000000"/>
                <w:sz w:val="18"/>
                <w:szCs w:val="18"/>
                <w:u w:val="none"/>
              </w:rPr>
            </w:pPr>
          </w:p>
        </w:tc>
      </w:tr>
      <w:tr w14:paraId="529C49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339" w:hRule="atLeast"/>
        </w:trPr>
        <w:tc>
          <w:tcPr>
            <w:tcW w:w="1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30AA30">
            <w:pPr>
              <w:jc w:val="center"/>
              <w:rPr>
                <w:rFonts w:hint="eastAsia" w:ascii="宋体" w:hAnsi="宋体" w:eastAsia="宋体" w:cs="宋体"/>
                <w:i w:val="0"/>
                <w:iCs w:val="0"/>
                <w:color w:val="000000"/>
                <w:sz w:val="18"/>
                <w:szCs w:val="18"/>
                <w:u w:val="none"/>
              </w:rPr>
            </w:pPr>
          </w:p>
        </w:tc>
        <w:tc>
          <w:tcPr>
            <w:tcW w:w="445"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0CDF307">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230"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703BB55">
            <w:pPr>
              <w:jc w:val="center"/>
              <w:rPr>
                <w:rFonts w:hint="eastAsia" w:ascii="微软雅黑" w:hAnsi="微软雅黑" w:eastAsia="微软雅黑" w:cs="微软雅黑"/>
                <w:i/>
                <w:iCs/>
                <w:color w:val="000000"/>
                <w:sz w:val="16"/>
                <w:szCs w:val="16"/>
                <w:u w:val="none"/>
              </w:rPr>
            </w:pP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7D7AA44">
            <w:pPr>
              <w:jc w:val="center"/>
              <w:rPr>
                <w:rFonts w:hint="eastAsia" w:ascii="微软雅黑" w:hAnsi="微软雅黑" w:eastAsia="微软雅黑" w:cs="微软雅黑"/>
                <w:i/>
                <w:iCs/>
                <w:color w:val="000000"/>
                <w:sz w:val="16"/>
                <w:szCs w:val="16"/>
                <w:u w:val="none"/>
              </w:rPr>
            </w:pPr>
          </w:p>
        </w:tc>
        <w:tc>
          <w:tcPr>
            <w:tcW w:w="346" w:type="pct"/>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59B743AF">
            <w:pPr>
              <w:jc w:val="center"/>
              <w:rPr>
                <w:rFonts w:hint="eastAsia" w:ascii="微软雅黑" w:hAnsi="微软雅黑" w:eastAsia="微软雅黑" w:cs="微软雅黑"/>
                <w:i/>
                <w:iCs/>
                <w:color w:val="000000"/>
                <w:sz w:val="16"/>
                <w:szCs w:val="16"/>
                <w:u w:val="none"/>
              </w:rPr>
            </w:pPr>
          </w:p>
        </w:tc>
        <w:tc>
          <w:tcPr>
            <w:tcW w:w="244"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1FC8FD5">
            <w:pPr>
              <w:jc w:val="center"/>
              <w:rPr>
                <w:rFonts w:hint="eastAsia" w:ascii="微软雅黑" w:hAnsi="微软雅黑" w:eastAsia="微软雅黑" w:cs="微软雅黑"/>
                <w:i/>
                <w:iCs/>
                <w:color w:val="000000"/>
                <w:sz w:val="16"/>
                <w:szCs w:val="16"/>
                <w:u w:val="none"/>
              </w:rPr>
            </w:pPr>
          </w:p>
        </w:tc>
        <w:tc>
          <w:tcPr>
            <w:tcW w:w="11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45DC935">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52BEE2F">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33" w:type="pct"/>
            <w:gridSpan w:val="7"/>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EC3FD1">
            <w:pPr>
              <w:rPr>
                <w:rFonts w:hint="eastAsia" w:ascii="黑体" w:hAnsi="黑体" w:eastAsia="黑体" w:cs="黑体"/>
                <w:i/>
                <w:iCs/>
                <w:color w:val="000000"/>
                <w:sz w:val="18"/>
                <w:szCs w:val="18"/>
                <w:u w:val="none"/>
              </w:rPr>
            </w:pPr>
          </w:p>
        </w:tc>
      </w:tr>
      <w:tr w14:paraId="527E64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452" w:hRule="atLeast"/>
        </w:trPr>
        <w:tc>
          <w:tcPr>
            <w:tcW w:w="15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FF2D5C7">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445"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3AE0E74">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230"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2BF7840">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B0FF1DC">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134"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5A09FEF">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107"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15D0C3C">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104"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EDCD240">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20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40B720E">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15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E42B559">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10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4E2AEEE">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633" w:type="pct"/>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4EFF659">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14:paraId="6B156F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339" w:hRule="atLeast"/>
        </w:trPr>
        <w:tc>
          <w:tcPr>
            <w:tcW w:w="1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904306">
            <w:pPr>
              <w:jc w:val="center"/>
              <w:rPr>
                <w:rFonts w:hint="eastAsia" w:ascii="宋体" w:hAnsi="宋体" w:eastAsia="宋体" w:cs="宋体"/>
                <w:i w:val="0"/>
                <w:iCs w:val="0"/>
                <w:color w:val="000000"/>
                <w:sz w:val="18"/>
                <w:szCs w:val="18"/>
                <w:u w:val="none"/>
              </w:rPr>
            </w:pPr>
          </w:p>
        </w:tc>
        <w:tc>
          <w:tcPr>
            <w:tcW w:w="445" w:type="pct"/>
            <w:gridSpan w:val="3"/>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03CC821">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230"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059853">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2B9E516">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3"/>
                <w:szCs w:val="13"/>
                <w:u w:val="none"/>
                <w:lang w:val="en-US" w:eastAsia="zh-CN" w:bidi="ar"/>
              </w:rPr>
              <w:t>艾滋病免费抗病毒治疗</w:t>
            </w:r>
          </w:p>
        </w:tc>
        <w:tc>
          <w:tcPr>
            <w:tcW w:w="134"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392CAAD">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7"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39D56F4">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104"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686A978">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3E3EDB3">
            <w:pPr>
              <w:jc w:val="center"/>
              <w:rPr>
                <w:rFonts w:hint="eastAsia" w:ascii="微软雅黑" w:hAnsi="微软雅黑" w:eastAsia="微软雅黑" w:cs="微软雅黑"/>
                <w:i/>
                <w:iCs/>
                <w:color w:val="000000"/>
                <w:sz w:val="16"/>
                <w:szCs w:val="16"/>
                <w:u w:val="none"/>
              </w:rPr>
            </w:pPr>
          </w:p>
        </w:tc>
        <w:tc>
          <w:tcPr>
            <w:tcW w:w="15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8AE7BFB">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0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9F24F02">
            <w:pPr>
              <w:jc w:val="center"/>
              <w:rPr>
                <w:rFonts w:hint="eastAsia" w:ascii="宋体" w:hAnsi="宋体" w:eastAsia="宋体" w:cs="宋体"/>
                <w:i w:val="0"/>
                <w:iCs w:val="0"/>
                <w:color w:val="000000"/>
                <w:sz w:val="18"/>
                <w:szCs w:val="18"/>
                <w:u w:val="none"/>
              </w:rPr>
            </w:pPr>
          </w:p>
        </w:tc>
        <w:tc>
          <w:tcPr>
            <w:tcW w:w="633" w:type="pct"/>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06C01341">
            <w:pPr>
              <w:jc w:val="center"/>
              <w:rPr>
                <w:rFonts w:hint="eastAsia" w:ascii="微软雅黑" w:hAnsi="微软雅黑" w:eastAsia="微软雅黑" w:cs="微软雅黑"/>
                <w:i/>
                <w:iCs/>
                <w:color w:val="000000"/>
                <w:sz w:val="16"/>
                <w:szCs w:val="16"/>
                <w:u w:val="none"/>
              </w:rPr>
            </w:pPr>
          </w:p>
        </w:tc>
      </w:tr>
      <w:tr w14:paraId="47DF7F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452" w:hRule="atLeast"/>
        </w:trPr>
        <w:tc>
          <w:tcPr>
            <w:tcW w:w="1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ADE4DA">
            <w:pPr>
              <w:jc w:val="center"/>
              <w:rPr>
                <w:rFonts w:hint="eastAsia" w:ascii="宋体" w:hAnsi="宋体" w:eastAsia="宋体" w:cs="宋体"/>
                <w:i w:val="0"/>
                <w:iCs w:val="0"/>
                <w:color w:val="000000"/>
                <w:sz w:val="18"/>
                <w:szCs w:val="18"/>
                <w:u w:val="none"/>
              </w:rPr>
            </w:pPr>
          </w:p>
        </w:tc>
        <w:tc>
          <w:tcPr>
            <w:tcW w:w="445" w:type="pct"/>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840314">
            <w:pPr>
              <w:jc w:val="center"/>
              <w:rPr>
                <w:rFonts w:hint="eastAsia" w:ascii="宋体" w:hAnsi="宋体" w:eastAsia="宋体" w:cs="宋体"/>
                <w:i w:val="0"/>
                <w:iCs w:val="0"/>
                <w:color w:val="000000"/>
                <w:sz w:val="18"/>
                <w:szCs w:val="18"/>
                <w:u w:val="none"/>
              </w:rPr>
            </w:pPr>
          </w:p>
        </w:tc>
        <w:tc>
          <w:tcPr>
            <w:tcW w:w="230"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A6C822B">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质量指标</w:t>
            </w: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063EF68">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艾滋病感染孕产妇所生儿童抗病毒用药比例</w:t>
            </w:r>
          </w:p>
        </w:tc>
        <w:tc>
          <w:tcPr>
            <w:tcW w:w="134"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D1EA233">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7"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D2754E4">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90</w:t>
            </w:r>
          </w:p>
        </w:tc>
        <w:tc>
          <w:tcPr>
            <w:tcW w:w="104"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90DA358">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905A22C">
            <w:pPr>
              <w:jc w:val="center"/>
              <w:rPr>
                <w:rFonts w:hint="eastAsia" w:ascii="微软雅黑" w:hAnsi="微软雅黑" w:eastAsia="微软雅黑" w:cs="微软雅黑"/>
                <w:i/>
                <w:iCs/>
                <w:color w:val="000000"/>
                <w:sz w:val="16"/>
                <w:szCs w:val="16"/>
                <w:u w:val="none"/>
              </w:rPr>
            </w:pPr>
          </w:p>
        </w:tc>
        <w:tc>
          <w:tcPr>
            <w:tcW w:w="15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9D02BC6">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0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37B1594">
            <w:pPr>
              <w:jc w:val="center"/>
              <w:rPr>
                <w:rFonts w:hint="eastAsia" w:ascii="宋体" w:hAnsi="宋体" w:eastAsia="宋体" w:cs="宋体"/>
                <w:i w:val="0"/>
                <w:iCs w:val="0"/>
                <w:color w:val="000000"/>
                <w:sz w:val="18"/>
                <w:szCs w:val="18"/>
                <w:u w:val="none"/>
              </w:rPr>
            </w:pPr>
          </w:p>
        </w:tc>
        <w:tc>
          <w:tcPr>
            <w:tcW w:w="633" w:type="pct"/>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D8EF564">
            <w:pPr>
              <w:jc w:val="center"/>
              <w:rPr>
                <w:rFonts w:hint="eastAsia" w:ascii="微软雅黑" w:hAnsi="微软雅黑" w:eastAsia="微软雅黑" w:cs="微软雅黑"/>
                <w:i/>
                <w:iCs/>
                <w:color w:val="000000"/>
                <w:sz w:val="16"/>
                <w:szCs w:val="16"/>
                <w:u w:val="none"/>
              </w:rPr>
            </w:pPr>
          </w:p>
        </w:tc>
      </w:tr>
      <w:tr w14:paraId="1C5CD8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gridAfter w:val="5"/>
          <w:wAfter w:w="2456" w:type="pct"/>
          <w:trHeight w:val="339" w:hRule="atLeast"/>
        </w:trPr>
        <w:tc>
          <w:tcPr>
            <w:tcW w:w="1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786540">
            <w:pPr>
              <w:jc w:val="center"/>
              <w:rPr>
                <w:rFonts w:hint="eastAsia" w:ascii="宋体" w:hAnsi="宋体" w:eastAsia="宋体" w:cs="宋体"/>
                <w:i w:val="0"/>
                <w:iCs w:val="0"/>
                <w:color w:val="000000"/>
                <w:sz w:val="18"/>
                <w:szCs w:val="18"/>
                <w:u w:val="none"/>
              </w:rPr>
            </w:pPr>
          </w:p>
        </w:tc>
        <w:tc>
          <w:tcPr>
            <w:tcW w:w="445" w:type="pct"/>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3C5F4E">
            <w:pPr>
              <w:jc w:val="center"/>
              <w:rPr>
                <w:rFonts w:hint="eastAsia" w:ascii="宋体" w:hAnsi="宋体" w:eastAsia="宋体" w:cs="宋体"/>
                <w:i w:val="0"/>
                <w:iCs w:val="0"/>
                <w:color w:val="000000"/>
                <w:sz w:val="18"/>
                <w:szCs w:val="18"/>
                <w:u w:val="none"/>
              </w:rPr>
            </w:pPr>
          </w:p>
        </w:tc>
        <w:tc>
          <w:tcPr>
            <w:tcW w:w="230"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74DFBA">
            <w:pPr>
              <w:jc w:val="center"/>
              <w:rPr>
                <w:rFonts w:hint="eastAsia" w:ascii="宋体" w:hAnsi="宋体" w:eastAsia="宋体" w:cs="宋体"/>
                <w:i w:val="0"/>
                <w:iCs w:val="0"/>
                <w:color w:val="000000"/>
                <w:sz w:val="18"/>
                <w:szCs w:val="18"/>
                <w:u w:val="none"/>
              </w:rPr>
            </w:pP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2D1BACD">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艾滋病高危人群检测比例</w:t>
            </w:r>
          </w:p>
        </w:tc>
        <w:tc>
          <w:tcPr>
            <w:tcW w:w="134"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3F79AEE">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7"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2D9ED3F">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104"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EC444DD">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D16F30B">
            <w:pPr>
              <w:jc w:val="center"/>
              <w:rPr>
                <w:rFonts w:hint="eastAsia" w:ascii="微软雅黑" w:hAnsi="微软雅黑" w:eastAsia="微软雅黑" w:cs="微软雅黑"/>
                <w:i/>
                <w:iCs/>
                <w:color w:val="000000"/>
                <w:sz w:val="16"/>
                <w:szCs w:val="16"/>
                <w:u w:val="none"/>
              </w:rPr>
            </w:pPr>
          </w:p>
        </w:tc>
        <w:tc>
          <w:tcPr>
            <w:tcW w:w="15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2D2B2F9">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0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ABA50D9">
            <w:pPr>
              <w:jc w:val="center"/>
              <w:rPr>
                <w:rFonts w:hint="eastAsia" w:ascii="宋体" w:hAnsi="宋体" w:eastAsia="宋体" w:cs="宋体"/>
                <w:i w:val="0"/>
                <w:iCs w:val="0"/>
                <w:color w:val="000000"/>
                <w:sz w:val="18"/>
                <w:szCs w:val="18"/>
                <w:u w:val="none"/>
              </w:rPr>
            </w:pPr>
          </w:p>
        </w:tc>
        <w:tc>
          <w:tcPr>
            <w:tcW w:w="633" w:type="pct"/>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051E76E1">
            <w:pPr>
              <w:jc w:val="center"/>
              <w:rPr>
                <w:rFonts w:hint="eastAsia" w:ascii="微软雅黑" w:hAnsi="微软雅黑" w:eastAsia="微软雅黑" w:cs="微软雅黑"/>
                <w:i/>
                <w:iCs/>
                <w:color w:val="000000"/>
                <w:sz w:val="16"/>
                <w:szCs w:val="16"/>
                <w:u w:val="none"/>
              </w:rPr>
            </w:pPr>
          </w:p>
        </w:tc>
      </w:tr>
      <w:tr w14:paraId="147F3F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339" w:hRule="atLeast"/>
        </w:trPr>
        <w:tc>
          <w:tcPr>
            <w:tcW w:w="1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2DA99E">
            <w:pPr>
              <w:jc w:val="center"/>
              <w:rPr>
                <w:rFonts w:hint="eastAsia" w:ascii="宋体" w:hAnsi="宋体" w:eastAsia="宋体" w:cs="宋体"/>
                <w:i w:val="0"/>
                <w:iCs w:val="0"/>
                <w:color w:val="000000"/>
                <w:sz w:val="18"/>
                <w:szCs w:val="18"/>
                <w:u w:val="none"/>
              </w:rPr>
            </w:pPr>
          </w:p>
        </w:tc>
        <w:tc>
          <w:tcPr>
            <w:tcW w:w="445" w:type="pct"/>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4FF2B5">
            <w:pPr>
              <w:jc w:val="center"/>
              <w:rPr>
                <w:rFonts w:hint="eastAsia" w:ascii="宋体" w:hAnsi="宋体" w:eastAsia="宋体" w:cs="宋体"/>
                <w:i w:val="0"/>
                <w:iCs w:val="0"/>
                <w:color w:val="000000"/>
                <w:sz w:val="18"/>
                <w:szCs w:val="18"/>
                <w:u w:val="none"/>
              </w:rPr>
            </w:pPr>
          </w:p>
        </w:tc>
        <w:tc>
          <w:tcPr>
            <w:tcW w:w="230"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A2EFCDA">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时效指标</w:t>
            </w: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140658C">
            <w:pPr>
              <w:keepNext w:val="0"/>
              <w:keepLines w:val="0"/>
              <w:widowControl/>
              <w:suppressLineNumbers w:val="0"/>
              <w:jc w:val="center"/>
              <w:textAlignment w:val="center"/>
              <w:rPr>
                <w:rFonts w:ascii="宋体" w:hAnsi="宋体" w:eastAsia="宋体" w:cs="宋体"/>
                <w:i w:val="0"/>
                <w:iCs w:val="0"/>
                <w:color w:val="000000"/>
                <w:sz w:val="16"/>
                <w:szCs w:val="16"/>
                <w:u w:val="none"/>
              </w:rPr>
            </w:pPr>
            <w:r>
              <w:rPr>
                <w:rFonts w:ascii="宋体" w:hAnsi="宋体" w:eastAsia="宋体" w:cs="宋体"/>
                <w:i w:val="0"/>
                <w:iCs w:val="0"/>
                <w:color w:val="000000"/>
                <w:kern w:val="0"/>
                <w:sz w:val="16"/>
                <w:szCs w:val="16"/>
                <w:u w:val="none"/>
                <w:lang w:val="en-US" w:eastAsia="zh-CN" w:bidi="ar"/>
              </w:rPr>
              <w:t>传染病网络直报率</w:t>
            </w:r>
          </w:p>
        </w:tc>
        <w:tc>
          <w:tcPr>
            <w:tcW w:w="134"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67A68CA">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7"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34E60A2">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104"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796AF4F">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C2FBF4B">
            <w:pPr>
              <w:jc w:val="center"/>
              <w:rPr>
                <w:rFonts w:hint="eastAsia" w:ascii="微软雅黑" w:hAnsi="微软雅黑" w:eastAsia="微软雅黑" w:cs="微软雅黑"/>
                <w:i/>
                <w:iCs/>
                <w:color w:val="000000"/>
                <w:sz w:val="16"/>
                <w:szCs w:val="16"/>
                <w:u w:val="none"/>
              </w:rPr>
            </w:pPr>
          </w:p>
        </w:tc>
        <w:tc>
          <w:tcPr>
            <w:tcW w:w="15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1A95596">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0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5F9F151">
            <w:pPr>
              <w:jc w:val="center"/>
              <w:rPr>
                <w:rFonts w:hint="eastAsia" w:ascii="宋体" w:hAnsi="宋体" w:eastAsia="宋体" w:cs="宋体"/>
                <w:i w:val="0"/>
                <w:iCs w:val="0"/>
                <w:color w:val="000000"/>
                <w:sz w:val="18"/>
                <w:szCs w:val="18"/>
                <w:u w:val="none"/>
              </w:rPr>
            </w:pPr>
          </w:p>
        </w:tc>
        <w:tc>
          <w:tcPr>
            <w:tcW w:w="633" w:type="pct"/>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01301BED">
            <w:pPr>
              <w:jc w:val="center"/>
              <w:rPr>
                <w:rFonts w:hint="eastAsia" w:ascii="微软雅黑" w:hAnsi="微软雅黑" w:eastAsia="微软雅黑" w:cs="微软雅黑"/>
                <w:i/>
                <w:iCs/>
                <w:color w:val="000000"/>
                <w:sz w:val="16"/>
                <w:szCs w:val="16"/>
                <w:u w:val="none"/>
              </w:rPr>
            </w:pPr>
          </w:p>
        </w:tc>
      </w:tr>
      <w:tr w14:paraId="39737D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339" w:hRule="atLeast"/>
        </w:trPr>
        <w:tc>
          <w:tcPr>
            <w:tcW w:w="1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7DEF1D">
            <w:pPr>
              <w:jc w:val="center"/>
              <w:rPr>
                <w:rFonts w:hint="eastAsia" w:ascii="宋体" w:hAnsi="宋体" w:eastAsia="宋体" w:cs="宋体"/>
                <w:i w:val="0"/>
                <w:iCs w:val="0"/>
                <w:color w:val="000000"/>
                <w:sz w:val="18"/>
                <w:szCs w:val="18"/>
                <w:u w:val="none"/>
              </w:rPr>
            </w:pPr>
          </w:p>
        </w:tc>
        <w:tc>
          <w:tcPr>
            <w:tcW w:w="445" w:type="pct"/>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1F1874">
            <w:pPr>
              <w:jc w:val="center"/>
              <w:rPr>
                <w:rFonts w:hint="eastAsia" w:ascii="宋体" w:hAnsi="宋体" w:eastAsia="宋体" w:cs="宋体"/>
                <w:i w:val="0"/>
                <w:iCs w:val="0"/>
                <w:color w:val="000000"/>
                <w:sz w:val="18"/>
                <w:szCs w:val="18"/>
                <w:u w:val="none"/>
              </w:rPr>
            </w:pPr>
          </w:p>
        </w:tc>
        <w:tc>
          <w:tcPr>
            <w:tcW w:w="230"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9C4632">
            <w:pPr>
              <w:jc w:val="center"/>
              <w:rPr>
                <w:rFonts w:hint="eastAsia" w:ascii="宋体" w:hAnsi="宋体" w:eastAsia="宋体" w:cs="宋体"/>
                <w:i w:val="0"/>
                <w:iCs w:val="0"/>
                <w:color w:val="000000"/>
                <w:sz w:val="18"/>
                <w:szCs w:val="18"/>
                <w:u w:val="none"/>
              </w:rPr>
            </w:pP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8DDD298">
            <w:pPr>
              <w:keepNext w:val="0"/>
              <w:keepLines w:val="0"/>
              <w:widowControl/>
              <w:suppressLineNumbers w:val="0"/>
              <w:jc w:val="center"/>
              <w:textAlignment w:val="center"/>
              <w:rPr>
                <w:rFonts w:ascii="宋体" w:hAnsi="宋体" w:eastAsia="宋体" w:cs="宋体"/>
                <w:i w:val="0"/>
                <w:iCs w:val="0"/>
                <w:color w:val="000000"/>
                <w:sz w:val="16"/>
                <w:szCs w:val="16"/>
                <w:u w:val="none"/>
              </w:rPr>
            </w:pPr>
            <w:r>
              <w:rPr>
                <w:rFonts w:ascii="宋体" w:hAnsi="宋体" w:eastAsia="宋体" w:cs="宋体"/>
                <w:i w:val="0"/>
                <w:iCs w:val="0"/>
                <w:color w:val="000000"/>
                <w:kern w:val="0"/>
                <w:sz w:val="16"/>
                <w:szCs w:val="16"/>
                <w:u w:val="none"/>
                <w:lang w:val="en-US" w:eastAsia="zh-CN" w:bidi="ar"/>
              </w:rPr>
              <w:t>项目工作完成时间</w:t>
            </w:r>
          </w:p>
        </w:tc>
        <w:tc>
          <w:tcPr>
            <w:tcW w:w="134"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DF41831">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7"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58A5D74">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12</w:t>
            </w:r>
          </w:p>
        </w:tc>
        <w:tc>
          <w:tcPr>
            <w:tcW w:w="104"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9437AEB">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月</w:t>
            </w:r>
          </w:p>
        </w:tc>
        <w:tc>
          <w:tcPr>
            <w:tcW w:w="20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F820A80">
            <w:pPr>
              <w:jc w:val="center"/>
              <w:rPr>
                <w:rFonts w:hint="eastAsia" w:ascii="微软雅黑" w:hAnsi="微软雅黑" w:eastAsia="微软雅黑" w:cs="微软雅黑"/>
                <w:i/>
                <w:iCs/>
                <w:color w:val="000000"/>
                <w:sz w:val="16"/>
                <w:szCs w:val="16"/>
                <w:u w:val="none"/>
              </w:rPr>
            </w:pPr>
          </w:p>
        </w:tc>
        <w:tc>
          <w:tcPr>
            <w:tcW w:w="15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C8C1072">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0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5F62A4A">
            <w:pPr>
              <w:jc w:val="center"/>
              <w:rPr>
                <w:rFonts w:hint="eastAsia" w:ascii="宋体" w:hAnsi="宋体" w:eastAsia="宋体" w:cs="宋体"/>
                <w:i w:val="0"/>
                <w:iCs w:val="0"/>
                <w:color w:val="000000"/>
                <w:sz w:val="18"/>
                <w:szCs w:val="18"/>
                <w:u w:val="none"/>
              </w:rPr>
            </w:pPr>
          </w:p>
        </w:tc>
        <w:tc>
          <w:tcPr>
            <w:tcW w:w="633" w:type="pct"/>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D29816C">
            <w:pPr>
              <w:jc w:val="center"/>
              <w:rPr>
                <w:rFonts w:hint="eastAsia" w:ascii="微软雅黑" w:hAnsi="微软雅黑" w:eastAsia="微软雅黑" w:cs="微软雅黑"/>
                <w:i/>
                <w:iCs/>
                <w:color w:val="000000"/>
                <w:sz w:val="16"/>
                <w:szCs w:val="16"/>
                <w:u w:val="none"/>
              </w:rPr>
            </w:pPr>
          </w:p>
        </w:tc>
      </w:tr>
      <w:tr w14:paraId="530A71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339" w:hRule="atLeast"/>
        </w:trPr>
        <w:tc>
          <w:tcPr>
            <w:tcW w:w="1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D53457">
            <w:pPr>
              <w:jc w:val="center"/>
              <w:rPr>
                <w:rFonts w:hint="eastAsia" w:ascii="宋体" w:hAnsi="宋体" w:eastAsia="宋体" w:cs="宋体"/>
                <w:i w:val="0"/>
                <w:iCs w:val="0"/>
                <w:color w:val="000000"/>
                <w:sz w:val="18"/>
                <w:szCs w:val="18"/>
                <w:u w:val="none"/>
              </w:rPr>
            </w:pPr>
          </w:p>
        </w:tc>
        <w:tc>
          <w:tcPr>
            <w:tcW w:w="445"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78FBF6D">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230"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963EEA7">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社会效益指标</w:t>
            </w: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854F7C9">
            <w:pPr>
              <w:keepNext w:val="0"/>
              <w:keepLines w:val="0"/>
              <w:widowControl/>
              <w:suppressLineNumbers w:val="0"/>
              <w:jc w:val="center"/>
              <w:textAlignment w:val="center"/>
              <w:rPr>
                <w:rFonts w:ascii="宋体" w:hAnsi="宋体" w:eastAsia="宋体" w:cs="宋体"/>
                <w:i w:val="0"/>
                <w:iCs w:val="0"/>
                <w:color w:val="000000"/>
                <w:sz w:val="16"/>
                <w:szCs w:val="16"/>
                <w:u w:val="none"/>
              </w:rPr>
            </w:pPr>
            <w:r>
              <w:rPr>
                <w:rFonts w:ascii="宋体" w:hAnsi="宋体" w:eastAsia="宋体" w:cs="宋体"/>
                <w:i w:val="0"/>
                <w:iCs w:val="0"/>
                <w:color w:val="000000"/>
                <w:kern w:val="0"/>
                <w:sz w:val="16"/>
                <w:szCs w:val="16"/>
                <w:u w:val="none"/>
                <w:lang w:val="en-US" w:eastAsia="zh-CN" w:bidi="ar"/>
              </w:rPr>
              <w:t>居民健康水平提高</w:t>
            </w:r>
          </w:p>
        </w:tc>
        <w:tc>
          <w:tcPr>
            <w:tcW w:w="134"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35B9FAB">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定性</w:t>
            </w:r>
          </w:p>
        </w:tc>
        <w:tc>
          <w:tcPr>
            <w:tcW w:w="107"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282D2A2">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高中低</w:t>
            </w:r>
          </w:p>
        </w:tc>
        <w:tc>
          <w:tcPr>
            <w:tcW w:w="104"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4EA0549">
            <w:pPr>
              <w:jc w:val="center"/>
              <w:rPr>
                <w:rFonts w:hint="eastAsia" w:ascii="宋体" w:hAnsi="宋体" w:eastAsia="宋体" w:cs="宋体"/>
                <w:i w:val="0"/>
                <w:iCs w:val="0"/>
                <w:color w:val="000000"/>
                <w:sz w:val="18"/>
                <w:szCs w:val="18"/>
                <w:u w:val="none"/>
              </w:rPr>
            </w:pPr>
          </w:p>
        </w:tc>
        <w:tc>
          <w:tcPr>
            <w:tcW w:w="20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49DBD69">
            <w:pPr>
              <w:jc w:val="center"/>
              <w:rPr>
                <w:rFonts w:hint="eastAsia" w:ascii="微软雅黑" w:hAnsi="微软雅黑" w:eastAsia="微软雅黑" w:cs="微软雅黑"/>
                <w:i/>
                <w:iCs/>
                <w:color w:val="000000"/>
                <w:sz w:val="16"/>
                <w:szCs w:val="16"/>
                <w:u w:val="none"/>
              </w:rPr>
            </w:pPr>
          </w:p>
        </w:tc>
        <w:tc>
          <w:tcPr>
            <w:tcW w:w="15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E61E70B">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w:t>
            </w:r>
          </w:p>
        </w:tc>
        <w:tc>
          <w:tcPr>
            <w:tcW w:w="10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AC6B6CB">
            <w:pPr>
              <w:jc w:val="center"/>
              <w:rPr>
                <w:rFonts w:hint="eastAsia" w:ascii="宋体" w:hAnsi="宋体" w:eastAsia="宋体" w:cs="宋体"/>
                <w:i w:val="0"/>
                <w:iCs w:val="0"/>
                <w:color w:val="000000"/>
                <w:sz w:val="18"/>
                <w:szCs w:val="18"/>
                <w:u w:val="none"/>
              </w:rPr>
            </w:pPr>
          </w:p>
        </w:tc>
        <w:tc>
          <w:tcPr>
            <w:tcW w:w="633" w:type="pct"/>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0138C84">
            <w:pPr>
              <w:jc w:val="center"/>
              <w:rPr>
                <w:rFonts w:hint="eastAsia" w:ascii="微软雅黑" w:hAnsi="微软雅黑" w:eastAsia="微软雅黑" w:cs="微软雅黑"/>
                <w:i/>
                <w:iCs/>
                <w:color w:val="000000"/>
                <w:sz w:val="16"/>
                <w:szCs w:val="16"/>
                <w:u w:val="none"/>
              </w:rPr>
            </w:pPr>
          </w:p>
        </w:tc>
      </w:tr>
      <w:tr w14:paraId="2F5730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452" w:hRule="atLeast"/>
        </w:trPr>
        <w:tc>
          <w:tcPr>
            <w:tcW w:w="1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E6C107">
            <w:pPr>
              <w:jc w:val="center"/>
              <w:rPr>
                <w:rFonts w:hint="eastAsia" w:ascii="宋体" w:hAnsi="宋体" w:eastAsia="宋体" w:cs="宋体"/>
                <w:i w:val="0"/>
                <w:iCs w:val="0"/>
                <w:color w:val="000000"/>
                <w:sz w:val="18"/>
                <w:szCs w:val="18"/>
                <w:u w:val="none"/>
              </w:rPr>
            </w:pPr>
          </w:p>
        </w:tc>
        <w:tc>
          <w:tcPr>
            <w:tcW w:w="445"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E19C96C">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满意度指标</w:t>
            </w:r>
          </w:p>
        </w:tc>
        <w:tc>
          <w:tcPr>
            <w:tcW w:w="230"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4D75940">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服务对象满意度指标</w:t>
            </w: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F1F9923">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艾滋病、传染病患者满意度</w:t>
            </w:r>
          </w:p>
        </w:tc>
        <w:tc>
          <w:tcPr>
            <w:tcW w:w="134"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32FBA63">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7"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A9FB503">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80</w:t>
            </w:r>
          </w:p>
        </w:tc>
        <w:tc>
          <w:tcPr>
            <w:tcW w:w="104"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F2A851E">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6F0181E">
            <w:pPr>
              <w:jc w:val="center"/>
              <w:rPr>
                <w:rFonts w:hint="eastAsia" w:ascii="微软雅黑" w:hAnsi="微软雅黑" w:eastAsia="微软雅黑" w:cs="微软雅黑"/>
                <w:i/>
                <w:iCs/>
                <w:color w:val="000000"/>
                <w:sz w:val="16"/>
                <w:szCs w:val="16"/>
                <w:u w:val="none"/>
              </w:rPr>
            </w:pPr>
          </w:p>
        </w:tc>
        <w:tc>
          <w:tcPr>
            <w:tcW w:w="15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B349D74">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0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CDFF4AB">
            <w:pPr>
              <w:jc w:val="center"/>
              <w:rPr>
                <w:rFonts w:hint="eastAsia" w:ascii="宋体" w:hAnsi="宋体" w:eastAsia="宋体" w:cs="宋体"/>
                <w:i w:val="0"/>
                <w:iCs w:val="0"/>
                <w:color w:val="000000"/>
                <w:sz w:val="18"/>
                <w:szCs w:val="18"/>
                <w:u w:val="none"/>
              </w:rPr>
            </w:pPr>
          </w:p>
        </w:tc>
        <w:tc>
          <w:tcPr>
            <w:tcW w:w="633" w:type="pct"/>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7EA5F57">
            <w:pPr>
              <w:jc w:val="center"/>
              <w:rPr>
                <w:rFonts w:hint="eastAsia" w:ascii="微软雅黑" w:hAnsi="微软雅黑" w:eastAsia="微软雅黑" w:cs="微软雅黑"/>
                <w:i/>
                <w:iCs/>
                <w:color w:val="000000"/>
                <w:sz w:val="16"/>
                <w:szCs w:val="16"/>
                <w:u w:val="none"/>
              </w:rPr>
            </w:pPr>
          </w:p>
        </w:tc>
      </w:tr>
      <w:tr w14:paraId="0CD3EA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603" w:hRule="atLeast"/>
        </w:trPr>
        <w:tc>
          <w:tcPr>
            <w:tcW w:w="19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6F78A1B">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2350" w:type="pct"/>
            <w:gridSpan w:val="33"/>
            <w:tcBorders>
              <w:top w:val="single" w:color="000000" w:sz="4" w:space="0"/>
              <w:left w:val="single" w:color="000000" w:sz="4" w:space="0"/>
              <w:bottom w:val="single" w:color="000000" w:sz="4" w:space="0"/>
              <w:right w:val="single" w:color="000000" w:sz="4" w:space="0"/>
            </w:tcBorders>
            <w:shd w:val="clear" w:color="auto" w:fill="auto"/>
            <w:vAlign w:val="center"/>
          </w:tcPr>
          <w:p w14:paraId="23F35210">
            <w:pPr>
              <w:keepNext w:val="0"/>
              <w:keepLines w:val="0"/>
              <w:widowControl/>
              <w:suppressLineNumbers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结合自评情况，说明项目自评总分，说明项目实施取得的成效或成果。（200字以内）</w:t>
            </w:r>
          </w:p>
        </w:tc>
      </w:tr>
      <w:tr w14:paraId="69942A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572" w:hRule="atLeast"/>
        </w:trPr>
        <w:tc>
          <w:tcPr>
            <w:tcW w:w="19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BE58740">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2350" w:type="pct"/>
            <w:gridSpan w:val="33"/>
            <w:tcBorders>
              <w:top w:val="single" w:color="000000" w:sz="4" w:space="0"/>
              <w:left w:val="single" w:color="000000" w:sz="4" w:space="0"/>
              <w:bottom w:val="single" w:color="000000" w:sz="4" w:space="0"/>
              <w:right w:val="single" w:color="000000" w:sz="4" w:space="0"/>
            </w:tcBorders>
            <w:shd w:val="clear" w:color="auto" w:fill="auto"/>
            <w:vAlign w:val="center"/>
          </w:tcPr>
          <w:p w14:paraId="608B2B37">
            <w:pPr>
              <w:keepNext w:val="0"/>
              <w:keepLines w:val="0"/>
              <w:widowControl/>
              <w:suppressLineNumbers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结合自评情况，分析存在的问题及原因。（200字以内）</w:t>
            </w:r>
          </w:p>
        </w:tc>
      </w:tr>
      <w:tr w14:paraId="2BE879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633" w:hRule="atLeast"/>
        </w:trPr>
        <w:tc>
          <w:tcPr>
            <w:tcW w:w="19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E6413B4">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2350" w:type="pct"/>
            <w:gridSpan w:val="33"/>
            <w:tcBorders>
              <w:top w:val="single" w:color="000000" w:sz="4" w:space="0"/>
              <w:left w:val="single" w:color="000000" w:sz="4" w:space="0"/>
              <w:bottom w:val="single" w:color="000000" w:sz="4" w:space="0"/>
              <w:right w:val="single" w:color="000000" w:sz="4" w:space="0"/>
            </w:tcBorders>
            <w:shd w:val="clear" w:color="auto" w:fill="auto"/>
            <w:vAlign w:val="center"/>
          </w:tcPr>
          <w:p w14:paraId="5A4A7D25">
            <w:pPr>
              <w:keepNext w:val="0"/>
              <w:keepLines w:val="0"/>
              <w:widowControl/>
              <w:suppressLineNumbers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针对项目自评中发现的问题，提出下一步改进完善的意见及有关政策性建议。（200字以内）</w:t>
            </w:r>
          </w:p>
        </w:tc>
      </w:tr>
      <w:tr w14:paraId="786ECD8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5"/>
          <w:wAfter w:w="2456" w:type="pct"/>
          <w:trHeight w:val="478" w:hRule="atLeast"/>
        </w:trPr>
        <w:tc>
          <w:tcPr>
            <w:tcW w:w="1271" w:type="pct"/>
            <w:gridSpan w:val="12"/>
            <w:tcBorders>
              <w:top w:val="single" w:color="000000" w:sz="4" w:space="0"/>
              <w:left w:val="single" w:color="000000" w:sz="4" w:space="0"/>
              <w:bottom w:val="single" w:color="000000" w:sz="4" w:space="0"/>
              <w:right w:val="single" w:color="000000" w:sz="4" w:space="0"/>
            </w:tcBorders>
            <w:shd w:val="clear" w:color="auto" w:fill="auto"/>
            <w:vAlign w:val="center"/>
          </w:tcPr>
          <w:p w14:paraId="6B090F55">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项目负责人：阿永梅</w:t>
            </w:r>
          </w:p>
        </w:tc>
        <w:tc>
          <w:tcPr>
            <w:tcW w:w="1272" w:type="pct"/>
            <w:gridSpan w:val="23"/>
            <w:tcBorders>
              <w:top w:val="single" w:color="000000" w:sz="4" w:space="0"/>
              <w:left w:val="single" w:color="000000" w:sz="4" w:space="0"/>
              <w:bottom w:val="single" w:color="000000" w:sz="4" w:space="0"/>
              <w:right w:val="single" w:color="000000" w:sz="4" w:space="0"/>
            </w:tcBorders>
            <w:shd w:val="clear" w:color="auto" w:fill="auto"/>
            <w:vAlign w:val="center"/>
          </w:tcPr>
          <w:p w14:paraId="4B23645C">
            <w:pPr>
              <w:keepNext w:val="0"/>
              <w:keepLines w:val="0"/>
              <w:widowControl/>
              <w:suppressLineNumbers w:val="0"/>
              <w:jc w:val="left"/>
              <w:textAlignment w:val="center"/>
              <w:rPr>
                <w:rFonts w:hint="eastAsia" w:ascii="黑体" w:hAnsi="黑体" w:eastAsia="黑体" w:cs="黑体"/>
                <w:i w:val="0"/>
                <w:iCs w:val="0"/>
                <w:color w:val="000000"/>
                <w:kern w:val="0"/>
                <w:sz w:val="18"/>
                <w:szCs w:val="18"/>
                <w:u w:val="none"/>
                <w:lang w:val="en-US" w:eastAsia="zh-CN" w:bidi="ar"/>
              </w:rPr>
            </w:pPr>
            <w:r>
              <w:rPr>
                <w:rFonts w:hint="eastAsia" w:ascii="黑体" w:hAnsi="黑体" w:eastAsia="黑体" w:cs="黑体"/>
                <w:i w:val="0"/>
                <w:iCs w:val="0"/>
                <w:color w:val="000000"/>
                <w:kern w:val="0"/>
                <w:sz w:val="18"/>
                <w:szCs w:val="18"/>
                <w:u w:val="none"/>
                <w:lang w:val="en-US" w:eastAsia="zh-CN" w:bidi="ar"/>
              </w:rPr>
              <w:t>财务负责人：朱卫东</w:t>
            </w:r>
          </w:p>
        </w:tc>
      </w:tr>
      <w:tr w14:paraId="2C8C6F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151" w:type="pct"/>
            <w:tcBorders>
              <w:top w:val="nil"/>
              <w:left w:val="nil"/>
              <w:bottom w:val="nil"/>
              <w:right w:val="nil"/>
            </w:tcBorders>
            <w:shd w:val="clear" w:color="auto" w:fill="auto"/>
            <w:vAlign w:val="center"/>
          </w:tcPr>
          <w:p w14:paraId="0EABE668">
            <w:pPr>
              <w:rPr>
                <w:rFonts w:hint="eastAsia" w:ascii="宋体" w:hAnsi="宋体" w:eastAsia="宋体" w:cs="宋体"/>
                <w:i w:val="0"/>
                <w:iCs w:val="0"/>
                <w:color w:val="000000"/>
                <w:sz w:val="18"/>
                <w:szCs w:val="18"/>
                <w:u w:val="none"/>
              </w:rPr>
            </w:pPr>
          </w:p>
        </w:tc>
        <w:tc>
          <w:tcPr>
            <w:tcW w:w="370" w:type="pct"/>
            <w:gridSpan w:val="2"/>
            <w:tcBorders>
              <w:top w:val="nil"/>
              <w:left w:val="nil"/>
              <w:bottom w:val="nil"/>
              <w:right w:val="nil"/>
            </w:tcBorders>
            <w:shd w:val="clear" w:color="auto" w:fill="auto"/>
            <w:vAlign w:val="center"/>
          </w:tcPr>
          <w:p w14:paraId="1469A985">
            <w:pPr>
              <w:rPr>
                <w:rFonts w:hint="eastAsia" w:ascii="宋体" w:hAnsi="宋体" w:eastAsia="宋体" w:cs="宋体"/>
                <w:i w:val="0"/>
                <w:iCs w:val="0"/>
                <w:color w:val="000000"/>
                <w:sz w:val="18"/>
                <w:szCs w:val="18"/>
                <w:u w:val="none"/>
              </w:rPr>
            </w:pPr>
          </w:p>
        </w:tc>
        <w:tc>
          <w:tcPr>
            <w:tcW w:w="276" w:type="pct"/>
            <w:gridSpan w:val="2"/>
            <w:tcBorders>
              <w:top w:val="nil"/>
              <w:left w:val="nil"/>
              <w:bottom w:val="nil"/>
              <w:right w:val="nil"/>
            </w:tcBorders>
            <w:shd w:val="clear" w:color="auto" w:fill="auto"/>
            <w:vAlign w:val="center"/>
          </w:tcPr>
          <w:p w14:paraId="3FFD7ABB">
            <w:pPr>
              <w:rPr>
                <w:rFonts w:hint="eastAsia" w:ascii="宋体" w:hAnsi="宋体" w:eastAsia="宋体" w:cs="宋体"/>
                <w:i w:val="0"/>
                <w:iCs w:val="0"/>
                <w:color w:val="000000"/>
                <w:sz w:val="18"/>
                <w:szCs w:val="18"/>
                <w:u w:val="none"/>
              </w:rPr>
            </w:pPr>
          </w:p>
          <w:p w14:paraId="6C20F5D5">
            <w:pPr>
              <w:rPr>
                <w:rFonts w:hint="eastAsia" w:ascii="宋体" w:hAnsi="宋体" w:eastAsia="宋体" w:cs="宋体"/>
                <w:i w:val="0"/>
                <w:iCs w:val="0"/>
                <w:color w:val="000000"/>
                <w:sz w:val="18"/>
                <w:szCs w:val="18"/>
                <w:u w:val="none"/>
              </w:rPr>
            </w:pPr>
          </w:p>
          <w:p w14:paraId="017E781B">
            <w:pPr>
              <w:rPr>
                <w:rFonts w:hint="eastAsia" w:ascii="宋体" w:hAnsi="宋体" w:eastAsia="宋体" w:cs="宋体"/>
                <w:i w:val="0"/>
                <w:iCs w:val="0"/>
                <w:color w:val="000000"/>
                <w:sz w:val="18"/>
                <w:szCs w:val="18"/>
                <w:u w:val="none"/>
              </w:rPr>
            </w:pPr>
          </w:p>
          <w:p w14:paraId="50491C16">
            <w:pPr>
              <w:rPr>
                <w:rFonts w:hint="eastAsia" w:ascii="宋体" w:hAnsi="宋体" w:eastAsia="宋体" w:cs="宋体"/>
                <w:i w:val="0"/>
                <w:iCs w:val="0"/>
                <w:color w:val="000000"/>
                <w:sz w:val="18"/>
                <w:szCs w:val="18"/>
                <w:u w:val="none"/>
              </w:rPr>
            </w:pPr>
          </w:p>
          <w:p w14:paraId="1D148243">
            <w:pPr>
              <w:rPr>
                <w:rFonts w:hint="eastAsia" w:ascii="宋体" w:hAnsi="宋体" w:eastAsia="宋体" w:cs="宋体"/>
                <w:i w:val="0"/>
                <w:iCs w:val="0"/>
                <w:color w:val="000000"/>
                <w:sz w:val="18"/>
                <w:szCs w:val="18"/>
                <w:u w:val="none"/>
              </w:rPr>
            </w:pPr>
          </w:p>
          <w:p w14:paraId="51947D7F">
            <w:pPr>
              <w:rPr>
                <w:rFonts w:hint="eastAsia" w:ascii="宋体" w:hAnsi="宋体" w:eastAsia="宋体" w:cs="宋体"/>
                <w:i w:val="0"/>
                <w:iCs w:val="0"/>
                <w:color w:val="000000"/>
                <w:sz w:val="18"/>
                <w:szCs w:val="18"/>
                <w:u w:val="none"/>
              </w:rPr>
            </w:pPr>
          </w:p>
          <w:p w14:paraId="18E61366">
            <w:pPr>
              <w:rPr>
                <w:rFonts w:hint="eastAsia" w:ascii="宋体" w:hAnsi="宋体" w:eastAsia="宋体" w:cs="宋体"/>
                <w:i w:val="0"/>
                <w:iCs w:val="0"/>
                <w:color w:val="000000"/>
                <w:sz w:val="18"/>
                <w:szCs w:val="18"/>
                <w:u w:val="none"/>
              </w:rPr>
            </w:pPr>
          </w:p>
          <w:p w14:paraId="537899CA">
            <w:pPr>
              <w:rPr>
                <w:rFonts w:hint="eastAsia" w:ascii="宋体" w:hAnsi="宋体" w:eastAsia="宋体" w:cs="宋体"/>
                <w:i w:val="0"/>
                <w:iCs w:val="0"/>
                <w:color w:val="000000"/>
                <w:sz w:val="18"/>
                <w:szCs w:val="18"/>
                <w:u w:val="none"/>
              </w:rPr>
            </w:pPr>
          </w:p>
          <w:p w14:paraId="57DE1697">
            <w:pPr>
              <w:rPr>
                <w:rFonts w:hint="eastAsia" w:ascii="宋体" w:hAnsi="宋体" w:eastAsia="宋体" w:cs="宋体"/>
                <w:i w:val="0"/>
                <w:iCs w:val="0"/>
                <w:color w:val="000000"/>
                <w:sz w:val="18"/>
                <w:szCs w:val="18"/>
                <w:u w:val="none"/>
              </w:rPr>
            </w:pPr>
          </w:p>
          <w:p w14:paraId="22CCF315">
            <w:pPr>
              <w:rPr>
                <w:rFonts w:hint="eastAsia" w:ascii="宋体" w:hAnsi="宋体" w:eastAsia="宋体" w:cs="宋体"/>
                <w:i w:val="0"/>
                <w:iCs w:val="0"/>
                <w:color w:val="000000"/>
                <w:sz w:val="18"/>
                <w:szCs w:val="18"/>
                <w:u w:val="none"/>
              </w:rPr>
            </w:pPr>
          </w:p>
          <w:p w14:paraId="72A3A825">
            <w:pPr>
              <w:rPr>
                <w:rFonts w:hint="eastAsia" w:ascii="宋体" w:hAnsi="宋体" w:eastAsia="宋体" w:cs="宋体"/>
                <w:i w:val="0"/>
                <w:iCs w:val="0"/>
                <w:color w:val="000000"/>
                <w:sz w:val="18"/>
                <w:szCs w:val="18"/>
                <w:u w:val="none"/>
              </w:rPr>
            </w:pPr>
          </w:p>
          <w:p w14:paraId="4394106B">
            <w:pPr>
              <w:rPr>
                <w:rFonts w:hint="eastAsia" w:ascii="宋体" w:hAnsi="宋体" w:eastAsia="宋体" w:cs="宋体"/>
                <w:i w:val="0"/>
                <w:iCs w:val="0"/>
                <w:color w:val="000000"/>
                <w:sz w:val="18"/>
                <w:szCs w:val="18"/>
                <w:u w:val="none"/>
              </w:rPr>
            </w:pPr>
          </w:p>
        </w:tc>
        <w:tc>
          <w:tcPr>
            <w:tcW w:w="277" w:type="pct"/>
            <w:gridSpan w:val="2"/>
            <w:tcBorders>
              <w:top w:val="nil"/>
              <w:left w:val="nil"/>
              <w:bottom w:val="nil"/>
              <w:right w:val="nil"/>
            </w:tcBorders>
            <w:shd w:val="clear" w:color="auto" w:fill="auto"/>
            <w:vAlign w:val="center"/>
          </w:tcPr>
          <w:p w14:paraId="54BBD66A">
            <w:pPr>
              <w:rPr>
                <w:rFonts w:hint="eastAsia" w:ascii="宋体" w:hAnsi="宋体" w:eastAsia="宋体" w:cs="宋体"/>
                <w:i w:val="0"/>
                <w:iCs w:val="0"/>
                <w:color w:val="000000"/>
                <w:sz w:val="18"/>
                <w:szCs w:val="18"/>
                <w:u w:val="none"/>
              </w:rPr>
            </w:pPr>
          </w:p>
        </w:tc>
        <w:tc>
          <w:tcPr>
            <w:tcW w:w="43" w:type="pct"/>
            <w:gridSpan w:val="2"/>
            <w:tcBorders>
              <w:top w:val="nil"/>
              <w:left w:val="nil"/>
              <w:bottom w:val="nil"/>
              <w:right w:val="nil"/>
            </w:tcBorders>
            <w:shd w:val="clear" w:color="auto" w:fill="auto"/>
            <w:vAlign w:val="center"/>
          </w:tcPr>
          <w:p w14:paraId="1308A637">
            <w:pPr>
              <w:rPr>
                <w:rFonts w:hint="eastAsia" w:ascii="宋体" w:hAnsi="宋体" w:eastAsia="宋体" w:cs="宋体"/>
                <w:i w:val="0"/>
                <w:iCs w:val="0"/>
                <w:color w:val="000000"/>
                <w:sz w:val="18"/>
                <w:szCs w:val="18"/>
                <w:u w:val="none"/>
              </w:rPr>
            </w:pPr>
          </w:p>
        </w:tc>
        <w:tc>
          <w:tcPr>
            <w:tcW w:w="1154" w:type="pct"/>
            <w:gridSpan w:val="23"/>
            <w:tcBorders>
              <w:top w:val="nil"/>
              <w:left w:val="nil"/>
              <w:bottom w:val="nil"/>
              <w:right w:val="nil"/>
            </w:tcBorders>
            <w:shd w:val="clear" w:color="auto" w:fill="auto"/>
            <w:vAlign w:val="center"/>
          </w:tcPr>
          <w:p w14:paraId="3D93D953">
            <w:pPr>
              <w:rPr>
                <w:rFonts w:hint="eastAsia" w:ascii="宋体" w:hAnsi="宋体" w:eastAsia="宋体" w:cs="宋体"/>
                <w:i w:val="0"/>
                <w:iCs w:val="0"/>
                <w:color w:val="000000"/>
                <w:sz w:val="18"/>
                <w:szCs w:val="18"/>
                <w:u w:val="none"/>
              </w:rPr>
            </w:pPr>
          </w:p>
        </w:tc>
        <w:tc>
          <w:tcPr>
            <w:tcW w:w="103" w:type="pct"/>
            <w:tcBorders>
              <w:top w:val="nil"/>
              <w:left w:val="nil"/>
              <w:bottom w:val="nil"/>
              <w:right w:val="nil"/>
            </w:tcBorders>
            <w:shd w:val="clear" w:color="auto" w:fill="auto"/>
            <w:vAlign w:val="center"/>
          </w:tcPr>
          <w:p w14:paraId="303B9A40">
            <w:pPr>
              <w:rPr>
                <w:rFonts w:hint="eastAsia" w:ascii="宋体" w:hAnsi="宋体" w:eastAsia="宋体" w:cs="宋体"/>
                <w:i w:val="0"/>
                <w:iCs w:val="0"/>
                <w:color w:val="000000"/>
                <w:sz w:val="18"/>
                <w:szCs w:val="18"/>
                <w:u w:val="none"/>
              </w:rPr>
            </w:pPr>
          </w:p>
        </w:tc>
        <w:tc>
          <w:tcPr>
            <w:tcW w:w="42" w:type="pct"/>
            <w:tcBorders>
              <w:top w:val="nil"/>
              <w:left w:val="nil"/>
              <w:bottom w:val="nil"/>
              <w:right w:val="nil"/>
            </w:tcBorders>
            <w:shd w:val="clear" w:color="auto" w:fill="auto"/>
            <w:vAlign w:val="center"/>
          </w:tcPr>
          <w:p w14:paraId="53942BF8">
            <w:pPr>
              <w:rPr>
                <w:rFonts w:hint="eastAsia" w:ascii="宋体" w:hAnsi="宋体" w:eastAsia="宋体" w:cs="宋体"/>
                <w:i w:val="0"/>
                <w:iCs w:val="0"/>
                <w:color w:val="000000"/>
                <w:sz w:val="18"/>
                <w:szCs w:val="18"/>
                <w:u w:val="none"/>
              </w:rPr>
            </w:pPr>
          </w:p>
        </w:tc>
        <w:tc>
          <w:tcPr>
            <w:tcW w:w="1814" w:type="pct"/>
            <w:gridSpan w:val="3"/>
            <w:tcBorders>
              <w:top w:val="nil"/>
              <w:left w:val="nil"/>
              <w:bottom w:val="nil"/>
              <w:right w:val="nil"/>
            </w:tcBorders>
            <w:shd w:val="clear" w:color="auto" w:fill="auto"/>
            <w:vAlign w:val="center"/>
          </w:tcPr>
          <w:p w14:paraId="7BD522F1">
            <w:pPr>
              <w:rPr>
                <w:rFonts w:hint="eastAsia" w:ascii="宋体" w:hAnsi="宋体" w:eastAsia="宋体" w:cs="宋体"/>
                <w:i w:val="0"/>
                <w:iCs w:val="0"/>
                <w:color w:val="000000"/>
                <w:sz w:val="18"/>
                <w:szCs w:val="18"/>
                <w:u w:val="none"/>
              </w:rPr>
            </w:pPr>
          </w:p>
          <w:p w14:paraId="0B0F47CC">
            <w:pPr>
              <w:rPr>
                <w:rFonts w:hint="eastAsia" w:ascii="宋体" w:hAnsi="宋体" w:eastAsia="宋体" w:cs="宋体"/>
                <w:i w:val="0"/>
                <w:iCs w:val="0"/>
                <w:color w:val="000000"/>
                <w:sz w:val="18"/>
                <w:szCs w:val="18"/>
                <w:u w:val="none"/>
              </w:rPr>
            </w:pPr>
          </w:p>
          <w:p w14:paraId="53E4AD84">
            <w:pPr>
              <w:rPr>
                <w:rFonts w:hint="eastAsia" w:ascii="宋体" w:hAnsi="宋体" w:eastAsia="宋体" w:cs="宋体"/>
                <w:i w:val="0"/>
                <w:iCs w:val="0"/>
                <w:color w:val="000000"/>
                <w:sz w:val="18"/>
                <w:szCs w:val="18"/>
                <w:u w:val="none"/>
              </w:rPr>
            </w:pPr>
          </w:p>
          <w:p w14:paraId="5F121581">
            <w:pPr>
              <w:rPr>
                <w:rFonts w:hint="eastAsia" w:ascii="宋体" w:hAnsi="宋体" w:eastAsia="宋体" w:cs="宋体"/>
                <w:i w:val="0"/>
                <w:iCs w:val="0"/>
                <w:color w:val="000000"/>
                <w:sz w:val="18"/>
                <w:szCs w:val="18"/>
                <w:u w:val="none"/>
              </w:rPr>
            </w:pPr>
          </w:p>
          <w:p w14:paraId="5BCC2DD4">
            <w:pPr>
              <w:rPr>
                <w:rFonts w:hint="eastAsia" w:ascii="宋体" w:hAnsi="宋体" w:eastAsia="宋体" w:cs="宋体"/>
                <w:i w:val="0"/>
                <w:iCs w:val="0"/>
                <w:color w:val="000000"/>
                <w:sz w:val="18"/>
                <w:szCs w:val="18"/>
                <w:u w:val="none"/>
              </w:rPr>
            </w:pPr>
          </w:p>
          <w:p w14:paraId="1A5369E3">
            <w:pPr>
              <w:rPr>
                <w:rFonts w:hint="eastAsia" w:ascii="宋体" w:hAnsi="宋体" w:eastAsia="宋体" w:cs="宋体"/>
                <w:i w:val="0"/>
                <w:iCs w:val="0"/>
                <w:color w:val="000000"/>
                <w:sz w:val="18"/>
                <w:szCs w:val="18"/>
                <w:u w:val="none"/>
              </w:rPr>
            </w:pPr>
          </w:p>
          <w:p w14:paraId="291476C3">
            <w:pPr>
              <w:rPr>
                <w:rFonts w:hint="eastAsia" w:ascii="宋体" w:hAnsi="宋体" w:eastAsia="宋体" w:cs="宋体"/>
                <w:i w:val="0"/>
                <w:iCs w:val="0"/>
                <w:color w:val="000000"/>
                <w:sz w:val="18"/>
                <w:szCs w:val="18"/>
                <w:u w:val="none"/>
              </w:rPr>
            </w:pPr>
          </w:p>
          <w:p w14:paraId="189D3542">
            <w:pPr>
              <w:rPr>
                <w:rFonts w:hint="eastAsia" w:ascii="宋体" w:hAnsi="宋体" w:eastAsia="宋体" w:cs="宋体"/>
                <w:i w:val="0"/>
                <w:iCs w:val="0"/>
                <w:color w:val="000000"/>
                <w:sz w:val="18"/>
                <w:szCs w:val="18"/>
                <w:u w:val="none"/>
              </w:rPr>
            </w:pPr>
          </w:p>
        </w:tc>
        <w:tc>
          <w:tcPr>
            <w:tcW w:w="101" w:type="pct"/>
            <w:tcBorders>
              <w:top w:val="nil"/>
              <w:left w:val="nil"/>
              <w:bottom w:val="nil"/>
              <w:right w:val="nil"/>
            </w:tcBorders>
            <w:shd w:val="clear" w:color="auto" w:fill="auto"/>
            <w:vAlign w:val="center"/>
          </w:tcPr>
          <w:p w14:paraId="0C993F2D">
            <w:pPr>
              <w:rPr>
                <w:rFonts w:hint="eastAsia" w:ascii="宋体" w:hAnsi="宋体" w:eastAsia="宋体" w:cs="宋体"/>
                <w:i w:val="0"/>
                <w:iCs w:val="0"/>
                <w:color w:val="000000"/>
                <w:sz w:val="18"/>
                <w:szCs w:val="18"/>
                <w:u w:val="none"/>
              </w:rPr>
            </w:pPr>
          </w:p>
        </w:tc>
        <w:tc>
          <w:tcPr>
            <w:tcW w:w="664" w:type="pct"/>
            <w:gridSpan w:val="2"/>
            <w:tcBorders>
              <w:top w:val="nil"/>
              <w:left w:val="nil"/>
              <w:bottom w:val="nil"/>
              <w:right w:val="nil"/>
            </w:tcBorders>
            <w:shd w:val="clear" w:color="auto" w:fill="auto"/>
            <w:vAlign w:val="center"/>
          </w:tcPr>
          <w:p w14:paraId="31ABF902">
            <w:pPr>
              <w:rPr>
                <w:rFonts w:hint="eastAsia" w:ascii="宋体" w:hAnsi="宋体" w:eastAsia="宋体" w:cs="宋体"/>
                <w:i w:val="0"/>
                <w:iCs w:val="0"/>
                <w:color w:val="000000"/>
                <w:sz w:val="18"/>
                <w:szCs w:val="18"/>
                <w:u w:val="none"/>
              </w:rPr>
            </w:pPr>
          </w:p>
        </w:tc>
      </w:tr>
      <w:tr w14:paraId="6DF091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gridAfter w:val="5"/>
          <w:wAfter w:w="2456" w:type="pct"/>
          <w:trHeight w:val="684" w:hRule="atLeast"/>
        </w:trPr>
        <w:tc>
          <w:tcPr>
            <w:tcW w:w="2543" w:type="pct"/>
            <w:gridSpan w:val="35"/>
            <w:tcBorders>
              <w:top w:val="single" w:color="000000" w:sz="4" w:space="0"/>
              <w:left w:val="single" w:color="000000" w:sz="4" w:space="0"/>
              <w:bottom w:val="single" w:color="000000" w:sz="4" w:space="0"/>
              <w:right w:val="single" w:color="000000" w:sz="4" w:space="0"/>
            </w:tcBorders>
            <w:shd w:val="clear" w:color="auto" w:fill="auto"/>
            <w:vAlign w:val="center"/>
          </w:tcPr>
          <w:p w14:paraId="61EFE32B">
            <w:pPr>
              <w:keepNext w:val="0"/>
              <w:keepLines w:val="0"/>
              <w:widowControl/>
              <w:suppressLineNumbers w:val="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473C98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286" w:hRule="atLeast"/>
        </w:trPr>
        <w:tc>
          <w:tcPr>
            <w:tcW w:w="19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15AA343">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2350" w:type="pct"/>
            <w:gridSpan w:val="33"/>
            <w:tcBorders>
              <w:top w:val="single" w:color="000000" w:sz="4" w:space="0"/>
              <w:left w:val="single" w:color="000000" w:sz="4" w:space="0"/>
              <w:bottom w:val="single" w:color="000000" w:sz="4" w:space="0"/>
              <w:right w:val="single" w:color="000000" w:sz="4" w:space="0"/>
            </w:tcBorders>
            <w:shd w:val="clear" w:color="auto" w:fill="auto"/>
            <w:vAlign w:val="center"/>
          </w:tcPr>
          <w:p w14:paraId="3C9015A2">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51322423T000009926335-基本公共卫生服务（直达资金）</w:t>
            </w:r>
          </w:p>
        </w:tc>
      </w:tr>
      <w:tr w14:paraId="031EE7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512" w:hRule="atLeast"/>
        </w:trPr>
        <w:tc>
          <w:tcPr>
            <w:tcW w:w="19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EA80C7D">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40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CAC8034">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松潘县卫生健康局本级</w:t>
            </w:r>
          </w:p>
        </w:tc>
        <w:tc>
          <w:tcPr>
            <w:tcW w:w="964" w:type="pct"/>
            <w:gridSpan w:val="15"/>
            <w:tcBorders>
              <w:top w:val="nil"/>
              <w:left w:val="nil"/>
              <w:bottom w:val="nil"/>
              <w:right w:val="nil"/>
            </w:tcBorders>
            <w:shd w:val="clear" w:color="auto" w:fill="auto"/>
            <w:vAlign w:val="center"/>
          </w:tcPr>
          <w:p w14:paraId="44E47101">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982" w:type="pct"/>
            <w:gridSpan w:val="16"/>
            <w:tcBorders>
              <w:top w:val="single" w:color="000000" w:sz="4" w:space="0"/>
              <w:left w:val="single" w:color="000000" w:sz="4" w:space="0"/>
              <w:bottom w:val="single" w:color="000000" w:sz="4" w:space="0"/>
              <w:right w:val="single" w:color="000000" w:sz="4" w:space="0"/>
            </w:tcBorders>
            <w:shd w:val="clear" w:color="auto" w:fill="auto"/>
            <w:vAlign w:val="center"/>
          </w:tcPr>
          <w:p w14:paraId="54D17572">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松潘县疾病预防控制中心</w:t>
            </w:r>
          </w:p>
        </w:tc>
      </w:tr>
      <w:tr w14:paraId="4D0743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286" w:hRule="atLeast"/>
        </w:trPr>
        <w:tc>
          <w:tcPr>
            <w:tcW w:w="15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6C092F7">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445" w:type="pct"/>
            <w:gridSpan w:val="3"/>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F4D4129">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964" w:type="pct"/>
            <w:gridSpan w:val="15"/>
            <w:tcBorders>
              <w:top w:val="single" w:color="000000" w:sz="4" w:space="0"/>
              <w:left w:val="single" w:color="000000" w:sz="4" w:space="0"/>
              <w:bottom w:val="single" w:color="000000" w:sz="4" w:space="0"/>
              <w:right w:val="single" w:color="000000" w:sz="4" w:space="0"/>
            </w:tcBorders>
            <w:shd w:val="clear" w:color="auto" w:fill="auto"/>
            <w:vAlign w:val="center"/>
          </w:tcPr>
          <w:p w14:paraId="7739F840">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982" w:type="pct"/>
            <w:gridSpan w:val="16"/>
            <w:tcBorders>
              <w:top w:val="single" w:color="000000" w:sz="4" w:space="0"/>
              <w:left w:val="single" w:color="000000" w:sz="4" w:space="0"/>
              <w:bottom w:val="single" w:color="000000" w:sz="4" w:space="0"/>
              <w:right w:val="single" w:color="000000" w:sz="4" w:space="0"/>
            </w:tcBorders>
            <w:shd w:val="clear" w:color="auto" w:fill="auto"/>
            <w:vAlign w:val="center"/>
          </w:tcPr>
          <w:p w14:paraId="55F7B883">
            <w:pPr>
              <w:keepNext w:val="0"/>
              <w:keepLines w:val="0"/>
              <w:widowControl/>
              <w:suppressLineNumbers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744E92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368" w:hRule="atLeast"/>
        </w:trPr>
        <w:tc>
          <w:tcPr>
            <w:tcW w:w="1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2C65B9">
            <w:pPr>
              <w:rPr>
                <w:rFonts w:hint="eastAsia" w:ascii="宋体" w:hAnsi="宋体" w:eastAsia="宋体" w:cs="宋体"/>
                <w:i w:val="0"/>
                <w:iCs w:val="0"/>
                <w:color w:val="000000"/>
                <w:sz w:val="18"/>
                <w:szCs w:val="18"/>
                <w:u w:val="none"/>
              </w:rPr>
            </w:pPr>
          </w:p>
        </w:tc>
        <w:tc>
          <w:tcPr>
            <w:tcW w:w="445" w:type="pct"/>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93E9AC">
            <w:pPr>
              <w:rPr>
                <w:rFonts w:hint="eastAsia" w:ascii="宋体" w:hAnsi="宋体" w:eastAsia="宋体" w:cs="宋体"/>
                <w:i w:val="0"/>
                <w:iCs w:val="0"/>
                <w:color w:val="000000"/>
                <w:sz w:val="18"/>
                <w:szCs w:val="18"/>
                <w:u w:val="none"/>
              </w:rPr>
            </w:pPr>
          </w:p>
        </w:tc>
        <w:tc>
          <w:tcPr>
            <w:tcW w:w="964" w:type="pct"/>
            <w:gridSpan w:val="15"/>
            <w:tcBorders>
              <w:top w:val="single" w:color="000000" w:sz="4" w:space="0"/>
              <w:left w:val="single" w:color="000000" w:sz="4" w:space="0"/>
              <w:bottom w:val="single" w:color="000000" w:sz="4" w:space="0"/>
              <w:right w:val="single" w:color="000000" w:sz="4" w:space="0"/>
            </w:tcBorders>
            <w:shd w:val="clear" w:color="auto" w:fill="auto"/>
            <w:vAlign w:val="center"/>
          </w:tcPr>
          <w:p w14:paraId="2740EB3C">
            <w:pPr>
              <w:rPr>
                <w:rFonts w:hint="eastAsia" w:ascii="宋体" w:hAnsi="宋体" w:eastAsia="宋体" w:cs="宋体"/>
                <w:i w:val="0"/>
                <w:iCs w:val="0"/>
                <w:color w:val="000000"/>
                <w:sz w:val="18"/>
                <w:szCs w:val="18"/>
                <w:u w:val="none"/>
              </w:rPr>
            </w:pPr>
          </w:p>
        </w:tc>
        <w:tc>
          <w:tcPr>
            <w:tcW w:w="982" w:type="pct"/>
            <w:gridSpan w:val="16"/>
            <w:tcBorders>
              <w:top w:val="single" w:color="000000" w:sz="4" w:space="0"/>
              <w:left w:val="single" w:color="000000" w:sz="4" w:space="0"/>
              <w:bottom w:val="single" w:color="000000" w:sz="4" w:space="0"/>
              <w:right w:val="single" w:color="000000" w:sz="4" w:space="0"/>
            </w:tcBorders>
            <w:shd w:val="clear" w:color="auto" w:fill="auto"/>
            <w:vAlign w:val="center"/>
          </w:tcPr>
          <w:p w14:paraId="3D8F8AEC">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对照年度目标，说明相关任务目标的完成情况（100字以内）</w:t>
            </w:r>
          </w:p>
        </w:tc>
      </w:tr>
      <w:tr w14:paraId="7410BA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398" w:hRule="atLeast"/>
        </w:trPr>
        <w:tc>
          <w:tcPr>
            <w:tcW w:w="1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DB7AED">
            <w:pPr>
              <w:rPr>
                <w:rFonts w:hint="eastAsia" w:ascii="宋体" w:hAnsi="宋体" w:eastAsia="宋体" w:cs="宋体"/>
                <w:i w:val="0"/>
                <w:iCs w:val="0"/>
                <w:color w:val="000000"/>
                <w:sz w:val="18"/>
                <w:szCs w:val="18"/>
                <w:u w:val="none"/>
              </w:rPr>
            </w:pPr>
          </w:p>
        </w:tc>
        <w:tc>
          <w:tcPr>
            <w:tcW w:w="445"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1F9A320">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1946" w:type="pct"/>
            <w:gridSpan w:val="31"/>
            <w:tcBorders>
              <w:top w:val="single" w:color="000000" w:sz="4" w:space="0"/>
              <w:left w:val="single" w:color="000000" w:sz="4" w:space="0"/>
              <w:bottom w:val="single" w:color="000000" w:sz="4" w:space="0"/>
              <w:right w:val="single" w:color="000000" w:sz="4" w:space="0"/>
            </w:tcBorders>
            <w:shd w:val="clear" w:color="auto" w:fill="auto"/>
            <w:vAlign w:val="center"/>
          </w:tcPr>
          <w:p w14:paraId="7B51C212">
            <w:pPr>
              <w:rPr>
                <w:rFonts w:hint="eastAsia" w:ascii="宋体" w:hAnsi="宋体" w:eastAsia="宋体" w:cs="宋体"/>
                <w:i w:val="0"/>
                <w:iCs w:val="0"/>
                <w:color w:val="000000"/>
                <w:sz w:val="18"/>
                <w:szCs w:val="18"/>
                <w:u w:val="none"/>
              </w:rPr>
            </w:pPr>
          </w:p>
        </w:tc>
      </w:tr>
      <w:tr w14:paraId="5F2D3A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361" w:hRule="atLeast"/>
        </w:trPr>
        <w:tc>
          <w:tcPr>
            <w:tcW w:w="15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3EB6764">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445"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B0B87C9">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230"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459B62B">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29B2C7F">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445"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4E0C9E55">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195"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948AC20">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11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10B4C7F">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101"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65424CB8">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583"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FD204AB">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14:paraId="77BC7C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346" w:hRule="atLeast"/>
        </w:trPr>
        <w:tc>
          <w:tcPr>
            <w:tcW w:w="1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203973">
            <w:pPr>
              <w:jc w:val="center"/>
              <w:rPr>
                <w:rFonts w:hint="eastAsia" w:ascii="宋体" w:hAnsi="宋体" w:eastAsia="宋体" w:cs="宋体"/>
                <w:i w:val="0"/>
                <w:iCs w:val="0"/>
                <w:color w:val="000000"/>
                <w:sz w:val="18"/>
                <w:szCs w:val="18"/>
                <w:u w:val="none"/>
              </w:rPr>
            </w:pPr>
          </w:p>
        </w:tc>
        <w:tc>
          <w:tcPr>
            <w:tcW w:w="445"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38A87E3">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230"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348AAD4">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FA4570F">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38.84</w:t>
            </w:r>
          </w:p>
        </w:tc>
        <w:tc>
          <w:tcPr>
            <w:tcW w:w="456" w:type="pct"/>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57D5931B">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38.84</w:t>
            </w:r>
          </w:p>
        </w:tc>
        <w:tc>
          <w:tcPr>
            <w:tcW w:w="185"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28487E7">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11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1E4B949">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01"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C1EFE60">
            <w:pPr>
              <w:jc w:val="center"/>
              <w:rPr>
                <w:rFonts w:hint="eastAsia" w:ascii="宋体" w:hAnsi="宋体" w:eastAsia="宋体" w:cs="宋体"/>
                <w:i w:val="0"/>
                <w:iCs w:val="0"/>
                <w:color w:val="000000"/>
                <w:sz w:val="18"/>
                <w:szCs w:val="18"/>
                <w:u w:val="none"/>
              </w:rPr>
            </w:pPr>
          </w:p>
        </w:tc>
        <w:tc>
          <w:tcPr>
            <w:tcW w:w="583" w:type="pct"/>
            <w:gridSpan w:val="5"/>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EB14915">
            <w:pPr>
              <w:keepNext w:val="0"/>
              <w:keepLines w:val="0"/>
              <w:widowControl/>
              <w:suppressLineNumbers w:val="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780D6C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391" w:hRule="atLeast"/>
        </w:trPr>
        <w:tc>
          <w:tcPr>
            <w:tcW w:w="1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8EA9F8">
            <w:pPr>
              <w:jc w:val="center"/>
              <w:rPr>
                <w:rFonts w:hint="eastAsia" w:ascii="宋体" w:hAnsi="宋体" w:eastAsia="宋体" w:cs="宋体"/>
                <w:i w:val="0"/>
                <w:iCs w:val="0"/>
                <w:color w:val="000000"/>
                <w:sz w:val="18"/>
                <w:szCs w:val="18"/>
                <w:u w:val="none"/>
              </w:rPr>
            </w:pPr>
          </w:p>
        </w:tc>
        <w:tc>
          <w:tcPr>
            <w:tcW w:w="445"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154BDF">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230"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5DC23F4">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DDB571D">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38.84</w:t>
            </w:r>
          </w:p>
        </w:tc>
        <w:tc>
          <w:tcPr>
            <w:tcW w:w="456" w:type="pct"/>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04A48F67">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38.84</w:t>
            </w:r>
          </w:p>
        </w:tc>
        <w:tc>
          <w:tcPr>
            <w:tcW w:w="185"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24BD581C">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11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10EB742">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1"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288604E8">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83" w:type="pct"/>
            <w:gridSpan w:val="5"/>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3D4DA5">
            <w:pPr>
              <w:rPr>
                <w:rFonts w:hint="eastAsia" w:ascii="黑体" w:hAnsi="黑体" w:eastAsia="黑体" w:cs="黑体"/>
                <w:i/>
                <w:iCs/>
                <w:color w:val="000000"/>
                <w:sz w:val="18"/>
                <w:szCs w:val="18"/>
                <w:u w:val="none"/>
              </w:rPr>
            </w:pPr>
          </w:p>
        </w:tc>
      </w:tr>
      <w:tr w14:paraId="3CAF79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407" w:hRule="atLeast"/>
        </w:trPr>
        <w:tc>
          <w:tcPr>
            <w:tcW w:w="1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BA2700">
            <w:pPr>
              <w:jc w:val="center"/>
              <w:rPr>
                <w:rFonts w:hint="eastAsia" w:ascii="宋体" w:hAnsi="宋体" w:eastAsia="宋体" w:cs="宋体"/>
                <w:i w:val="0"/>
                <w:iCs w:val="0"/>
                <w:color w:val="000000"/>
                <w:sz w:val="18"/>
                <w:szCs w:val="18"/>
                <w:u w:val="none"/>
              </w:rPr>
            </w:pPr>
          </w:p>
        </w:tc>
        <w:tc>
          <w:tcPr>
            <w:tcW w:w="445"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85D6C1C">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230"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60C00D4">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03FAC03">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6" w:type="pct"/>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059A58C2">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85"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E9EF676">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1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BE76622">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1"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22D6860F">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83" w:type="pct"/>
            <w:gridSpan w:val="5"/>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25CF68">
            <w:pPr>
              <w:rPr>
                <w:rFonts w:hint="eastAsia" w:ascii="黑体" w:hAnsi="黑体" w:eastAsia="黑体" w:cs="黑体"/>
                <w:i/>
                <w:iCs/>
                <w:color w:val="000000"/>
                <w:sz w:val="18"/>
                <w:szCs w:val="18"/>
                <w:u w:val="none"/>
              </w:rPr>
            </w:pPr>
          </w:p>
        </w:tc>
      </w:tr>
      <w:tr w14:paraId="785A45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361" w:hRule="atLeast"/>
        </w:trPr>
        <w:tc>
          <w:tcPr>
            <w:tcW w:w="1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9C3EA1">
            <w:pPr>
              <w:jc w:val="center"/>
              <w:rPr>
                <w:rFonts w:hint="eastAsia" w:ascii="宋体" w:hAnsi="宋体" w:eastAsia="宋体" w:cs="宋体"/>
                <w:i w:val="0"/>
                <w:iCs w:val="0"/>
                <w:color w:val="000000"/>
                <w:sz w:val="18"/>
                <w:szCs w:val="18"/>
                <w:u w:val="none"/>
              </w:rPr>
            </w:pPr>
          </w:p>
        </w:tc>
        <w:tc>
          <w:tcPr>
            <w:tcW w:w="445"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BB4D050">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230"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1EA63BF">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E770E6D">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456" w:type="pct"/>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43139897">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85"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777837D">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1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8AC9592">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1"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3EF235E">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83" w:type="pct"/>
            <w:gridSpan w:val="5"/>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4838F6">
            <w:pPr>
              <w:rPr>
                <w:rFonts w:hint="eastAsia" w:ascii="黑体" w:hAnsi="黑体" w:eastAsia="黑体" w:cs="黑体"/>
                <w:i/>
                <w:iCs/>
                <w:color w:val="000000"/>
                <w:sz w:val="18"/>
                <w:szCs w:val="18"/>
                <w:u w:val="none"/>
              </w:rPr>
            </w:pPr>
          </w:p>
        </w:tc>
      </w:tr>
      <w:tr w14:paraId="2EDD78B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5"/>
          <w:wAfter w:w="2456" w:type="pct"/>
          <w:trHeight w:val="339" w:hRule="atLeast"/>
        </w:trPr>
        <w:tc>
          <w:tcPr>
            <w:tcW w:w="1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9499B6">
            <w:pPr>
              <w:jc w:val="center"/>
              <w:rPr>
                <w:rFonts w:hint="eastAsia" w:ascii="宋体" w:hAnsi="宋体" w:eastAsia="宋体" w:cs="宋体"/>
                <w:i w:val="0"/>
                <w:iCs w:val="0"/>
                <w:color w:val="000000"/>
                <w:sz w:val="18"/>
                <w:szCs w:val="18"/>
                <w:u w:val="none"/>
              </w:rPr>
            </w:pPr>
          </w:p>
        </w:tc>
        <w:tc>
          <w:tcPr>
            <w:tcW w:w="445"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0463A44">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230"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3DA84C5">
            <w:pPr>
              <w:jc w:val="center"/>
              <w:rPr>
                <w:rFonts w:hint="eastAsia" w:ascii="微软雅黑" w:hAnsi="微软雅黑" w:eastAsia="微软雅黑" w:cs="微软雅黑"/>
                <w:i/>
                <w:iCs/>
                <w:color w:val="000000"/>
                <w:sz w:val="16"/>
                <w:szCs w:val="16"/>
                <w:u w:val="none"/>
              </w:rPr>
            </w:pP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4708D97">
            <w:pPr>
              <w:jc w:val="center"/>
              <w:rPr>
                <w:rFonts w:hint="eastAsia" w:ascii="微软雅黑" w:hAnsi="微软雅黑" w:eastAsia="微软雅黑" w:cs="微软雅黑"/>
                <w:i/>
                <w:iCs/>
                <w:color w:val="000000"/>
                <w:sz w:val="16"/>
                <w:szCs w:val="16"/>
                <w:u w:val="none"/>
              </w:rPr>
            </w:pPr>
          </w:p>
        </w:tc>
        <w:tc>
          <w:tcPr>
            <w:tcW w:w="456" w:type="pct"/>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1129F525">
            <w:pPr>
              <w:jc w:val="center"/>
              <w:rPr>
                <w:rFonts w:hint="eastAsia" w:ascii="微软雅黑" w:hAnsi="微软雅黑" w:eastAsia="微软雅黑" w:cs="微软雅黑"/>
                <w:i/>
                <w:iCs/>
                <w:color w:val="000000"/>
                <w:sz w:val="16"/>
                <w:szCs w:val="16"/>
                <w:u w:val="none"/>
              </w:rPr>
            </w:pPr>
          </w:p>
        </w:tc>
        <w:tc>
          <w:tcPr>
            <w:tcW w:w="185"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6A218091">
            <w:pPr>
              <w:jc w:val="center"/>
              <w:rPr>
                <w:rFonts w:hint="eastAsia" w:ascii="微软雅黑" w:hAnsi="微软雅黑" w:eastAsia="微软雅黑" w:cs="微软雅黑"/>
                <w:i/>
                <w:iCs/>
                <w:color w:val="000000"/>
                <w:sz w:val="16"/>
                <w:szCs w:val="16"/>
                <w:u w:val="none"/>
              </w:rPr>
            </w:pPr>
          </w:p>
        </w:tc>
        <w:tc>
          <w:tcPr>
            <w:tcW w:w="11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6F98D40">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1"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46F09F3">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83" w:type="pct"/>
            <w:gridSpan w:val="5"/>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D6555D">
            <w:pPr>
              <w:rPr>
                <w:rFonts w:hint="eastAsia" w:ascii="黑体" w:hAnsi="黑体" w:eastAsia="黑体" w:cs="黑体"/>
                <w:i/>
                <w:iCs/>
                <w:color w:val="000000"/>
                <w:sz w:val="18"/>
                <w:szCs w:val="18"/>
                <w:u w:val="none"/>
              </w:rPr>
            </w:pPr>
          </w:p>
        </w:tc>
      </w:tr>
      <w:tr w14:paraId="34E5E0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5"/>
          <w:wAfter w:w="2456" w:type="pct"/>
          <w:trHeight w:val="452" w:hRule="atLeast"/>
        </w:trPr>
        <w:tc>
          <w:tcPr>
            <w:tcW w:w="15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51CB2A2">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445"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AE6C8D9">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230"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AF0BDA8">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A0C9814">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134"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5B0AB9">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107"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F952D78">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213"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00201B9">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185"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2AF25C55">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200"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BF40707">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101"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277392C">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495"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7BEEA295">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14:paraId="5BF8BE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339" w:hRule="atLeast"/>
        </w:trPr>
        <w:tc>
          <w:tcPr>
            <w:tcW w:w="15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C60EE2">
            <w:pPr>
              <w:jc w:val="center"/>
              <w:rPr>
                <w:rFonts w:hint="eastAsia" w:ascii="宋体" w:hAnsi="宋体" w:eastAsia="宋体" w:cs="宋体"/>
                <w:i w:val="0"/>
                <w:iCs w:val="0"/>
                <w:color w:val="000000"/>
                <w:sz w:val="18"/>
                <w:szCs w:val="18"/>
                <w:u w:val="none"/>
              </w:rPr>
            </w:pPr>
          </w:p>
        </w:tc>
        <w:tc>
          <w:tcPr>
            <w:tcW w:w="445"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C0DC3BF">
            <w:pPr>
              <w:jc w:val="center"/>
              <w:rPr>
                <w:rFonts w:hint="eastAsia" w:ascii="宋体" w:hAnsi="宋体" w:eastAsia="宋体" w:cs="宋体"/>
                <w:i w:val="0"/>
                <w:iCs w:val="0"/>
                <w:color w:val="000000"/>
                <w:sz w:val="18"/>
                <w:szCs w:val="18"/>
                <w:u w:val="none"/>
              </w:rPr>
            </w:pPr>
          </w:p>
        </w:tc>
        <w:tc>
          <w:tcPr>
            <w:tcW w:w="230"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ACF6516">
            <w:pPr>
              <w:jc w:val="center"/>
              <w:rPr>
                <w:rFonts w:hint="eastAsia" w:ascii="宋体" w:hAnsi="宋体" w:eastAsia="宋体" w:cs="宋体"/>
                <w:i w:val="0"/>
                <w:iCs w:val="0"/>
                <w:color w:val="000000"/>
                <w:sz w:val="18"/>
                <w:szCs w:val="18"/>
                <w:u w:val="none"/>
              </w:rPr>
            </w:pPr>
          </w:p>
        </w:tc>
        <w:tc>
          <w:tcPr>
            <w:tcW w:w="27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05030EB">
            <w:pPr>
              <w:jc w:val="center"/>
              <w:rPr>
                <w:rFonts w:hint="eastAsia" w:ascii="宋体" w:hAnsi="宋体" w:eastAsia="宋体" w:cs="宋体"/>
                <w:i w:val="0"/>
                <w:iCs w:val="0"/>
                <w:color w:val="000000"/>
                <w:sz w:val="18"/>
                <w:szCs w:val="18"/>
                <w:u w:val="none"/>
              </w:rPr>
            </w:pPr>
          </w:p>
        </w:tc>
        <w:tc>
          <w:tcPr>
            <w:tcW w:w="134"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AE236EC">
            <w:pPr>
              <w:jc w:val="center"/>
              <w:rPr>
                <w:rFonts w:hint="eastAsia" w:ascii="宋体" w:hAnsi="宋体" w:eastAsia="宋体" w:cs="宋体"/>
                <w:i w:val="0"/>
                <w:iCs w:val="0"/>
                <w:color w:val="000000"/>
                <w:sz w:val="18"/>
                <w:szCs w:val="18"/>
                <w:u w:val="none"/>
              </w:rPr>
            </w:pPr>
          </w:p>
        </w:tc>
        <w:tc>
          <w:tcPr>
            <w:tcW w:w="107"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D717883">
            <w:pPr>
              <w:jc w:val="center"/>
              <w:rPr>
                <w:rFonts w:hint="eastAsia" w:ascii="宋体" w:hAnsi="宋体" w:eastAsia="宋体" w:cs="宋体"/>
                <w:i w:val="0"/>
                <w:iCs w:val="0"/>
                <w:color w:val="000000"/>
                <w:sz w:val="18"/>
                <w:szCs w:val="18"/>
                <w:u w:val="none"/>
              </w:rPr>
            </w:pPr>
          </w:p>
        </w:tc>
        <w:tc>
          <w:tcPr>
            <w:tcW w:w="213"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3A4219C">
            <w:pPr>
              <w:jc w:val="center"/>
              <w:rPr>
                <w:rFonts w:hint="eastAsia" w:ascii="宋体" w:hAnsi="宋体" w:eastAsia="宋体" w:cs="宋体"/>
                <w:i w:val="0"/>
                <w:iCs w:val="0"/>
                <w:color w:val="000000"/>
                <w:sz w:val="18"/>
                <w:szCs w:val="18"/>
                <w:u w:val="none"/>
              </w:rPr>
            </w:pPr>
          </w:p>
        </w:tc>
        <w:tc>
          <w:tcPr>
            <w:tcW w:w="185"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EBD0A85">
            <w:pPr>
              <w:jc w:val="center"/>
              <w:rPr>
                <w:rFonts w:hint="eastAsia" w:ascii="微软雅黑" w:hAnsi="微软雅黑" w:eastAsia="微软雅黑" w:cs="微软雅黑"/>
                <w:i/>
                <w:iCs/>
                <w:color w:val="000000"/>
                <w:sz w:val="16"/>
                <w:szCs w:val="16"/>
                <w:u w:val="none"/>
              </w:rPr>
            </w:pPr>
          </w:p>
        </w:tc>
        <w:tc>
          <w:tcPr>
            <w:tcW w:w="200"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3FBA85C">
            <w:pPr>
              <w:jc w:val="center"/>
              <w:rPr>
                <w:rFonts w:hint="eastAsia" w:ascii="宋体" w:hAnsi="宋体" w:eastAsia="宋体" w:cs="宋体"/>
                <w:i w:val="0"/>
                <w:iCs w:val="0"/>
                <w:color w:val="000000"/>
                <w:sz w:val="18"/>
                <w:szCs w:val="18"/>
                <w:u w:val="none"/>
              </w:rPr>
            </w:pPr>
          </w:p>
        </w:tc>
        <w:tc>
          <w:tcPr>
            <w:tcW w:w="101"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41459A5">
            <w:pPr>
              <w:jc w:val="center"/>
              <w:rPr>
                <w:rFonts w:hint="eastAsia" w:ascii="宋体" w:hAnsi="宋体" w:eastAsia="宋体" w:cs="宋体"/>
                <w:i w:val="0"/>
                <w:iCs w:val="0"/>
                <w:color w:val="000000"/>
                <w:sz w:val="18"/>
                <w:szCs w:val="18"/>
                <w:u w:val="none"/>
              </w:rPr>
            </w:pPr>
          </w:p>
        </w:tc>
        <w:tc>
          <w:tcPr>
            <w:tcW w:w="495"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79ACBBF">
            <w:pPr>
              <w:jc w:val="center"/>
              <w:rPr>
                <w:rFonts w:hint="eastAsia" w:ascii="微软雅黑" w:hAnsi="微软雅黑" w:eastAsia="微软雅黑" w:cs="微软雅黑"/>
                <w:i/>
                <w:iCs/>
                <w:color w:val="000000"/>
                <w:sz w:val="16"/>
                <w:szCs w:val="16"/>
                <w:u w:val="none"/>
              </w:rPr>
            </w:pPr>
          </w:p>
        </w:tc>
      </w:tr>
      <w:tr w14:paraId="1E4C2CE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5"/>
          <w:wAfter w:w="2456" w:type="pct"/>
          <w:trHeight w:val="286" w:hRule="atLeast"/>
        </w:trPr>
        <w:tc>
          <w:tcPr>
            <w:tcW w:w="1667" w:type="pct"/>
            <w:gridSpan w:val="21"/>
            <w:tcBorders>
              <w:top w:val="single" w:color="000000" w:sz="4" w:space="0"/>
              <w:left w:val="single" w:color="000000" w:sz="4" w:space="0"/>
              <w:bottom w:val="single" w:color="000000" w:sz="4" w:space="0"/>
              <w:right w:val="single" w:color="000000" w:sz="4" w:space="0"/>
            </w:tcBorders>
            <w:shd w:val="clear" w:color="auto" w:fill="auto"/>
            <w:vAlign w:val="center"/>
          </w:tcPr>
          <w:p w14:paraId="469CFAB1">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11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3FDE428">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101"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CDBE972">
            <w:pPr>
              <w:rPr>
                <w:rFonts w:hint="eastAsia" w:ascii="宋体" w:hAnsi="宋体" w:eastAsia="宋体" w:cs="宋体"/>
                <w:i w:val="0"/>
                <w:iCs w:val="0"/>
                <w:color w:val="000000"/>
                <w:sz w:val="18"/>
                <w:szCs w:val="18"/>
                <w:u w:val="none"/>
              </w:rPr>
            </w:pPr>
          </w:p>
        </w:tc>
        <w:tc>
          <w:tcPr>
            <w:tcW w:w="662" w:type="pct"/>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5753681C">
            <w:pPr>
              <w:rPr>
                <w:rFonts w:hint="eastAsia" w:ascii="宋体" w:hAnsi="宋体" w:eastAsia="宋体" w:cs="宋体"/>
                <w:i w:val="0"/>
                <w:iCs w:val="0"/>
                <w:color w:val="000000"/>
                <w:sz w:val="18"/>
                <w:szCs w:val="18"/>
                <w:u w:val="none"/>
              </w:rPr>
            </w:pPr>
          </w:p>
        </w:tc>
      </w:tr>
      <w:tr w14:paraId="3810FE6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5"/>
          <w:wAfter w:w="2456" w:type="pct"/>
          <w:trHeight w:val="458" w:hRule="atLeast"/>
        </w:trPr>
        <w:tc>
          <w:tcPr>
            <w:tcW w:w="1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E98DA4">
            <w:pPr>
              <w:keepNext w:val="0"/>
              <w:keepLines w:val="0"/>
              <w:widowControl/>
              <w:suppressLineNumbers w:val="0"/>
              <w:jc w:val="center"/>
              <w:textAlignment w:val="center"/>
              <w:rPr>
                <w:rFonts w:ascii="宋体" w:hAnsi="宋体" w:eastAsia="宋体" w:cs="宋体"/>
                <w:i w:val="0"/>
                <w:iCs w:val="0"/>
                <w:color w:val="000000"/>
                <w:sz w:val="15"/>
                <w:szCs w:val="15"/>
                <w:u w:val="none"/>
              </w:rPr>
            </w:pPr>
            <w:r>
              <w:rPr>
                <w:rFonts w:ascii="宋体" w:hAnsi="宋体" w:eastAsia="宋体" w:cs="宋体"/>
                <w:i w:val="0"/>
                <w:iCs w:val="0"/>
                <w:color w:val="000000"/>
                <w:kern w:val="0"/>
                <w:sz w:val="15"/>
                <w:szCs w:val="15"/>
                <w:u w:val="none"/>
                <w:lang w:val="en-US" w:eastAsia="zh-CN" w:bidi="ar"/>
              </w:rPr>
              <w:t>评价结论</w:t>
            </w:r>
          </w:p>
        </w:tc>
        <w:tc>
          <w:tcPr>
            <w:tcW w:w="2392" w:type="pct"/>
            <w:gridSpan w:val="34"/>
            <w:tcBorders>
              <w:top w:val="single" w:color="000000" w:sz="4" w:space="0"/>
              <w:left w:val="single" w:color="000000" w:sz="4" w:space="0"/>
              <w:bottom w:val="single" w:color="000000" w:sz="4" w:space="0"/>
              <w:right w:val="single" w:color="000000" w:sz="4" w:space="0"/>
            </w:tcBorders>
            <w:shd w:val="clear" w:color="auto" w:fill="auto"/>
            <w:vAlign w:val="center"/>
          </w:tcPr>
          <w:p w14:paraId="6483F722">
            <w:pPr>
              <w:keepNext w:val="0"/>
              <w:keepLines w:val="0"/>
              <w:widowControl/>
              <w:suppressLineNumbers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结合自评情况，说明项目自评总分，说明项目实施取得的成效或成果。（200字以内）</w:t>
            </w:r>
          </w:p>
        </w:tc>
      </w:tr>
      <w:tr w14:paraId="49111F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427" w:hRule="atLeast"/>
        </w:trPr>
        <w:tc>
          <w:tcPr>
            <w:tcW w:w="1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296C0A">
            <w:pPr>
              <w:keepNext w:val="0"/>
              <w:keepLines w:val="0"/>
              <w:widowControl/>
              <w:suppressLineNumbers w:val="0"/>
              <w:jc w:val="center"/>
              <w:textAlignment w:val="center"/>
              <w:rPr>
                <w:rFonts w:ascii="宋体" w:hAnsi="宋体" w:eastAsia="宋体" w:cs="宋体"/>
                <w:i w:val="0"/>
                <w:iCs w:val="0"/>
                <w:color w:val="000000"/>
                <w:sz w:val="15"/>
                <w:szCs w:val="15"/>
                <w:u w:val="none"/>
              </w:rPr>
            </w:pPr>
            <w:r>
              <w:rPr>
                <w:rFonts w:ascii="宋体" w:hAnsi="宋体" w:eastAsia="宋体" w:cs="宋体"/>
                <w:i w:val="0"/>
                <w:iCs w:val="0"/>
                <w:color w:val="000000"/>
                <w:kern w:val="0"/>
                <w:sz w:val="15"/>
                <w:szCs w:val="15"/>
                <w:u w:val="none"/>
                <w:lang w:val="en-US" w:eastAsia="zh-CN" w:bidi="ar"/>
              </w:rPr>
              <w:t>存在问题</w:t>
            </w:r>
          </w:p>
        </w:tc>
        <w:tc>
          <w:tcPr>
            <w:tcW w:w="2392" w:type="pct"/>
            <w:gridSpan w:val="34"/>
            <w:tcBorders>
              <w:top w:val="single" w:color="000000" w:sz="4" w:space="0"/>
              <w:left w:val="single" w:color="000000" w:sz="4" w:space="0"/>
              <w:bottom w:val="single" w:color="000000" w:sz="4" w:space="0"/>
              <w:right w:val="single" w:color="000000" w:sz="4" w:space="0"/>
            </w:tcBorders>
            <w:shd w:val="clear" w:color="auto" w:fill="auto"/>
            <w:vAlign w:val="center"/>
          </w:tcPr>
          <w:p w14:paraId="46DACD6A">
            <w:pPr>
              <w:keepNext w:val="0"/>
              <w:keepLines w:val="0"/>
              <w:widowControl/>
              <w:suppressLineNumbers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结合自评情况，分析存在的问题及原因。（200字以内）</w:t>
            </w:r>
          </w:p>
        </w:tc>
      </w:tr>
      <w:tr w14:paraId="771CB2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323" w:hRule="atLeast"/>
        </w:trPr>
        <w:tc>
          <w:tcPr>
            <w:tcW w:w="1210"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76321C95">
            <w:pPr>
              <w:keepNext w:val="0"/>
              <w:keepLines w:val="0"/>
              <w:widowControl/>
              <w:suppressLineNumbers w:val="0"/>
              <w:jc w:val="center"/>
              <w:textAlignment w:val="center"/>
              <w:rPr>
                <w:rFonts w:ascii="宋体" w:hAnsi="宋体" w:eastAsia="宋体" w:cs="宋体"/>
                <w:i w:val="0"/>
                <w:iCs w:val="0"/>
                <w:color w:val="000000"/>
                <w:kern w:val="0"/>
                <w:sz w:val="15"/>
                <w:szCs w:val="15"/>
                <w:u w:val="none"/>
                <w:lang w:val="en-US" w:eastAsia="zh-CN" w:bidi="ar"/>
              </w:rPr>
            </w:pPr>
            <w:r>
              <w:rPr>
                <w:rFonts w:ascii="宋体" w:hAnsi="宋体" w:eastAsia="宋体" w:cs="宋体"/>
                <w:i w:val="0"/>
                <w:iCs w:val="0"/>
                <w:color w:val="000000"/>
                <w:kern w:val="0"/>
                <w:sz w:val="15"/>
                <w:szCs w:val="15"/>
                <w:u w:val="none"/>
                <w:lang w:val="en-US" w:eastAsia="zh-CN" w:bidi="ar"/>
              </w:rPr>
              <w:t>改进措施</w:t>
            </w:r>
          </w:p>
        </w:tc>
        <w:tc>
          <w:tcPr>
            <w:tcW w:w="1333" w:type="pct"/>
            <w:gridSpan w:val="25"/>
            <w:tcBorders>
              <w:top w:val="single" w:color="000000" w:sz="4" w:space="0"/>
              <w:left w:val="single" w:color="000000" w:sz="4" w:space="0"/>
              <w:bottom w:val="single" w:color="000000" w:sz="4" w:space="0"/>
              <w:right w:val="single" w:color="000000" w:sz="4" w:space="0"/>
            </w:tcBorders>
            <w:shd w:val="clear" w:color="auto" w:fill="auto"/>
            <w:vAlign w:val="center"/>
          </w:tcPr>
          <w:p w14:paraId="7FB4F829">
            <w:pPr>
              <w:keepNext w:val="0"/>
              <w:keepLines w:val="0"/>
              <w:widowControl/>
              <w:suppressLineNumbers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针对项目自评中发现的问题，提出下一步改进完善的意见及有关政策性建议。（200字以内）</w:t>
            </w:r>
          </w:p>
        </w:tc>
      </w:tr>
      <w:tr w14:paraId="787B0B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5"/>
          <w:wAfter w:w="2456" w:type="pct"/>
          <w:trHeight w:val="286" w:hRule="atLeast"/>
        </w:trPr>
        <w:tc>
          <w:tcPr>
            <w:tcW w:w="1210"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0884D18D">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项目负责人：芮国竞</w:t>
            </w:r>
          </w:p>
        </w:tc>
        <w:tc>
          <w:tcPr>
            <w:tcW w:w="1333" w:type="pct"/>
            <w:gridSpan w:val="25"/>
            <w:tcBorders>
              <w:top w:val="single" w:color="000000" w:sz="4" w:space="0"/>
              <w:left w:val="single" w:color="000000" w:sz="4" w:space="0"/>
              <w:bottom w:val="single" w:color="000000" w:sz="4" w:space="0"/>
              <w:right w:val="single" w:color="000000" w:sz="4" w:space="0"/>
            </w:tcBorders>
            <w:shd w:val="clear" w:color="auto" w:fill="auto"/>
            <w:vAlign w:val="center"/>
          </w:tcPr>
          <w:p w14:paraId="4B94DFF5">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财务负责人：朱卫东</w:t>
            </w:r>
          </w:p>
        </w:tc>
      </w:tr>
    </w:tbl>
    <w:p w14:paraId="0E90B533">
      <w:pPr>
        <w:pStyle w:val="2"/>
        <w:ind w:left="0" w:leftChars="0" w:firstLine="0" w:firstLineChars="0"/>
        <w:rPr>
          <w:rFonts w:hint="eastAsia" w:ascii="黑体" w:hAnsi="黑体" w:eastAsia="黑体"/>
          <w:sz w:val="44"/>
          <w:szCs w:val="44"/>
          <w:lang w:val="en-US" w:eastAsia="zh-CN"/>
        </w:rPr>
        <w:sectPr>
          <w:pgSz w:w="16838" w:h="11906" w:orient="landscape"/>
          <w:pgMar w:top="1803" w:right="1440" w:bottom="1803" w:left="1440" w:header="851" w:footer="992" w:gutter="0"/>
          <w:cols w:space="0" w:num="1"/>
          <w:titlePg/>
          <w:rtlGutter w:val="0"/>
          <w:docGrid w:type="lines" w:linePitch="319" w:charSpace="0"/>
        </w:sectPr>
      </w:pPr>
    </w:p>
    <w:bookmarkEnd w:id="84"/>
    <w:p w14:paraId="5CF9A2B6">
      <w:pPr>
        <w:pStyle w:val="6"/>
        <w:spacing w:before="93"/>
        <w:rPr>
          <w:rFonts w:hAnsi="Calibri" w:cs="仿宋"/>
          <w:sz w:val="32"/>
          <w:szCs w:val="32"/>
        </w:rPr>
      </w:pPr>
      <w:bookmarkStart w:id="87" w:name="_Toc15396618"/>
    </w:p>
    <w:p w14:paraId="6CD55D26">
      <w:pPr>
        <w:spacing w:line="600" w:lineRule="exact"/>
        <w:jc w:val="center"/>
        <w:outlineLvl w:val="0"/>
        <w:rPr>
          <w:rFonts w:ascii="仿宋" w:hAnsi="仿宋" w:eastAsia="仿宋"/>
        </w:rPr>
      </w:pPr>
      <w:bookmarkStart w:id="88" w:name="_Toc12847"/>
      <w:r>
        <w:rPr>
          <w:rFonts w:hint="eastAsia" w:ascii="黑体" w:hAnsi="黑体" w:eastAsia="黑体"/>
          <w:sz w:val="44"/>
          <w:szCs w:val="44"/>
        </w:rPr>
        <w:t>第</w:t>
      </w:r>
      <w:r>
        <w:rPr>
          <w:rStyle w:val="30"/>
          <w:rFonts w:hint="eastAsia" w:ascii="黑体" w:hAnsi="黑体" w:eastAsia="黑体"/>
          <w:b w:val="0"/>
        </w:rPr>
        <w:t>五部分 附表</w:t>
      </w:r>
      <w:bookmarkEnd w:id="85"/>
      <w:bookmarkEnd w:id="87"/>
      <w:bookmarkEnd w:id="88"/>
      <w:bookmarkStart w:id="89" w:name="_Toc15396619"/>
    </w:p>
    <w:p w14:paraId="192D2828">
      <w:pPr>
        <w:pStyle w:val="4"/>
        <w:rPr>
          <w:rFonts w:ascii="仿宋" w:hAnsi="仿宋" w:eastAsia="仿宋"/>
        </w:rPr>
      </w:pPr>
      <w:bookmarkStart w:id="90" w:name="_Toc32553"/>
      <w:r>
        <w:rPr>
          <w:rFonts w:hint="eastAsia" w:ascii="仿宋" w:hAnsi="仿宋" w:eastAsia="仿宋"/>
          <w:b w:val="0"/>
        </w:rPr>
        <w:t>一、收</w:t>
      </w:r>
      <w:r>
        <w:rPr>
          <w:rStyle w:val="31"/>
          <w:rFonts w:hint="eastAsia" w:ascii="仿宋" w:hAnsi="仿宋" w:eastAsia="仿宋"/>
          <w:b w:val="0"/>
          <w:bCs w:val="0"/>
        </w:rPr>
        <w:t>入支出决算总表</w:t>
      </w:r>
      <w:bookmarkEnd w:id="89"/>
      <w:bookmarkEnd w:id="90"/>
    </w:p>
    <w:p w14:paraId="2E902DFF">
      <w:pPr>
        <w:pStyle w:val="4"/>
        <w:rPr>
          <w:rFonts w:ascii="仿宋" w:hAnsi="仿宋" w:eastAsia="仿宋"/>
        </w:rPr>
      </w:pPr>
      <w:bookmarkStart w:id="91" w:name="_Toc15396620"/>
      <w:bookmarkStart w:id="92" w:name="_Toc17690"/>
      <w:r>
        <w:rPr>
          <w:rFonts w:hint="eastAsia" w:ascii="仿宋" w:hAnsi="仿宋" w:eastAsia="仿宋"/>
          <w:b w:val="0"/>
        </w:rPr>
        <w:t>二、收</w:t>
      </w:r>
      <w:r>
        <w:rPr>
          <w:rStyle w:val="31"/>
          <w:rFonts w:hint="eastAsia" w:ascii="仿宋" w:hAnsi="仿宋" w:eastAsia="仿宋"/>
          <w:b w:val="0"/>
          <w:bCs w:val="0"/>
        </w:rPr>
        <w:t>入决算表</w:t>
      </w:r>
      <w:bookmarkEnd w:id="91"/>
      <w:bookmarkEnd w:id="92"/>
    </w:p>
    <w:p w14:paraId="55E481AC">
      <w:pPr>
        <w:pStyle w:val="4"/>
        <w:rPr>
          <w:rFonts w:ascii="仿宋" w:hAnsi="仿宋" w:eastAsia="仿宋"/>
        </w:rPr>
      </w:pPr>
      <w:bookmarkStart w:id="93" w:name="_Toc1050"/>
      <w:bookmarkStart w:id="94" w:name="_Toc15396621"/>
      <w:r>
        <w:rPr>
          <w:rStyle w:val="31"/>
          <w:rFonts w:hint="eastAsia" w:ascii="仿宋" w:hAnsi="仿宋" w:eastAsia="仿宋"/>
          <w:b w:val="0"/>
          <w:bCs w:val="0"/>
        </w:rPr>
        <w:t>三、</w:t>
      </w:r>
      <w:r>
        <w:rPr>
          <w:rFonts w:hint="eastAsia" w:ascii="仿宋" w:hAnsi="仿宋" w:eastAsia="仿宋"/>
          <w:b w:val="0"/>
        </w:rPr>
        <w:t>支</w:t>
      </w:r>
      <w:r>
        <w:rPr>
          <w:rStyle w:val="31"/>
          <w:rFonts w:hint="eastAsia" w:ascii="仿宋" w:hAnsi="仿宋" w:eastAsia="仿宋"/>
          <w:b w:val="0"/>
          <w:bCs w:val="0"/>
        </w:rPr>
        <w:t>出决算表</w:t>
      </w:r>
      <w:bookmarkEnd w:id="93"/>
      <w:bookmarkEnd w:id="94"/>
    </w:p>
    <w:p w14:paraId="35E3A3F9">
      <w:pPr>
        <w:pStyle w:val="4"/>
        <w:rPr>
          <w:rFonts w:ascii="仿宋" w:hAnsi="仿宋" w:eastAsia="仿宋"/>
          <w:b w:val="0"/>
        </w:rPr>
      </w:pPr>
      <w:bookmarkStart w:id="95" w:name="_Toc15396622"/>
      <w:bookmarkStart w:id="96" w:name="_Toc3666"/>
      <w:r>
        <w:rPr>
          <w:rStyle w:val="31"/>
          <w:rFonts w:hint="eastAsia" w:ascii="仿宋" w:hAnsi="仿宋" w:eastAsia="仿宋"/>
          <w:b w:val="0"/>
          <w:bCs w:val="0"/>
        </w:rPr>
        <w:t>四、</w:t>
      </w:r>
      <w:r>
        <w:rPr>
          <w:rFonts w:hint="eastAsia" w:ascii="仿宋" w:hAnsi="仿宋" w:eastAsia="仿宋"/>
          <w:b w:val="0"/>
        </w:rPr>
        <w:t>财</w:t>
      </w:r>
      <w:r>
        <w:rPr>
          <w:rStyle w:val="31"/>
          <w:rFonts w:hint="eastAsia" w:ascii="仿宋" w:hAnsi="仿宋" w:eastAsia="仿宋"/>
          <w:b w:val="0"/>
          <w:bCs w:val="0"/>
        </w:rPr>
        <w:t>政拨款收入支出决算总表</w:t>
      </w:r>
      <w:bookmarkEnd w:id="95"/>
      <w:bookmarkEnd w:id="96"/>
    </w:p>
    <w:p w14:paraId="230AAE77">
      <w:pPr>
        <w:pStyle w:val="4"/>
        <w:rPr>
          <w:rStyle w:val="31"/>
          <w:rFonts w:ascii="仿宋" w:hAnsi="仿宋" w:eastAsia="仿宋"/>
          <w:b w:val="0"/>
          <w:bCs w:val="0"/>
        </w:rPr>
      </w:pPr>
      <w:bookmarkStart w:id="97" w:name="_Toc15396623"/>
      <w:bookmarkStart w:id="98" w:name="_Toc27891"/>
      <w:r>
        <w:rPr>
          <w:rStyle w:val="31"/>
          <w:rFonts w:hint="eastAsia" w:ascii="仿宋" w:hAnsi="仿宋" w:eastAsia="仿宋"/>
          <w:b w:val="0"/>
          <w:bCs w:val="0"/>
        </w:rPr>
        <w:t>五、</w:t>
      </w:r>
      <w:r>
        <w:rPr>
          <w:rFonts w:hint="eastAsia" w:ascii="仿宋" w:hAnsi="仿宋" w:eastAsia="仿宋"/>
          <w:b w:val="0"/>
        </w:rPr>
        <w:t>财</w:t>
      </w:r>
      <w:r>
        <w:rPr>
          <w:rStyle w:val="31"/>
          <w:rFonts w:hint="eastAsia" w:ascii="仿宋" w:hAnsi="仿宋" w:eastAsia="仿宋"/>
          <w:b w:val="0"/>
          <w:bCs w:val="0"/>
        </w:rPr>
        <w:t>政拨款支出决算明细表</w:t>
      </w:r>
      <w:bookmarkEnd w:id="97"/>
      <w:bookmarkEnd w:id="98"/>
      <w:bookmarkStart w:id="99" w:name="_Toc15396624"/>
    </w:p>
    <w:p w14:paraId="7C3F9F6F">
      <w:pPr>
        <w:pStyle w:val="4"/>
        <w:rPr>
          <w:rFonts w:ascii="仿宋" w:hAnsi="仿宋" w:eastAsia="仿宋"/>
        </w:rPr>
      </w:pPr>
      <w:bookmarkStart w:id="100" w:name="_Toc8296"/>
      <w:r>
        <w:rPr>
          <w:rStyle w:val="31"/>
          <w:rFonts w:hint="eastAsia" w:ascii="仿宋" w:hAnsi="仿宋" w:eastAsia="仿宋"/>
          <w:b w:val="0"/>
          <w:bCs w:val="0"/>
        </w:rPr>
        <w:t>六、</w:t>
      </w:r>
      <w:r>
        <w:rPr>
          <w:rFonts w:hint="eastAsia" w:ascii="仿宋" w:hAnsi="仿宋" w:eastAsia="仿宋"/>
          <w:b w:val="0"/>
        </w:rPr>
        <w:t>一</w:t>
      </w:r>
      <w:r>
        <w:rPr>
          <w:rStyle w:val="31"/>
          <w:rFonts w:hint="eastAsia" w:ascii="仿宋" w:hAnsi="仿宋" w:eastAsia="仿宋"/>
          <w:b w:val="0"/>
          <w:bCs w:val="0"/>
        </w:rPr>
        <w:t>般公共预算财政拨款支出决算表</w:t>
      </w:r>
      <w:bookmarkEnd w:id="99"/>
      <w:bookmarkEnd w:id="100"/>
    </w:p>
    <w:p w14:paraId="518A28C6">
      <w:pPr>
        <w:pStyle w:val="4"/>
        <w:rPr>
          <w:rFonts w:ascii="仿宋" w:hAnsi="仿宋" w:eastAsia="仿宋"/>
        </w:rPr>
      </w:pPr>
      <w:bookmarkStart w:id="101" w:name="_Toc624"/>
      <w:bookmarkStart w:id="102" w:name="_Toc15396625"/>
      <w:r>
        <w:rPr>
          <w:rStyle w:val="31"/>
          <w:rFonts w:hint="eastAsia" w:ascii="仿宋" w:hAnsi="仿宋" w:eastAsia="仿宋"/>
          <w:b w:val="0"/>
          <w:bCs w:val="0"/>
        </w:rPr>
        <w:t>七、</w:t>
      </w:r>
      <w:r>
        <w:rPr>
          <w:rFonts w:hint="eastAsia" w:ascii="仿宋" w:hAnsi="仿宋" w:eastAsia="仿宋"/>
          <w:b w:val="0"/>
        </w:rPr>
        <w:t>一</w:t>
      </w:r>
      <w:r>
        <w:rPr>
          <w:rStyle w:val="31"/>
          <w:rFonts w:hint="eastAsia" w:ascii="仿宋" w:hAnsi="仿宋" w:eastAsia="仿宋"/>
          <w:b w:val="0"/>
          <w:bCs w:val="0"/>
        </w:rPr>
        <w:t>般公共预算财政拨款支出决算明细表</w:t>
      </w:r>
      <w:bookmarkEnd w:id="101"/>
      <w:bookmarkEnd w:id="102"/>
    </w:p>
    <w:p w14:paraId="06A878DF">
      <w:pPr>
        <w:pStyle w:val="4"/>
        <w:rPr>
          <w:rFonts w:ascii="仿宋" w:hAnsi="仿宋" w:eastAsia="仿宋"/>
        </w:rPr>
      </w:pPr>
      <w:bookmarkStart w:id="103" w:name="_Toc15396626"/>
      <w:bookmarkStart w:id="104" w:name="_Toc26573"/>
      <w:r>
        <w:rPr>
          <w:rStyle w:val="31"/>
          <w:rFonts w:hint="eastAsia" w:ascii="仿宋" w:hAnsi="仿宋" w:eastAsia="仿宋"/>
          <w:b w:val="0"/>
          <w:bCs w:val="0"/>
        </w:rPr>
        <w:t>八、</w:t>
      </w:r>
      <w:r>
        <w:rPr>
          <w:rFonts w:hint="eastAsia" w:ascii="仿宋" w:hAnsi="仿宋" w:eastAsia="仿宋"/>
          <w:b w:val="0"/>
        </w:rPr>
        <w:t>一</w:t>
      </w:r>
      <w:r>
        <w:rPr>
          <w:rStyle w:val="31"/>
          <w:rFonts w:hint="eastAsia" w:ascii="仿宋" w:hAnsi="仿宋" w:eastAsia="仿宋"/>
          <w:b w:val="0"/>
          <w:bCs w:val="0"/>
        </w:rPr>
        <w:t>般公共预算财政拨款基本支出决算表</w:t>
      </w:r>
      <w:bookmarkEnd w:id="103"/>
      <w:bookmarkEnd w:id="104"/>
    </w:p>
    <w:p w14:paraId="3F915EDC">
      <w:pPr>
        <w:pStyle w:val="4"/>
        <w:rPr>
          <w:rFonts w:ascii="仿宋" w:hAnsi="仿宋" w:eastAsia="仿宋"/>
        </w:rPr>
      </w:pPr>
      <w:bookmarkStart w:id="105" w:name="_Toc15396627"/>
      <w:bookmarkStart w:id="106" w:name="_Toc21314"/>
      <w:r>
        <w:rPr>
          <w:rStyle w:val="31"/>
          <w:rFonts w:hint="eastAsia" w:ascii="仿宋" w:hAnsi="仿宋" w:eastAsia="仿宋"/>
          <w:b w:val="0"/>
          <w:bCs w:val="0"/>
        </w:rPr>
        <w:t>九、</w:t>
      </w:r>
      <w:r>
        <w:rPr>
          <w:rFonts w:hint="eastAsia" w:ascii="仿宋" w:hAnsi="仿宋" w:eastAsia="仿宋"/>
          <w:b w:val="0"/>
        </w:rPr>
        <w:t>一</w:t>
      </w:r>
      <w:r>
        <w:rPr>
          <w:rStyle w:val="31"/>
          <w:rFonts w:hint="eastAsia" w:ascii="仿宋" w:hAnsi="仿宋" w:eastAsia="仿宋"/>
          <w:b w:val="0"/>
          <w:bCs w:val="0"/>
        </w:rPr>
        <w:t>般公共预算财政拨款项目支出决算表</w:t>
      </w:r>
      <w:bookmarkEnd w:id="105"/>
      <w:bookmarkEnd w:id="106"/>
    </w:p>
    <w:p w14:paraId="0DEF3A43">
      <w:pPr>
        <w:pStyle w:val="4"/>
        <w:rPr>
          <w:rFonts w:ascii="仿宋" w:hAnsi="仿宋" w:eastAsia="仿宋"/>
        </w:rPr>
      </w:pPr>
      <w:bookmarkStart w:id="107" w:name="_Toc15396628"/>
      <w:bookmarkStart w:id="108" w:name="_Toc17520"/>
      <w:r>
        <w:rPr>
          <w:rStyle w:val="31"/>
          <w:rFonts w:hint="eastAsia" w:ascii="仿宋" w:hAnsi="仿宋" w:eastAsia="仿宋"/>
          <w:b w:val="0"/>
          <w:bCs w:val="0"/>
        </w:rPr>
        <w:t>十、</w:t>
      </w:r>
      <w:bookmarkEnd w:id="107"/>
      <w:r>
        <w:rPr>
          <w:rFonts w:hint="eastAsia" w:ascii="仿宋" w:hAnsi="仿宋" w:eastAsia="仿宋"/>
          <w:b w:val="0"/>
        </w:rPr>
        <w:t>政</w:t>
      </w:r>
      <w:r>
        <w:rPr>
          <w:rStyle w:val="31"/>
          <w:rFonts w:hint="eastAsia" w:ascii="仿宋" w:hAnsi="仿宋" w:eastAsia="仿宋"/>
          <w:b w:val="0"/>
          <w:bCs w:val="0"/>
        </w:rPr>
        <w:t>府性基金预算财政拨款收入支出决算表</w:t>
      </w:r>
      <w:bookmarkEnd w:id="108"/>
    </w:p>
    <w:p w14:paraId="7F2CB335">
      <w:pPr>
        <w:pStyle w:val="4"/>
        <w:rPr>
          <w:rFonts w:ascii="仿宋" w:hAnsi="仿宋" w:eastAsia="仿宋"/>
        </w:rPr>
      </w:pPr>
      <w:bookmarkStart w:id="109" w:name="_Toc15396629"/>
      <w:bookmarkStart w:id="110" w:name="_Toc945"/>
      <w:r>
        <w:rPr>
          <w:rStyle w:val="31"/>
          <w:rFonts w:hint="eastAsia" w:ascii="仿宋" w:hAnsi="仿宋" w:eastAsia="仿宋"/>
          <w:b w:val="0"/>
          <w:bCs w:val="0"/>
        </w:rPr>
        <w:t>十一、</w:t>
      </w:r>
      <w:bookmarkEnd w:id="109"/>
      <w:r>
        <w:rPr>
          <w:rFonts w:hint="eastAsia" w:ascii="仿宋" w:hAnsi="仿宋" w:eastAsia="仿宋"/>
          <w:b w:val="0"/>
        </w:rPr>
        <w:t>国</w:t>
      </w:r>
      <w:r>
        <w:rPr>
          <w:rStyle w:val="31"/>
          <w:rFonts w:hint="eastAsia" w:ascii="仿宋" w:hAnsi="仿宋" w:eastAsia="仿宋"/>
          <w:b w:val="0"/>
          <w:bCs w:val="0"/>
        </w:rPr>
        <w:t>有资本经营预算财政拨款收入支出决算表</w:t>
      </w:r>
      <w:bookmarkEnd w:id="110"/>
    </w:p>
    <w:p w14:paraId="0695DC38">
      <w:pPr>
        <w:pStyle w:val="4"/>
        <w:rPr>
          <w:rFonts w:ascii="仿宋" w:hAnsi="仿宋" w:eastAsia="仿宋"/>
        </w:rPr>
      </w:pPr>
      <w:bookmarkStart w:id="111" w:name="_Toc15396630"/>
      <w:bookmarkStart w:id="112" w:name="_Toc17729"/>
      <w:r>
        <w:rPr>
          <w:rStyle w:val="31"/>
          <w:rFonts w:hint="eastAsia" w:ascii="仿宋" w:hAnsi="仿宋" w:eastAsia="仿宋"/>
          <w:b w:val="0"/>
          <w:bCs w:val="0"/>
        </w:rPr>
        <w:t>十二、</w:t>
      </w:r>
      <w:bookmarkEnd w:id="111"/>
      <w:r>
        <w:rPr>
          <w:rStyle w:val="31"/>
          <w:rFonts w:hint="eastAsia" w:ascii="仿宋" w:hAnsi="仿宋" w:eastAsia="仿宋"/>
          <w:b w:val="0"/>
          <w:bCs w:val="0"/>
        </w:rPr>
        <w:t>国有资本经营预算财政拨款支出决算表</w:t>
      </w:r>
      <w:bookmarkEnd w:id="112"/>
    </w:p>
    <w:p w14:paraId="3C14D0C8">
      <w:pPr>
        <w:pStyle w:val="4"/>
        <w:rPr>
          <w:rFonts w:eastAsia="仿宋"/>
        </w:rPr>
      </w:pPr>
      <w:bookmarkStart w:id="113" w:name="_Toc15396631"/>
      <w:bookmarkStart w:id="114" w:name="_Toc7051"/>
      <w:r>
        <w:rPr>
          <w:rStyle w:val="31"/>
          <w:rFonts w:hint="eastAsia" w:ascii="仿宋" w:hAnsi="仿宋" w:eastAsia="仿宋"/>
          <w:b w:val="0"/>
          <w:bCs w:val="0"/>
        </w:rPr>
        <w:t>十三、</w:t>
      </w:r>
      <w:bookmarkEnd w:id="113"/>
      <w:r>
        <w:rPr>
          <w:rStyle w:val="31"/>
          <w:rFonts w:hint="eastAsia" w:ascii="仿宋" w:hAnsi="仿宋" w:eastAsia="仿宋"/>
          <w:b w:val="0"/>
          <w:bCs w:val="0"/>
        </w:rPr>
        <w:t>财政拨款“三公”经费支出决算表</w:t>
      </w:r>
      <w:bookmarkEnd w:id="114"/>
    </w:p>
    <w:sectPr>
      <w:pgSz w:w="11906" w:h="16838"/>
      <w:pgMar w:top="1440" w:right="1800" w:bottom="1440" w:left="1800" w:header="851" w:footer="992" w:gutter="0"/>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6D776DE7-C02A-45A4-8FE9-6F7324316472}"/>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EE0F9870-5F0A-482C-8F9F-7B03DD3A4101}"/>
  </w:font>
  <w:font w:name="Cambria">
    <w:panose1 w:val="02040503050406030204"/>
    <w:charset w:val="00"/>
    <w:family w:val="roman"/>
    <w:pitch w:val="default"/>
    <w:sig w:usb0="E00006FF" w:usb1="420024FF" w:usb2="02000000" w:usb3="00000000" w:csb0="2000019F" w:csb1="00000000"/>
    <w:embedRegular r:id="rId3" w:fontKey="{2D0EF957-8C37-4C38-9F13-A8C3C5723763}"/>
  </w:font>
  <w:font w:name="仿宋_GB2312">
    <w:panose1 w:val="02010609030101010101"/>
    <w:charset w:val="86"/>
    <w:family w:val="auto"/>
    <w:pitch w:val="default"/>
    <w:sig w:usb0="00000001" w:usb1="080E0000" w:usb2="00000000" w:usb3="00000000" w:csb0="00040000" w:csb1="00000000"/>
    <w:embedRegular r:id="rId4" w:fontKey="{26C14CAC-4B17-4FB7-98C6-BFDB8E14E81A}"/>
  </w:font>
  <w:font w:name="仿宋">
    <w:panose1 w:val="02010609060101010101"/>
    <w:charset w:val="86"/>
    <w:family w:val="modern"/>
    <w:pitch w:val="default"/>
    <w:sig w:usb0="800002BF" w:usb1="38CF7CFA" w:usb2="00000016" w:usb3="00000000" w:csb0="00040001" w:csb1="00000000"/>
    <w:embedRegular r:id="rId5" w:fontKey="{8E037A02-C87F-4063-9328-6796638EEDE6}"/>
  </w:font>
  <w:font w:name="方正小标宋简体">
    <w:panose1 w:val="02000000000000000000"/>
    <w:charset w:val="86"/>
    <w:family w:val="script"/>
    <w:pitch w:val="default"/>
    <w:sig w:usb0="00000001" w:usb1="08000000" w:usb2="00000000" w:usb3="00000000" w:csb0="00040000" w:csb1="00000000"/>
    <w:embedRegular r:id="rId6" w:fontKey="{183A2D7E-EF27-4737-AACB-90AF4D4F7486}"/>
  </w:font>
  <w:font w:name="ˎ̥">
    <w:altName w:val="Times New Roman"/>
    <w:panose1 w:val="00000000000000000000"/>
    <w:charset w:val="00"/>
    <w:family w:val="roman"/>
    <w:pitch w:val="default"/>
    <w:sig w:usb0="00000000" w:usb1="00000000" w:usb2="00000000" w:usb3="00000000" w:csb0="00040001" w:csb1="00000000"/>
    <w:embedRegular r:id="rId7" w:fontKey="{D80B1AE5-844C-4105-93D0-5BF96F439A12}"/>
  </w:font>
  <w:font w:name="微软雅黑">
    <w:panose1 w:val="020B0503020204020204"/>
    <w:charset w:val="86"/>
    <w:family w:val="auto"/>
    <w:pitch w:val="default"/>
    <w:sig w:usb0="80000287" w:usb1="2ACF3C50" w:usb2="00000016" w:usb3="00000000" w:csb0="0004001F" w:csb1="00000000"/>
    <w:embedRegular r:id="rId8" w:fontKey="{D928D351-1ADA-47C8-BDF9-93DC98CE1F0A}"/>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04FF1C">
    <w:pPr>
      <w:pStyle w:val="11"/>
      <w:jc w:val="cente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147469111"/>
                          </w:sdtPr>
                          <w:sdtContent>
                            <w:p w14:paraId="451F058D">
                              <w:pPr>
                                <w:pStyle w:val="11"/>
                                <w:jc w:val="center"/>
                              </w:pPr>
                              <w:r>
                                <w:fldChar w:fldCharType="begin"/>
                              </w:r>
                              <w:r>
                                <w:instrText xml:space="preserve">PAGE   \* MERGEFORMAT</w:instrText>
                              </w:r>
                              <w:r>
                                <w:fldChar w:fldCharType="separate"/>
                              </w:r>
                              <w:r>
                                <w:rPr>
                                  <w:lang w:val="zh-CN"/>
                                </w:rPr>
                                <w:t>15</w:t>
                              </w:r>
                              <w:r>
                                <w:fldChar w:fldCharType="end"/>
                              </w:r>
                            </w:p>
                          </w:sdtContent>
                        </w:sdt>
                        <w:p w14:paraId="2067DB2D">
                          <w:pPr>
                            <w:pStyle w:val="2"/>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sdt>
                    <w:sdtPr>
                      <w:id w:val="147469111"/>
                    </w:sdtPr>
                    <w:sdtContent>
                      <w:p w14:paraId="451F058D">
                        <w:pPr>
                          <w:pStyle w:val="11"/>
                          <w:jc w:val="center"/>
                        </w:pPr>
                        <w:r>
                          <w:fldChar w:fldCharType="begin"/>
                        </w:r>
                        <w:r>
                          <w:instrText xml:space="preserve">PAGE   \* MERGEFORMAT</w:instrText>
                        </w:r>
                        <w:r>
                          <w:fldChar w:fldCharType="separate"/>
                        </w:r>
                        <w:r>
                          <w:rPr>
                            <w:lang w:val="zh-CN"/>
                          </w:rPr>
                          <w:t>15</w:t>
                        </w:r>
                        <w:r>
                          <w:fldChar w:fldCharType="end"/>
                        </w:r>
                      </w:p>
                    </w:sdtContent>
                  </w:sdt>
                  <w:p w14:paraId="2067DB2D">
                    <w:pPr>
                      <w:pStyle w:val="2"/>
                    </w:pPr>
                  </w:p>
                </w:txbxContent>
              </v:textbox>
            </v:shape>
          </w:pict>
        </mc:Fallback>
      </mc:AlternateContent>
    </w:r>
  </w:p>
  <w:p w14:paraId="2E5793AB">
    <w:pPr>
      <w:pStyle w:val="1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C8DAA3">
    <w:pPr>
      <w:pStyle w:val="11"/>
      <w:rPr>
        <w:rFonts w:hint="default"/>
        <w:lang w:val="en-US"/>
      </w:rP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5894143">
                          <w:pPr>
                            <w:pStyle w:val="1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KVIPQyAgAAY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pUg9DICAABhBAAADgAAAAAAAAABACAAAAAfAQAAZHJzL2Uyb0RvYy54bWxQSwUG&#10;AAAAAAYABgBZAQAAwwUAAAAA&#10;">
              <v:fill on="f" focussize="0,0"/>
              <v:stroke on="f" weight="0.5pt"/>
              <v:imagedata o:title=""/>
              <o:lock v:ext="edit" aspectratio="f"/>
              <v:textbox inset="0mm,0mm,0mm,0mm" style="mso-fit-shape-to-text:t;">
                <w:txbxContent>
                  <w:p w14:paraId="15894143">
                    <w:pPr>
                      <w:pStyle w:val="11"/>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1D647E">
    <w:pPr>
      <w:pStyle w:val="12"/>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4FB490F"/>
    <w:multiLevelType w:val="singleLevel"/>
    <w:tmpl w:val="A4FB490F"/>
    <w:lvl w:ilvl="0" w:tentative="0">
      <w:start w:val="1"/>
      <w:numFmt w:val="chineseCounting"/>
      <w:suff w:val="nothing"/>
      <w:lvlText w:val="（%1）"/>
      <w:lvlJc w:val="left"/>
      <w:rPr>
        <w:rFonts w:hint="eastAsia"/>
      </w:rPr>
    </w:lvl>
  </w:abstractNum>
  <w:abstractNum w:abstractNumId="1">
    <w:nsid w:val="CF652CEC"/>
    <w:multiLevelType w:val="singleLevel"/>
    <w:tmpl w:val="CF652CEC"/>
    <w:lvl w:ilvl="0" w:tentative="0">
      <w:start w:val="9"/>
      <w:numFmt w:val="chineseCounting"/>
      <w:suff w:val="nothing"/>
      <w:lvlText w:val="%1、"/>
      <w:lvlJc w:val="left"/>
      <w:rPr>
        <w:rFonts w:hint="eastAsia"/>
      </w:rPr>
    </w:lvl>
  </w:abstractNum>
  <w:abstractNum w:abstractNumId="2">
    <w:nsid w:val="E2FA047D"/>
    <w:multiLevelType w:val="singleLevel"/>
    <w:tmpl w:val="E2FA047D"/>
    <w:lvl w:ilvl="0" w:tentative="0">
      <w:start w:val="3"/>
      <w:numFmt w:val="chineseCounting"/>
      <w:suff w:val="space"/>
      <w:lvlText w:val="第%1部分"/>
      <w:lvlJc w:val="left"/>
      <w:rPr>
        <w:rFonts w:hint="eastAsia" w:ascii="黑体" w:hAnsi="黑体" w:eastAsia="黑体" w:cs="黑体"/>
        <w:sz w:val="44"/>
        <w:szCs w:val="44"/>
      </w:rPr>
    </w:lvl>
  </w:abstractNum>
  <w:abstractNum w:abstractNumId="3">
    <w:nsid w:val="0070006A"/>
    <w:multiLevelType w:val="singleLevel"/>
    <w:tmpl w:val="0070006A"/>
    <w:lvl w:ilvl="0" w:tentative="0">
      <w:start w:val="1"/>
      <w:numFmt w:val="decimal"/>
      <w:suff w:val="nothing"/>
      <w:lvlText w:val="%1．"/>
      <w:lvlJc w:val="left"/>
      <w:pPr>
        <w:ind w:left="0" w:firstLine="400"/>
      </w:pPr>
      <w:rPr>
        <w:rFonts w:hint="default"/>
      </w:rPr>
    </w:lvl>
  </w:abstractNum>
  <w:abstractNum w:abstractNumId="4">
    <w:nsid w:val="1272550B"/>
    <w:multiLevelType w:val="multilevel"/>
    <w:tmpl w:val="1272550B"/>
    <w:lvl w:ilvl="0" w:tentative="0">
      <w:start w:val="1"/>
      <w:numFmt w:val="japaneseCounting"/>
      <w:lvlText w:val="%1、"/>
      <w:lvlJc w:val="left"/>
      <w:pPr>
        <w:ind w:left="1360" w:hanging="720"/>
      </w:pPr>
      <w:rPr>
        <w:rFonts w:hint="default"/>
        <w:b w:val="0"/>
      </w:rPr>
    </w:lvl>
    <w:lvl w:ilvl="1" w:tentative="0">
      <w:start w:val="1"/>
      <w:numFmt w:val="lowerLetter"/>
      <w:lvlText w:val="%2)"/>
      <w:lvlJc w:val="left"/>
      <w:pPr>
        <w:ind w:left="1480" w:hanging="420"/>
      </w:pPr>
    </w:lvl>
    <w:lvl w:ilvl="2" w:tentative="0">
      <w:start w:val="1"/>
      <w:numFmt w:val="lowerRoman"/>
      <w:lvlText w:val="%3."/>
      <w:lvlJc w:val="right"/>
      <w:pPr>
        <w:ind w:left="1900" w:hanging="420"/>
      </w:pPr>
    </w:lvl>
    <w:lvl w:ilvl="3" w:tentative="0">
      <w:start w:val="1"/>
      <w:numFmt w:val="decimal"/>
      <w:lvlText w:val="%4."/>
      <w:lvlJc w:val="left"/>
      <w:pPr>
        <w:ind w:left="2320" w:hanging="420"/>
      </w:pPr>
    </w:lvl>
    <w:lvl w:ilvl="4" w:tentative="0">
      <w:start w:val="1"/>
      <w:numFmt w:val="lowerLetter"/>
      <w:lvlText w:val="%5)"/>
      <w:lvlJc w:val="left"/>
      <w:pPr>
        <w:ind w:left="2740" w:hanging="420"/>
      </w:pPr>
    </w:lvl>
    <w:lvl w:ilvl="5" w:tentative="0">
      <w:start w:val="1"/>
      <w:numFmt w:val="lowerRoman"/>
      <w:lvlText w:val="%6."/>
      <w:lvlJc w:val="right"/>
      <w:pPr>
        <w:ind w:left="3160" w:hanging="420"/>
      </w:pPr>
    </w:lvl>
    <w:lvl w:ilvl="6" w:tentative="0">
      <w:start w:val="1"/>
      <w:numFmt w:val="decimal"/>
      <w:lvlText w:val="%7."/>
      <w:lvlJc w:val="left"/>
      <w:pPr>
        <w:ind w:left="3580" w:hanging="420"/>
      </w:pPr>
    </w:lvl>
    <w:lvl w:ilvl="7" w:tentative="0">
      <w:start w:val="1"/>
      <w:numFmt w:val="lowerLetter"/>
      <w:lvlText w:val="%8)"/>
      <w:lvlJc w:val="left"/>
      <w:pPr>
        <w:ind w:left="4000" w:hanging="420"/>
      </w:pPr>
    </w:lvl>
    <w:lvl w:ilvl="8" w:tentative="0">
      <w:start w:val="1"/>
      <w:numFmt w:val="lowerRoman"/>
      <w:lvlText w:val="%9."/>
      <w:lvlJc w:val="right"/>
      <w:pPr>
        <w:ind w:left="4420" w:hanging="420"/>
      </w:pPr>
    </w:lvl>
  </w:abstractNum>
  <w:abstractNum w:abstractNumId="5">
    <w:nsid w:val="3818A09A"/>
    <w:multiLevelType w:val="singleLevel"/>
    <w:tmpl w:val="3818A09A"/>
    <w:lvl w:ilvl="0" w:tentative="0">
      <w:start w:val="1"/>
      <w:numFmt w:val="chineseCounting"/>
      <w:suff w:val="nothing"/>
      <w:lvlText w:val="%1、"/>
      <w:lvlJc w:val="left"/>
      <w:rPr>
        <w:rFonts w:hint="eastAsia"/>
      </w:rPr>
    </w:lvl>
  </w:abstractNum>
  <w:num w:numId="1">
    <w:abstractNumId w:val="5"/>
  </w:num>
  <w:num w:numId="2">
    <w:abstractNumId w:val="0"/>
  </w:num>
  <w:num w:numId="3">
    <w:abstractNumId w:val="4"/>
  </w:num>
  <w:num w:numId="4">
    <w:abstractNumId w:val="3"/>
  </w:num>
  <w:num w:numId="5">
    <w:abstractNumId w:val="1"/>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documentProtection w:enforcement="0"/>
  <w:defaultTabStop w:val="420"/>
  <w:drawingGridHorizontalSpacing w:val="105"/>
  <w:drawingGridVerticalSpacing w:val="159"/>
  <w:displayHorizontalDrawingGridEvery w:val="1"/>
  <w:displayVerticalDrawingGridEvery w:val="2"/>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U1MWNhN2ZmY2ZhZmY3ODhlYTg0MWU5OGMyY2QwZmUifQ=="/>
  </w:docVars>
  <w:rsids>
    <w:rsidRoot w:val="00F1361C"/>
    <w:rsid w:val="000222C6"/>
    <w:rsid w:val="0002549F"/>
    <w:rsid w:val="000468DB"/>
    <w:rsid w:val="0006487A"/>
    <w:rsid w:val="00065F8F"/>
    <w:rsid w:val="00070A43"/>
    <w:rsid w:val="000768F2"/>
    <w:rsid w:val="0009184B"/>
    <w:rsid w:val="00094236"/>
    <w:rsid w:val="0009593C"/>
    <w:rsid w:val="00097322"/>
    <w:rsid w:val="000A6A92"/>
    <w:rsid w:val="000B047F"/>
    <w:rsid w:val="000B5923"/>
    <w:rsid w:val="000B5A48"/>
    <w:rsid w:val="000B6FF3"/>
    <w:rsid w:val="000C3467"/>
    <w:rsid w:val="000C3CA6"/>
    <w:rsid w:val="000D1267"/>
    <w:rsid w:val="000D1D50"/>
    <w:rsid w:val="000D5782"/>
    <w:rsid w:val="000E6613"/>
    <w:rsid w:val="000E7119"/>
    <w:rsid w:val="00114E9B"/>
    <w:rsid w:val="00142216"/>
    <w:rsid w:val="00144D6A"/>
    <w:rsid w:val="0014729F"/>
    <w:rsid w:val="00157BAB"/>
    <w:rsid w:val="001654D1"/>
    <w:rsid w:val="00174518"/>
    <w:rsid w:val="0018106D"/>
    <w:rsid w:val="001877A7"/>
    <w:rsid w:val="00191536"/>
    <w:rsid w:val="00196687"/>
    <w:rsid w:val="001A1DAD"/>
    <w:rsid w:val="001C0962"/>
    <w:rsid w:val="001D7531"/>
    <w:rsid w:val="001E737D"/>
    <w:rsid w:val="001F0592"/>
    <w:rsid w:val="001F7506"/>
    <w:rsid w:val="002006CD"/>
    <w:rsid w:val="00202B36"/>
    <w:rsid w:val="00204B7A"/>
    <w:rsid w:val="00204CDE"/>
    <w:rsid w:val="00206907"/>
    <w:rsid w:val="0021101A"/>
    <w:rsid w:val="00212B4A"/>
    <w:rsid w:val="00220536"/>
    <w:rsid w:val="00235629"/>
    <w:rsid w:val="00260C38"/>
    <w:rsid w:val="002616C0"/>
    <w:rsid w:val="00265372"/>
    <w:rsid w:val="002662AA"/>
    <w:rsid w:val="00280496"/>
    <w:rsid w:val="00294DC9"/>
    <w:rsid w:val="00295495"/>
    <w:rsid w:val="002A31DE"/>
    <w:rsid w:val="002B2613"/>
    <w:rsid w:val="002C5004"/>
    <w:rsid w:val="002D6D05"/>
    <w:rsid w:val="002F1818"/>
    <w:rsid w:val="002F567B"/>
    <w:rsid w:val="003216A9"/>
    <w:rsid w:val="00335A74"/>
    <w:rsid w:val="0036561B"/>
    <w:rsid w:val="0037013F"/>
    <w:rsid w:val="00380C92"/>
    <w:rsid w:val="003A484F"/>
    <w:rsid w:val="003A4883"/>
    <w:rsid w:val="003B0BE0"/>
    <w:rsid w:val="003B0C1B"/>
    <w:rsid w:val="003B688C"/>
    <w:rsid w:val="003C0291"/>
    <w:rsid w:val="003C39AE"/>
    <w:rsid w:val="003C7B60"/>
    <w:rsid w:val="003D0C0F"/>
    <w:rsid w:val="003D1FB2"/>
    <w:rsid w:val="003D66DA"/>
    <w:rsid w:val="003E1310"/>
    <w:rsid w:val="003E6F55"/>
    <w:rsid w:val="00406254"/>
    <w:rsid w:val="004223DE"/>
    <w:rsid w:val="00425C50"/>
    <w:rsid w:val="0043177C"/>
    <w:rsid w:val="00434489"/>
    <w:rsid w:val="00437085"/>
    <w:rsid w:val="00443880"/>
    <w:rsid w:val="004464F4"/>
    <w:rsid w:val="0046049C"/>
    <w:rsid w:val="00471401"/>
    <w:rsid w:val="00473F31"/>
    <w:rsid w:val="0048263A"/>
    <w:rsid w:val="00487E5D"/>
    <w:rsid w:val="004A711F"/>
    <w:rsid w:val="004B199D"/>
    <w:rsid w:val="004B4690"/>
    <w:rsid w:val="004E0A2D"/>
    <w:rsid w:val="004E206B"/>
    <w:rsid w:val="004E6DF7"/>
    <w:rsid w:val="004F0FBD"/>
    <w:rsid w:val="00505A47"/>
    <w:rsid w:val="00512FDA"/>
    <w:rsid w:val="00520DA0"/>
    <w:rsid w:val="005533CF"/>
    <w:rsid w:val="005664BB"/>
    <w:rsid w:val="00566FFA"/>
    <w:rsid w:val="0057481D"/>
    <w:rsid w:val="0058486E"/>
    <w:rsid w:val="00585B33"/>
    <w:rsid w:val="0059014D"/>
    <w:rsid w:val="005B5C64"/>
    <w:rsid w:val="005B6E8A"/>
    <w:rsid w:val="005C5337"/>
    <w:rsid w:val="005C6BD0"/>
    <w:rsid w:val="005D1C8B"/>
    <w:rsid w:val="005D468D"/>
    <w:rsid w:val="005D5CED"/>
    <w:rsid w:val="005F10BC"/>
    <w:rsid w:val="005F1A4C"/>
    <w:rsid w:val="00605688"/>
    <w:rsid w:val="006070AF"/>
    <w:rsid w:val="00607E6C"/>
    <w:rsid w:val="006101B1"/>
    <w:rsid w:val="00614E44"/>
    <w:rsid w:val="0062270A"/>
    <w:rsid w:val="00622830"/>
    <w:rsid w:val="00623DA0"/>
    <w:rsid w:val="00630AEF"/>
    <w:rsid w:val="006325F8"/>
    <w:rsid w:val="00633463"/>
    <w:rsid w:val="00634C9A"/>
    <w:rsid w:val="006440E4"/>
    <w:rsid w:val="00655FC5"/>
    <w:rsid w:val="0066343B"/>
    <w:rsid w:val="00664777"/>
    <w:rsid w:val="006748A4"/>
    <w:rsid w:val="00681A31"/>
    <w:rsid w:val="00683E73"/>
    <w:rsid w:val="006A3141"/>
    <w:rsid w:val="006A5E34"/>
    <w:rsid w:val="006B2422"/>
    <w:rsid w:val="006B2B9A"/>
    <w:rsid w:val="006C1937"/>
    <w:rsid w:val="006F020C"/>
    <w:rsid w:val="0071021A"/>
    <w:rsid w:val="007127B7"/>
    <w:rsid w:val="0071798E"/>
    <w:rsid w:val="007416B6"/>
    <w:rsid w:val="00746F48"/>
    <w:rsid w:val="0075404D"/>
    <w:rsid w:val="0076182A"/>
    <w:rsid w:val="00767B7E"/>
    <w:rsid w:val="007770C3"/>
    <w:rsid w:val="00784D24"/>
    <w:rsid w:val="00785FBA"/>
    <w:rsid w:val="00786E4A"/>
    <w:rsid w:val="007875EB"/>
    <w:rsid w:val="0079426B"/>
    <w:rsid w:val="007D1682"/>
    <w:rsid w:val="007D312A"/>
    <w:rsid w:val="007D3F19"/>
    <w:rsid w:val="007E23B0"/>
    <w:rsid w:val="007E23E5"/>
    <w:rsid w:val="007F1991"/>
    <w:rsid w:val="007F2C2F"/>
    <w:rsid w:val="007F55FC"/>
    <w:rsid w:val="007F5665"/>
    <w:rsid w:val="00800112"/>
    <w:rsid w:val="00813102"/>
    <w:rsid w:val="00813348"/>
    <w:rsid w:val="008253BB"/>
    <w:rsid w:val="0083706E"/>
    <w:rsid w:val="008408F6"/>
    <w:rsid w:val="008423A5"/>
    <w:rsid w:val="00850625"/>
    <w:rsid w:val="00853718"/>
    <w:rsid w:val="00855221"/>
    <w:rsid w:val="00860645"/>
    <w:rsid w:val="00871F71"/>
    <w:rsid w:val="00872FD8"/>
    <w:rsid w:val="00885AF4"/>
    <w:rsid w:val="008939CD"/>
    <w:rsid w:val="008B75B0"/>
    <w:rsid w:val="008B768C"/>
    <w:rsid w:val="008C4DB1"/>
    <w:rsid w:val="008C4EAF"/>
    <w:rsid w:val="008C5176"/>
    <w:rsid w:val="008C7FD0"/>
    <w:rsid w:val="008C7FD8"/>
    <w:rsid w:val="008E1DE7"/>
    <w:rsid w:val="008E707C"/>
    <w:rsid w:val="00900B08"/>
    <w:rsid w:val="00902155"/>
    <w:rsid w:val="00902FA3"/>
    <w:rsid w:val="00923564"/>
    <w:rsid w:val="0092392E"/>
    <w:rsid w:val="009315F9"/>
    <w:rsid w:val="00933499"/>
    <w:rsid w:val="00935C98"/>
    <w:rsid w:val="00946945"/>
    <w:rsid w:val="00951248"/>
    <w:rsid w:val="0095152F"/>
    <w:rsid w:val="00954C49"/>
    <w:rsid w:val="00955E37"/>
    <w:rsid w:val="0097099F"/>
    <w:rsid w:val="00971997"/>
    <w:rsid w:val="00971FFC"/>
    <w:rsid w:val="0098660A"/>
    <w:rsid w:val="009931C3"/>
    <w:rsid w:val="009B2C43"/>
    <w:rsid w:val="009B4EAE"/>
    <w:rsid w:val="009B7573"/>
    <w:rsid w:val="009C22F4"/>
    <w:rsid w:val="009C2A4B"/>
    <w:rsid w:val="009C2E98"/>
    <w:rsid w:val="009D3447"/>
    <w:rsid w:val="009D4711"/>
    <w:rsid w:val="009F1185"/>
    <w:rsid w:val="009F18CD"/>
    <w:rsid w:val="009F2A13"/>
    <w:rsid w:val="009F7527"/>
    <w:rsid w:val="00A04EB0"/>
    <w:rsid w:val="00A13CC1"/>
    <w:rsid w:val="00A16847"/>
    <w:rsid w:val="00A237D8"/>
    <w:rsid w:val="00A268C4"/>
    <w:rsid w:val="00A307CD"/>
    <w:rsid w:val="00A331C8"/>
    <w:rsid w:val="00A40A00"/>
    <w:rsid w:val="00A4142F"/>
    <w:rsid w:val="00A422EB"/>
    <w:rsid w:val="00A45BB7"/>
    <w:rsid w:val="00A56DF2"/>
    <w:rsid w:val="00A56E6E"/>
    <w:rsid w:val="00A67AB5"/>
    <w:rsid w:val="00A733B2"/>
    <w:rsid w:val="00A741C2"/>
    <w:rsid w:val="00A91760"/>
    <w:rsid w:val="00A93B00"/>
    <w:rsid w:val="00A93C21"/>
    <w:rsid w:val="00AB64C9"/>
    <w:rsid w:val="00AC3C6A"/>
    <w:rsid w:val="00AD5620"/>
    <w:rsid w:val="00AD656B"/>
    <w:rsid w:val="00AD7C1B"/>
    <w:rsid w:val="00AE16BA"/>
    <w:rsid w:val="00AE1EBE"/>
    <w:rsid w:val="00B03C9D"/>
    <w:rsid w:val="00B060AE"/>
    <w:rsid w:val="00B10517"/>
    <w:rsid w:val="00B14E76"/>
    <w:rsid w:val="00B161B8"/>
    <w:rsid w:val="00B2048C"/>
    <w:rsid w:val="00B310B9"/>
    <w:rsid w:val="00B35F3F"/>
    <w:rsid w:val="00B36CBB"/>
    <w:rsid w:val="00B425E0"/>
    <w:rsid w:val="00B440AA"/>
    <w:rsid w:val="00B44B70"/>
    <w:rsid w:val="00B53C56"/>
    <w:rsid w:val="00B57DAF"/>
    <w:rsid w:val="00B77EA6"/>
    <w:rsid w:val="00B81598"/>
    <w:rsid w:val="00B841F1"/>
    <w:rsid w:val="00B944D6"/>
    <w:rsid w:val="00BB4DF0"/>
    <w:rsid w:val="00BC289F"/>
    <w:rsid w:val="00BC2D50"/>
    <w:rsid w:val="00BC5361"/>
    <w:rsid w:val="00BC5460"/>
    <w:rsid w:val="00BC6B50"/>
    <w:rsid w:val="00BD0E25"/>
    <w:rsid w:val="00BF5BD6"/>
    <w:rsid w:val="00C03E31"/>
    <w:rsid w:val="00C33E72"/>
    <w:rsid w:val="00C354B2"/>
    <w:rsid w:val="00C35554"/>
    <w:rsid w:val="00C42709"/>
    <w:rsid w:val="00C533CC"/>
    <w:rsid w:val="00C5751C"/>
    <w:rsid w:val="00C61BFC"/>
    <w:rsid w:val="00C62B85"/>
    <w:rsid w:val="00C65438"/>
    <w:rsid w:val="00C87FD8"/>
    <w:rsid w:val="00C91381"/>
    <w:rsid w:val="00C91CBB"/>
    <w:rsid w:val="00CB4E70"/>
    <w:rsid w:val="00CC09B6"/>
    <w:rsid w:val="00CC666F"/>
    <w:rsid w:val="00CD1E3F"/>
    <w:rsid w:val="00CE44F6"/>
    <w:rsid w:val="00CE49DA"/>
    <w:rsid w:val="00CE7B61"/>
    <w:rsid w:val="00D00095"/>
    <w:rsid w:val="00D114F0"/>
    <w:rsid w:val="00D20620"/>
    <w:rsid w:val="00D254F7"/>
    <w:rsid w:val="00D26091"/>
    <w:rsid w:val="00D2685C"/>
    <w:rsid w:val="00D31E6F"/>
    <w:rsid w:val="00D34E7C"/>
    <w:rsid w:val="00D35489"/>
    <w:rsid w:val="00D36AFE"/>
    <w:rsid w:val="00D51276"/>
    <w:rsid w:val="00D7035F"/>
    <w:rsid w:val="00DA634F"/>
    <w:rsid w:val="00DA65AC"/>
    <w:rsid w:val="00DB1913"/>
    <w:rsid w:val="00DC410D"/>
    <w:rsid w:val="00DC5A81"/>
    <w:rsid w:val="00DC68CA"/>
    <w:rsid w:val="00DC7CBA"/>
    <w:rsid w:val="00DD73B7"/>
    <w:rsid w:val="00DF28BC"/>
    <w:rsid w:val="00DF34B9"/>
    <w:rsid w:val="00E01053"/>
    <w:rsid w:val="00E07ACF"/>
    <w:rsid w:val="00E331A1"/>
    <w:rsid w:val="00E33202"/>
    <w:rsid w:val="00E336A9"/>
    <w:rsid w:val="00E472B1"/>
    <w:rsid w:val="00E50624"/>
    <w:rsid w:val="00E568DF"/>
    <w:rsid w:val="00E64269"/>
    <w:rsid w:val="00E82267"/>
    <w:rsid w:val="00E853CE"/>
    <w:rsid w:val="00E867B6"/>
    <w:rsid w:val="00EA010F"/>
    <w:rsid w:val="00ED1B63"/>
    <w:rsid w:val="00ED3C1F"/>
    <w:rsid w:val="00ED4085"/>
    <w:rsid w:val="00ED420E"/>
    <w:rsid w:val="00ED6FBE"/>
    <w:rsid w:val="00EE2F57"/>
    <w:rsid w:val="00EF4C34"/>
    <w:rsid w:val="00EF77C6"/>
    <w:rsid w:val="00F05438"/>
    <w:rsid w:val="00F1361C"/>
    <w:rsid w:val="00F156F0"/>
    <w:rsid w:val="00F160C7"/>
    <w:rsid w:val="00F2408F"/>
    <w:rsid w:val="00F240E9"/>
    <w:rsid w:val="00F36D8F"/>
    <w:rsid w:val="00F417B1"/>
    <w:rsid w:val="00F45853"/>
    <w:rsid w:val="00F602DF"/>
    <w:rsid w:val="00F754A1"/>
    <w:rsid w:val="00F81FD9"/>
    <w:rsid w:val="00F841AA"/>
    <w:rsid w:val="00F84A94"/>
    <w:rsid w:val="00F87E96"/>
    <w:rsid w:val="00FA23E8"/>
    <w:rsid w:val="00FD3CC1"/>
    <w:rsid w:val="00FF1E02"/>
    <w:rsid w:val="00FF30B4"/>
    <w:rsid w:val="01835F68"/>
    <w:rsid w:val="024A21E4"/>
    <w:rsid w:val="02A76A7D"/>
    <w:rsid w:val="02C0557E"/>
    <w:rsid w:val="02F14537"/>
    <w:rsid w:val="02FD4D50"/>
    <w:rsid w:val="036F36A8"/>
    <w:rsid w:val="03DC2831"/>
    <w:rsid w:val="04E37D20"/>
    <w:rsid w:val="0580001D"/>
    <w:rsid w:val="05AF31B4"/>
    <w:rsid w:val="05BE1E0C"/>
    <w:rsid w:val="07786810"/>
    <w:rsid w:val="07C03DF5"/>
    <w:rsid w:val="081B5E94"/>
    <w:rsid w:val="0A2032A3"/>
    <w:rsid w:val="0AE752DC"/>
    <w:rsid w:val="0B8A37D8"/>
    <w:rsid w:val="0BB139C4"/>
    <w:rsid w:val="0C0D3726"/>
    <w:rsid w:val="0D0D7D3C"/>
    <w:rsid w:val="0D554854"/>
    <w:rsid w:val="0F3B7133"/>
    <w:rsid w:val="0F5FFB2F"/>
    <w:rsid w:val="0FE019F0"/>
    <w:rsid w:val="0FFFCF60"/>
    <w:rsid w:val="10C055FF"/>
    <w:rsid w:val="10F26282"/>
    <w:rsid w:val="118107EC"/>
    <w:rsid w:val="11DD6519"/>
    <w:rsid w:val="121F334C"/>
    <w:rsid w:val="125D6E18"/>
    <w:rsid w:val="12F10EA7"/>
    <w:rsid w:val="14ED5A5D"/>
    <w:rsid w:val="16BB723D"/>
    <w:rsid w:val="16D6300E"/>
    <w:rsid w:val="18015F3F"/>
    <w:rsid w:val="18F3438D"/>
    <w:rsid w:val="19254E7F"/>
    <w:rsid w:val="1B093306"/>
    <w:rsid w:val="1BE8440E"/>
    <w:rsid w:val="1C750F90"/>
    <w:rsid w:val="1C8B1DEB"/>
    <w:rsid w:val="1D155CEE"/>
    <w:rsid w:val="1D80010D"/>
    <w:rsid w:val="1E3075AF"/>
    <w:rsid w:val="1E320493"/>
    <w:rsid w:val="1E726858"/>
    <w:rsid w:val="1ED83E79"/>
    <w:rsid w:val="1EF35570"/>
    <w:rsid w:val="1FA714D7"/>
    <w:rsid w:val="1FDBBF84"/>
    <w:rsid w:val="204D7BBD"/>
    <w:rsid w:val="20F57F95"/>
    <w:rsid w:val="21E42E22"/>
    <w:rsid w:val="228644BC"/>
    <w:rsid w:val="23662EF3"/>
    <w:rsid w:val="238E4E11"/>
    <w:rsid w:val="240371BF"/>
    <w:rsid w:val="249524D7"/>
    <w:rsid w:val="24F72794"/>
    <w:rsid w:val="25475D80"/>
    <w:rsid w:val="255340E0"/>
    <w:rsid w:val="25711CC6"/>
    <w:rsid w:val="25C741E6"/>
    <w:rsid w:val="276F80C0"/>
    <w:rsid w:val="27842671"/>
    <w:rsid w:val="28137951"/>
    <w:rsid w:val="29FD04D3"/>
    <w:rsid w:val="2ABE7A3E"/>
    <w:rsid w:val="2AFF09B6"/>
    <w:rsid w:val="2C99465B"/>
    <w:rsid w:val="2CA234A8"/>
    <w:rsid w:val="2CAB4269"/>
    <w:rsid w:val="2EB31D6D"/>
    <w:rsid w:val="2ECC4270"/>
    <w:rsid w:val="2EFA178C"/>
    <w:rsid w:val="2EFDF86C"/>
    <w:rsid w:val="2EFE6DCB"/>
    <w:rsid w:val="2F9D17E1"/>
    <w:rsid w:val="30B46D73"/>
    <w:rsid w:val="31560B23"/>
    <w:rsid w:val="3180689F"/>
    <w:rsid w:val="319F7F4E"/>
    <w:rsid w:val="32202C2C"/>
    <w:rsid w:val="32415218"/>
    <w:rsid w:val="330323C7"/>
    <w:rsid w:val="33236887"/>
    <w:rsid w:val="33E4764A"/>
    <w:rsid w:val="34681CDF"/>
    <w:rsid w:val="3518251F"/>
    <w:rsid w:val="356A28F1"/>
    <w:rsid w:val="357C035A"/>
    <w:rsid w:val="35A05AA6"/>
    <w:rsid w:val="366F5F73"/>
    <w:rsid w:val="368E000D"/>
    <w:rsid w:val="37936580"/>
    <w:rsid w:val="379E1AAB"/>
    <w:rsid w:val="381D3FAD"/>
    <w:rsid w:val="383D272C"/>
    <w:rsid w:val="385B1D92"/>
    <w:rsid w:val="391F631E"/>
    <w:rsid w:val="39264EC7"/>
    <w:rsid w:val="39AE70AB"/>
    <w:rsid w:val="3A4DCE41"/>
    <w:rsid w:val="3A60310D"/>
    <w:rsid w:val="3BCB56FA"/>
    <w:rsid w:val="3C0C0783"/>
    <w:rsid w:val="3CA2339A"/>
    <w:rsid w:val="3D8F3346"/>
    <w:rsid w:val="3EE7C2F4"/>
    <w:rsid w:val="3F371B56"/>
    <w:rsid w:val="3F792ED8"/>
    <w:rsid w:val="3F9F3A96"/>
    <w:rsid w:val="3FECA4B2"/>
    <w:rsid w:val="3FF58C48"/>
    <w:rsid w:val="40D807B7"/>
    <w:rsid w:val="429A4C67"/>
    <w:rsid w:val="42C01770"/>
    <w:rsid w:val="42FF6694"/>
    <w:rsid w:val="45060D00"/>
    <w:rsid w:val="460D65C0"/>
    <w:rsid w:val="47395181"/>
    <w:rsid w:val="47EC4DFA"/>
    <w:rsid w:val="48646A1C"/>
    <w:rsid w:val="48BF60AB"/>
    <w:rsid w:val="493C27E9"/>
    <w:rsid w:val="49547068"/>
    <w:rsid w:val="496F39ED"/>
    <w:rsid w:val="49AF4F3C"/>
    <w:rsid w:val="49FF41D3"/>
    <w:rsid w:val="4B074E64"/>
    <w:rsid w:val="4B7C0F37"/>
    <w:rsid w:val="4BE068DB"/>
    <w:rsid w:val="4BF6002B"/>
    <w:rsid w:val="4BFFC6BE"/>
    <w:rsid w:val="4CA93F1C"/>
    <w:rsid w:val="4CBE3FE1"/>
    <w:rsid w:val="4D46050D"/>
    <w:rsid w:val="4D6A3535"/>
    <w:rsid w:val="4E181E9B"/>
    <w:rsid w:val="4E894863"/>
    <w:rsid w:val="4E8C40B0"/>
    <w:rsid w:val="4ECE2238"/>
    <w:rsid w:val="4F3C75B9"/>
    <w:rsid w:val="50817940"/>
    <w:rsid w:val="51BE4BAE"/>
    <w:rsid w:val="51DB4B86"/>
    <w:rsid w:val="51E95C4D"/>
    <w:rsid w:val="51F64DB0"/>
    <w:rsid w:val="52BE1F35"/>
    <w:rsid w:val="53112F4E"/>
    <w:rsid w:val="54455843"/>
    <w:rsid w:val="5514133A"/>
    <w:rsid w:val="552804CF"/>
    <w:rsid w:val="55333C3E"/>
    <w:rsid w:val="56753DB1"/>
    <w:rsid w:val="576E210E"/>
    <w:rsid w:val="58EF5524"/>
    <w:rsid w:val="59A90D1E"/>
    <w:rsid w:val="5A897643"/>
    <w:rsid w:val="5AEC5A6C"/>
    <w:rsid w:val="5B482A46"/>
    <w:rsid w:val="5BC91884"/>
    <w:rsid w:val="5BF8682E"/>
    <w:rsid w:val="5D446AE9"/>
    <w:rsid w:val="5DF95EEA"/>
    <w:rsid w:val="5E057DD2"/>
    <w:rsid w:val="5E51270C"/>
    <w:rsid w:val="5EAA65B5"/>
    <w:rsid w:val="5EE91886"/>
    <w:rsid w:val="5F1F18EE"/>
    <w:rsid w:val="5F67802D"/>
    <w:rsid w:val="5F7DC4F2"/>
    <w:rsid w:val="5FB36814"/>
    <w:rsid w:val="5FBB8E56"/>
    <w:rsid w:val="5FFB5535"/>
    <w:rsid w:val="61E955EE"/>
    <w:rsid w:val="62543226"/>
    <w:rsid w:val="64CA39A1"/>
    <w:rsid w:val="653E70FF"/>
    <w:rsid w:val="65D23A96"/>
    <w:rsid w:val="68684B23"/>
    <w:rsid w:val="687B1329"/>
    <w:rsid w:val="690C5CF6"/>
    <w:rsid w:val="69630ADE"/>
    <w:rsid w:val="69A64455"/>
    <w:rsid w:val="69BD5F13"/>
    <w:rsid w:val="69FB0B4B"/>
    <w:rsid w:val="6A866E1D"/>
    <w:rsid w:val="6BE65921"/>
    <w:rsid w:val="6BFFE1FB"/>
    <w:rsid w:val="6C4A05C8"/>
    <w:rsid w:val="6D3B1A89"/>
    <w:rsid w:val="6DB7D8A3"/>
    <w:rsid w:val="6DFF3A4C"/>
    <w:rsid w:val="6EC78701"/>
    <w:rsid w:val="6F7A5481"/>
    <w:rsid w:val="6FFE07A9"/>
    <w:rsid w:val="71372AA1"/>
    <w:rsid w:val="715D51A8"/>
    <w:rsid w:val="71BF4EC2"/>
    <w:rsid w:val="72711384"/>
    <w:rsid w:val="72734D90"/>
    <w:rsid w:val="73E75B71"/>
    <w:rsid w:val="7412278C"/>
    <w:rsid w:val="74F920A2"/>
    <w:rsid w:val="75624E2C"/>
    <w:rsid w:val="75DDCDA9"/>
    <w:rsid w:val="75FF44B1"/>
    <w:rsid w:val="77670518"/>
    <w:rsid w:val="777FA627"/>
    <w:rsid w:val="77BA43C0"/>
    <w:rsid w:val="77BE4653"/>
    <w:rsid w:val="77DF1B5F"/>
    <w:rsid w:val="77EF2D9D"/>
    <w:rsid w:val="793913EC"/>
    <w:rsid w:val="79E7B28D"/>
    <w:rsid w:val="7A2768C1"/>
    <w:rsid w:val="7ACFF0C2"/>
    <w:rsid w:val="7AFB9108"/>
    <w:rsid w:val="7AFF03C5"/>
    <w:rsid w:val="7B70341C"/>
    <w:rsid w:val="7B9109E6"/>
    <w:rsid w:val="7BD5340C"/>
    <w:rsid w:val="7BDF6193"/>
    <w:rsid w:val="7BFB19D2"/>
    <w:rsid w:val="7BFD1750"/>
    <w:rsid w:val="7BFDAA1B"/>
    <w:rsid w:val="7CDF9A82"/>
    <w:rsid w:val="7CFFA1BD"/>
    <w:rsid w:val="7D2E3F7A"/>
    <w:rsid w:val="7D957F2D"/>
    <w:rsid w:val="7D9A2D51"/>
    <w:rsid w:val="7DA57A41"/>
    <w:rsid w:val="7DED9490"/>
    <w:rsid w:val="7DFC1D56"/>
    <w:rsid w:val="7DFF4872"/>
    <w:rsid w:val="7E7487E6"/>
    <w:rsid w:val="7E7C2A54"/>
    <w:rsid w:val="7EEEFD72"/>
    <w:rsid w:val="7F1D517C"/>
    <w:rsid w:val="7F5DA057"/>
    <w:rsid w:val="7F6C2237"/>
    <w:rsid w:val="7F7F319B"/>
    <w:rsid w:val="7F9F20EE"/>
    <w:rsid w:val="7FBBE890"/>
    <w:rsid w:val="7FBC2ABD"/>
    <w:rsid w:val="7FBF5D48"/>
    <w:rsid w:val="7FCCFC01"/>
    <w:rsid w:val="7FDD1748"/>
    <w:rsid w:val="7FE769C6"/>
    <w:rsid w:val="7FFD083E"/>
    <w:rsid w:val="7FFF9372"/>
    <w:rsid w:val="84BF1F3B"/>
    <w:rsid w:val="8F55B106"/>
    <w:rsid w:val="95DF317D"/>
    <w:rsid w:val="97E77C70"/>
    <w:rsid w:val="9E3A10E2"/>
    <w:rsid w:val="9FB91FBD"/>
    <w:rsid w:val="9FD54998"/>
    <w:rsid w:val="A671883B"/>
    <w:rsid w:val="A7EFD17F"/>
    <w:rsid w:val="A7FFE43F"/>
    <w:rsid w:val="BDFEA317"/>
    <w:rsid w:val="CD9BBABB"/>
    <w:rsid w:val="CF99F292"/>
    <w:rsid w:val="D5DA60B3"/>
    <w:rsid w:val="D7C6F579"/>
    <w:rsid w:val="D8FECA92"/>
    <w:rsid w:val="DAFFBE66"/>
    <w:rsid w:val="DD2C0BFE"/>
    <w:rsid w:val="DE3F332B"/>
    <w:rsid w:val="DE6F4A3D"/>
    <w:rsid w:val="DF69F8B0"/>
    <w:rsid w:val="DFC71555"/>
    <w:rsid w:val="DFFC559C"/>
    <w:rsid w:val="DFFEDFAE"/>
    <w:rsid w:val="DFFFB5EB"/>
    <w:rsid w:val="E4B33E57"/>
    <w:rsid w:val="E5BF946A"/>
    <w:rsid w:val="EB39BD45"/>
    <w:rsid w:val="EBCF1FC2"/>
    <w:rsid w:val="EBD18F66"/>
    <w:rsid w:val="ED17392C"/>
    <w:rsid w:val="ED9FFD9A"/>
    <w:rsid w:val="EDB7968B"/>
    <w:rsid w:val="EEF73F60"/>
    <w:rsid w:val="EFED9E42"/>
    <w:rsid w:val="EFFFB194"/>
    <w:rsid w:val="F2E1F9D4"/>
    <w:rsid w:val="F5FF7449"/>
    <w:rsid w:val="F7880819"/>
    <w:rsid w:val="F7AF180D"/>
    <w:rsid w:val="F7BDBFA7"/>
    <w:rsid w:val="F7FAD68F"/>
    <w:rsid w:val="F7FB14CF"/>
    <w:rsid w:val="FB3FC69C"/>
    <w:rsid w:val="FBDFF225"/>
    <w:rsid w:val="FBF7AB63"/>
    <w:rsid w:val="FC2F3373"/>
    <w:rsid w:val="FCF51535"/>
    <w:rsid w:val="FD77F6B8"/>
    <w:rsid w:val="FDD69328"/>
    <w:rsid w:val="FDDFEC0E"/>
    <w:rsid w:val="FDE58BDD"/>
    <w:rsid w:val="FDEC7001"/>
    <w:rsid w:val="FEDFE87F"/>
    <w:rsid w:val="FEF1D25B"/>
    <w:rsid w:val="FF3EF90F"/>
    <w:rsid w:val="FFAF6081"/>
    <w:rsid w:val="FFECCD8C"/>
    <w:rsid w:val="FFED60BD"/>
    <w:rsid w:val="FFEE08F0"/>
    <w:rsid w:val="FFEE7F9F"/>
    <w:rsid w:val="FFFF3197"/>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99" w:semiHidden="0" w:name="Normal Indent"/>
    <w:lsdException w:uiPriority="99" w:name="footnote text"/>
    <w:lsdException w:uiPriority="99" w:name="annotation text"/>
    <w:lsdException w:qFormat="1" w:unhideWhenUsed="0" w:uiPriority="99" w:name="header"/>
    <w:lsdException w:qFormat="1" w:unhideWhenUsed="0" w:uiPriority="99" w:semiHidden="0" w:name="footer"/>
    <w:lsdException w:uiPriority="99" w:name="index heading"/>
    <w:lsdException w:qFormat="1" w:uiPriority="35" w:name="caption"/>
    <w:lsdException w:qFormat="1" w:unhideWhenUsed="0" w:uiPriority="99" w:semiHidden="0"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99"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99"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30"/>
    <w:qFormat/>
    <w:uiPriority w:val="9"/>
    <w:pPr>
      <w:keepNext/>
      <w:keepLines/>
      <w:spacing w:before="340" w:after="330" w:line="578" w:lineRule="auto"/>
      <w:outlineLvl w:val="0"/>
    </w:pPr>
    <w:rPr>
      <w:b/>
      <w:bCs/>
      <w:kern w:val="44"/>
      <w:sz w:val="44"/>
      <w:szCs w:val="44"/>
    </w:rPr>
  </w:style>
  <w:style w:type="paragraph" w:styleId="4">
    <w:name w:val="heading 2"/>
    <w:basedOn w:val="1"/>
    <w:next w:val="1"/>
    <w:link w:val="31"/>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5">
    <w:name w:val="heading 3"/>
    <w:basedOn w:val="1"/>
    <w:next w:val="1"/>
    <w:link w:val="34"/>
    <w:unhideWhenUsed/>
    <w:qFormat/>
    <w:uiPriority w:val="9"/>
    <w:pPr>
      <w:keepNext/>
      <w:keepLines/>
      <w:spacing w:before="260" w:after="260" w:line="416" w:lineRule="auto"/>
      <w:outlineLvl w:val="2"/>
    </w:pPr>
    <w:rPr>
      <w:b/>
      <w:bCs/>
      <w:sz w:val="32"/>
      <w:szCs w:val="32"/>
    </w:rPr>
  </w:style>
  <w:style w:type="character" w:default="1" w:styleId="18">
    <w:name w:val="Default Paragraph Font"/>
    <w:semiHidden/>
    <w:unhideWhenUsed/>
    <w:qFormat/>
    <w:uiPriority w:val="1"/>
  </w:style>
  <w:style w:type="table" w:default="1" w:styleId="17">
    <w:name w:val="Normal Table"/>
    <w:semiHidden/>
    <w:unhideWhenUsed/>
    <w:qFormat/>
    <w:uiPriority w:val="99"/>
    <w:tblPr>
      <w:tblCellMar>
        <w:top w:w="0" w:type="dxa"/>
        <w:left w:w="108" w:type="dxa"/>
        <w:bottom w:w="0" w:type="dxa"/>
        <w:right w:w="108" w:type="dxa"/>
      </w:tblCellMar>
    </w:tblPr>
  </w:style>
  <w:style w:type="paragraph" w:styleId="2">
    <w:name w:val="Normal Indent"/>
    <w:basedOn w:val="1"/>
    <w:unhideWhenUsed/>
    <w:qFormat/>
    <w:uiPriority w:val="99"/>
    <w:pPr>
      <w:ind w:firstLine="680"/>
    </w:pPr>
  </w:style>
  <w:style w:type="paragraph" w:styleId="6">
    <w:name w:val="Body Text"/>
    <w:basedOn w:val="1"/>
    <w:link w:val="27"/>
    <w:qFormat/>
    <w:uiPriority w:val="99"/>
    <w:pPr>
      <w:spacing w:beforeLines="30"/>
    </w:pPr>
    <w:rPr>
      <w:rFonts w:ascii="仿宋_GB2312" w:eastAsia="仿宋_GB2312"/>
      <w:kern w:val="0"/>
      <w:sz w:val="30"/>
    </w:rPr>
  </w:style>
  <w:style w:type="paragraph" w:styleId="7">
    <w:name w:val="Body Text Indent"/>
    <w:basedOn w:val="1"/>
    <w:next w:val="8"/>
    <w:qFormat/>
    <w:uiPriority w:val="0"/>
    <w:pPr>
      <w:spacing w:after="120"/>
      <w:ind w:left="200" w:leftChars="200"/>
    </w:pPr>
    <w:rPr>
      <w:rFonts w:ascii="仿宋_GB2312"/>
      <w:szCs w:val="32"/>
    </w:rPr>
  </w:style>
  <w:style w:type="paragraph" w:styleId="8">
    <w:name w:val="Body Text First Indent 2"/>
    <w:basedOn w:val="7"/>
    <w:next w:val="1"/>
    <w:unhideWhenUsed/>
    <w:qFormat/>
    <w:uiPriority w:val="99"/>
    <w:pPr>
      <w:ind w:firstLine="420" w:firstLineChars="200"/>
    </w:pPr>
  </w:style>
  <w:style w:type="paragraph" w:styleId="9">
    <w:name w:val="toc 3"/>
    <w:basedOn w:val="1"/>
    <w:next w:val="1"/>
    <w:unhideWhenUsed/>
    <w:qFormat/>
    <w:uiPriority w:val="39"/>
    <w:pPr>
      <w:tabs>
        <w:tab w:val="right" w:leader="dot" w:pos="8296"/>
      </w:tabs>
      <w:ind w:left="840" w:leftChars="400"/>
    </w:pPr>
  </w:style>
  <w:style w:type="paragraph" w:styleId="10">
    <w:name w:val="Balloon Text"/>
    <w:basedOn w:val="1"/>
    <w:link w:val="33"/>
    <w:semiHidden/>
    <w:unhideWhenUsed/>
    <w:qFormat/>
    <w:uiPriority w:val="99"/>
    <w:rPr>
      <w:sz w:val="18"/>
      <w:szCs w:val="18"/>
    </w:rPr>
  </w:style>
  <w:style w:type="paragraph" w:styleId="11">
    <w:name w:val="footer"/>
    <w:basedOn w:val="1"/>
    <w:link w:val="25"/>
    <w:qFormat/>
    <w:uiPriority w:val="99"/>
    <w:pPr>
      <w:tabs>
        <w:tab w:val="center" w:pos="4153"/>
        <w:tab w:val="right" w:pos="8306"/>
      </w:tabs>
      <w:snapToGrid w:val="0"/>
      <w:jc w:val="left"/>
    </w:pPr>
    <w:rPr>
      <w:rFonts w:ascii="Calibri" w:hAnsi="Calibri"/>
      <w:kern w:val="0"/>
      <w:sz w:val="18"/>
      <w:szCs w:val="18"/>
    </w:rPr>
  </w:style>
  <w:style w:type="paragraph" w:styleId="12">
    <w:name w:val="header"/>
    <w:basedOn w:val="1"/>
    <w:link w:val="23"/>
    <w:semiHidden/>
    <w:qFormat/>
    <w:uiPriority w:val="99"/>
    <w:pPr>
      <w:pBdr>
        <w:bottom w:val="single" w:color="auto" w:sz="6" w:space="1"/>
      </w:pBdr>
      <w:tabs>
        <w:tab w:val="center" w:pos="4153"/>
        <w:tab w:val="right" w:pos="8306"/>
      </w:tabs>
      <w:snapToGrid w:val="0"/>
      <w:jc w:val="center"/>
    </w:pPr>
    <w:rPr>
      <w:rFonts w:ascii="Calibri" w:hAnsi="Calibri"/>
      <w:kern w:val="0"/>
      <w:sz w:val="18"/>
      <w:szCs w:val="18"/>
    </w:rPr>
  </w:style>
  <w:style w:type="paragraph" w:styleId="13">
    <w:name w:val="toc 1"/>
    <w:basedOn w:val="1"/>
    <w:next w:val="1"/>
    <w:unhideWhenUsed/>
    <w:qFormat/>
    <w:uiPriority w:val="39"/>
    <w:pPr>
      <w:tabs>
        <w:tab w:val="right" w:leader="dot" w:pos="8296"/>
      </w:tabs>
      <w:spacing w:before="93"/>
      <w:jc w:val="center"/>
    </w:pPr>
    <w:rPr>
      <w:rFonts w:ascii="仿宋" w:hAnsi="仿宋" w:eastAsia="仿宋"/>
      <w:sz w:val="28"/>
      <w:szCs w:val="28"/>
    </w:rPr>
  </w:style>
  <w:style w:type="paragraph" w:styleId="14">
    <w:name w:val="table of figures"/>
    <w:basedOn w:val="1"/>
    <w:next w:val="1"/>
    <w:qFormat/>
    <w:uiPriority w:val="99"/>
    <w:pPr>
      <w:ind w:left="200" w:leftChars="200" w:hanging="200" w:hangingChars="200"/>
    </w:pPr>
  </w:style>
  <w:style w:type="paragraph" w:styleId="15">
    <w:name w:val="toc 2"/>
    <w:basedOn w:val="1"/>
    <w:next w:val="1"/>
    <w:unhideWhenUsed/>
    <w:qFormat/>
    <w:uiPriority w:val="39"/>
    <w:pPr>
      <w:tabs>
        <w:tab w:val="right" w:leader="dot" w:pos="8296"/>
      </w:tabs>
      <w:ind w:left="420" w:leftChars="200"/>
    </w:pPr>
  </w:style>
  <w:style w:type="paragraph" w:styleId="16">
    <w:name w:val="Normal (Web)"/>
    <w:basedOn w:val="1"/>
    <w:next w:val="12"/>
    <w:qFormat/>
    <w:uiPriority w:val="0"/>
    <w:rPr>
      <w:sz w:val="24"/>
    </w:rPr>
  </w:style>
  <w:style w:type="character" w:styleId="19">
    <w:name w:val="Strong"/>
    <w:basedOn w:val="18"/>
    <w:qFormat/>
    <w:uiPriority w:val="99"/>
    <w:rPr>
      <w:b/>
    </w:rPr>
  </w:style>
  <w:style w:type="character" w:styleId="20">
    <w:name w:val="Hyperlink"/>
    <w:basedOn w:val="18"/>
    <w:unhideWhenUsed/>
    <w:qFormat/>
    <w:uiPriority w:val="99"/>
    <w:rPr>
      <w:color w:val="0000FF" w:themeColor="hyperlink"/>
      <w:u w:val="single"/>
      <w14:textFill>
        <w14:solidFill>
          <w14:schemeClr w14:val="hlink"/>
        </w14:solidFill>
      </w14:textFill>
    </w:rPr>
  </w:style>
  <w:style w:type="paragraph" w:customStyle="1" w:styleId="21">
    <w:name w:val="标题 5（有编号）（绿盟科技）"/>
    <w:next w:val="1"/>
    <w:qFormat/>
    <w:uiPriority w:val="99"/>
    <w:pPr>
      <w:keepNext/>
      <w:keepLines/>
      <w:widowControl w:val="0"/>
      <w:spacing w:before="280" w:after="156" w:line="377" w:lineRule="auto"/>
      <w:outlineLvl w:val="4"/>
    </w:pPr>
    <w:rPr>
      <w:rFonts w:ascii="Arial" w:hAnsi="Arial" w:eastAsia="黑体" w:cs="Times New Roman"/>
      <w:b/>
      <w:kern w:val="2"/>
      <w:sz w:val="24"/>
      <w:szCs w:val="28"/>
      <w:lang w:val="en-US" w:eastAsia="zh-CN" w:bidi="ar-SA"/>
    </w:rPr>
  </w:style>
  <w:style w:type="character" w:customStyle="1" w:styleId="22">
    <w:name w:val="Header Char"/>
    <w:basedOn w:val="18"/>
    <w:semiHidden/>
    <w:qFormat/>
    <w:uiPriority w:val="99"/>
    <w:rPr>
      <w:rFonts w:ascii="Times New Roman" w:hAnsi="Times New Roman"/>
      <w:sz w:val="18"/>
      <w:szCs w:val="18"/>
    </w:rPr>
  </w:style>
  <w:style w:type="character" w:customStyle="1" w:styleId="23">
    <w:name w:val="页眉 字符"/>
    <w:link w:val="12"/>
    <w:semiHidden/>
    <w:qFormat/>
    <w:locked/>
    <w:uiPriority w:val="99"/>
    <w:rPr>
      <w:sz w:val="18"/>
    </w:rPr>
  </w:style>
  <w:style w:type="character" w:customStyle="1" w:styleId="24">
    <w:name w:val="Footer Char"/>
    <w:basedOn w:val="18"/>
    <w:semiHidden/>
    <w:qFormat/>
    <w:uiPriority w:val="99"/>
    <w:rPr>
      <w:rFonts w:ascii="Times New Roman" w:hAnsi="Times New Roman"/>
      <w:sz w:val="18"/>
      <w:szCs w:val="18"/>
    </w:rPr>
  </w:style>
  <w:style w:type="character" w:customStyle="1" w:styleId="25">
    <w:name w:val="页脚 字符"/>
    <w:link w:val="11"/>
    <w:qFormat/>
    <w:locked/>
    <w:uiPriority w:val="99"/>
    <w:rPr>
      <w:sz w:val="18"/>
    </w:rPr>
  </w:style>
  <w:style w:type="character" w:customStyle="1" w:styleId="26">
    <w:name w:val="Body Text Char"/>
    <w:basedOn w:val="18"/>
    <w:semiHidden/>
    <w:qFormat/>
    <w:uiPriority w:val="99"/>
    <w:rPr>
      <w:rFonts w:ascii="Times New Roman" w:hAnsi="Times New Roman"/>
      <w:szCs w:val="24"/>
    </w:rPr>
  </w:style>
  <w:style w:type="character" w:customStyle="1" w:styleId="27">
    <w:name w:val="正文文本 字符"/>
    <w:link w:val="6"/>
    <w:qFormat/>
    <w:locked/>
    <w:uiPriority w:val="99"/>
    <w:rPr>
      <w:rFonts w:ascii="仿宋_GB2312" w:hAnsi="Times New Roman" w:eastAsia="仿宋_GB2312"/>
      <w:sz w:val="24"/>
    </w:rPr>
  </w:style>
  <w:style w:type="paragraph" w:customStyle="1" w:styleId="28">
    <w:name w:val="Default"/>
    <w:qFormat/>
    <w:uiPriority w:val="99"/>
    <w:pPr>
      <w:widowControl w:val="0"/>
      <w:autoSpaceDE w:val="0"/>
      <w:autoSpaceDN w:val="0"/>
      <w:adjustRightInd w:val="0"/>
    </w:pPr>
    <w:rPr>
      <w:rFonts w:ascii="仿宋" w:hAnsi="Calibri" w:eastAsia="仿宋" w:cs="仿宋"/>
      <w:color w:val="000000"/>
      <w:sz w:val="24"/>
      <w:szCs w:val="24"/>
      <w:lang w:val="en-US" w:eastAsia="zh-CN" w:bidi="ar-SA"/>
    </w:rPr>
  </w:style>
  <w:style w:type="paragraph" w:styleId="29">
    <w:name w:val="List Paragraph"/>
    <w:basedOn w:val="1"/>
    <w:qFormat/>
    <w:uiPriority w:val="34"/>
    <w:pPr>
      <w:ind w:firstLine="420" w:firstLineChars="200"/>
    </w:pPr>
  </w:style>
  <w:style w:type="character" w:customStyle="1" w:styleId="30">
    <w:name w:val="标题 1 字符"/>
    <w:basedOn w:val="18"/>
    <w:link w:val="3"/>
    <w:qFormat/>
    <w:uiPriority w:val="9"/>
    <w:rPr>
      <w:rFonts w:ascii="Times New Roman" w:hAnsi="Times New Roman"/>
      <w:b/>
      <w:bCs/>
      <w:kern w:val="44"/>
      <w:sz w:val="44"/>
      <w:szCs w:val="44"/>
    </w:rPr>
  </w:style>
  <w:style w:type="character" w:customStyle="1" w:styleId="31">
    <w:name w:val="标题 2 字符"/>
    <w:basedOn w:val="18"/>
    <w:link w:val="4"/>
    <w:qFormat/>
    <w:uiPriority w:val="9"/>
    <w:rPr>
      <w:rFonts w:asciiTheme="majorHAnsi" w:hAnsiTheme="majorHAnsi" w:eastAsiaTheme="majorEastAsia" w:cstheme="majorBidi"/>
      <w:b/>
      <w:bCs/>
      <w:kern w:val="2"/>
      <w:sz w:val="32"/>
      <w:szCs w:val="32"/>
    </w:rPr>
  </w:style>
  <w:style w:type="paragraph" w:customStyle="1" w:styleId="32">
    <w:name w:val="TOC 标题1"/>
    <w:basedOn w:val="3"/>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character" w:customStyle="1" w:styleId="33">
    <w:name w:val="批注框文本 字符"/>
    <w:basedOn w:val="18"/>
    <w:link w:val="10"/>
    <w:semiHidden/>
    <w:qFormat/>
    <w:uiPriority w:val="99"/>
    <w:rPr>
      <w:rFonts w:ascii="Times New Roman" w:hAnsi="Times New Roman"/>
      <w:kern w:val="2"/>
      <w:sz w:val="18"/>
      <w:szCs w:val="18"/>
    </w:rPr>
  </w:style>
  <w:style w:type="character" w:customStyle="1" w:styleId="34">
    <w:name w:val="标题 3 字符"/>
    <w:basedOn w:val="18"/>
    <w:link w:val="5"/>
    <w:qFormat/>
    <w:uiPriority w:val="9"/>
    <w:rPr>
      <w:rFonts w:ascii="Times New Roman" w:hAnsi="Times New Roman"/>
      <w:b/>
      <w:bCs/>
      <w:kern w:val="2"/>
      <w:sz w:val="32"/>
      <w:szCs w:val="32"/>
    </w:rPr>
  </w:style>
  <w:style w:type="paragraph" w:customStyle="1" w:styleId="35">
    <w:name w:val="TOC 标题2"/>
    <w:basedOn w:val="3"/>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paragraph" w:customStyle="1" w:styleId="36">
    <w:name w:val="WPSOffice手动目录 1"/>
    <w:qFormat/>
    <w:uiPriority w:val="0"/>
    <w:pPr>
      <w:ind w:leftChars="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 Type="http://schemas.openxmlformats.org/officeDocument/2006/relationships/chart" Target="charts/chart3.xml"/><Relationship Id="rId8" Type="http://schemas.openxmlformats.org/officeDocument/2006/relationships/chart" Target="charts/chart2.xml"/><Relationship Id="rId7" Type="http://schemas.openxmlformats.org/officeDocument/2006/relationships/chart" Target="charts/chart1.xml"/><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numbering" Target="numbering.xml"/><Relationship Id="rId14" Type="http://schemas.openxmlformats.org/officeDocument/2006/relationships/customXml" Target="../customXml/item1.xml"/><Relationship Id="rId13" Type="http://schemas.openxmlformats.org/officeDocument/2006/relationships/chart" Target="charts/chart7.xml"/><Relationship Id="rId12" Type="http://schemas.openxmlformats.org/officeDocument/2006/relationships/chart" Target="charts/chart6.xml"/><Relationship Id="rId11" Type="http://schemas.openxmlformats.org/officeDocument/2006/relationships/chart" Target="charts/chart5.xml"/><Relationship Id="rId10" Type="http://schemas.openxmlformats.org/officeDocument/2006/relationships/chart" Target="charts/chart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charts/_rels/chart1.xml.rels><?xml version="1.0" encoding="UTF-8" standalone="yes"?>
<Relationships xmlns="http://schemas.openxmlformats.org/package/2006/relationships"><Relationship Id="rId3" Type="http://schemas.microsoft.com/office/2011/relationships/chartColorStyle" Target="colors4.xml"/><Relationship Id="rId2" Type="http://schemas.microsoft.com/office/2011/relationships/chartStyle" Target="style4.xml"/><Relationship Id="rId1" Type="http://schemas.openxmlformats.org/officeDocument/2006/relationships/package" Target="../embeddings/Workbook4.xlsx"/></Relationships>
</file>

<file path=word/charts/_rels/chart2.xml.rels><?xml version="1.0" encoding="UTF-8" standalone="yes"?>
<Relationships xmlns="http://schemas.openxmlformats.org/package/2006/relationships"><Relationship Id="rId3" Type="http://schemas.microsoft.com/office/2011/relationships/chartColorStyle" Target="colors3.xml"/><Relationship Id="rId2" Type="http://schemas.microsoft.com/office/2011/relationships/chartStyle" Target="style3.xml"/><Relationship Id="rId1" Type="http://schemas.openxmlformats.org/officeDocument/2006/relationships/package" Target="../embeddings/Workbook3.xlsx"/></Relationships>
</file>

<file path=word/charts/_rels/chart3.xml.rels><?xml version="1.0" encoding="UTF-8" standalone="yes"?>
<Relationships xmlns="http://schemas.openxmlformats.org/package/2006/relationships"><Relationship Id="rId3" Type="http://schemas.microsoft.com/office/2011/relationships/chartColorStyle" Target="colors5.xml"/><Relationship Id="rId2" Type="http://schemas.microsoft.com/office/2011/relationships/chartStyle" Target="style5.xml"/><Relationship Id="rId1" Type="http://schemas.openxmlformats.org/officeDocument/2006/relationships/package" Target="../embeddings/Workbook5.xlsx"/></Relationships>
</file>

<file path=word/charts/_rels/chart4.xml.rels><?xml version="1.0" encoding="UTF-8" standalone="yes"?>
<Relationships xmlns="http://schemas.openxmlformats.org/package/2006/relationships"><Relationship Id="rId3" Type="http://schemas.microsoft.com/office/2011/relationships/chartColorStyle" Target="colors6.xml"/><Relationship Id="rId2" Type="http://schemas.microsoft.com/office/2011/relationships/chartStyle" Target="style6.xml"/><Relationship Id="rId1" Type="http://schemas.openxmlformats.org/officeDocument/2006/relationships/package" Target="../embeddings/Workbook6.xlsx"/></Relationships>
</file>

<file path=word/charts/_rels/chart5.xml.rels><?xml version="1.0" encoding="UTF-8" standalone="yes"?>
<Relationships xmlns="http://schemas.openxmlformats.org/package/2006/relationships"><Relationship Id="rId3" Type="http://schemas.microsoft.com/office/2011/relationships/chartColorStyle" Target="colors7.xml"/><Relationship Id="rId2" Type="http://schemas.microsoft.com/office/2011/relationships/chartStyle" Target="style7.xml"/><Relationship Id="rId1" Type="http://schemas.openxmlformats.org/officeDocument/2006/relationships/package" Target="../embeddings/Workbook7.xlsx"/></Relationships>
</file>

<file path=word/charts/_rels/chart6.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package" Target="../embeddings/Workbook2.xlsx"/></Relationships>
</file>

<file path=word/charts/_rels/chart7.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package" Target="../embeddings/Workbook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0" i="0" u="none" strike="noStrike" kern="1200" spc="0" baseline="0">
                <a:solidFill>
                  <a:schemeClr val="tx1">
                    <a:lumMod val="65000"/>
                    <a:lumOff val="35000"/>
                  </a:schemeClr>
                </a:solidFill>
                <a:latin typeface="+mn-lt"/>
                <a:ea typeface="+mn-ea"/>
                <a:cs typeface="+mn-cs"/>
              </a:defRPr>
            </a:pPr>
            <a:r>
              <a:rPr altLang="zh-CN"/>
              <a:t>收、支决算总计变动情况图（单位：万元）</a:t>
            </a:r>
            <a:endParaRPr altLang="zh-CN"/>
          </a:p>
        </c:rich>
      </c:tx>
      <c:layout/>
      <c:overlay val="0"/>
      <c:spPr>
        <a:noFill/>
        <a:ln>
          <a:noFill/>
        </a:ln>
        <a:effectLst/>
      </c:spPr>
    </c:title>
    <c:autoTitleDeleted val="0"/>
    <c:plotArea>
      <c:layout/>
      <c:barChart>
        <c:barDir val="col"/>
        <c:grouping val="clustered"/>
        <c:varyColors val="0"/>
        <c:ser>
          <c:idx val="0"/>
          <c:order val="0"/>
          <c:tx>
            <c:strRef>
              <c:f>Sheet1!$B$1</c:f>
              <c:strCache>
                <c:ptCount val="1"/>
                <c:pt idx="0">
                  <c:v>收入</c:v>
                </c:pt>
              </c:strCache>
            </c:strRef>
          </c:tx>
          <c:spPr>
            <a:solidFill>
              <a:schemeClr val="accent1"/>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2022年</c:v>
                </c:pt>
                <c:pt idx="1">
                  <c:v>2023年</c:v>
                </c:pt>
              </c:strCache>
            </c:strRef>
          </c:cat>
          <c:val>
            <c:numRef>
              <c:f>Sheet1!$B$2:$B$3</c:f>
              <c:numCache>
                <c:formatCode>General</c:formatCode>
                <c:ptCount val="2"/>
                <c:pt idx="0">
                  <c:v>1035.57</c:v>
                </c:pt>
                <c:pt idx="1">
                  <c:v>1084.94</c:v>
                </c:pt>
              </c:numCache>
            </c:numRef>
          </c:val>
        </c:ser>
        <c:ser>
          <c:idx val="1"/>
          <c:order val="1"/>
          <c:tx>
            <c:strRef>
              <c:f>Sheet1!$C$1</c:f>
              <c:strCache>
                <c:ptCount val="1"/>
                <c:pt idx="0">
                  <c:v>支出</c:v>
                </c:pt>
              </c:strCache>
            </c:strRef>
          </c:tx>
          <c:spPr>
            <a:solidFill>
              <a:schemeClr val="accent2"/>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2022年</c:v>
                </c:pt>
                <c:pt idx="1">
                  <c:v>2023年</c:v>
                </c:pt>
              </c:strCache>
            </c:strRef>
          </c:cat>
          <c:val>
            <c:numRef>
              <c:f>Sheet1!$C$2:$C$3</c:f>
              <c:numCache>
                <c:formatCode>General</c:formatCode>
                <c:ptCount val="2"/>
                <c:pt idx="0">
                  <c:v>1035.57</c:v>
                </c:pt>
                <c:pt idx="1">
                  <c:v>1084.94</c:v>
                </c:pt>
              </c:numCache>
            </c:numRef>
          </c:val>
        </c:ser>
        <c:dLbls>
          <c:showLegendKey val="0"/>
          <c:showVal val="1"/>
          <c:showCatName val="0"/>
          <c:showSerName val="0"/>
          <c:showPercent val="0"/>
          <c:showBubbleSize val="0"/>
        </c:dLbls>
        <c:gapWidth val="219"/>
        <c:overlap val="-27"/>
        <c:axId val="186022599"/>
        <c:axId val="104936957"/>
        <c:extLst>
          <c:ext xmlns:c15="http://schemas.microsoft.com/office/drawing/2012/chart" uri="{02D57815-91ED-43cb-92C2-25804820EDAC}">
            <c15:filteredBarSeries>
              <c15:ser>
                <c:idx val="2"/>
                <c:order val="2"/>
                <c:tx>
                  <c:strRef>
                    <c:extLst>
                      <c:ext uri="{02D57815-91ED-43cb-92C2-25804820EDAC}">
                        <c15:formulaRef>
                          <c15:sqref>Sheet1!#REF!</c15:sqref>
                        </c15:formulaRef>
                      </c:ext>
                    </c:extLst>
                    <c:strCache>
                      <c:ptCount val="1"/>
                      <c:pt idx="0">
                        <c:v/>
                      </c:pt>
                    </c:strCache>
                  </c:strRef>
                </c:tx>
                <c:spPr>
                  <a:solidFill>
                    <a:schemeClr val="accent3"/>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extLst>
                      <c:ext uri="{02D57815-91ED-43cb-92C2-25804820EDAC}">
                        <c15:fullRef>
                          <c15:sqref/>
                        </c15:fullRef>
                        <c15:formulaRef>
                          <c15:sqref>Sheet1!$A$2:$A$3</c15:sqref>
                        </c15:formulaRef>
                      </c:ext>
                    </c:extLst>
                    <c:strCache>
                      <c:ptCount val="2"/>
                      <c:pt idx="0">
                        <c:v>2022年</c:v>
                      </c:pt>
                      <c:pt idx="1">
                        <c:v>2023年</c:v>
                      </c:pt>
                    </c:strCache>
                  </c:strRef>
                </c:cat>
                <c:val>
                  <c:numRef>
                    <c:extLst>
                      <c:ext uri="{02D57815-91ED-43cb-92C2-25804820EDAC}">
                        <c15:formulaRef>
                          <c15:sqref>Sheet1!#REF!</c15:sqref>
                        </c15:formulaRef>
                      </c:ext>
                    </c:extLst>
                    <c:numCache>
                      <c:formatCode>General</c:formatCode>
                      <c:ptCount val="1"/>
                      <c:pt idx="0">
                        <c:v>1</c:v>
                      </c:pt>
                    </c:numCache>
                  </c:numRef>
                </c:val>
              </c15:ser>
            </c15:filteredBarSeries>
          </c:ext>
        </c:extLst>
      </c:barChart>
      <c:catAx>
        <c:axId val="186022599"/>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04936957"/>
        <c:crosses val="autoZero"/>
        <c:auto val="1"/>
        <c:lblAlgn val="ctr"/>
        <c:lblOffset val="100"/>
        <c:noMultiLvlLbl val="0"/>
      </c:catAx>
      <c:valAx>
        <c:axId val="10493695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86022599"/>
        <c:crosses val="autoZero"/>
        <c:crossBetween val="between"/>
      </c:valAx>
      <c:spPr>
        <a:noFill/>
        <a:ln>
          <a:noFill/>
        </a:ln>
        <a:effectLst/>
      </c:spPr>
    </c:plotArea>
    <c:legend>
      <c:legendPos val="b"/>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0" i="0" u="none" strike="noStrike" kern="1200" spc="0" baseline="0">
                <a:solidFill>
                  <a:schemeClr val="tx1">
                    <a:lumMod val="65000"/>
                    <a:lumOff val="35000"/>
                  </a:schemeClr>
                </a:solidFill>
                <a:latin typeface="+mn-lt"/>
                <a:ea typeface="+mn-ea"/>
                <a:cs typeface="+mn-cs"/>
              </a:defRPr>
            </a:pPr>
            <a:r>
              <a:t>收入决算结构图</a:t>
            </a:r>
          </a:p>
        </c:rich>
      </c:tx>
      <c:layout/>
      <c:overlay val="0"/>
      <c:spPr>
        <a:noFill/>
        <a:ln>
          <a:noFill/>
        </a:ln>
        <a:effectLst/>
      </c:spPr>
    </c:title>
    <c:autoTitleDeleted val="0"/>
    <c:plotArea>
      <c:layout/>
      <c:pieChart>
        <c:varyColors val="1"/>
        <c:ser>
          <c:idx val="0"/>
          <c:order val="0"/>
          <c:tx>
            <c:strRef>
              <c:f>Sheet1!$B$1</c:f>
              <c:strCache>
                <c:ptCount val="1"/>
                <c:pt idx="0">
                  <c:v>收入决算结构图</c:v>
                </c:pt>
              </c:strCache>
            </c:strRef>
          </c:tx>
          <c:spPr/>
          <c:explosion val="0"/>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Pt>
            <c:idx val="4"/>
            <c:bubble3D val="0"/>
            <c:spPr>
              <a:solidFill>
                <a:schemeClr val="accent5"/>
              </a:solidFill>
              <a:ln w="19050">
                <a:solidFill>
                  <a:schemeClr val="lt1"/>
                </a:solidFill>
              </a:ln>
              <a:effectLst/>
            </c:spPr>
          </c:dPt>
          <c:dPt>
            <c:idx val="5"/>
            <c:bubble3D val="0"/>
            <c:spPr>
              <a:solidFill>
                <a:schemeClr val="accent6"/>
              </a:solidFill>
              <a:ln w="19050">
                <a:solidFill>
                  <a:schemeClr val="lt1"/>
                </a:solidFill>
              </a:ln>
              <a:effectLst/>
            </c:spPr>
          </c:dPt>
          <c:dPt>
            <c:idx val="6"/>
            <c:bubble3D val="0"/>
            <c:spPr>
              <a:solidFill>
                <a:schemeClr val="accent1">
                  <a:lumMod val="60000"/>
                </a:schemeClr>
              </a:solidFill>
              <a:ln w="19050">
                <a:solidFill>
                  <a:schemeClr val="lt1"/>
                </a:solidFill>
              </a:ln>
              <a:effectLst/>
            </c:spPr>
          </c:dPt>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inEnd"/>
            <c:showLegendKey val="0"/>
            <c:showVal val="0"/>
            <c:showCatName val="0"/>
            <c:showSerName val="0"/>
            <c:showPercent val="1"/>
            <c:showBubbleSize val="0"/>
            <c:showLeaderLines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一般公共预算财政拨款收入</c:v>
                </c:pt>
                <c:pt idx="1">
                  <c:v>政府性基金预算财政拨款收入</c:v>
                </c:pt>
                <c:pt idx="2">
                  <c:v>上级补助收入</c:v>
                </c:pt>
                <c:pt idx="3">
                  <c:v>事业收入</c:v>
                </c:pt>
                <c:pt idx="4">
                  <c:v>经营收入</c:v>
                </c:pt>
                <c:pt idx="5">
                  <c:v>附属单位上缴收入</c:v>
                </c:pt>
                <c:pt idx="6">
                  <c:v>其他收入</c:v>
                </c:pt>
              </c:strCache>
            </c:strRef>
          </c:cat>
          <c:val>
            <c:numRef>
              <c:f>Sheet1!$B$2:$B$8</c:f>
              <c:numCache>
                <c:formatCode>0%</c:formatCode>
                <c:ptCount val="7"/>
                <c:pt idx="0">
                  <c:v>1</c:v>
                </c:pt>
                <c:pt idx="1">
                  <c:v>0</c:v>
                </c:pt>
                <c:pt idx="2">
                  <c:v>0</c:v>
                </c:pt>
                <c:pt idx="3">
                  <c:v>0</c:v>
                </c:pt>
                <c:pt idx="4">
                  <c:v>0</c:v>
                </c:pt>
                <c:pt idx="5">
                  <c:v>0</c:v>
                </c:pt>
                <c:pt idx="6">
                  <c:v>0</c:v>
                </c:pt>
              </c:numCache>
            </c:numRef>
          </c:val>
        </c:ser>
        <c:dLbls>
          <c:showLegendKey val="0"/>
          <c:showVal val="0"/>
          <c:showCatName val="0"/>
          <c:showSerName val="0"/>
          <c:showPercent val="0"/>
          <c:showBubbleSize val="0"/>
          <c:showLeaderLines val="1"/>
        </c:dLbls>
        <c:firstSliceAng val="0"/>
      </c:pieChart>
      <c:spPr>
        <a:noFill/>
        <a:ln>
          <a:noFill/>
        </a:ln>
        <a:effectLst/>
      </c:spPr>
    </c:plotArea>
    <c:legend>
      <c:legendPos val="r"/>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spPr>
        <a:noFill/>
        <a:ln>
          <a:noFill/>
        </a:ln>
        <a:effectLst/>
      </c:spPr>
      <c:txPr>
        <a:bodyPr rot="0" spcFirstLastPara="0"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p>
      </c:txPr>
    </c:title>
    <c:autoTitleDeleted val="0"/>
    <c:plotArea>
      <c:layout/>
      <c:pieChart>
        <c:varyColors val="1"/>
        <c:ser>
          <c:idx val="0"/>
          <c:order val="0"/>
          <c:tx>
            <c:strRef>
              <c:f>Sheet1!$B$1</c:f>
              <c:strCache>
                <c:ptCount val="1"/>
                <c:pt idx="0">
                  <c:v>支出决算结构图</c:v>
                </c:pt>
              </c:strCache>
            </c:strRef>
          </c:tx>
          <c:spPr/>
          <c:explosion val="0"/>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Pt>
            <c:idx val="4"/>
            <c:bubble3D val="0"/>
            <c:spPr>
              <a:solidFill>
                <a:schemeClr val="accent5"/>
              </a:solidFill>
              <a:ln w="19050">
                <a:solidFill>
                  <a:schemeClr val="lt1"/>
                </a:solidFill>
              </a:ln>
              <a:effectLst/>
            </c:spPr>
          </c:dPt>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inEnd"/>
            <c:showLegendKey val="0"/>
            <c:showVal val="0"/>
            <c:showCatName val="0"/>
            <c:showSerName val="0"/>
            <c:showPercent val="1"/>
            <c:showBubbleSize val="0"/>
            <c:showLeaderLines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基本支出</c:v>
                </c:pt>
                <c:pt idx="1">
                  <c:v>项目支出</c:v>
                </c:pt>
                <c:pt idx="2">
                  <c:v>上缴上级支出</c:v>
                </c:pt>
                <c:pt idx="3">
                  <c:v>经营支出</c:v>
                </c:pt>
                <c:pt idx="4">
                  <c:v>对附属单位补助支出</c:v>
                </c:pt>
              </c:strCache>
            </c:strRef>
          </c:cat>
          <c:val>
            <c:numRef>
              <c:f>Sheet1!$B$2:$B$6</c:f>
              <c:numCache>
                <c:formatCode>0.00%</c:formatCode>
                <c:ptCount val="5"/>
                <c:pt idx="0">
                  <c:v>0.6912</c:v>
                </c:pt>
                <c:pt idx="1">
                  <c:v>0.3087</c:v>
                </c:pt>
                <c:pt idx="2" c:formatCode="0%">
                  <c:v>0</c:v>
                </c:pt>
                <c:pt idx="3" c:formatCode="0%">
                  <c:v>0</c:v>
                </c:pt>
                <c:pt idx="4" c:formatCode="0%">
                  <c:v>0</c:v>
                </c:pt>
              </c:numCache>
            </c:numRef>
          </c:val>
        </c:ser>
        <c:dLbls>
          <c:showLegendKey val="0"/>
          <c:showVal val="0"/>
          <c:showCatName val="0"/>
          <c:showSerName val="0"/>
          <c:showPercent val="1"/>
          <c:showBubbleSize val="0"/>
          <c:showLeaderLines val="1"/>
        </c:dLbls>
        <c:firstSliceAng val="0"/>
      </c:pieChart>
      <c:spPr>
        <a:noFill/>
        <a:ln>
          <a:noFill/>
        </a:ln>
        <a:effectLst/>
      </c:spPr>
    </c:plotArea>
    <c:legend>
      <c:legendPos val="r"/>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0" i="0" u="none" strike="noStrike" kern="1200" spc="0" baseline="0">
                <a:solidFill>
                  <a:schemeClr val="tx1">
                    <a:lumMod val="65000"/>
                    <a:lumOff val="35000"/>
                  </a:schemeClr>
                </a:solidFill>
                <a:latin typeface="+mn-lt"/>
                <a:ea typeface="+mn-ea"/>
                <a:cs typeface="+mn-cs"/>
              </a:defRPr>
            </a:pPr>
            <a:r>
              <a:t>财政拨款收、支决算总计变动情况（单位：万元）</a:t>
            </a:r>
          </a:p>
        </c:rich>
      </c:tx>
      <c:layout/>
      <c:overlay val="0"/>
      <c:spPr>
        <a:noFill/>
        <a:ln>
          <a:noFill/>
        </a:ln>
        <a:effectLst/>
      </c:spPr>
    </c:title>
    <c:autoTitleDeleted val="0"/>
    <c:plotArea>
      <c:layout>
        <c:manualLayout>
          <c:layoutTarget val="inner"/>
          <c:xMode val="edge"/>
          <c:yMode val="edge"/>
          <c:x val="0.0487"/>
          <c:y val="0.143833333333333"/>
          <c:w val="0.927925"/>
          <c:h val="0.716566666666667"/>
        </c:manualLayout>
      </c:layout>
      <c:barChart>
        <c:barDir val="col"/>
        <c:grouping val="clustered"/>
        <c:varyColors val="0"/>
        <c:ser>
          <c:idx val="0"/>
          <c:order val="0"/>
          <c:tx>
            <c:strRef>
              <c:f>Sheet1!$B$1</c:f>
              <c:strCache>
                <c:ptCount val="1"/>
                <c:pt idx="0">
                  <c:v>收入</c:v>
                </c:pt>
              </c:strCache>
            </c:strRef>
          </c:tx>
          <c:spPr>
            <a:solidFill>
              <a:schemeClr val="accent1"/>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2022年</c:v>
                </c:pt>
                <c:pt idx="1">
                  <c:v>2023年</c:v>
                </c:pt>
              </c:strCache>
            </c:strRef>
          </c:cat>
          <c:val>
            <c:numRef>
              <c:f>Sheet1!$B$2:$B$3</c:f>
              <c:numCache>
                <c:formatCode>General</c:formatCode>
                <c:ptCount val="2"/>
                <c:pt idx="0">
                  <c:v>1035.57</c:v>
                </c:pt>
                <c:pt idx="1">
                  <c:v>1084.94</c:v>
                </c:pt>
              </c:numCache>
            </c:numRef>
          </c:val>
        </c:ser>
        <c:ser>
          <c:idx val="1"/>
          <c:order val="1"/>
          <c:tx>
            <c:strRef>
              <c:f>Sheet1!$C$1</c:f>
              <c:strCache>
                <c:ptCount val="1"/>
                <c:pt idx="0">
                  <c:v>支出</c:v>
                </c:pt>
              </c:strCache>
            </c:strRef>
          </c:tx>
          <c:spPr>
            <a:solidFill>
              <a:schemeClr val="accent2"/>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2022年</c:v>
                </c:pt>
                <c:pt idx="1">
                  <c:v>2023年</c:v>
                </c:pt>
              </c:strCache>
            </c:strRef>
          </c:cat>
          <c:val>
            <c:numRef>
              <c:f>Sheet1!$C$2:$C$3</c:f>
              <c:numCache>
                <c:formatCode>General</c:formatCode>
                <c:ptCount val="2"/>
                <c:pt idx="0">
                  <c:v>1035.57</c:v>
                </c:pt>
                <c:pt idx="1">
                  <c:v>1084.94</c:v>
                </c:pt>
              </c:numCache>
            </c:numRef>
          </c:val>
        </c:ser>
        <c:ser>
          <c:idx val="2"/>
          <c:order val="2"/>
          <c:tx>
            <c:strRef>
              <c:f>Sheet1!#REF!</c:f>
              <c:strCache>
                <c:ptCount val="1"/>
                <c:pt idx="0">
                  <c:v/>
                </c:pt>
              </c:strCache>
            </c:strRef>
          </c:tx>
          <c:spPr>
            <a:solidFill>
              <a:schemeClr val="accent3"/>
            </a:solidFill>
            <a:ln>
              <a:noFill/>
            </a:ln>
            <a:effectLst/>
          </c:spPr>
          <c:invertIfNegative val="0"/>
          <c:dLbls>
            <c:delete val="1"/>
          </c:dLbls>
          <c:cat>
            <c:strRef>
              <c:f>Sheet1!$A$2:$A$3</c:f>
              <c:strCache>
                <c:ptCount val="2"/>
                <c:pt idx="0">
                  <c:v>2022年</c:v>
                </c:pt>
                <c:pt idx="1">
                  <c:v>2023年</c:v>
                </c:pt>
              </c:strCache>
            </c:strRef>
          </c:cat>
          <c:val>
            <c:numRef>
              <c:f>Sheet1!#REF!</c:f>
              <c:numCache>
                <c:formatCode>General</c:formatCode>
                <c:ptCount val="1"/>
                <c:pt idx="0">
                  <c:v>1</c:v>
                </c:pt>
              </c:numCache>
            </c:numRef>
          </c:val>
        </c:ser>
        <c:dLbls>
          <c:showLegendKey val="0"/>
          <c:showVal val="1"/>
          <c:showCatName val="0"/>
          <c:showSerName val="0"/>
          <c:showPercent val="0"/>
          <c:showBubbleSize val="0"/>
        </c:dLbls>
        <c:gapWidth val="219"/>
        <c:overlap val="-27"/>
        <c:axId val="419206110"/>
        <c:axId val="466682343"/>
      </c:barChart>
      <c:catAx>
        <c:axId val="419206110"/>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466682343"/>
        <c:crosses val="autoZero"/>
        <c:auto val="1"/>
        <c:lblAlgn val="ctr"/>
        <c:lblOffset val="100"/>
        <c:noMultiLvlLbl val="0"/>
      </c:catAx>
      <c:valAx>
        <c:axId val="4666823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419206110"/>
        <c:crosses val="autoZero"/>
        <c:crossBetween val="between"/>
      </c:valAx>
      <c:spPr>
        <a:noFill/>
        <a:ln>
          <a:noFill/>
        </a:ln>
        <a:effectLst/>
      </c:spPr>
    </c:plotArea>
    <c:legend>
      <c:legendPos val="b"/>
      <c:legendEntry>
        <c:idx val="2"/>
        <c:delete val="1"/>
      </c:legendEntry>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0" i="0" u="none" strike="noStrike" kern="1200" spc="0" baseline="0">
                <a:solidFill>
                  <a:schemeClr val="tx1">
                    <a:lumMod val="65000"/>
                    <a:lumOff val="35000"/>
                  </a:schemeClr>
                </a:solidFill>
                <a:latin typeface="+mn-lt"/>
                <a:ea typeface="+mn-ea"/>
                <a:cs typeface="+mn-cs"/>
              </a:defRPr>
            </a:pPr>
            <a:r>
              <a:t>一般公共预算财政拨款支出决算变动情况</a:t>
            </a:r>
          </a:p>
        </c:rich>
      </c:tx>
      <c:layout/>
      <c:overlay val="0"/>
      <c:spPr>
        <a:noFill/>
        <a:ln>
          <a:noFill/>
        </a:ln>
        <a:effectLst/>
      </c:spPr>
    </c:title>
    <c:autoTitleDeleted val="0"/>
    <c:plotArea>
      <c:layout>
        <c:manualLayout>
          <c:layoutTarget val="inner"/>
          <c:xMode val="edge"/>
          <c:yMode val="edge"/>
          <c:x val="0.151775748351091"/>
          <c:y val="0.202033036848793"/>
          <c:w val="0.770725520040588"/>
          <c:h val="0.644726810673444"/>
        </c:manualLayout>
      </c:layout>
      <c:barChart>
        <c:barDir val="col"/>
        <c:grouping val="clustered"/>
        <c:varyColors val="0"/>
        <c:ser>
          <c:idx val="0"/>
          <c:order val="0"/>
          <c:tx>
            <c:strRef>
              <c:f>Sheet1!$B$1</c:f>
              <c:strCache>
                <c:ptCount val="1"/>
                <c:pt idx="0">
                  <c:v>2022年</c:v>
                </c:pt>
              </c:strCache>
            </c:strRef>
          </c:tx>
          <c:spPr>
            <a:solidFill>
              <a:schemeClr val="accent1"/>
            </a:solidFill>
            <a:ln>
              <a:noFill/>
            </a:ln>
            <a:effectLst/>
          </c:spPr>
          <c:invertIfNegative val="0"/>
          <c:dLbls>
            <c:delete val="1"/>
          </c:dLbls>
          <c:cat>
            <c:strRef>
              <c:f>Sheet1!$A$2</c:f>
              <c:strCache>
                <c:ptCount val="1"/>
                <c:pt idx="0">
                  <c:v>类别 1</c:v>
                </c:pt>
              </c:strCache>
            </c:strRef>
          </c:cat>
          <c:val>
            <c:numRef>
              <c:f>Sheet1!$B$2</c:f>
              <c:numCache>
                <c:formatCode>General</c:formatCode>
                <c:ptCount val="1"/>
                <c:pt idx="0">
                  <c:v>1035.57</c:v>
                </c:pt>
              </c:numCache>
            </c:numRef>
          </c:val>
        </c:ser>
        <c:ser>
          <c:idx val="1"/>
          <c:order val="1"/>
          <c:tx>
            <c:strRef>
              <c:f>Sheet1!$C$1</c:f>
              <c:strCache>
                <c:ptCount val="1"/>
                <c:pt idx="0">
                  <c:v>2023年</c:v>
                </c:pt>
              </c:strCache>
            </c:strRef>
          </c:tx>
          <c:spPr>
            <a:solidFill>
              <a:schemeClr val="accent2"/>
            </a:solidFill>
            <a:ln>
              <a:noFill/>
            </a:ln>
            <a:effectLst/>
          </c:spPr>
          <c:invertIfNegative val="0"/>
          <c:dLbls>
            <c:delete val="1"/>
          </c:dLbls>
          <c:cat>
            <c:strRef>
              <c:f>Sheet1!$A$2</c:f>
              <c:strCache>
                <c:ptCount val="1"/>
                <c:pt idx="0">
                  <c:v>类别 1</c:v>
                </c:pt>
              </c:strCache>
            </c:strRef>
          </c:cat>
          <c:val>
            <c:numRef>
              <c:f>Sheet1!$C$2</c:f>
              <c:numCache>
                <c:formatCode>General</c:formatCode>
                <c:ptCount val="1"/>
                <c:pt idx="0">
                  <c:v>1084.94</c:v>
                </c:pt>
              </c:numCache>
            </c:numRef>
          </c:val>
        </c:ser>
        <c:ser>
          <c:idx val="2"/>
          <c:order val="2"/>
          <c:tx>
            <c:strRef>
              <c:f>Sheet1!#REF!</c:f>
              <c:strCache>
                <c:ptCount val="1"/>
                <c:pt idx="0">
                  <c:v/>
                </c:pt>
              </c:strCache>
            </c:strRef>
          </c:tx>
          <c:spPr>
            <a:solidFill>
              <a:schemeClr val="accent3"/>
            </a:solidFill>
            <a:ln>
              <a:noFill/>
            </a:ln>
            <a:effectLst/>
          </c:spPr>
          <c:invertIfNegative val="0"/>
          <c:dLbls>
            <c:delete val="1"/>
          </c:dLbls>
          <c:cat>
            <c:strRef>
              <c:f>Sheet1!$A$2</c:f>
              <c:strCache>
                <c:ptCount val="1"/>
                <c:pt idx="0">
                  <c:v>类别 1</c:v>
                </c:pt>
              </c:strCache>
            </c:strRef>
          </c:cat>
          <c:val>
            <c:numRef>
              <c:f>Sheet1!#REF!</c:f>
              <c:numCache>
                <c:formatCode>General</c:formatCode>
                <c:ptCount val="1"/>
                <c:pt idx="0">
                  <c:v>1</c:v>
                </c:pt>
              </c:numCache>
            </c:numRef>
          </c:val>
        </c:ser>
        <c:dLbls>
          <c:showLegendKey val="0"/>
          <c:showVal val="0"/>
          <c:showCatName val="0"/>
          <c:showSerName val="0"/>
          <c:showPercent val="0"/>
          <c:showBubbleSize val="0"/>
        </c:dLbls>
        <c:gapWidth val="150"/>
        <c:overlap val="0"/>
        <c:axId val="247736854"/>
        <c:axId val="944568764"/>
      </c:barChart>
      <c:catAx>
        <c:axId val="247736854"/>
        <c:scaling>
          <c:orientation val="minMax"/>
        </c:scaling>
        <c:delete val="1"/>
        <c:axPos val="b"/>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altLang="en-US"/>
                  <a:t>单位：万元</a:t>
                </a:r>
                <a:endParaRPr altLang="en-US"/>
              </a:p>
            </c:rich>
          </c:tx>
          <c:layout>
            <c:manualLayout>
              <c:xMode val="edge"/>
              <c:yMode val="edge"/>
              <c:x val="0.404084221207509"/>
              <c:y val="0.902668360864041"/>
            </c:manualLayout>
          </c:layout>
          <c:overlay val="0"/>
          <c:spPr>
            <a:noFill/>
            <a:ln>
              <a:noFill/>
            </a:ln>
            <a:effectLst/>
          </c:spPr>
        </c:title>
        <c:majorTickMark val="none"/>
        <c:minorTickMark val="none"/>
        <c:tickLblPos val="nextTo"/>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944568764"/>
        <c:crosses val="autoZero"/>
        <c:auto val="1"/>
        <c:lblAlgn val="ctr"/>
        <c:lblOffset val="100"/>
        <c:noMultiLvlLbl val="0"/>
      </c:catAx>
      <c:valAx>
        <c:axId val="9445687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247736854"/>
        <c:crosses val="autoZero"/>
        <c:crossBetween val="between"/>
      </c:valAx>
      <c:spPr>
        <a:noFill/>
        <a:ln>
          <a:noFill/>
        </a:ln>
        <a:effectLst/>
      </c:spPr>
    </c:plotArea>
    <c:legend>
      <c:legendPos val="r"/>
      <c:legendEntry>
        <c:idx val="2"/>
        <c:delete val="1"/>
      </c:legendEntry>
      <c:layout>
        <c:manualLayout>
          <c:xMode val="edge"/>
          <c:yMode val="edge"/>
          <c:x val="0.751648909183156"/>
          <c:y val="0.472045743329098"/>
        </c:manualLayout>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spPr>
        <a:noFill/>
        <a:ln>
          <a:noFill/>
        </a:ln>
        <a:effectLst/>
      </c:spPr>
      <c:txPr>
        <a:bodyPr rot="0" spcFirstLastPara="0"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p>
      </c:txPr>
    </c:title>
    <c:autoTitleDeleted val="0"/>
    <c:plotArea>
      <c:layout/>
      <c:pieChart>
        <c:varyColors val="1"/>
        <c:ser>
          <c:idx val="0"/>
          <c:order val="0"/>
          <c:tx>
            <c:strRef>
              <c:f>Sheet1!$B$1</c:f>
              <c:strCache>
                <c:ptCount val="1"/>
                <c:pt idx="0">
                  <c:v>一般公共预算财政拨款支出决算结构</c:v>
                </c:pt>
              </c:strCache>
            </c:strRef>
          </c:tx>
          <c:spPr/>
          <c:explosion val="0"/>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Pt>
            <c:idx val="4"/>
            <c:bubble3D val="0"/>
            <c:spPr>
              <a:solidFill>
                <a:schemeClr val="accent5"/>
              </a:solidFill>
              <a:ln w="19050">
                <a:solidFill>
                  <a:schemeClr val="lt1"/>
                </a:solidFill>
              </a:ln>
              <a:effectLst/>
            </c:spPr>
          </c:dPt>
          <c:dPt>
            <c:idx val="5"/>
            <c:bubble3D val="0"/>
            <c:spPr>
              <a:solidFill>
                <a:schemeClr val="accent6"/>
              </a:solidFill>
              <a:ln w="19050">
                <a:solidFill>
                  <a:schemeClr val="lt1"/>
                </a:solidFill>
              </a:ln>
              <a:effectLst/>
            </c:spPr>
          </c:dPt>
          <c:dPt>
            <c:idx val="6"/>
            <c:bubble3D val="0"/>
            <c:spPr>
              <a:solidFill>
                <a:schemeClr val="accent1">
                  <a:lumMod val="60000"/>
                </a:schemeClr>
              </a:solidFill>
              <a:ln w="19050">
                <a:solidFill>
                  <a:schemeClr val="lt1"/>
                </a:solidFill>
              </a:ln>
              <a:effectLst/>
            </c:spPr>
          </c:dPt>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inEnd"/>
            <c:showLegendKey val="0"/>
            <c:showVal val="0"/>
            <c:showCatName val="0"/>
            <c:showSerName val="0"/>
            <c:showPercent val="1"/>
            <c:showBubbleSize val="0"/>
            <c:showLeaderLines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社会保障和就业支出</c:v>
                </c:pt>
                <c:pt idx="1">
                  <c:v>卫生健康支出</c:v>
                </c:pt>
                <c:pt idx="2">
                  <c:v>住房保障支出</c:v>
                </c:pt>
                <c:pt idx="3">
                  <c:v>一般公共服务支出</c:v>
                </c:pt>
                <c:pt idx="4">
                  <c:v>教育支出</c:v>
                </c:pt>
                <c:pt idx="5">
                  <c:v>科学技术支出</c:v>
                </c:pt>
                <c:pt idx="6">
                  <c:v>文化旅游体育及传媒支出</c:v>
                </c:pt>
              </c:strCache>
            </c:strRef>
          </c:cat>
          <c:val>
            <c:numRef>
              <c:f>Sheet1!$B$2:$B$8</c:f>
              <c:numCache>
                <c:formatCode>General</c:formatCode>
                <c:ptCount val="7"/>
                <c:pt idx="0">
                  <c:v>9.76</c:v>
                </c:pt>
                <c:pt idx="1">
                  <c:v>85.27</c:v>
                </c:pt>
                <c:pt idx="2">
                  <c:v>4.96</c:v>
                </c:pt>
                <c:pt idx="3">
                  <c:v>0</c:v>
                </c:pt>
                <c:pt idx="4">
                  <c:v>0</c:v>
                </c:pt>
                <c:pt idx="5">
                  <c:v>0</c:v>
                </c:pt>
                <c:pt idx="6">
                  <c:v>0</c:v>
                </c:pt>
              </c:numCache>
            </c:numRef>
          </c:val>
        </c:ser>
        <c:dLbls>
          <c:showLegendKey val="0"/>
          <c:showVal val="0"/>
          <c:showCatName val="0"/>
          <c:showSerName val="0"/>
          <c:showPercent val="1"/>
          <c:showBubbleSize val="0"/>
          <c:showLeaderLines val="1"/>
        </c:dLbls>
        <c:firstSliceAng val="0"/>
      </c:pieChart>
      <c:spPr>
        <a:noFill/>
        <a:ln>
          <a:noFill/>
        </a:ln>
        <a:effectLst/>
      </c:spPr>
    </c:plotArea>
    <c:legend>
      <c:legendPos val="r"/>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spPr>
        <a:noFill/>
        <a:ln>
          <a:noFill/>
        </a:ln>
        <a:effectLst/>
      </c:spPr>
      <c:txPr>
        <a:bodyPr rot="0" spcFirstLastPara="0"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p>
      </c:txPr>
    </c:title>
    <c:autoTitleDeleted val="0"/>
    <c:plotArea>
      <c:layout/>
      <c:pieChart>
        <c:varyColors val="1"/>
        <c:ser>
          <c:idx val="0"/>
          <c:order val="0"/>
          <c:tx>
            <c:strRef>
              <c:f>Sheet1!$B$1</c:f>
              <c:strCache>
                <c:ptCount val="1"/>
                <c:pt idx="0">
                  <c:v>“三公”经费财政拨款支出结构</c:v>
                </c:pt>
              </c:strCache>
            </c:strRef>
          </c:tx>
          <c:spPr/>
          <c:explosion val="0"/>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inEnd"/>
            <c:showLegendKey val="0"/>
            <c:showVal val="0"/>
            <c:showCatName val="0"/>
            <c:showSerName val="0"/>
            <c:showPercent val="1"/>
            <c:showBubbleSize val="0"/>
            <c:showLeaderLines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因公出国（境）支出</c:v>
                </c:pt>
                <c:pt idx="1">
                  <c:v>公务用车购置及运行维护费支出</c:v>
                </c:pt>
                <c:pt idx="2">
                  <c:v>公务接待费支出</c:v>
                </c:pt>
              </c:strCache>
            </c:strRef>
          </c:cat>
          <c:val>
            <c:numRef>
              <c:f>Sheet1!$B$2:$B$4</c:f>
              <c:numCache>
                <c:formatCode>General</c:formatCode>
                <c:ptCount val="3"/>
                <c:pt idx="0">
                  <c:v>0</c:v>
                </c:pt>
                <c:pt idx="1">
                  <c:v>4.69</c:v>
                </c:pt>
                <c:pt idx="2">
                  <c:v>0</c:v>
                </c:pt>
              </c:numCache>
            </c:numRef>
          </c:val>
        </c:ser>
        <c:dLbls>
          <c:showLegendKey val="0"/>
          <c:showVal val="0"/>
          <c:showCatName val="0"/>
          <c:showSerName val="0"/>
          <c:showPercent val="1"/>
          <c:showBubbleSize val="0"/>
          <c:showLeaderLines val="1"/>
        </c:dLbls>
        <c:firstSliceAng val="0"/>
      </c:pieChart>
      <c:spPr>
        <a:noFill/>
        <a:ln>
          <a:noFill/>
        </a:ln>
        <a:effectLst/>
      </c:spPr>
    </c:plotArea>
    <c:legend>
      <c:legendPos val="r"/>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四川省财政厅</Company>
  <Pages>34</Pages>
  <Words>13008</Words>
  <Characters>14788</Characters>
  <Lines>54</Lines>
  <Paragraphs>15</Paragraphs>
  <TotalTime>8</TotalTime>
  <ScaleCrop>false</ScaleCrop>
  <LinksUpToDate>false</LinksUpToDate>
  <CharactersWithSpaces>18784</CharactersWithSpaces>
  <Application>WPS Office_12.1.0.18276_F1E327BC-269C-435d-A152-05C5408002CA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2020-08-08T01:49:00Z</dcterms:created>
  <dc:creator>曹颖</dc:creator>
  <cp:lastModifiedBy>奕夕^_^</cp:lastModifiedBy>
  <cp:lastPrinted>2023-08-03T02:35:00Z</cp:lastPrinted>
  <dcterms:modified xsi:type="dcterms:W3CDTF">2024-09-23T09:00:01Z</dcterms:modified>
  <dc:title>四川省***</dc:title>
  <cp:revision>39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2052-12.1.0.18276</vt:lpwstr>
  </property>
  <property fmtid="{D5CDD505-2E9C-101B-9397-08002B2CF9AE}" pid="3" name="ICV">
    <vt:lpwstr>C4C1BB2305784C428E4412A7382C2B86_12</vt:lpwstr>
  </property>
</Properties>
</file>