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78C1A">
      <w:pPr>
        <w:spacing w:line="600" w:lineRule="exact"/>
        <w:jc w:val="left"/>
        <w:outlineLvl w:val="0"/>
        <w:rPr>
          <w:rFonts w:ascii="方正小标宋简体" w:hAnsi="宋体" w:eastAsia="方正小标宋简体"/>
          <w:szCs w:val="21"/>
        </w:rPr>
      </w:pPr>
      <w:bookmarkStart w:id="0" w:name="_Toc15306267"/>
    </w:p>
    <w:p w14:paraId="071FA8E1">
      <w:pPr>
        <w:pStyle w:val="8"/>
        <w:spacing w:before="93"/>
      </w:pPr>
    </w:p>
    <w:p w14:paraId="6F1EE499">
      <w:pPr>
        <w:spacing w:line="600" w:lineRule="exact"/>
        <w:jc w:val="center"/>
        <w:outlineLvl w:val="0"/>
        <w:rPr>
          <w:rFonts w:ascii="方正小标宋简体" w:hAnsi="宋体" w:eastAsia="方正小标宋简体"/>
          <w:sz w:val="72"/>
          <w:szCs w:val="72"/>
        </w:rPr>
      </w:pPr>
    </w:p>
    <w:p w14:paraId="42EFCF04">
      <w:pPr>
        <w:spacing w:line="600" w:lineRule="exact"/>
        <w:jc w:val="center"/>
        <w:outlineLvl w:val="0"/>
        <w:rPr>
          <w:rFonts w:ascii="方正小标宋简体" w:hAnsi="宋体" w:eastAsia="方正小标宋简体"/>
          <w:sz w:val="72"/>
          <w:szCs w:val="72"/>
        </w:rPr>
      </w:pPr>
    </w:p>
    <w:p w14:paraId="4361F24A">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96597"/>
      <w:bookmarkStart w:id="2" w:name="_Toc15377193"/>
      <w:bookmarkStart w:id="3" w:name="_Toc15377425"/>
      <w:bookmarkStart w:id="4" w:name="_Toc15396475"/>
      <w:bookmarkStart w:id="5" w:name="_Toc15378441"/>
      <w:bookmarkStart w:id="6" w:name="_Toc21932"/>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bookmarkEnd w:id="6"/>
    </w:p>
    <w:p w14:paraId="07B043C1">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7" w:name="_Toc15378442"/>
      <w:bookmarkStart w:id="8" w:name="_Toc26052"/>
      <w:bookmarkStart w:id="9" w:name="_Toc15377194"/>
      <w:bookmarkStart w:id="10" w:name="_Toc15377426"/>
      <w:bookmarkStart w:id="11" w:name="_Toc15396476"/>
      <w:bookmarkStart w:id="12" w:name="_Toc15396598"/>
      <w:r>
        <w:rPr>
          <w:rFonts w:hint="eastAsia" w:ascii="方正小标宋简体" w:hAnsi="方正小标宋简体" w:eastAsia="方正小标宋简体" w:cs="方正小标宋简体"/>
          <w:sz w:val="72"/>
          <w:szCs w:val="72"/>
        </w:rPr>
        <w:t>四川省</w:t>
      </w:r>
      <w:bookmarkEnd w:id="0"/>
      <w:bookmarkStart w:id="13" w:name="_Toc15306268"/>
      <w:r>
        <w:rPr>
          <w:rFonts w:hint="eastAsia" w:ascii="方正小标宋简体" w:hAnsi="方正小标宋简体" w:eastAsia="方正小标宋简体" w:cs="方正小标宋简体"/>
          <w:sz w:val="72"/>
          <w:szCs w:val="72"/>
          <w:lang w:eastAsia="zh-CN"/>
        </w:rPr>
        <w:t>松潘县毛儿盖镇中心卫生院</w:t>
      </w:r>
      <w:r>
        <w:rPr>
          <w:rFonts w:hint="eastAsia" w:ascii="方正小标宋简体" w:hAnsi="方正小标宋简体" w:eastAsia="方正小标宋简体" w:cs="方正小标宋简体"/>
          <w:sz w:val="72"/>
          <w:szCs w:val="72"/>
        </w:rPr>
        <w:t>单位决算</w:t>
      </w:r>
      <w:bookmarkEnd w:id="7"/>
      <w:bookmarkEnd w:id="8"/>
      <w:bookmarkEnd w:id="9"/>
      <w:bookmarkEnd w:id="10"/>
      <w:bookmarkEnd w:id="11"/>
      <w:bookmarkEnd w:id="12"/>
      <w:bookmarkEnd w:id="13"/>
    </w:p>
    <w:p w14:paraId="18209156">
      <w:pPr>
        <w:widowControl/>
        <w:jc w:val="center"/>
        <w:rPr>
          <w:rFonts w:ascii="黑体" w:hAnsi="黑体" w:eastAsia="黑体" w:cstheme="minorBidi"/>
          <w:sz w:val="28"/>
          <w:szCs w:val="28"/>
        </w:rPr>
      </w:pPr>
      <w:r>
        <w:rPr>
          <w:rFonts w:ascii="方正小标宋简体" w:hAnsi="宋体" w:eastAsia="方正小标宋简体"/>
          <w:sz w:val="36"/>
          <w:szCs w:val="36"/>
        </w:rPr>
        <w:br w:type="page"/>
      </w:r>
      <w:r>
        <w:rPr>
          <w:rFonts w:hint="eastAsia" w:ascii="黑体" w:hAnsi="黑体" w:eastAsia="黑体"/>
          <w:sz w:val="48"/>
          <w:szCs w:val="48"/>
        </w:rPr>
        <w:t>目录</w:t>
      </w:r>
    </w:p>
    <w:p w14:paraId="3D73567B">
      <w:pPr>
        <w:pStyle w:val="13"/>
        <w:rPr>
          <w:b/>
          <w:bCs/>
        </w:rPr>
      </w:pPr>
      <w:r>
        <w:rPr>
          <w:rFonts w:hint="eastAsia"/>
          <w:b/>
          <w:bCs/>
        </w:rPr>
        <w:t>公开时间：202</w:t>
      </w:r>
      <w:r>
        <w:rPr>
          <w:rFonts w:hint="eastAsia"/>
          <w:b/>
          <w:bCs/>
          <w:lang w:val="en-US" w:eastAsia="zh-CN"/>
        </w:rPr>
        <w:t>4</w:t>
      </w:r>
      <w:r>
        <w:rPr>
          <w:rFonts w:hint="eastAsia"/>
          <w:b/>
          <w:bCs/>
        </w:rPr>
        <w:t>年9月</w:t>
      </w:r>
      <w:r>
        <w:rPr>
          <w:rFonts w:hint="eastAsia"/>
          <w:b/>
          <w:bCs/>
          <w:lang w:val="en-US" w:eastAsia="zh-CN"/>
        </w:rPr>
        <w:t>19</w:t>
      </w:r>
      <w:r>
        <w:rPr>
          <w:rFonts w:hint="eastAsia"/>
          <w:b/>
          <w:bCs/>
        </w:rPr>
        <w:t>日</w:t>
      </w:r>
    </w:p>
    <w:sdt>
      <w:sdtPr>
        <w:rPr>
          <w:rFonts w:ascii="宋体" w:hAnsi="宋体" w:eastAsia="宋体" w:cs="Times New Roman"/>
          <w:kern w:val="2"/>
          <w:sz w:val="21"/>
          <w:szCs w:val="24"/>
          <w:lang w:val="en-US" w:eastAsia="zh-CN" w:bidi="ar-SA"/>
        </w:rPr>
        <w:id w:val="147461420"/>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14:paraId="68F8364C">
          <w:pPr>
            <w:spacing w:before="0" w:beforeLines="0" w:after="0" w:afterLines="0" w:line="240" w:lineRule="auto"/>
            <w:ind w:left="0" w:leftChars="0" w:right="0" w:rightChars="0" w:firstLine="0" w:firstLineChars="0"/>
            <w:jc w:val="center"/>
          </w:pPr>
        </w:p>
        <w:p w14:paraId="53C9A37D">
          <w:pPr>
            <w:pStyle w:val="13"/>
            <w:tabs>
              <w:tab w:val="right" w:leader="dot" w:pos="8306"/>
              <w:tab w:val="clear" w:pos="8296"/>
            </w:tabs>
          </w:pPr>
          <w:r>
            <w:fldChar w:fldCharType="begin"/>
          </w:r>
          <w:r>
            <w:instrText xml:space="preserve">TOC \o "1-3" \h \u </w:instrText>
          </w:r>
          <w:r>
            <w:fldChar w:fldCharType="separate"/>
          </w:r>
          <w:r>
            <w:fldChar w:fldCharType="begin"/>
          </w:r>
          <w:r>
            <w:instrText xml:space="preserve"> HYPERLINK \l _Toc12783 </w:instrText>
          </w:r>
          <w:r>
            <w:fldChar w:fldCharType="separate"/>
          </w:r>
          <w:r>
            <w:rPr>
              <w:rFonts w:hint="eastAsia" w:ascii="黑体" w:hAnsi="黑体" w:eastAsia="黑体"/>
            </w:rPr>
            <w:t>第一部分 单位</w:t>
          </w:r>
          <w:r>
            <w:rPr>
              <w:rFonts w:hint="eastAsia" w:ascii="黑体" w:hAnsi="黑体" w:eastAsia="黑体"/>
              <w:bCs w:val="0"/>
            </w:rPr>
            <w:t>概况</w:t>
          </w:r>
          <w:r>
            <w:tab/>
          </w:r>
          <w:r>
            <w:fldChar w:fldCharType="begin"/>
          </w:r>
          <w:r>
            <w:instrText xml:space="preserve"> PAGEREF _Toc12783 \h </w:instrText>
          </w:r>
          <w:r>
            <w:fldChar w:fldCharType="separate"/>
          </w:r>
          <w:r>
            <w:t>4</w:t>
          </w:r>
          <w:r>
            <w:fldChar w:fldCharType="end"/>
          </w:r>
          <w:r>
            <w:fldChar w:fldCharType="end"/>
          </w:r>
        </w:p>
        <w:p w14:paraId="6BB835D8">
          <w:pPr>
            <w:pStyle w:val="14"/>
            <w:tabs>
              <w:tab w:val="right" w:leader="dot" w:pos="8306"/>
              <w:tab w:val="clear" w:pos="8296"/>
            </w:tabs>
          </w:pPr>
          <w:r>
            <w:fldChar w:fldCharType="begin"/>
          </w:r>
          <w:r>
            <w:instrText xml:space="preserve"> HYPERLINK \l _Toc8203 </w:instrText>
          </w:r>
          <w:r>
            <w:fldChar w:fldCharType="separate"/>
          </w:r>
          <w:r>
            <w:rPr>
              <w:rFonts w:hint="eastAsia" w:ascii="黑体" w:hAnsi="黑体" w:eastAsia="黑体"/>
              <w:bCs w:val="0"/>
            </w:rPr>
            <w:t>一、 主要职责</w:t>
          </w:r>
          <w:r>
            <w:tab/>
          </w:r>
          <w:r>
            <w:fldChar w:fldCharType="begin"/>
          </w:r>
          <w:r>
            <w:instrText xml:space="preserve"> PAGEREF _Toc8203 \h </w:instrText>
          </w:r>
          <w:r>
            <w:fldChar w:fldCharType="separate"/>
          </w:r>
          <w:r>
            <w:t>4</w:t>
          </w:r>
          <w:r>
            <w:fldChar w:fldCharType="end"/>
          </w:r>
          <w:r>
            <w:fldChar w:fldCharType="end"/>
          </w:r>
        </w:p>
        <w:p w14:paraId="2F53A429">
          <w:pPr>
            <w:pStyle w:val="14"/>
            <w:tabs>
              <w:tab w:val="right" w:leader="dot" w:pos="8306"/>
              <w:tab w:val="clear" w:pos="8296"/>
            </w:tabs>
          </w:pPr>
          <w:r>
            <w:fldChar w:fldCharType="begin"/>
          </w:r>
          <w:r>
            <w:instrText xml:space="preserve"> HYPERLINK \l _Toc17936 </w:instrText>
          </w:r>
          <w:r>
            <w:fldChar w:fldCharType="separate"/>
          </w:r>
          <w:r>
            <w:rPr>
              <w:rFonts w:hint="eastAsia" w:ascii="黑体" w:hAnsi="黑体" w:eastAsia="黑体"/>
            </w:rPr>
            <w:t>二、机构设置</w:t>
          </w:r>
          <w:r>
            <w:tab/>
          </w:r>
          <w:r>
            <w:fldChar w:fldCharType="begin"/>
          </w:r>
          <w:r>
            <w:instrText xml:space="preserve"> PAGEREF _Toc17936 \h </w:instrText>
          </w:r>
          <w:r>
            <w:fldChar w:fldCharType="separate"/>
          </w:r>
          <w:r>
            <w:t>4</w:t>
          </w:r>
          <w:r>
            <w:fldChar w:fldCharType="end"/>
          </w:r>
          <w:r>
            <w:fldChar w:fldCharType="end"/>
          </w:r>
        </w:p>
        <w:p w14:paraId="391D80AE">
          <w:pPr>
            <w:pStyle w:val="13"/>
            <w:tabs>
              <w:tab w:val="right" w:leader="dot" w:pos="8306"/>
              <w:tab w:val="clear" w:pos="8296"/>
            </w:tabs>
          </w:pPr>
          <w:r>
            <w:fldChar w:fldCharType="begin"/>
          </w:r>
          <w:r>
            <w:instrText xml:space="preserve"> HYPERLINK \l _Toc2656 </w:instrText>
          </w:r>
          <w:r>
            <w:fldChar w:fldCharType="separate"/>
          </w:r>
          <w:r>
            <w:rPr>
              <w:rFonts w:hint="eastAsia" w:ascii="黑体" w:hAnsi="黑体" w:eastAsia="黑体" w:cs="Times New Roman"/>
            </w:rPr>
            <w:t>第二部分 2023年度单位决算情况说明</w:t>
          </w:r>
          <w:r>
            <w:tab/>
          </w:r>
          <w:r>
            <w:fldChar w:fldCharType="begin"/>
          </w:r>
          <w:r>
            <w:instrText xml:space="preserve"> PAGEREF _Toc2656 \h </w:instrText>
          </w:r>
          <w:r>
            <w:fldChar w:fldCharType="separate"/>
          </w:r>
          <w:r>
            <w:t>5</w:t>
          </w:r>
          <w:r>
            <w:fldChar w:fldCharType="end"/>
          </w:r>
          <w:r>
            <w:fldChar w:fldCharType="end"/>
          </w:r>
        </w:p>
        <w:p w14:paraId="4BAB43D0">
          <w:pPr>
            <w:pStyle w:val="14"/>
            <w:tabs>
              <w:tab w:val="right" w:leader="dot" w:pos="8306"/>
              <w:tab w:val="clear" w:pos="8296"/>
            </w:tabs>
          </w:pPr>
          <w:r>
            <w:fldChar w:fldCharType="begin"/>
          </w:r>
          <w:r>
            <w:instrText xml:space="preserve"> HYPERLINK \l _Toc17412 </w:instrText>
          </w:r>
          <w: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_Toc17412 \h </w:instrText>
          </w:r>
          <w:r>
            <w:fldChar w:fldCharType="separate"/>
          </w:r>
          <w:r>
            <w:t>5</w:t>
          </w:r>
          <w:r>
            <w:fldChar w:fldCharType="end"/>
          </w:r>
          <w:r>
            <w:fldChar w:fldCharType="end"/>
          </w:r>
        </w:p>
        <w:p w14:paraId="077C6735">
          <w:pPr>
            <w:pStyle w:val="14"/>
            <w:tabs>
              <w:tab w:val="right" w:leader="dot" w:pos="8306"/>
              <w:tab w:val="clear" w:pos="8296"/>
            </w:tabs>
          </w:pPr>
          <w:r>
            <w:fldChar w:fldCharType="begin"/>
          </w:r>
          <w:r>
            <w:instrText xml:space="preserve"> HYPERLINK \l _Toc17998 </w:instrText>
          </w:r>
          <w: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_Toc17998 \h </w:instrText>
          </w:r>
          <w:r>
            <w:fldChar w:fldCharType="separate"/>
          </w:r>
          <w:r>
            <w:t>5</w:t>
          </w:r>
          <w:r>
            <w:fldChar w:fldCharType="end"/>
          </w:r>
          <w:r>
            <w:fldChar w:fldCharType="end"/>
          </w:r>
        </w:p>
        <w:p w14:paraId="4DEF5FAE">
          <w:pPr>
            <w:pStyle w:val="14"/>
            <w:tabs>
              <w:tab w:val="right" w:leader="dot" w:pos="8306"/>
              <w:tab w:val="clear" w:pos="8296"/>
            </w:tabs>
          </w:pPr>
          <w:r>
            <w:fldChar w:fldCharType="begin"/>
          </w:r>
          <w:r>
            <w:instrText xml:space="preserve"> HYPERLINK \l _Toc7832 </w:instrText>
          </w:r>
          <w: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_Toc7832 \h </w:instrText>
          </w:r>
          <w:r>
            <w:fldChar w:fldCharType="separate"/>
          </w:r>
          <w:r>
            <w:t>6</w:t>
          </w:r>
          <w:r>
            <w:fldChar w:fldCharType="end"/>
          </w:r>
          <w:r>
            <w:fldChar w:fldCharType="end"/>
          </w:r>
        </w:p>
        <w:p w14:paraId="627B3365">
          <w:pPr>
            <w:pStyle w:val="14"/>
            <w:tabs>
              <w:tab w:val="right" w:leader="dot" w:pos="8306"/>
              <w:tab w:val="clear" w:pos="8296"/>
            </w:tabs>
          </w:pPr>
          <w:r>
            <w:fldChar w:fldCharType="begin"/>
          </w:r>
          <w:r>
            <w:instrText xml:space="preserve"> HYPERLINK \l _Toc22568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_Toc22568 \h </w:instrText>
          </w:r>
          <w:r>
            <w:fldChar w:fldCharType="separate"/>
          </w:r>
          <w:r>
            <w:t>7</w:t>
          </w:r>
          <w:r>
            <w:fldChar w:fldCharType="end"/>
          </w:r>
          <w:r>
            <w:fldChar w:fldCharType="end"/>
          </w:r>
        </w:p>
        <w:p w14:paraId="63534B61">
          <w:pPr>
            <w:pStyle w:val="14"/>
            <w:tabs>
              <w:tab w:val="right" w:leader="dot" w:pos="8306"/>
              <w:tab w:val="clear" w:pos="8296"/>
            </w:tabs>
          </w:pPr>
          <w:r>
            <w:fldChar w:fldCharType="begin"/>
          </w:r>
          <w:r>
            <w:instrText xml:space="preserve"> HYPERLINK \l _Toc20605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_Toc20605 \h </w:instrText>
          </w:r>
          <w:r>
            <w:fldChar w:fldCharType="separate"/>
          </w:r>
          <w:r>
            <w:t>7</w:t>
          </w:r>
          <w:r>
            <w:fldChar w:fldCharType="end"/>
          </w:r>
          <w:r>
            <w:fldChar w:fldCharType="end"/>
          </w:r>
        </w:p>
        <w:p w14:paraId="26D1DAE6">
          <w:pPr>
            <w:pStyle w:val="9"/>
            <w:tabs>
              <w:tab w:val="right" w:leader="dot" w:pos="8306"/>
              <w:tab w:val="clear" w:pos="8296"/>
            </w:tabs>
          </w:pPr>
          <w:r>
            <w:fldChar w:fldCharType="begin"/>
          </w:r>
          <w:r>
            <w:instrText xml:space="preserve"> HYPERLINK \l _Toc17236 </w:instrText>
          </w:r>
          <w:r>
            <w:fldChar w:fldCharType="separate"/>
          </w:r>
          <w:r>
            <w:rPr>
              <w:rFonts w:hint="eastAsia" w:ascii="仿宋" w:hAnsi="仿宋" w:eastAsia="仿宋"/>
              <w:szCs w:val="32"/>
            </w:rPr>
            <w:t>（一）一般公共预算财政拨款支出决算总体情况</w:t>
          </w:r>
          <w:r>
            <w:tab/>
          </w:r>
          <w:r>
            <w:fldChar w:fldCharType="begin"/>
          </w:r>
          <w:r>
            <w:instrText xml:space="preserve"> PAGEREF _Toc17236 \h </w:instrText>
          </w:r>
          <w:r>
            <w:fldChar w:fldCharType="separate"/>
          </w:r>
          <w:r>
            <w:t>7</w:t>
          </w:r>
          <w:r>
            <w:fldChar w:fldCharType="end"/>
          </w:r>
          <w:r>
            <w:fldChar w:fldCharType="end"/>
          </w:r>
        </w:p>
        <w:p w14:paraId="429E54E7">
          <w:pPr>
            <w:pStyle w:val="9"/>
            <w:tabs>
              <w:tab w:val="right" w:leader="dot" w:pos="8306"/>
              <w:tab w:val="clear" w:pos="8296"/>
            </w:tabs>
          </w:pPr>
          <w:r>
            <w:fldChar w:fldCharType="begin"/>
          </w:r>
          <w:r>
            <w:instrText xml:space="preserve"> HYPERLINK \l _Toc16122 </w:instrText>
          </w:r>
          <w:r>
            <w:fldChar w:fldCharType="separate"/>
          </w:r>
          <w:r>
            <w:rPr>
              <w:rFonts w:hint="eastAsia" w:ascii="仿宋" w:hAnsi="仿宋" w:eastAsia="仿宋"/>
              <w:szCs w:val="32"/>
            </w:rPr>
            <w:t>（二）一般公共预算财政拨款支出决算结构情况</w:t>
          </w:r>
          <w:r>
            <w:tab/>
          </w:r>
          <w:r>
            <w:fldChar w:fldCharType="begin"/>
          </w:r>
          <w:r>
            <w:instrText xml:space="preserve"> PAGEREF _Toc16122 \h </w:instrText>
          </w:r>
          <w:r>
            <w:fldChar w:fldCharType="separate"/>
          </w:r>
          <w:r>
            <w:t>8</w:t>
          </w:r>
          <w:r>
            <w:fldChar w:fldCharType="end"/>
          </w:r>
          <w:r>
            <w:fldChar w:fldCharType="end"/>
          </w:r>
        </w:p>
        <w:p w14:paraId="0DE61D08">
          <w:pPr>
            <w:pStyle w:val="9"/>
            <w:tabs>
              <w:tab w:val="right" w:leader="dot" w:pos="8306"/>
              <w:tab w:val="clear" w:pos="8296"/>
            </w:tabs>
          </w:pPr>
          <w:r>
            <w:fldChar w:fldCharType="begin"/>
          </w:r>
          <w:r>
            <w:instrText xml:space="preserve"> HYPERLINK \l _Toc22640 </w:instrText>
          </w:r>
          <w:r>
            <w:fldChar w:fldCharType="separate"/>
          </w:r>
          <w:r>
            <w:rPr>
              <w:rFonts w:hint="eastAsia" w:ascii="仿宋" w:hAnsi="仿宋" w:eastAsia="仿宋"/>
              <w:szCs w:val="32"/>
            </w:rPr>
            <w:t>（三）一般公共预算财政拨款支出决算具体情况</w:t>
          </w:r>
          <w:r>
            <w:tab/>
          </w:r>
          <w:r>
            <w:fldChar w:fldCharType="begin"/>
          </w:r>
          <w:r>
            <w:instrText xml:space="preserve"> PAGEREF _Toc22640 \h </w:instrText>
          </w:r>
          <w:r>
            <w:fldChar w:fldCharType="separate"/>
          </w:r>
          <w:r>
            <w:t>9</w:t>
          </w:r>
          <w:r>
            <w:fldChar w:fldCharType="end"/>
          </w:r>
          <w:r>
            <w:fldChar w:fldCharType="end"/>
          </w:r>
        </w:p>
        <w:p w14:paraId="79365CC8">
          <w:pPr>
            <w:pStyle w:val="14"/>
            <w:tabs>
              <w:tab w:val="right" w:leader="dot" w:pos="8306"/>
              <w:tab w:val="clear" w:pos="8296"/>
            </w:tabs>
          </w:pPr>
          <w:r>
            <w:fldChar w:fldCharType="begin"/>
          </w:r>
          <w:r>
            <w:instrText xml:space="preserve"> HYPERLINK \l _Toc16835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_Toc16835 \h </w:instrText>
          </w:r>
          <w:r>
            <w:fldChar w:fldCharType="separate"/>
          </w:r>
          <w:r>
            <w:t>10</w:t>
          </w:r>
          <w:r>
            <w:fldChar w:fldCharType="end"/>
          </w:r>
          <w:r>
            <w:fldChar w:fldCharType="end"/>
          </w:r>
        </w:p>
        <w:p w14:paraId="0DA663EA">
          <w:pPr>
            <w:pStyle w:val="14"/>
            <w:tabs>
              <w:tab w:val="right" w:leader="dot" w:pos="8306"/>
              <w:tab w:val="clear" w:pos="8296"/>
            </w:tabs>
          </w:pPr>
          <w:r>
            <w:fldChar w:fldCharType="begin"/>
          </w:r>
          <w:r>
            <w:instrText xml:space="preserve"> HYPERLINK \l _Toc32185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_Toc32185 \h </w:instrText>
          </w:r>
          <w:r>
            <w:fldChar w:fldCharType="separate"/>
          </w:r>
          <w:r>
            <w:t>11</w:t>
          </w:r>
          <w:r>
            <w:fldChar w:fldCharType="end"/>
          </w:r>
          <w:r>
            <w:fldChar w:fldCharType="end"/>
          </w:r>
        </w:p>
        <w:p w14:paraId="793E6D82">
          <w:pPr>
            <w:pStyle w:val="9"/>
            <w:tabs>
              <w:tab w:val="right" w:leader="dot" w:pos="8306"/>
              <w:tab w:val="clear" w:pos="8296"/>
            </w:tabs>
          </w:pPr>
          <w:r>
            <w:fldChar w:fldCharType="begin"/>
          </w:r>
          <w:r>
            <w:instrText xml:space="preserve"> HYPERLINK \l _Toc1626 </w:instrText>
          </w:r>
          <w:r>
            <w:fldChar w:fldCharType="separate"/>
          </w:r>
          <w:r>
            <w:rPr>
              <w:rFonts w:hint="eastAsia" w:ascii="仿宋" w:hAnsi="仿宋" w:eastAsia="仿宋"/>
              <w:szCs w:val="32"/>
            </w:rPr>
            <w:t>（一）“三公”经费财政拨款支出决算总体情况说明</w:t>
          </w:r>
          <w:r>
            <w:tab/>
          </w:r>
          <w:r>
            <w:fldChar w:fldCharType="begin"/>
          </w:r>
          <w:r>
            <w:instrText xml:space="preserve"> PAGEREF _Toc1626 \h </w:instrText>
          </w:r>
          <w:r>
            <w:fldChar w:fldCharType="separate"/>
          </w:r>
          <w:r>
            <w:t>11</w:t>
          </w:r>
          <w:r>
            <w:fldChar w:fldCharType="end"/>
          </w:r>
          <w:r>
            <w:fldChar w:fldCharType="end"/>
          </w:r>
        </w:p>
        <w:p w14:paraId="008DDDA2">
          <w:pPr>
            <w:pStyle w:val="9"/>
            <w:tabs>
              <w:tab w:val="right" w:leader="dot" w:pos="8306"/>
              <w:tab w:val="clear" w:pos="8296"/>
            </w:tabs>
          </w:pPr>
          <w:r>
            <w:fldChar w:fldCharType="begin"/>
          </w:r>
          <w:r>
            <w:instrText xml:space="preserve"> HYPERLINK \l _Toc31515 </w:instrText>
          </w:r>
          <w:r>
            <w:fldChar w:fldCharType="separate"/>
          </w:r>
          <w:r>
            <w:rPr>
              <w:rFonts w:hint="eastAsia" w:ascii="仿宋" w:hAnsi="仿宋" w:eastAsia="仿宋"/>
              <w:szCs w:val="32"/>
            </w:rPr>
            <w:t>（二）“三公”经费财政拨款支出决算具体情况说明</w:t>
          </w:r>
          <w:r>
            <w:tab/>
          </w:r>
          <w:r>
            <w:fldChar w:fldCharType="begin"/>
          </w:r>
          <w:r>
            <w:instrText xml:space="preserve"> PAGEREF _Toc31515 \h </w:instrText>
          </w:r>
          <w:r>
            <w:fldChar w:fldCharType="separate"/>
          </w:r>
          <w:r>
            <w:t>11</w:t>
          </w:r>
          <w:r>
            <w:fldChar w:fldCharType="end"/>
          </w:r>
          <w:r>
            <w:fldChar w:fldCharType="end"/>
          </w:r>
        </w:p>
        <w:p w14:paraId="0123F750">
          <w:pPr>
            <w:pStyle w:val="14"/>
            <w:tabs>
              <w:tab w:val="right" w:leader="dot" w:pos="8306"/>
              <w:tab w:val="clear" w:pos="8296"/>
            </w:tabs>
          </w:pPr>
          <w:r>
            <w:fldChar w:fldCharType="begin"/>
          </w:r>
          <w:r>
            <w:instrText xml:space="preserve"> HYPERLINK \l _Toc25687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_Toc25687 \h </w:instrText>
          </w:r>
          <w:r>
            <w:fldChar w:fldCharType="separate"/>
          </w:r>
          <w:r>
            <w:t>12</w:t>
          </w:r>
          <w:r>
            <w:fldChar w:fldCharType="end"/>
          </w:r>
          <w:r>
            <w:fldChar w:fldCharType="end"/>
          </w:r>
        </w:p>
        <w:p w14:paraId="6F85583B">
          <w:pPr>
            <w:pStyle w:val="14"/>
            <w:tabs>
              <w:tab w:val="right" w:leader="dot" w:pos="8306"/>
              <w:tab w:val="clear" w:pos="8296"/>
            </w:tabs>
          </w:pPr>
          <w:r>
            <w:fldChar w:fldCharType="begin"/>
          </w:r>
          <w:r>
            <w:instrText xml:space="preserve"> HYPERLINK \l _Toc14298 </w:instrText>
          </w:r>
          <w:r>
            <w:fldChar w:fldCharType="separate"/>
          </w:r>
          <w:r>
            <w:rPr>
              <w:rFonts w:hint="eastAsia" w:ascii="黑体" w:hAnsi="黑体" w:eastAsia="黑体"/>
            </w:rPr>
            <w:t>九、 国有资本经营预算支出决算情况说明</w:t>
          </w:r>
          <w:r>
            <w:tab/>
          </w:r>
          <w:r>
            <w:fldChar w:fldCharType="begin"/>
          </w:r>
          <w:r>
            <w:instrText xml:space="preserve"> PAGEREF _Toc14298 \h </w:instrText>
          </w:r>
          <w:r>
            <w:fldChar w:fldCharType="separate"/>
          </w:r>
          <w:r>
            <w:t>12</w:t>
          </w:r>
          <w:r>
            <w:fldChar w:fldCharType="end"/>
          </w:r>
          <w:r>
            <w:fldChar w:fldCharType="end"/>
          </w:r>
        </w:p>
        <w:p w14:paraId="10202F48">
          <w:pPr>
            <w:pStyle w:val="14"/>
            <w:tabs>
              <w:tab w:val="right" w:leader="dot" w:pos="8306"/>
              <w:tab w:val="clear" w:pos="8296"/>
            </w:tabs>
          </w:pPr>
          <w:r>
            <w:fldChar w:fldCharType="begin"/>
          </w:r>
          <w:r>
            <w:instrText xml:space="preserve"> HYPERLINK \l _Toc7836 </w:instrText>
          </w:r>
          <w:r>
            <w:fldChar w:fldCharType="separate"/>
          </w:r>
          <w:r>
            <w:rPr>
              <w:rFonts w:hint="eastAsia" w:ascii="黑体" w:hAnsi="黑体" w:eastAsia="黑体"/>
            </w:rPr>
            <w:t>十、 其他重要事项的情况说明</w:t>
          </w:r>
          <w:r>
            <w:tab/>
          </w:r>
          <w:r>
            <w:fldChar w:fldCharType="begin"/>
          </w:r>
          <w:r>
            <w:instrText xml:space="preserve"> PAGEREF _Toc7836 \h </w:instrText>
          </w:r>
          <w:r>
            <w:fldChar w:fldCharType="separate"/>
          </w:r>
          <w:r>
            <w:t>12</w:t>
          </w:r>
          <w:r>
            <w:fldChar w:fldCharType="end"/>
          </w:r>
          <w:r>
            <w:fldChar w:fldCharType="end"/>
          </w:r>
        </w:p>
        <w:p w14:paraId="7087E545">
          <w:pPr>
            <w:pStyle w:val="9"/>
            <w:tabs>
              <w:tab w:val="right" w:leader="dot" w:pos="8306"/>
              <w:tab w:val="clear" w:pos="8296"/>
            </w:tabs>
          </w:pPr>
          <w:r>
            <w:fldChar w:fldCharType="begin"/>
          </w:r>
          <w:r>
            <w:instrText xml:space="preserve"> HYPERLINK \l _Toc22948 </w:instrText>
          </w:r>
          <w:r>
            <w:fldChar w:fldCharType="separate"/>
          </w:r>
          <w:r>
            <w:rPr>
              <w:rFonts w:hint="eastAsia" w:ascii="仿宋" w:hAnsi="仿宋" w:eastAsia="仿宋"/>
              <w:szCs w:val="32"/>
            </w:rPr>
            <w:t>（一）机关运行经费支出情况</w:t>
          </w:r>
          <w:r>
            <w:tab/>
          </w:r>
          <w:r>
            <w:fldChar w:fldCharType="begin"/>
          </w:r>
          <w:r>
            <w:instrText xml:space="preserve"> PAGEREF _Toc22948 \h </w:instrText>
          </w:r>
          <w:r>
            <w:fldChar w:fldCharType="separate"/>
          </w:r>
          <w:r>
            <w:t>12</w:t>
          </w:r>
          <w:r>
            <w:fldChar w:fldCharType="end"/>
          </w:r>
          <w:r>
            <w:fldChar w:fldCharType="end"/>
          </w:r>
        </w:p>
        <w:p w14:paraId="7FCB10C1">
          <w:pPr>
            <w:pStyle w:val="9"/>
            <w:tabs>
              <w:tab w:val="right" w:leader="dot" w:pos="8306"/>
              <w:tab w:val="clear" w:pos="8296"/>
            </w:tabs>
          </w:pPr>
          <w:r>
            <w:fldChar w:fldCharType="begin"/>
          </w:r>
          <w:r>
            <w:instrText xml:space="preserve"> HYPERLINK \l _Toc24849 </w:instrText>
          </w:r>
          <w:r>
            <w:fldChar w:fldCharType="separate"/>
          </w:r>
          <w:r>
            <w:rPr>
              <w:rFonts w:hint="eastAsia" w:ascii="仿宋" w:hAnsi="仿宋" w:eastAsia="仿宋"/>
              <w:szCs w:val="32"/>
            </w:rPr>
            <w:t>（二）政府采购支出情况</w:t>
          </w:r>
          <w:r>
            <w:tab/>
          </w:r>
          <w:r>
            <w:fldChar w:fldCharType="begin"/>
          </w:r>
          <w:r>
            <w:instrText xml:space="preserve"> PAGEREF _Toc24849 \h </w:instrText>
          </w:r>
          <w:r>
            <w:fldChar w:fldCharType="separate"/>
          </w:r>
          <w:r>
            <w:t>13</w:t>
          </w:r>
          <w:r>
            <w:fldChar w:fldCharType="end"/>
          </w:r>
          <w:r>
            <w:fldChar w:fldCharType="end"/>
          </w:r>
        </w:p>
        <w:p w14:paraId="2975358B">
          <w:pPr>
            <w:pStyle w:val="9"/>
            <w:tabs>
              <w:tab w:val="right" w:leader="dot" w:pos="8306"/>
              <w:tab w:val="clear" w:pos="8296"/>
            </w:tabs>
          </w:pPr>
          <w:r>
            <w:fldChar w:fldCharType="begin"/>
          </w:r>
          <w:r>
            <w:instrText xml:space="preserve"> HYPERLINK \l _Toc19952 </w:instrText>
          </w:r>
          <w:r>
            <w:fldChar w:fldCharType="separate"/>
          </w:r>
          <w:r>
            <w:rPr>
              <w:rFonts w:hint="eastAsia" w:ascii="仿宋" w:hAnsi="仿宋" w:eastAsia="仿宋"/>
              <w:szCs w:val="32"/>
            </w:rPr>
            <w:t>（三）国有资产占有使用情况</w:t>
          </w:r>
          <w:r>
            <w:tab/>
          </w:r>
          <w:r>
            <w:fldChar w:fldCharType="begin"/>
          </w:r>
          <w:r>
            <w:instrText xml:space="preserve"> PAGEREF _Toc19952 \h </w:instrText>
          </w:r>
          <w:r>
            <w:fldChar w:fldCharType="separate"/>
          </w:r>
          <w:r>
            <w:t>13</w:t>
          </w:r>
          <w:r>
            <w:fldChar w:fldCharType="end"/>
          </w:r>
          <w:r>
            <w:fldChar w:fldCharType="end"/>
          </w:r>
        </w:p>
        <w:p w14:paraId="5A05A16D">
          <w:pPr>
            <w:pStyle w:val="9"/>
            <w:tabs>
              <w:tab w:val="right" w:leader="dot" w:pos="8306"/>
              <w:tab w:val="clear" w:pos="8296"/>
            </w:tabs>
          </w:pPr>
          <w:r>
            <w:fldChar w:fldCharType="begin"/>
          </w:r>
          <w:r>
            <w:instrText xml:space="preserve"> HYPERLINK \l _Toc14288 </w:instrText>
          </w:r>
          <w:r>
            <w:fldChar w:fldCharType="separate"/>
          </w:r>
          <w:r>
            <w:rPr>
              <w:rFonts w:hint="eastAsia" w:ascii="仿宋" w:hAnsi="仿宋" w:eastAsia="仿宋"/>
              <w:szCs w:val="32"/>
            </w:rPr>
            <w:t>（四）预算绩效管理情况</w:t>
          </w:r>
          <w:r>
            <w:tab/>
          </w:r>
          <w:r>
            <w:fldChar w:fldCharType="begin"/>
          </w:r>
          <w:r>
            <w:instrText xml:space="preserve"> PAGEREF _Toc14288 \h </w:instrText>
          </w:r>
          <w:r>
            <w:fldChar w:fldCharType="separate"/>
          </w:r>
          <w:r>
            <w:t>13</w:t>
          </w:r>
          <w:r>
            <w:fldChar w:fldCharType="end"/>
          </w:r>
          <w:r>
            <w:fldChar w:fldCharType="end"/>
          </w:r>
        </w:p>
        <w:p w14:paraId="1E62A9C3">
          <w:pPr>
            <w:pStyle w:val="13"/>
            <w:tabs>
              <w:tab w:val="right" w:leader="dot" w:pos="8306"/>
              <w:tab w:val="clear" w:pos="8296"/>
            </w:tabs>
          </w:pPr>
          <w:r>
            <w:fldChar w:fldCharType="begin"/>
          </w:r>
          <w:r>
            <w:instrText xml:space="preserve"> HYPERLINK \l _Toc31460 </w:instrText>
          </w:r>
          <w:r>
            <w:fldChar w:fldCharType="separate"/>
          </w:r>
          <w:r>
            <w:rPr>
              <w:rFonts w:hint="eastAsia" w:ascii="黑体" w:hAnsi="黑体" w:eastAsia="黑体" w:cs="黑体"/>
              <w:szCs w:val="44"/>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_Toc31460 \h </w:instrText>
          </w:r>
          <w:r>
            <w:fldChar w:fldCharType="separate"/>
          </w:r>
          <w:r>
            <w:t>15</w:t>
          </w:r>
          <w:r>
            <w:fldChar w:fldCharType="end"/>
          </w:r>
          <w:r>
            <w:fldChar w:fldCharType="end"/>
          </w:r>
        </w:p>
        <w:p w14:paraId="0B733782">
          <w:pPr>
            <w:pStyle w:val="13"/>
            <w:tabs>
              <w:tab w:val="right" w:leader="dot" w:pos="8306"/>
              <w:tab w:val="clear" w:pos="8296"/>
            </w:tabs>
          </w:pPr>
          <w:r>
            <w:fldChar w:fldCharType="begin"/>
          </w:r>
          <w:r>
            <w:instrText xml:space="preserve"> HYPERLINK \l _Toc14590 </w:instrText>
          </w:r>
          <w:r>
            <w:fldChar w:fldCharType="separate"/>
          </w:r>
          <w:r>
            <w:rPr>
              <w:rFonts w:hint="eastAsia" w:ascii="黑体" w:hAnsi="黑体" w:eastAsia="黑体"/>
              <w:szCs w:val="44"/>
            </w:rPr>
            <w:t>第</w:t>
          </w:r>
          <w:r>
            <w:rPr>
              <w:rFonts w:hint="eastAsia" w:ascii="黑体" w:hAnsi="黑体" w:eastAsia="黑体"/>
            </w:rPr>
            <w:t>四部分 附件</w:t>
          </w:r>
          <w:r>
            <w:tab/>
          </w:r>
          <w:r>
            <w:fldChar w:fldCharType="begin"/>
          </w:r>
          <w:r>
            <w:instrText xml:space="preserve"> PAGEREF _Toc14590 \h </w:instrText>
          </w:r>
          <w:r>
            <w:fldChar w:fldCharType="separate"/>
          </w:r>
          <w:r>
            <w:t>18</w:t>
          </w:r>
          <w:r>
            <w:fldChar w:fldCharType="end"/>
          </w:r>
          <w:r>
            <w:fldChar w:fldCharType="end"/>
          </w:r>
        </w:p>
        <w:p w14:paraId="11B6822D">
          <w:pPr>
            <w:pStyle w:val="13"/>
            <w:tabs>
              <w:tab w:val="right" w:leader="dot" w:pos="8306"/>
              <w:tab w:val="clear" w:pos="8296"/>
            </w:tabs>
          </w:pPr>
          <w:r>
            <w:fldChar w:fldCharType="begin"/>
          </w:r>
          <w:r>
            <w:instrText xml:space="preserve"> HYPERLINK \l _Toc3168 </w:instrText>
          </w:r>
          <w:r>
            <w:fldChar w:fldCharType="separate"/>
          </w:r>
          <w:r>
            <w:rPr>
              <w:rFonts w:hint="eastAsia" w:ascii="黑体" w:hAnsi="黑体" w:eastAsia="黑体"/>
              <w:szCs w:val="44"/>
            </w:rPr>
            <w:t>第</w:t>
          </w:r>
          <w:r>
            <w:rPr>
              <w:rFonts w:hint="eastAsia" w:ascii="黑体" w:hAnsi="黑体" w:eastAsia="黑体"/>
            </w:rPr>
            <w:t>五部分 附表</w:t>
          </w:r>
          <w:r>
            <w:tab/>
          </w:r>
          <w:r>
            <w:fldChar w:fldCharType="begin"/>
          </w:r>
          <w:r>
            <w:instrText xml:space="preserve"> PAGEREF _Toc3168 \h </w:instrText>
          </w:r>
          <w:r>
            <w:fldChar w:fldCharType="separate"/>
          </w:r>
          <w:r>
            <w:t>24</w:t>
          </w:r>
          <w:r>
            <w:fldChar w:fldCharType="end"/>
          </w:r>
          <w:r>
            <w:fldChar w:fldCharType="end"/>
          </w:r>
        </w:p>
        <w:p w14:paraId="68950BC7">
          <w:pPr>
            <w:pStyle w:val="14"/>
            <w:tabs>
              <w:tab w:val="right" w:leader="dot" w:pos="8306"/>
              <w:tab w:val="clear" w:pos="8296"/>
            </w:tabs>
          </w:pPr>
          <w:r>
            <w:fldChar w:fldCharType="begin"/>
          </w:r>
          <w:r>
            <w:instrText xml:space="preserve"> HYPERLINK \l _Toc15898 </w:instrText>
          </w:r>
          <w: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_Toc15898 \h </w:instrText>
          </w:r>
          <w:r>
            <w:fldChar w:fldCharType="separate"/>
          </w:r>
          <w:r>
            <w:t>24</w:t>
          </w:r>
          <w:r>
            <w:fldChar w:fldCharType="end"/>
          </w:r>
          <w:r>
            <w:fldChar w:fldCharType="end"/>
          </w:r>
        </w:p>
        <w:p w14:paraId="5ED416BD">
          <w:pPr>
            <w:pStyle w:val="14"/>
            <w:tabs>
              <w:tab w:val="right" w:leader="dot" w:pos="8306"/>
              <w:tab w:val="clear" w:pos="8296"/>
            </w:tabs>
          </w:pPr>
          <w:r>
            <w:fldChar w:fldCharType="begin"/>
          </w:r>
          <w:r>
            <w:instrText xml:space="preserve"> HYPERLINK \l _Toc26239 </w:instrText>
          </w:r>
          <w: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_Toc26239 \h </w:instrText>
          </w:r>
          <w:r>
            <w:fldChar w:fldCharType="separate"/>
          </w:r>
          <w:r>
            <w:t>24</w:t>
          </w:r>
          <w:r>
            <w:fldChar w:fldCharType="end"/>
          </w:r>
          <w:r>
            <w:fldChar w:fldCharType="end"/>
          </w:r>
        </w:p>
        <w:p w14:paraId="6867A544">
          <w:pPr>
            <w:pStyle w:val="14"/>
            <w:tabs>
              <w:tab w:val="right" w:leader="dot" w:pos="8306"/>
              <w:tab w:val="clear" w:pos="8296"/>
            </w:tabs>
          </w:pPr>
          <w:r>
            <w:fldChar w:fldCharType="begin"/>
          </w:r>
          <w:r>
            <w:instrText xml:space="preserve"> HYPERLINK \l _Toc12546 </w:instrText>
          </w:r>
          <w: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_Toc12546 \h </w:instrText>
          </w:r>
          <w:r>
            <w:fldChar w:fldCharType="separate"/>
          </w:r>
          <w:r>
            <w:t>24</w:t>
          </w:r>
          <w:r>
            <w:fldChar w:fldCharType="end"/>
          </w:r>
          <w:r>
            <w:fldChar w:fldCharType="end"/>
          </w:r>
        </w:p>
        <w:p w14:paraId="684C6789">
          <w:pPr>
            <w:pStyle w:val="14"/>
            <w:tabs>
              <w:tab w:val="right" w:leader="dot" w:pos="8306"/>
              <w:tab w:val="clear" w:pos="8296"/>
            </w:tabs>
          </w:pPr>
          <w:r>
            <w:fldChar w:fldCharType="begin"/>
          </w:r>
          <w:r>
            <w:instrText xml:space="preserve"> HYPERLINK \l _Toc20754 </w:instrText>
          </w:r>
          <w: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_Toc20754 \h </w:instrText>
          </w:r>
          <w:r>
            <w:fldChar w:fldCharType="separate"/>
          </w:r>
          <w:r>
            <w:t>24</w:t>
          </w:r>
          <w:r>
            <w:fldChar w:fldCharType="end"/>
          </w:r>
          <w:r>
            <w:fldChar w:fldCharType="end"/>
          </w:r>
        </w:p>
        <w:p w14:paraId="7DEAB26A">
          <w:pPr>
            <w:pStyle w:val="14"/>
            <w:tabs>
              <w:tab w:val="right" w:leader="dot" w:pos="8306"/>
              <w:tab w:val="clear" w:pos="8296"/>
            </w:tabs>
          </w:pPr>
          <w:r>
            <w:fldChar w:fldCharType="begin"/>
          </w:r>
          <w:r>
            <w:instrText xml:space="preserve"> HYPERLINK \l _Toc21002 </w:instrText>
          </w:r>
          <w: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_Toc21002 \h </w:instrText>
          </w:r>
          <w:r>
            <w:fldChar w:fldCharType="separate"/>
          </w:r>
          <w:r>
            <w:t>24</w:t>
          </w:r>
          <w:r>
            <w:fldChar w:fldCharType="end"/>
          </w:r>
          <w:r>
            <w:fldChar w:fldCharType="end"/>
          </w:r>
        </w:p>
        <w:p w14:paraId="73245B55">
          <w:pPr>
            <w:pStyle w:val="14"/>
            <w:tabs>
              <w:tab w:val="right" w:leader="dot" w:pos="8306"/>
              <w:tab w:val="clear" w:pos="8296"/>
            </w:tabs>
          </w:pPr>
          <w:r>
            <w:fldChar w:fldCharType="begin"/>
          </w:r>
          <w:r>
            <w:instrText xml:space="preserve"> HYPERLINK \l _Toc19412 </w:instrText>
          </w:r>
          <w: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_Toc19412 \h </w:instrText>
          </w:r>
          <w:r>
            <w:fldChar w:fldCharType="separate"/>
          </w:r>
          <w:r>
            <w:t>24</w:t>
          </w:r>
          <w:r>
            <w:fldChar w:fldCharType="end"/>
          </w:r>
          <w:r>
            <w:fldChar w:fldCharType="end"/>
          </w:r>
        </w:p>
        <w:p w14:paraId="24D24CF1">
          <w:pPr>
            <w:pStyle w:val="14"/>
            <w:tabs>
              <w:tab w:val="right" w:leader="dot" w:pos="8306"/>
              <w:tab w:val="clear" w:pos="8296"/>
            </w:tabs>
          </w:pPr>
          <w:r>
            <w:fldChar w:fldCharType="begin"/>
          </w:r>
          <w:r>
            <w:instrText xml:space="preserve"> HYPERLINK \l _Toc18388 </w:instrText>
          </w:r>
          <w: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_Toc18388 \h </w:instrText>
          </w:r>
          <w:r>
            <w:fldChar w:fldCharType="separate"/>
          </w:r>
          <w:r>
            <w:t>24</w:t>
          </w:r>
          <w:r>
            <w:fldChar w:fldCharType="end"/>
          </w:r>
          <w:r>
            <w:fldChar w:fldCharType="end"/>
          </w:r>
        </w:p>
        <w:p w14:paraId="015FC0AE">
          <w:pPr>
            <w:pStyle w:val="14"/>
            <w:tabs>
              <w:tab w:val="right" w:leader="dot" w:pos="8306"/>
              <w:tab w:val="clear" w:pos="8296"/>
            </w:tabs>
          </w:pPr>
          <w:r>
            <w:fldChar w:fldCharType="begin"/>
          </w:r>
          <w:r>
            <w:instrText xml:space="preserve"> HYPERLINK \l _Toc14701 </w:instrText>
          </w:r>
          <w: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_Toc14701 \h </w:instrText>
          </w:r>
          <w:r>
            <w:fldChar w:fldCharType="separate"/>
          </w:r>
          <w:r>
            <w:t>24</w:t>
          </w:r>
          <w:r>
            <w:fldChar w:fldCharType="end"/>
          </w:r>
          <w:r>
            <w:fldChar w:fldCharType="end"/>
          </w:r>
        </w:p>
        <w:p w14:paraId="66BD24AC">
          <w:pPr>
            <w:pStyle w:val="14"/>
            <w:tabs>
              <w:tab w:val="right" w:leader="dot" w:pos="8306"/>
              <w:tab w:val="clear" w:pos="8296"/>
            </w:tabs>
          </w:pPr>
          <w:r>
            <w:fldChar w:fldCharType="begin"/>
          </w:r>
          <w:r>
            <w:instrText xml:space="preserve"> HYPERLINK \l _Toc3780 </w:instrText>
          </w:r>
          <w: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_Toc3780 \h </w:instrText>
          </w:r>
          <w:r>
            <w:fldChar w:fldCharType="separate"/>
          </w:r>
          <w:r>
            <w:t>24</w:t>
          </w:r>
          <w:r>
            <w:fldChar w:fldCharType="end"/>
          </w:r>
          <w:r>
            <w:fldChar w:fldCharType="end"/>
          </w:r>
        </w:p>
        <w:p w14:paraId="4AB1C361">
          <w:pPr>
            <w:pStyle w:val="14"/>
            <w:tabs>
              <w:tab w:val="right" w:leader="dot" w:pos="8306"/>
              <w:tab w:val="clear" w:pos="8296"/>
            </w:tabs>
          </w:pPr>
          <w:r>
            <w:fldChar w:fldCharType="begin"/>
          </w:r>
          <w:r>
            <w:instrText xml:space="preserve"> HYPERLINK \l _Toc16266 </w:instrText>
          </w:r>
          <w: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_Toc16266 \h </w:instrText>
          </w:r>
          <w:r>
            <w:fldChar w:fldCharType="separate"/>
          </w:r>
          <w:r>
            <w:t>24</w:t>
          </w:r>
          <w:r>
            <w:fldChar w:fldCharType="end"/>
          </w:r>
          <w:r>
            <w:fldChar w:fldCharType="end"/>
          </w:r>
        </w:p>
        <w:p w14:paraId="60DF3F1B">
          <w:pPr>
            <w:pStyle w:val="14"/>
            <w:tabs>
              <w:tab w:val="right" w:leader="dot" w:pos="8306"/>
              <w:tab w:val="clear" w:pos="8296"/>
            </w:tabs>
          </w:pPr>
          <w:r>
            <w:fldChar w:fldCharType="begin"/>
          </w:r>
          <w:r>
            <w:instrText xml:space="preserve"> HYPERLINK \l _Toc19786 </w:instrText>
          </w:r>
          <w: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_Toc19786 \h </w:instrText>
          </w:r>
          <w:r>
            <w:fldChar w:fldCharType="separate"/>
          </w:r>
          <w:r>
            <w:t>24</w:t>
          </w:r>
          <w:r>
            <w:fldChar w:fldCharType="end"/>
          </w:r>
          <w:r>
            <w:fldChar w:fldCharType="end"/>
          </w:r>
        </w:p>
        <w:p w14:paraId="31BDEEE5">
          <w:pPr>
            <w:pStyle w:val="14"/>
            <w:tabs>
              <w:tab w:val="right" w:leader="dot" w:pos="8306"/>
              <w:tab w:val="clear" w:pos="8296"/>
            </w:tabs>
          </w:pPr>
          <w:r>
            <w:fldChar w:fldCharType="begin"/>
          </w:r>
          <w:r>
            <w:instrText xml:space="preserve"> HYPERLINK \l _Toc27779 </w:instrText>
          </w:r>
          <w:r>
            <w:fldChar w:fldCharType="separate"/>
          </w:r>
          <w:r>
            <w:rPr>
              <w:rFonts w:hint="eastAsia" w:ascii="仿宋" w:hAnsi="仿宋" w:eastAsia="仿宋"/>
              <w:bCs w:val="0"/>
            </w:rPr>
            <w:t>十二、国有资本经营预算财政拨款支出决算表</w:t>
          </w:r>
          <w:r>
            <w:tab/>
          </w:r>
          <w:r>
            <w:fldChar w:fldCharType="begin"/>
          </w:r>
          <w:r>
            <w:instrText xml:space="preserve"> PAGEREF _Toc27779 \h </w:instrText>
          </w:r>
          <w:r>
            <w:fldChar w:fldCharType="separate"/>
          </w:r>
          <w:r>
            <w:t>24</w:t>
          </w:r>
          <w:r>
            <w:fldChar w:fldCharType="end"/>
          </w:r>
          <w:r>
            <w:fldChar w:fldCharType="end"/>
          </w:r>
        </w:p>
        <w:p w14:paraId="16AFE915">
          <w:pPr>
            <w:pStyle w:val="14"/>
            <w:tabs>
              <w:tab w:val="right" w:leader="dot" w:pos="8306"/>
              <w:tab w:val="clear" w:pos="8296"/>
            </w:tabs>
          </w:pPr>
          <w:r>
            <w:fldChar w:fldCharType="begin"/>
          </w:r>
          <w:r>
            <w:instrText xml:space="preserve"> HYPERLINK \l _Toc31582 </w:instrText>
          </w:r>
          <w:r>
            <w:fldChar w:fldCharType="separate"/>
          </w:r>
          <w:r>
            <w:rPr>
              <w:rFonts w:hint="eastAsia" w:ascii="仿宋" w:hAnsi="仿宋" w:eastAsia="仿宋"/>
              <w:bCs w:val="0"/>
            </w:rPr>
            <w:t>十三、财政拨款“三公”经费支出决算表</w:t>
          </w:r>
          <w:r>
            <w:tab/>
          </w:r>
          <w:r>
            <w:fldChar w:fldCharType="begin"/>
          </w:r>
          <w:r>
            <w:instrText xml:space="preserve"> PAGEREF _Toc31582 \h </w:instrText>
          </w:r>
          <w:r>
            <w:fldChar w:fldCharType="separate"/>
          </w:r>
          <w:r>
            <w:t>24</w:t>
          </w:r>
          <w:r>
            <w:fldChar w:fldCharType="end"/>
          </w:r>
          <w:r>
            <w:fldChar w:fldCharType="end"/>
          </w:r>
        </w:p>
        <w:p w14:paraId="7EE50E69">
          <w:r>
            <w:fldChar w:fldCharType="end"/>
          </w:r>
        </w:p>
      </w:sdtContent>
    </w:sdt>
    <w:p w14:paraId="7B0129E1"/>
    <w:p w14:paraId="696079D3">
      <w:pPr>
        <w:widowControl/>
        <w:spacing w:line="440" w:lineRule="exact"/>
        <w:jc w:val="left"/>
        <w:rPr>
          <w:rFonts w:ascii="仿宋" w:hAnsi="仿宋" w:eastAsia="仿宋"/>
          <w:bCs/>
          <w:kern w:val="44"/>
          <w:sz w:val="28"/>
          <w:szCs w:val="28"/>
        </w:rPr>
      </w:pPr>
      <w:r>
        <w:rPr>
          <w:rFonts w:ascii="仿宋" w:hAnsi="仿宋" w:eastAsia="仿宋"/>
          <w:b/>
          <w:sz w:val="28"/>
          <w:szCs w:val="28"/>
        </w:rPr>
        <w:br w:type="page"/>
      </w:r>
    </w:p>
    <w:p w14:paraId="0DEFEEBB">
      <w:pPr>
        <w:pStyle w:val="5"/>
        <w:jc w:val="center"/>
        <w:rPr>
          <w:rFonts w:ascii="黑体" w:eastAsia="黑体"/>
          <w:sz w:val="32"/>
          <w:szCs w:val="32"/>
        </w:rPr>
      </w:pPr>
      <w:bookmarkStart w:id="14" w:name="_Toc12783"/>
      <w:r>
        <w:rPr>
          <w:rFonts w:hint="eastAsia" w:ascii="黑体" w:hAnsi="黑体" w:eastAsia="黑体"/>
          <w:b w:val="0"/>
        </w:rPr>
        <w:t>第一部分 单位</w:t>
      </w:r>
      <w:r>
        <w:rPr>
          <w:rStyle w:val="28"/>
          <w:rFonts w:hint="eastAsia" w:ascii="黑体" w:hAnsi="黑体" w:eastAsia="黑体"/>
          <w:b w:val="0"/>
          <w:bCs w:val="0"/>
        </w:rPr>
        <w:t>概况</w:t>
      </w:r>
      <w:bookmarkEnd w:id="14"/>
    </w:p>
    <w:p w14:paraId="481AD173">
      <w:pPr>
        <w:pStyle w:val="6"/>
        <w:numPr>
          <w:ilvl w:val="0"/>
          <w:numId w:val="1"/>
        </w:numPr>
        <w:rPr>
          <w:rStyle w:val="29"/>
          <w:rFonts w:ascii="黑体" w:hAnsi="黑体" w:eastAsia="黑体"/>
          <w:b w:val="0"/>
          <w:bCs w:val="0"/>
        </w:rPr>
      </w:pPr>
      <w:bookmarkStart w:id="15" w:name="_Toc8203"/>
      <w:bookmarkStart w:id="16" w:name="_Toc15396600"/>
      <w:bookmarkStart w:id="17" w:name="_Toc15377197"/>
      <w:r>
        <w:rPr>
          <w:rStyle w:val="29"/>
          <w:rFonts w:hint="eastAsia" w:ascii="黑体" w:hAnsi="黑体" w:eastAsia="黑体"/>
          <w:b w:val="0"/>
          <w:bCs w:val="0"/>
        </w:rPr>
        <w:t>主要职责</w:t>
      </w:r>
      <w:bookmarkEnd w:id="15"/>
    </w:p>
    <w:p w14:paraId="5BB926F6">
      <w:pPr>
        <w:ind w:firstLine="600" w:firstLineChars="200"/>
        <w:rPr>
          <w:rFonts w:hint="eastAsia"/>
          <w:sz w:val="30"/>
          <w:szCs w:val="30"/>
        </w:rPr>
      </w:pPr>
      <w:r>
        <w:rPr>
          <w:rFonts w:hint="eastAsia"/>
          <w:sz w:val="30"/>
          <w:szCs w:val="30"/>
        </w:rPr>
        <w:t>提供常见疾病、多发病的诊断与治疗服务，包括内科、外科、儿科、妇产科等各科门诊。进行门诊病历的书写与管理，执行医疗操作规范，确保医疗安全。制定并执行预防接种工作计划，建立预防接种档案。负责传染病的监测、报告、防控工作。针对不同人群开展个性化的健康教育活动，提高居民的健康素养等。</w:t>
      </w:r>
    </w:p>
    <w:p w14:paraId="41E182DB"/>
    <w:p w14:paraId="404C9445">
      <w:pPr>
        <w:pStyle w:val="6"/>
        <w:rPr>
          <w:rFonts w:ascii="黑体" w:hAnsi="黑体" w:eastAsia="黑体"/>
          <w:b w:val="0"/>
        </w:rPr>
      </w:pPr>
      <w:bookmarkStart w:id="18" w:name="_Toc17936"/>
      <w:r>
        <w:rPr>
          <w:rFonts w:hint="eastAsia" w:ascii="黑体" w:hAnsi="黑体" w:eastAsia="黑体"/>
          <w:b w:val="0"/>
        </w:rPr>
        <w:t>二、机构设置</w:t>
      </w:r>
      <w:bookmarkEnd w:id="18"/>
    </w:p>
    <w:bookmarkEnd w:id="16"/>
    <w:bookmarkEnd w:id="17"/>
    <w:p w14:paraId="399D5F84">
      <w:pPr>
        <w:widowControl/>
        <w:ind w:firstLine="640" w:firstLineChars="200"/>
        <w:jc w:val="left"/>
        <w:rPr>
          <w:rFonts w:hint="eastAsia" w:ascii="仿宋_GB2312" w:hAnsi="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松潘县</w:t>
      </w:r>
      <w:r>
        <w:rPr>
          <w:rFonts w:hint="eastAsia" w:ascii="仿宋_GB2312" w:hAnsi="仿宋_GB2312" w:cs="仿宋_GB2312"/>
          <w:b w:val="0"/>
          <w:kern w:val="2"/>
          <w:sz w:val="32"/>
          <w:szCs w:val="32"/>
          <w:lang w:val="en-US" w:eastAsia="zh-CN" w:bidi="ar-SA"/>
        </w:rPr>
        <w:t>毛儿盖镇中心卫生院</w:t>
      </w:r>
      <w:r>
        <w:rPr>
          <w:rFonts w:hint="eastAsia" w:ascii="仿宋_GB2312" w:hAnsi="仿宋_GB2312" w:eastAsia="仿宋_GB2312" w:cs="仿宋_GB2312"/>
          <w:b w:val="0"/>
          <w:kern w:val="2"/>
          <w:sz w:val="32"/>
          <w:szCs w:val="32"/>
          <w:lang w:val="en-US" w:eastAsia="zh-CN" w:bidi="ar-SA"/>
        </w:rPr>
        <w:t>内设</w:t>
      </w:r>
      <w:r>
        <w:rPr>
          <w:rFonts w:hint="default" w:ascii="仿宋_GB2312" w:hAnsi="仿宋_GB2312" w:eastAsia="仿宋_GB2312" w:cs="仿宋_GB2312"/>
          <w:b w:val="0"/>
          <w:kern w:val="2"/>
          <w:sz w:val="32"/>
          <w:szCs w:val="32"/>
          <w:lang w:val="en-US" w:eastAsia="zh-CN" w:bidi="ar-SA"/>
        </w:rPr>
        <w:t>处室</w:t>
      </w:r>
      <w:r>
        <w:rPr>
          <w:rFonts w:hint="eastAsia" w:ascii="仿宋_GB2312" w:hAnsi="仿宋_GB2312" w:eastAsia="仿宋_GB2312" w:cs="仿宋_GB2312"/>
          <w:b w:val="0"/>
          <w:kern w:val="2"/>
          <w:sz w:val="32"/>
          <w:szCs w:val="32"/>
          <w:lang w:val="en-US" w:eastAsia="zh-CN" w:bidi="ar-SA"/>
        </w:rPr>
        <w:t>情况：（1）办公室。（2）</w:t>
      </w:r>
      <w:r>
        <w:rPr>
          <w:rFonts w:hint="eastAsia" w:ascii="仿宋_GB2312" w:hAnsi="仿宋_GB2312" w:cs="仿宋_GB2312"/>
          <w:b w:val="0"/>
          <w:kern w:val="2"/>
          <w:sz w:val="32"/>
          <w:szCs w:val="32"/>
          <w:lang w:val="en-US" w:eastAsia="zh-CN" w:bidi="ar-SA"/>
        </w:rPr>
        <w:t>药房</w:t>
      </w:r>
      <w:r>
        <w:rPr>
          <w:rFonts w:hint="eastAsia" w:ascii="仿宋_GB2312" w:hAnsi="仿宋_GB2312" w:eastAsia="仿宋_GB2312" w:cs="仿宋_GB2312"/>
          <w:b w:val="0"/>
          <w:kern w:val="2"/>
          <w:sz w:val="32"/>
          <w:szCs w:val="32"/>
          <w:lang w:val="en-US" w:eastAsia="zh-CN" w:bidi="ar-SA"/>
        </w:rPr>
        <w:t>。（3）</w:t>
      </w:r>
      <w:r>
        <w:rPr>
          <w:rFonts w:hint="eastAsia" w:ascii="仿宋_GB2312" w:hAnsi="仿宋_GB2312" w:cs="仿宋_GB2312"/>
          <w:b w:val="0"/>
          <w:kern w:val="2"/>
          <w:sz w:val="32"/>
          <w:szCs w:val="32"/>
          <w:lang w:val="en-US" w:eastAsia="zh-CN" w:bidi="ar-SA"/>
        </w:rPr>
        <w:t>中医康复科</w:t>
      </w:r>
      <w:r>
        <w:rPr>
          <w:rFonts w:hint="eastAsia" w:ascii="仿宋_GB2312" w:hAnsi="仿宋_GB2312" w:eastAsia="仿宋_GB2312" w:cs="仿宋_GB2312"/>
          <w:b w:val="0"/>
          <w:kern w:val="2"/>
          <w:sz w:val="32"/>
          <w:szCs w:val="32"/>
          <w:lang w:val="en-US" w:eastAsia="zh-CN" w:bidi="ar-SA"/>
        </w:rPr>
        <w:t>。（</w:t>
      </w:r>
      <w:r>
        <w:rPr>
          <w:rFonts w:hint="eastAsia" w:ascii="仿宋_GB2312" w:hAnsi="仿宋_GB2312" w:cs="仿宋_GB2312"/>
          <w:b w:val="0"/>
          <w:kern w:val="2"/>
          <w:sz w:val="32"/>
          <w:szCs w:val="32"/>
          <w:lang w:val="en-US" w:eastAsia="zh-CN" w:bidi="ar-SA"/>
        </w:rPr>
        <w:t>4</w:t>
      </w:r>
      <w:r>
        <w:rPr>
          <w:rFonts w:hint="eastAsia" w:ascii="仿宋_GB2312" w:hAnsi="仿宋_GB2312" w:eastAsia="仿宋_GB2312" w:cs="仿宋_GB2312"/>
          <w:b w:val="0"/>
          <w:kern w:val="2"/>
          <w:sz w:val="32"/>
          <w:szCs w:val="32"/>
          <w:lang w:val="en-US" w:eastAsia="zh-CN" w:bidi="ar-SA"/>
        </w:rPr>
        <w:t>）</w:t>
      </w:r>
      <w:r>
        <w:rPr>
          <w:rFonts w:hint="eastAsia" w:ascii="仿宋_GB2312" w:hAnsi="仿宋_GB2312" w:cs="仿宋_GB2312"/>
          <w:b w:val="0"/>
          <w:kern w:val="2"/>
          <w:sz w:val="32"/>
          <w:szCs w:val="32"/>
          <w:lang w:val="en-US" w:eastAsia="zh-CN" w:bidi="ar-SA"/>
        </w:rPr>
        <w:t>计免室。</w:t>
      </w:r>
      <w:r>
        <w:rPr>
          <w:rFonts w:hint="eastAsia" w:ascii="仿宋_GB2312" w:hAnsi="仿宋_GB2312" w:eastAsia="仿宋_GB2312" w:cs="仿宋_GB2312"/>
          <w:b w:val="0"/>
          <w:kern w:val="2"/>
          <w:sz w:val="32"/>
          <w:szCs w:val="32"/>
          <w:lang w:val="en-US" w:eastAsia="zh-CN" w:bidi="ar-SA"/>
        </w:rPr>
        <w:t>（</w:t>
      </w:r>
      <w:r>
        <w:rPr>
          <w:rFonts w:hint="eastAsia" w:ascii="仿宋_GB2312" w:hAnsi="仿宋_GB2312" w:cs="仿宋_GB2312"/>
          <w:b w:val="0"/>
          <w:kern w:val="2"/>
          <w:sz w:val="32"/>
          <w:szCs w:val="32"/>
          <w:lang w:val="en-US" w:eastAsia="zh-CN" w:bidi="ar-SA"/>
        </w:rPr>
        <w:t>5</w:t>
      </w:r>
      <w:r>
        <w:rPr>
          <w:rFonts w:hint="eastAsia" w:ascii="仿宋_GB2312" w:hAnsi="仿宋_GB2312" w:eastAsia="仿宋_GB2312" w:cs="仿宋_GB2312"/>
          <w:b w:val="0"/>
          <w:kern w:val="2"/>
          <w:sz w:val="32"/>
          <w:szCs w:val="32"/>
          <w:lang w:val="en-US" w:eastAsia="zh-CN" w:bidi="ar-SA"/>
        </w:rPr>
        <w:t>）</w:t>
      </w:r>
      <w:r>
        <w:rPr>
          <w:rFonts w:hint="eastAsia" w:ascii="仿宋_GB2312" w:hAnsi="仿宋_GB2312" w:cs="仿宋_GB2312"/>
          <w:b w:val="0"/>
          <w:kern w:val="2"/>
          <w:sz w:val="32"/>
          <w:szCs w:val="32"/>
          <w:lang w:val="en-US" w:eastAsia="zh-CN" w:bidi="ar-SA"/>
        </w:rPr>
        <w:t>公共卫生科。</w:t>
      </w:r>
      <w:r>
        <w:rPr>
          <w:rFonts w:hint="eastAsia" w:ascii="仿宋_GB2312" w:hAnsi="仿宋_GB2312" w:eastAsia="仿宋_GB2312" w:cs="仿宋_GB2312"/>
          <w:b w:val="0"/>
          <w:kern w:val="2"/>
          <w:sz w:val="32"/>
          <w:szCs w:val="32"/>
          <w:lang w:val="en-US" w:eastAsia="zh-CN" w:bidi="ar-SA"/>
        </w:rPr>
        <w:t>（</w:t>
      </w:r>
      <w:r>
        <w:rPr>
          <w:rFonts w:hint="eastAsia" w:ascii="仿宋_GB2312" w:hAnsi="仿宋_GB2312" w:cs="仿宋_GB2312"/>
          <w:b w:val="0"/>
          <w:kern w:val="2"/>
          <w:sz w:val="32"/>
          <w:szCs w:val="32"/>
          <w:lang w:val="en-US" w:eastAsia="zh-CN" w:bidi="ar-SA"/>
        </w:rPr>
        <w:t>6</w:t>
      </w:r>
      <w:r>
        <w:rPr>
          <w:rFonts w:hint="eastAsia" w:ascii="仿宋_GB2312" w:hAnsi="仿宋_GB2312" w:eastAsia="仿宋_GB2312" w:cs="仿宋_GB2312"/>
          <w:b w:val="0"/>
          <w:kern w:val="2"/>
          <w:sz w:val="32"/>
          <w:szCs w:val="32"/>
          <w:lang w:val="en-US" w:eastAsia="zh-CN" w:bidi="ar-SA"/>
        </w:rPr>
        <w:t>）</w:t>
      </w:r>
      <w:r>
        <w:rPr>
          <w:rFonts w:hint="eastAsia" w:ascii="仿宋_GB2312" w:hAnsi="仿宋_GB2312" w:cs="仿宋_GB2312"/>
          <w:b w:val="0"/>
          <w:kern w:val="2"/>
          <w:sz w:val="32"/>
          <w:szCs w:val="32"/>
          <w:lang w:val="en-US" w:eastAsia="zh-CN" w:bidi="ar-SA"/>
        </w:rPr>
        <w:t>抢救室。</w:t>
      </w:r>
      <w:r>
        <w:rPr>
          <w:rFonts w:hint="eastAsia" w:ascii="仿宋_GB2312" w:hAnsi="仿宋_GB2312" w:eastAsia="仿宋_GB2312" w:cs="仿宋_GB2312"/>
          <w:b w:val="0"/>
          <w:kern w:val="2"/>
          <w:sz w:val="32"/>
          <w:szCs w:val="32"/>
          <w:lang w:val="en-US" w:eastAsia="zh-CN" w:bidi="ar-SA"/>
        </w:rPr>
        <w:t>（</w:t>
      </w:r>
      <w:r>
        <w:rPr>
          <w:rFonts w:hint="eastAsia" w:ascii="仿宋_GB2312" w:hAnsi="仿宋_GB2312" w:cs="仿宋_GB2312"/>
          <w:b w:val="0"/>
          <w:kern w:val="2"/>
          <w:sz w:val="32"/>
          <w:szCs w:val="32"/>
          <w:lang w:val="en-US" w:eastAsia="zh-CN" w:bidi="ar-SA"/>
        </w:rPr>
        <w:t>7</w:t>
      </w:r>
      <w:r>
        <w:rPr>
          <w:rFonts w:hint="eastAsia" w:ascii="仿宋_GB2312" w:hAnsi="仿宋_GB2312" w:eastAsia="仿宋_GB2312" w:cs="仿宋_GB2312"/>
          <w:b w:val="0"/>
          <w:kern w:val="2"/>
          <w:sz w:val="32"/>
          <w:szCs w:val="32"/>
          <w:lang w:val="en-US" w:eastAsia="zh-CN" w:bidi="ar-SA"/>
        </w:rPr>
        <w:t>）</w:t>
      </w:r>
      <w:r>
        <w:rPr>
          <w:rFonts w:hint="eastAsia" w:ascii="仿宋_GB2312" w:hAnsi="仿宋_GB2312" w:cs="仿宋_GB2312"/>
          <w:b w:val="0"/>
          <w:kern w:val="2"/>
          <w:sz w:val="32"/>
          <w:szCs w:val="32"/>
          <w:lang w:val="en-US" w:eastAsia="zh-CN" w:bidi="ar-SA"/>
        </w:rPr>
        <w:t>妇幼保健室。</w:t>
      </w:r>
      <w:bookmarkStart w:id="19" w:name="_Toc15377204"/>
      <w:bookmarkStart w:id="20" w:name="_Toc15396602"/>
    </w:p>
    <w:p w14:paraId="3E23BCAB">
      <w:pPr>
        <w:pStyle w:val="2"/>
        <w:rPr>
          <w:rFonts w:hint="eastAsia" w:ascii="仿宋_GB2312" w:hAnsi="仿宋_GB2312" w:cs="仿宋_GB2312"/>
          <w:b w:val="0"/>
          <w:kern w:val="2"/>
          <w:sz w:val="32"/>
          <w:szCs w:val="32"/>
          <w:lang w:val="en-US" w:eastAsia="zh-CN" w:bidi="ar-SA"/>
        </w:rPr>
      </w:pPr>
    </w:p>
    <w:p w14:paraId="7703511D">
      <w:pPr>
        <w:pStyle w:val="3"/>
        <w:rPr>
          <w:rFonts w:hint="eastAsia" w:ascii="仿宋_GB2312" w:hAnsi="仿宋_GB2312" w:cs="仿宋_GB2312"/>
          <w:b w:val="0"/>
          <w:kern w:val="2"/>
          <w:sz w:val="32"/>
          <w:szCs w:val="32"/>
          <w:lang w:val="en-US" w:eastAsia="zh-CN" w:bidi="ar-SA"/>
        </w:rPr>
      </w:pPr>
    </w:p>
    <w:p w14:paraId="33E47B2C">
      <w:pPr>
        <w:pStyle w:val="3"/>
        <w:rPr>
          <w:rFonts w:hint="eastAsia" w:ascii="仿宋_GB2312" w:hAnsi="仿宋_GB2312" w:cs="仿宋_GB2312"/>
          <w:b w:val="0"/>
          <w:kern w:val="2"/>
          <w:sz w:val="32"/>
          <w:szCs w:val="32"/>
          <w:lang w:val="en-US" w:eastAsia="zh-CN" w:bidi="ar-SA"/>
        </w:rPr>
      </w:pPr>
    </w:p>
    <w:p w14:paraId="4452802D">
      <w:pPr>
        <w:pStyle w:val="3"/>
        <w:rPr>
          <w:rFonts w:hint="eastAsia" w:ascii="仿宋_GB2312" w:hAnsi="仿宋_GB2312" w:cs="仿宋_GB2312"/>
          <w:b w:val="0"/>
          <w:kern w:val="2"/>
          <w:sz w:val="32"/>
          <w:szCs w:val="32"/>
          <w:lang w:val="en-US" w:eastAsia="zh-CN" w:bidi="ar-SA"/>
        </w:rPr>
      </w:pPr>
    </w:p>
    <w:p w14:paraId="4BC5EAC5">
      <w:pPr>
        <w:pStyle w:val="3"/>
        <w:rPr>
          <w:rFonts w:hint="eastAsia" w:ascii="仿宋_GB2312" w:hAnsi="仿宋_GB2312" w:cs="仿宋_GB2312"/>
          <w:b w:val="0"/>
          <w:kern w:val="2"/>
          <w:sz w:val="32"/>
          <w:szCs w:val="32"/>
          <w:lang w:val="en-US" w:eastAsia="zh-CN" w:bidi="ar-SA"/>
        </w:rPr>
      </w:pPr>
    </w:p>
    <w:p w14:paraId="49793919">
      <w:pPr>
        <w:pStyle w:val="3"/>
        <w:rPr>
          <w:rFonts w:hint="eastAsia" w:ascii="仿宋_GB2312" w:hAnsi="仿宋_GB2312" w:cs="仿宋_GB2312"/>
          <w:b w:val="0"/>
          <w:kern w:val="2"/>
          <w:sz w:val="32"/>
          <w:szCs w:val="32"/>
          <w:lang w:val="en-US" w:eastAsia="zh-CN" w:bidi="ar-SA"/>
        </w:rPr>
      </w:pPr>
    </w:p>
    <w:p w14:paraId="129009D3">
      <w:pPr>
        <w:pStyle w:val="3"/>
        <w:rPr>
          <w:rFonts w:hint="eastAsia" w:ascii="仿宋_GB2312" w:hAnsi="仿宋_GB2312" w:cs="仿宋_GB2312"/>
          <w:b w:val="0"/>
          <w:kern w:val="2"/>
          <w:sz w:val="32"/>
          <w:szCs w:val="32"/>
          <w:lang w:val="en-US" w:eastAsia="zh-CN" w:bidi="ar-SA"/>
        </w:rPr>
      </w:pPr>
    </w:p>
    <w:p w14:paraId="21AB220C">
      <w:pPr>
        <w:pStyle w:val="5"/>
        <w:jc w:val="center"/>
      </w:pPr>
      <w:bookmarkStart w:id="21" w:name="_Toc2656"/>
      <w:r>
        <w:rPr>
          <w:rFonts w:hint="eastAsia" w:ascii="黑体" w:hAnsi="黑体" w:eastAsia="黑体" w:cs="Times New Roman"/>
          <w:b w:val="0"/>
        </w:rPr>
        <w:t>第二部分 2023年度单位决算情况说明</w:t>
      </w:r>
      <w:bookmarkEnd w:id="19"/>
      <w:bookmarkEnd w:id="20"/>
      <w:bookmarkEnd w:id="21"/>
    </w:p>
    <w:p w14:paraId="571C92E7">
      <w:pPr>
        <w:pStyle w:val="27"/>
        <w:numPr>
          <w:ilvl w:val="0"/>
          <w:numId w:val="2"/>
        </w:numPr>
        <w:spacing w:line="600" w:lineRule="exact"/>
        <w:ind w:firstLineChars="0"/>
        <w:outlineLvl w:val="1"/>
        <w:rPr>
          <w:rStyle w:val="29"/>
          <w:rFonts w:ascii="黑体" w:hAnsi="黑体" w:eastAsia="黑体"/>
          <w:b w:val="0"/>
        </w:rPr>
      </w:pPr>
      <w:bookmarkStart w:id="22" w:name="_Toc15396603"/>
      <w:bookmarkStart w:id="23" w:name="_Toc15377205"/>
      <w:bookmarkStart w:id="24" w:name="_Toc17412"/>
      <w:r>
        <w:rPr>
          <w:rFonts w:hint="eastAsia" w:ascii="黑体" w:hAnsi="黑体" w:eastAsia="黑体"/>
          <w:sz w:val="32"/>
          <w:szCs w:val="32"/>
        </w:rPr>
        <w:t>收</w:t>
      </w:r>
      <w:r>
        <w:rPr>
          <w:rStyle w:val="29"/>
          <w:rFonts w:hint="eastAsia" w:ascii="黑体" w:hAnsi="黑体" w:eastAsia="黑体"/>
          <w:b w:val="0"/>
        </w:rPr>
        <w:t>入支出决算总体情况说明</w:t>
      </w:r>
      <w:bookmarkEnd w:id="22"/>
      <w:bookmarkEnd w:id="23"/>
      <w:bookmarkEnd w:id="24"/>
    </w:p>
    <w:p w14:paraId="0EC2BEEA">
      <w:pPr>
        <w:spacing w:line="600" w:lineRule="exact"/>
        <w:ind w:firstLine="640" w:firstLineChars="200"/>
        <w:rPr>
          <w:rFonts w:ascii="仿宋" w:hAnsi="仿宋" w:eastAsia="仿宋"/>
          <w:sz w:val="32"/>
          <w:szCs w:val="32"/>
        </w:rPr>
      </w:pPr>
      <w:r>
        <w:rPr>
          <w:rFonts w:hint="eastAsia" w:ascii="仿宋" w:hAnsi="仿宋" w:eastAsia="仿宋"/>
          <w:sz w:val="32"/>
          <w:szCs w:val="32"/>
        </w:rPr>
        <w:t>2023年度收、支总计均为</w:t>
      </w:r>
      <w:r>
        <w:rPr>
          <w:rFonts w:hint="eastAsia" w:ascii="仿宋" w:hAnsi="仿宋" w:eastAsia="仿宋"/>
          <w:b/>
          <w:sz w:val="32"/>
          <w:szCs w:val="32"/>
        </w:rPr>
        <w:t>449.01</w:t>
      </w:r>
      <w:r>
        <w:rPr>
          <w:rFonts w:hint="eastAsia" w:ascii="仿宋" w:hAnsi="仿宋" w:eastAsia="仿宋"/>
          <w:sz w:val="32"/>
          <w:szCs w:val="32"/>
        </w:rPr>
        <w:t>万元。与2022年度相比，收、支总计各增加</w:t>
      </w:r>
      <w:r>
        <w:rPr>
          <w:rFonts w:hint="eastAsia" w:ascii="仿宋" w:hAnsi="仿宋" w:eastAsia="仿宋"/>
          <w:sz w:val="32"/>
          <w:szCs w:val="32"/>
          <w:lang w:val="en-US" w:eastAsia="zh-CN"/>
        </w:rPr>
        <w:t>68.65</w:t>
      </w:r>
      <w:r>
        <w:rPr>
          <w:rFonts w:hint="eastAsia" w:ascii="仿宋" w:hAnsi="仿宋" w:eastAsia="仿宋"/>
          <w:sz w:val="32"/>
          <w:szCs w:val="32"/>
        </w:rPr>
        <w:t>万元，增长</w:t>
      </w:r>
      <w:r>
        <w:rPr>
          <w:rFonts w:hint="eastAsia" w:ascii="仿宋" w:hAnsi="仿宋" w:eastAsia="仿宋"/>
          <w:sz w:val="32"/>
          <w:szCs w:val="32"/>
          <w:lang w:val="en-US" w:eastAsia="zh-CN"/>
        </w:rPr>
        <w:t>18.05</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单位人员增加，财政拨款收入增加</w:t>
      </w:r>
      <w:r>
        <w:rPr>
          <w:rFonts w:hint="eastAsia" w:ascii="仿宋" w:hAnsi="仿宋" w:eastAsia="仿宋"/>
          <w:sz w:val="32"/>
          <w:szCs w:val="32"/>
        </w:rPr>
        <w:t>。</w:t>
      </w:r>
    </w:p>
    <w:p w14:paraId="74F8F0DE">
      <w:pPr>
        <w:spacing w:line="600" w:lineRule="exact"/>
        <w:rPr>
          <w:rFonts w:hint="eastAsia" w:ascii="仿宋" w:hAnsi="仿宋" w:eastAsia="仿宋"/>
          <w:sz w:val="32"/>
          <w:szCs w:val="32"/>
        </w:rPr>
      </w:pPr>
    </w:p>
    <w:p w14:paraId="2E23019C">
      <w:pPr>
        <w:spacing w:line="240" w:lineRule="auto"/>
        <w:ind w:firstLine="420" w:firstLineChars="200"/>
        <w:rPr>
          <w:rFonts w:hint="eastAsia" w:ascii="仿宋" w:hAnsi="仿宋" w:eastAsia="仿宋"/>
          <w:sz w:val="32"/>
          <w:szCs w:val="32"/>
          <w:lang w:eastAsia="zh-CN"/>
        </w:rPr>
      </w:pPr>
      <w:r>
        <w:drawing>
          <wp:inline distT="0" distB="0" distL="114300" distR="114300">
            <wp:extent cx="4572000" cy="2857500"/>
            <wp:effectExtent l="5080" t="4445" r="13970" b="14605"/>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6D8A05BB">
      <w:pPr>
        <w:spacing w:line="600" w:lineRule="exact"/>
        <w:ind w:firstLine="640" w:firstLineChars="200"/>
        <w:jc w:val="center"/>
        <w:rPr>
          <w:rFonts w:ascii="仿宋" w:hAnsi="仿宋" w:eastAsia="仿宋"/>
          <w:sz w:val="32"/>
          <w:szCs w:val="32"/>
        </w:rPr>
      </w:pPr>
      <w:bookmarkStart w:id="25" w:name="_Toc31922_WPSOffice_Level3"/>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bookmarkEnd w:id="25"/>
    </w:p>
    <w:p w14:paraId="77864BA2">
      <w:pPr>
        <w:spacing w:line="600" w:lineRule="exact"/>
        <w:ind w:firstLine="640" w:firstLineChars="200"/>
        <w:jc w:val="center"/>
        <w:rPr>
          <w:rFonts w:ascii="仿宋_GB2312" w:eastAsia="仿宋_GB2312"/>
          <w:sz w:val="32"/>
          <w:szCs w:val="32"/>
        </w:rPr>
      </w:pPr>
    </w:p>
    <w:p w14:paraId="6F051218">
      <w:pPr>
        <w:pStyle w:val="27"/>
        <w:numPr>
          <w:ilvl w:val="0"/>
          <w:numId w:val="2"/>
        </w:numPr>
        <w:spacing w:line="600" w:lineRule="exact"/>
        <w:ind w:firstLineChars="0"/>
        <w:outlineLvl w:val="1"/>
        <w:rPr>
          <w:rStyle w:val="29"/>
          <w:rFonts w:ascii="黑体" w:hAnsi="黑体" w:eastAsia="黑体"/>
          <w:b w:val="0"/>
        </w:rPr>
      </w:pPr>
      <w:bookmarkStart w:id="26" w:name="_Toc17998"/>
      <w:bookmarkStart w:id="27" w:name="_Toc15396604"/>
      <w:bookmarkStart w:id="28" w:name="_Toc15377206"/>
      <w:r>
        <w:rPr>
          <w:rFonts w:hint="eastAsia" w:ascii="黑体" w:hAnsi="黑体" w:eastAsia="黑体"/>
          <w:sz w:val="32"/>
          <w:szCs w:val="32"/>
        </w:rPr>
        <w:t>收</w:t>
      </w:r>
      <w:r>
        <w:rPr>
          <w:rStyle w:val="29"/>
          <w:rFonts w:hint="eastAsia" w:ascii="黑体" w:hAnsi="黑体" w:eastAsia="黑体"/>
          <w:b w:val="0"/>
        </w:rPr>
        <w:t>入决算情况说明</w:t>
      </w:r>
      <w:bookmarkEnd w:id="26"/>
      <w:bookmarkEnd w:id="27"/>
      <w:bookmarkEnd w:id="28"/>
    </w:p>
    <w:p w14:paraId="4DE8E070">
      <w:pPr>
        <w:spacing w:line="600" w:lineRule="exact"/>
        <w:ind w:firstLine="640" w:firstLineChars="200"/>
        <w:outlineLvl w:val="1"/>
        <w:rPr>
          <w:rFonts w:ascii="仿宋" w:hAnsi="仿宋" w:eastAsia="仿宋"/>
          <w:sz w:val="32"/>
          <w:szCs w:val="32"/>
        </w:rPr>
      </w:pPr>
      <w:bookmarkStart w:id="29" w:name="_Toc10499"/>
      <w:r>
        <w:rPr>
          <w:rFonts w:hint="eastAsia" w:ascii="仿宋" w:hAnsi="仿宋" w:eastAsia="仿宋"/>
          <w:sz w:val="32"/>
          <w:szCs w:val="32"/>
        </w:rPr>
        <w:t>2023年度本年收入合计</w:t>
      </w:r>
      <w:r>
        <w:rPr>
          <w:rFonts w:ascii="仿宋" w:hAnsi="仿宋" w:eastAsia="仿宋"/>
          <w:b/>
          <w:sz w:val="32"/>
          <w:szCs w:val="32"/>
        </w:rPr>
        <w:t>449.01</w:t>
      </w:r>
      <w:r>
        <w:rPr>
          <w:rFonts w:hint="eastAsia" w:ascii="仿宋" w:hAnsi="仿宋" w:eastAsia="仿宋"/>
          <w:sz w:val="32"/>
          <w:szCs w:val="32"/>
        </w:rPr>
        <w:t>万元，其中：一般公共预算财政拨款收入</w:t>
      </w:r>
      <w:r>
        <w:rPr>
          <w:rFonts w:ascii="仿宋" w:hAnsi="仿宋" w:eastAsia="仿宋"/>
          <w:b/>
          <w:sz w:val="32"/>
          <w:szCs w:val="32"/>
        </w:rPr>
        <w:t>437.51</w:t>
      </w:r>
      <w:r>
        <w:rPr>
          <w:rFonts w:hint="eastAsia" w:ascii="仿宋" w:hAnsi="仿宋" w:eastAsia="仿宋"/>
          <w:sz w:val="32"/>
          <w:szCs w:val="32"/>
        </w:rPr>
        <w:t>万元，占</w:t>
      </w:r>
      <w:r>
        <w:rPr>
          <w:rFonts w:ascii="仿宋" w:hAnsi="仿宋" w:eastAsia="仿宋"/>
          <w:b/>
          <w:sz w:val="32"/>
          <w:szCs w:val="32"/>
        </w:rPr>
        <w:t>97.43%</w:t>
      </w:r>
      <w:r>
        <w:rPr>
          <w:rFonts w:hint="eastAsia" w:ascii="仿宋" w:hAnsi="仿宋" w:eastAsia="仿宋"/>
          <w:sz w:val="32"/>
          <w:szCs w:val="32"/>
        </w:rPr>
        <w:t>；政府性基金预算财政拨款收入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；国有资本经营预算财政拨款收入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；上级补助收入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；事业收入</w:t>
      </w:r>
      <w:r>
        <w:rPr>
          <w:rFonts w:ascii="仿宋" w:hAnsi="仿宋" w:eastAsia="仿宋"/>
          <w:b/>
          <w:sz w:val="32"/>
          <w:szCs w:val="32"/>
        </w:rPr>
        <w:t>11.5</w:t>
      </w:r>
      <w:r>
        <w:rPr>
          <w:rFonts w:hint="eastAsia" w:ascii="仿宋" w:hAnsi="仿宋" w:eastAsia="仿宋"/>
          <w:sz w:val="32"/>
          <w:szCs w:val="32"/>
        </w:rPr>
        <w:t>万元，占</w:t>
      </w:r>
      <w:r>
        <w:rPr>
          <w:rFonts w:ascii="仿宋" w:hAnsi="仿宋" w:eastAsia="仿宋"/>
          <w:b/>
          <w:sz w:val="32"/>
          <w:szCs w:val="32"/>
        </w:rPr>
        <w:t>2.56</w:t>
      </w:r>
      <w:r>
        <w:rPr>
          <w:rFonts w:ascii="仿宋" w:hAnsi="仿宋" w:eastAsia="仿宋"/>
          <w:sz w:val="32"/>
          <w:szCs w:val="32"/>
        </w:rPr>
        <w:t>%</w:t>
      </w:r>
      <w:r>
        <w:rPr>
          <w:rFonts w:hint="eastAsia" w:ascii="仿宋" w:hAnsi="仿宋" w:eastAsia="仿宋"/>
          <w:sz w:val="32"/>
          <w:szCs w:val="32"/>
        </w:rPr>
        <w:t>；经营收入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；附属单位上缴收入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；其他收入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bookmarkEnd w:id="29"/>
    </w:p>
    <w:p w14:paraId="2BC0F088">
      <w:pPr>
        <w:pStyle w:val="2"/>
      </w:pPr>
    </w:p>
    <w:p w14:paraId="17FC5AA1">
      <w:pPr>
        <w:spacing w:line="240" w:lineRule="auto"/>
        <w:ind w:firstLine="420" w:firstLineChars="200"/>
        <w:jc w:val="center"/>
        <w:rPr>
          <w:rFonts w:hint="eastAsia" w:ascii="仿宋" w:hAnsi="仿宋" w:eastAsia="仿宋"/>
          <w:sz w:val="32"/>
          <w:szCs w:val="32"/>
        </w:rPr>
      </w:pPr>
      <w:r>
        <w:drawing>
          <wp:inline distT="0" distB="0" distL="114300" distR="114300">
            <wp:extent cx="4572000" cy="2743200"/>
            <wp:effectExtent l="4445" t="4445" r="14605" b="14605"/>
            <wp:docPr id="9"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4B3E7D6">
      <w:pPr>
        <w:spacing w:line="600" w:lineRule="exact"/>
        <w:ind w:firstLine="640" w:firstLineChars="200"/>
        <w:jc w:val="center"/>
        <w:rPr>
          <w:rFonts w:ascii="仿宋" w:hAnsi="仿宋" w:eastAsia="仿宋"/>
          <w:sz w:val="32"/>
          <w:szCs w:val="32"/>
        </w:rPr>
      </w:pPr>
      <w:bookmarkStart w:id="30" w:name="_Toc4914_WPSOffice_Level3"/>
      <w:r>
        <w:rPr>
          <w:rFonts w:hint="eastAsia" w:ascii="仿宋" w:hAnsi="仿宋" w:eastAsia="仿宋"/>
          <w:sz w:val="32"/>
          <w:szCs w:val="32"/>
        </w:rPr>
        <w:t>（图2：收入决算结构图）（饼状图）</w:t>
      </w:r>
      <w:bookmarkEnd w:id="30"/>
    </w:p>
    <w:p w14:paraId="4DA32977">
      <w:pPr>
        <w:spacing w:line="600" w:lineRule="exact"/>
        <w:ind w:firstLine="640" w:firstLineChars="200"/>
        <w:rPr>
          <w:rFonts w:ascii="仿宋_GB2312" w:eastAsia="仿宋_GB2312"/>
          <w:sz w:val="32"/>
          <w:szCs w:val="32"/>
        </w:rPr>
      </w:pPr>
    </w:p>
    <w:p w14:paraId="786B9B4D">
      <w:pPr>
        <w:pStyle w:val="27"/>
        <w:numPr>
          <w:ilvl w:val="0"/>
          <w:numId w:val="2"/>
        </w:numPr>
        <w:spacing w:line="600" w:lineRule="exact"/>
        <w:ind w:firstLineChars="0"/>
        <w:outlineLvl w:val="1"/>
        <w:rPr>
          <w:rStyle w:val="29"/>
          <w:rFonts w:ascii="黑体" w:hAnsi="黑体" w:eastAsia="黑体"/>
          <w:b w:val="0"/>
        </w:rPr>
      </w:pPr>
      <w:bookmarkStart w:id="31" w:name="_Toc15396605"/>
      <w:bookmarkStart w:id="32" w:name="_Toc7832"/>
      <w:bookmarkStart w:id="33" w:name="_Toc15377207"/>
      <w:r>
        <w:rPr>
          <w:rFonts w:hint="eastAsia" w:ascii="黑体" w:hAnsi="黑体" w:eastAsia="黑体"/>
          <w:sz w:val="32"/>
          <w:szCs w:val="32"/>
        </w:rPr>
        <w:t>支</w:t>
      </w:r>
      <w:r>
        <w:rPr>
          <w:rStyle w:val="29"/>
          <w:rFonts w:hint="eastAsia" w:ascii="黑体" w:hAnsi="黑体" w:eastAsia="黑体"/>
          <w:b w:val="0"/>
        </w:rPr>
        <w:t>出决算情况说明</w:t>
      </w:r>
      <w:bookmarkEnd w:id="31"/>
      <w:bookmarkEnd w:id="32"/>
      <w:bookmarkEnd w:id="33"/>
    </w:p>
    <w:p w14:paraId="2BDA1677">
      <w:pPr>
        <w:spacing w:line="600" w:lineRule="exact"/>
        <w:ind w:firstLine="640" w:firstLineChars="200"/>
        <w:outlineLvl w:val="1"/>
        <w:rPr>
          <w:rFonts w:hint="eastAsia" w:ascii="仿宋" w:hAnsi="仿宋" w:eastAsia="仿宋"/>
          <w:sz w:val="32"/>
          <w:szCs w:val="32"/>
        </w:rPr>
      </w:pPr>
      <w:bookmarkStart w:id="34" w:name="_Toc5484"/>
      <w:r>
        <w:rPr>
          <w:rFonts w:hint="eastAsia" w:ascii="仿宋" w:hAnsi="仿宋" w:eastAsia="仿宋"/>
          <w:sz w:val="32"/>
          <w:szCs w:val="32"/>
        </w:rPr>
        <w:t>2023年度本年支出合计</w:t>
      </w:r>
      <w:r>
        <w:rPr>
          <w:rFonts w:ascii="仿宋" w:hAnsi="仿宋" w:eastAsia="仿宋"/>
          <w:b/>
          <w:sz w:val="32"/>
          <w:szCs w:val="32"/>
        </w:rPr>
        <w:t>449.01</w:t>
      </w:r>
      <w:r>
        <w:rPr>
          <w:rFonts w:hint="eastAsia" w:ascii="仿宋" w:hAnsi="仿宋" w:eastAsia="仿宋"/>
          <w:sz w:val="32"/>
          <w:szCs w:val="32"/>
        </w:rPr>
        <w:t>万元，其中：基本支出</w:t>
      </w:r>
      <w:r>
        <w:rPr>
          <w:rFonts w:ascii="仿宋" w:hAnsi="仿宋" w:eastAsia="仿宋"/>
          <w:b/>
          <w:sz w:val="32"/>
          <w:szCs w:val="32"/>
        </w:rPr>
        <w:t>402.96</w:t>
      </w:r>
      <w:r>
        <w:rPr>
          <w:rFonts w:hint="eastAsia" w:ascii="仿宋" w:hAnsi="仿宋" w:eastAsia="仿宋"/>
          <w:sz w:val="32"/>
          <w:szCs w:val="32"/>
        </w:rPr>
        <w:t>万元，占</w:t>
      </w:r>
      <w:r>
        <w:rPr>
          <w:rFonts w:ascii="仿宋" w:hAnsi="仿宋" w:eastAsia="仿宋"/>
          <w:b/>
          <w:sz w:val="32"/>
          <w:szCs w:val="32"/>
        </w:rPr>
        <w:t>89.74</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b/>
          <w:sz w:val="32"/>
          <w:szCs w:val="32"/>
        </w:rPr>
        <w:t>46.05</w:t>
      </w:r>
      <w:r>
        <w:rPr>
          <w:rFonts w:hint="eastAsia" w:ascii="仿宋" w:hAnsi="仿宋" w:eastAsia="仿宋"/>
          <w:sz w:val="32"/>
          <w:szCs w:val="32"/>
        </w:rPr>
        <w:t>万元，占</w:t>
      </w:r>
      <w:r>
        <w:rPr>
          <w:rFonts w:ascii="仿宋" w:hAnsi="仿宋" w:eastAsia="仿宋"/>
          <w:b/>
          <w:sz w:val="32"/>
          <w:szCs w:val="32"/>
        </w:rPr>
        <w:t>10.2</w:t>
      </w:r>
      <w:r>
        <w:rPr>
          <w:rFonts w:hint="eastAsia" w:ascii="仿宋" w:hAnsi="仿宋" w:eastAsia="仿宋"/>
          <w:b/>
          <w:sz w:val="32"/>
          <w:szCs w:val="32"/>
          <w:lang w:val="en-US" w:eastAsia="zh-CN"/>
        </w:rPr>
        <w:t>6</w:t>
      </w:r>
      <w:r>
        <w:rPr>
          <w:rFonts w:ascii="仿宋" w:hAnsi="仿宋" w:eastAsia="仿宋"/>
          <w:sz w:val="32"/>
          <w:szCs w:val="32"/>
        </w:rPr>
        <w:t>%</w:t>
      </w:r>
      <w:r>
        <w:rPr>
          <w:rFonts w:hint="eastAsia" w:ascii="仿宋" w:hAnsi="仿宋" w:eastAsia="仿宋"/>
          <w:sz w:val="32"/>
          <w:szCs w:val="32"/>
        </w:rPr>
        <w:t>；上缴上级支出</w:t>
      </w:r>
      <w:r>
        <w:rPr>
          <w:rFonts w:ascii="仿宋" w:hAnsi="仿宋" w:eastAsia="仿宋"/>
          <w:b/>
          <w:sz w:val="32"/>
          <w:szCs w:val="32"/>
        </w:rPr>
        <w:t>0</w:t>
      </w:r>
      <w:r>
        <w:rPr>
          <w:rFonts w:hint="eastAsia" w:ascii="仿宋" w:hAnsi="仿宋" w:eastAsia="仿宋"/>
          <w:sz w:val="32"/>
          <w:szCs w:val="32"/>
        </w:rPr>
        <w:t>万元，占</w:t>
      </w:r>
      <w:r>
        <w:rPr>
          <w:rFonts w:hint="eastAsia"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；对附属单位补助支出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w:t>
      </w:r>
      <w:bookmarkEnd w:id="34"/>
    </w:p>
    <w:p w14:paraId="295C731B">
      <w:pPr>
        <w:pStyle w:val="2"/>
      </w:pPr>
    </w:p>
    <w:p w14:paraId="17BAAADE">
      <w:pPr>
        <w:spacing w:line="240" w:lineRule="auto"/>
        <w:jc w:val="center"/>
        <w:rPr>
          <w:rFonts w:hint="eastAsia" w:ascii="仿宋" w:hAnsi="仿宋" w:eastAsia="仿宋"/>
          <w:sz w:val="32"/>
          <w:szCs w:val="32"/>
          <w:lang w:eastAsia="zh-CN"/>
        </w:rPr>
      </w:pPr>
      <w:r>
        <w:drawing>
          <wp:inline distT="0" distB="0" distL="114300" distR="114300">
            <wp:extent cx="4572000" cy="2743200"/>
            <wp:effectExtent l="4445" t="4445" r="14605" b="14605"/>
            <wp:docPr id="10"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0854BF1">
      <w:pPr>
        <w:spacing w:line="600" w:lineRule="exact"/>
        <w:jc w:val="center"/>
        <w:rPr>
          <w:rFonts w:ascii="仿宋" w:hAnsi="仿宋" w:eastAsia="仿宋"/>
          <w:sz w:val="32"/>
          <w:szCs w:val="32"/>
        </w:rPr>
      </w:pPr>
      <w:bookmarkStart w:id="35" w:name="_Toc15548_WPSOffice_Level3"/>
      <w:r>
        <w:rPr>
          <w:rFonts w:hint="eastAsia" w:ascii="仿宋" w:hAnsi="仿宋" w:eastAsia="仿宋"/>
          <w:sz w:val="32"/>
          <w:szCs w:val="32"/>
        </w:rPr>
        <w:t>（图3：支出决算结构图）（饼状图）</w:t>
      </w:r>
      <w:bookmarkEnd w:id="35"/>
    </w:p>
    <w:p w14:paraId="3EB42EF8">
      <w:pPr>
        <w:spacing w:line="600" w:lineRule="exact"/>
        <w:ind w:firstLine="640" w:firstLineChars="200"/>
        <w:rPr>
          <w:rFonts w:ascii="仿宋_GB2312" w:eastAsia="仿宋_GB2312"/>
          <w:sz w:val="32"/>
          <w:szCs w:val="32"/>
        </w:rPr>
      </w:pPr>
    </w:p>
    <w:p w14:paraId="41C44BF8">
      <w:pPr>
        <w:spacing w:line="600" w:lineRule="exact"/>
        <w:ind w:firstLine="640" w:firstLineChars="200"/>
        <w:outlineLvl w:val="1"/>
        <w:rPr>
          <w:rStyle w:val="29"/>
          <w:rFonts w:ascii="黑体" w:hAnsi="黑体" w:eastAsia="黑体"/>
          <w:b w:val="0"/>
        </w:rPr>
      </w:pPr>
      <w:bookmarkStart w:id="36" w:name="_Toc15396606"/>
      <w:bookmarkStart w:id="37" w:name="_Toc15377208"/>
      <w:bookmarkStart w:id="38" w:name="_Toc22568"/>
      <w:r>
        <w:rPr>
          <w:rFonts w:hint="eastAsia" w:ascii="黑体" w:hAnsi="黑体" w:eastAsia="黑体"/>
          <w:sz w:val="32"/>
          <w:szCs w:val="32"/>
        </w:rPr>
        <w:t>四、财</w:t>
      </w:r>
      <w:r>
        <w:rPr>
          <w:rStyle w:val="29"/>
          <w:rFonts w:hint="eastAsia" w:ascii="黑体" w:hAnsi="黑体" w:eastAsia="黑体"/>
          <w:b w:val="0"/>
        </w:rPr>
        <w:t>政拨款收入支出决算总体情况说明</w:t>
      </w:r>
      <w:bookmarkEnd w:id="36"/>
      <w:bookmarkEnd w:id="37"/>
      <w:bookmarkEnd w:id="38"/>
    </w:p>
    <w:p w14:paraId="17E7257A">
      <w:pPr>
        <w:spacing w:line="600" w:lineRule="exact"/>
        <w:ind w:firstLine="640"/>
        <w:rPr>
          <w:rFonts w:hint="eastAsia" w:ascii="仿宋" w:hAnsi="仿宋" w:eastAsia="仿宋"/>
          <w:sz w:val="32"/>
          <w:szCs w:val="32"/>
          <w:lang w:eastAsia="zh-CN"/>
        </w:rPr>
      </w:pPr>
      <w:r>
        <w:rPr>
          <w:rFonts w:hint="eastAsia" w:ascii="仿宋" w:hAnsi="仿宋" w:eastAsia="仿宋"/>
          <w:sz w:val="32"/>
          <w:szCs w:val="32"/>
        </w:rPr>
        <w:t>2023年度财政拨款收、支总计均为</w:t>
      </w:r>
      <w:r>
        <w:rPr>
          <w:rFonts w:ascii="仿宋" w:hAnsi="仿宋" w:eastAsia="仿宋"/>
          <w:b/>
          <w:sz w:val="32"/>
          <w:szCs w:val="32"/>
        </w:rPr>
        <w:t>437.51</w:t>
      </w:r>
      <w:r>
        <w:rPr>
          <w:rFonts w:hint="eastAsia" w:ascii="仿宋" w:hAnsi="仿宋" w:eastAsia="仿宋"/>
          <w:sz w:val="32"/>
          <w:szCs w:val="32"/>
        </w:rPr>
        <w:t>万元。与2022年度相比，财政拨款收、支总计各增加</w:t>
      </w:r>
      <w:r>
        <w:rPr>
          <w:rFonts w:hint="eastAsia" w:ascii="仿宋" w:hAnsi="仿宋" w:eastAsia="仿宋"/>
          <w:sz w:val="32"/>
          <w:szCs w:val="32"/>
          <w:lang w:val="en-US" w:eastAsia="zh-CN"/>
        </w:rPr>
        <w:t>57.15</w:t>
      </w:r>
      <w:r>
        <w:rPr>
          <w:rFonts w:hint="eastAsia" w:ascii="仿宋" w:hAnsi="仿宋" w:eastAsia="仿宋"/>
          <w:sz w:val="32"/>
          <w:szCs w:val="32"/>
        </w:rPr>
        <w:t>万元，增长</w:t>
      </w:r>
      <w:r>
        <w:rPr>
          <w:rFonts w:hint="eastAsia" w:ascii="仿宋" w:hAnsi="仿宋" w:eastAsia="仿宋"/>
          <w:sz w:val="32"/>
          <w:szCs w:val="32"/>
          <w:lang w:val="en-US" w:eastAsia="zh-CN"/>
        </w:rPr>
        <w:t>15.03</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单位人员增加，支出增加。</w:t>
      </w:r>
    </w:p>
    <w:p w14:paraId="5AC5F611">
      <w:pPr>
        <w:pStyle w:val="2"/>
        <w:rPr>
          <w:rFonts w:hint="eastAsia"/>
          <w:lang w:eastAsia="zh-CN"/>
        </w:rPr>
      </w:pPr>
    </w:p>
    <w:p w14:paraId="18AFB357">
      <w:pPr>
        <w:pStyle w:val="2"/>
        <w:jc w:val="center"/>
      </w:pPr>
      <w:r>
        <w:drawing>
          <wp:inline distT="0" distB="0" distL="114300" distR="114300">
            <wp:extent cx="4572000" cy="2743200"/>
            <wp:effectExtent l="4445" t="4445" r="14605" b="14605"/>
            <wp:docPr id="11"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043F043">
      <w:pPr>
        <w:spacing w:line="600" w:lineRule="exact"/>
        <w:ind w:firstLine="640" w:firstLineChars="200"/>
        <w:rPr>
          <w:rFonts w:ascii="仿宋" w:hAnsi="仿宋" w:eastAsia="仿宋"/>
          <w:sz w:val="32"/>
          <w:szCs w:val="32"/>
        </w:rPr>
      </w:pPr>
      <w:r>
        <w:rPr>
          <w:rFonts w:hint="eastAsia" w:ascii="仿宋" w:hAnsi="仿宋" w:eastAsia="仿宋"/>
          <w:sz w:val="32"/>
          <w:szCs w:val="32"/>
        </w:rPr>
        <w:t>（图4：财政拨款收、支决算总计变动情况）（柱状图）</w:t>
      </w:r>
    </w:p>
    <w:p w14:paraId="530F107E">
      <w:pPr>
        <w:spacing w:line="600" w:lineRule="exact"/>
        <w:ind w:firstLine="640"/>
        <w:rPr>
          <w:rFonts w:ascii="仿宋" w:hAnsi="仿宋" w:eastAsia="仿宋"/>
          <w:b/>
          <w:sz w:val="32"/>
          <w:szCs w:val="32"/>
        </w:rPr>
      </w:pPr>
    </w:p>
    <w:p w14:paraId="60227C6C">
      <w:pPr>
        <w:spacing w:line="600" w:lineRule="exact"/>
        <w:ind w:firstLine="640" w:firstLineChars="200"/>
        <w:outlineLvl w:val="1"/>
        <w:rPr>
          <w:rStyle w:val="29"/>
          <w:rFonts w:ascii="黑体" w:hAnsi="黑体" w:eastAsia="黑体"/>
          <w:b w:val="0"/>
        </w:rPr>
      </w:pPr>
      <w:bookmarkStart w:id="39" w:name="_Toc15396607"/>
      <w:bookmarkStart w:id="40" w:name="_Toc20605"/>
      <w:bookmarkStart w:id="41" w:name="_Toc15377209"/>
      <w:r>
        <w:rPr>
          <w:rFonts w:hint="eastAsia" w:ascii="黑体" w:hAnsi="黑体" w:eastAsia="黑体"/>
          <w:sz w:val="32"/>
          <w:szCs w:val="32"/>
        </w:rPr>
        <w:t>五、</w:t>
      </w:r>
      <w:r>
        <w:rPr>
          <w:rFonts w:hint="eastAsia" w:ascii="黑体" w:hAnsi="黑体" w:eastAsia="黑体"/>
          <w:b/>
          <w:sz w:val="32"/>
          <w:szCs w:val="32"/>
        </w:rPr>
        <w:t>一</w:t>
      </w:r>
      <w:r>
        <w:rPr>
          <w:rStyle w:val="29"/>
          <w:rFonts w:hint="eastAsia" w:ascii="黑体" w:hAnsi="黑体" w:eastAsia="黑体"/>
          <w:b w:val="0"/>
        </w:rPr>
        <w:t>般公共预算财政拨款支出决算情况说明</w:t>
      </w:r>
      <w:bookmarkEnd w:id="39"/>
      <w:bookmarkEnd w:id="40"/>
      <w:bookmarkEnd w:id="41"/>
    </w:p>
    <w:p w14:paraId="607CD07A">
      <w:pPr>
        <w:spacing w:line="600" w:lineRule="exact"/>
        <w:ind w:firstLine="643" w:firstLineChars="200"/>
        <w:outlineLvl w:val="2"/>
        <w:rPr>
          <w:rFonts w:ascii="仿宋" w:hAnsi="仿宋" w:eastAsia="仿宋"/>
          <w:b/>
          <w:sz w:val="32"/>
          <w:szCs w:val="32"/>
        </w:rPr>
      </w:pPr>
      <w:bookmarkStart w:id="42" w:name="_Toc15377210"/>
      <w:bookmarkStart w:id="43" w:name="_Toc17236"/>
      <w:r>
        <w:rPr>
          <w:rFonts w:hint="eastAsia" w:ascii="仿宋" w:hAnsi="仿宋" w:eastAsia="仿宋"/>
          <w:b/>
          <w:sz w:val="32"/>
          <w:szCs w:val="32"/>
        </w:rPr>
        <w:t>（一）一般公共预算财政拨款支出决算总体情况</w:t>
      </w:r>
      <w:bookmarkEnd w:id="42"/>
      <w:bookmarkEnd w:id="43"/>
    </w:p>
    <w:p w14:paraId="2EE39837">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2023年度一般公共预算财政拨款支出</w:t>
      </w:r>
      <w:r>
        <w:rPr>
          <w:rFonts w:ascii="仿宋" w:hAnsi="仿宋" w:eastAsia="仿宋"/>
          <w:b/>
          <w:sz w:val="32"/>
          <w:szCs w:val="32"/>
        </w:rPr>
        <w:t>437.51</w:t>
      </w:r>
      <w:r>
        <w:rPr>
          <w:rFonts w:hint="eastAsia" w:ascii="仿宋" w:hAnsi="仿宋" w:eastAsia="仿宋"/>
          <w:sz w:val="32"/>
          <w:szCs w:val="32"/>
        </w:rPr>
        <w:t>万元，占本年支出合计的</w:t>
      </w:r>
      <w:r>
        <w:rPr>
          <w:rFonts w:ascii="仿宋" w:hAnsi="仿宋" w:eastAsia="仿宋"/>
          <w:b/>
          <w:sz w:val="32"/>
          <w:szCs w:val="32"/>
        </w:rPr>
        <w:t>97.43</w:t>
      </w:r>
      <w:r>
        <w:rPr>
          <w:rFonts w:ascii="仿宋" w:hAnsi="仿宋" w:eastAsia="仿宋"/>
          <w:sz w:val="32"/>
          <w:szCs w:val="32"/>
        </w:rPr>
        <w:t>%</w:t>
      </w:r>
      <w:r>
        <w:rPr>
          <w:rFonts w:hint="eastAsia" w:ascii="仿宋" w:hAnsi="仿宋" w:eastAsia="仿宋"/>
          <w:sz w:val="32"/>
          <w:szCs w:val="32"/>
        </w:rPr>
        <w:t>。与2022年度相比，一般公共预算财政拨款支出增加</w:t>
      </w:r>
      <w:r>
        <w:rPr>
          <w:rFonts w:hint="eastAsia" w:ascii="仿宋" w:hAnsi="仿宋" w:eastAsia="仿宋"/>
          <w:sz w:val="32"/>
          <w:szCs w:val="32"/>
          <w:lang w:val="en-US" w:eastAsia="zh-CN"/>
        </w:rPr>
        <w:t>57.15</w:t>
      </w:r>
      <w:r>
        <w:rPr>
          <w:rFonts w:hint="eastAsia" w:ascii="仿宋" w:hAnsi="仿宋" w:eastAsia="仿宋"/>
          <w:sz w:val="32"/>
          <w:szCs w:val="32"/>
        </w:rPr>
        <w:t>万元，增长</w:t>
      </w:r>
      <w:r>
        <w:rPr>
          <w:rFonts w:hint="eastAsia" w:ascii="仿宋" w:hAnsi="仿宋" w:eastAsia="仿宋"/>
          <w:sz w:val="32"/>
          <w:szCs w:val="32"/>
          <w:lang w:val="en-US" w:eastAsia="zh-CN"/>
        </w:rPr>
        <w:t>15.03</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人员增加，单位人员经费支出增加。</w:t>
      </w:r>
    </w:p>
    <w:p w14:paraId="621BF4B4">
      <w:pPr>
        <w:pStyle w:val="2"/>
        <w:jc w:val="center"/>
        <w:rPr>
          <w:rFonts w:hint="eastAsia"/>
          <w:lang w:eastAsia="zh-CN"/>
        </w:rPr>
      </w:pPr>
      <w:r>
        <w:drawing>
          <wp:inline distT="0" distB="0" distL="114300" distR="114300">
            <wp:extent cx="4572000" cy="2743200"/>
            <wp:effectExtent l="4445" t="4445" r="14605" b="1460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367E2F3">
      <w:pPr>
        <w:spacing w:line="600" w:lineRule="exact"/>
        <w:ind w:firstLine="640" w:firstLineChars="200"/>
        <w:jc w:val="center"/>
        <w:rPr>
          <w:rFonts w:ascii="仿宋" w:hAnsi="仿宋" w:eastAsia="仿宋"/>
          <w:sz w:val="32"/>
          <w:szCs w:val="32"/>
        </w:rPr>
      </w:pPr>
      <w:bookmarkStart w:id="44" w:name="_Toc27687_WPSOffice_Level3"/>
      <w:r>
        <w:rPr>
          <w:rFonts w:hint="eastAsia" w:ascii="仿宋" w:hAnsi="仿宋" w:eastAsia="仿宋"/>
          <w:sz w:val="32"/>
          <w:szCs w:val="32"/>
        </w:rPr>
        <w:t>（图5：一般公共预算财政拨款支出决算变动情况）（柱状图）</w:t>
      </w:r>
      <w:bookmarkEnd w:id="44"/>
    </w:p>
    <w:p w14:paraId="3ABE347A">
      <w:pPr>
        <w:spacing w:line="600" w:lineRule="exact"/>
        <w:ind w:firstLine="640" w:firstLineChars="200"/>
        <w:rPr>
          <w:rFonts w:ascii="仿宋" w:hAnsi="仿宋" w:eastAsia="仿宋"/>
          <w:sz w:val="32"/>
          <w:szCs w:val="32"/>
        </w:rPr>
      </w:pPr>
    </w:p>
    <w:p w14:paraId="714881EF">
      <w:pPr>
        <w:spacing w:line="600" w:lineRule="exact"/>
        <w:ind w:firstLine="643" w:firstLineChars="200"/>
        <w:outlineLvl w:val="2"/>
        <w:rPr>
          <w:rFonts w:ascii="仿宋" w:hAnsi="仿宋" w:eastAsia="仿宋"/>
          <w:b/>
          <w:sz w:val="32"/>
          <w:szCs w:val="32"/>
        </w:rPr>
      </w:pPr>
      <w:bookmarkStart w:id="45" w:name="_Toc16122"/>
      <w:bookmarkStart w:id="46" w:name="_Toc15377211"/>
      <w:r>
        <w:rPr>
          <w:rFonts w:hint="eastAsia" w:ascii="仿宋" w:hAnsi="仿宋" w:eastAsia="仿宋"/>
          <w:b/>
          <w:sz w:val="32"/>
          <w:szCs w:val="32"/>
        </w:rPr>
        <w:t>（二）一般公共预算财政拨款支出决算结构情况</w:t>
      </w:r>
      <w:bookmarkEnd w:id="45"/>
      <w:bookmarkEnd w:id="46"/>
    </w:p>
    <w:p w14:paraId="218EF35E">
      <w:pPr>
        <w:spacing w:line="600" w:lineRule="exact"/>
        <w:ind w:firstLine="640"/>
        <w:rPr>
          <w:rFonts w:hint="eastAsia" w:ascii="仿宋" w:hAnsi="仿宋" w:eastAsia="仿宋"/>
          <w:sz w:val="32"/>
          <w:szCs w:val="32"/>
        </w:rPr>
      </w:pPr>
      <w:r>
        <w:rPr>
          <w:rFonts w:hint="eastAsia" w:ascii="仿宋" w:hAnsi="仿宋" w:eastAsia="仿宋"/>
          <w:sz w:val="32"/>
          <w:szCs w:val="32"/>
        </w:rPr>
        <w:t>2023年度一般公共预算财政拨款支出437.51万元，主要用于以下方面</w:t>
      </w:r>
      <w:r>
        <w:rPr>
          <w:rFonts w:hint="eastAsia" w:ascii="仿宋" w:hAnsi="仿宋" w:eastAsia="仿宋"/>
          <w:sz w:val="32"/>
          <w:szCs w:val="32"/>
          <w:lang w:eastAsia="zh-CN"/>
        </w:rPr>
        <w:t>：</w:t>
      </w:r>
      <w:r>
        <w:rPr>
          <w:rFonts w:hint="eastAsia" w:ascii="仿宋" w:hAnsi="仿宋" w:eastAsia="仿宋"/>
          <w:sz w:val="32"/>
          <w:szCs w:val="32"/>
        </w:rPr>
        <w:t>一般公共服务支出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%；教育支出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%；科学技术支出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%；文化旅游体育与传媒支出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%；社会保障和就业支出</w:t>
      </w:r>
      <w:r>
        <w:rPr>
          <w:rFonts w:hint="eastAsia" w:ascii="仿宋" w:hAnsi="仿宋" w:eastAsia="仿宋"/>
          <w:sz w:val="32"/>
          <w:szCs w:val="32"/>
          <w:lang w:val="en-US" w:eastAsia="zh-CN"/>
        </w:rPr>
        <w:t>59.72</w:t>
      </w:r>
      <w:r>
        <w:rPr>
          <w:rFonts w:hint="eastAsia" w:ascii="仿宋" w:hAnsi="仿宋" w:eastAsia="仿宋"/>
          <w:sz w:val="32"/>
          <w:szCs w:val="32"/>
        </w:rPr>
        <w:t>万元，占</w:t>
      </w:r>
      <w:r>
        <w:rPr>
          <w:rFonts w:hint="eastAsia" w:ascii="仿宋" w:hAnsi="仿宋" w:eastAsia="仿宋"/>
          <w:sz w:val="32"/>
          <w:szCs w:val="32"/>
          <w:lang w:val="en-US" w:eastAsia="zh-CN"/>
        </w:rPr>
        <w:t>13.65</w:t>
      </w:r>
      <w:r>
        <w:rPr>
          <w:rFonts w:hint="eastAsia" w:ascii="仿宋" w:hAnsi="仿宋" w:eastAsia="仿宋"/>
          <w:sz w:val="32"/>
          <w:szCs w:val="32"/>
        </w:rPr>
        <w:t>%；卫生健康支出</w:t>
      </w:r>
      <w:r>
        <w:rPr>
          <w:rFonts w:hint="eastAsia" w:ascii="仿宋" w:hAnsi="仿宋" w:eastAsia="仿宋"/>
          <w:sz w:val="32"/>
          <w:szCs w:val="32"/>
          <w:lang w:val="en-US" w:eastAsia="zh-CN"/>
        </w:rPr>
        <w:t>346.53</w:t>
      </w:r>
      <w:r>
        <w:rPr>
          <w:rFonts w:hint="eastAsia" w:ascii="仿宋" w:hAnsi="仿宋" w:eastAsia="仿宋"/>
          <w:sz w:val="32"/>
          <w:szCs w:val="32"/>
        </w:rPr>
        <w:t>万元，占</w:t>
      </w:r>
      <w:r>
        <w:rPr>
          <w:rFonts w:hint="eastAsia" w:ascii="仿宋" w:hAnsi="仿宋" w:eastAsia="仿宋"/>
          <w:sz w:val="32"/>
          <w:szCs w:val="32"/>
          <w:lang w:val="en-US" w:eastAsia="zh-CN"/>
        </w:rPr>
        <w:t>79.21</w:t>
      </w:r>
      <w:r>
        <w:rPr>
          <w:rFonts w:hint="eastAsia" w:ascii="仿宋" w:hAnsi="仿宋" w:eastAsia="仿宋"/>
          <w:sz w:val="32"/>
          <w:szCs w:val="32"/>
        </w:rPr>
        <w:t>%；住房保障支出</w:t>
      </w:r>
      <w:r>
        <w:rPr>
          <w:rFonts w:hint="eastAsia" w:ascii="仿宋" w:hAnsi="仿宋" w:eastAsia="仿宋"/>
          <w:sz w:val="32"/>
          <w:szCs w:val="32"/>
          <w:lang w:val="en-US" w:eastAsia="zh-CN"/>
        </w:rPr>
        <w:t>31.26</w:t>
      </w:r>
      <w:r>
        <w:rPr>
          <w:rFonts w:hint="eastAsia" w:ascii="仿宋" w:hAnsi="仿宋" w:eastAsia="仿宋"/>
          <w:sz w:val="32"/>
          <w:szCs w:val="32"/>
        </w:rPr>
        <w:t>万元，占</w:t>
      </w:r>
      <w:r>
        <w:rPr>
          <w:rFonts w:hint="eastAsia" w:ascii="仿宋" w:hAnsi="仿宋" w:eastAsia="仿宋"/>
          <w:sz w:val="32"/>
          <w:szCs w:val="32"/>
          <w:lang w:val="en-US" w:eastAsia="zh-CN"/>
        </w:rPr>
        <w:t>7.14</w:t>
      </w:r>
      <w:r>
        <w:rPr>
          <w:rFonts w:hint="eastAsia" w:ascii="仿宋" w:hAnsi="仿宋" w:eastAsia="仿宋"/>
          <w:sz w:val="32"/>
          <w:szCs w:val="32"/>
        </w:rPr>
        <w:t>%。</w:t>
      </w:r>
    </w:p>
    <w:p w14:paraId="5501DB6C">
      <w:pPr>
        <w:pStyle w:val="2"/>
        <w:rPr>
          <w:rFonts w:hint="eastAsia"/>
        </w:rPr>
      </w:pPr>
    </w:p>
    <w:p w14:paraId="068C5C93">
      <w:pPr>
        <w:pStyle w:val="2"/>
        <w:jc w:val="center"/>
        <w:rPr>
          <w:rFonts w:hint="eastAsia" w:eastAsia="仿宋"/>
          <w:lang w:eastAsia="zh-CN"/>
        </w:rPr>
      </w:pPr>
      <w:r>
        <w:drawing>
          <wp:inline distT="0" distB="0" distL="114300" distR="114300">
            <wp:extent cx="4572000" cy="2743200"/>
            <wp:effectExtent l="4445" t="4445" r="14605" b="1460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EC13A40">
      <w:pPr>
        <w:spacing w:line="600" w:lineRule="exact"/>
        <w:ind w:firstLine="640" w:firstLineChars="200"/>
        <w:jc w:val="center"/>
        <w:rPr>
          <w:rFonts w:ascii="仿宋" w:hAnsi="仿宋" w:eastAsia="仿宋"/>
          <w:sz w:val="32"/>
          <w:szCs w:val="32"/>
        </w:rPr>
      </w:pPr>
      <w:bookmarkStart w:id="47" w:name="_Toc9426_WPSOffice_Level3"/>
      <w:r>
        <w:rPr>
          <w:rFonts w:hint="eastAsia" w:ascii="仿宋" w:hAnsi="仿宋" w:eastAsia="仿宋"/>
          <w:sz w:val="32"/>
          <w:szCs w:val="32"/>
        </w:rPr>
        <w:t>（图6：一般公共预算财政拨款支出决算结构）（饼状图）</w:t>
      </w:r>
      <w:bookmarkEnd w:id="47"/>
    </w:p>
    <w:p w14:paraId="5D5AC5BD">
      <w:pPr>
        <w:spacing w:line="600" w:lineRule="exact"/>
        <w:ind w:firstLine="640" w:firstLineChars="200"/>
        <w:rPr>
          <w:rFonts w:ascii="仿宋" w:hAnsi="仿宋" w:eastAsia="仿宋"/>
          <w:sz w:val="32"/>
          <w:szCs w:val="32"/>
        </w:rPr>
      </w:pPr>
    </w:p>
    <w:p w14:paraId="578F4A4A">
      <w:pPr>
        <w:spacing w:line="600" w:lineRule="exact"/>
        <w:ind w:firstLine="643" w:firstLineChars="200"/>
        <w:outlineLvl w:val="2"/>
        <w:rPr>
          <w:rFonts w:ascii="仿宋" w:hAnsi="仿宋" w:eastAsia="仿宋"/>
          <w:b/>
          <w:sz w:val="32"/>
          <w:szCs w:val="32"/>
        </w:rPr>
      </w:pPr>
      <w:bookmarkStart w:id="48" w:name="_Toc22640"/>
      <w:bookmarkStart w:id="49" w:name="_Toc15377212"/>
      <w:r>
        <w:rPr>
          <w:rFonts w:hint="eastAsia" w:ascii="仿宋" w:hAnsi="仿宋" w:eastAsia="仿宋"/>
          <w:b/>
          <w:sz w:val="32"/>
          <w:szCs w:val="32"/>
        </w:rPr>
        <w:t>（三）一般公共预算财政拨款支出决算具体情况</w:t>
      </w:r>
      <w:bookmarkEnd w:id="48"/>
      <w:bookmarkEnd w:id="49"/>
    </w:p>
    <w:p w14:paraId="4C2B8312">
      <w:pPr>
        <w:spacing w:line="600" w:lineRule="exact"/>
        <w:ind w:firstLine="643" w:firstLineChars="200"/>
        <w:outlineLvl w:val="2"/>
        <w:rPr>
          <w:rFonts w:ascii="仿宋" w:hAnsi="仿宋" w:eastAsia="仿宋"/>
          <w:sz w:val="32"/>
          <w:szCs w:val="32"/>
        </w:rPr>
      </w:pPr>
      <w:bookmarkStart w:id="50" w:name="_Toc15378460"/>
      <w:bookmarkStart w:id="51" w:name="_Toc15377444"/>
      <w:bookmarkStart w:id="52" w:name="_Toc15377213"/>
      <w:bookmarkStart w:id="53" w:name="_Toc3081"/>
      <w:r>
        <w:rPr>
          <w:rFonts w:hint="eastAsia" w:ascii="仿宋" w:hAnsi="仿宋" w:eastAsia="仿宋"/>
          <w:b/>
          <w:sz w:val="32"/>
          <w:szCs w:val="32"/>
        </w:rPr>
        <w:t>2023年度一般公共预算支出决算数为</w:t>
      </w:r>
      <w:r>
        <w:rPr>
          <w:rFonts w:ascii="仿宋" w:hAnsi="仿宋" w:eastAsia="仿宋"/>
          <w:b/>
          <w:sz w:val="32"/>
          <w:szCs w:val="32"/>
        </w:rPr>
        <w:t>437.51</w:t>
      </w:r>
      <w:r>
        <w:rPr>
          <w:rFonts w:hint="eastAsia" w:ascii="仿宋" w:hAnsi="仿宋" w:eastAsia="仿宋"/>
          <w:sz w:val="32"/>
          <w:szCs w:val="32"/>
        </w:rPr>
        <w:t>，</w:t>
      </w:r>
      <w:r>
        <w:rPr>
          <w:rStyle w:val="17"/>
          <w:rFonts w:hint="eastAsia" w:ascii="仿宋" w:hAnsi="仿宋" w:eastAsia="仿宋"/>
          <w:bCs/>
          <w:sz w:val="32"/>
          <w:szCs w:val="32"/>
        </w:rPr>
        <w:t>完成预算</w:t>
      </w:r>
      <w:r>
        <w:rPr>
          <w:rStyle w:val="17"/>
          <w:rFonts w:hint="eastAsia" w:ascii="仿宋" w:hAnsi="仿宋" w:eastAsia="仿宋"/>
          <w:bCs/>
          <w:sz w:val="32"/>
          <w:szCs w:val="32"/>
          <w:lang w:val="en-US" w:eastAsia="zh-CN"/>
        </w:rPr>
        <w:t>100</w:t>
      </w:r>
      <w:r>
        <w:rPr>
          <w:rStyle w:val="17"/>
          <w:rFonts w:ascii="仿宋" w:hAnsi="仿宋" w:eastAsia="仿宋"/>
          <w:bCs/>
          <w:sz w:val="32"/>
          <w:szCs w:val="32"/>
        </w:rPr>
        <w:t>%</w:t>
      </w:r>
      <w:r>
        <w:rPr>
          <w:rStyle w:val="17"/>
          <w:rFonts w:hint="eastAsia" w:ascii="仿宋" w:hAnsi="仿宋" w:eastAsia="仿宋"/>
          <w:bCs/>
          <w:sz w:val="32"/>
          <w:szCs w:val="32"/>
        </w:rPr>
        <w:t>。其中：</w:t>
      </w:r>
      <w:bookmarkEnd w:id="50"/>
      <w:bookmarkEnd w:id="51"/>
      <w:bookmarkEnd w:id="52"/>
      <w:bookmarkEnd w:id="53"/>
    </w:p>
    <w:p w14:paraId="1BCD3C33">
      <w:pPr>
        <w:numPr>
          <w:ilvl w:val="0"/>
          <w:numId w:val="3"/>
        </w:numPr>
        <w:spacing w:line="600" w:lineRule="exact"/>
        <w:ind w:firstLine="640" w:firstLineChars="200"/>
        <w:rPr>
          <w:rStyle w:val="17"/>
          <w:rFonts w:hint="eastAsia" w:ascii="仿宋" w:hAnsi="仿宋" w:eastAsia="仿宋" w:cs="Times New Roman"/>
          <w:b w:val="0"/>
          <w:bCs/>
          <w:kern w:val="2"/>
          <w:sz w:val="32"/>
          <w:szCs w:val="32"/>
          <w:lang w:val="en-US" w:eastAsia="zh-CN" w:bidi="ar-SA"/>
        </w:rPr>
      </w:pPr>
      <w:r>
        <w:rPr>
          <w:rStyle w:val="17"/>
          <w:rFonts w:hint="eastAsia" w:ascii="仿宋" w:hAnsi="仿宋" w:eastAsia="仿宋" w:cs="Times New Roman"/>
          <w:b w:val="0"/>
          <w:bCs/>
          <w:kern w:val="2"/>
          <w:sz w:val="32"/>
          <w:szCs w:val="32"/>
          <w:lang w:val="en-US" w:eastAsia="zh-CN" w:bidi="ar-SA"/>
        </w:rPr>
        <w:t>社会保障和就业（208）人力资源和社会保障管理事务（20801）其他人力资源和社会保障管理事务支出（2080199）： 支出决算为5.66万元，完成预算100%。</w:t>
      </w:r>
    </w:p>
    <w:p w14:paraId="2D9D5453">
      <w:pPr>
        <w:numPr>
          <w:ilvl w:val="0"/>
          <w:numId w:val="3"/>
        </w:numPr>
        <w:spacing w:line="600" w:lineRule="exact"/>
        <w:ind w:left="0" w:leftChars="0" w:firstLine="640" w:firstLineChars="200"/>
        <w:rPr>
          <w:rStyle w:val="17"/>
          <w:rFonts w:hint="eastAsia" w:ascii="仿宋" w:hAnsi="仿宋" w:eastAsia="仿宋" w:cs="Times New Roman"/>
          <w:b w:val="0"/>
          <w:bCs/>
          <w:kern w:val="2"/>
          <w:sz w:val="32"/>
          <w:szCs w:val="32"/>
          <w:lang w:val="en-US" w:eastAsia="zh-CN" w:bidi="ar-SA"/>
        </w:rPr>
      </w:pPr>
      <w:r>
        <w:rPr>
          <w:rStyle w:val="17"/>
          <w:rFonts w:hint="eastAsia" w:ascii="仿宋" w:hAnsi="仿宋" w:eastAsia="仿宋" w:cs="Times New Roman"/>
          <w:b w:val="0"/>
          <w:bCs/>
          <w:kern w:val="2"/>
          <w:sz w:val="32"/>
          <w:szCs w:val="32"/>
          <w:lang w:val="en-US" w:eastAsia="zh-CN" w:bidi="ar-SA"/>
        </w:rPr>
        <w:t>社会保障和就业（208）行政事业单位养老支出（20805）机关事业单位基本养老保险缴费支出（2080505）： 支出决算为35.96万元，完成预算100%。</w:t>
      </w:r>
    </w:p>
    <w:p w14:paraId="050ACDAB">
      <w:pPr>
        <w:numPr>
          <w:ilvl w:val="0"/>
          <w:numId w:val="3"/>
        </w:numPr>
        <w:spacing w:line="600" w:lineRule="exact"/>
        <w:ind w:left="0" w:leftChars="0" w:firstLine="640" w:firstLineChars="200"/>
        <w:rPr>
          <w:rStyle w:val="17"/>
          <w:rFonts w:hint="eastAsia" w:ascii="仿宋" w:hAnsi="仿宋" w:eastAsia="仿宋" w:cs="Times New Roman"/>
          <w:b w:val="0"/>
          <w:bCs/>
          <w:kern w:val="2"/>
          <w:sz w:val="32"/>
          <w:szCs w:val="32"/>
          <w:lang w:val="en-US" w:eastAsia="zh-CN" w:bidi="ar-SA"/>
        </w:rPr>
      </w:pPr>
      <w:r>
        <w:rPr>
          <w:rStyle w:val="17"/>
          <w:rFonts w:hint="eastAsia" w:ascii="仿宋" w:hAnsi="仿宋" w:eastAsia="仿宋" w:cs="Times New Roman"/>
          <w:b w:val="0"/>
          <w:bCs/>
          <w:kern w:val="2"/>
          <w:sz w:val="32"/>
          <w:szCs w:val="32"/>
          <w:lang w:val="en-US" w:eastAsia="zh-CN" w:bidi="ar-SA"/>
        </w:rPr>
        <w:t>社会保障和就业（208）行政事业单位养老支出（20805）机关事业单位基本职业年金缴费支出（2080506）： 支出决算为18.09万元，完成预算100%。</w:t>
      </w:r>
    </w:p>
    <w:p w14:paraId="114D253A">
      <w:pPr>
        <w:numPr>
          <w:ilvl w:val="0"/>
          <w:numId w:val="3"/>
        </w:numPr>
        <w:spacing w:line="600" w:lineRule="exact"/>
        <w:ind w:left="0" w:leftChars="0" w:firstLine="640" w:firstLineChars="200"/>
        <w:rPr>
          <w:rStyle w:val="17"/>
          <w:rFonts w:hint="eastAsia" w:ascii="仿宋" w:hAnsi="仿宋" w:eastAsia="仿宋" w:cs="Times New Roman"/>
          <w:b w:val="0"/>
          <w:bCs/>
          <w:kern w:val="2"/>
          <w:sz w:val="32"/>
          <w:szCs w:val="32"/>
          <w:lang w:val="en-US" w:eastAsia="zh-CN" w:bidi="ar-SA"/>
        </w:rPr>
      </w:pPr>
      <w:r>
        <w:rPr>
          <w:rStyle w:val="17"/>
          <w:rFonts w:hint="eastAsia" w:ascii="仿宋" w:hAnsi="仿宋" w:eastAsia="仿宋" w:cs="Times New Roman"/>
          <w:b w:val="0"/>
          <w:bCs/>
          <w:kern w:val="2"/>
          <w:sz w:val="32"/>
          <w:szCs w:val="32"/>
          <w:lang w:val="en-US" w:eastAsia="zh-CN" w:bidi="ar-SA"/>
        </w:rPr>
        <w:t xml:space="preserve">卫生健康（210）基层医疗卫生机构（21003）乡镇卫生院（2100302）：支出决算为285.98万元，完成预算100%。    </w:t>
      </w:r>
    </w:p>
    <w:p w14:paraId="39A85E49">
      <w:pPr>
        <w:numPr>
          <w:ilvl w:val="0"/>
          <w:numId w:val="3"/>
        </w:numPr>
        <w:spacing w:line="600" w:lineRule="exact"/>
        <w:ind w:left="0" w:leftChars="0" w:firstLine="640" w:firstLineChars="200"/>
        <w:rPr>
          <w:rStyle w:val="17"/>
          <w:rFonts w:hint="eastAsia" w:ascii="仿宋" w:hAnsi="仿宋" w:eastAsia="仿宋" w:cs="Times New Roman"/>
          <w:b w:val="0"/>
          <w:bCs/>
          <w:kern w:val="2"/>
          <w:sz w:val="32"/>
          <w:szCs w:val="32"/>
          <w:lang w:val="en-US" w:eastAsia="zh-CN" w:bidi="ar-SA"/>
        </w:rPr>
      </w:pPr>
      <w:r>
        <w:rPr>
          <w:rStyle w:val="17"/>
          <w:rFonts w:hint="eastAsia" w:ascii="仿宋" w:hAnsi="仿宋" w:eastAsia="仿宋" w:cs="Times New Roman"/>
          <w:b w:val="0"/>
          <w:bCs/>
          <w:kern w:val="2"/>
          <w:sz w:val="32"/>
          <w:szCs w:val="32"/>
          <w:lang w:val="en-US" w:eastAsia="zh-CN" w:bidi="ar-SA"/>
        </w:rPr>
        <w:t>卫生健康（210）基层医疗卫生机构（21003）其他基层医疗卫生机构支出（2100399）：支出决算为7.09万元，完成预算100%。</w:t>
      </w:r>
    </w:p>
    <w:p w14:paraId="1C30911E">
      <w:pPr>
        <w:numPr>
          <w:ilvl w:val="0"/>
          <w:numId w:val="3"/>
        </w:numPr>
        <w:spacing w:line="600" w:lineRule="exact"/>
        <w:ind w:left="0" w:leftChars="0" w:firstLine="640" w:firstLineChars="200"/>
        <w:rPr>
          <w:rStyle w:val="17"/>
          <w:rFonts w:hint="eastAsia" w:ascii="仿宋" w:hAnsi="仿宋" w:eastAsia="仿宋" w:cs="Times New Roman"/>
          <w:b w:val="0"/>
          <w:bCs/>
          <w:kern w:val="2"/>
          <w:sz w:val="32"/>
          <w:szCs w:val="32"/>
          <w:lang w:val="en-US" w:eastAsia="zh-CN" w:bidi="ar-SA"/>
        </w:rPr>
      </w:pPr>
      <w:r>
        <w:rPr>
          <w:rStyle w:val="17"/>
          <w:rFonts w:hint="eastAsia" w:ascii="仿宋" w:hAnsi="仿宋" w:eastAsia="仿宋" w:cs="Times New Roman"/>
          <w:b w:val="0"/>
          <w:bCs/>
          <w:kern w:val="2"/>
          <w:sz w:val="32"/>
          <w:szCs w:val="32"/>
          <w:lang w:val="en-US" w:eastAsia="zh-CN" w:bidi="ar-SA"/>
        </w:rPr>
        <w:t>卫生健康（210）公共卫生（21004）基本公共卫生服务（2100408）：支出决算为33.30万元，完成预算100%。</w:t>
      </w:r>
    </w:p>
    <w:p w14:paraId="44972172">
      <w:pPr>
        <w:numPr>
          <w:ilvl w:val="0"/>
          <w:numId w:val="0"/>
        </w:numPr>
        <w:spacing w:line="600" w:lineRule="exact"/>
        <w:ind w:firstLine="640" w:firstLineChars="200"/>
        <w:rPr>
          <w:rStyle w:val="17"/>
          <w:rFonts w:hint="eastAsia" w:ascii="仿宋" w:hAnsi="仿宋" w:eastAsia="仿宋" w:cs="Times New Roman"/>
          <w:b w:val="0"/>
          <w:bCs/>
          <w:kern w:val="2"/>
          <w:sz w:val="32"/>
          <w:szCs w:val="32"/>
          <w:lang w:val="en-US" w:eastAsia="zh-CN" w:bidi="ar-SA"/>
        </w:rPr>
      </w:pPr>
      <w:r>
        <w:rPr>
          <w:rStyle w:val="17"/>
          <w:rFonts w:hint="eastAsia" w:ascii="仿宋" w:hAnsi="仿宋" w:eastAsia="仿宋" w:cs="Times New Roman"/>
          <w:b w:val="0"/>
          <w:bCs/>
          <w:kern w:val="2"/>
          <w:sz w:val="32"/>
          <w:szCs w:val="32"/>
          <w:lang w:val="en-US" w:eastAsia="zh-CN" w:bidi="ar-SA"/>
        </w:rPr>
        <w:t>7.卫生健康（210）行政事业单位医疗（21011）事业单位医疗（2101102）：支出决算为15.94万元，完成预算100%。</w:t>
      </w:r>
    </w:p>
    <w:p w14:paraId="0A0B36DE">
      <w:pPr>
        <w:numPr>
          <w:ilvl w:val="0"/>
          <w:numId w:val="0"/>
        </w:numPr>
        <w:spacing w:line="600" w:lineRule="exact"/>
        <w:ind w:firstLine="640" w:firstLineChars="200"/>
        <w:rPr>
          <w:rStyle w:val="17"/>
          <w:rFonts w:hint="eastAsia" w:ascii="仿宋" w:hAnsi="仿宋" w:eastAsia="仿宋" w:cs="Times New Roman"/>
          <w:b w:val="0"/>
          <w:bCs/>
          <w:kern w:val="2"/>
          <w:sz w:val="32"/>
          <w:szCs w:val="32"/>
          <w:lang w:val="en-US" w:eastAsia="zh-CN" w:bidi="ar-SA"/>
        </w:rPr>
      </w:pPr>
      <w:r>
        <w:rPr>
          <w:rStyle w:val="17"/>
          <w:rFonts w:hint="eastAsia" w:ascii="仿宋" w:hAnsi="仿宋" w:eastAsia="仿宋" w:cs="Times New Roman"/>
          <w:b w:val="0"/>
          <w:bCs/>
          <w:kern w:val="2"/>
          <w:sz w:val="32"/>
          <w:szCs w:val="32"/>
          <w:lang w:val="en-US" w:eastAsia="zh-CN" w:bidi="ar-SA"/>
        </w:rPr>
        <w:t>8.卫生健康（210）行政事业单位医疗（21011）其他事业单位医疗支出（2101199）：支出决算为4.22万元，完成预算100%。</w:t>
      </w:r>
    </w:p>
    <w:p w14:paraId="44DBF80E">
      <w:pPr>
        <w:spacing w:line="600" w:lineRule="exact"/>
        <w:ind w:firstLine="640" w:firstLineChars="200"/>
        <w:rPr>
          <w:rStyle w:val="17"/>
          <w:rFonts w:hint="eastAsia" w:ascii="仿宋" w:hAnsi="仿宋" w:eastAsia="仿宋" w:cs="Times New Roman"/>
          <w:b w:val="0"/>
          <w:bCs/>
          <w:kern w:val="2"/>
          <w:sz w:val="32"/>
          <w:szCs w:val="32"/>
          <w:lang w:val="en-US" w:eastAsia="zh-CN" w:bidi="ar-SA"/>
        </w:rPr>
      </w:pPr>
      <w:r>
        <w:rPr>
          <w:rStyle w:val="17"/>
          <w:rFonts w:hint="eastAsia" w:ascii="仿宋" w:hAnsi="仿宋" w:eastAsia="仿宋" w:cs="Times New Roman"/>
          <w:b w:val="0"/>
          <w:bCs/>
          <w:kern w:val="2"/>
          <w:sz w:val="32"/>
          <w:szCs w:val="32"/>
          <w:lang w:val="en-US" w:eastAsia="zh-CN" w:bidi="ar-SA"/>
        </w:rPr>
        <w:t>9.住房保障支出（221）住房改革支出（22102）住房公积金（2210201）： 支出决算为31.26万元，完成预算100%。</w:t>
      </w:r>
    </w:p>
    <w:p w14:paraId="29204599">
      <w:pPr>
        <w:tabs>
          <w:tab w:val="right" w:pos="8306"/>
        </w:tabs>
        <w:spacing w:line="600" w:lineRule="exact"/>
        <w:ind w:firstLine="640"/>
        <w:outlineLvl w:val="1"/>
        <w:rPr>
          <w:rFonts w:hint="eastAsia" w:ascii="黑体" w:eastAsia="黑体"/>
          <w:sz w:val="32"/>
          <w:szCs w:val="32"/>
        </w:rPr>
      </w:pPr>
      <w:bookmarkStart w:id="54" w:name="_Toc15377214"/>
      <w:bookmarkStart w:id="55" w:name="_Toc15396608"/>
    </w:p>
    <w:p w14:paraId="41CEFD9E">
      <w:pPr>
        <w:tabs>
          <w:tab w:val="right" w:pos="8306"/>
        </w:tabs>
        <w:spacing w:line="600" w:lineRule="exact"/>
        <w:ind w:firstLine="640"/>
        <w:outlineLvl w:val="1"/>
        <w:rPr>
          <w:rStyle w:val="29"/>
        </w:rPr>
      </w:pPr>
      <w:bookmarkStart w:id="56" w:name="_Toc16835"/>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9"/>
          <w:rFonts w:hint="eastAsia" w:ascii="黑体" w:hAnsi="黑体" w:eastAsia="黑体"/>
          <w:b w:val="0"/>
        </w:rPr>
        <w:t>般公共预算财政拨款基本支出决算情况说明</w:t>
      </w:r>
      <w:bookmarkEnd w:id="54"/>
      <w:bookmarkEnd w:id="55"/>
      <w:bookmarkEnd w:id="56"/>
      <w:r>
        <w:rPr>
          <w:rStyle w:val="29"/>
          <w:rFonts w:ascii="黑体" w:hAnsi="黑体" w:eastAsia="黑体"/>
          <w:b w:val="0"/>
        </w:rPr>
        <w:tab/>
      </w:r>
    </w:p>
    <w:p w14:paraId="5A3EA1C6">
      <w:pPr>
        <w:spacing w:line="600" w:lineRule="exact"/>
        <w:ind w:firstLine="645"/>
        <w:rPr>
          <w:rFonts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b/>
          <w:sz w:val="32"/>
          <w:szCs w:val="32"/>
        </w:rPr>
        <w:t>391.46</w:t>
      </w:r>
      <w:r>
        <w:rPr>
          <w:rFonts w:hint="eastAsia" w:ascii="仿宋" w:hAnsi="仿宋" w:eastAsia="仿宋"/>
          <w:sz w:val="32"/>
          <w:szCs w:val="32"/>
        </w:rPr>
        <w:t>万元，其中：</w:t>
      </w:r>
    </w:p>
    <w:p w14:paraId="6923179B">
      <w:pPr>
        <w:spacing w:line="600" w:lineRule="exact"/>
        <w:ind w:firstLine="645"/>
        <w:rPr>
          <w:rFonts w:ascii="仿宋" w:hAnsi="仿宋" w:eastAsia="仿宋"/>
          <w:b/>
          <w:sz w:val="32"/>
          <w:szCs w:val="32"/>
        </w:rPr>
      </w:pPr>
      <w:r>
        <w:rPr>
          <w:rFonts w:hint="eastAsia" w:ascii="仿宋" w:hAnsi="仿宋" w:eastAsia="仿宋"/>
          <w:sz w:val="32"/>
          <w:szCs w:val="32"/>
        </w:rPr>
        <w:t>人员经费</w:t>
      </w:r>
      <w:r>
        <w:rPr>
          <w:rFonts w:ascii="仿宋" w:hAnsi="仿宋" w:eastAsia="仿宋"/>
          <w:b/>
          <w:sz w:val="32"/>
          <w:szCs w:val="32"/>
        </w:rPr>
        <w:t>388.08</w:t>
      </w:r>
      <w:r>
        <w:rPr>
          <w:rFonts w:hint="eastAsia" w:ascii="仿宋" w:hAnsi="仿宋" w:eastAsia="仿宋"/>
          <w:sz w:val="32"/>
          <w:szCs w:val="32"/>
        </w:rPr>
        <w:t>万元，主要包括：基本工资</w:t>
      </w:r>
      <w:r>
        <w:rPr>
          <w:rFonts w:hint="eastAsia" w:ascii="仿宋" w:hAnsi="仿宋" w:eastAsia="仿宋"/>
          <w:sz w:val="32"/>
          <w:szCs w:val="32"/>
          <w:lang w:val="en-US" w:eastAsia="zh-CN"/>
        </w:rPr>
        <w:t>68.82万元</w:t>
      </w:r>
      <w:r>
        <w:rPr>
          <w:rFonts w:hint="eastAsia" w:ascii="仿宋" w:hAnsi="仿宋" w:eastAsia="仿宋"/>
          <w:sz w:val="32"/>
          <w:szCs w:val="32"/>
        </w:rPr>
        <w:t>、津贴补贴</w:t>
      </w:r>
      <w:r>
        <w:rPr>
          <w:rFonts w:hint="eastAsia" w:ascii="仿宋" w:hAnsi="仿宋" w:eastAsia="仿宋"/>
          <w:sz w:val="32"/>
          <w:szCs w:val="32"/>
          <w:lang w:val="en-US" w:eastAsia="zh-CN"/>
        </w:rPr>
        <w:t>61.66万元</w:t>
      </w:r>
      <w:r>
        <w:rPr>
          <w:rFonts w:hint="eastAsia" w:ascii="仿宋" w:hAnsi="仿宋" w:eastAsia="仿宋"/>
          <w:sz w:val="32"/>
          <w:szCs w:val="32"/>
        </w:rPr>
        <w:t>、奖金</w:t>
      </w:r>
      <w:r>
        <w:rPr>
          <w:rFonts w:hint="eastAsia" w:ascii="仿宋" w:hAnsi="仿宋" w:eastAsia="仿宋"/>
          <w:sz w:val="32"/>
          <w:szCs w:val="32"/>
          <w:lang w:val="en-US" w:eastAsia="zh-CN"/>
        </w:rPr>
        <w:t>82.77万元</w:t>
      </w:r>
      <w:r>
        <w:rPr>
          <w:rFonts w:hint="eastAsia" w:ascii="仿宋" w:hAnsi="仿宋" w:eastAsia="仿宋"/>
          <w:sz w:val="32"/>
          <w:szCs w:val="32"/>
        </w:rPr>
        <w:t>、绩效工资</w:t>
      </w:r>
      <w:r>
        <w:rPr>
          <w:rFonts w:hint="eastAsia" w:ascii="仿宋" w:hAnsi="仿宋" w:eastAsia="仿宋"/>
          <w:sz w:val="32"/>
          <w:szCs w:val="32"/>
          <w:lang w:val="en-US" w:eastAsia="zh-CN"/>
        </w:rPr>
        <w:t>67.15万元</w:t>
      </w:r>
      <w:r>
        <w:rPr>
          <w:rFonts w:hint="eastAsia" w:ascii="仿宋" w:hAnsi="仿宋" w:eastAsia="仿宋"/>
          <w:sz w:val="32"/>
          <w:szCs w:val="32"/>
        </w:rPr>
        <w:t>、机关事业单位基本养老保险缴费</w:t>
      </w:r>
      <w:r>
        <w:rPr>
          <w:rFonts w:hint="eastAsia" w:ascii="仿宋" w:hAnsi="仿宋" w:eastAsia="仿宋"/>
          <w:sz w:val="32"/>
          <w:szCs w:val="32"/>
          <w:lang w:val="en-US" w:eastAsia="zh-CN"/>
        </w:rPr>
        <w:t>35.95万元</w:t>
      </w:r>
      <w:r>
        <w:rPr>
          <w:rFonts w:hint="eastAsia" w:ascii="仿宋" w:hAnsi="仿宋" w:eastAsia="仿宋"/>
          <w:sz w:val="32"/>
          <w:szCs w:val="32"/>
        </w:rPr>
        <w:t>、职业年金缴费</w:t>
      </w:r>
      <w:r>
        <w:rPr>
          <w:rFonts w:hint="eastAsia" w:ascii="仿宋" w:hAnsi="仿宋" w:eastAsia="仿宋"/>
          <w:sz w:val="32"/>
          <w:szCs w:val="32"/>
          <w:lang w:val="en-US" w:eastAsia="zh-CN"/>
        </w:rPr>
        <w:t>18.09万元</w:t>
      </w:r>
      <w:r>
        <w:rPr>
          <w:rFonts w:hint="eastAsia" w:ascii="仿宋" w:hAnsi="仿宋" w:eastAsia="仿宋"/>
          <w:sz w:val="32"/>
          <w:szCs w:val="32"/>
        </w:rPr>
        <w:t>、</w:t>
      </w:r>
      <w:r>
        <w:rPr>
          <w:rFonts w:hint="eastAsia" w:ascii="仿宋" w:hAnsi="仿宋" w:eastAsia="仿宋"/>
          <w:sz w:val="32"/>
          <w:szCs w:val="32"/>
          <w:lang w:eastAsia="zh-CN"/>
        </w:rPr>
        <w:t>职工基本医疗保险缴费</w:t>
      </w:r>
      <w:r>
        <w:rPr>
          <w:rFonts w:hint="eastAsia" w:ascii="仿宋" w:hAnsi="仿宋" w:eastAsia="仿宋"/>
          <w:sz w:val="32"/>
          <w:szCs w:val="32"/>
          <w:lang w:val="en-US" w:eastAsia="zh-CN"/>
        </w:rPr>
        <w:t>15.95万元、公务员医疗补助经费4.22、</w:t>
      </w:r>
      <w:r>
        <w:rPr>
          <w:rFonts w:hint="eastAsia" w:ascii="仿宋" w:hAnsi="仿宋" w:eastAsia="仿宋"/>
          <w:sz w:val="32"/>
          <w:szCs w:val="32"/>
        </w:rPr>
        <w:t>其他社会保障缴费</w:t>
      </w:r>
      <w:r>
        <w:rPr>
          <w:rFonts w:hint="eastAsia" w:ascii="仿宋" w:hAnsi="仿宋" w:eastAsia="仿宋"/>
          <w:sz w:val="32"/>
          <w:szCs w:val="32"/>
          <w:lang w:val="en-US" w:eastAsia="zh-CN"/>
        </w:rPr>
        <w:t>2.17万元</w:t>
      </w:r>
      <w:r>
        <w:rPr>
          <w:rFonts w:hint="eastAsia" w:ascii="仿宋" w:hAnsi="仿宋" w:eastAsia="仿宋"/>
          <w:sz w:val="32"/>
          <w:szCs w:val="32"/>
        </w:rPr>
        <w:t>、奖励金</w:t>
      </w:r>
      <w:r>
        <w:rPr>
          <w:rFonts w:hint="eastAsia" w:ascii="仿宋" w:hAnsi="仿宋" w:eastAsia="仿宋"/>
          <w:sz w:val="32"/>
          <w:szCs w:val="32"/>
          <w:lang w:val="en-US" w:eastAsia="zh-CN"/>
        </w:rPr>
        <w:t>0.02万元</w:t>
      </w:r>
      <w:r>
        <w:rPr>
          <w:rFonts w:hint="eastAsia" w:ascii="仿宋" w:hAnsi="仿宋" w:eastAsia="仿宋"/>
          <w:sz w:val="32"/>
          <w:szCs w:val="32"/>
        </w:rPr>
        <w:t>、住房公积金</w:t>
      </w:r>
      <w:r>
        <w:rPr>
          <w:rFonts w:hint="eastAsia" w:ascii="仿宋" w:hAnsi="仿宋" w:eastAsia="仿宋"/>
          <w:sz w:val="32"/>
          <w:szCs w:val="32"/>
          <w:lang w:val="en-US" w:eastAsia="zh-CN"/>
        </w:rPr>
        <w:t>31.26万元</w:t>
      </w:r>
      <w:r>
        <w:rPr>
          <w:rFonts w:hint="eastAsia" w:ascii="仿宋" w:hAnsi="仿宋" w:eastAsia="仿宋"/>
          <w:sz w:val="32"/>
          <w:szCs w:val="32"/>
        </w:rPr>
        <w:t>等。</w:t>
      </w:r>
      <w:r>
        <w:rPr>
          <w:rFonts w:ascii="仿宋" w:hAnsi="仿宋" w:eastAsia="仿宋"/>
          <w:sz w:val="32"/>
          <w:szCs w:val="32"/>
        </w:rPr>
        <w:br w:type="textWrapping"/>
      </w:r>
      <w:r>
        <w:rPr>
          <w:rFonts w:hint="eastAsia" w:ascii="仿宋" w:hAnsi="仿宋" w:eastAsia="仿宋"/>
          <w:sz w:val="32"/>
          <w:szCs w:val="32"/>
        </w:rPr>
        <w:t>　　公用经费</w:t>
      </w:r>
      <w:r>
        <w:rPr>
          <w:rFonts w:ascii="仿宋" w:hAnsi="仿宋" w:eastAsia="仿宋"/>
          <w:b/>
          <w:sz w:val="32"/>
          <w:szCs w:val="32"/>
        </w:rPr>
        <w:t>3.38</w:t>
      </w:r>
      <w:r>
        <w:rPr>
          <w:rFonts w:hint="eastAsia" w:ascii="仿宋" w:hAnsi="仿宋" w:eastAsia="仿宋"/>
          <w:sz w:val="32"/>
          <w:szCs w:val="32"/>
        </w:rPr>
        <w:t>万元，工会经费</w:t>
      </w:r>
      <w:r>
        <w:rPr>
          <w:rFonts w:hint="eastAsia" w:ascii="仿宋" w:hAnsi="仿宋" w:eastAsia="仿宋"/>
          <w:sz w:val="32"/>
          <w:szCs w:val="32"/>
          <w:lang w:val="en-US" w:eastAsia="zh-CN"/>
        </w:rPr>
        <w:t>3.38万元</w:t>
      </w:r>
      <w:r>
        <w:rPr>
          <w:rFonts w:hint="eastAsia" w:ascii="仿宋" w:hAnsi="仿宋" w:eastAsia="仿宋"/>
          <w:sz w:val="32"/>
          <w:szCs w:val="32"/>
        </w:rPr>
        <w:t>。</w:t>
      </w:r>
    </w:p>
    <w:p w14:paraId="3062B928">
      <w:pPr>
        <w:spacing w:line="600" w:lineRule="exact"/>
        <w:ind w:firstLine="640"/>
        <w:outlineLvl w:val="1"/>
        <w:rPr>
          <w:rFonts w:hint="eastAsia" w:ascii="黑体" w:eastAsia="黑体"/>
          <w:sz w:val="32"/>
          <w:szCs w:val="32"/>
        </w:rPr>
      </w:pPr>
      <w:bookmarkStart w:id="57" w:name="_Toc15396609"/>
      <w:bookmarkStart w:id="58" w:name="_Toc15377215"/>
    </w:p>
    <w:p w14:paraId="561459D2">
      <w:pPr>
        <w:spacing w:line="600" w:lineRule="exact"/>
        <w:ind w:firstLine="640"/>
        <w:outlineLvl w:val="1"/>
        <w:rPr>
          <w:rStyle w:val="29"/>
          <w:rFonts w:ascii="黑体" w:hAnsi="黑体" w:eastAsia="黑体"/>
          <w:b w:val="0"/>
        </w:rPr>
      </w:pPr>
      <w:bookmarkStart w:id="59" w:name="_Toc32185"/>
      <w:r>
        <w:rPr>
          <w:rFonts w:hint="eastAsia" w:ascii="黑体" w:eastAsia="黑体"/>
          <w:sz w:val="32"/>
          <w:szCs w:val="32"/>
        </w:rPr>
        <w:t>七、</w:t>
      </w:r>
      <w:r>
        <w:rPr>
          <w:rStyle w:val="29"/>
          <w:rFonts w:hint="eastAsia" w:ascii="黑体" w:hAnsi="黑体" w:eastAsia="黑体"/>
          <w:b w:val="0"/>
        </w:rPr>
        <w:t>财政拨款</w:t>
      </w:r>
      <w:r>
        <w:rPr>
          <w:rStyle w:val="29"/>
          <w:rFonts w:hint="eastAsia" w:ascii="黑体" w:hAnsi="黑体" w:eastAsia="黑体"/>
        </w:rPr>
        <w:t>“</w:t>
      </w:r>
      <w:r>
        <w:rPr>
          <w:rStyle w:val="29"/>
          <w:rFonts w:hint="eastAsia" w:ascii="黑体" w:hAnsi="黑体" w:eastAsia="黑体"/>
          <w:b w:val="0"/>
        </w:rPr>
        <w:t>三公”经费支出决算情况说明</w:t>
      </w:r>
      <w:bookmarkEnd w:id="57"/>
      <w:bookmarkEnd w:id="58"/>
      <w:bookmarkEnd w:id="59"/>
    </w:p>
    <w:p w14:paraId="071C4C5C">
      <w:pPr>
        <w:spacing w:line="600" w:lineRule="exact"/>
        <w:ind w:firstLine="640"/>
        <w:outlineLvl w:val="2"/>
        <w:rPr>
          <w:rFonts w:ascii="仿宋" w:hAnsi="仿宋" w:eastAsia="仿宋"/>
          <w:b/>
          <w:sz w:val="32"/>
          <w:szCs w:val="32"/>
        </w:rPr>
      </w:pPr>
      <w:bookmarkStart w:id="60" w:name="_Toc15377216"/>
      <w:bookmarkStart w:id="61" w:name="_Toc1626"/>
      <w:r>
        <w:rPr>
          <w:rFonts w:hint="eastAsia" w:ascii="仿宋" w:hAnsi="仿宋" w:eastAsia="仿宋"/>
          <w:b/>
          <w:sz w:val="32"/>
          <w:szCs w:val="32"/>
        </w:rPr>
        <w:t>（一）“三公”经费财政拨款支出决算总体情况说明</w:t>
      </w:r>
      <w:bookmarkEnd w:id="60"/>
      <w:bookmarkEnd w:id="61"/>
    </w:p>
    <w:p w14:paraId="62E11D84">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2023年度“三公”经费财政拨款支出决算为</w:t>
      </w:r>
      <w:r>
        <w:rPr>
          <w:rFonts w:ascii="仿宋" w:hAnsi="仿宋" w:eastAsia="仿宋"/>
          <w:b/>
          <w:sz w:val="32"/>
          <w:szCs w:val="32"/>
        </w:rPr>
        <w:t>0</w:t>
      </w:r>
      <w:r>
        <w:rPr>
          <w:rFonts w:hint="eastAsia" w:ascii="仿宋" w:hAnsi="仿宋" w:eastAsia="仿宋"/>
          <w:sz w:val="32"/>
          <w:szCs w:val="32"/>
        </w:rPr>
        <w:t>万元，完成预算</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，较上年度增加/减少</w:t>
      </w:r>
      <w:r>
        <w:rPr>
          <w:rFonts w:hint="eastAsia" w:ascii="仿宋" w:hAnsi="仿宋" w:eastAsia="仿宋"/>
          <w:sz w:val="32"/>
          <w:szCs w:val="32"/>
          <w:lang w:val="en-US" w:eastAsia="zh-CN"/>
        </w:rPr>
        <w:t>0</w:t>
      </w:r>
      <w:r>
        <w:rPr>
          <w:rFonts w:hint="eastAsia" w:ascii="仿宋" w:hAnsi="仿宋" w:eastAsia="仿宋"/>
          <w:sz w:val="32"/>
          <w:szCs w:val="32"/>
        </w:rPr>
        <w:t>万元，增长/下降</w:t>
      </w:r>
      <w:r>
        <w:rPr>
          <w:rFonts w:hint="eastAsia" w:ascii="仿宋" w:hAnsi="仿宋" w:eastAsia="仿宋"/>
          <w:sz w:val="32"/>
          <w:szCs w:val="32"/>
          <w:lang w:val="en-US" w:eastAsia="zh-CN"/>
        </w:rPr>
        <w:t>0</w:t>
      </w:r>
      <w:r>
        <w:rPr>
          <w:rFonts w:hint="eastAsia" w:ascii="仿宋" w:hAnsi="仿宋" w:eastAsia="仿宋"/>
          <w:sz w:val="32"/>
          <w:szCs w:val="32"/>
        </w:rPr>
        <w:t>%。决算数小于预算数持平的主要原因是</w:t>
      </w:r>
      <w:r>
        <w:rPr>
          <w:rFonts w:hint="eastAsia" w:ascii="仿宋" w:hAnsi="仿宋" w:eastAsia="仿宋"/>
          <w:sz w:val="32"/>
          <w:szCs w:val="32"/>
          <w:lang w:eastAsia="zh-CN"/>
        </w:rPr>
        <w:t>单位不涉及三公经费支出</w:t>
      </w:r>
      <w:r>
        <w:rPr>
          <w:rFonts w:hint="eastAsia" w:ascii="仿宋" w:hAnsi="仿宋" w:eastAsia="仿宋"/>
          <w:sz w:val="32"/>
          <w:szCs w:val="32"/>
        </w:rPr>
        <w:t>。</w:t>
      </w:r>
    </w:p>
    <w:p w14:paraId="392904FE">
      <w:pPr>
        <w:spacing w:line="600" w:lineRule="exact"/>
        <w:ind w:firstLine="640"/>
        <w:outlineLvl w:val="2"/>
        <w:rPr>
          <w:rFonts w:ascii="仿宋" w:hAnsi="仿宋" w:eastAsia="仿宋"/>
          <w:b/>
          <w:sz w:val="32"/>
          <w:szCs w:val="32"/>
        </w:rPr>
      </w:pPr>
      <w:bookmarkStart w:id="62" w:name="_Toc15377217"/>
      <w:bookmarkStart w:id="63" w:name="_Toc31515"/>
      <w:r>
        <w:rPr>
          <w:rFonts w:hint="eastAsia" w:ascii="仿宋" w:hAnsi="仿宋" w:eastAsia="仿宋"/>
          <w:b/>
          <w:sz w:val="32"/>
          <w:szCs w:val="32"/>
        </w:rPr>
        <w:t>（二）“三公”经费财政拨款支出决算具体情况说明</w:t>
      </w:r>
      <w:bookmarkEnd w:id="62"/>
      <w:bookmarkEnd w:id="63"/>
    </w:p>
    <w:p w14:paraId="1A947B0D">
      <w:pPr>
        <w:spacing w:line="600" w:lineRule="exact"/>
        <w:ind w:firstLine="640"/>
        <w:rPr>
          <w:rFonts w:hint="eastAsia" w:ascii="仿宋" w:hAnsi="仿宋" w:eastAsia="仿宋"/>
          <w:sz w:val="32"/>
          <w:szCs w:val="32"/>
        </w:rPr>
      </w:pPr>
      <w:r>
        <w:rPr>
          <w:rFonts w:hint="eastAsia" w:ascii="仿宋" w:hAnsi="仿宋" w:eastAsia="仿宋"/>
          <w:sz w:val="32"/>
          <w:szCs w:val="32"/>
        </w:rPr>
        <w:t>2023年度“三公”经费财政拨款支出决算中，因公出国（境）费支出决算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。具体情况如下：</w:t>
      </w:r>
    </w:p>
    <w:p w14:paraId="3C8EA4C6">
      <w:pPr>
        <w:pStyle w:val="2"/>
        <w:rPr>
          <w:rFonts w:hint="eastAsia" w:ascii="仿宋" w:hAnsi="仿宋" w:eastAsia="仿宋"/>
          <w:sz w:val="32"/>
          <w:szCs w:val="32"/>
        </w:rPr>
      </w:pPr>
    </w:p>
    <w:p w14:paraId="3C671E28">
      <w:pPr>
        <w:pStyle w:val="3"/>
        <w:rPr>
          <w:rFonts w:hint="eastAsia" w:ascii="仿宋" w:hAnsi="仿宋" w:eastAsia="仿宋"/>
          <w:sz w:val="32"/>
          <w:szCs w:val="32"/>
        </w:rPr>
      </w:pPr>
      <w:r>
        <w:drawing>
          <wp:inline distT="0" distB="0" distL="114300" distR="114300">
            <wp:extent cx="4572000" cy="2362200"/>
            <wp:effectExtent l="4445" t="4445" r="14605" b="14605"/>
            <wp:docPr id="7"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01AB853">
      <w:pPr>
        <w:spacing w:line="600" w:lineRule="exact"/>
        <w:ind w:firstLine="640"/>
        <w:rPr>
          <w:rFonts w:ascii="仿宋" w:hAnsi="仿宋" w:eastAsia="仿宋"/>
          <w:sz w:val="32"/>
          <w:szCs w:val="32"/>
        </w:rPr>
      </w:pPr>
      <w:r>
        <w:rPr>
          <w:rFonts w:hint="eastAsia" w:ascii="仿宋" w:hAnsi="仿宋" w:eastAsia="仿宋"/>
          <w:sz w:val="32"/>
          <w:szCs w:val="32"/>
        </w:rPr>
        <w:t>（图7：“三公”经费财政拨款支出结构）（饼状图）</w:t>
      </w:r>
    </w:p>
    <w:p w14:paraId="387382AF">
      <w:pPr>
        <w:spacing w:line="600" w:lineRule="exact"/>
        <w:ind w:firstLine="640"/>
        <w:rPr>
          <w:rFonts w:ascii="仿宋_GB2312" w:eastAsia="仿宋_GB2312"/>
          <w:b/>
          <w:sz w:val="32"/>
          <w:szCs w:val="32"/>
        </w:rPr>
      </w:pPr>
      <w:bookmarkStart w:id="64" w:name="_Toc15396610"/>
      <w:bookmarkStart w:id="65" w:name="_Toc15377218"/>
      <w:r>
        <w:rPr>
          <w:rFonts w:ascii="仿宋_GB2312" w:eastAsia="仿宋_GB2312"/>
          <w:b/>
          <w:sz w:val="32"/>
          <w:szCs w:val="32"/>
        </w:rPr>
        <w:t>1.</w:t>
      </w:r>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Cs/>
          <w:sz w:val="32"/>
          <w:szCs w:val="32"/>
        </w:rPr>
        <w:t>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全年安排因公出国（境）团组</w:t>
      </w:r>
      <w:r>
        <w:rPr>
          <w:rFonts w:ascii="仿宋_GB2312" w:eastAsia="仿宋_GB2312"/>
          <w:b/>
          <w:sz w:val="32"/>
          <w:szCs w:val="32"/>
        </w:rPr>
        <w:t>0</w:t>
      </w:r>
      <w:r>
        <w:rPr>
          <w:rFonts w:hint="eastAsia" w:ascii="仿宋_GB2312" w:eastAsia="仿宋_GB2312"/>
          <w:sz w:val="32"/>
          <w:szCs w:val="32"/>
        </w:rPr>
        <w:t>次，出国（境）</w:t>
      </w:r>
      <w:r>
        <w:rPr>
          <w:rFonts w:ascii="仿宋_GB2312" w:eastAsia="仿宋_GB2312"/>
          <w:b/>
          <w:sz w:val="32"/>
          <w:szCs w:val="32"/>
        </w:rPr>
        <w:t>0</w:t>
      </w:r>
      <w:r>
        <w:rPr>
          <w:rFonts w:hint="eastAsia" w:ascii="仿宋_GB2312" w:eastAsia="仿宋_GB2312"/>
          <w:sz w:val="32"/>
          <w:szCs w:val="32"/>
        </w:rPr>
        <w:t>人。因公出国（境）支出决算比2022年增加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r>
        <w:rPr>
          <w:rFonts w:hint="eastAsia" w:ascii="仿宋" w:hAnsi="仿宋" w:eastAsia="仿宋"/>
          <w:sz w:val="32"/>
          <w:szCs w:val="32"/>
        </w:rPr>
        <w:t>主要原因是</w:t>
      </w:r>
      <w:r>
        <w:rPr>
          <w:rFonts w:hint="eastAsia" w:ascii="仿宋" w:hAnsi="仿宋" w:eastAsia="仿宋"/>
          <w:sz w:val="32"/>
          <w:szCs w:val="32"/>
          <w:lang w:eastAsia="zh-CN"/>
        </w:rPr>
        <w:t>单位不涉及三公经费支出</w:t>
      </w:r>
      <w:r>
        <w:rPr>
          <w:rFonts w:hint="eastAsia" w:ascii="仿宋" w:hAnsi="仿宋" w:eastAsia="仿宋"/>
          <w:sz w:val="32"/>
          <w:szCs w:val="32"/>
        </w:rPr>
        <w:t>。</w:t>
      </w:r>
    </w:p>
    <w:p w14:paraId="449CC115">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 w:hAnsi="仿宋" w:eastAsia="仿宋"/>
          <w:b/>
          <w:sz w:val="32"/>
          <w:szCs w:val="32"/>
        </w:rPr>
        <w:t>0</w:t>
      </w:r>
      <w:r>
        <w:rPr>
          <w:rFonts w:hint="eastAsia" w:ascii="仿宋_GB2312" w:eastAsia="仿宋_GB2312"/>
          <w:sz w:val="32"/>
          <w:szCs w:val="32"/>
        </w:rPr>
        <w:t>万元</w:t>
      </w:r>
      <w:r>
        <w:rPr>
          <w:rFonts w:hint="eastAsia" w:ascii="仿宋_GB2312" w:eastAsia="仿宋_GB2312"/>
          <w:sz w:val="32"/>
          <w:szCs w:val="32"/>
          <w:lang w:eastAsia="zh-CN"/>
        </w:rPr>
        <w:t>，</w:t>
      </w:r>
      <w:r>
        <w:rPr>
          <w:rStyle w:val="17"/>
          <w:rFonts w:hint="eastAsia" w:ascii="仿宋" w:hAnsi="仿宋" w:eastAsia="仿宋"/>
          <w:b w:val="0"/>
          <w:bCs/>
          <w:sz w:val="32"/>
          <w:szCs w:val="32"/>
        </w:rPr>
        <w:t>完成预算</w:t>
      </w:r>
      <w:r>
        <w:rPr>
          <w:rStyle w:val="17"/>
          <w:rFonts w:ascii="仿宋" w:hAnsi="仿宋" w:eastAsia="仿宋"/>
          <w:bCs/>
          <w:sz w:val="32"/>
          <w:szCs w:val="32"/>
        </w:rPr>
        <w:t>0</w:t>
      </w:r>
      <w:r>
        <w:rPr>
          <w:rStyle w:val="17"/>
          <w:rFonts w:ascii="仿宋" w:hAnsi="仿宋" w:eastAsia="仿宋"/>
          <w:b w:val="0"/>
          <w:bCs/>
          <w:sz w:val="32"/>
          <w:szCs w:val="32"/>
        </w:rPr>
        <w:t>%</w:t>
      </w:r>
      <w:r>
        <w:rPr>
          <w:rStyle w:val="17"/>
          <w:rFonts w:hint="eastAsia" w:ascii="仿宋" w:hAnsi="仿宋" w:eastAsia="仿宋"/>
          <w:b w:val="0"/>
          <w:bCs/>
          <w:sz w:val="32"/>
          <w:szCs w:val="32"/>
        </w:rPr>
        <w:t>。</w:t>
      </w:r>
      <w:r>
        <w:rPr>
          <w:rFonts w:hint="eastAsia" w:ascii="仿宋_GB2312" w:eastAsia="仿宋_GB2312"/>
          <w:sz w:val="32"/>
          <w:szCs w:val="32"/>
        </w:rPr>
        <w:t>公务用车购置及运行维护费支出决算比2022年度增加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r>
        <w:rPr>
          <w:rFonts w:hint="eastAsia" w:ascii="仿宋" w:hAnsi="仿宋" w:eastAsia="仿宋"/>
          <w:sz w:val="32"/>
          <w:szCs w:val="32"/>
        </w:rPr>
        <w:t>主要原因是</w:t>
      </w:r>
      <w:r>
        <w:rPr>
          <w:rFonts w:hint="eastAsia" w:ascii="仿宋" w:hAnsi="仿宋" w:eastAsia="仿宋"/>
          <w:sz w:val="32"/>
          <w:szCs w:val="32"/>
          <w:lang w:eastAsia="zh-CN"/>
        </w:rPr>
        <w:t>单位不涉及三公经费支出</w:t>
      </w:r>
      <w:r>
        <w:rPr>
          <w:rFonts w:hint="eastAsia" w:ascii="仿宋" w:hAnsi="仿宋" w:eastAsia="仿宋"/>
          <w:sz w:val="32"/>
          <w:szCs w:val="32"/>
        </w:rPr>
        <w:t>。</w:t>
      </w:r>
    </w:p>
    <w:p w14:paraId="2E7468F9">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
          <w:sz w:val="32"/>
          <w:szCs w:val="32"/>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万元。截至2023年</w:t>
      </w:r>
      <w:r>
        <w:rPr>
          <w:rFonts w:ascii="仿宋_GB2312" w:eastAsia="仿宋_GB2312"/>
          <w:sz w:val="32"/>
          <w:szCs w:val="32"/>
        </w:rPr>
        <w:t>12</w:t>
      </w:r>
      <w:r>
        <w:rPr>
          <w:rFonts w:hint="eastAsia" w:ascii="仿宋_GB2312" w:eastAsia="仿宋_GB2312"/>
          <w:sz w:val="32"/>
          <w:szCs w:val="32"/>
        </w:rPr>
        <w:t>月31日，单位共有公务用车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辆、越野车</w:t>
      </w:r>
      <w:r>
        <w:rPr>
          <w:rFonts w:hint="eastAsia" w:ascii="仿宋_GB2312" w:eastAsia="仿宋_GB2312"/>
          <w:sz w:val="32"/>
          <w:szCs w:val="32"/>
          <w:lang w:val="en-US" w:eastAsia="zh-CN"/>
        </w:rPr>
        <w:t>0</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p>
    <w:p w14:paraId="4BA06E87">
      <w:pPr>
        <w:spacing w:line="600" w:lineRule="exact"/>
        <w:ind w:firstLine="640"/>
        <w:rPr>
          <w:rFonts w:hint="eastAsia" w:ascii="仿宋_GB2312" w:eastAsia="仿宋_GB2312"/>
          <w:sz w:val="32"/>
          <w:szCs w:val="32"/>
        </w:rPr>
      </w:pPr>
      <w:r>
        <w:rPr>
          <w:rFonts w:hint="eastAsia" w:ascii="仿宋_GB2312" w:eastAsia="仿宋_GB2312"/>
          <w:b/>
          <w:sz w:val="32"/>
          <w:szCs w:val="32"/>
        </w:rPr>
        <w:t>公务用车运行维护费支出</w:t>
      </w:r>
      <w:r>
        <w:rPr>
          <w:rFonts w:ascii="仿宋" w:hAnsi="仿宋" w:eastAsia="仿宋"/>
          <w:b/>
          <w:sz w:val="32"/>
          <w:szCs w:val="32"/>
        </w:rPr>
        <w:t>0</w:t>
      </w:r>
      <w:r>
        <w:rPr>
          <w:rFonts w:hint="eastAsia" w:ascii="仿宋_GB2312" w:eastAsia="仿宋_GB2312"/>
          <w:sz w:val="32"/>
          <w:szCs w:val="32"/>
        </w:rPr>
        <w:t>万元。</w:t>
      </w:r>
    </w:p>
    <w:p w14:paraId="335025C5">
      <w:pPr>
        <w:spacing w:line="600" w:lineRule="exact"/>
        <w:ind w:firstLine="640"/>
        <w:rPr>
          <w:rFonts w:ascii="黑体" w:eastAsia="黑体"/>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ascii="仿宋" w:hAnsi="仿宋" w:eastAsia="仿宋"/>
          <w:b/>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完成预算</w:t>
      </w:r>
      <w:r>
        <w:rPr>
          <w:rStyle w:val="17"/>
          <w:rFonts w:ascii="仿宋" w:hAnsi="仿宋" w:eastAsia="仿宋"/>
          <w:b w:val="0"/>
          <w:bCs/>
          <w:sz w:val="32"/>
          <w:szCs w:val="32"/>
        </w:rPr>
        <w:t>0%</w:t>
      </w:r>
      <w:r>
        <w:rPr>
          <w:rStyle w:val="17"/>
          <w:rFonts w:hint="eastAsia" w:ascii="仿宋" w:hAnsi="仿宋" w:eastAsia="仿宋"/>
          <w:b w:val="0"/>
          <w:bCs/>
          <w:sz w:val="32"/>
          <w:szCs w:val="32"/>
        </w:rPr>
        <w:t>。</w:t>
      </w:r>
      <w:r>
        <w:rPr>
          <w:rFonts w:hint="eastAsia" w:ascii="仿宋_GB2312" w:eastAsia="仿宋_GB2312"/>
          <w:sz w:val="32"/>
          <w:szCs w:val="32"/>
        </w:rPr>
        <w:t>公务接待费支出决算比2022年度增加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。主要原因是</w:t>
      </w:r>
      <w:r>
        <w:rPr>
          <w:rFonts w:hint="eastAsia" w:ascii="仿宋" w:hAnsi="仿宋" w:eastAsia="仿宋"/>
          <w:sz w:val="32"/>
          <w:szCs w:val="32"/>
          <w:lang w:eastAsia="zh-CN"/>
        </w:rPr>
        <w:t>单位不涉及三公经费支出</w:t>
      </w:r>
      <w:r>
        <w:rPr>
          <w:rFonts w:hint="eastAsia" w:ascii="仿宋" w:hAnsi="仿宋" w:eastAsia="仿宋"/>
          <w:sz w:val="32"/>
          <w:szCs w:val="32"/>
        </w:rPr>
        <w:t>。</w:t>
      </w:r>
    </w:p>
    <w:p w14:paraId="1908A2FF">
      <w:pPr>
        <w:spacing w:line="600" w:lineRule="exact"/>
        <w:ind w:firstLine="640"/>
        <w:outlineLvl w:val="1"/>
      </w:pPr>
      <w:bookmarkStart w:id="66" w:name="_Toc25687"/>
      <w:r>
        <w:rPr>
          <w:rFonts w:hint="eastAsia" w:ascii="黑体" w:eastAsia="黑体"/>
          <w:sz w:val="32"/>
          <w:szCs w:val="32"/>
        </w:rPr>
        <w:t>八、</w:t>
      </w:r>
      <w:r>
        <w:rPr>
          <w:rStyle w:val="29"/>
          <w:rFonts w:hint="eastAsia" w:ascii="黑体" w:hAnsi="黑体" w:eastAsia="黑体"/>
          <w:b w:val="0"/>
        </w:rPr>
        <w:t>政府性基金预算支出决算情况说明</w:t>
      </w:r>
      <w:bookmarkEnd w:id="64"/>
      <w:bookmarkEnd w:id="65"/>
      <w:bookmarkEnd w:id="66"/>
    </w:p>
    <w:p w14:paraId="12868FC8">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w:t>
      </w:r>
      <w:r>
        <w:rPr>
          <w:rFonts w:ascii="仿宋" w:hAnsi="仿宋" w:eastAsia="仿宋"/>
          <w:b/>
          <w:sz w:val="32"/>
          <w:szCs w:val="32"/>
        </w:rPr>
        <w:t>0</w:t>
      </w:r>
      <w:r>
        <w:rPr>
          <w:rFonts w:hint="eastAsia" w:ascii="仿宋_GB2312" w:eastAsia="仿宋_GB2312"/>
          <w:sz w:val="32"/>
          <w:szCs w:val="32"/>
        </w:rPr>
        <w:t>万元。</w:t>
      </w:r>
    </w:p>
    <w:p w14:paraId="13CDB237">
      <w:pPr>
        <w:numPr>
          <w:ilvl w:val="0"/>
          <w:numId w:val="4"/>
        </w:numPr>
        <w:spacing w:line="600" w:lineRule="exact"/>
        <w:ind w:firstLine="640"/>
        <w:outlineLvl w:val="1"/>
        <w:rPr>
          <w:rStyle w:val="29"/>
          <w:rFonts w:ascii="黑体" w:hAnsi="黑体" w:eastAsia="黑体"/>
          <w:b w:val="0"/>
        </w:rPr>
      </w:pPr>
      <w:bookmarkStart w:id="67" w:name="_Toc14298"/>
      <w:bookmarkStart w:id="68" w:name="_Toc15377219"/>
      <w:bookmarkStart w:id="69" w:name="_Toc15396611"/>
      <w:r>
        <w:rPr>
          <w:rStyle w:val="29"/>
          <w:rFonts w:hint="eastAsia" w:ascii="黑体" w:hAnsi="黑体" w:eastAsia="黑体"/>
          <w:b w:val="0"/>
        </w:rPr>
        <w:t>国有资本经营预算支出决算情况说明</w:t>
      </w:r>
      <w:bookmarkEnd w:id="67"/>
      <w:bookmarkEnd w:id="68"/>
      <w:bookmarkEnd w:id="69"/>
    </w:p>
    <w:p w14:paraId="5F0A1EC5">
      <w:pPr>
        <w:spacing w:line="600" w:lineRule="exact"/>
        <w:ind w:firstLine="640"/>
        <w:rPr>
          <w:rFonts w:ascii="方正小标宋简体" w:hAnsi="方正小标宋简体" w:eastAsia="方正小标宋简体" w:cs="方正小标宋简体"/>
          <w:sz w:val="44"/>
          <w:szCs w:val="44"/>
        </w:rPr>
      </w:pPr>
      <w:r>
        <w:rPr>
          <w:rFonts w:hint="eastAsia" w:ascii="仿宋_GB2312" w:eastAsia="仿宋_GB2312"/>
          <w:sz w:val="32"/>
          <w:szCs w:val="32"/>
        </w:rPr>
        <w:t>2023年度国有资本经营预算财政拨款支出</w:t>
      </w:r>
      <w:r>
        <w:rPr>
          <w:rFonts w:ascii="仿宋" w:hAnsi="仿宋" w:eastAsia="仿宋"/>
          <w:b/>
          <w:sz w:val="32"/>
          <w:szCs w:val="32"/>
        </w:rPr>
        <w:t>0</w:t>
      </w:r>
      <w:r>
        <w:rPr>
          <w:rFonts w:hint="eastAsia" w:ascii="仿宋_GB2312" w:eastAsia="仿宋_GB2312"/>
          <w:sz w:val="32"/>
          <w:szCs w:val="32"/>
        </w:rPr>
        <w:t>万元。</w:t>
      </w:r>
    </w:p>
    <w:p w14:paraId="523B117F">
      <w:pPr>
        <w:numPr>
          <w:ilvl w:val="0"/>
          <w:numId w:val="4"/>
        </w:numPr>
        <w:spacing w:line="600" w:lineRule="exact"/>
        <w:ind w:firstLine="640"/>
        <w:outlineLvl w:val="1"/>
        <w:rPr>
          <w:rStyle w:val="29"/>
          <w:rFonts w:ascii="黑体" w:hAnsi="黑体" w:eastAsia="黑体"/>
          <w:b w:val="0"/>
        </w:rPr>
      </w:pPr>
      <w:bookmarkStart w:id="70" w:name="_Toc15377221"/>
      <w:bookmarkStart w:id="71" w:name="_Toc7836"/>
      <w:bookmarkStart w:id="72" w:name="_Toc15396612"/>
      <w:r>
        <w:rPr>
          <w:rStyle w:val="29"/>
          <w:rFonts w:hint="eastAsia" w:ascii="黑体" w:hAnsi="黑体" w:eastAsia="黑体"/>
          <w:b w:val="0"/>
        </w:rPr>
        <w:t>其他重要事项的情况说明</w:t>
      </w:r>
      <w:bookmarkEnd w:id="70"/>
      <w:bookmarkEnd w:id="71"/>
      <w:bookmarkEnd w:id="72"/>
    </w:p>
    <w:p w14:paraId="04C0AD6F">
      <w:pPr>
        <w:spacing w:line="600" w:lineRule="exact"/>
        <w:ind w:firstLine="643" w:firstLineChars="200"/>
        <w:outlineLvl w:val="2"/>
        <w:rPr>
          <w:rFonts w:ascii="仿宋" w:hAnsi="仿宋" w:eastAsia="仿宋"/>
          <w:sz w:val="32"/>
          <w:szCs w:val="32"/>
        </w:rPr>
      </w:pPr>
      <w:bookmarkStart w:id="73" w:name="_Toc15377222"/>
      <w:bookmarkStart w:id="74" w:name="_Toc22948"/>
      <w:r>
        <w:rPr>
          <w:rFonts w:hint="eastAsia" w:ascii="仿宋" w:hAnsi="仿宋" w:eastAsia="仿宋"/>
          <w:b/>
          <w:sz w:val="32"/>
          <w:szCs w:val="32"/>
        </w:rPr>
        <w:t>（一）机关运行经费支出情况</w:t>
      </w:r>
      <w:bookmarkEnd w:id="73"/>
      <w:bookmarkEnd w:id="74"/>
    </w:p>
    <w:p w14:paraId="77E2155A">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阿坝州松潘县毛儿盖镇中心卫生院</w:t>
      </w:r>
      <w:r>
        <w:rPr>
          <w:rFonts w:hint="eastAsia" w:ascii="仿宋_GB2312" w:eastAsia="仿宋_GB2312"/>
          <w:sz w:val="32"/>
          <w:szCs w:val="32"/>
        </w:rPr>
        <w:t>机关运行经费支出</w:t>
      </w:r>
      <w:r>
        <w:rPr>
          <w:rFonts w:ascii="仿宋" w:hAnsi="仿宋" w:eastAsia="仿宋"/>
          <w:b/>
          <w:sz w:val="32"/>
          <w:szCs w:val="32"/>
        </w:rPr>
        <w:t>0</w:t>
      </w:r>
      <w:r>
        <w:rPr>
          <w:rFonts w:hint="eastAsia" w:ascii="仿宋_GB2312" w:eastAsia="仿宋_GB2312"/>
          <w:sz w:val="32"/>
          <w:szCs w:val="32"/>
        </w:rPr>
        <w:t>万元，比2022年度增加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（或与2022年度决算数持平）。主要原因是</w:t>
      </w:r>
      <w:r>
        <w:rPr>
          <w:rFonts w:hint="eastAsia" w:ascii="仿宋_GB2312" w:eastAsia="仿宋_GB2312"/>
          <w:sz w:val="32"/>
          <w:szCs w:val="32"/>
          <w:lang w:eastAsia="zh-CN"/>
        </w:rPr>
        <w:t>单位不涉及机关运行经费支出</w:t>
      </w:r>
      <w:r>
        <w:rPr>
          <w:rFonts w:hint="eastAsia" w:ascii="仿宋_GB2312" w:eastAsia="仿宋_GB2312"/>
          <w:sz w:val="32"/>
          <w:szCs w:val="32"/>
        </w:rPr>
        <w:t>。</w:t>
      </w:r>
    </w:p>
    <w:p w14:paraId="6B2CB4A7">
      <w:pPr>
        <w:autoSpaceDE w:val="0"/>
        <w:autoSpaceDN w:val="0"/>
        <w:adjustRightInd w:val="0"/>
        <w:spacing w:line="600" w:lineRule="exact"/>
        <w:ind w:firstLine="643" w:firstLineChars="200"/>
        <w:jc w:val="left"/>
        <w:outlineLvl w:val="2"/>
        <w:rPr>
          <w:rFonts w:ascii="仿宋" w:hAnsi="仿宋" w:eastAsia="仿宋"/>
          <w:b/>
          <w:sz w:val="32"/>
          <w:szCs w:val="32"/>
        </w:rPr>
      </w:pPr>
      <w:bookmarkStart w:id="75" w:name="_Toc15377223"/>
      <w:bookmarkStart w:id="76" w:name="_Toc24849"/>
      <w:r>
        <w:rPr>
          <w:rFonts w:hint="eastAsia" w:ascii="仿宋" w:hAnsi="仿宋" w:eastAsia="仿宋"/>
          <w:b/>
          <w:sz w:val="32"/>
          <w:szCs w:val="32"/>
        </w:rPr>
        <w:t>（二）政府采购支出情况</w:t>
      </w:r>
      <w:bookmarkEnd w:id="75"/>
      <w:bookmarkEnd w:id="76"/>
    </w:p>
    <w:p w14:paraId="21750498">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阿坝州松潘县毛儿盖镇中心卫生院</w:t>
      </w:r>
      <w:r>
        <w:rPr>
          <w:rFonts w:hint="eastAsia" w:ascii="仿宋_GB2312" w:eastAsia="仿宋_GB2312"/>
          <w:sz w:val="32"/>
          <w:szCs w:val="32"/>
        </w:rPr>
        <w:t>政府采购支出总额</w:t>
      </w:r>
      <w:r>
        <w:rPr>
          <w:rFonts w:ascii="仿宋" w:hAnsi="仿宋" w:eastAsia="仿宋"/>
          <w:b/>
          <w:sz w:val="32"/>
          <w:szCs w:val="32"/>
        </w:rPr>
        <w:t>0</w:t>
      </w:r>
      <w:r>
        <w:rPr>
          <w:rFonts w:hint="eastAsia" w:ascii="仿宋_GB2312" w:eastAsia="仿宋_GB2312"/>
          <w:sz w:val="32"/>
          <w:szCs w:val="32"/>
        </w:rPr>
        <w:t>万元，其中：政府采购货物支出</w:t>
      </w:r>
      <w:r>
        <w:rPr>
          <w:rFonts w:ascii="仿宋" w:hAnsi="仿宋" w:eastAsia="仿宋"/>
          <w:b/>
          <w:sz w:val="32"/>
          <w:szCs w:val="32"/>
        </w:rPr>
        <w:t>0</w:t>
      </w:r>
      <w:r>
        <w:rPr>
          <w:rFonts w:hint="eastAsia" w:ascii="仿宋_GB2312" w:eastAsia="仿宋_GB2312"/>
          <w:sz w:val="32"/>
          <w:szCs w:val="32"/>
        </w:rPr>
        <w:t>万元、政府采购工程支出</w:t>
      </w:r>
      <w:r>
        <w:rPr>
          <w:rFonts w:ascii="仿宋" w:hAnsi="仿宋" w:eastAsia="仿宋"/>
          <w:b/>
          <w:sz w:val="32"/>
          <w:szCs w:val="32"/>
        </w:rPr>
        <w:t>0</w:t>
      </w:r>
      <w:r>
        <w:rPr>
          <w:rFonts w:hint="eastAsia" w:ascii="仿宋_GB2312" w:eastAsia="仿宋_GB2312"/>
          <w:sz w:val="32"/>
          <w:szCs w:val="32"/>
        </w:rPr>
        <w:t>万元、政府采购服务支出</w:t>
      </w:r>
      <w:r>
        <w:rPr>
          <w:rFonts w:ascii="仿宋" w:hAnsi="仿宋" w:eastAsia="仿宋"/>
          <w:b/>
          <w:sz w:val="32"/>
          <w:szCs w:val="32"/>
        </w:rPr>
        <w:t>0</w:t>
      </w:r>
      <w:r>
        <w:rPr>
          <w:rFonts w:hint="eastAsia" w:ascii="仿宋_GB2312" w:eastAsia="仿宋_GB2312"/>
          <w:sz w:val="32"/>
          <w:szCs w:val="32"/>
        </w:rPr>
        <w:t>万元。主要用于</w:t>
      </w:r>
      <w:r>
        <w:rPr>
          <w:rFonts w:ascii="仿宋_GB2312" w:eastAsia="仿宋_GB2312"/>
          <w:sz w:val="32"/>
          <w:szCs w:val="32"/>
        </w:rPr>
        <w:t>…</w:t>
      </w:r>
      <w:r>
        <w:rPr>
          <w:rFonts w:hint="eastAsia" w:ascii="仿宋_GB2312" w:eastAsia="仿宋_GB2312"/>
          <w:sz w:val="32"/>
          <w:szCs w:val="32"/>
        </w:rPr>
        <w:t>（具体工作）。授予中小企业合同金额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b/>
          <w:sz w:val="32"/>
          <w:szCs w:val="32"/>
        </w:rPr>
        <w:t>0</w:t>
      </w:r>
      <w:r>
        <w:rPr>
          <w:rFonts w:ascii="仿宋_GB2312" w:eastAsia="仿宋_GB2312"/>
          <w:sz w:val="32"/>
          <w:szCs w:val="32"/>
        </w:rPr>
        <w:t>%</w:t>
      </w:r>
      <w:r>
        <w:rPr>
          <w:rFonts w:hint="eastAsia" w:ascii="仿宋_GB2312" w:eastAsia="仿宋_GB2312"/>
          <w:sz w:val="32"/>
          <w:szCs w:val="32"/>
        </w:rPr>
        <w:t>。</w:t>
      </w:r>
    </w:p>
    <w:p w14:paraId="63A80B90">
      <w:pPr>
        <w:autoSpaceDE w:val="0"/>
        <w:autoSpaceDN w:val="0"/>
        <w:adjustRightInd w:val="0"/>
        <w:spacing w:line="600" w:lineRule="exact"/>
        <w:ind w:firstLine="643" w:firstLineChars="200"/>
        <w:jc w:val="left"/>
        <w:outlineLvl w:val="2"/>
        <w:rPr>
          <w:rFonts w:ascii="仿宋" w:hAnsi="仿宋" w:eastAsia="仿宋"/>
          <w:b/>
          <w:sz w:val="32"/>
          <w:szCs w:val="32"/>
        </w:rPr>
      </w:pPr>
      <w:bookmarkStart w:id="77" w:name="_Toc19952"/>
      <w:bookmarkStart w:id="78" w:name="_Toc15377224"/>
      <w:r>
        <w:rPr>
          <w:rFonts w:hint="eastAsia" w:ascii="仿宋" w:hAnsi="仿宋" w:eastAsia="仿宋"/>
          <w:b/>
          <w:sz w:val="32"/>
          <w:szCs w:val="32"/>
        </w:rPr>
        <w:t>（三）国有资产占有使用情况</w:t>
      </w:r>
      <w:bookmarkEnd w:id="77"/>
      <w:bookmarkEnd w:id="78"/>
    </w:p>
    <w:p w14:paraId="01040EEF">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b/>
          <w:sz w:val="32"/>
          <w:szCs w:val="32"/>
        </w:rPr>
        <w:t>阿坝州松潘县毛儿盖镇中心卫生院</w:t>
      </w:r>
      <w:r>
        <w:rPr>
          <w:rFonts w:hint="eastAsia" w:ascii="仿宋_GB2312" w:eastAsia="仿宋_GB2312"/>
          <w:sz w:val="32"/>
          <w:szCs w:val="32"/>
        </w:rPr>
        <w:t>共有车辆</w:t>
      </w:r>
      <w:r>
        <w:rPr>
          <w:rFonts w:hint="eastAsia" w:ascii="仿宋_GB2312" w:eastAsia="仿宋_GB2312"/>
          <w:b/>
          <w:sz w:val="32"/>
          <w:szCs w:val="32"/>
        </w:rPr>
        <w:t>2</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1</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辆，其他用车主要是用于</w:t>
      </w:r>
      <w:r>
        <w:rPr>
          <w:rFonts w:hint="eastAsia" w:ascii="仿宋_GB2312" w:eastAsia="仿宋_GB2312"/>
          <w:sz w:val="32"/>
          <w:szCs w:val="32"/>
          <w:lang w:eastAsia="zh-CN"/>
        </w:rPr>
        <w:t>救护车</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0</w:t>
      </w:r>
      <w:r>
        <w:rPr>
          <w:rFonts w:hint="eastAsia" w:ascii="仿宋_GB2312" w:eastAsia="仿宋_GB2312"/>
          <w:sz w:val="32"/>
          <w:szCs w:val="32"/>
        </w:rPr>
        <w:t>台（套）。</w:t>
      </w:r>
    </w:p>
    <w:p w14:paraId="2702CD20">
      <w:pPr>
        <w:autoSpaceDE w:val="0"/>
        <w:autoSpaceDN w:val="0"/>
        <w:adjustRightInd w:val="0"/>
        <w:spacing w:line="600" w:lineRule="exact"/>
        <w:ind w:firstLine="643" w:firstLineChars="200"/>
        <w:jc w:val="left"/>
        <w:outlineLvl w:val="2"/>
        <w:rPr>
          <w:rFonts w:ascii="仿宋" w:hAnsi="仿宋" w:eastAsia="仿宋"/>
          <w:b/>
          <w:sz w:val="32"/>
          <w:szCs w:val="32"/>
        </w:rPr>
      </w:pPr>
      <w:bookmarkStart w:id="79" w:name="_Toc14288"/>
      <w:r>
        <w:rPr>
          <w:rFonts w:hint="eastAsia" w:ascii="仿宋" w:hAnsi="仿宋" w:eastAsia="仿宋"/>
          <w:b/>
          <w:sz w:val="32"/>
          <w:szCs w:val="32"/>
        </w:rPr>
        <w:t>（四）预算绩效管理情况</w:t>
      </w:r>
      <w:bookmarkEnd w:id="79"/>
    </w:p>
    <w:p w14:paraId="51DCA9F6">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根据预算绩效管理要求，本单位在2023年度预算编制阶段，组织对12项基本公共卫生服务，基层医疗卫生，村卫生项目</w:t>
      </w:r>
      <w:r>
        <w:rPr>
          <w:rFonts w:hint="eastAsia" w:ascii="仿宋_GB2312" w:eastAsia="仿宋_GB2312"/>
          <w:sz w:val="32"/>
          <w:szCs w:val="32"/>
          <w:lang w:eastAsia="zh-CN"/>
        </w:rPr>
        <w:t>，三支一扶财政补助资金</w:t>
      </w:r>
      <w:r>
        <w:rPr>
          <w:rFonts w:hint="eastAsia" w:ascii="仿宋_GB2312" w:eastAsia="仿宋_GB2312"/>
          <w:sz w:val="32"/>
          <w:szCs w:val="32"/>
        </w:rPr>
        <w:t>等</w:t>
      </w:r>
      <w:r>
        <w:rPr>
          <w:rFonts w:hint="eastAsia" w:ascii="仿宋_GB2312" w:eastAsia="仿宋_GB2312"/>
          <w:sz w:val="32"/>
          <w:szCs w:val="32"/>
          <w:lang w:val="en-US" w:eastAsia="zh-CN"/>
        </w:rPr>
        <w:t>4</w:t>
      </w:r>
      <w:r>
        <w:rPr>
          <w:rFonts w:hint="eastAsia" w:ascii="仿宋_GB2312" w:eastAsia="仿宋_GB2312"/>
          <w:sz w:val="32"/>
          <w:szCs w:val="32"/>
        </w:rPr>
        <w:t>个项目开展了预算事前绩效评估，对</w:t>
      </w:r>
      <w:r>
        <w:rPr>
          <w:rFonts w:hint="eastAsia" w:ascii="仿宋_GB2312" w:eastAsia="仿宋_GB2312"/>
          <w:sz w:val="32"/>
          <w:szCs w:val="32"/>
          <w:lang w:val="en-US" w:eastAsia="zh-CN"/>
        </w:rPr>
        <w:t>4</w:t>
      </w:r>
      <w:r>
        <w:rPr>
          <w:rFonts w:hint="eastAsia" w:ascii="仿宋_GB2312" w:eastAsia="仿宋_GB2312"/>
          <w:sz w:val="32"/>
          <w:szCs w:val="32"/>
        </w:rPr>
        <w:t>个项目编制了绩效目标，预算执行过程中，选取</w:t>
      </w:r>
      <w:r>
        <w:rPr>
          <w:rFonts w:hint="eastAsia" w:ascii="仿宋_GB2312" w:eastAsia="仿宋_GB2312"/>
          <w:sz w:val="32"/>
          <w:szCs w:val="32"/>
          <w:lang w:val="en-US" w:eastAsia="zh-CN"/>
        </w:rPr>
        <w:t>4</w:t>
      </w:r>
      <w:r>
        <w:rPr>
          <w:rFonts w:hint="eastAsia" w:ascii="仿宋_GB2312" w:eastAsia="仿宋_GB2312"/>
          <w:sz w:val="32"/>
          <w:szCs w:val="32"/>
        </w:rPr>
        <w:t>个项目开展绩效监控，组织对</w:t>
      </w:r>
      <w:r>
        <w:rPr>
          <w:rFonts w:hint="eastAsia" w:ascii="仿宋_GB2312" w:eastAsia="仿宋_GB2312"/>
          <w:sz w:val="32"/>
          <w:szCs w:val="32"/>
          <w:lang w:val="en-US" w:eastAsia="zh-CN"/>
        </w:rPr>
        <w:t>4</w:t>
      </w:r>
      <w:r>
        <w:rPr>
          <w:rFonts w:hint="eastAsia" w:ascii="仿宋_GB2312" w:eastAsia="仿宋_GB2312"/>
          <w:sz w:val="32"/>
          <w:szCs w:val="32"/>
        </w:rPr>
        <w:t>个项目开展绩效自评</w:t>
      </w:r>
      <w:r>
        <w:rPr>
          <w:rFonts w:hint="eastAsia" w:ascii="仿宋_GB2312" w:eastAsia="仿宋_GB2312"/>
          <w:sz w:val="32"/>
          <w:szCs w:val="32"/>
          <w:lang w:eastAsia="zh-CN"/>
        </w:rPr>
        <w:t>。</w:t>
      </w:r>
    </w:p>
    <w:p w14:paraId="7F4697AC">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组织对2023年度一般公共预算、政府性基金预算、国有资本经营预算、社会保险基金预算以及资本资产、债券资金等全面开展绩效自评，形成部门整体（含部门预算项目）绩效自评报告等专项预算项目绩效自评报告，其中，部门整体（含部门预算项目）绩效自评得分为</w:t>
      </w:r>
      <w:r>
        <w:rPr>
          <w:rFonts w:hint="eastAsia" w:ascii="仿宋_GB2312" w:eastAsia="仿宋_GB2312"/>
          <w:sz w:val="32"/>
          <w:szCs w:val="32"/>
          <w:lang w:val="en-US" w:eastAsia="zh-CN"/>
        </w:rPr>
        <w:t>96</w:t>
      </w:r>
      <w:r>
        <w:rPr>
          <w:rFonts w:hint="eastAsia" w:ascii="仿宋_GB2312" w:eastAsia="仿宋_GB2312"/>
          <w:sz w:val="32"/>
          <w:szCs w:val="32"/>
        </w:rPr>
        <w:t>分，绩效自评综述：12项基本公共卫生服务，基层医疗卫生，村卫生室等专项预算项目</w:t>
      </w:r>
      <w:r>
        <w:rPr>
          <w:rFonts w:hint="eastAsia" w:ascii="仿宋_GB2312" w:eastAsia="仿宋_GB2312"/>
          <w:sz w:val="32"/>
          <w:szCs w:val="32"/>
          <w:lang w:eastAsia="zh-CN"/>
        </w:rPr>
        <w:t>，三支一扶财政补助资金</w:t>
      </w:r>
      <w:r>
        <w:rPr>
          <w:rFonts w:hint="eastAsia" w:ascii="仿宋_GB2312" w:eastAsia="仿宋_GB2312"/>
          <w:sz w:val="32"/>
          <w:szCs w:val="32"/>
        </w:rPr>
        <w:t>绩效自评情况表</w:t>
      </w:r>
      <w:r>
        <w:rPr>
          <w:rFonts w:hint="eastAsia" w:ascii="仿宋_GB2312" w:eastAsia="仿宋_GB2312"/>
          <w:sz w:val="32"/>
          <w:szCs w:val="32"/>
          <w:lang w:eastAsia="zh-CN"/>
        </w:rPr>
        <w:t>。</w:t>
      </w:r>
    </w:p>
    <w:p w14:paraId="427EEE08">
      <w:pPr>
        <w:spacing w:line="600" w:lineRule="exact"/>
        <w:rPr>
          <w:rFonts w:ascii="Times New Roman" w:hAnsi="Times New Roman" w:eastAsia="宋体" w:cs="Times New Roman"/>
          <w:kern w:val="2"/>
          <w:sz w:val="21"/>
          <w:szCs w:val="24"/>
          <w:lang w:val="en-US" w:eastAsia="zh-CN" w:bidi="ar-SA"/>
        </w:rPr>
      </w:pPr>
    </w:p>
    <w:p w14:paraId="1BC25142">
      <w:pPr>
        <w:pStyle w:val="2"/>
        <w:rPr>
          <w:rFonts w:ascii="Times New Roman" w:hAnsi="Times New Roman" w:eastAsia="宋体" w:cs="Times New Roman"/>
          <w:kern w:val="2"/>
          <w:sz w:val="21"/>
          <w:szCs w:val="24"/>
          <w:lang w:val="en-US" w:eastAsia="zh-CN" w:bidi="ar-SA"/>
        </w:rPr>
      </w:pPr>
    </w:p>
    <w:p w14:paraId="4E253ECA">
      <w:pPr>
        <w:pStyle w:val="3"/>
        <w:rPr>
          <w:rFonts w:ascii="Times New Roman" w:hAnsi="Times New Roman" w:eastAsia="宋体" w:cs="Times New Roman"/>
          <w:kern w:val="2"/>
          <w:sz w:val="21"/>
          <w:szCs w:val="24"/>
          <w:lang w:val="en-US" w:eastAsia="zh-CN" w:bidi="ar-SA"/>
        </w:rPr>
      </w:pPr>
    </w:p>
    <w:p w14:paraId="6B8E56C9">
      <w:pPr>
        <w:pStyle w:val="3"/>
        <w:rPr>
          <w:rFonts w:ascii="Times New Roman" w:hAnsi="Times New Roman" w:eastAsia="宋体" w:cs="Times New Roman"/>
          <w:kern w:val="2"/>
          <w:sz w:val="21"/>
          <w:szCs w:val="24"/>
          <w:lang w:val="en-US" w:eastAsia="zh-CN" w:bidi="ar-SA"/>
        </w:rPr>
      </w:pPr>
    </w:p>
    <w:p w14:paraId="4C681DCD">
      <w:pPr>
        <w:pStyle w:val="3"/>
        <w:rPr>
          <w:rFonts w:ascii="Times New Roman" w:hAnsi="Times New Roman" w:eastAsia="宋体" w:cs="Times New Roman"/>
          <w:kern w:val="2"/>
          <w:sz w:val="21"/>
          <w:szCs w:val="24"/>
          <w:lang w:val="en-US" w:eastAsia="zh-CN" w:bidi="ar-SA"/>
        </w:rPr>
      </w:pPr>
    </w:p>
    <w:p w14:paraId="16A158F4">
      <w:pPr>
        <w:pStyle w:val="3"/>
        <w:rPr>
          <w:rFonts w:ascii="Times New Roman" w:hAnsi="Times New Roman" w:eastAsia="宋体" w:cs="Times New Roman"/>
          <w:kern w:val="2"/>
          <w:sz w:val="21"/>
          <w:szCs w:val="24"/>
          <w:lang w:val="en-US" w:eastAsia="zh-CN" w:bidi="ar-SA"/>
        </w:rPr>
      </w:pPr>
    </w:p>
    <w:p w14:paraId="33CE4C8B">
      <w:pPr>
        <w:pStyle w:val="3"/>
        <w:rPr>
          <w:rFonts w:ascii="Times New Roman" w:hAnsi="Times New Roman" w:eastAsia="宋体" w:cs="Times New Roman"/>
          <w:kern w:val="2"/>
          <w:sz w:val="21"/>
          <w:szCs w:val="24"/>
          <w:lang w:val="en-US" w:eastAsia="zh-CN" w:bidi="ar-SA"/>
        </w:rPr>
      </w:pPr>
    </w:p>
    <w:p w14:paraId="73F46DEC">
      <w:pPr>
        <w:pStyle w:val="3"/>
        <w:rPr>
          <w:rFonts w:ascii="Times New Roman" w:hAnsi="Times New Roman" w:eastAsia="宋体" w:cs="Times New Roman"/>
          <w:kern w:val="2"/>
          <w:sz w:val="21"/>
          <w:szCs w:val="24"/>
          <w:lang w:val="en-US" w:eastAsia="zh-CN" w:bidi="ar-SA"/>
        </w:rPr>
      </w:pPr>
    </w:p>
    <w:p w14:paraId="1DFE5525">
      <w:pPr>
        <w:pStyle w:val="3"/>
        <w:rPr>
          <w:rFonts w:ascii="Times New Roman" w:hAnsi="Times New Roman" w:eastAsia="宋体" w:cs="Times New Roman"/>
          <w:kern w:val="2"/>
          <w:sz w:val="21"/>
          <w:szCs w:val="24"/>
          <w:lang w:val="en-US" w:eastAsia="zh-CN" w:bidi="ar-SA"/>
        </w:rPr>
      </w:pPr>
    </w:p>
    <w:p w14:paraId="4F99FA8F">
      <w:pPr>
        <w:pStyle w:val="3"/>
        <w:rPr>
          <w:rFonts w:ascii="Times New Roman" w:hAnsi="Times New Roman" w:eastAsia="宋体" w:cs="Times New Roman"/>
          <w:kern w:val="2"/>
          <w:sz w:val="21"/>
          <w:szCs w:val="24"/>
          <w:lang w:val="en-US" w:eastAsia="zh-CN" w:bidi="ar-SA"/>
        </w:rPr>
      </w:pPr>
    </w:p>
    <w:p w14:paraId="648AC696">
      <w:pPr>
        <w:pStyle w:val="3"/>
        <w:ind w:left="0" w:leftChars="0" w:firstLine="0" w:firstLineChars="0"/>
        <w:rPr>
          <w:rFonts w:ascii="Times New Roman" w:hAnsi="Times New Roman" w:eastAsia="宋体" w:cs="Times New Roman"/>
          <w:kern w:val="2"/>
          <w:sz w:val="21"/>
          <w:szCs w:val="24"/>
          <w:lang w:val="en-US" w:eastAsia="zh-CN" w:bidi="ar-SA"/>
        </w:rPr>
      </w:pPr>
    </w:p>
    <w:p w14:paraId="30F0FCB8">
      <w:pPr>
        <w:pStyle w:val="3"/>
        <w:rPr>
          <w:rFonts w:ascii="Times New Roman" w:hAnsi="Times New Roman" w:eastAsia="宋体" w:cs="Times New Roman"/>
          <w:kern w:val="2"/>
          <w:sz w:val="21"/>
          <w:szCs w:val="24"/>
          <w:lang w:val="en-US" w:eastAsia="zh-CN" w:bidi="ar-SA"/>
        </w:rPr>
      </w:pPr>
    </w:p>
    <w:p w14:paraId="1627D688">
      <w:pPr>
        <w:pStyle w:val="3"/>
        <w:rPr>
          <w:rFonts w:ascii="Times New Roman" w:hAnsi="Times New Roman" w:eastAsia="宋体" w:cs="Times New Roman"/>
          <w:kern w:val="2"/>
          <w:sz w:val="21"/>
          <w:szCs w:val="24"/>
          <w:lang w:val="en-US" w:eastAsia="zh-CN" w:bidi="ar-SA"/>
        </w:rPr>
      </w:pPr>
    </w:p>
    <w:p w14:paraId="031FEA18">
      <w:pPr>
        <w:pStyle w:val="3"/>
        <w:rPr>
          <w:rFonts w:ascii="Times New Roman" w:hAnsi="Times New Roman" w:eastAsia="宋体" w:cs="Times New Roman"/>
          <w:kern w:val="2"/>
          <w:sz w:val="21"/>
          <w:szCs w:val="24"/>
          <w:lang w:val="en-US" w:eastAsia="zh-CN" w:bidi="ar-SA"/>
        </w:rPr>
      </w:pPr>
    </w:p>
    <w:p w14:paraId="15701C2E">
      <w:pPr>
        <w:pStyle w:val="3"/>
        <w:rPr>
          <w:rFonts w:ascii="Times New Roman" w:hAnsi="Times New Roman" w:eastAsia="宋体" w:cs="Times New Roman"/>
          <w:kern w:val="2"/>
          <w:sz w:val="21"/>
          <w:szCs w:val="24"/>
          <w:lang w:val="en-US" w:eastAsia="zh-CN" w:bidi="ar-SA"/>
        </w:rPr>
      </w:pPr>
    </w:p>
    <w:p w14:paraId="401DD0F9">
      <w:pPr>
        <w:pStyle w:val="3"/>
        <w:rPr>
          <w:rFonts w:ascii="Times New Roman" w:hAnsi="Times New Roman" w:eastAsia="宋体" w:cs="Times New Roman"/>
          <w:kern w:val="2"/>
          <w:sz w:val="21"/>
          <w:szCs w:val="24"/>
          <w:lang w:val="en-US" w:eastAsia="zh-CN" w:bidi="ar-SA"/>
        </w:rPr>
      </w:pPr>
    </w:p>
    <w:p w14:paraId="736C31CE">
      <w:pPr>
        <w:pStyle w:val="3"/>
        <w:rPr>
          <w:rFonts w:ascii="Times New Roman" w:hAnsi="Times New Roman" w:eastAsia="宋体" w:cs="Times New Roman"/>
          <w:kern w:val="2"/>
          <w:sz w:val="21"/>
          <w:szCs w:val="24"/>
          <w:lang w:val="en-US" w:eastAsia="zh-CN" w:bidi="ar-SA"/>
        </w:rPr>
      </w:pPr>
    </w:p>
    <w:p w14:paraId="090F863D">
      <w:pPr>
        <w:pStyle w:val="3"/>
        <w:rPr>
          <w:rFonts w:ascii="Times New Roman" w:hAnsi="Times New Roman" w:eastAsia="宋体" w:cs="Times New Roman"/>
          <w:kern w:val="2"/>
          <w:sz w:val="21"/>
          <w:szCs w:val="24"/>
          <w:lang w:val="en-US" w:eastAsia="zh-CN" w:bidi="ar-SA"/>
        </w:rPr>
      </w:pPr>
    </w:p>
    <w:p w14:paraId="224472A6">
      <w:pPr>
        <w:pStyle w:val="3"/>
        <w:rPr>
          <w:rFonts w:ascii="Times New Roman" w:hAnsi="Times New Roman" w:eastAsia="宋体" w:cs="Times New Roman"/>
          <w:kern w:val="2"/>
          <w:sz w:val="21"/>
          <w:szCs w:val="24"/>
          <w:lang w:val="en-US" w:eastAsia="zh-CN" w:bidi="ar-SA"/>
        </w:rPr>
      </w:pPr>
    </w:p>
    <w:p w14:paraId="540D1CBA">
      <w:pPr>
        <w:pStyle w:val="3"/>
        <w:rPr>
          <w:rFonts w:ascii="Times New Roman" w:hAnsi="Times New Roman" w:eastAsia="宋体" w:cs="Times New Roman"/>
          <w:kern w:val="2"/>
          <w:sz w:val="21"/>
          <w:szCs w:val="24"/>
          <w:lang w:val="en-US" w:eastAsia="zh-CN" w:bidi="ar-SA"/>
        </w:rPr>
      </w:pPr>
    </w:p>
    <w:p w14:paraId="2AB4E57D">
      <w:pPr>
        <w:pStyle w:val="3"/>
        <w:rPr>
          <w:rFonts w:ascii="Times New Roman" w:hAnsi="Times New Roman" w:eastAsia="宋体" w:cs="Times New Roman"/>
          <w:kern w:val="2"/>
          <w:sz w:val="21"/>
          <w:szCs w:val="24"/>
          <w:lang w:val="en-US" w:eastAsia="zh-CN" w:bidi="ar-SA"/>
        </w:rPr>
      </w:pPr>
    </w:p>
    <w:p w14:paraId="56A47FD6">
      <w:pPr>
        <w:pStyle w:val="3"/>
        <w:rPr>
          <w:rFonts w:ascii="Times New Roman" w:hAnsi="Times New Roman" w:eastAsia="宋体" w:cs="Times New Roman"/>
          <w:kern w:val="2"/>
          <w:sz w:val="21"/>
          <w:szCs w:val="24"/>
          <w:lang w:val="en-US" w:eastAsia="zh-CN" w:bidi="ar-SA"/>
        </w:rPr>
      </w:pPr>
    </w:p>
    <w:p w14:paraId="339BE88A">
      <w:pPr>
        <w:pStyle w:val="3"/>
        <w:rPr>
          <w:rFonts w:ascii="Times New Roman" w:hAnsi="Times New Roman" w:eastAsia="宋体" w:cs="Times New Roman"/>
          <w:kern w:val="2"/>
          <w:sz w:val="21"/>
          <w:szCs w:val="24"/>
          <w:lang w:val="en-US" w:eastAsia="zh-CN" w:bidi="ar-SA"/>
        </w:rPr>
      </w:pPr>
    </w:p>
    <w:p w14:paraId="19E5C65A">
      <w:pPr>
        <w:pStyle w:val="3"/>
        <w:rPr>
          <w:rFonts w:ascii="Times New Roman" w:hAnsi="Times New Roman" w:eastAsia="宋体" w:cs="Times New Roman"/>
          <w:kern w:val="2"/>
          <w:sz w:val="21"/>
          <w:szCs w:val="24"/>
          <w:lang w:val="en-US" w:eastAsia="zh-CN" w:bidi="ar-SA"/>
        </w:rPr>
      </w:pPr>
    </w:p>
    <w:p w14:paraId="178098A4">
      <w:pPr>
        <w:pStyle w:val="2"/>
        <w:rPr>
          <w:lang w:val="en-US" w:eastAsia="zh-CN"/>
        </w:rPr>
      </w:pPr>
    </w:p>
    <w:p w14:paraId="59D9A0E7">
      <w:pPr>
        <w:numPr>
          <w:ilvl w:val="0"/>
          <w:numId w:val="5"/>
        </w:numPr>
        <w:spacing w:line="600" w:lineRule="exact"/>
        <w:ind w:firstLine="660" w:firstLineChars="150"/>
        <w:jc w:val="center"/>
        <w:outlineLvl w:val="0"/>
        <w:rPr>
          <w:rStyle w:val="28"/>
          <w:rFonts w:ascii="黑体" w:hAnsi="黑体" w:eastAsia="黑体"/>
          <w:b w:val="0"/>
        </w:rPr>
      </w:pPr>
      <w:bookmarkStart w:id="80" w:name="_Toc15377225"/>
      <w:bookmarkStart w:id="81" w:name="_Toc31460"/>
      <w:bookmarkStart w:id="82" w:name="_Toc15396613"/>
      <w:r>
        <w:rPr>
          <w:rFonts w:hint="eastAsia" w:ascii="黑体" w:hAnsi="黑体" w:eastAsia="黑体"/>
          <w:sz w:val="44"/>
          <w:szCs w:val="44"/>
        </w:rPr>
        <w:t>名</w:t>
      </w:r>
      <w:r>
        <w:rPr>
          <w:rStyle w:val="28"/>
          <w:rFonts w:hint="eastAsia" w:ascii="黑体" w:hAnsi="黑体" w:eastAsia="黑体"/>
          <w:b w:val="0"/>
        </w:rPr>
        <w:t>词解释</w:t>
      </w:r>
      <w:bookmarkEnd w:id="80"/>
      <w:bookmarkEnd w:id="81"/>
      <w:bookmarkEnd w:id="82"/>
    </w:p>
    <w:p w14:paraId="1439AA47">
      <w:pPr>
        <w:spacing w:line="600" w:lineRule="exact"/>
        <w:jc w:val="left"/>
        <w:rPr>
          <w:rFonts w:ascii="宋体"/>
          <w:b/>
          <w:sz w:val="44"/>
          <w:szCs w:val="44"/>
        </w:rPr>
      </w:pPr>
    </w:p>
    <w:p w14:paraId="22C8F523">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14:paraId="4A98D492">
      <w:pPr>
        <w:pStyle w:val="26"/>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14:paraId="75747613">
      <w:pPr>
        <w:pStyle w:val="26"/>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14:paraId="151183DB">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p>
    <w:p w14:paraId="4D84F830">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hAnsi="华文中宋" w:eastAsia="仿宋_GB2312"/>
          <w:sz w:val="32"/>
          <w:szCs w:val="32"/>
        </w:rPr>
        <w:t>使用非财政拨款结余（含专用结余）</w:t>
      </w:r>
      <w:r>
        <w:rPr>
          <w:rFonts w:hint="eastAsia" w:ascii="仿宋_GB2312" w:eastAsia="仿宋_GB2312"/>
          <w:color w:val="auto"/>
          <w:sz w:val="32"/>
          <w:szCs w:val="32"/>
        </w:rPr>
        <w:t>：指事业单位使用以前年度积累的非财政拨款结余弥补当年收支差额的金额。</w:t>
      </w:r>
      <w:r>
        <w:rPr>
          <w:rFonts w:ascii="仿宋_GB2312" w:eastAsia="仿宋_GB2312"/>
          <w:color w:val="auto"/>
          <w:sz w:val="32"/>
          <w:szCs w:val="32"/>
        </w:rPr>
        <w:t xml:space="preserve"> </w:t>
      </w:r>
    </w:p>
    <w:p w14:paraId="6C61E4D6">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14:paraId="0A625BAC">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08F3B6CC">
      <w:pPr>
        <w:pStyle w:val="2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14:paraId="7220BFB9">
      <w:pPr>
        <w:spacing w:line="600" w:lineRule="exact"/>
        <w:ind w:firstLine="640"/>
        <w:rPr>
          <w:rFonts w:ascii="仿宋_GB2312" w:hAnsi="Calibri" w:eastAsia="仿宋_GB2312" w:cs="仿宋"/>
          <w:color w:val="auto"/>
          <w:kern w:val="0"/>
          <w:sz w:val="32"/>
          <w:szCs w:val="32"/>
          <w:lang w:val="en-US" w:eastAsia="zh-CN" w:bidi="ar-SA"/>
        </w:rPr>
      </w:pPr>
      <w:r>
        <w:rPr>
          <w:rFonts w:ascii="仿宋_GB2312" w:hAnsi="Calibri" w:eastAsia="仿宋_GB2312" w:cs="仿宋"/>
          <w:color w:val="auto"/>
          <w:kern w:val="0"/>
          <w:sz w:val="32"/>
          <w:szCs w:val="32"/>
          <w:lang w:val="en-US" w:eastAsia="zh-CN" w:bidi="ar-SA"/>
        </w:rPr>
        <w:t>9.</w:t>
      </w:r>
      <w:r>
        <w:rPr>
          <w:rFonts w:hint="eastAsia" w:ascii="仿宋_GB2312" w:hAnsi="Calibri" w:eastAsia="仿宋_GB2312" w:cs="仿宋"/>
          <w:color w:val="auto"/>
          <w:kern w:val="0"/>
          <w:sz w:val="32"/>
          <w:szCs w:val="32"/>
          <w:lang w:val="en-US" w:eastAsia="zh-CN" w:bidi="ar-SA"/>
        </w:rPr>
        <w:t>一般公共服务社会保障和就业支出（208）行政事业单位养老支出（20805）机关事业单位基本养老保险缴费支出（2080505）：反映机关事业单位实施养老保险制度由单位缴纳的基本养老保险费支出。</w:t>
      </w:r>
      <w:r>
        <w:rPr>
          <w:rFonts w:hint="eastAsia" w:ascii="仿宋_GB2312" w:hAnsi="Calibri" w:eastAsia="仿宋_GB2312" w:cs="仿宋"/>
          <w:color w:val="auto"/>
          <w:kern w:val="0"/>
          <w:sz w:val="32"/>
          <w:szCs w:val="32"/>
          <w:lang w:val="en-US" w:eastAsia="zh-CN" w:bidi="ar-SA"/>
        </w:rPr>
        <w:cr/>
      </w:r>
      <w:r>
        <w:rPr>
          <w:rFonts w:hint="eastAsia" w:ascii="仿宋_GB2312" w:hAnsi="Calibri" w:eastAsia="仿宋_GB2312" w:cs="仿宋"/>
          <w:color w:val="auto"/>
          <w:kern w:val="0"/>
          <w:sz w:val="32"/>
          <w:szCs w:val="32"/>
          <w:lang w:val="en-US" w:eastAsia="zh-CN" w:bidi="ar-SA"/>
        </w:rPr>
        <w:t xml:space="preserve">    10.社会保障和就业支出（208）行政事业单位养老支出（20805）机关事业单位职业年金缴费支出（2080506）：反映机关事业单位实施养老保险制度由单位实际缴纳的职业年金支出。</w:t>
      </w:r>
      <w:r>
        <w:rPr>
          <w:rFonts w:hint="eastAsia" w:ascii="仿宋_GB2312" w:hAnsi="Calibri" w:eastAsia="仿宋_GB2312" w:cs="仿宋"/>
          <w:color w:val="auto"/>
          <w:kern w:val="0"/>
          <w:sz w:val="32"/>
          <w:szCs w:val="32"/>
          <w:lang w:val="en-US" w:eastAsia="zh-CN" w:bidi="ar-SA"/>
        </w:rPr>
        <w:cr/>
      </w:r>
      <w:r>
        <w:rPr>
          <w:rFonts w:hint="eastAsia" w:ascii="仿宋_GB2312" w:hAnsi="Calibri" w:eastAsia="仿宋_GB2312" w:cs="仿宋"/>
          <w:color w:val="auto"/>
          <w:kern w:val="0"/>
          <w:sz w:val="32"/>
          <w:szCs w:val="32"/>
          <w:lang w:val="en-US" w:eastAsia="zh-CN" w:bidi="ar-SA"/>
        </w:rPr>
        <w:t xml:space="preserve">   11.卫生健康支出（210）基层医疗卫生机构（2100403）乡镇卫生院（2100302）：反映卫生健康部门所属乡镇卫生院医疗机构的支出。</w:t>
      </w:r>
      <w:r>
        <w:rPr>
          <w:rFonts w:hint="eastAsia" w:ascii="仿宋_GB2312" w:hAnsi="Calibri" w:eastAsia="仿宋_GB2312" w:cs="仿宋"/>
          <w:color w:val="auto"/>
          <w:kern w:val="0"/>
          <w:sz w:val="32"/>
          <w:szCs w:val="32"/>
          <w:lang w:val="en-US" w:eastAsia="zh-CN" w:bidi="ar-SA"/>
        </w:rPr>
        <w:cr/>
      </w:r>
      <w:r>
        <w:rPr>
          <w:rFonts w:hint="eastAsia" w:ascii="仿宋_GB2312" w:hAnsi="Calibri" w:eastAsia="仿宋_GB2312" w:cs="仿宋"/>
          <w:color w:val="auto"/>
          <w:kern w:val="0"/>
          <w:sz w:val="32"/>
          <w:szCs w:val="32"/>
          <w:lang w:val="en-US" w:eastAsia="zh-CN" w:bidi="ar-SA"/>
        </w:rPr>
        <w:t xml:space="preserve">   12.卫生健康支出（210）公共卫生（21004）基本公共卫生服务（2100408）：反映基本公共卫生服务支出。</w:t>
      </w:r>
      <w:r>
        <w:rPr>
          <w:rFonts w:hint="eastAsia" w:ascii="仿宋_GB2312" w:hAnsi="Calibri" w:eastAsia="仿宋_GB2312" w:cs="仿宋"/>
          <w:color w:val="auto"/>
          <w:kern w:val="0"/>
          <w:sz w:val="32"/>
          <w:szCs w:val="32"/>
          <w:lang w:val="en-US" w:eastAsia="zh-CN" w:bidi="ar-SA"/>
        </w:rPr>
        <w:cr/>
      </w:r>
      <w:r>
        <w:rPr>
          <w:rFonts w:hint="eastAsia" w:ascii="仿宋_GB2312" w:hAnsi="Calibri" w:eastAsia="仿宋_GB2312" w:cs="仿宋"/>
          <w:color w:val="auto"/>
          <w:kern w:val="0"/>
          <w:sz w:val="32"/>
          <w:szCs w:val="32"/>
          <w:lang w:val="en-US" w:eastAsia="zh-CN" w:bidi="ar-SA"/>
        </w:rPr>
        <w:t xml:space="preserve">   13.卫生健康支出（210）行政事业单位医疗（21011）其他行政事业单位医疗（2101199）：反映财政部门安排的事业单位基本医疗保险缴费经费，未参加医疗保险的事业单位的公费医疗经费，按国家规定享受离休人员待遇的医疗经费。</w:t>
      </w:r>
    </w:p>
    <w:p w14:paraId="77A8E76A">
      <w:pPr>
        <w:spacing w:line="600" w:lineRule="exact"/>
        <w:ind w:firstLine="640" w:firstLineChars="20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14.卫生健康支出（210）公共卫生（21004）其他行政事业单位医疗支出（2100499）：其他公共卫生支出反映除上述项目以外的其他用于公共卫生方面的支出。</w:t>
      </w:r>
      <w:r>
        <w:rPr>
          <w:rFonts w:hint="eastAsia" w:ascii="仿宋_GB2312" w:hAnsi="Calibri" w:eastAsia="仿宋_GB2312" w:cs="仿宋"/>
          <w:color w:val="auto"/>
          <w:kern w:val="0"/>
          <w:sz w:val="32"/>
          <w:szCs w:val="32"/>
          <w:lang w:val="en-US" w:eastAsia="zh-CN" w:bidi="ar-SA"/>
        </w:rPr>
        <w:cr/>
      </w:r>
      <w:r>
        <w:rPr>
          <w:rFonts w:hint="eastAsia" w:ascii="仿宋_GB2312" w:hAnsi="Calibri" w:eastAsia="仿宋_GB2312" w:cs="仿宋"/>
          <w:color w:val="auto"/>
          <w:kern w:val="0"/>
          <w:sz w:val="32"/>
          <w:szCs w:val="32"/>
          <w:lang w:val="en-US" w:eastAsia="zh-CN" w:bidi="ar-SA"/>
        </w:rPr>
        <w:t xml:space="preserve">   15.住房保障支出（221）住房改革支出（22102）住房公积金（2210201）：反映行政事业单位按人力资源和社会保障部、财政部规定的基本工资和津贴补贴以及规定比例为职工缴纳的住房公积金。</w:t>
      </w:r>
    </w:p>
    <w:p w14:paraId="433BAB6B">
      <w:pPr>
        <w:spacing w:line="600" w:lineRule="exact"/>
        <w:ind w:firstLine="640" w:firstLineChars="200"/>
        <w:rPr>
          <w:rFonts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16.基本支出：指为保障机构正常运转、完成日常工作任务而发生的人员支出和公用支出。</w:t>
      </w:r>
    </w:p>
    <w:p w14:paraId="0BA183E5">
      <w:pPr>
        <w:spacing w:line="600" w:lineRule="exact"/>
        <w:ind w:firstLine="640" w:firstLineChars="20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 xml:space="preserve">17.项目支出：指在基本支出之外为完成特定行政任务和事业发展目标所发生的支出。 </w:t>
      </w:r>
    </w:p>
    <w:p w14:paraId="0053BC51">
      <w:pPr>
        <w:spacing w:line="600" w:lineRule="exact"/>
        <w:ind w:firstLine="640" w:firstLineChars="20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18.经营支出：指事业单位在专业业务活动及其辅助活动之外开展非独立核算经营活动发生的支出。</w:t>
      </w:r>
    </w:p>
    <w:p w14:paraId="780ABBFF">
      <w:pPr>
        <w:spacing w:line="600" w:lineRule="exact"/>
        <w:ind w:firstLine="640" w:firstLineChars="20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19.“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5070DED1">
      <w:pPr>
        <w:spacing w:line="600" w:lineRule="exact"/>
        <w:ind w:firstLine="640" w:firstLineChars="20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20.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DFB3AC6">
      <w:pPr>
        <w:spacing w:line="600" w:lineRule="exact"/>
        <w:ind w:firstLine="640" w:firstLineChars="200"/>
        <w:rPr>
          <w:rFonts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21.财政应返还额度：为行政事业单位会计核算科目，用于核算实行国库集中支付的行政事业单位应收财政返还的资金额度。</w:t>
      </w:r>
    </w:p>
    <w:p w14:paraId="6DE7124E">
      <w:pPr>
        <w:spacing w:line="600" w:lineRule="exact"/>
        <w:jc w:val="center"/>
        <w:outlineLvl w:val="0"/>
        <w:rPr>
          <w:rFonts w:hint="eastAsia" w:ascii="Times New Roman" w:hAnsi="Times New Roman" w:cs="Times New Roman"/>
          <w:color w:val="000000"/>
          <w:kern w:val="0"/>
          <w:sz w:val="32"/>
          <w:szCs w:val="32"/>
          <w:highlight w:val="none"/>
          <w:shd w:val="clear" w:color="auto" w:fill="FFFFFF"/>
          <w:lang w:val="en-US" w:eastAsia="zh-CN"/>
        </w:rPr>
      </w:pPr>
      <w:bookmarkStart w:id="83" w:name="_Toc15377226"/>
      <w:r>
        <w:rPr>
          <w:rFonts w:ascii="宋体"/>
          <w:b/>
          <w:sz w:val="44"/>
          <w:szCs w:val="44"/>
        </w:rPr>
        <w:br w:type="page"/>
      </w:r>
      <w:bookmarkStart w:id="84" w:name="_Toc15396614"/>
      <w:bookmarkStart w:id="85" w:name="_Toc14590"/>
      <w:r>
        <w:rPr>
          <w:rFonts w:hint="eastAsia" w:ascii="黑体" w:hAnsi="黑体" w:eastAsia="黑体"/>
          <w:sz w:val="44"/>
          <w:szCs w:val="44"/>
        </w:rPr>
        <w:t>第</w:t>
      </w:r>
      <w:r>
        <w:rPr>
          <w:rStyle w:val="28"/>
          <w:rFonts w:hint="eastAsia" w:ascii="黑体" w:hAnsi="黑体" w:eastAsia="黑体"/>
          <w:b w:val="0"/>
        </w:rPr>
        <w:t>四部分 附件</w:t>
      </w:r>
      <w:bookmarkEnd w:id="84"/>
      <w:bookmarkEnd w:id="85"/>
      <w:bookmarkStart w:id="86" w:name="_Toc15396618"/>
    </w:p>
    <w:p w14:paraId="4A58FB38">
      <w:pPr>
        <w:pStyle w:val="3"/>
        <w:spacing w:line="560" w:lineRule="exact"/>
        <w:ind w:left="0" w:leftChars="0" w:firstLine="0" w:firstLineChars="0"/>
        <w:jc w:val="center"/>
        <w:rPr>
          <w:rFonts w:hint="eastAsia" w:ascii="Times New Roman" w:hAnsi="Times New Roman" w:cs="Times New Roman"/>
          <w:color w:val="000000"/>
          <w:kern w:val="0"/>
          <w:sz w:val="32"/>
          <w:szCs w:val="32"/>
          <w:highlight w:val="none"/>
          <w:shd w:val="clear" w:color="auto" w:fill="FFFFFF"/>
          <w:lang w:val="en-US" w:eastAsia="zh-CN"/>
        </w:rPr>
      </w:pPr>
      <w:bookmarkStart w:id="87" w:name="_Toc15384_WPSOffice_Level2"/>
    </w:p>
    <w:p w14:paraId="1C3ED872">
      <w:pPr>
        <w:pStyle w:val="3"/>
        <w:spacing w:line="560" w:lineRule="exact"/>
        <w:ind w:left="0" w:leftChars="0" w:firstLine="0" w:firstLineChars="0"/>
        <w:jc w:val="center"/>
        <w:rPr>
          <w:rFonts w:hint="default" w:ascii="Times New Roman" w:hAnsi="Times New Roman" w:cs="Times New Roman"/>
          <w:color w:val="000000"/>
          <w:kern w:val="0"/>
          <w:sz w:val="32"/>
          <w:szCs w:val="32"/>
          <w:highlight w:val="none"/>
          <w:shd w:val="clear" w:color="auto" w:fill="FFFFFF"/>
          <w:lang w:val="en-US" w:eastAsia="zh-CN"/>
        </w:rPr>
      </w:pPr>
      <w:r>
        <w:rPr>
          <w:rFonts w:hint="eastAsia" w:ascii="Times New Roman" w:hAnsi="Times New Roman" w:cs="Times New Roman"/>
          <w:color w:val="000000"/>
          <w:kern w:val="0"/>
          <w:sz w:val="32"/>
          <w:szCs w:val="32"/>
          <w:highlight w:val="none"/>
          <w:shd w:val="clear" w:color="auto" w:fill="FFFFFF"/>
          <w:lang w:val="en-US" w:eastAsia="zh-CN"/>
        </w:rPr>
        <w:t>附表：</w:t>
      </w:r>
      <w:r>
        <w:rPr>
          <w:rFonts w:hint="default" w:ascii="Times New Roman" w:hAnsi="Times New Roman" w:cs="Times New Roman"/>
          <w:color w:val="000000"/>
          <w:kern w:val="0"/>
          <w:sz w:val="32"/>
          <w:szCs w:val="32"/>
          <w:highlight w:val="none"/>
          <w:shd w:val="clear" w:color="auto" w:fill="FFFFFF"/>
          <w:lang w:val="en-US" w:eastAsia="zh-CN"/>
        </w:rPr>
        <w:t>部门整体支出绩效目标完成情况自评表</w:t>
      </w:r>
      <w:bookmarkEnd w:id="87"/>
    </w:p>
    <w:p w14:paraId="6B569BCC">
      <w:pPr>
        <w:pStyle w:val="3"/>
        <w:spacing w:line="560" w:lineRule="exact"/>
        <w:ind w:left="0" w:leftChars="0" w:firstLine="0" w:firstLineChars="0"/>
        <w:rPr>
          <w:rFonts w:hint="default"/>
          <w:lang w:val="en-US" w:eastAsia="zh-CN"/>
        </w:rPr>
      </w:pPr>
    </w:p>
    <w:tbl>
      <w:tblPr>
        <w:tblStyle w:val="15"/>
        <w:tblW w:w="9480" w:type="dxa"/>
        <w:tblInd w:w="0" w:type="dxa"/>
        <w:shd w:val="clear" w:color="auto" w:fill="auto"/>
        <w:tblLayout w:type="fixed"/>
        <w:tblCellMar>
          <w:top w:w="0" w:type="dxa"/>
          <w:left w:w="0" w:type="dxa"/>
          <w:bottom w:w="0" w:type="dxa"/>
          <w:right w:w="0" w:type="dxa"/>
        </w:tblCellMar>
      </w:tblPr>
      <w:tblGrid>
        <w:gridCol w:w="458"/>
        <w:gridCol w:w="1380"/>
        <w:gridCol w:w="1193"/>
        <w:gridCol w:w="1522"/>
        <w:gridCol w:w="1"/>
        <w:gridCol w:w="350"/>
        <w:gridCol w:w="1126"/>
        <w:gridCol w:w="351"/>
        <w:gridCol w:w="1"/>
        <w:gridCol w:w="733"/>
        <w:gridCol w:w="340"/>
        <w:gridCol w:w="307"/>
        <w:gridCol w:w="1"/>
        <w:gridCol w:w="1717"/>
      </w:tblGrid>
      <w:tr w14:paraId="54CC5D21">
        <w:tblPrEx>
          <w:tblCellMar>
            <w:top w:w="0" w:type="dxa"/>
            <w:left w:w="0" w:type="dxa"/>
            <w:bottom w:w="0" w:type="dxa"/>
            <w:right w:w="0" w:type="dxa"/>
          </w:tblCellMar>
        </w:tblPrEx>
        <w:trPr>
          <w:trHeight w:val="1041" w:hRule="atLeast"/>
        </w:trPr>
        <w:tc>
          <w:tcPr>
            <w:tcW w:w="9480"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561FF">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14:paraId="1E543830">
        <w:tblPrEx>
          <w:tblCellMar>
            <w:top w:w="0" w:type="dxa"/>
            <w:left w:w="0" w:type="dxa"/>
            <w:bottom w:w="0" w:type="dxa"/>
            <w:right w:w="0" w:type="dxa"/>
          </w:tblCellMar>
        </w:tblPrEx>
        <w:trPr>
          <w:trHeight w:val="394" w:hRule="atLeast"/>
        </w:trPr>
        <w:tc>
          <w:tcPr>
            <w:tcW w:w="18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82DF3">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7642"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0216F">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51322422T000006098975</w:t>
            </w:r>
            <w:r>
              <w:rPr>
                <w:rFonts w:hint="eastAsia" w:ascii="宋体" w:hAnsi="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基层医疗卫生机构基本药物制度补助</w:t>
            </w:r>
          </w:p>
        </w:tc>
      </w:tr>
      <w:tr w14:paraId="40FD22D1">
        <w:tblPrEx>
          <w:tblCellMar>
            <w:top w:w="0" w:type="dxa"/>
            <w:left w:w="0" w:type="dxa"/>
            <w:bottom w:w="0" w:type="dxa"/>
            <w:right w:w="0" w:type="dxa"/>
          </w:tblCellMar>
        </w:tblPrEx>
        <w:trPr>
          <w:trHeight w:val="735" w:hRule="atLeast"/>
        </w:trPr>
        <w:tc>
          <w:tcPr>
            <w:tcW w:w="18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8E87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45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4DC5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松潘县卫生健康局本级</w:t>
            </w:r>
          </w:p>
        </w:tc>
        <w:tc>
          <w:tcPr>
            <w:tcW w:w="734" w:type="dxa"/>
            <w:gridSpan w:val="2"/>
            <w:tcBorders>
              <w:top w:val="nil"/>
              <w:left w:val="nil"/>
              <w:bottom w:val="nil"/>
              <w:right w:val="nil"/>
            </w:tcBorders>
            <w:shd w:val="clear" w:color="auto" w:fill="auto"/>
            <w:tcMar>
              <w:top w:w="15" w:type="dxa"/>
              <w:left w:w="15" w:type="dxa"/>
              <w:right w:w="15" w:type="dxa"/>
            </w:tcMar>
            <w:vAlign w:val="center"/>
          </w:tcPr>
          <w:p w14:paraId="1052BC5F">
            <w:pPr>
              <w:keepNext w:val="0"/>
              <w:keepLines w:val="0"/>
              <w:widowControl/>
              <w:suppressLineNumbers w:val="0"/>
              <w:jc w:val="left"/>
              <w:textAlignment w:val="center"/>
              <w:rPr>
                <w:rFonts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36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D48B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松潘县毛儿盖镇中心卫生院</w:t>
            </w:r>
          </w:p>
        </w:tc>
      </w:tr>
      <w:tr w14:paraId="7DEED68F">
        <w:tblPrEx>
          <w:shd w:val="clear" w:color="auto" w:fill="auto"/>
          <w:tblCellMar>
            <w:top w:w="0" w:type="dxa"/>
            <w:left w:w="0" w:type="dxa"/>
            <w:bottom w:w="0" w:type="dxa"/>
            <w:right w:w="0" w:type="dxa"/>
          </w:tblCellMar>
        </w:tblPrEx>
        <w:trPr>
          <w:trHeight w:val="394" w:hRule="atLeast"/>
        </w:trPr>
        <w:tc>
          <w:tcPr>
            <w:tcW w:w="4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F03A03">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02FFB">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45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5EF7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09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051CA">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5935F3D4">
        <w:tblPrEx>
          <w:tblCellMar>
            <w:top w:w="0" w:type="dxa"/>
            <w:left w:w="0" w:type="dxa"/>
            <w:bottom w:w="0" w:type="dxa"/>
            <w:right w:w="0" w:type="dxa"/>
          </w:tblCellMar>
        </w:tblPrEx>
        <w:trPr>
          <w:trHeight w:val="827"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98174">
            <w:pPr>
              <w:rPr>
                <w:rFonts w:hint="eastAsia" w:ascii="宋体" w:hAnsi="宋体" w:eastAsia="宋体" w:cs="宋体"/>
                <w:i w:val="0"/>
                <w:color w:val="000000"/>
                <w:sz w:val="18"/>
                <w:szCs w:val="18"/>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8CA4E">
            <w:pPr>
              <w:rPr>
                <w:rFonts w:hint="eastAsia" w:ascii="宋体" w:hAnsi="宋体" w:eastAsia="宋体" w:cs="宋体"/>
                <w:i w:val="0"/>
                <w:color w:val="000000"/>
                <w:sz w:val="18"/>
                <w:szCs w:val="18"/>
                <w:u w:val="none"/>
              </w:rPr>
            </w:pPr>
          </w:p>
        </w:tc>
        <w:tc>
          <w:tcPr>
            <w:tcW w:w="4543" w:type="dxa"/>
            <w:gridSpan w:val="6"/>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39D66954">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保障乡镇群众基本药物需求</w:t>
            </w:r>
          </w:p>
        </w:tc>
        <w:tc>
          <w:tcPr>
            <w:tcW w:w="3099" w:type="dxa"/>
            <w:gridSpan w:val="6"/>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117C8FF">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已完成</w:t>
            </w:r>
          </w:p>
        </w:tc>
      </w:tr>
      <w:tr w14:paraId="1CCC8EE1">
        <w:tblPrEx>
          <w:shd w:val="clear" w:color="auto" w:fill="auto"/>
          <w:tblCellMar>
            <w:top w:w="0" w:type="dxa"/>
            <w:left w:w="0" w:type="dxa"/>
            <w:bottom w:w="0" w:type="dxa"/>
            <w:right w:w="0" w:type="dxa"/>
          </w:tblCellMar>
        </w:tblPrEx>
        <w:trPr>
          <w:trHeight w:val="810"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FA888">
            <w:pP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ABCBB">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7642"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87D084">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 xml:space="preserve">   维护群众的基本医疗卫生权益，促进社会公平正义；改变医疗机构“以药补医”的运行机制，体现基本医疗卫生的公益性；规范药品生产流通使用行为，促进合理用药，减轻群众负担。</w:t>
            </w:r>
          </w:p>
        </w:tc>
      </w:tr>
      <w:tr w14:paraId="1C9C4BD3">
        <w:tblPrEx>
          <w:tblCellMar>
            <w:top w:w="0" w:type="dxa"/>
            <w:left w:w="0" w:type="dxa"/>
            <w:bottom w:w="0" w:type="dxa"/>
            <w:right w:w="0" w:type="dxa"/>
          </w:tblCellMar>
        </w:tblPrEx>
        <w:trPr>
          <w:trHeight w:val="657" w:hRule="atLeast"/>
        </w:trPr>
        <w:tc>
          <w:tcPr>
            <w:tcW w:w="4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7F55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CA4D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19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96E4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523"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3753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827" w:type="dxa"/>
            <w:gridSpan w:val="3"/>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F4D3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734"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0A8DB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34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94AE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08"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BDC8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71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CE9D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4CA57C8F">
        <w:tblPrEx>
          <w:shd w:val="clear" w:color="auto" w:fill="auto"/>
          <w:tblCellMar>
            <w:top w:w="0" w:type="dxa"/>
            <w:left w:w="0" w:type="dxa"/>
            <w:bottom w:w="0" w:type="dxa"/>
            <w:right w:w="0" w:type="dxa"/>
          </w:tblCellMar>
        </w:tblPrEx>
        <w:trPr>
          <w:trHeight w:val="430"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5AB3B">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DE1A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EFA5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E406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3.67</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A8B0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3.67</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5852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1DE8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4DB3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71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08699">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205A3EE6">
        <w:tblPrEx>
          <w:tblCellMar>
            <w:top w:w="0" w:type="dxa"/>
            <w:left w:w="0" w:type="dxa"/>
            <w:bottom w:w="0" w:type="dxa"/>
            <w:right w:w="0" w:type="dxa"/>
          </w:tblCellMar>
        </w:tblPrEx>
        <w:trPr>
          <w:trHeight w:val="480"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5B7E3">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7EA6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EDB5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0B26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3.67</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0D18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3.67</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97AE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7810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8C49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05A57">
            <w:pPr>
              <w:rPr>
                <w:rFonts w:hint="eastAsia" w:ascii="黑体" w:hAnsi="黑体" w:eastAsia="黑体" w:cs="黑体"/>
                <w:i/>
                <w:color w:val="000000"/>
                <w:sz w:val="18"/>
                <w:szCs w:val="18"/>
                <w:u w:val="none"/>
              </w:rPr>
            </w:pPr>
          </w:p>
        </w:tc>
      </w:tr>
      <w:tr w14:paraId="6ADFC205">
        <w:tblPrEx>
          <w:shd w:val="clear" w:color="auto" w:fill="auto"/>
          <w:tblCellMar>
            <w:top w:w="0" w:type="dxa"/>
            <w:left w:w="0" w:type="dxa"/>
            <w:bottom w:w="0" w:type="dxa"/>
            <w:right w:w="0" w:type="dxa"/>
          </w:tblCellMar>
        </w:tblPrEx>
        <w:trPr>
          <w:trHeight w:val="657"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4F986">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0B79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2399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C225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2EFB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33A9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9D9A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8276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53F30">
            <w:pPr>
              <w:rPr>
                <w:rFonts w:hint="eastAsia" w:ascii="黑体" w:hAnsi="黑体" w:eastAsia="黑体" w:cs="黑体"/>
                <w:i/>
                <w:color w:val="000000"/>
                <w:sz w:val="18"/>
                <w:szCs w:val="18"/>
                <w:u w:val="none"/>
              </w:rPr>
            </w:pPr>
          </w:p>
        </w:tc>
      </w:tr>
      <w:tr w14:paraId="43F6FC67">
        <w:tblPrEx>
          <w:tblCellMar>
            <w:top w:w="0" w:type="dxa"/>
            <w:left w:w="0" w:type="dxa"/>
            <w:bottom w:w="0" w:type="dxa"/>
            <w:right w:w="0" w:type="dxa"/>
          </w:tblCellMar>
        </w:tblPrEx>
        <w:trPr>
          <w:trHeight w:val="447"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D4000">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5A94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3FD2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9989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555C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7F39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C99E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DEC2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FFEE3">
            <w:pPr>
              <w:rPr>
                <w:rFonts w:hint="eastAsia" w:ascii="黑体" w:hAnsi="黑体" w:eastAsia="黑体" w:cs="黑体"/>
                <w:i/>
                <w:color w:val="000000"/>
                <w:sz w:val="18"/>
                <w:szCs w:val="18"/>
                <w:u w:val="none"/>
              </w:rPr>
            </w:pPr>
          </w:p>
        </w:tc>
      </w:tr>
      <w:tr w14:paraId="752D2DDF">
        <w:tblPrEx>
          <w:shd w:val="clear" w:color="auto" w:fill="auto"/>
          <w:tblCellMar>
            <w:top w:w="0" w:type="dxa"/>
            <w:left w:w="0" w:type="dxa"/>
            <w:bottom w:w="0" w:type="dxa"/>
            <w:right w:w="0" w:type="dxa"/>
          </w:tblCellMar>
        </w:tblPrEx>
        <w:trPr>
          <w:trHeight w:val="853"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D8A49">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F439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6F02A">
            <w:pPr>
              <w:jc w:val="center"/>
              <w:rPr>
                <w:rFonts w:hint="eastAsia" w:ascii="微软雅黑" w:hAnsi="微软雅黑" w:eastAsia="微软雅黑" w:cs="微软雅黑"/>
                <w:i/>
                <w:color w:val="000000"/>
                <w:sz w:val="16"/>
                <w:szCs w:val="16"/>
                <w:u w:val="none"/>
              </w:rPr>
            </w:pP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A3D86">
            <w:pPr>
              <w:jc w:val="center"/>
              <w:rPr>
                <w:rFonts w:hint="eastAsia" w:ascii="微软雅黑" w:hAnsi="微软雅黑" w:eastAsia="微软雅黑" w:cs="微软雅黑"/>
                <w:i/>
                <w:color w:val="000000"/>
                <w:sz w:val="16"/>
                <w:szCs w:val="16"/>
                <w:u w:val="none"/>
              </w:rPr>
            </w:pP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F0C3A">
            <w:pPr>
              <w:jc w:val="center"/>
              <w:rPr>
                <w:rFonts w:hint="eastAsia" w:ascii="微软雅黑" w:hAnsi="微软雅黑" w:eastAsia="微软雅黑" w:cs="微软雅黑"/>
                <w:i/>
                <w:color w:val="000000"/>
                <w:sz w:val="16"/>
                <w:szCs w:val="16"/>
                <w:u w:val="none"/>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D4DD1">
            <w:pPr>
              <w:jc w:val="center"/>
              <w:rPr>
                <w:rFonts w:hint="eastAsia" w:ascii="微软雅黑" w:hAnsi="微软雅黑" w:eastAsia="微软雅黑" w:cs="微软雅黑"/>
                <w:i/>
                <w:color w:val="000000"/>
                <w:sz w:val="16"/>
                <w:szCs w:val="16"/>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BB7A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88B5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D1AD8">
            <w:pPr>
              <w:rPr>
                <w:rFonts w:hint="eastAsia" w:ascii="黑体" w:hAnsi="黑体" w:eastAsia="黑体" w:cs="黑体"/>
                <w:i/>
                <w:color w:val="000000"/>
                <w:sz w:val="18"/>
                <w:szCs w:val="18"/>
                <w:u w:val="none"/>
              </w:rPr>
            </w:pPr>
          </w:p>
        </w:tc>
      </w:tr>
      <w:tr w14:paraId="5CDF0738">
        <w:tblPrEx>
          <w:shd w:val="clear" w:color="auto" w:fill="auto"/>
          <w:tblCellMar>
            <w:top w:w="0" w:type="dxa"/>
            <w:left w:w="0" w:type="dxa"/>
            <w:bottom w:w="0" w:type="dxa"/>
            <w:right w:w="0" w:type="dxa"/>
          </w:tblCellMar>
        </w:tblPrEx>
        <w:trPr>
          <w:trHeight w:val="1289" w:hRule="atLeast"/>
        </w:trPr>
        <w:tc>
          <w:tcPr>
            <w:tcW w:w="4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D448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9710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8378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A089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6951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9D81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3930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24E5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8050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0360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5918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377EF4C8">
        <w:tblPrEx>
          <w:tblCellMar>
            <w:top w:w="0" w:type="dxa"/>
            <w:left w:w="0" w:type="dxa"/>
            <w:bottom w:w="0" w:type="dxa"/>
            <w:right w:w="0" w:type="dxa"/>
          </w:tblCellMar>
        </w:tblPrEx>
        <w:trPr>
          <w:trHeight w:val="657"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96124">
            <w:pPr>
              <w:jc w:val="center"/>
              <w:rPr>
                <w:rFonts w:hint="eastAsia" w:ascii="宋体" w:hAnsi="宋体" w:eastAsia="宋体" w:cs="宋体"/>
                <w:i w:val="0"/>
                <w:color w:val="000000"/>
                <w:sz w:val="18"/>
                <w:szCs w:val="18"/>
                <w:u w:val="none"/>
              </w:rPr>
            </w:pP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E07A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E71E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81C4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享受基层药物补助人数</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62DFC">
            <w:pPr>
              <w:keepNext w:val="0"/>
              <w:keepLines w:val="0"/>
              <w:widowControl/>
              <w:suppressLineNumbers w:val="0"/>
              <w:jc w:val="center"/>
              <w:textAlignment w:val="center"/>
              <w:rPr>
                <w:rFonts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1376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人数</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4EB9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人数</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A9CF3">
            <w:pPr>
              <w:jc w:val="center"/>
              <w:rPr>
                <w:rFonts w:hint="eastAsia" w:ascii="宋体" w:hAnsi="宋体" w:eastAsia="宋体" w:cs="宋体"/>
                <w:i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A1D7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4568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FFBE1">
            <w:pPr>
              <w:jc w:val="center"/>
              <w:rPr>
                <w:rFonts w:hint="eastAsia" w:ascii="宋体" w:hAnsi="宋体" w:eastAsia="宋体" w:cs="宋体"/>
                <w:i w:val="0"/>
                <w:color w:val="000000"/>
                <w:sz w:val="18"/>
                <w:szCs w:val="18"/>
                <w:u w:val="none"/>
              </w:rPr>
            </w:pPr>
          </w:p>
        </w:tc>
      </w:tr>
      <w:tr w14:paraId="144F3320">
        <w:tblPrEx>
          <w:shd w:val="clear" w:color="auto" w:fill="auto"/>
          <w:tblCellMar>
            <w:top w:w="0" w:type="dxa"/>
            <w:left w:w="0" w:type="dxa"/>
            <w:bottom w:w="0" w:type="dxa"/>
            <w:right w:w="0" w:type="dxa"/>
          </w:tblCellMar>
        </w:tblPrEx>
        <w:trPr>
          <w:trHeight w:val="657"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FEB9F">
            <w:pPr>
              <w:jc w:val="center"/>
              <w:rPr>
                <w:rFonts w:hint="eastAsia" w:ascii="宋体" w:hAnsi="宋体" w:eastAsia="宋体" w:cs="宋体"/>
                <w:i w:val="0"/>
                <w:color w:val="000000"/>
                <w:sz w:val="18"/>
                <w:szCs w:val="18"/>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D85BA">
            <w:pPr>
              <w:jc w:val="center"/>
              <w:rPr>
                <w:rFonts w:hint="eastAsia" w:ascii="宋体" w:hAnsi="宋体" w:eastAsia="宋体" w:cs="宋体"/>
                <w:i w:val="0"/>
                <w:color w:val="000000"/>
                <w:sz w:val="18"/>
                <w:szCs w:val="18"/>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9097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E494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享受基层药物补助标准</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11AC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E70E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42DD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12151">
            <w:pPr>
              <w:jc w:val="center"/>
              <w:rPr>
                <w:rFonts w:hint="eastAsia" w:ascii="宋体" w:hAnsi="宋体" w:eastAsia="宋体" w:cs="宋体"/>
                <w:i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B1A8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F2BE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37BFB">
            <w:pPr>
              <w:jc w:val="center"/>
              <w:rPr>
                <w:rFonts w:hint="eastAsia" w:ascii="宋体" w:hAnsi="宋体" w:eastAsia="宋体" w:cs="宋体"/>
                <w:i w:val="0"/>
                <w:color w:val="000000"/>
                <w:sz w:val="18"/>
                <w:szCs w:val="18"/>
                <w:u w:val="none"/>
              </w:rPr>
            </w:pPr>
          </w:p>
        </w:tc>
      </w:tr>
      <w:tr w14:paraId="259AAE3C">
        <w:tblPrEx>
          <w:tblCellMar>
            <w:top w:w="0" w:type="dxa"/>
            <w:left w:w="0" w:type="dxa"/>
            <w:bottom w:w="0" w:type="dxa"/>
            <w:right w:w="0" w:type="dxa"/>
          </w:tblCellMar>
        </w:tblPrEx>
        <w:trPr>
          <w:trHeight w:val="657"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46F66">
            <w:pPr>
              <w:jc w:val="center"/>
              <w:rPr>
                <w:rFonts w:hint="eastAsia" w:ascii="宋体" w:hAnsi="宋体" w:eastAsia="宋体" w:cs="宋体"/>
                <w:i w:val="0"/>
                <w:color w:val="000000"/>
                <w:sz w:val="18"/>
                <w:szCs w:val="18"/>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A2900">
            <w:pPr>
              <w:jc w:val="center"/>
              <w:rPr>
                <w:rFonts w:hint="eastAsia" w:ascii="宋体" w:hAnsi="宋体" w:eastAsia="宋体" w:cs="宋体"/>
                <w:i w:val="0"/>
                <w:color w:val="000000"/>
                <w:sz w:val="18"/>
                <w:szCs w:val="18"/>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4027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0661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基层</w:t>
            </w:r>
            <w:r>
              <w:rPr>
                <w:rFonts w:hint="eastAsia" w:ascii="宋体" w:hAnsi="宋体" w:cs="宋体"/>
                <w:i w:val="0"/>
                <w:color w:val="000000"/>
                <w:kern w:val="0"/>
                <w:sz w:val="18"/>
                <w:szCs w:val="18"/>
                <w:u w:val="none"/>
                <w:lang w:val="en-US" w:eastAsia="zh-CN" w:bidi="ar"/>
              </w:rPr>
              <w:t>药物</w:t>
            </w:r>
            <w:r>
              <w:rPr>
                <w:rFonts w:ascii="宋体" w:hAnsi="宋体" w:eastAsia="宋体" w:cs="宋体"/>
                <w:i w:val="0"/>
                <w:color w:val="000000"/>
                <w:kern w:val="0"/>
                <w:sz w:val="18"/>
                <w:szCs w:val="18"/>
                <w:u w:val="none"/>
                <w:lang w:val="en-US" w:eastAsia="zh-CN" w:bidi="ar"/>
              </w:rPr>
              <w:t>补助使用率</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21D7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6625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1E8F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9FD58">
            <w:pPr>
              <w:jc w:val="center"/>
              <w:rPr>
                <w:rFonts w:hint="eastAsia" w:ascii="宋体" w:hAnsi="宋体" w:eastAsia="宋体" w:cs="宋体"/>
                <w:i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AD30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3CF2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C5210">
            <w:pPr>
              <w:jc w:val="center"/>
              <w:rPr>
                <w:rFonts w:hint="eastAsia" w:ascii="宋体" w:hAnsi="宋体" w:eastAsia="宋体" w:cs="宋体"/>
                <w:i w:val="0"/>
                <w:color w:val="000000"/>
                <w:sz w:val="18"/>
                <w:szCs w:val="18"/>
                <w:u w:val="none"/>
              </w:rPr>
            </w:pPr>
          </w:p>
        </w:tc>
      </w:tr>
      <w:tr w14:paraId="65226C18">
        <w:tblPrEx>
          <w:shd w:val="clear" w:color="auto" w:fill="auto"/>
          <w:tblCellMar>
            <w:top w:w="0" w:type="dxa"/>
            <w:left w:w="0" w:type="dxa"/>
            <w:bottom w:w="0" w:type="dxa"/>
            <w:right w:w="0" w:type="dxa"/>
          </w:tblCellMar>
        </w:tblPrEx>
        <w:trPr>
          <w:trHeight w:val="657"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4019B">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2C42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9654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4292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享受人员基本情况有效改善</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9462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6CB7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15B0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F657E">
            <w:pPr>
              <w:jc w:val="center"/>
              <w:rPr>
                <w:rFonts w:hint="eastAsia" w:ascii="宋体" w:hAnsi="宋体" w:eastAsia="宋体" w:cs="宋体"/>
                <w:i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EA65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641D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DFBCD">
            <w:pPr>
              <w:jc w:val="center"/>
              <w:rPr>
                <w:rFonts w:hint="eastAsia" w:ascii="宋体" w:hAnsi="宋体" w:eastAsia="宋体" w:cs="宋体"/>
                <w:i w:val="0"/>
                <w:color w:val="000000"/>
                <w:sz w:val="18"/>
                <w:szCs w:val="18"/>
                <w:u w:val="none"/>
              </w:rPr>
            </w:pPr>
          </w:p>
        </w:tc>
      </w:tr>
      <w:tr w14:paraId="37BB663C">
        <w:tblPrEx>
          <w:tblCellMar>
            <w:top w:w="0" w:type="dxa"/>
            <w:left w:w="0" w:type="dxa"/>
            <w:bottom w:w="0" w:type="dxa"/>
            <w:right w:w="0" w:type="dxa"/>
          </w:tblCellMar>
        </w:tblPrEx>
        <w:trPr>
          <w:trHeight w:val="735"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D3777">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C338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49540">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服务对象</w:t>
            </w:r>
            <w:r>
              <w:rPr>
                <w:rFonts w:ascii="宋体" w:hAnsi="宋体" w:eastAsia="宋体" w:cs="宋体"/>
                <w:i w:val="0"/>
                <w:color w:val="000000"/>
                <w:kern w:val="0"/>
                <w:sz w:val="18"/>
                <w:szCs w:val="18"/>
                <w:u w:val="none"/>
                <w:lang w:val="en-US" w:eastAsia="zh-CN" w:bidi="ar"/>
              </w:rPr>
              <w:t>满意度指标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7F47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享受基层药物补助</w:t>
            </w:r>
            <w:r>
              <w:rPr>
                <w:rFonts w:hint="eastAsia" w:ascii="宋体" w:hAnsi="宋体" w:cs="宋体"/>
                <w:i w:val="0"/>
                <w:color w:val="000000"/>
                <w:kern w:val="0"/>
                <w:sz w:val="18"/>
                <w:szCs w:val="18"/>
                <w:u w:val="none"/>
                <w:lang w:val="en-US" w:eastAsia="zh-CN" w:bidi="ar"/>
              </w:rPr>
              <w:t>对象</w:t>
            </w:r>
            <w:r>
              <w:rPr>
                <w:rFonts w:ascii="宋体" w:hAnsi="宋体" w:eastAsia="宋体" w:cs="宋体"/>
                <w:i w:val="0"/>
                <w:color w:val="000000"/>
                <w:kern w:val="0"/>
                <w:sz w:val="18"/>
                <w:szCs w:val="18"/>
                <w:u w:val="none"/>
                <w:lang w:val="en-US" w:eastAsia="zh-CN" w:bidi="ar"/>
              </w:rPr>
              <w:t>满意度</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0BEE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3AAE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2506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F3F58">
            <w:pPr>
              <w:jc w:val="center"/>
              <w:rPr>
                <w:rFonts w:hint="eastAsia" w:ascii="宋体" w:hAnsi="宋体" w:eastAsia="宋体" w:cs="宋体"/>
                <w:i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A4FE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5C3F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A6765">
            <w:pPr>
              <w:jc w:val="center"/>
              <w:rPr>
                <w:rFonts w:hint="eastAsia" w:ascii="宋体" w:hAnsi="宋体" w:eastAsia="宋体" w:cs="宋体"/>
                <w:i w:val="0"/>
                <w:color w:val="000000"/>
                <w:sz w:val="18"/>
                <w:szCs w:val="18"/>
                <w:u w:val="none"/>
              </w:rPr>
            </w:pPr>
          </w:p>
        </w:tc>
      </w:tr>
      <w:tr w14:paraId="605C8ACB">
        <w:tblPrEx>
          <w:tblCellMar>
            <w:top w:w="0" w:type="dxa"/>
            <w:left w:w="0" w:type="dxa"/>
            <w:bottom w:w="0" w:type="dxa"/>
            <w:right w:w="0" w:type="dxa"/>
          </w:tblCellMar>
        </w:tblPrEx>
        <w:trPr>
          <w:trHeight w:val="394" w:hRule="atLeast"/>
        </w:trPr>
        <w:tc>
          <w:tcPr>
            <w:tcW w:w="711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E4E9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2D16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BC649">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96</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D36AE">
            <w:pPr>
              <w:rPr>
                <w:rFonts w:hint="eastAsia" w:ascii="宋体" w:hAnsi="宋体" w:eastAsia="宋体" w:cs="宋体"/>
                <w:i w:val="0"/>
                <w:color w:val="000000"/>
                <w:sz w:val="18"/>
                <w:szCs w:val="18"/>
                <w:u w:val="none"/>
              </w:rPr>
            </w:pPr>
          </w:p>
        </w:tc>
      </w:tr>
      <w:tr w14:paraId="2DA9A5C2">
        <w:tblPrEx>
          <w:tblCellMar>
            <w:top w:w="0" w:type="dxa"/>
            <w:left w:w="0" w:type="dxa"/>
            <w:bottom w:w="0" w:type="dxa"/>
            <w:right w:w="0" w:type="dxa"/>
          </w:tblCellMar>
        </w:tblPrEx>
        <w:trPr>
          <w:trHeight w:val="735" w:hRule="atLeast"/>
        </w:trPr>
        <w:tc>
          <w:tcPr>
            <w:tcW w:w="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D04A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9022"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18E87">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 xml:space="preserve">        以人民健康为中心，围绕基本药物的功能定位，促进各级医疗机构全面配备、优先使用基本药物，根据资金绩效自评指标规定的内容，经我单位认真自评，2023年基层医疗卫生机构基本药物制度补助自评得分96分。</w:t>
            </w:r>
          </w:p>
        </w:tc>
      </w:tr>
      <w:tr w14:paraId="68EEB13C">
        <w:tblPrEx>
          <w:tblCellMar>
            <w:top w:w="0" w:type="dxa"/>
            <w:left w:w="0" w:type="dxa"/>
            <w:bottom w:w="0" w:type="dxa"/>
            <w:right w:w="0" w:type="dxa"/>
          </w:tblCellMar>
        </w:tblPrEx>
        <w:trPr>
          <w:trHeight w:val="735" w:hRule="atLeast"/>
        </w:trPr>
        <w:tc>
          <w:tcPr>
            <w:tcW w:w="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58927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9022"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2207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无</w:t>
            </w:r>
          </w:p>
        </w:tc>
      </w:tr>
      <w:tr w14:paraId="2484B3C0">
        <w:tblPrEx>
          <w:shd w:val="clear" w:color="auto" w:fill="auto"/>
          <w:tblCellMar>
            <w:top w:w="0" w:type="dxa"/>
            <w:left w:w="0" w:type="dxa"/>
            <w:bottom w:w="0" w:type="dxa"/>
            <w:right w:w="0" w:type="dxa"/>
          </w:tblCellMar>
        </w:tblPrEx>
        <w:trPr>
          <w:trHeight w:val="744" w:hRule="atLeast"/>
        </w:trPr>
        <w:tc>
          <w:tcPr>
            <w:tcW w:w="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7F1E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9022"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B118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无</w:t>
            </w:r>
          </w:p>
        </w:tc>
      </w:tr>
      <w:tr w14:paraId="36F6D0B4">
        <w:tblPrEx>
          <w:tblCellMar>
            <w:top w:w="0" w:type="dxa"/>
            <w:left w:w="0" w:type="dxa"/>
            <w:bottom w:w="0" w:type="dxa"/>
            <w:right w:w="0" w:type="dxa"/>
          </w:tblCellMar>
        </w:tblPrEx>
        <w:trPr>
          <w:trHeight w:val="394" w:hRule="atLeast"/>
        </w:trPr>
        <w:tc>
          <w:tcPr>
            <w:tcW w:w="490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E221F">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w:t>
            </w:r>
          </w:p>
        </w:tc>
        <w:tc>
          <w:tcPr>
            <w:tcW w:w="457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CD73A">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w:t>
            </w:r>
          </w:p>
        </w:tc>
      </w:tr>
      <w:tr w14:paraId="04C21BB3">
        <w:tblPrEx>
          <w:tblCellMar>
            <w:top w:w="0" w:type="dxa"/>
            <w:left w:w="0" w:type="dxa"/>
            <w:bottom w:w="0" w:type="dxa"/>
            <w:right w:w="0" w:type="dxa"/>
          </w:tblCellMar>
        </w:tblPrEx>
        <w:trPr>
          <w:trHeight w:val="394" w:hRule="atLeast"/>
        </w:trPr>
        <w:tc>
          <w:tcPr>
            <w:tcW w:w="458" w:type="dxa"/>
            <w:tcBorders>
              <w:top w:val="nil"/>
              <w:left w:val="nil"/>
              <w:bottom w:val="nil"/>
              <w:right w:val="nil"/>
            </w:tcBorders>
            <w:shd w:val="clear" w:color="auto" w:fill="auto"/>
            <w:tcMar>
              <w:top w:w="15" w:type="dxa"/>
              <w:left w:w="15" w:type="dxa"/>
              <w:right w:w="15" w:type="dxa"/>
            </w:tcMar>
            <w:vAlign w:val="center"/>
          </w:tcPr>
          <w:p w14:paraId="4AA637D5">
            <w:pPr>
              <w:rPr>
                <w:rFonts w:hint="eastAsia" w:ascii="宋体" w:hAnsi="宋体" w:eastAsia="宋体" w:cs="宋体"/>
                <w:i w:val="0"/>
                <w:color w:val="000000"/>
                <w:sz w:val="18"/>
                <w:szCs w:val="18"/>
                <w:u w:val="none"/>
              </w:rPr>
            </w:pPr>
          </w:p>
        </w:tc>
        <w:tc>
          <w:tcPr>
            <w:tcW w:w="1380" w:type="dxa"/>
            <w:tcBorders>
              <w:top w:val="nil"/>
              <w:left w:val="nil"/>
              <w:bottom w:val="nil"/>
              <w:right w:val="nil"/>
            </w:tcBorders>
            <w:shd w:val="clear" w:color="auto" w:fill="auto"/>
            <w:tcMar>
              <w:top w:w="15" w:type="dxa"/>
              <w:left w:w="15" w:type="dxa"/>
              <w:right w:w="15" w:type="dxa"/>
            </w:tcMar>
            <w:vAlign w:val="center"/>
          </w:tcPr>
          <w:p w14:paraId="28F26211">
            <w:pPr>
              <w:rPr>
                <w:rFonts w:hint="eastAsia" w:ascii="宋体" w:hAnsi="宋体" w:eastAsia="宋体" w:cs="宋体"/>
                <w:i w:val="0"/>
                <w:color w:val="000000"/>
                <w:sz w:val="18"/>
                <w:szCs w:val="18"/>
                <w:u w:val="none"/>
              </w:rPr>
            </w:pPr>
          </w:p>
        </w:tc>
        <w:tc>
          <w:tcPr>
            <w:tcW w:w="1193" w:type="dxa"/>
            <w:tcBorders>
              <w:top w:val="nil"/>
              <w:left w:val="nil"/>
              <w:bottom w:val="nil"/>
              <w:right w:val="nil"/>
            </w:tcBorders>
            <w:shd w:val="clear" w:color="auto" w:fill="auto"/>
            <w:tcMar>
              <w:top w:w="15" w:type="dxa"/>
              <w:left w:w="15" w:type="dxa"/>
              <w:right w:w="15" w:type="dxa"/>
            </w:tcMar>
            <w:vAlign w:val="center"/>
          </w:tcPr>
          <w:p w14:paraId="4AA31445">
            <w:pPr>
              <w:rPr>
                <w:rFonts w:hint="eastAsia" w:ascii="宋体" w:hAnsi="宋体" w:eastAsia="宋体" w:cs="宋体"/>
                <w:i w:val="0"/>
                <w:color w:val="000000"/>
                <w:sz w:val="18"/>
                <w:szCs w:val="18"/>
                <w:u w:val="none"/>
              </w:rPr>
            </w:pPr>
          </w:p>
        </w:tc>
        <w:tc>
          <w:tcPr>
            <w:tcW w:w="1522" w:type="dxa"/>
            <w:tcBorders>
              <w:top w:val="nil"/>
              <w:left w:val="nil"/>
              <w:bottom w:val="nil"/>
              <w:right w:val="nil"/>
            </w:tcBorders>
            <w:shd w:val="clear" w:color="auto" w:fill="auto"/>
            <w:tcMar>
              <w:top w:w="15" w:type="dxa"/>
              <w:left w:w="15" w:type="dxa"/>
              <w:right w:w="15" w:type="dxa"/>
            </w:tcMar>
            <w:vAlign w:val="center"/>
          </w:tcPr>
          <w:p w14:paraId="0224CD5F">
            <w:pPr>
              <w:rPr>
                <w:rFonts w:hint="eastAsia" w:ascii="宋体" w:hAnsi="宋体" w:eastAsia="宋体" w:cs="宋体"/>
                <w:i w:val="0"/>
                <w:color w:val="000000"/>
                <w:sz w:val="18"/>
                <w:szCs w:val="18"/>
                <w:u w:val="none"/>
              </w:rPr>
            </w:pPr>
          </w:p>
        </w:tc>
        <w:tc>
          <w:tcPr>
            <w:tcW w:w="351" w:type="dxa"/>
            <w:gridSpan w:val="2"/>
            <w:tcBorders>
              <w:top w:val="nil"/>
              <w:left w:val="nil"/>
              <w:bottom w:val="nil"/>
              <w:right w:val="nil"/>
            </w:tcBorders>
            <w:shd w:val="clear" w:color="auto" w:fill="auto"/>
            <w:tcMar>
              <w:top w:w="15" w:type="dxa"/>
              <w:left w:w="15" w:type="dxa"/>
              <w:right w:w="15" w:type="dxa"/>
            </w:tcMar>
            <w:vAlign w:val="center"/>
          </w:tcPr>
          <w:p w14:paraId="48A795CC">
            <w:pPr>
              <w:rPr>
                <w:rFonts w:hint="eastAsia" w:ascii="宋体" w:hAnsi="宋体" w:eastAsia="宋体" w:cs="宋体"/>
                <w:i w:val="0"/>
                <w:color w:val="000000"/>
                <w:sz w:val="18"/>
                <w:szCs w:val="18"/>
                <w:u w:val="none"/>
              </w:rPr>
            </w:pPr>
          </w:p>
        </w:tc>
        <w:tc>
          <w:tcPr>
            <w:tcW w:w="1126" w:type="dxa"/>
            <w:tcBorders>
              <w:top w:val="nil"/>
              <w:left w:val="nil"/>
              <w:bottom w:val="nil"/>
              <w:right w:val="nil"/>
            </w:tcBorders>
            <w:shd w:val="clear" w:color="auto" w:fill="auto"/>
            <w:tcMar>
              <w:top w:w="15" w:type="dxa"/>
              <w:left w:w="15" w:type="dxa"/>
              <w:right w:w="15" w:type="dxa"/>
            </w:tcMar>
            <w:vAlign w:val="center"/>
          </w:tcPr>
          <w:p w14:paraId="33B1AE62">
            <w:pPr>
              <w:rPr>
                <w:rFonts w:hint="eastAsia" w:ascii="宋体" w:hAnsi="宋体" w:eastAsia="宋体" w:cs="宋体"/>
                <w:i w:val="0"/>
                <w:color w:val="000000"/>
                <w:sz w:val="18"/>
                <w:szCs w:val="18"/>
                <w:u w:val="none"/>
              </w:rPr>
            </w:pPr>
          </w:p>
        </w:tc>
        <w:tc>
          <w:tcPr>
            <w:tcW w:w="352" w:type="dxa"/>
            <w:gridSpan w:val="2"/>
            <w:tcBorders>
              <w:top w:val="nil"/>
              <w:left w:val="nil"/>
              <w:bottom w:val="nil"/>
              <w:right w:val="nil"/>
            </w:tcBorders>
            <w:shd w:val="clear" w:color="auto" w:fill="auto"/>
            <w:tcMar>
              <w:top w:w="15" w:type="dxa"/>
              <w:left w:w="15" w:type="dxa"/>
              <w:right w:w="15" w:type="dxa"/>
            </w:tcMar>
            <w:vAlign w:val="center"/>
          </w:tcPr>
          <w:p w14:paraId="44774384">
            <w:pPr>
              <w:rPr>
                <w:rFonts w:hint="eastAsia" w:ascii="宋体" w:hAnsi="宋体" w:eastAsia="宋体" w:cs="宋体"/>
                <w:i w:val="0"/>
                <w:color w:val="000000"/>
                <w:sz w:val="18"/>
                <w:szCs w:val="18"/>
                <w:u w:val="none"/>
              </w:rPr>
            </w:pPr>
          </w:p>
        </w:tc>
        <w:tc>
          <w:tcPr>
            <w:tcW w:w="733" w:type="dxa"/>
            <w:tcBorders>
              <w:top w:val="nil"/>
              <w:left w:val="nil"/>
              <w:bottom w:val="nil"/>
              <w:right w:val="nil"/>
            </w:tcBorders>
            <w:shd w:val="clear" w:color="auto" w:fill="auto"/>
            <w:tcMar>
              <w:top w:w="15" w:type="dxa"/>
              <w:left w:w="15" w:type="dxa"/>
              <w:right w:w="15" w:type="dxa"/>
            </w:tcMar>
            <w:vAlign w:val="center"/>
          </w:tcPr>
          <w:p w14:paraId="2714143F">
            <w:pPr>
              <w:rPr>
                <w:rFonts w:hint="eastAsia" w:ascii="宋体" w:hAnsi="宋体" w:eastAsia="宋体" w:cs="宋体"/>
                <w:i w:val="0"/>
                <w:color w:val="000000"/>
                <w:sz w:val="18"/>
                <w:szCs w:val="18"/>
                <w:u w:val="none"/>
              </w:rPr>
            </w:pPr>
          </w:p>
        </w:tc>
        <w:tc>
          <w:tcPr>
            <w:tcW w:w="340" w:type="dxa"/>
            <w:tcBorders>
              <w:top w:val="nil"/>
              <w:left w:val="nil"/>
              <w:bottom w:val="nil"/>
              <w:right w:val="nil"/>
            </w:tcBorders>
            <w:shd w:val="clear" w:color="auto" w:fill="auto"/>
            <w:tcMar>
              <w:top w:w="15" w:type="dxa"/>
              <w:left w:w="15" w:type="dxa"/>
              <w:right w:w="15" w:type="dxa"/>
            </w:tcMar>
            <w:vAlign w:val="center"/>
          </w:tcPr>
          <w:p w14:paraId="22E0DEA6">
            <w:pPr>
              <w:rPr>
                <w:rFonts w:hint="eastAsia" w:ascii="宋体" w:hAnsi="宋体" w:eastAsia="宋体" w:cs="宋体"/>
                <w:i w:val="0"/>
                <w:color w:val="000000"/>
                <w:sz w:val="18"/>
                <w:szCs w:val="18"/>
                <w:u w:val="none"/>
              </w:rPr>
            </w:pPr>
          </w:p>
        </w:tc>
        <w:tc>
          <w:tcPr>
            <w:tcW w:w="307" w:type="dxa"/>
            <w:tcBorders>
              <w:top w:val="nil"/>
              <w:left w:val="nil"/>
              <w:bottom w:val="nil"/>
              <w:right w:val="nil"/>
            </w:tcBorders>
            <w:shd w:val="clear" w:color="auto" w:fill="auto"/>
            <w:tcMar>
              <w:top w:w="15" w:type="dxa"/>
              <w:left w:w="15" w:type="dxa"/>
              <w:right w:w="15" w:type="dxa"/>
            </w:tcMar>
            <w:vAlign w:val="center"/>
          </w:tcPr>
          <w:p w14:paraId="7FBD316C">
            <w:pPr>
              <w:rPr>
                <w:rFonts w:hint="eastAsia" w:ascii="宋体" w:hAnsi="宋体" w:eastAsia="宋体" w:cs="宋体"/>
                <w:i w:val="0"/>
                <w:color w:val="000000"/>
                <w:sz w:val="18"/>
                <w:szCs w:val="18"/>
                <w:u w:val="none"/>
              </w:rPr>
            </w:pPr>
          </w:p>
        </w:tc>
        <w:tc>
          <w:tcPr>
            <w:tcW w:w="1718" w:type="dxa"/>
            <w:gridSpan w:val="2"/>
            <w:tcBorders>
              <w:top w:val="nil"/>
              <w:left w:val="nil"/>
              <w:bottom w:val="nil"/>
              <w:right w:val="nil"/>
            </w:tcBorders>
            <w:shd w:val="clear" w:color="auto" w:fill="auto"/>
            <w:tcMar>
              <w:top w:w="15" w:type="dxa"/>
              <w:left w:w="15" w:type="dxa"/>
              <w:right w:w="15" w:type="dxa"/>
            </w:tcMar>
            <w:vAlign w:val="center"/>
          </w:tcPr>
          <w:p w14:paraId="21E3A103">
            <w:pPr>
              <w:rPr>
                <w:rFonts w:hint="eastAsia" w:ascii="宋体" w:hAnsi="宋体" w:eastAsia="宋体" w:cs="宋体"/>
                <w:i w:val="0"/>
                <w:color w:val="000000"/>
                <w:sz w:val="18"/>
                <w:szCs w:val="18"/>
                <w:u w:val="none"/>
              </w:rPr>
            </w:pPr>
          </w:p>
        </w:tc>
      </w:tr>
      <w:tr w14:paraId="4A46C9EF">
        <w:tblPrEx>
          <w:shd w:val="clear" w:color="auto" w:fill="auto"/>
          <w:tblCellMar>
            <w:top w:w="0" w:type="dxa"/>
            <w:left w:w="0" w:type="dxa"/>
            <w:bottom w:w="0" w:type="dxa"/>
            <w:right w:w="0" w:type="dxa"/>
          </w:tblCellMar>
        </w:tblPrEx>
        <w:trPr>
          <w:trHeight w:val="1041" w:hRule="atLeast"/>
        </w:trPr>
        <w:tc>
          <w:tcPr>
            <w:tcW w:w="9480"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790E1">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14:paraId="28123AF2">
        <w:tblPrEx>
          <w:tblCellMar>
            <w:top w:w="0" w:type="dxa"/>
            <w:left w:w="0" w:type="dxa"/>
            <w:bottom w:w="0" w:type="dxa"/>
            <w:right w:w="0" w:type="dxa"/>
          </w:tblCellMar>
        </w:tblPrEx>
        <w:trPr>
          <w:trHeight w:val="394" w:hRule="atLeast"/>
        </w:trPr>
        <w:tc>
          <w:tcPr>
            <w:tcW w:w="18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F122D">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7642"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8BF46">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51322422T000006098985</w:t>
            </w:r>
            <w:r>
              <w:rPr>
                <w:rFonts w:hint="eastAsia" w:ascii="宋体" w:hAnsi="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村卫生室实施国家基本药物制度补助</w:t>
            </w:r>
          </w:p>
        </w:tc>
      </w:tr>
      <w:tr w14:paraId="46B51808">
        <w:tblPrEx>
          <w:shd w:val="clear" w:color="auto" w:fill="auto"/>
          <w:tblCellMar>
            <w:top w:w="0" w:type="dxa"/>
            <w:left w:w="0" w:type="dxa"/>
            <w:bottom w:w="0" w:type="dxa"/>
            <w:right w:w="0" w:type="dxa"/>
          </w:tblCellMar>
        </w:tblPrEx>
        <w:trPr>
          <w:trHeight w:val="735" w:hRule="atLeast"/>
        </w:trPr>
        <w:tc>
          <w:tcPr>
            <w:tcW w:w="18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32A0C">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45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92567">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松潘县卫生健康局本级</w:t>
            </w:r>
          </w:p>
        </w:tc>
        <w:tc>
          <w:tcPr>
            <w:tcW w:w="734" w:type="dxa"/>
            <w:gridSpan w:val="2"/>
            <w:tcBorders>
              <w:top w:val="nil"/>
              <w:left w:val="nil"/>
              <w:bottom w:val="nil"/>
              <w:right w:val="nil"/>
            </w:tcBorders>
            <w:shd w:val="clear" w:color="auto" w:fill="auto"/>
            <w:tcMar>
              <w:top w:w="15" w:type="dxa"/>
              <w:left w:w="15" w:type="dxa"/>
              <w:right w:w="15" w:type="dxa"/>
            </w:tcMar>
            <w:vAlign w:val="center"/>
          </w:tcPr>
          <w:p w14:paraId="01D1596A">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36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CA5E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松潘县毛儿盖镇中心卫生院</w:t>
            </w:r>
          </w:p>
        </w:tc>
      </w:tr>
      <w:tr w14:paraId="1BEF889E">
        <w:tblPrEx>
          <w:shd w:val="clear" w:color="auto" w:fill="auto"/>
          <w:tblCellMar>
            <w:top w:w="0" w:type="dxa"/>
            <w:left w:w="0" w:type="dxa"/>
            <w:bottom w:w="0" w:type="dxa"/>
            <w:right w:w="0" w:type="dxa"/>
          </w:tblCellMar>
        </w:tblPrEx>
        <w:trPr>
          <w:trHeight w:val="394" w:hRule="atLeast"/>
        </w:trPr>
        <w:tc>
          <w:tcPr>
            <w:tcW w:w="4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971A8">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854C4">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45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C5A4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09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7C732">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2A34843F">
        <w:tblPrEx>
          <w:shd w:val="clear" w:color="auto" w:fill="auto"/>
          <w:tblCellMar>
            <w:top w:w="0" w:type="dxa"/>
            <w:left w:w="0" w:type="dxa"/>
            <w:bottom w:w="0" w:type="dxa"/>
            <w:right w:w="0" w:type="dxa"/>
          </w:tblCellMar>
        </w:tblPrEx>
        <w:trPr>
          <w:trHeight w:val="827"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311F4">
            <w:pPr>
              <w:rPr>
                <w:rFonts w:hint="eastAsia" w:ascii="宋体" w:hAnsi="宋体" w:eastAsia="宋体" w:cs="宋体"/>
                <w:i w:val="0"/>
                <w:color w:val="000000"/>
                <w:sz w:val="18"/>
                <w:szCs w:val="18"/>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98641">
            <w:pPr>
              <w:rPr>
                <w:rFonts w:hint="eastAsia" w:ascii="宋体" w:hAnsi="宋体" w:eastAsia="宋体" w:cs="宋体"/>
                <w:i w:val="0"/>
                <w:color w:val="000000"/>
                <w:sz w:val="18"/>
                <w:szCs w:val="18"/>
                <w:u w:val="none"/>
              </w:rPr>
            </w:pPr>
          </w:p>
        </w:tc>
        <w:tc>
          <w:tcPr>
            <w:tcW w:w="45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FCA05">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方便了群众就近取药</w:t>
            </w:r>
          </w:p>
        </w:tc>
        <w:tc>
          <w:tcPr>
            <w:tcW w:w="309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C4F33">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已完成</w:t>
            </w:r>
          </w:p>
        </w:tc>
      </w:tr>
      <w:tr w14:paraId="3A42BBDC">
        <w:tblPrEx>
          <w:shd w:val="clear" w:color="auto" w:fill="auto"/>
          <w:tblCellMar>
            <w:top w:w="0" w:type="dxa"/>
            <w:left w:w="0" w:type="dxa"/>
            <w:bottom w:w="0" w:type="dxa"/>
            <w:right w:w="0" w:type="dxa"/>
          </w:tblCellMar>
        </w:tblPrEx>
        <w:trPr>
          <w:trHeight w:val="810"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98F46">
            <w:pP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8515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7642"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5D00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建立村卫生室基本药物制度，提高群众获得基本药物的及时性，更方便群众用药，保证群众基本用药需求</w:t>
            </w:r>
          </w:p>
        </w:tc>
      </w:tr>
      <w:tr w14:paraId="087421E7">
        <w:tblPrEx>
          <w:shd w:val="clear" w:color="auto" w:fill="auto"/>
          <w:tblCellMar>
            <w:top w:w="0" w:type="dxa"/>
            <w:left w:w="0" w:type="dxa"/>
            <w:bottom w:w="0" w:type="dxa"/>
            <w:right w:w="0" w:type="dxa"/>
          </w:tblCellMar>
        </w:tblPrEx>
        <w:trPr>
          <w:trHeight w:val="657" w:hRule="atLeast"/>
        </w:trPr>
        <w:tc>
          <w:tcPr>
            <w:tcW w:w="4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87B8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DA58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3712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3CA9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B92D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A8C4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133F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5CCD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C77F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33F1E692">
        <w:tblPrEx>
          <w:shd w:val="clear" w:color="auto" w:fill="auto"/>
          <w:tblCellMar>
            <w:top w:w="0" w:type="dxa"/>
            <w:left w:w="0" w:type="dxa"/>
            <w:bottom w:w="0" w:type="dxa"/>
            <w:right w:w="0" w:type="dxa"/>
          </w:tblCellMar>
        </w:tblPrEx>
        <w:trPr>
          <w:trHeight w:val="430"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38BF9">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F927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AB62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662A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3.41</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FEEE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3.41</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1D0B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DF09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E688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71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15173">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08021E4A">
        <w:tblPrEx>
          <w:tblCellMar>
            <w:top w:w="0" w:type="dxa"/>
            <w:left w:w="0" w:type="dxa"/>
            <w:bottom w:w="0" w:type="dxa"/>
            <w:right w:w="0" w:type="dxa"/>
          </w:tblCellMar>
        </w:tblPrEx>
        <w:trPr>
          <w:trHeight w:val="480"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4211F">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C055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B4F1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65430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3.41</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30C8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3.41</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C9AE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8861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32DE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C5A27">
            <w:pPr>
              <w:rPr>
                <w:rFonts w:hint="eastAsia" w:ascii="黑体" w:hAnsi="黑体" w:eastAsia="黑体" w:cs="黑体"/>
                <w:i/>
                <w:color w:val="000000"/>
                <w:sz w:val="18"/>
                <w:szCs w:val="18"/>
                <w:u w:val="none"/>
              </w:rPr>
            </w:pPr>
          </w:p>
        </w:tc>
      </w:tr>
      <w:tr w14:paraId="5BB88DB5">
        <w:tblPrEx>
          <w:tblCellMar>
            <w:top w:w="0" w:type="dxa"/>
            <w:left w:w="0" w:type="dxa"/>
            <w:bottom w:w="0" w:type="dxa"/>
            <w:right w:w="0" w:type="dxa"/>
          </w:tblCellMar>
        </w:tblPrEx>
        <w:trPr>
          <w:trHeight w:val="657"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036BA">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685B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DA44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F487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19C6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883E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6251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C9EA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652D4">
            <w:pPr>
              <w:rPr>
                <w:rFonts w:hint="eastAsia" w:ascii="黑体" w:hAnsi="黑体" w:eastAsia="黑体" w:cs="黑体"/>
                <w:i/>
                <w:color w:val="000000"/>
                <w:sz w:val="18"/>
                <w:szCs w:val="18"/>
                <w:u w:val="none"/>
              </w:rPr>
            </w:pPr>
          </w:p>
        </w:tc>
      </w:tr>
      <w:tr w14:paraId="3264CA91">
        <w:tblPrEx>
          <w:shd w:val="clear" w:color="auto" w:fill="auto"/>
          <w:tblCellMar>
            <w:top w:w="0" w:type="dxa"/>
            <w:left w:w="0" w:type="dxa"/>
            <w:bottom w:w="0" w:type="dxa"/>
            <w:right w:w="0" w:type="dxa"/>
          </w:tblCellMar>
        </w:tblPrEx>
        <w:trPr>
          <w:trHeight w:val="447"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82BA7">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82CE2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45A39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970F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1453C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61DB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8630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21CC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3A713">
            <w:pPr>
              <w:rPr>
                <w:rFonts w:hint="eastAsia" w:ascii="黑体" w:hAnsi="黑体" w:eastAsia="黑体" w:cs="黑体"/>
                <w:i/>
                <w:color w:val="000000"/>
                <w:sz w:val="18"/>
                <w:szCs w:val="18"/>
                <w:u w:val="none"/>
              </w:rPr>
            </w:pPr>
          </w:p>
        </w:tc>
      </w:tr>
      <w:tr w14:paraId="567C5555">
        <w:tblPrEx>
          <w:tblCellMar>
            <w:top w:w="0" w:type="dxa"/>
            <w:left w:w="0" w:type="dxa"/>
            <w:bottom w:w="0" w:type="dxa"/>
            <w:right w:w="0" w:type="dxa"/>
          </w:tblCellMar>
        </w:tblPrEx>
        <w:trPr>
          <w:trHeight w:val="853"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5968C">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29EE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16321">
            <w:pPr>
              <w:jc w:val="center"/>
              <w:rPr>
                <w:rFonts w:hint="eastAsia" w:ascii="微软雅黑" w:hAnsi="微软雅黑" w:eastAsia="微软雅黑" w:cs="微软雅黑"/>
                <w:i/>
                <w:color w:val="000000"/>
                <w:sz w:val="16"/>
                <w:szCs w:val="16"/>
                <w:u w:val="none"/>
              </w:rPr>
            </w:pP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BE8B4">
            <w:pPr>
              <w:jc w:val="center"/>
              <w:rPr>
                <w:rFonts w:hint="eastAsia" w:ascii="微软雅黑" w:hAnsi="微软雅黑" w:eastAsia="微软雅黑" w:cs="微软雅黑"/>
                <w:i/>
                <w:color w:val="000000"/>
                <w:sz w:val="16"/>
                <w:szCs w:val="16"/>
                <w:u w:val="none"/>
              </w:rPr>
            </w:pP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1775B">
            <w:pPr>
              <w:jc w:val="center"/>
              <w:rPr>
                <w:rFonts w:hint="eastAsia" w:ascii="微软雅黑" w:hAnsi="微软雅黑" w:eastAsia="微软雅黑" w:cs="微软雅黑"/>
                <w:i/>
                <w:color w:val="000000"/>
                <w:sz w:val="16"/>
                <w:szCs w:val="16"/>
                <w:u w:val="none"/>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E687B">
            <w:pPr>
              <w:jc w:val="center"/>
              <w:rPr>
                <w:rFonts w:hint="eastAsia" w:ascii="微软雅黑" w:hAnsi="微软雅黑" w:eastAsia="微软雅黑" w:cs="微软雅黑"/>
                <w:i/>
                <w:color w:val="000000"/>
                <w:sz w:val="16"/>
                <w:szCs w:val="16"/>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58C3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401B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9C0BD">
            <w:pPr>
              <w:rPr>
                <w:rFonts w:hint="eastAsia" w:ascii="黑体" w:hAnsi="黑体" w:eastAsia="黑体" w:cs="黑体"/>
                <w:i/>
                <w:color w:val="000000"/>
                <w:sz w:val="18"/>
                <w:szCs w:val="18"/>
                <w:u w:val="none"/>
              </w:rPr>
            </w:pPr>
          </w:p>
        </w:tc>
      </w:tr>
      <w:tr w14:paraId="19E11E5C">
        <w:tblPrEx>
          <w:shd w:val="clear" w:color="auto" w:fill="auto"/>
          <w:tblCellMar>
            <w:top w:w="0" w:type="dxa"/>
            <w:left w:w="0" w:type="dxa"/>
            <w:bottom w:w="0" w:type="dxa"/>
            <w:right w:w="0" w:type="dxa"/>
          </w:tblCellMar>
        </w:tblPrEx>
        <w:trPr>
          <w:trHeight w:val="1289" w:hRule="atLeast"/>
        </w:trPr>
        <w:tc>
          <w:tcPr>
            <w:tcW w:w="4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4816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BD09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17F04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0B5B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81AA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B9AC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2C9F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BE5E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EDF67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867B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6A79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50DCF56B">
        <w:tblPrEx>
          <w:shd w:val="clear" w:color="auto" w:fill="auto"/>
          <w:tblCellMar>
            <w:top w:w="0" w:type="dxa"/>
            <w:left w:w="0" w:type="dxa"/>
            <w:bottom w:w="0" w:type="dxa"/>
            <w:right w:w="0" w:type="dxa"/>
          </w:tblCellMar>
        </w:tblPrEx>
        <w:trPr>
          <w:trHeight w:val="735"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21651">
            <w:pPr>
              <w:jc w:val="center"/>
              <w:rPr>
                <w:rFonts w:hint="eastAsia" w:ascii="宋体" w:hAnsi="宋体" w:eastAsia="宋体" w:cs="宋体"/>
                <w:i w:val="0"/>
                <w:color w:val="000000"/>
                <w:sz w:val="18"/>
                <w:szCs w:val="18"/>
                <w:u w:val="none"/>
              </w:rPr>
            </w:pP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7427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9320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1D0F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享受村卫生室基层药物补助人数</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D0500">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6270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人数</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524C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人数</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436FA">
            <w:pPr>
              <w:jc w:val="center"/>
              <w:rPr>
                <w:rFonts w:hint="eastAsia" w:ascii="宋体" w:hAnsi="宋体" w:eastAsia="宋体" w:cs="宋体"/>
                <w:i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9524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3C31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35EB3">
            <w:pPr>
              <w:jc w:val="center"/>
              <w:rPr>
                <w:rFonts w:hint="eastAsia" w:ascii="宋体" w:hAnsi="宋体" w:eastAsia="宋体" w:cs="宋体"/>
                <w:i w:val="0"/>
                <w:color w:val="000000"/>
                <w:sz w:val="18"/>
                <w:szCs w:val="18"/>
                <w:u w:val="none"/>
              </w:rPr>
            </w:pPr>
          </w:p>
        </w:tc>
      </w:tr>
      <w:tr w14:paraId="2EC8852B">
        <w:tblPrEx>
          <w:shd w:val="clear" w:color="auto" w:fill="auto"/>
          <w:tblCellMar>
            <w:top w:w="0" w:type="dxa"/>
            <w:left w:w="0" w:type="dxa"/>
            <w:bottom w:w="0" w:type="dxa"/>
            <w:right w:w="0" w:type="dxa"/>
          </w:tblCellMar>
        </w:tblPrEx>
        <w:trPr>
          <w:trHeight w:val="735"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0E4A0">
            <w:pPr>
              <w:jc w:val="center"/>
              <w:rPr>
                <w:rFonts w:hint="eastAsia" w:ascii="宋体" w:hAnsi="宋体" w:eastAsia="宋体" w:cs="宋体"/>
                <w:i w:val="0"/>
                <w:color w:val="000000"/>
                <w:sz w:val="18"/>
                <w:szCs w:val="18"/>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3CD61">
            <w:pPr>
              <w:jc w:val="center"/>
              <w:rPr>
                <w:rFonts w:hint="eastAsia" w:ascii="宋体" w:hAnsi="宋体" w:eastAsia="宋体" w:cs="宋体"/>
                <w:i w:val="0"/>
                <w:color w:val="000000"/>
                <w:sz w:val="18"/>
                <w:szCs w:val="18"/>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7D03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43D62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享受村卫生室基层药物补助标准</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53A9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39CA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2EC6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22C79D">
            <w:pPr>
              <w:jc w:val="center"/>
              <w:rPr>
                <w:rFonts w:hint="eastAsia" w:ascii="宋体" w:hAnsi="宋体" w:eastAsia="宋体" w:cs="宋体"/>
                <w:i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1E2E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D3EC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9F9E0">
            <w:pPr>
              <w:jc w:val="center"/>
              <w:rPr>
                <w:rFonts w:hint="eastAsia" w:ascii="宋体" w:hAnsi="宋体" w:eastAsia="宋体" w:cs="宋体"/>
                <w:i w:val="0"/>
                <w:color w:val="000000"/>
                <w:sz w:val="18"/>
                <w:szCs w:val="18"/>
                <w:u w:val="none"/>
              </w:rPr>
            </w:pPr>
          </w:p>
        </w:tc>
      </w:tr>
      <w:tr w14:paraId="25C8BDA7">
        <w:tblPrEx>
          <w:tblCellMar>
            <w:top w:w="0" w:type="dxa"/>
            <w:left w:w="0" w:type="dxa"/>
            <w:bottom w:w="0" w:type="dxa"/>
            <w:right w:w="0" w:type="dxa"/>
          </w:tblCellMar>
        </w:tblPrEx>
        <w:trPr>
          <w:trHeight w:val="657"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8FEE7">
            <w:pPr>
              <w:jc w:val="center"/>
              <w:rPr>
                <w:rFonts w:hint="eastAsia" w:ascii="宋体" w:hAnsi="宋体" w:eastAsia="宋体" w:cs="宋体"/>
                <w:i w:val="0"/>
                <w:color w:val="000000"/>
                <w:sz w:val="18"/>
                <w:szCs w:val="18"/>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087F0">
            <w:pPr>
              <w:jc w:val="center"/>
              <w:rPr>
                <w:rFonts w:hint="eastAsia" w:ascii="宋体" w:hAnsi="宋体" w:eastAsia="宋体" w:cs="宋体"/>
                <w:i w:val="0"/>
                <w:color w:val="000000"/>
                <w:sz w:val="18"/>
                <w:szCs w:val="18"/>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74BC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FB40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村卫生室药物补助使用实率</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CDD1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4EE1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AF8B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FB5EA">
            <w:pPr>
              <w:jc w:val="center"/>
              <w:rPr>
                <w:rFonts w:hint="eastAsia" w:ascii="宋体" w:hAnsi="宋体" w:eastAsia="宋体" w:cs="宋体"/>
                <w:i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28B4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9DF8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012B3">
            <w:pPr>
              <w:jc w:val="center"/>
              <w:rPr>
                <w:rFonts w:hint="eastAsia" w:ascii="宋体" w:hAnsi="宋体" w:eastAsia="宋体" w:cs="宋体"/>
                <w:i w:val="0"/>
                <w:color w:val="000000"/>
                <w:sz w:val="18"/>
                <w:szCs w:val="18"/>
                <w:u w:val="none"/>
              </w:rPr>
            </w:pPr>
          </w:p>
        </w:tc>
      </w:tr>
      <w:tr w14:paraId="6388ED2A">
        <w:tblPrEx>
          <w:tblCellMar>
            <w:top w:w="0" w:type="dxa"/>
            <w:left w:w="0" w:type="dxa"/>
            <w:bottom w:w="0" w:type="dxa"/>
            <w:right w:w="0" w:type="dxa"/>
          </w:tblCellMar>
        </w:tblPrEx>
        <w:trPr>
          <w:trHeight w:val="657"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0E59E">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A2AA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D410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C09E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享受人员基本情况有效改善</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22F7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053E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C957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A9092">
            <w:pPr>
              <w:jc w:val="center"/>
              <w:rPr>
                <w:rFonts w:hint="eastAsia" w:ascii="宋体" w:hAnsi="宋体" w:eastAsia="宋体" w:cs="宋体"/>
                <w:i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1466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9F64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298EC">
            <w:pPr>
              <w:jc w:val="center"/>
              <w:rPr>
                <w:rFonts w:hint="eastAsia" w:ascii="宋体" w:hAnsi="宋体" w:eastAsia="宋体" w:cs="宋体"/>
                <w:i w:val="0"/>
                <w:color w:val="000000"/>
                <w:sz w:val="18"/>
                <w:szCs w:val="18"/>
                <w:u w:val="none"/>
              </w:rPr>
            </w:pPr>
          </w:p>
        </w:tc>
      </w:tr>
      <w:tr w14:paraId="1A6C80AF">
        <w:tblPrEx>
          <w:shd w:val="clear" w:color="auto" w:fill="auto"/>
          <w:tblCellMar>
            <w:top w:w="0" w:type="dxa"/>
            <w:left w:w="0" w:type="dxa"/>
            <w:bottom w:w="0" w:type="dxa"/>
            <w:right w:w="0" w:type="dxa"/>
          </w:tblCellMar>
        </w:tblPrEx>
        <w:trPr>
          <w:trHeight w:val="735"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440C4">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7EB3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8078BE">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服务对象</w:t>
            </w:r>
            <w:r>
              <w:rPr>
                <w:rFonts w:ascii="宋体" w:hAnsi="宋体" w:eastAsia="宋体" w:cs="宋体"/>
                <w:i w:val="0"/>
                <w:color w:val="000000"/>
                <w:kern w:val="0"/>
                <w:sz w:val="18"/>
                <w:szCs w:val="18"/>
                <w:u w:val="none"/>
                <w:lang w:val="en-US" w:eastAsia="zh-CN" w:bidi="ar"/>
              </w:rPr>
              <w:t>满意度指标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8C03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享受村卫生室药物补助</w:t>
            </w:r>
            <w:r>
              <w:rPr>
                <w:rFonts w:hint="eastAsia" w:ascii="宋体" w:hAnsi="宋体" w:cs="宋体"/>
                <w:i w:val="0"/>
                <w:color w:val="000000"/>
                <w:kern w:val="0"/>
                <w:sz w:val="18"/>
                <w:szCs w:val="18"/>
                <w:u w:val="none"/>
                <w:lang w:val="en-US" w:eastAsia="zh-CN" w:bidi="ar"/>
              </w:rPr>
              <w:t>对象</w:t>
            </w:r>
            <w:r>
              <w:rPr>
                <w:rFonts w:ascii="宋体" w:hAnsi="宋体" w:eastAsia="宋体" w:cs="宋体"/>
                <w:i w:val="0"/>
                <w:color w:val="000000"/>
                <w:kern w:val="0"/>
                <w:sz w:val="18"/>
                <w:szCs w:val="18"/>
                <w:u w:val="none"/>
                <w:lang w:val="en-US" w:eastAsia="zh-CN" w:bidi="ar"/>
              </w:rPr>
              <w:t>满意度</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37D8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3FA7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8D02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E041C">
            <w:pPr>
              <w:jc w:val="center"/>
              <w:rPr>
                <w:rFonts w:hint="eastAsia" w:ascii="宋体" w:hAnsi="宋体" w:eastAsia="宋体" w:cs="宋体"/>
                <w:i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F352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70F0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6BA91">
            <w:pPr>
              <w:jc w:val="center"/>
              <w:rPr>
                <w:rFonts w:hint="eastAsia" w:ascii="宋体" w:hAnsi="宋体" w:eastAsia="宋体" w:cs="宋体"/>
                <w:i w:val="0"/>
                <w:color w:val="000000"/>
                <w:sz w:val="18"/>
                <w:szCs w:val="18"/>
                <w:u w:val="none"/>
              </w:rPr>
            </w:pPr>
          </w:p>
        </w:tc>
      </w:tr>
      <w:tr w14:paraId="14AA2FE0">
        <w:tblPrEx>
          <w:tblCellMar>
            <w:top w:w="0" w:type="dxa"/>
            <w:left w:w="0" w:type="dxa"/>
            <w:bottom w:w="0" w:type="dxa"/>
            <w:right w:w="0" w:type="dxa"/>
          </w:tblCellMar>
        </w:tblPrEx>
        <w:trPr>
          <w:trHeight w:val="394" w:hRule="atLeast"/>
        </w:trPr>
        <w:tc>
          <w:tcPr>
            <w:tcW w:w="711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6CAC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3F01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862EE">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93</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6FFD4">
            <w:pPr>
              <w:rPr>
                <w:rFonts w:hint="eastAsia" w:ascii="宋体" w:hAnsi="宋体" w:eastAsia="宋体" w:cs="宋体"/>
                <w:i w:val="0"/>
                <w:color w:val="000000"/>
                <w:sz w:val="18"/>
                <w:szCs w:val="18"/>
                <w:u w:val="none"/>
              </w:rPr>
            </w:pPr>
          </w:p>
        </w:tc>
      </w:tr>
      <w:tr w14:paraId="7C68E42D">
        <w:tblPrEx>
          <w:shd w:val="clear" w:color="auto" w:fill="auto"/>
          <w:tblCellMar>
            <w:top w:w="0" w:type="dxa"/>
            <w:left w:w="0" w:type="dxa"/>
            <w:bottom w:w="0" w:type="dxa"/>
            <w:right w:w="0" w:type="dxa"/>
          </w:tblCellMar>
        </w:tblPrEx>
        <w:trPr>
          <w:trHeight w:val="735" w:hRule="atLeast"/>
        </w:trPr>
        <w:tc>
          <w:tcPr>
            <w:tcW w:w="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62ED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9022"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B5374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全面深化村卫生室管理体制、补偿机制等方面的综合改革，为城乡居民提供安全、有效、方便、价廉的基本医疗卫生服务，经我单位认真自评，2023年村卫生室实施国家基本药物制度补助自评得分92分。</w:t>
            </w:r>
          </w:p>
        </w:tc>
      </w:tr>
      <w:tr w14:paraId="6BE869F1">
        <w:tblPrEx>
          <w:shd w:val="clear" w:color="auto" w:fill="auto"/>
          <w:tblCellMar>
            <w:top w:w="0" w:type="dxa"/>
            <w:left w:w="0" w:type="dxa"/>
            <w:bottom w:w="0" w:type="dxa"/>
            <w:right w:w="0" w:type="dxa"/>
          </w:tblCellMar>
        </w:tblPrEx>
        <w:trPr>
          <w:trHeight w:val="735" w:hRule="atLeast"/>
        </w:trPr>
        <w:tc>
          <w:tcPr>
            <w:tcW w:w="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1C0A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9022"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069A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无</w:t>
            </w:r>
          </w:p>
        </w:tc>
      </w:tr>
      <w:tr w14:paraId="2CC6C753">
        <w:tblPrEx>
          <w:shd w:val="clear" w:color="auto" w:fill="auto"/>
          <w:tblCellMar>
            <w:top w:w="0" w:type="dxa"/>
            <w:left w:w="0" w:type="dxa"/>
            <w:bottom w:w="0" w:type="dxa"/>
            <w:right w:w="0" w:type="dxa"/>
          </w:tblCellMar>
        </w:tblPrEx>
        <w:trPr>
          <w:trHeight w:val="744" w:hRule="atLeast"/>
        </w:trPr>
        <w:tc>
          <w:tcPr>
            <w:tcW w:w="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6BE9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9022"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55E6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无</w:t>
            </w:r>
          </w:p>
        </w:tc>
      </w:tr>
      <w:tr w14:paraId="16CB9915">
        <w:tblPrEx>
          <w:shd w:val="clear" w:color="auto" w:fill="auto"/>
          <w:tblCellMar>
            <w:top w:w="0" w:type="dxa"/>
            <w:left w:w="0" w:type="dxa"/>
            <w:bottom w:w="0" w:type="dxa"/>
            <w:right w:w="0" w:type="dxa"/>
          </w:tblCellMar>
        </w:tblPrEx>
        <w:trPr>
          <w:trHeight w:val="394" w:hRule="atLeast"/>
        </w:trPr>
        <w:tc>
          <w:tcPr>
            <w:tcW w:w="490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C73B6">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w:t>
            </w:r>
          </w:p>
        </w:tc>
        <w:tc>
          <w:tcPr>
            <w:tcW w:w="457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6E7CA">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w:t>
            </w:r>
          </w:p>
        </w:tc>
      </w:tr>
      <w:tr w14:paraId="33740E53">
        <w:tblPrEx>
          <w:tblCellMar>
            <w:top w:w="0" w:type="dxa"/>
            <w:left w:w="0" w:type="dxa"/>
            <w:bottom w:w="0" w:type="dxa"/>
            <w:right w:w="0" w:type="dxa"/>
          </w:tblCellMar>
        </w:tblPrEx>
        <w:trPr>
          <w:trHeight w:val="394" w:hRule="atLeast"/>
        </w:trPr>
        <w:tc>
          <w:tcPr>
            <w:tcW w:w="458" w:type="dxa"/>
            <w:tcBorders>
              <w:top w:val="nil"/>
              <w:left w:val="nil"/>
              <w:bottom w:val="nil"/>
              <w:right w:val="nil"/>
            </w:tcBorders>
            <w:shd w:val="clear" w:color="auto" w:fill="auto"/>
            <w:tcMar>
              <w:top w:w="15" w:type="dxa"/>
              <w:left w:w="15" w:type="dxa"/>
              <w:right w:w="15" w:type="dxa"/>
            </w:tcMar>
            <w:vAlign w:val="center"/>
          </w:tcPr>
          <w:p w14:paraId="0C23863E">
            <w:pPr>
              <w:rPr>
                <w:rFonts w:hint="eastAsia" w:ascii="宋体" w:hAnsi="宋体" w:eastAsia="宋体" w:cs="宋体"/>
                <w:i w:val="0"/>
                <w:color w:val="000000"/>
                <w:sz w:val="18"/>
                <w:szCs w:val="18"/>
                <w:u w:val="none"/>
              </w:rPr>
            </w:pPr>
          </w:p>
        </w:tc>
        <w:tc>
          <w:tcPr>
            <w:tcW w:w="1380" w:type="dxa"/>
            <w:tcBorders>
              <w:top w:val="nil"/>
              <w:left w:val="nil"/>
              <w:bottom w:val="nil"/>
              <w:right w:val="nil"/>
            </w:tcBorders>
            <w:shd w:val="clear" w:color="auto" w:fill="auto"/>
            <w:tcMar>
              <w:top w:w="15" w:type="dxa"/>
              <w:left w:w="15" w:type="dxa"/>
              <w:right w:w="15" w:type="dxa"/>
            </w:tcMar>
            <w:vAlign w:val="center"/>
          </w:tcPr>
          <w:p w14:paraId="0EDC577B">
            <w:pPr>
              <w:rPr>
                <w:rFonts w:hint="eastAsia" w:ascii="宋体" w:hAnsi="宋体" w:eastAsia="宋体" w:cs="宋体"/>
                <w:i w:val="0"/>
                <w:color w:val="000000"/>
                <w:sz w:val="18"/>
                <w:szCs w:val="18"/>
                <w:u w:val="none"/>
              </w:rPr>
            </w:pPr>
          </w:p>
        </w:tc>
        <w:tc>
          <w:tcPr>
            <w:tcW w:w="1193" w:type="dxa"/>
            <w:tcBorders>
              <w:top w:val="nil"/>
              <w:left w:val="nil"/>
              <w:bottom w:val="nil"/>
              <w:right w:val="nil"/>
            </w:tcBorders>
            <w:shd w:val="clear" w:color="auto" w:fill="auto"/>
            <w:tcMar>
              <w:top w:w="15" w:type="dxa"/>
              <w:left w:w="15" w:type="dxa"/>
              <w:right w:w="15" w:type="dxa"/>
            </w:tcMar>
            <w:vAlign w:val="center"/>
          </w:tcPr>
          <w:p w14:paraId="2F6E6EAC">
            <w:pPr>
              <w:rPr>
                <w:rFonts w:hint="eastAsia" w:ascii="宋体" w:hAnsi="宋体" w:eastAsia="宋体" w:cs="宋体"/>
                <w:i w:val="0"/>
                <w:color w:val="000000"/>
                <w:sz w:val="18"/>
                <w:szCs w:val="18"/>
                <w:u w:val="none"/>
              </w:rPr>
            </w:pPr>
          </w:p>
        </w:tc>
        <w:tc>
          <w:tcPr>
            <w:tcW w:w="1522" w:type="dxa"/>
            <w:tcBorders>
              <w:top w:val="nil"/>
              <w:left w:val="nil"/>
              <w:bottom w:val="nil"/>
              <w:right w:val="nil"/>
            </w:tcBorders>
            <w:shd w:val="clear" w:color="auto" w:fill="auto"/>
            <w:tcMar>
              <w:top w:w="15" w:type="dxa"/>
              <w:left w:w="15" w:type="dxa"/>
              <w:right w:w="15" w:type="dxa"/>
            </w:tcMar>
            <w:vAlign w:val="center"/>
          </w:tcPr>
          <w:p w14:paraId="183C1918">
            <w:pPr>
              <w:rPr>
                <w:rFonts w:hint="eastAsia" w:ascii="宋体" w:hAnsi="宋体" w:eastAsia="宋体" w:cs="宋体"/>
                <w:i w:val="0"/>
                <w:color w:val="000000"/>
                <w:sz w:val="18"/>
                <w:szCs w:val="18"/>
                <w:u w:val="none"/>
              </w:rPr>
            </w:pPr>
          </w:p>
        </w:tc>
        <w:tc>
          <w:tcPr>
            <w:tcW w:w="351" w:type="dxa"/>
            <w:gridSpan w:val="2"/>
            <w:tcBorders>
              <w:top w:val="nil"/>
              <w:left w:val="nil"/>
              <w:bottom w:val="nil"/>
              <w:right w:val="nil"/>
            </w:tcBorders>
            <w:shd w:val="clear" w:color="auto" w:fill="auto"/>
            <w:tcMar>
              <w:top w:w="15" w:type="dxa"/>
              <w:left w:w="15" w:type="dxa"/>
              <w:right w:w="15" w:type="dxa"/>
            </w:tcMar>
            <w:vAlign w:val="center"/>
          </w:tcPr>
          <w:p w14:paraId="67BF9C29">
            <w:pPr>
              <w:rPr>
                <w:rFonts w:hint="eastAsia" w:ascii="宋体" w:hAnsi="宋体" w:eastAsia="宋体" w:cs="宋体"/>
                <w:i w:val="0"/>
                <w:color w:val="000000"/>
                <w:sz w:val="18"/>
                <w:szCs w:val="18"/>
                <w:u w:val="none"/>
              </w:rPr>
            </w:pPr>
          </w:p>
        </w:tc>
        <w:tc>
          <w:tcPr>
            <w:tcW w:w="1126" w:type="dxa"/>
            <w:tcBorders>
              <w:top w:val="nil"/>
              <w:left w:val="nil"/>
              <w:bottom w:val="nil"/>
              <w:right w:val="nil"/>
            </w:tcBorders>
            <w:shd w:val="clear" w:color="auto" w:fill="auto"/>
            <w:tcMar>
              <w:top w:w="15" w:type="dxa"/>
              <w:left w:w="15" w:type="dxa"/>
              <w:right w:w="15" w:type="dxa"/>
            </w:tcMar>
            <w:vAlign w:val="center"/>
          </w:tcPr>
          <w:p w14:paraId="52D67826">
            <w:pPr>
              <w:rPr>
                <w:rFonts w:hint="eastAsia" w:ascii="宋体" w:hAnsi="宋体" w:eastAsia="宋体" w:cs="宋体"/>
                <w:i w:val="0"/>
                <w:color w:val="000000"/>
                <w:sz w:val="18"/>
                <w:szCs w:val="18"/>
                <w:u w:val="none"/>
              </w:rPr>
            </w:pPr>
          </w:p>
        </w:tc>
        <w:tc>
          <w:tcPr>
            <w:tcW w:w="352" w:type="dxa"/>
            <w:gridSpan w:val="2"/>
            <w:tcBorders>
              <w:top w:val="nil"/>
              <w:left w:val="nil"/>
              <w:bottom w:val="nil"/>
              <w:right w:val="nil"/>
            </w:tcBorders>
            <w:shd w:val="clear" w:color="auto" w:fill="auto"/>
            <w:tcMar>
              <w:top w:w="15" w:type="dxa"/>
              <w:left w:w="15" w:type="dxa"/>
              <w:right w:w="15" w:type="dxa"/>
            </w:tcMar>
            <w:vAlign w:val="center"/>
          </w:tcPr>
          <w:p w14:paraId="5E2823AF">
            <w:pPr>
              <w:rPr>
                <w:rFonts w:hint="eastAsia" w:ascii="宋体" w:hAnsi="宋体" w:eastAsia="宋体" w:cs="宋体"/>
                <w:i w:val="0"/>
                <w:color w:val="000000"/>
                <w:sz w:val="18"/>
                <w:szCs w:val="18"/>
                <w:u w:val="none"/>
              </w:rPr>
            </w:pPr>
          </w:p>
        </w:tc>
        <w:tc>
          <w:tcPr>
            <w:tcW w:w="733" w:type="dxa"/>
            <w:tcBorders>
              <w:top w:val="nil"/>
              <w:left w:val="nil"/>
              <w:bottom w:val="nil"/>
              <w:right w:val="nil"/>
            </w:tcBorders>
            <w:shd w:val="clear" w:color="auto" w:fill="auto"/>
            <w:tcMar>
              <w:top w:w="15" w:type="dxa"/>
              <w:left w:w="15" w:type="dxa"/>
              <w:right w:w="15" w:type="dxa"/>
            </w:tcMar>
            <w:vAlign w:val="center"/>
          </w:tcPr>
          <w:p w14:paraId="0F336574">
            <w:pPr>
              <w:rPr>
                <w:rFonts w:hint="eastAsia" w:ascii="宋体" w:hAnsi="宋体" w:eastAsia="宋体" w:cs="宋体"/>
                <w:i w:val="0"/>
                <w:color w:val="000000"/>
                <w:sz w:val="18"/>
                <w:szCs w:val="18"/>
                <w:u w:val="none"/>
              </w:rPr>
            </w:pPr>
          </w:p>
        </w:tc>
        <w:tc>
          <w:tcPr>
            <w:tcW w:w="340" w:type="dxa"/>
            <w:tcBorders>
              <w:top w:val="nil"/>
              <w:left w:val="nil"/>
              <w:bottom w:val="nil"/>
              <w:right w:val="nil"/>
            </w:tcBorders>
            <w:shd w:val="clear" w:color="auto" w:fill="auto"/>
            <w:tcMar>
              <w:top w:w="15" w:type="dxa"/>
              <w:left w:w="15" w:type="dxa"/>
              <w:right w:w="15" w:type="dxa"/>
            </w:tcMar>
            <w:vAlign w:val="center"/>
          </w:tcPr>
          <w:p w14:paraId="693F9C44">
            <w:pPr>
              <w:rPr>
                <w:rFonts w:hint="eastAsia" w:ascii="宋体" w:hAnsi="宋体" w:eastAsia="宋体" w:cs="宋体"/>
                <w:i w:val="0"/>
                <w:color w:val="000000"/>
                <w:sz w:val="18"/>
                <w:szCs w:val="18"/>
                <w:u w:val="none"/>
              </w:rPr>
            </w:pPr>
          </w:p>
        </w:tc>
        <w:tc>
          <w:tcPr>
            <w:tcW w:w="307" w:type="dxa"/>
            <w:tcBorders>
              <w:top w:val="nil"/>
              <w:left w:val="nil"/>
              <w:bottom w:val="nil"/>
              <w:right w:val="nil"/>
            </w:tcBorders>
            <w:shd w:val="clear" w:color="auto" w:fill="auto"/>
            <w:tcMar>
              <w:top w:w="15" w:type="dxa"/>
              <w:left w:w="15" w:type="dxa"/>
              <w:right w:w="15" w:type="dxa"/>
            </w:tcMar>
            <w:vAlign w:val="center"/>
          </w:tcPr>
          <w:p w14:paraId="322510E2">
            <w:pPr>
              <w:rPr>
                <w:rFonts w:hint="eastAsia" w:ascii="宋体" w:hAnsi="宋体" w:eastAsia="宋体" w:cs="宋体"/>
                <w:i w:val="0"/>
                <w:color w:val="000000"/>
                <w:sz w:val="18"/>
                <w:szCs w:val="18"/>
                <w:u w:val="none"/>
              </w:rPr>
            </w:pPr>
          </w:p>
        </w:tc>
        <w:tc>
          <w:tcPr>
            <w:tcW w:w="1718" w:type="dxa"/>
            <w:gridSpan w:val="2"/>
            <w:tcBorders>
              <w:top w:val="nil"/>
              <w:left w:val="nil"/>
              <w:bottom w:val="nil"/>
              <w:right w:val="nil"/>
            </w:tcBorders>
            <w:shd w:val="clear" w:color="auto" w:fill="auto"/>
            <w:tcMar>
              <w:top w:w="15" w:type="dxa"/>
              <w:left w:w="15" w:type="dxa"/>
              <w:right w:w="15" w:type="dxa"/>
            </w:tcMar>
            <w:vAlign w:val="center"/>
          </w:tcPr>
          <w:p w14:paraId="31461B17">
            <w:pPr>
              <w:rPr>
                <w:rFonts w:hint="eastAsia" w:ascii="宋体" w:hAnsi="宋体" w:eastAsia="宋体" w:cs="宋体"/>
                <w:i w:val="0"/>
                <w:color w:val="000000"/>
                <w:sz w:val="18"/>
                <w:szCs w:val="18"/>
                <w:u w:val="none"/>
              </w:rPr>
            </w:pPr>
          </w:p>
        </w:tc>
      </w:tr>
      <w:tr w14:paraId="071408EB">
        <w:tblPrEx>
          <w:tblCellMar>
            <w:top w:w="0" w:type="dxa"/>
            <w:left w:w="0" w:type="dxa"/>
            <w:bottom w:w="0" w:type="dxa"/>
            <w:right w:w="0" w:type="dxa"/>
          </w:tblCellMar>
        </w:tblPrEx>
        <w:trPr>
          <w:trHeight w:val="1041" w:hRule="atLeast"/>
        </w:trPr>
        <w:tc>
          <w:tcPr>
            <w:tcW w:w="9480"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36648">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14:paraId="1DDF9960">
        <w:tblPrEx>
          <w:shd w:val="clear" w:color="auto" w:fill="auto"/>
          <w:tblCellMar>
            <w:top w:w="0" w:type="dxa"/>
            <w:left w:w="0" w:type="dxa"/>
            <w:bottom w:w="0" w:type="dxa"/>
            <w:right w:w="0" w:type="dxa"/>
          </w:tblCellMar>
        </w:tblPrEx>
        <w:trPr>
          <w:trHeight w:val="394" w:hRule="atLeast"/>
        </w:trPr>
        <w:tc>
          <w:tcPr>
            <w:tcW w:w="18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B1C99">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7642"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DFFD3">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51322422T000006104104-12项基本公共卫生服务</w:t>
            </w:r>
          </w:p>
        </w:tc>
      </w:tr>
      <w:tr w14:paraId="1B920539">
        <w:tblPrEx>
          <w:shd w:val="clear" w:color="auto" w:fill="auto"/>
          <w:tblCellMar>
            <w:top w:w="0" w:type="dxa"/>
            <w:left w:w="0" w:type="dxa"/>
            <w:bottom w:w="0" w:type="dxa"/>
            <w:right w:w="0" w:type="dxa"/>
          </w:tblCellMar>
        </w:tblPrEx>
        <w:trPr>
          <w:trHeight w:val="735" w:hRule="atLeast"/>
        </w:trPr>
        <w:tc>
          <w:tcPr>
            <w:tcW w:w="18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19B84">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45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0AB7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松潘县卫生健康局本级</w:t>
            </w:r>
          </w:p>
        </w:tc>
        <w:tc>
          <w:tcPr>
            <w:tcW w:w="734" w:type="dxa"/>
            <w:gridSpan w:val="2"/>
            <w:tcBorders>
              <w:top w:val="nil"/>
              <w:left w:val="nil"/>
              <w:bottom w:val="nil"/>
              <w:right w:val="nil"/>
            </w:tcBorders>
            <w:shd w:val="clear" w:color="auto" w:fill="auto"/>
            <w:tcMar>
              <w:top w:w="15" w:type="dxa"/>
              <w:left w:w="15" w:type="dxa"/>
              <w:right w:w="15" w:type="dxa"/>
            </w:tcMar>
            <w:vAlign w:val="center"/>
          </w:tcPr>
          <w:p w14:paraId="24104175">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36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D3EF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松潘县毛儿盖镇中心卫生院</w:t>
            </w:r>
          </w:p>
        </w:tc>
      </w:tr>
      <w:tr w14:paraId="44DD9FBB">
        <w:tblPrEx>
          <w:tblCellMar>
            <w:top w:w="0" w:type="dxa"/>
            <w:left w:w="0" w:type="dxa"/>
            <w:bottom w:w="0" w:type="dxa"/>
            <w:right w:w="0" w:type="dxa"/>
          </w:tblCellMar>
        </w:tblPrEx>
        <w:trPr>
          <w:trHeight w:val="394" w:hRule="atLeast"/>
        </w:trPr>
        <w:tc>
          <w:tcPr>
            <w:tcW w:w="4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09656">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AFD2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45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2968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09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C6F78">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02675395">
        <w:tblPrEx>
          <w:tblCellMar>
            <w:top w:w="0" w:type="dxa"/>
            <w:left w:w="0" w:type="dxa"/>
            <w:bottom w:w="0" w:type="dxa"/>
            <w:right w:w="0" w:type="dxa"/>
          </w:tblCellMar>
        </w:tblPrEx>
        <w:trPr>
          <w:trHeight w:val="827"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16453">
            <w:pPr>
              <w:rPr>
                <w:rFonts w:hint="eastAsia" w:ascii="宋体" w:hAnsi="宋体" w:eastAsia="宋体" w:cs="宋体"/>
                <w:i w:val="0"/>
                <w:color w:val="000000"/>
                <w:sz w:val="18"/>
                <w:szCs w:val="18"/>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B2990">
            <w:pPr>
              <w:rPr>
                <w:rFonts w:hint="eastAsia" w:ascii="宋体" w:hAnsi="宋体" w:eastAsia="宋体" w:cs="宋体"/>
                <w:i w:val="0"/>
                <w:color w:val="000000"/>
                <w:sz w:val="18"/>
                <w:szCs w:val="18"/>
                <w:u w:val="none"/>
              </w:rPr>
            </w:pPr>
          </w:p>
        </w:tc>
        <w:tc>
          <w:tcPr>
            <w:tcW w:w="45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4B398">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免费向城乡居民提供基本公共卫生服务</w:t>
            </w:r>
          </w:p>
        </w:tc>
        <w:tc>
          <w:tcPr>
            <w:tcW w:w="309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BF22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已完成</w:t>
            </w:r>
          </w:p>
        </w:tc>
      </w:tr>
      <w:tr w14:paraId="6C9C065D">
        <w:tblPrEx>
          <w:shd w:val="clear" w:color="auto" w:fill="auto"/>
          <w:tblCellMar>
            <w:top w:w="0" w:type="dxa"/>
            <w:left w:w="0" w:type="dxa"/>
            <w:bottom w:w="0" w:type="dxa"/>
            <w:right w:w="0" w:type="dxa"/>
          </w:tblCellMar>
        </w:tblPrEx>
        <w:trPr>
          <w:trHeight w:val="810"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AA31E">
            <w:pP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F1F6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7642"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FCD83">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保持重点地方疾病防治措施全面落实，开展疾病</w:t>
            </w:r>
            <w:r>
              <w:rPr>
                <w:rFonts w:hint="eastAsia" w:ascii="宋体" w:hAnsi="宋体" w:cs="宋体"/>
                <w:i w:val="0"/>
                <w:color w:val="000000"/>
                <w:kern w:val="0"/>
                <w:sz w:val="18"/>
                <w:szCs w:val="18"/>
                <w:u w:val="none"/>
                <w:lang w:val="en-US" w:eastAsia="zh-CN" w:bidi="ar"/>
              </w:rPr>
              <w:t>监测</w:t>
            </w:r>
            <w:r>
              <w:rPr>
                <w:rFonts w:ascii="宋体" w:hAnsi="宋体" w:eastAsia="宋体" w:cs="宋体"/>
                <w:i w:val="0"/>
                <w:color w:val="000000"/>
                <w:kern w:val="0"/>
                <w:sz w:val="18"/>
                <w:szCs w:val="18"/>
                <w:u w:val="none"/>
                <w:lang w:val="en-US" w:eastAsia="zh-CN" w:bidi="ar"/>
              </w:rPr>
              <w:t>，最大限度地保护人民的健康权益；同时推进妇幼卫生、老年健康服务、儿童健康服务、卫生应急、计划生育等方面工作</w:t>
            </w:r>
          </w:p>
        </w:tc>
      </w:tr>
      <w:tr w14:paraId="5BDF0D8F">
        <w:tblPrEx>
          <w:tblCellMar>
            <w:top w:w="0" w:type="dxa"/>
            <w:left w:w="0" w:type="dxa"/>
            <w:bottom w:w="0" w:type="dxa"/>
            <w:right w:w="0" w:type="dxa"/>
          </w:tblCellMar>
        </w:tblPrEx>
        <w:trPr>
          <w:trHeight w:val="657" w:hRule="atLeast"/>
        </w:trPr>
        <w:tc>
          <w:tcPr>
            <w:tcW w:w="4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5309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F209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A77A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A1CE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FD17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40529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24DD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ECA1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2D8C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13954620">
        <w:tblPrEx>
          <w:shd w:val="clear" w:color="auto" w:fill="auto"/>
          <w:tblCellMar>
            <w:top w:w="0" w:type="dxa"/>
            <w:left w:w="0" w:type="dxa"/>
            <w:bottom w:w="0" w:type="dxa"/>
            <w:right w:w="0" w:type="dxa"/>
          </w:tblCellMar>
        </w:tblPrEx>
        <w:trPr>
          <w:trHeight w:val="430"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785A1">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C8C0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E665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EB9C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33.31</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4268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33.31</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75F5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9641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876A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71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EA9B9">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21F32724">
        <w:tblPrEx>
          <w:shd w:val="clear" w:color="auto" w:fill="auto"/>
          <w:tblCellMar>
            <w:top w:w="0" w:type="dxa"/>
            <w:left w:w="0" w:type="dxa"/>
            <w:bottom w:w="0" w:type="dxa"/>
            <w:right w:w="0" w:type="dxa"/>
          </w:tblCellMar>
        </w:tblPrEx>
        <w:trPr>
          <w:trHeight w:val="480"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5ECBC">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2EAA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878A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3959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33.31</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57C1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33.31</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B068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2FA7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44C5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12743">
            <w:pPr>
              <w:rPr>
                <w:rFonts w:hint="eastAsia" w:ascii="黑体" w:hAnsi="黑体" w:eastAsia="黑体" w:cs="黑体"/>
                <w:i/>
                <w:color w:val="000000"/>
                <w:sz w:val="18"/>
                <w:szCs w:val="18"/>
                <w:u w:val="none"/>
              </w:rPr>
            </w:pPr>
          </w:p>
        </w:tc>
      </w:tr>
      <w:tr w14:paraId="179B7F51">
        <w:tblPrEx>
          <w:tblCellMar>
            <w:top w:w="0" w:type="dxa"/>
            <w:left w:w="0" w:type="dxa"/>
            <w:bottom w:w="0" w:type="dxa"/>
            <w:right w:w="0" w:type="dxa"/>
          </w:tblCellMar>
        </w:tblPrEx>
        <w:trPr>
          <w:trHeight w:val="657"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1A1D8">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833D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49A81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A9E7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614F7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5875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1E5D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6411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7CD88">
            <w:pPr>
              <w:rPr>
                <w:rFonts w:hint="eastAsia" w:ascii="黑体" w:hAnsi="黑体" w:eastAsia="黑体" w:cs="黑体"/>
                <w:i/>
                <w:color w:val="000000"/>
                <w:sz w:val="18"/>
                <w:szCs w:val="18"/>
                <w:u w:val="none"/>
              </w:rPr>
            </w:pPr>
          </w:p>
        </w:tc>
      </w:tr>
      <w:tr w14:paraId="658287F8">
        <w:tblPrEx>
          <w:shd w:val="clear" w:color="auto" w:fill="auto"/>
          <w:tblCellMar>
            <w:top w:w="0" w:type="dxa"/>
            <w:left w:w="0" w:type="dxa"/>
            <w:bottom w:w="0" w:type="dxa"/>
            <w:right w:w="0" w:type="dxa"/>
          </w:tblCellMar>
        </w:tblPrEx>
        <w:trPr>
          <w:trHeight w:val="447"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0F397">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7F64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C998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8689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E694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5EA7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9873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BE83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9023F">
            <w:pPr>
              <w:rPr>
                <w:rFonts w:hint="eastAsia" w:ascii="黑体" w:hAnsi="黑体" w:eastAsia="黑体" w:cs="黑体"/>
                <w:i/>
                <w:color w:val="000000"/>
                <w:sz w:val="18"/>
                <w:szCs w:val="18"/>
                <w:u w:val="none"/>
              </w:rPr>
            </w:pPr>
          </w:p>
        </w:tc>
      </w:tr>
      <w:tr w14:paraId="1A8EE724">
        <w:tblPrEx>
          <w:shd w:val="clear" w:color="auto" w:fill="auto"/>
          <w:tblCellMar>
            <w:top w:w="0" w:type="dxa"/>
            <w:left w:w="0" w:type="dxa"/>
            <w:bottom w:w="0" w:type="dxa"/>
            <w:right w:w="0" w:type="dxa"/>
          </w:tblCellMar>
        </w:tblPrEx>
        <w:trPr>
          <w:trHeight w:val="853"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1139C">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9BE0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D5E3B">
            <w:pPr>
              <w:jc w:val="center"/>
              <w:rPr>
                <w:rFonts w:hint="eastAsia" w:ascii="微软雅黑" w:hAnsi="微软雅黑" w:eastAsia="微软雅黑" w:cs="微软雅黑"/>
                <w:i/>
                <w:color w:val="000000"/>
                <w:sz w:val="16"/>
                <w:szCs w:val="16"/>
                <w:u w:val="none"/>
              </w:rPr>
            </w:pP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EF614">
            <w:pPr>
              <w:jc w:val="center"/>
              <w:rPr>
                <w:rFonts w:hint="eastAsia" w:ascii="微软雅黑" w:hAnsi="微软雅黑" w:eastAsia="微软雅黑" w:cs="微软雅黑"/>
                <w:i/>
                <w:color w:val="000000"/>
                <w:sz w:val="16"/>
                <w:szCs w:val="16"/>
                <w:u w:val="none"/>
              </w:rPr>
            </w:pP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852C4">
            <w:pPr>
              <w:jc w:val="center"/>
              <w:rPr>
                <w:rFonts w:hint="eastAsia" w:ascii="微软雅黑" w:hAnsi="微软雅黑" w:eastAsia="微软雅黑" w:cs="微软雅黑"/>
                <w:i/>
                <w:color w:val="000000"/>
                <w:sz w:val="16"/>
                <w:szCs w:val="16"/>
                <w:u w:val="none"/>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F56A6">
            <w:pPr>
              <w:jc w:val="center"/>
              <w:rPr>
                <w:rFonts w:hint="eastAsia" w:ascii="微软雅黑" w:hAnsi="微软雅黑" w:eastAsia="微软雅黑" w:cs="微软雅黑"/>
                <w:i/>
                <w:color w:val="000000"/>
                <w:sz w:val="16"/>
                <w:szCs w:val="16"/>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9C78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F1EF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75F06">
            <w:pPr>
              <w:rPr>
                <w:rFonts w:hint="eastAsia" w:ascii="黑体" w:hAnsi="黑体" w:eastAsia="黑体" w:cs="黑体"/>
                <w:i/>
                <w:color w:val="000000"/>
                <w:sz w:val="18"/>
                <w:szCs w:val="18"/>
                <w:u w:val="none"/>
              </w:rPr>
            </w:pPr>
          </w:p>
        </w:tc>
      </w:tr>
      <w:tr w14:paraId="24226E6D">
        <w:tblPrEx>
          <w:shd w:val="clear" w:color="auto" w:fill="auto"/>
          <w:tblCellMar>
            <w:top w:w="0" w:type="dxa"/>
            <w:left w:w="0" w:type="dxa"/>
            <w:bottom w:w="0" w:type="dxa"/>
            <w:right w:w="0" w:type="dxa"/>
          </w:tblCellMar>
        </w:tblPrEx>
        <w:trPr>
          <w:trHeight w:val="1289" w:hRule="atLeast"/>
        </w:trPr>
        <w:tc>
          <w:tcPr>
            <w:tcW w:w="4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C8FA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4EAF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AD7B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F7C2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DF0F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E339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D20D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6584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2AA8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F10D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42FA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00505B48">
        <w:tblPrEx>
          <w:tblCellMar>
            <w:top w:w="0" w:type="dxa"/>
            <w:left w:w="0" w:type="dxa"/>
            <w:bottom w:w="0" w:type="dxa"/>
            <w:right w:w="0" w:type="dxa"/>
          </w:tblCellMar>
        </w:tblPrEx>
        <w:trPr>
          <w:trHeight w:val="735"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D53B6">
            <w:pPr>
              <w:jc w:val="center"/>
              <w:rPr>
                <w:rFonts w:hint="eastAsia" w:ascii="宋体" w:hAnsi="宋体" w:eastAsia="宋体" w:cs="宋体"/>
                <w:i w:val="0"/>
                <w:color w:val="000000"/>
                <w:sz w:val="18"/>
                <w:szCs w:val="18"/>
                <w:u w:val="none"/>
              </w:rPr>
            </w:pP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58D0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9AFB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9C06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享受12项基本公共卫生服务人数</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BFDC3">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B343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人数</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E5C9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人数</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B4454">
            <w:pPr>
              <w:jc w:val="center"/>
              <w:rPr>
                <w:rFonts w:hint="eastAsia" w:ascii="宋体" w:hAnsi="宋体" w:eastAsia="宋体" w:cs="宋体"/>
                <w:i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ECED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D3A4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2FDFA">
            <w:pPr>
              <w:jc w:val="center"/>
              <w:rPr>
                <w:rFonts w:hint="eastAsia" w:ascii="宋体" w:hAnsi="宋体" w:eastAsia="宋体" w:cs="宋体"/>
                <w:i w:val="0"/>
                <w:color w:val="000000"/>
                <w:sz w:val="18"/>
                <w:szCs w:val="18"/>
                <w:u w:val="none"/>
              </w:rPr>
            </w:pPr>
          </w:p>
        </w:tc>
      </w:tr>
      <w:tr w14:paraId="3FD120BF">
        <w:tblPrEx>
          <w:tblCellMar>
            <w:top w:w="0" w:type="dxa"/>
            <w:left w:w="0" w:type="dxa"/>
            <w:bottom w:w="0" w:type="dxa"/>
            <w:right w:w="0" w:type="dxa"/>
          </w:tblCellMar>
        </w:tblPrEx>
        <w:trPr>
          <w:trHeight w:val="735"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8937E">
            <w:pPr>
              <w:jc w:val="center"/>
              <w:rPr>
                <w:rFonts w:hint="eastAsia" w:ascii="宋体" w:hAnsi="宋体" w:eastAsia="宋体" w:cs="宋体"/>
                <w:i w:val="0"/>
                <w:color w:val="000000"/>
                <w:sz w:val="18"/>
                <w:szCs w:val="18"/>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F906E">
            <w:pPr>
              <w:jc w:val="center"/>
              <w:rPr>
                <w:rFonts w:hint="eastAsia" w:ascii="宋体" w:hAnsi="宋体" w:eastAsia="宋体" w:cs="宋体"/>
                <w:i w:val="0"/>
                <w:color w:val="000000"/>
                <w:sz w:val="18"/>
                <w:szCs w:val="18"/>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73BE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06AA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享受12项基本公共卫生服务标准</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6863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5EE1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C590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2B327">
            <w:pPr>
              <w:jc w:val="center"/>
              <w:rPr>
                <w:rFonts w:hint="eastAsia" w:ascii="宋体" w:hAnsi="宋体" w:eastAsia="宋体" w:cs="宋体"/>
                <w:i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356D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0073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D53C0">
            <w:pPr>
              <w:jc w:val="center"/>
              <w:rPr>
                <w:rFonts w:hint="eastAsia" w:ascii="宋体" w:hAnsi="宋体" w:eastAsia="宋体" w:cs="宋体"/>
                <w:i w:val="0"/>
                <w:color w:val="000000"/>
                <w:sz w:val="18"/>
                <w:szCs w:val="18"/>
                <w:u w:val="none"/>
              </w:rPr>
            </w:pPr>
          </w:p>
        </w:tc>
      </w:tr>
      <w:tr w14:paraId="0C616697">
        <w:tblPrEx>
          <w:shd w:val="clear" w:color="auto" w:fill="auto"/>
          <w:tblCellMar>
            <w:top w:w="0" w:type="dxa"/>
            <w:left w:w="0" w:type="dxa"/>
            <w:bottom w:w="0" w:type="dxa"/>
            <w:right w:w="0" w:type="dxa"/>
          </w:tblCellMar>
        </w:tblPrEx>
        <w:trPr>
          <w:trHeight w:val="735"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A2B32">
            <w:pPr>
              <w:jc w:val="center"/>
              <w:rPr>
                <w:rFonts w:hint="eastAsia" w:ascii="宋体" w:hAnsi="宋体" w:eastAsia="宋体" w:cs="宋体"/>
                <w:i w:val="0"/>
                <w:color w:val="000000"/>
                <w:sz w:val="18"/>
                <w:szCs w:val="18"/>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5C07A">
            <w:pPr>
              <w:jc w:val="center"/>
              <w:rPr>
                <w:rFonts w:hint="eastAsia" w:ascii="宋体" w:hAnsi="宋体" w:eastAsia="宋体" w:cs="宋体"/>
                <w:i w:val="0"/>
                <w:color w:val="000000"/>
                <w:sz w:val="18"/>
                <w:szCs w:val="18"/>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AEB2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DB74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12项基本公共卫生服务使用率</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807B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4849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B865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8C23F">
            <w:pPr>
              <w:jc w:val="center"/>
              <w:rPr>
                <w:rFonts w:hint="eastAsia" w:ascii="宋体" w:hAnsi="宋体" w:eastAsia="宋体" w:cs="宋体"/>
                <w:i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5726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0F61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8509F">
            <w:pPr>
              <w:jc w:val="center"/>
              <w:rPr>
                <w:rFonts w:hint="eastAsia" w:ascii="宋体" w:hAnsi="宋体" w:eastAsia="宋体" w:cs="宋体"/>
                <w:i w:val="0"/>
                <w:color w:val="000000"/>
                <w:sz w:val="18"/>
                <w:szCs w:val="18"/>
                <w:u w:val="none"/>
              </w:rPr>
            </w:pPr>
          </w:p>
        </w:tc>
      </w:tr>
      <w:tr w14:paraId="6D494117">
        <w:tblPrEx>
          <w:shd w:val="clear" w:color="auto" w:fill="auto"/>
          <w:tblCellMar>
            <w:top w:w="0" w:type="dxa"/>
            <w:left w:w="0" w:type="dxa"/>
            <w:bottom w:w="0" w:type="dxa"/>
            <w:right w:w="0" w:type="dxa"/>
          </w:tblCellMar>
        </w:tblPrEx>
        <w:trPr>
          <w:trHeight w:val="657"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53E4D">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A3DD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1D59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75E8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享受人员基本情况有效改善</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F29A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2C4B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5A53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FD292">
            <w:pPr>
              <w:jc w:val="center"/>
              <w:rPr>
                <w:rFonts w:hint="eastAsia" w:ascii="宋体" w:hAnsi="宋体" w:eastAsia="宋体" w:cs="宋体"/>
                <w:i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0A8B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70C6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194AB">
            <w:pPr>
              <w:jc w:val="center"/>
              <w:rPr>
                <w:rFonts w:hint="eastAsia" w:ascii="宋体" w:hAnsi="宋体" w:eastAsia="宋体" w:cs="宋体"/>
                <w:i w:val="0"/>
                <w:color w:val="000000"/>
                <w:sz w:val="18"/>
                <w:szCs w:val="18"/>
                <w:u w:val="none"/>
              </w:rPr>
            </w:pPr>
          </w:p>
        </w:tc>
      </w:tr>
      <w:tr w14:paraId="456A55A7">
        <w:tblPrEx>
          <w:shd w:val="clear" w:color="auto" w:fill="auto"/>
          <w:tblCellMar>
            <w:top w:w="0" w:type="dxa"/>
            <w:left w:w="0" w:type="dxa"/>
            <w:bottom w:w="0" w:type="dxa"/>
            <w:right w:w="0" w:type="dxa"/>
          </w:tblCellMar>
        </w:tblPrEx>
        <w:trPr>
          <w:trHeight w:val="973"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E5C50">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1EA3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0EA74">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服务对象</w:t>
            </w:r>
            <w:bookmarkStart w:id="115" w:name="_GoBack"/>
            <w:bookmarkEnd w:id="115"/>
            <w:r>
              <w:rPr>
                <w:rFonts w:ascii="宋体" w:hAnsi="宋体" w:eastAsia="宋体" w:cs="宋体"/>
                <w:i w:val="0"/>
                <w:color w:val="000000"/>
                <w:kern w:val="0"/>
                <w:sz w:val="18"/>
                <w:szCs w:val="18"/>
                <w:u w:val="none"/>
                <w:lang w:val="en-US" w:eastAsia="zh-CN" w:bidi="ar"/>
              </w:rPr>
              <w:t>满意度指标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B1A2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享受12项基本公共卫生</w:t>
            </w:r>
            <w:r>
              <w:rPr>
                <w:rFonts w:hint="eastAsia" w:ascii="宋体" w:hAnsi="宋体" w:cs="宋体"/>
                <w:i w:val="0"/>
                <w:color w:val="000000"/>
                <w:kern w:val="0"/>
                <w:sz w:val="18"/>
                <w:szCs w:val="18"/>
                <w:u w:val="none"/>
                <w:lang w:val="en-US" w:eastAsia="zh-CN" w:bidi="ar"/>
              </w:rPr>
              <w:t>服务对象</w:t>
            </w:r>
            <w:r>
              <w:rPr>
                <w:rFonts w:ascii="宋体" w:hAnsi="宋体" w:eastAsia="宋体" w:cs="宋体"/>
                <w:i w:val="0"/>
                <w:color w:val="000000"/>
                <w:kern w:val="0"/>
                <w:sz w:val="18"/>
                <w:szCs w:val="18"/>
                <w:u w:val="none"/>
                <w:lang w:val="en-US" w:eastAsia="zh-CN" w:bidi="ar"/>
              </w:rPr>
              <w:t>满意度</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09C5D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C824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D2AF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97C30">
            <w:pPr>
              <w:jc w:val="center"/>
              <w:rPr>
                <w:rFonts w:hint="eastAsia" w:ascii="宋体" w:hAnsi="宋体" w:eastAsia="宋体" w:cs="宋体"/>
                <w:i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6C56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7A3A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891B8">
            <w:pPr>
              <w:jc w:val="center"/>
              <w:rPr>
                <w:rFonts w:hint="eastAsia" w:ascii="宋体" w:hAnsi="宋体" w:eastAsia="宋体" w:cs="宋体"/>
                <w:i w:val="0"/>
                <w:color w:val="000000"/>
                <w:sz w:val="18"/>
                <w:szCs w:val="18"/>
                <w:u w:val="none"/>
              </w:rPr>
            </w:pPr>
          </w:p>
        </w:tc>
      </w:tr>
      <w:tr w14:paraId="045F96F9">
        <w:tblPrEx>
          <w:shd w:val="clear" w:color="auto" w:fill="auto"/>
          <w:tblCellMar>
            <w:top w:w="0" w:type="dxa"/>
            <w:left w:w="0" w:type="dxa"/>
            <w:bottom w:w="0" w:type="dxa"/>
            <w:right w:w="0" w:type="dxa"/>
          </w:tblCellMar>
        </w:tblPrEx>
        <w:trPr>
          <w:trHeight w:val="394" w:hRule="atLeast"/>
        </w:trPr>
        <w:tc>
          <w:tcPr>
            <w:tcW w:w="711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5100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B81C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8387C">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96</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7D707">
            <w:pPr>
              <w:rPr>
                <w:rFonts w:hint="eastAsia" w:ascii="宋体" w:hAnsi="宋体" w:eastAsia="宋体" w:cs="宋体"/>
                <w:i w:val="0"/>
                <w:color w:val="000000"/>
                <w:sz w:val="18"/>
                <w:szCs w:val="18"/>
                <w:u w:val="none"/>
              </w:rPr>
            </w:pPr>
          </w:p>
        </w:tc>
      </w:tr>
      <w:tr w14:paraId="36718C83">
        <w:tblPrEx>
          <w:tblCellMar>
            <w:top w:w="0" w:type="dxa"/>
            <w:left w:w="0" w:type="dxa"/>
            <w:bottom w:w="0" w:type="dxa"/>
            <w:right w:w="0" w:type="dxa"/>
          </w:tblCellMar>
        </w:tblPrEx>
        <w:trPr>
          <w:trHeight w:val="735" w:hRule="atLeast"/>
        </w:trPr>
        <w:tc>
          <w:tcPr>
            <w:tcW w:w="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9976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9022"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B14D63">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经我单位认真自评，2023年12项基本公共卫生服务自评得分94分</w:t>
            </w:r>
          </w:p>
        </w:tc>
      </w:tr>
      <w:tr w14:paraId="7535B388">
        <w:tblPrEx>
          <w:shd w:val="clear" w:color="auto" w:fill="auto"/>
          <w:tblCellMar>
            <w:top w:w="0" w:type="dxa"/>
            <w:left w:w="0" w:type="dxa"/>
            <w:bottom w:w="0" w:type="dxa"/>
            <w:right w:w="0" w:type="dxa"/>
          </w:tblCellMar>
        </w:tblPrEx>
        <w:trPr>
          <w:trHeight w:val="735" w:hRule="atLeast"/>
        </w:trPr>
        <w:tc>
          <w:tcPr>
            <w:tcW w:w="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BB07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9022"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73FB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无</w:t>
            </w:r>
          </w:p>
        </w:tc>
      </w:tr>
      <w:tr w14:paraId="3B5230FF">
        <w:tblPrEx>
          <w:tblCellMar>
            <w:top w:w="0" w:type="dxa"/>
            <w:left w:w="0" w:type="dxa"/>
            <w:bottom w:w="0" w:type="dxa"/>
            <w:right w:w="0" w:type="dxa"/>
          </w:tblCellMar>
        </w:tblPrEx>
        <w:trPr>
          <w:trHeight w:val="744" w:hRule="atLeast"/>
        </w:trPr>
        <w:tc>
          <w:tcPr>
            <w:tcW w:w="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9383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9022"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760A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无</w:t>
            </w:r>
          </w:p>
        </w:tc>
      </w:tr>
      <w:tr w14:paraId="719E0B65">
        <w:tblPrEx>
          <w:tblCellMar>
            <w:top w:w="0" w:type="dxa"/>
            <w:left w:w="0" w:type="dxa"/>
            <w:bottom w:w="0" w:type="dxa"/>
            <w:right w:w="0" w:type="dxa"/>
          </w:tblCellMar>
        </w:tblPrEx>
        <w:trPr>
          <w:trHeight w:val="394" w:hRule="atLeast"/>
        </w:trPr>
        <w:tc>
          <w:tcPr>
            <w:tcW w:w="490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69C27">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w:t>
            </w:r>
          </w:p>
        </w:tc>
        <w:tc>
          <w:tcPr>
            <w:tcW w:w="457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F09C6">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w:t>
            </w:r>
          </w:p>
        </w:tc>
      </w:tr>
      <w:tr w14:paraId="3D31F0F9">
        <w:tblPrEx>
          <w:shd w:val="clear" w:color="auto" w:fill="auto"/>
          <w:tblCellMar>
            <w:top w:w="0" w:type="dxa"/>
            <w:left w:w="0" w:type="dxa"/>
            <w:bottom w:w="0" w:type="dxa"/>
            <w:right w:w="0" w:type="dxa"/>
          </w:tblCellMar>
        </w:tblPrEx>
        <w:trPr>
          <w:trHeight w:val="394" w:hRule="atLeast"/>
        </w:trPr>
        <w:tc>
          <w:tcPr>
            <w:tcW w:w="458" w:type="dxa"/>
            <w:tcBorders>
              <w:top w:val="nil"/>
              <w:left w:val="nil"/>
              <w:bottom w:val="nil"/>
              <w:right w:val="nil"/>
            </w:tcBorders>
            <w:shd w:val="clear" w:color="auto" w:fill="auto"/>
            <w:tcMar>
              <w:top w:w="15" w:type="dxa"/>
              <w:left w:w="15" w:type="dxa"/>
              <w:right w:w="15" w:type="dxa"/>
            </w:tcMar>
            <w:vAlign w:val="center"/>
          </w:tcPr>
          <w:p w14:paraId="70283BE4">
            <w:pPr>
              <w:rPr>
                <w:rFonts w:hint="eastAsia" w:ascii="宋体" w:hAnsi="宋体" w:eastAsia="宋体" w:cs="宋体"/>
                <w:i w:val="0"/>
                <w:color w:val="000000"/>
                <w:sz w:val="18"/>
                <w:szCs w:val="18"/>
                <w:u w:val="none"/>
              </w:rPr>
            </w:pPr>
          </w:p>
        </w:tc>
        <w:tc>
          <w:tcPr>
            <w:tcW w:w="1380" w:type="dxa"/>
            <w:tcBorders>
              <w:top w:val="nil"/>
              <w:left w:val="nil"/>
              <w:bottom w:val="nil"/>
              <w:right w:val="nil"/>
            </w:tcBorders>
            <w:shd w:val="clear" w:color="auto" w:fill="auto"/>
            <w:tcMar>
              <w:top w:w="15" w:type="dxa"/>
              <w:left w:w="15" w:type="dxa"/>
              <w:right w:w="15" w:type="dxa"/>
            </w:tcMar>
            <w:vAlign w:val="center"/>
          </w:tcPr>
          <w:p w14:paraId="5AEBBB6F">
            <w:pPr>
              <w:rPr>
                <w:rFonts w:hint="eastAsia" w:ascii="宋体" w:hAnsi="宋体" w:eastAsia="宋体" w:cs="宋体"/>
                <w:i w:val="0"/>
                <w:color w:val="000000"/>
                <w:sz w:val="18"/>
                <w:szCs w:val="18"/>
                <w:u w:val="none"/>
              </w:rPr>
            </w:pPr>
          </w:p>
        </w:tc>
        <w:tc>
          <w:tcPr>
            <w:tcW w:w="1193" w:type="dxa"/>
            <w:tcBorders>
              <w:top w:val="nil"/>
              <w:left w:val="nil"/>
              <w:bottom w:val="nil"/>
              <w:right w:val="nil"/>
            </w:tcBorders>
            <w:shd w:val="clear" w:color="auto" w:fill="auto"/>
            <w:tcMar>
              <w:top w:w="15" w:type="dxa"/>
              <w:left w:w="15" w:type="dxa"/>
              <w:right w:w="15" w:type="dxa"/>
            </w:tcMar>
            <w:vAlign w:val="center"/>
          </w:tcPr>
          <w:p w14:paraId="7725D88F">
            <w:pPr>
              <w:rPr>
                <w:rFonts w:hint="eastAsia" w:ascii="宋体" w:hAnsi="宋体" w:eastAsia="宋体" w:cs="宋体"/>
                <w:i w:val="0"/>
                <w:color w:val="000000"/>
                <w:sz w:val="18"/>
                <w:szCs w:val="18"/>
                <w:u w:val="none"/>
              </w:rPr>
            </w:pPr>
          </w:p>
        </w:tc>
        <w:tc>
          <w:tcPr>
            <w:tcW w:w="1522" w:type="dxa"/>
            <w:tcBorders>
              <w:top w:val="nil"/>
              <w:left w:val="nil"/>
              <w:bottom w:val="nil"/>
              <w:right w:val="nil"/>
            </w:tcBorders>
            <w:shd w:val="clear" w:color="auto" w:fill="auto"/>
            <w:tcMar>
              <w:top w:w="15" w:type="dxa"/>
              <w:left w:w="15" w:type="dxa"/>
              <w:right w:w="15" w:type="dxa"/>
            </w:tcMar>
            <w:vAlign w:val="center"/>
          </w:tcPr>
          <w:p w14:paraId="49C05F1F">
            <w:pPr>
              <w:rPr>
                <w:rFonts w:hint="eastAsia" w:ascii="宋体" w:hAnsi="宋体" w:eastAsia="宋体" w:cs="宋体"/>
                <w:i w:val="0"/>
                <w:color w:val="000000"/>
                <w:sz w:val="18"/>
                <w:szCs w:val="18"/>
                <w:u w:val="none"/>
              </w:rPr>
            </w:pPr>
          </w:p>
        </w:tc>
        <w:tc>
          <w:tcPr>
            <w:tcW w:w="351" w:type="dxa"/>
            <w:gridSpan w:val="2"/>
            <w:tcBorders>
              <w:top w:val="nil"/>
              <w:left w:val="nil"/>
              <w:bottom w:val="nil"/>
              <w:right w:val="nil"/>
            </w:tcBorders>
            <w:shd w:val="clear" w:color="auto" w:fill="auto"/>
            <w:tcMar>
              <w:top w:w="15" w:type="dxa"/>
              <w:left w:w="15" w:type="dxa"/>
              <w:right w:w="15" w:type="dxa"/>
            </w:tcMar>
            <w:vAlign w:val="center"/>
          </w:tcPr>
          <w:p w14:paraId="502E285B">
            <w:pPr>
              <w:rPr>
                <w:rFonts w:hint="eastAsia" w:ascii="宋体" w:hAnsi="宋体" w:eastAsia="宋体" w:cs="宋体"/>
                <w:i w:val="0"/>
                <w:color w:val="000000"/>
                <w:sz w:val="18"/>
                <w:szCs w:val="18"/>
                <w:u w:val="none"/>
              </w:rPr>
            </w:pPr>
          </w:p>
        </w:tc>
        <w:tc>
          <w:tcPr>
            <w:tcW w:w="1126" w:type="dxa"/>
            <w:tcBorders>
              <w:top w:val="nil"/>
              <w:left w:val="nil"/>
              <w:bottom w:val="nil"/>
              <w:right w:val="nil"/>
            </w:tcBorders>
            <w:shd w:val="clear" w:color="auto" w:fill="auto"/>
            <w:tcMar>
              <w:top w:w="15" w:type="dxa"/>
              <w:left w:w="15" w:type="dxa"/>
              <w:right w:w="15" w:type="dxa"/>
            </w:tcMar>
            <w:vAlign w:val="center"/>
          </w:tcPr>
          <w:p w14:paraId="6E6FFF38">
            <w:pPr>
              <w:rPr>
                <w:rFonts w:hint="eastAsia" w:ascii="宋体" w:hAnsi="宋体" w:eastAsia="宋体" w:cs="宋体"/>
                <w:i w:val="0"/>
                <w:color w:val="000000"/>
                <w:sz w:val="18"/>
                <w:szCs w:val="18"/>
                <w:u w:val="none"/>
              </w:rPr>
            </w:pPr>
          </w:p>
        </w:tc>
        <w:tc>
          <w:tcPr>
            <w:tcW w:w="352" w:type="dxa"/>
            <w:gridSpan w:val="2"/>
            <w:tcBorders>
              <w:top w:val="nil"/>
              <w:left w:val="nil"/>
              <w:bottom w:val="nil"/>
              <w:right w:val="nil"/>
            </w:tcBorders>
            <w:shd w:val="clear" w:color="auto" w:fill="auto"/>
            <w:tcMar>
              <w:top w:w="15" w:type="dxa"/>
              <w:left w:w="15" w:type="dxa"/>
              <w:right w:w="15" w:type="dxa"/>
            </w:tcMar>
            <w:vAlign w:val="center"/>
          </w:tcPr>
          <w:p w14:paraId="5CD7CF37">
            <w:pPr>
              <w:rPr>
                <w:rFonts w:hint="eastAsia" w:ascii="宋体" w:hAnsi="宋体" w:eastAsia="宋体" w:cs="宋体"/>
                <w:i w:val="0"/>
                <w:color w:val="000000"/>
                <w:sz w:val="18"/>
                <w:szCs w:val="18"/>
                <w:u w:val="none"/>
              </w:rPr>
            </w:pPr>
          </w:p>
        </w:tc>
        <w:tc>
          <w:tcPr>
            <w:tcW w:w="733" w:type="dxa"/>
            <w:tcBorders>
              <w:top w:val="nil"/>
              <w:left w:val="nil"/>
              <w:bottom w:val="nil"/>
              <w:right w:val="nil"/>
            </w:tcBorders>
            <w:shd w:val="clear" w:color="auto" w:fill="auto"/>
            <w:tcMar>
              <w:top w:w="15" w:type="dxa"/>
              <w:left w:w="15" w:type="dxa"/>
              <w:right w:w="15" w:type="dxa"/>
            </w:tcMar>
            <w:vAlign w:val="center"/>
          </w:tcPr>
          <w:p w14:paraId="322BAC76">
            <w:pPr>
              <w:rPr>
                <w:rFonts w:hint="eastAsia" w:ascii="宋体" w:hAnsi="宋体" w:eastAsia="宋体" w:cs="宋体"/>
                <w:i w:val="0"/>
                <w:color w:val="000000"/>
                <w:sz w:val="18"/>
                <w:szCs w:val="18"/>
                <w:u w:val="none"/>
              </w:rPr>
            </w:pPr>
          </w:p>
        </w:tc>
        <w:tc>
          <w:tcPr>
            <w:tcW w:w="340" w:type="dxa"/>
            <w:tcBorders>
              <w:top w:val="nil"/>
              <w:left w:val="nil"/>
              <w:bottom w:val="nil"/>
              <w:right w:val="nil"/>
            </w:tcBorders>
            <w:shd w:val="clear" w:color="auto" w:fill="auto"/>
            <w:tcMar>
              <w:top w:w="15" w:type="dxa"/>
              <w:left w:w="15" w:type="dxa"/>
              <w:right w:w="15" w:type="dxa"/>
            </w:tcMar>
            <w:vAlign w:val="center"/>
          </w:tcPr>
          <w:p w14:paraId="324DC686">
            <w:pPr>
              <w:rPr>
                <w:rFonts w:hint="eastAsia" w:ascii="宋体" w:hAnsi="宋体" w:eastAsia="宋体" w:cs="宋体"/>
                <w:i w:val="0"/>
                <w:color w:val="000000"/>
                <w:sz w:val="18"/>
                <w:szCs w:val="18"/>
                <w:u w:val="none"/>
              </w:rPr>
            </w:pPr>
          </w:p>
        </w:tc>
        <w:tc>
          <w:tcPr>
            <w:tcW w:w="307" w:type="dxa"/>
            <w:tcBorders>
              <w:top w:val="nil"/>
              <w:left w:val="nil"/>
              <w:bottom w:val="nil"/>
              <w:right w:val="nil"/>
            </w:tcBorders>
            <w:shd w:val="clear" w:color="auto" w:fill="auto"/>
            <w:tcMar>
              <w:top w:w="15" w:type="dxa"/>
              <w:left w:w="15" w:type="dxa"/>
              <w:right w:w="15" w:type="dxa"/>
            </w:tcMar>
            <w:vAlign w:val="center"/>
          </w:tcPr>
          <w:p w14:paraId="4186574E">
            <w:pPr>
              <w:rPr>
                <w:rFonts w:hint="eastAsia" w:ascii="宋体" w:hAnsi="宋体" w:eastAsia="宋体" w:cs="宋体"/>
                <w:i w:val="0"/>
                <w:color w:val="000000"/>
                <w:sz w:val="18"/>
                <w:szCs w:val="18"/>
                <w:u w:val="none"/>
              </w:rPr>
            </w:pPr>
          </w:p>
        </w:tc>
        <w:tc>
          <w:tcPr>
            <w:tcW w:w="1718" w:type="dxa"/>
            <w:gridSpan w:val="2"/>
            <w:tcBorders>
              <w:top w:val="nil"/>
              <w:left w:val="nil"/>
              <w:bottom w:val="nil"/>
              <w:right w:val="nil"/>
            </w:tcBorders>
            <w:shd w:val="clear" w:color="auto" w:fill="auto"/>
            <w:tcMar>
              <w:top w:w="15" w:type="dxa"/>
              <w:left w:w="15" w:type="dxa"/>
              <w:right w:w="15" w:type="dxa"/>
            </w:tcMar>
            <w:vAlign w:val="center"/>
          </w:tcPr>
          <w:p w14:paraId="73A4E5AD">
            <w:pPr>
              <w:rPr>
                <w:rFonts w:hint="eastAsia" w:ascii="宋体" w:hAnsi="宋体" w:eastAsia="宋体" w:cs="宋体"/>
                <w:i w:val="0"/>
                <w:color w:val="000000"/>
                <w:sz w:val="18"/>
                <w:szCs w:val="18"/>
                <w:u w:val="none"/>
              </w:rPr>
            </w:pPr>
          </w:p>
        </w:tc>
      </w:tr>
      <w:tr w14:paraId="76BF7013">
        <w:tblPrEx>
          <w:shd w:val="clear" w:color="auto" w:fill="auto"/>
          <w:tblCellMar>
            <w:top w:w="0" w:type="dxa"/>
            <w:left w:w="0" w:type="dxa"/>
            <w:bottom w:w="0" w:type="dxa"/>
            <w:right w:w="0" w:type="dxa"/>
          </w:tblCellMar>
        </w:tblPrEx>
        <w:trPr>
          <w:trHeight w:val="1041" w:hRule="atLeast"/>
        </w:trPr>
        <w:tc>
          <w:tcPr>
            <w:tcW w:w="9480"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50D92">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14:paraId="0BA31A02">
        <w:tblPrEx>
          <w:tblCellMar>
            <w:top w:w="0" w:type="dxa"/>
            <w:left w:w="0" w:type="dxa"/>
            <w:bottom w:w="0" w:type="dxa"/>
            <w:right w:w="0" w:type="dxa"/>
          </w:tblCellMar>
        </w:tblPrEx>
        <w:trPr>
          <w:trHeight w:val="394" w:hRule="atLeast"/>
        </w:trPr>
        <w:tc>
          <w:tcPr>
            <w:tcW w:w="18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FBD5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7642"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B1947">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51322422T000006746496-三支一扶财政补助资金</w:t>
            </w:r>
          </w:p>
        </w:tc>
      </w:tr>
      <w:tr w14:paraId="11720F3E">
        <w:tblPrEx>
          <w:shd w:val="clear" w:color="auto" w:fill="auto"/>
          <w:tblCellMar>
            <w:top w:w="0" w:type="dxa"/>
            <w:left w:w="0" w:type="dxa"/>
            <w:bottom w:w="0" w:type="dxa"/>
            <w:right w:w="0" w:type="dxa"/>
          </w:tblCellMar>
        </w:tblPrEx>
        <w:trPr>
          <w:trHeight w:val="735" w:hRule="atLeast"/>
        </w:trPr>
        <w:tc>
          <w:tcPr>
            <w:tcW w:w="18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1724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45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1FE8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松潘县卫生健康局本级</w:t>
            </w:r>
          </w:p>
        </w:tc>
        <w:tc>
          <w:tcPr>
            <w:tcW w:w="734" w:type="dxa"/>
            <w:gridSpan w:val="2"/>
            <w:tcBorders>
              <w:top w:val="nil"/>
              <w:left w:val="nil"/>
              <w:bottom w:val="nil"/>
              <w:right w:val="nil"/>
            </w:tcBorders>
            <w:shd w:val="clear" w:color="auto" w:fill="auto"/>
            <w:tcMar>
              <w:top w:w="15" w:type="dxa"/>
              <w:left w:w="15" w:type="dxa"/>
              <w:right w:w="15" w:type="dxa"/>
            </w:tcMar>
            <w:vAlign w:val="center"/>
          </w:tcPr>
          <w:p w14:paraId="3FC0F941">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236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9A6F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松潘县毛儿盖镇中心卫生院</w:t>
            </w:r>
          </w:p>
        </w:tc>
      </w:tr>
      <w:tr w14:paraId="5E7CC9FC">
        <w:tblPrEx>
          <w:shd w:val="clear" w:color="auto" w:fill="auto"/>
          <w:tblCellMar>
            <w:top w:w="0" w:type="dxa"/>
            <w:left w:w="0" w:type="dxa"/>
            <w:bottom w:w="0" w:type="dxa"/>
            <w:right w:w="0" w:type="dxa"/>
          </w:tblCellMar>
        </w:tblPrEx>
        <w:trPr>
          <w:trHeight w:val="394" w:hRule="atLeast"/>
        </w:trPr>
        <w:tc>
          <w:tcPr>
            <w:tcW w:w="4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1BAFB">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520AC">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45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942F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309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5B7A1">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03D72044">
        <w:tblPrEx>
          <w:shd w:val="clear" w:color="auto" w:fill="auto"/>
          <w:tblCellMar>
            <w:top w:w="0" w:type="dxa"/>
            <w:left w:w="0" w:type="dxa"/>
            <w:bottom w:w="0" w:type="dxa"/>
            <w:right w:w="0" w:type="dxa"/>
          </w:tblCellMar>
        </w:tblPrEx>
        <w:trPr>
          <w:trHeight w:val="827"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D0316">
            <w:pPr>
              <w:rPr>
                <w:rFonts w:hint="eastAsia" w:ascii="宋体" w:hAnsi="宋体" w:eastAsia="宋体" w:cs="宋体"/>
                <w:i w:val="0"/>
                <w:color w:val="000000"/>
                <w:sz w:val="18"/>
                <w:szCs w:val="18"/>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B9BBB">
            <w:pPr>
              <w:rPr>
                <w:rFonts w:hint="eastAsia" w:ascii="宋体" w:hAnsi="宋体" w:eastAsia="宋体" w:cs="宋体"/>
                <w:i w:val="0"/>
                <w:color w:val="000000"/>
                <w:sz w:val="18"/>
                <w:szCs w:val="18"/>
                <w:u w:val="none"/>
              </w:rPr>
            </w:pPr>
          </w:p>
        </w:tc>
        <w:tc>
          <w:tcPr>
            <w:tcW w:w="454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0BF96">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保障卫生院三支一扶人员的生活补助</w:t>
            </w:r>
          </w:p>
        </w:tc>
        <w:tc>
          <w:tcPr>
            <w:tcW w:w="309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2D555">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已完成</w:t>
            </w:r>
          </w:p>
        </w:tc>
      </w:tr>
      <w:tr w14:paraId="663B28E1">
        <w:tblPrEx>
          <w:tblCellMar>
            <w:top w:w="0" w:type="dxa"/>
            <w:left w:w="0" w:type="dxa"/>
            <w:bottom w:w="0" w:type="dxa"/>
            <w:right w:w="0" w:type="dxa"/>
          </w:tblCellMar>
        </w:tblPrEx>
        <w:trPr>
          <w:trHeight w:val="810"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52DF5D">
            <w:pP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C2126">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7642"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86067">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　该项目资金主要用于单位三支一扶生活补助支出，进一步加强三支一扶基本生活保障</w:t>
            </w:r>
          </w:p>
        </w:tc>
      </w:tr>
      <w:tr w14:paraId="11642BDA">
        <w:tblPrEx>
          <w:shd w:val="clear" w:color="auto" w:fill="auto"/>
          <w:tblCellMar>
            <w:top w:w="0" w:type="dxa"/>
            <w:left w:w="0" w:type="dxa"/>
            <w:bottom w:w="0" w:type="dxa"/>
            <w:right w:w="0" w:type="dxa"/>
          </w:tblCellMar>
        </w:tblPrEx>
        <w:trPr>
          <w:trHeight w:val="657" w:hRule="atLeast"/>
        </w:trPr>
        <w:tc>
          <w:tcPr>
            <w:tcW w:w="4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C855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16EA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CC38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9EC8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C1C8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55DA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F7C9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C3E4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5C5A2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78693382">
        <w:tblPrEx>
          <w:shd w:val="clear" w:color="auto" w:fill="auto"/>
          <w:tblCellMar>
            <w:top w:w="0" w:type="dxa"/>
            <w:left w:w="0" w:type="dxa"/>
            <w:bottom w:w="0" w:type="dxa"/>
            <w:right w:w="0" w:type="dxa"/>
          </w:tblCellMar>
        </w:tblPrEx>
        <w:trPr>
          <w:trHeight w:val="430"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D3F66">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A76E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F462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A599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5.66</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7571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5.66</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C5753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2F79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99AC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71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6E13E">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6131645">
        <w:tblPrEx>
          <w:shd w:val="clear" w:color="auto" w:fill="auto"/>
          <w:tblCellMar>
            <w:top w:w="0" w:type="dxa"/>
            <w:left w:w="0" w:type="dxa"/>
            <w:bottom w:w="0" w:type="dxa"/>
            <w:right w:w="0" w:type="dxa"/>
          </w:tblCellMar>
        </w:tblPrEx>
        <w:trPr>
          <w:trHeight w:val="480"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08FF8">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56F2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7886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4B01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5.66</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B594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5.66</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644F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CE93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11AC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8682F">
            <w:pPr>
              <w:rPr>
                <w:rFonts w:hint="eastAsia" w:ascii="黑体" w:hAnsi="黑体" w:eastAsia="黑体" w:cs="黑体"/>
                <w:i/>
                <w:color w:val="000000"/>
                <w:sz w:val="18"/>
                <w:szCs w:val="18"/>
                <w:u w:val="none"/>
              </w:rPr>
            </w:pPr>
          </w:p>
        </w:tc>
      </w:tr>
      <w:tr w14:paraId="312E26EB">
        <w:tblPrEx>
          <w:shd w:val="clear" w:color="auto" w:fill="auto"/>
          <w:tblCellMar>
            <w:top w:w="0" w:type="dxa"/>
            <w:left w:w="0" w:type="dxa"/>
            <w:bottom w:w="0" w:type="dxa"/>
            <w:right w:w="0" w:type="dxa"/>
          </w:tblCellMar>
        </w:tblPrEx>
        <w:trPr>
          <w:trHeight w:val="657"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40A3C">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704A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84F9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8F47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5006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E7EB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FE5F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E5E6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2D013">
            <w:pPr>
              <w:rPr>
                <w:rFonts w:hint="eastAsia" w:ascii="黑体" w:hAnsi="黑体" w:eastAsia="黑体" w:cs="黑体"/>
                <w:i/>
                <w:color w:val="000000"/>
                <w:sz w:val="18"/>
                <w:szCs w:val="18"/>
                <w:u w:val="none"/>
              </w:rPr>
            </w:pPr>
          </w:p>
        </w:tc>
      </w:tr>
      <w:tr w14:paraId="53E5310A">
        <w:tblPrEx>
          <w:tblCellMar>
            <w:top w:w="0" w:type="dxa"/>
            <w:left w:w="0" w:type="dxa"/>
            <w:bottom w:w="0" w:type="dxa"/>
            <w:right w:w="0" w:type="dxa"/>
          </w:tblCellMar>
        </w:tblPrEx>
        <w:trPr>
          <w:trHeight w:val="447"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6C57ED">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CFA8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90EA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0F3B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E1A8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2954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70D4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A249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3BDF7">
            <w:pPr>
              <w:rPr>
                <w:rFonts w:hint="eastAsia" w:ascii="黑体" w:hAnsi="黑体" w:eastAsia="黑体" w:cs="黑体"/>
                <w:i/>
                <w:color w:val="000000"/>
                <w:sz w:val="18"/>
                <w:szCs w:val="18"/>
                <w:u w:val="none"/>
              </w:rPr>
            </w:pPr>
          </w:p>
        </w:tc>
      </w:tr>
      <w:tr w14:paraId="743F91D0">
        <w:tblPrEx>
          <w:tblCellMar>
            <w:top w:w="0" w:type="dxa"/>
            <w:left w:w="0" w:type="dxa"/>
            <w:bottom w:w="0" w:type="dxa"/>
            <w:right w:w="0" w:type="dxa"/>
          </w:tblCellMar>
        </w:tblPrEx>
        <w:trPr>
          <w:trHeight w:val="968"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8A704">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553D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C84FE">
            <w:pPr>
              <w:jc w:val="center"/>
              <w:rPr>
                <w:rFonts w:hint="eastAsia" w:ascii="微软雅黑" w:hAnsi="微软雅黑" w:eastAsia="微软雅黑" w:cs="微软雅黑"/>
                <w:i/>
                <w:color w:val="000000"/>
                <w:sz w:val="16"/>
                <w:szCs w:val="16"/>
                <w:u w:val="none"/>
              </w:rPr>
            </w:pP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8240F">
            <w:pPr>
              <w:jc w:val="center"/>
              <w:rPr>
                <w:rFonts w:hint="eastAsia" w:ascii="微软雅黑" w:hAnsi="微软雅黑" w:eastAsia="微软雅黑" w:cs="微软雅黑"/>
                <w:i/>
                <w:color w:val="000000"/>
                <w:sz w:val="16"/>
                <w:szCs w:val="16"/>
                <w:u w:val="none"/>
              </w:rPr>
            </w:pPr>
          </w:p>
        </w:tc>
        <w:tc>
          <w:tcPr>
            <w:tcW w:w="182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9574F">
            <w:pPr>
              <w:jc w:val="center"/>
              <w:rPr>
                <w:rFonts w:hint="eastAsia" w:ascii="微软雅黑" w:hAnsi="微软雅黑" w:eastAsia="微软雅黑" w:cs="微软雅黑"/>
                <w:i/>
                <w:color w:val="000000"/>
                <w:sz w:val="16"/>
                <w:szCs w:val="16"/>
                <w:u w:val="none"/>
              </w:rPr>
            </w:pP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61447">
            <w:pPr>
              <w:jc w:val="center"/>
              <w:rPr>
                <w:rFonts w:hint="eastAsia" w:ascii="微软雅黑" w:hAnsi="微软雅黑" w:eastAsia="微软雅黑" w:cs="微软雅黑"/>
                <w:i/>
                <w:color w:val="000000"/>
                <w:sz w:val="16"/>
                <w:szCs w:val="16"/>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156D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9FC8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C8493">
            <w:pPr>
              <w:rPr>
                <w:rFonts w:hint="eastAsia" w:ascii="黑体" w:hAnsi="黑体" w:eastAsia="黑体" w:cs="黑体"/>
                <w:i/>
                <w:color w:val="000000"/>
                <w:sz w:val="18"/>
                <w:szCs w:val="18"/>
                <w:u w:val="none"/>
              </w:rPr>
            </w:pPr>
          </w:p>
        </w:tc>
      </w:tr>
      <w:tr w14:paraId="6D866EAE">
        <w:tblPrEx>
          <w:tblCellMar>
            <w:top w:w="0" w:type="dxa"/>
            <w:left w:w="0" w:type="dxa"/>
            <w:bottom w:w="0" w:type="dxa"/>
            <w:right w:w="0" w:type="dxa"/>
          </w:tblCellMar>
        </w:tblPrEx>
        <w:trPr>
          <w:trHeight w:val="1289" w:hRule="atLeast"/>
        </w:trPr>
        <w:tc>
          <w:tcPr>
            <w:tcW w:w="4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7F4E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0E28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DC20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E055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DCEA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C219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A3C4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DEE6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BAF1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1C14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C5D7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12C0E309">
        <w:tblPrEx>
          <w:tblCellMar>
            <w:top w:w="0" w:type="dxa"/>
            <w:left w:w="0" w:type="dxa"/>
            <w:bottom w:w="0" w:type="dxa"/>
            <w:right w:w="0" w:type="dxa"/>
          </w:tblCellMar>
        </w:tblPrEx>
        <w:trPr>
          <w:trHeight w:val="735"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CC102">
            <w:pPr>
              <w:jc w:val="center"/>
              <w:rPr>
                <w:rFonts w:hint="eastAsia" w:ascii="宋体" w:hAnsi="宋体" w:eastAsia="宋体" w:cs="宋体"/>
                <w:i w:val="0"/>
                <w:color w:val="000000"/>
                <w:sz w:val="18"/>
                <w:szCs w:val="18"/>
                <w:u w:val="none"/>
              </w:rPr>
            </w:pP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8306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52B2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E8F7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享受三支一扶财政补助资金人数</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2798E">
            <w:pPr>
              <w:keepNext w:val="0"/>
              <w:keepLines w:val="0"/>
              <w:widowControl/>
              <w:suppressLineNumbers w:val="0"/>
              <w:jc w:val="center"/>
              <w:textAlignment w:val="center"/>
              <w:rPr>
                <w:rFonts w:hint="default" w:ascii="Arial" w:hAnsi="Arial" w:eastAsia="宋体" w:cs="Arial"/>
                <w:i w:val="0"/>
                <w:color w:val="000000"/>
                <w:sz w:val="18"/>
                <w:szCs w:val="18"/>
                <w:u w:val="none"/>
              </w:rPr>
            </w:pPr>
            <w:r>
              <w:rPr>
                <w:rFonts w:hint="default" w:ascii="Arial" w:hAnsi="Arial" w:eastAsia="宋体" w:cs="Arial"/>
                <w:i w:val="0"/>
                <w:color w:val="000000"/>
                <w:kern w:val="0"/>
                <w:sz w:val="18"/>
                <w:szCs w:val="18"/>
                <w:u w:val="none"/>
                <w:lang w:val="en-US" w:eastAsia="zh-CN" w:bidi="ar"/>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196F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人数</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EC07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人数</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862DC">
            <w:pPr>
              <w:jc w:val="center"/>
              <w:rPr>
                <w:rFonts w:hint="eastAsia" w:ascii="宋体" w:hAnsi="宋体" w:eastAsia="宋体" w:cs="宋体"/>
                <w:i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7598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A814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52CE2">
            <w:pPr>
              <w:jc w:val="center"/>
              <w:rPr>
                <w:rFonts w:hint="eastAsia" w:ascii="宋体" w:hAnsi="宋体" w:eastAsia="宋体" w:cs="宋体"/>
                <w:i w:val="0"/>
                <w:color w:val="000000"/>
                <w:sz w:val="18"/>
                <w:szCs w:val="18"/>
                <w:u w:val="none"/>
              </w:rPr>
            </w:pPr>
          </w:p>
        </w:tc>
      </w:tr>
      <w:tr w14:paraId="39C00D5B">
        <w:tblPrEx>
          <w:shd w:val="clear" w:color="auto" w:fill="auto"/>
          <w:tblCellMar>
            <w:top w:w="0" w:type="dxa"/>
            <w:left w:w="0" w:type="dxa"/>
            <w:bottom w:w="0" w:type="dxa"/>
            <w:right w:w="0" w:type="dxa"/>
          </w:tblCellMar>
        </w:tblPrEx>
        <w:trPr>
          <w:trHeight w:val="735"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48642">
            <w:pPr>
              <w:jc w:val="center"/>
              <w:rPr>
                <w:rFonts w:hint="eastAsia" w:ascii="宋体" w:hAnsi="宋体" w:eastAsia="宋体" w:cs="宋体"/>
                <w:i w:val="0"/>
                <w:color w:val="000000"/>
                <w:sz w:val="18"/>
                <w:szCs w:val="18"/>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65AB9">
            <w:pPr>
              <w:jc w:val="center"/>
              <w:rPr>
                <w:rFonts w:hint="eastAsia" w:ascii="宋体" w:hAnsi="宋体" w:eastAsia="宋体" w:cs="宋体"/>
                <w:i w:val="0"/>
                <w:color w:val="000000"/>
                <w:sz w:val="18"/>
                <w:szCs w:val="18"/>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5F4B0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75FD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享受三支一扶财政补助资金补助标准</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A9B9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0C9B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44D5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9B8E6">
            <w:pPr>
              <w:jc w:val="center"/>
              <w:rPr>
                <w:rFonts w:hint="eastAsia" w:ascii="宋体" w:hAnsi="宋体" w:eastAsia="宋体" w:cs="宋体"/>
                <w:i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47E8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31E6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BA887">
            <w:pPr>
              <w:jc w:val="center"/>
              <w:rPr>
                <w:rFonts w:hint="eastAsia" w:ascii="宋体" w:hAnsi="宋体" w:eastAsia="宋体" w:cs="宋体"/>
                <w:i w:val="0"/>
                <w:color w:val="000000"/>
                <w:sz w:val="18"/>
                <w:szCs w:val="18"/>
                <w:u w:val="none"/>
              </w:rPr>
            </w:pPr>
          </w:p>
        </w:tc>
      </w:tr>
      <w:tr w14:paraId="18A87ECF">
        <w:tblPrEx>
          <w:shd w:val="clear" w:color="auto" w:fill="auto"/>
          <w:tblCellMar>
            <w:top w:w="0" w:type="dxa"/>
            <w:left w:w="0" w:type="dxa"/>
            <w:bottom w:w="0" w:type="dxa"/>
            <w:right w:w="0" w:type="dxa"/>
          </w:tblCellMar>
        </w:tblPrEx>
        <w:trPr>
          <w:trHeight w:val="657"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121E5">
            <w:pPr>
              <w:jc w:val="center"/>
              <w:rPr>
                <w:rFonts w:hint="eastAsia" w:ascii="宋体" w:hAnsi="宋体" w:eastAsia="宋体" w:cs="宋体"/>
                <w:i w:val="0"/>
                <w:color w:val="000000"/>
                <w:sz w:val="18"/>
                <w:szCs w:val="18"/>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6DB73">
            <w:pPr>
              <w:jc w:val="center"/>
              <w:rPr>
                <w:rFonts w:hint="eastAsia" w:ascii="宋体" w:hAnsi="宋体" w:eastAsia="宋体" w:cs="宋体"/>
                <w:i w:val="0"/>
                <w:color w:val="000000"/>
                <w:sz w:val="18"/>
                <w:szCs w:val="18"/>
                <w:u w:val="none"/>
              </w:rPr>
            </w:pP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2C46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9C5A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三支一扶财政补助使用实率</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105B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C4BF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8AE1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F3974">
            <w:pPr>
              <w:jc w:val="center"/>
              <w:rPr>
                <w:rFonts w:hint="eastAsia" w:ascii="宋体" w:hAnsi="宋体" w:eastAsia="宋体" w:cs="宋体"/>
                <w:i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475C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7D1C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C0B35">
            <w:pPr>
              <w:jc w:val="center"/>
              <w:rPr>
                <w:rFonts w:hint="eastAsia" w:ascii="宋体" w:hAnsi="宋体" w:eastAsia="宋体" w:cs="宋体"/>
                <w:i w:val="0"/>
                <w:color w:val="000000"/>
                <w:sz w:val="18"/>
                <w:szCs w:val="18"/>
                <w:u w:val="none"/>
              </w:rPr>
            </w:pPr>
          </w:p>
        </w:tc>
      </w:tr>
      <w:tr w14:paraId="0839C195">
        <w:tblPrEx>
          <w:tblCellMar>
            <w:top w:w="0" w:type="dxa"/>
            <w:left w:w="0" w:type="dxa"/>
            <w:bottom w:w="0" w:type="dxa"/>
            <w:right w:w="0" w:type="dxa"/>
          </w:tblCellMar>
        </w:tblPrEx>
        <w:trPr>
          <w:trHeight w:val="657"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16359">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994B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98B6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6818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享受人员基本情况有效改善</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BA96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7EB6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AA02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137DB">
            <w:pPr>
              <w:jc w:val="center"/>
              <w:rPr>
                <w:rFonts w:hint="eastAsia" w:ascii="宋体" w:hAnsi="宋体" w:eastAsia="宋体" w:cs="宋体"/>
                <w:i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0870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B048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B6A6F">
            <w:pPr>
              <w:jc w:val="center"/>
              <w:rPr>
                <w:rFonts w:hint="eastAsia" w:ascii="宋体" w:hAnsi="宋体" w:eastAsia="宋体" w:cs="宋体"/>
                <w:i w:val="0"/>
                <w:color w:val="000000"/>
                <w:sz w:val="18"/>
                <w:szCs w:val="18"/>
                <w:u w:val="none"/>
              </w:rPr>
            </w:pPr>
          </w:p>
        </w:tc>
      </w:tr>
      <w:tr w14:paraId="51C45254">
        <w:tblPrEx>
          <w:shd w:val="clear" w:color="auto" w:fill="auto"/>
          <w:tblCellMar>
            <w:top w:w="0" w:type="dxa"/>
            <w:left w:w="0" w:type="dxa"/>
            <w:bottom w:w="0" w:type="dxa"/>
            <w:right w:w="0" w:type="dxa"/>
          </w:tblCellMar>
        </w:tblPrEx>
        <w:trPr>
          <w:trHeight w:val="973" w:hRule="atLeast"/>
        </w:trPr>
        <w:tc>
          <w:tcPr>
            <w:tcW w:w="4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08B77">
            <w:pPr>
              <w:jc w:val="center"/>
              <w:rPr>
                <w:rFonts w:hint="eastAsia" w:ascii="宋体" w:hAnsi="宋体" w:eastAsia="宋体" w:cs="宋体"/>
                <w:i w:val="0"/>
                <w:color w:val="000000"/>
                <w:sz w:val="18"/>
                <w:szCs w:val="18"/>
                <w:u w:val="none"/>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FBAF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1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66818">
            <w:pPr>
              <w:keepNext w:val="0"/>
              <w:keepLines w:val="0"/>
              <w:widowControl/>
              <w:suppressLineNumbers w:val="0"/>
              <w:jc w:val="center"/>
              <w:textAlignment w:val="center"/>
              <w:rPr>
                <w:rFonts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服务对象</w:t>
            </w:r>
            <w:r>
              <w:rPr>
                <w:rFonts w:ascii="宋体" w:hAnsi="宋体" w:eastAsia="宋体" w:cs="宋体"/>
                <w:i w:val="0"/>
                <w:color w:val="000000"/>
                <w:kern w:val="0"/>
                <w:sz w:val="18"/>
                <w:szCs w:val="18"/>
                <w:u w:val="none"/>
                <w:lang w:val="en-US" w:eastAsia="zh-CN" w:bidi="ar"/>
              </w:rPr>
              <w:t>满意度指标</w:t>
            </w:r>
          </w:p>
        </w:tc>
        <w:tc>
          <w:tcPr>
            <w:tcW w:w="15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D381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享受三支一扶财政资金补助</w:t>
            </w:r>
            <w:r>
              <w:rPr>
                <w:rFonts w:hint="eastAsia" w:ascii="宋体" w:hAnsi="宋体" w:cs="宋体"/>
                <w:i w:val="0"/>
                <w:color w:val="000000"/>
                <w:kern w:val="0"/>
                <w:sz w:val="18"/>
                <w:szCs w:val="18"/>
                <w:u w:val="none"/>
                <w:lang w:val="en-US" w:eastAsia="zh-CN" w:bidi="ar"/>
              </w:rPr>
              <w:t>对象</w:t>
            </w:r>
            <w:r>
              <w:rPr>
                <w:rFonts w:ascii="宋体" w:hAnsi="宋体" w:eastAsia="宋体" w:cs="宋体"/>
                <w:i w:val="0"/>
                <w:color w:val="000000"/>
                <w:kern w:val="0"/>
                <w:sz w:val="18"/>
                <w:szCs w:val="18"/>
                <w:u w:val="none"/>
                <w:lang w:val="en-US" w:eastAsia="zh-CN" w:bidi="ar"/>
              </w:rPr>
              <w:t>满意度</w:t>
            </w:r>
          </w:p>
        </w:tc>
        <w:tc>
          <w:tcPr>
            <w:tcW w:w="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7DEE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7B0C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5CDB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106D8">
            <w:pPr>
              <w:jc w:val="center"/>
              <w:rPr>
                <w:rFonts w:hint="eastAsia" w:ascii="宋体" w:hAnsi="宋体" w:eastAsia="宋体" w:cs="宋体"/>
                <w:i w:val="0"/>
                <w:color w:val="000000"/>
                <w:sz w:val="18"/>
                <w:szCs w:val="18"/>
                <w:u w:val="none"/>
              </w:rPr>
            </w:pP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3E14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D1B3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F2AA3">
            <w:pPr>
              <w:jc w:val="center"/>
              <w:rPr>
                <w:rFonts w:hint="eastAsia" w:ascii="宋体" w:hAnsi="宋体" w:eastAsia="宋体" w:cs="宋体"/>
                <w:i w:val="0"/>
                <w:color w:val="000000"/>
                <w:sz w:val="18"/>
                <w:szCs w:val="18"/>
                <w:u w:val="none"/>
              </w:rPr>
            </w:pPr>
          </w:p>
        </w:tc>
      </w:tr>
      <w:tr w14:paraId="0DFAD217">
        <w:tblPrEx>
          <w:shd w:val="clear" w:color="auto" w:fill="auto"/>
          <w:tblCellMar>
            <w:top w:w="0" w:type="dxa"/>
            <w:left w:w="0" w:type="dxa"/>
            <w:bottom w:w="0" w:type="dxa"/>
            <w:right w:w="0" w:type="dxa"/>
          </w:tblCellMar>
        </w:tblPrEx>
        <w:trPr>
          <w:trHeight w:val="394" w:hRule="atLeast"/>
        </w:trPr>
        <w:tc>
          <w:tcPr>
            <w:tcW w:w="711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4B997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3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6A86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0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8DAC2">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94</w:t>
            </w:r>
          </w:p>
        </w:tc>
        <w:tc>
          <w:tcPr>
            <w:tcW w:w="17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7F41F">
            <w:pPr>
              <w:rPr>
                <w:rFonts w:hint="eastAsia" w:ascii="宋体" w:hAnsi="宋体" w:eastAsia="宋体" w:cs="宋体"/>
                <w:i w:val="0"/>
                <w:color w:val="000000"/>
                <w:sz w:val="18"/>
                <w:szCs w:val="18"/>
                <w:u w:val="none"/>
              </w:rPr>
            </w:pPr>
          </w:p>
        </w:tc>
      </w:tr>
      <w:tr w14:paraId="3F0BED21">
        <w:tblPrEx>
          <w:tblCellMar>
            <w:top w:w="0" w:type="dxa"/>
            <w:left w:w="0" w:type="dxa"/>
            <w:bottom w:w="0" w:type="dxa"/>
            <w:right w:w="0" w:type="dxa"/>
          </w:tblCellMar>
        </w:tblPrEx>
        <w:trPr>
          <w:trHeight w:val="735" w:hRule="atLeast"/>
        </w:trPr>
        <w:tc>
          <w:tcPr>
            <w:tcW w:w="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A30D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9022"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64DF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经我单位认真自评，2023年三支一扶财政补助资金自评得分94分</w:t>
            </w:r>
          </w:p>
        </w:tc>
      </w:tr>
      <w:tr w14:paraId="60D02DA1">
        <w:tblPrEx>
          <w:tblCellMar>
            <w:top w:w="0" w:type="dxa"/>
            <w:left w:w="0" w:type="dxa"/>
            <w:bottom w:w="0" w:type="dxa"/>
            <w:right w:w="0" w:type="dxa"/>
          </w:tblCellMar>
        </w:tblPrEx>
        <w:trPr>
          <w:trHeight w:val="735" w:hRule="atLeast"/>
        </w:trPr>
        <w:tc>
          <w:tcPr>
            <w:tcW w:w="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B439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9022"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C481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无</w:t>
            </w:r>
          </w:p>
        </w:tc>
      </w:tr>
      <w:tr w14:paraId="5A8E798D">
        <w:tblPrEx>
          <w:shd w:val="clear" w:color="auto" w:fill="auto"/>
          <w:tblCellMar>
            <w:top w:w="0" w:type="dxa"/>
            <w:left w:w="0" w:type="dxa"/>
            <w:bottom w:w="0" w:type="dxa"/>
            <w:right w:w="0" w:type="dxa"/>
          </w:tblCellMar>
        </w:tblPrEx>
        <w:trPr>
          <w:trHeight w:val="744" w:hRule="atLeast"/>
        </w:trPr>
        <w:tc>
          <w:tcPr>
            <w:tcW w:w="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2A932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9022" w:type="dxa"/>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A7DA3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无</w:t>
            </w:r>
          </w:p>
        </w:tc>
      </w:tr>
      <w:tr w14:paraId="401B7041">
        <w:tblPrEx>
          <w:tblCellMar>
            <w:top w:w="0" w:type="dxa"/>
            <w:left w:w="0" w:type="dxa"/>
            <w:bottom w:w="0" w:type="dxa"/>
            <w:right w:w="0" w:type="dxa"/>
          </w:tblCellMar>
        </w:tblPrEx>
        <w:trPr>
          <w:trHeight w:val="414" w:hRule="atLeast"/>
        </w:trPr>
        <w:tc>
          <w:tcPr>
            <w:tcW w:w="490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6A516">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w:t>
            </w:r>
          </w:p>
        </w:tc>
        <w:tc>
          <w:tcPr>
            <w:tcW w:w="457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31499">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w:t>
            </w:r>
          </w:p>
        </w:tc>
      </w:tr>
    </w:tbl>
    <w:p w14:paraId="04EB965E">
      <w:pPr>
        <w:pStyle w:val="8"/>
        <w:spacing w:before="93"/>
        <w:rPr>
          <w:rFonts w:hAnsi="Calibri" w:cs="仿宋"/>
          <w:sz w:val="32"/>
          <w:szCs w:val="32"/>
        </w:rPr>
      </w:pPr>
    </w:p>
    <w:p w14:paraId="0C3F87F2">
      <w:pPr>
        <w:pStyle w:val="8"/>
        <w:spacing w:before="93"/>
        <w:rPr>
          <w:rFonts w:hAnsi="Calibri" w:cs="仿宋"/>
          <w:sz w:val="32"/>
          <w:szCs w:val="32"/>
        </w:rPr>
      </w:pPr>
    </w:p>
    <w:p w14:paraId="4E8FF37C">
      <w:pPr>
        <w:rPr>
          <w:rFonts w:hAnsi="Calibri" w:cs="仿宋"/>
          <w:sz w:val="32"/>
          <w:szCs w:val="32"/>
        </w:rPr>
      </w:pPr>
    </w:p>
    <w:p w14:paraId="2E65ED6D">
      <w:pPr>
        <w:pStyle w:val="2"/>
        <w:rPr>
          <w:rFonts w:hAnsi="Calibri" w:cs="仿宋"/>
          <w:sz w:val="32"/>
          <w:szCs w:val="32"/>
        </w:rPr>
      </w:pPr>
    </w:p>
    <w:p w14:paraId="63BEE33B">
      <w:pPr>
        <w:pStyle w:val="3"/>
        <w:rPr>
          <w:rFonts w:hAnsi="Calibri" w:cs="仿宋"/>
          <w:sz w:val="32"/>
          <w:szCs w:val="32"/>
        </w:rPr>
      </w:pPr>
    </w:p>
    <w:p w14:paraId="74FC6115">
      <w:pPr>
        <w:pStyle w:val="3"/>
        <w:rPr>
          <w:rFonts w:hAnsi="Calibri" w:cs="仿宋"/>
          <w:sz w:val="32"/>
          <w:szCs w:val="32"/>
        </w:rPr>
      </w:pPr>
    </w:p>
    <w:p w14:paraId="4A532457">
      <w:pPr>
        <w:pStyle w:val="3"/>
        <w:rPr>
          <w:rFonts w:hAnsi="Calibri" w:cs="仿宋"/>
          <w:sz w:val="32"/>
          <w:szCs w:val="32"/>
        </w:rPr>
      </w:pPr>
    </w:p>
    <w:p w14:paraId="408CDD01">
      <w:pPr>
        <w:pStyle w:val="3"/>
        <w:rPr>
          <w:rFonts w:hAnsi="Calibri" w:cs="仿宋"/>
          <w:sz w:val="32"/>
          <w:szCs w:val="32"/>
        </w:rPr>
      </w:pPr>
    </w:p>
    <w:p w14:paraId="4052D5EE">
      <w:pPr>
        <w:pStyle w:val="3"/>
        <w:rPr>
          <w:rFonts w:hAnsi="Calibri" w:cs="仿宋"/>
          <w:sz w:val="32"/>
          <w:szCs w:val="32"/>
        </w:rPr>
      </w:pPr>
    </w:p>
    <w:p w14:paraId="63AD6417">
      <w:pPr>
        <w:pStyle w:val="3"/>
        <w:rPr>
          <w:rFonts w:hAnsi="Calibri" w:cs="仿宋"/>
          <w:sz w:val="32"/>
          <w:szCs w:val="32"/>
        </w:rPr>
      </w:pPr>
    </w:p>
    <w:p w14:paraId="08059633">
      <w:pPr>
        <w:pStyle w:val="3"/>
        <w:rPr>
          <w:rFonts w:hAnsi="Calibri" w:cs="仿宋"/>
          <w:sz w:val="32"/>
          <w:szCs w:val="32"/>
        </w:rPr>
      </w:pPr>
    </w:p>
    <w:p w14:paraId="72C77A2E">
      <w:pPr>
        <w:pStyle w:val="3"/>
        <w:rPr>
          <w:rFonts w:hAnsi="Calibri" w:cs="仿宋"/>
          <w:sz w:val="32"/>
          <w:szCs w:val="32"/>
        </w:rPr>
      </w:pPr>
    </w:p>
    <w:p w14:paraId="48327CD1">
      <w:pPr>
        <w:pStyle w:val="3"/>
        <w:rPr>
          <w:rFonts w:hAnsi="Calibri" w:cs="仿宋"/>
          <w:sz w:val="32"/>
          <w:szCs w:val="32"/>
        </w:rPr>
      </w:pPr>
    </w:p>
    <w:p w14:paraId="3B73CA91">
      <w:pPr>
        <w:pStyle w:val="3"/>
        <w:rPr>
          <w:rFonts w:hAnsi="Calibri" w:cs="仿宋"/>
          <w:sz w:val="32"/>
          <w:szCs w:val="32"/>
        </w:rPr>
      </w:pPr>
    </w:p>
    <w:p w14:paraId="626206D6">
      <w:pPr>
        <w:pStyle w:val="3"/>
        <w:rPr>
          <w:rFonts w:hAnsi="Calibri" w:cs="仿宋"/>
          <w:sz w:val="32"/>
          <w:szCs w:val="32"/>
        </w:rPr>
      </w:pPr>
    </w:p>
    <w:p w14:paraId="136F08FB">
      <w:pPr>
        <w:pStyle w:val="3"/>
        <w:rPr>
          <w:rFonts w:hAnsi="Calibri" w:cs="仿宋"/>
          <w:sz w:val="32"/>
          <w:szCs w:val="32"/>
        </w:rPr>
      </w:pPr>
    </w:p>
    <w:p w14:paraId="4B2D80F0">
      <w:pPr>
        <w:pStyle w:val="3"/>
        <w:ind w:left="0" w:leftChars="0" w:firstLine="0" w:firstLineChars="0"/>
        <w:rPr>
          <w:rFonts w:hAnsi="Calibri" w:cs="仿宋"/>
          <w:sz w:val="32"/>
          <w:szCs w:val="32"/>
        </w:rPr>
      </w:pPr>
    </w:p>
    <w:p w14:paraId="1F23CA1E">
      <w:pPr>
        <w:spacing w:line="600" w:lineRule="exact"/>
        <w:jc w:val="center"/>
        <w:outlineLvl w:val="0"/>
        <w:rPr>
          <w:rFonts w:ascii="仿宋" w:hAnsi="仿宋" w:eastAsia="仿宋"/>
        </w:rPr>
      </w:pPr>
      <w:bookmarkStart w:id="88" w:name="_Toc3168"/>
      <w:r>
        <w:rPr>
          <w:rFonts w:hint="eastAsia" w:ascii="黑体" w:hAnsi="黑体" w:eastAsia="黑体"/>
          <w:sz w:val="44"/>
          <w:szCs w:val="44"/>
        </w:rPr>
        <w:t>第</w:t>
      </w:r>
      <w:r>
        <w:rPr>
          <w:rStyle w:val="28"/>
          <w:rFonts w:hint="eastAsia" w:ascii="黑体" w:hAnsi="黑体" w:eastAsia="黑体"/>
          <w:b w:val="0"/>
        </w:rPr>
        <w:t>五部分 附表</w:t>
      </w:r>
      <w:bookmarkEnd w:id="83"/>
      <w:bookmarkEnd w:id="86"/>
      <w:bookmarkEnd w:id="88"/>
      <w:bookmarkStart w:id="89" w:name="_Toc15396619"/>
    </w:p>
    <w:p w14:paraId="1D11FA00">
      <w:pPr>
        <w:pStyle w:val="6"/>
        <w:rPr>
          <w:rFonts w:ascii="仿宋" w:hAnsi="仿宋" w:eastAsia="仿宋"/>
        </w:rPr>
      </w:pPr>
      <w:bookmarkStart w:id="90" w:name="_Toc15898"/>
      <w:r>
        <w:rPr>
          <w:rFonts w:hint="eastAsia" w:ascii="仿宋" w:hAnsi="仿宋" w:eastAsia="仿宋"/>
          <w:b w:val="0"/>
        </w:rPr>
        <w:t>一、收</w:t>
      </w:r>
      <w:r>
        <w:rPr>
          <w:rStyle w:val="29"/>
          <w:rFonts w:hint="eastAsia" w:ascii="仿宋" w:hAnsi="仿宋" w:eastAsia="仿宋"/>
          <w:b w:val="0"/>
          <w:bCs w:val="0"/>
        </w:rPr>
        <w:t>入支出决算总表</w:t>
      </w:r>
      <w:bookmarkEnd w:id="89"/>
      <w:bookmarkEnd w:id="90"/>
    </w:p>
    <w:p w14:paraId="20419793">
      <w:pPr>
        <w:pStyle w:val="6"/>
        <w:rPr>
          <w:rFonts w:ascii="仿宋" w:hAnsi="仿宋" w:eastAsia="仿宋"/>
        </w:rPr>
      </w:pPr>
      <w:bookmarkStart w:id="91" w:name="_Toc15396620"/>
      <w:bookmarkStart w:id="92" w:name="_Toc26239"/>
      <w:r>
        <w:rPr>
          <w:rFonts w:hint="eastAsia" w:ascii="仿宋" w:hAnsi="仿宋" w:eastAsia="仿宋"/>
          <w:b w:val="0"/>
        </w:rPr>
        <w:t>二、收</w:t>
      </w:r>
      <w:r>
        <w:rPr>
          <w:rStyle w:val="29"/>
          <w:rFonts w:hint="eastAsia" w:ascii="仿宋" w:hAnsi="仿宋" w:eastAsia="仿宋"/>
          <w:b w:val="0"/>
          <w:bCs w:val="0"/>
        </w:rPr>
        <w:t>入决算表</w:t>
      </w:r>
      <w:bookmarkEnd w:id="91"/>
      <w:bookmarkEnd w:id="92"/>
    </w:p>
    <w:p w14:paraId="3420ED93">
      <w:pPr>
        <w:pStyle w:val="6"/>
        <w:rPr>
          <w:rFonts w:ascii="仿宋" w:hAnsi="仿宋" w:eastAsia="仿宋"/>
        </w:rPr>
      </w:pPr>
      <w:bookmarkStart w:id="93" w:name="_Toc15396621"/>
      <w:bookmarkStart w:id="94" w:name="_Toc12546"/>
      <w:r>
        <w:rPr>
          <w:rStyle w:val="29"/>
          <w:rFonts w:hint="eastAsia" w:ascii="仿宋" w:hAnsi="仿宋" w:eastAsia="仿宋"/>
          <w:b w:val="0"/>
          <w:bCs w:val="0"/>
        </w:rPr>
        <w:t>三、</w:t>
      </w:r>
      <w:r>
        <w:rPr>
          <w:rFonts w:hint="eastAsia" w:ascii="仿宋" w:hAnsi="仿宋" w:eastAsia="仿宋"/>
          <w:b w:val="0"/>
        </w:rPr>
        <w:t>支</w:t>
      </w:r>
      <w:r>
        <w:rPr>
          <w:rStyle w:val="29"/>
          <w:rFonts w:hint="eastAsia" w:ascii="仿宋" w:hAnsi="仿宋" w:eastAsia="仿宋"/>
          <w:b w:val="0"/>
          <w:bCs w:val="0"/>
        </w:rPr>
        <w:t>出决算表</w:t>
      </w:r>
      <w:bookmarkEnd w:id="93"/>
      <w:bookmarkEnd w:id="94"/>
    </w:p>
    <w:p w14:paraId="3D5CDC70">
      <w:pPr>
        <w:pStyle w:val="6"/>
        <w:rPr>
          <w:rFonts w:ascii="仿宋" w:hAnsi="仿宋" w:eastAsia="仿宋"/>
          <w:b w:val="0"/>
        </w:rPr>
      </w:pPr>
      <w:bookmarkStart w:id="95" w:name="_Toc15396622"/>
      <w:bookmarkStart w:id="96" w:name="_Toc20754"/>
      <w:r>
        <w:rPr>
          <w:rStyle w:val="29"/>
          <w:rFonts w:hint="eastAsia" w:ascii="仿宋" w:hAnsi="仿宋" w:eastAsia="仿宋"/>
          <w:b w:val="0"/>
          <w:bCs w:val="0"/>
        </w:rPr>
        <w:t>四、</w:t>
      </w:r>
      <w:r>
        <w:rPr>
          <w:rFonts w:hint="eastAsia" w:ascii="仿宋" w:hAnsi="仿宋" w:eastAsia="仿宋"/>
          <w:b w:val="0"/>
        </w:rPr>
        <w:t>财</w:t>
      </w:r>
      <w:r>
        <w:rPr>
          <w:rStyle w:val="29"/>
          <w:rFonts w:hint="eastAsia" w:ascii="仿宋" w:hAnsi="仿宋" w:eastAsia="仿宋"/>
          <w:b w:val="0"/>
          <w:bCs w:val="0"/>
        </w:rPr>
        <w:t>政拨款收入支出决算总表</w:t>
      </w:r>
      <w:bookmarkEnd w:id="95"/>
      <w:bookmarkEnd w:id="96"/>
    </w:p>
    <w:p w14:paraId="3DEA1C6F">
      <w:pPr>
        <w:pStyle w:val="6"/>
        <w:rPr>
          <w:rStyle w:val="29"/>
          <w:rFonts w:ascii="仿宋" w:hAnsi="仿宋" w:eastAsia="仿宋"/>
          <w:b w:val="0"/>
          <w:bCs w:val="0"/>
        </w:rPr>
      </w:pPr>
      <w:bookmarkStart w:id="97" w:name="_Toc15396623"/>
      <w:bookmarkStart w:id="98" w:name="_Toc21002"/>
      <w:r>
        <w:rPr>
          <w:rStyle w:val="29"/>
          <w:rFonts w:hint="eastAsia" w:ascii="仿宋" w:hAnsi="仿宋" w:eastAsia="仿宋"/>
          <w:b w:val="0"/>
          <w:bCs w:val="0"/>
        </w:rPr>
        <w:t>五、</w:t>
      </w:r>
      <w:r>
        <w:rPr>
          <w:rFonts w:hint="eastAsia" w:ascii="仿宋" w:hAnsi="仿宋" w:eastAsia="仿宋"/>
          <w:b w:val="0"/>
        </w:rPr>
        <w:t>财</w:t>
      </w:r>
      <w:r>
        <w:rPr>
          <w:rStyle w:val="29"/>
          <w:rFonts w:hint="eastAsia" w:ascii="仿宋" w:hAnsi="仿宋" w:eastAsia="仿宋"/>
          <w:b w:val="0"/>
          <w:bCs w:val="0"/>
        </w:rPr>
        <w:t>政拨款支出决算明细表</w:t>
      </w:r>
      <w:bookmarkEnd w:id="97"/>
      <w:bookmarkEnd w:id="98"/>
      <w:bookmarkStart w:id="99" w:name="_Toc15396624"/>
    </w:p>
    <w:p w14:paraId="0F42D2FA">
      <w:pPr>
        <w:pStyle w:val="6"/>
        <w:rPr>
          <w:rFonts w:ascii="仿宋" w:hAnsi="仿宋" w:eastAsia="仿宋"/>
        </w:rPr>
      </w:pPr>
      <w:bookmarkStart w:id="100" w:name="_Toc19412"/>
      <w:r>
        <w:rPr>
          <w:rStyle w:val="29"/>
          <w:rFonts w:hint="eastAsia" w:ascii="仿宋" w:hAnsi="仿宋" w:eastAsia="仿宋"/>
          <w:b w:val="0"/>
          <w:bCs w:val="0"/>
        </w:rPr>
        <w:t>六、</w:t>
      </w:r>
      <w:r>
        <w:rPr>
          <w:rFonts w:hint="eastAsia" w:ascii="仿宋" w:hAnsi="仿宋" w:eastAsia="仿宋"/>
          <w:b w:val="0"/>
        </w:rPr>
        <w:t>一</w:t>
      </w:r>
      <w:r>
        <w:rPr>
          <w:rStyle w:val="29"/>
          <w:rFonts w:hint="eastAsia" w:ascii="仿宋" w:hAnsi="仿宋" w:eastAsia="仿宋"/>
          <w:b w:val="0"/>
          <w:bCs w:val="0"/>
        </w:rPr>
        <w:t>般公共预算财政拨款支出决算表</w:t>
      </w:r>
      <w:bookmarkEnd w:id="99"/>
      <w:bookmarkEnd w:id="100"/>
    </w:p>
    <w:p w14:paraId="00B26F52">
      <w:pPr>
        <w:pStyle w:val="6"/>
        <w:rPr>
          <w:rFonts w:ascii="仿宋" w:hAnsi="仿宋" w:eastAsia="仿宋"/>
        </w:rPr>
      </w:pPr>
      <w:bookmarkStart w:id="101" w:name="_Toc15396625"/>
      <w:bookmarkStart w:id="102" w:name="_Toc18388"/>
      <w:r>
        <w:rPr>
          <w:rStyle w:val="29"/>
          <w:rFonts w:hint="eastAsia" w:ascii="仿宋" w:hAnsi="仿宋" w:eastAsia="仿宋"/>
          <w:b w:val="0"/>
          <w:bCs w:val="0"/>
        </w:rPr>
        <w:t>七、</w:t>
      </w:r>
      <w:r>
        <w:rPr>
          <w:rFonts w:hint="eastAsia" w:ascii="仿宋" w:hAnsi="仿宋" w:eastAsia="仿宋"/>
          <w:b w:val="0"/>
        </w:rPr>
        <w:t>一</w:t>
      </w:r>
      <w:r>
        <w:rPr>
          <w:rStyle w:val="29"/>
          <w:rFonts w:hint="eastAsia" w:ascii="仿宋" w:hAnsi="仿宋" w:eastAsia="仿宋"/>
          <w:b w:val="0"/>
          <w:bCs w:val="0"/>
        </w:rPr>
        <w:t>般公共预算财政拨款支出决算明细表</w:t>
      </w:r>
      <w:bookmarkEnd w:id="101"/>
      <w:bookmarkEnd w:id="102"/>
    </w:p>
    <w:p w14:paraId="59BCDCB2">
      <w:pPr>
        <w:pStyle w:val="6"/>
        <w:rPr>
          <w:rFonts w:ascii="仿宋" w:hAnsi="仿宋" w:eastAsia="仿宋"/>
        </w:rPr>
      </w:pPr>
      <w:bookmarkStart w:id="103" w:name="_Toc15396626"/>
      <w:bookmarkStart w:id="104" w:name="_Toc14701"/>
      <w:r>
        <w:rPr>
          <w:rStyle w:val="29"/>
          <w:rFonts w:hint="eastAsia" w:ascii="仿宋" w:hAnsi="仿宋" w:eastAsia="仿宋"/>
          <w:b w:val="0"/>
          <w:bCs w:val="0"/>
        </w:rPr>
        <w:t>八、</w:t>
      </w:r>
      <w:r>
        <w:rPr>
          <w:rFonts w:hint="eastAsia" w:ascii="仿宋" w:hAnsi="仿宋" w:eastAsia="仿宋"/>
          <w:b w:val="0"/>
        </w:rPr>
        <w:t>一</w:t>
      </w:r>
      <w:r>
        <w:rPr>
          <w:rStyle w:val="29"/>
          <w:rFonts w:hint="eastAsia" w:ascii="仿宋" w:hAnsi="仿宋" w:eastAsia="仿宋"/>
          <w:b w:val="0"/>
          <w:bCs w:val="0"/>
        </w:rPr>
        <w:t>般公共预算财政拨款基本支出决算表</w:t>
      </w:r>
      <w:bookmarkEnd w:id="103"/>
      <w:bookmarkEnd w:id="104"/>
    </w:p>
    <w:p w14:paraId="7ED5F4A4">
      <w:pPr>
        <w:pStyle w:val="6"/>
        <w:rPr>
          <w:rFonts w:ascii="仿宋" w:hAnsi="仿宋" w:eastAsia="仿宋"/>
        </w:rPr>
      </w:pPr>
      <w:bookmarkStart w:id="105" w:name="_Toc15396627"/>
      <w:bookmarkStart w:id="106" w:name="_Toc3780"/>
      <w:r>
        <w:rPr>
          <w:rStyle w:val="29"/>
          <w:rFonts w:hint="eastAsia" w:ascii="仿宋" w:hAnsi="仿宋" w:eastAsia="仿宋"/>
          <w:b w:val="0"/>
          <w:bCs w:val="0"/>
        </w:rPr>
        <w:t>九、</w:t>
      </w:r>
      <w:r>
        <w:rPr>
          <w:rFonts w:hint="eastAsia" w:ascii="仿宋" w:hAnsi="仿宋" w:eastAsia="仿宋"/>
          <w:b w:val="0"/>
        </w:rPr>
        <w:t>一</w:t>
      </w:r>
      <w:r>
        <w:rPr>
          <w:rStyle w:val="29"/>
          <w:rFonts w:hint="eastAsia" w:ascii="仿宋" w:hAnsi="仿宋" w:eastAsia="仿宋"/>
          <w:b w:val="0"/>
          <w:bCs w:val="0"/>
        </w:rPr>
        <w:t>般公共预算财政拨款项目支出决算表</w:t>
      </w:r>
      <w:bookmarkEnd w:id="105"/>
      <w:bookmarkEnd w:id="106"/>
    </w:p>
    <w:p w14:paraId="6A176DC9">
      <w:pPr>
        <w:pStyle w:val="6"/>
        <w:rPr>
          <w:rFonts w:ascii="仿宋" w:hAnsi="仿宋" w:eastAsia="仿宋"/>
        </w:rPr>
      </w:pPr>
      <w:bookmarkStart w:id="107" w:name="_Toc15396628"/>
      <w:bookmarkStart w:id="108" w:name="_Toc16266"/>
      <w:r>
        <w:rPr>
          <w:rStyle w:val="29"/>
          <w:rFonts w:hint="eastAsia" w:ascii="仿宋" w:hAnsi="仿宋" w:eastAsia="仿宋"/>
          <w:b w:val="0"/>
          <w:bCs w:val="0"/>
        </w:rPr>
        <w:t>十、</w:t>
      </w:r>
      <w:bookmarkEnd w:id="107"/>
      <w:r>
        <w:rPr>
          <w:rFonts w:hint="eastAsia" w:ascii="仿宋" w:hAnsi="仿宋" w:eastAsia="仿宋"/>
          <w:b w:val="0"/>
        </w:rPr>
        <w:t>政</w:t>
      </w:r>
      <w:r>
        <w:rPr>
          <w:rStyle w:val="29"/>
          <w:rFonts w:hint="eastAsia" w:ascii="仿宋" w:hAnsi="仿宋" w:eastAsia="仿宋"/>
          <w:b w:val="0"/>
          <w:bCs w:val="0"/>
        </w:rPr>
        <w:t>府性基金预算财政拨款收入支出决算表</w:t>
      </w:r>
      <w:bookmarkEnd w:id="108"/>
    </w:p>
    <w:p w14:paraId="0DAA2222">
      <w:pPr>
        <w:pStyle w:val="6"/>
        <w:rPr>
          <w:rFonts w:ascii="仿宋" w:hAnsi="仿宋" w:eastAsia="仿宋"/>
        </w:rPr>
      </w:pPr>
      <w:bookmarkStart w:id="109" w:name="_Toc15396629"/>
      <w:bookmarkStart w:id="110" w:name="_Toc19786"/>
      <w:r>
        <w:rPr>
          <w:rStyle w:val="29"/>
          <w:rFonts w:hint="eastAsia" w:ascii="仿宋" w:hAnsi="仿宋" w:eastAsia="仿宋"/>
          <w:b w:val="0"/>
          <w:bCs w:val="0"/>
        </w:rPr>
        <w:t>十一、</w:t>
      </w:r>
      <w:bookmarkEnd w:id="109"/>
      <w:r>
        <w:rPr>
          <w:rFonts w:hint="eastAsia" w:ascii="仿宋" w:hAnsi="仿宋" w:eastAsia="仿宋"/>
          <w:b w:val="0"/>
        </w:rPr>
        <w:t>国</w:t>
      </w:r>
      <w:r>
        <w:rPr>
          <w:rStyle w:val="29"/>
          <w:rFonts w:hint="eastAsia" w:ascii="仿宋" w:hAnsi="仿宋" w:eastAsia="仿宋"/>
          <w:b w:val="0"/>
          <w:bCs w:val="0"/>
        </w:rPr>
        <w:t>有资本经营预算财政拨款收入支出决算表</w:t>
      </w:r>
      <w:bookmarkEnd w:id="110"/>
    </w:p>
    <w:p w14:paraId="33BC1AE6">
      <w:pPr>
        <w:pStyle w:val="6"/>
        <w:rPr>
          <w:rFonts w:ascii="仿宋" w:hAnsi="仿宋" w:eastAsia="仿宋"/>
        </w:rPr>
      </w:pPr>
      <w:bookmarkStart w:id="111" w:name="_Toc15396630"/>
      <w:bookmarkStart w:id="112" w:name="_Toc27779"/>
      <w:r>
        <w:rPr>
          <w:rStyle w:val="29"/>
          <w:rFonts w:hint="eastAsia" w:ascii="仿宋" w:hAnsi="仿宋" w:eastAsia="仿宋"/>
          <w:b w:val="0"/>
          <w:bCs w:val="0"/>
        </w:rPr>
        <w:t>十二、</w:t>
      </w:r>
      <w:bookmarkEnd w:id="111"/>
      <w:r>
        <w:rPr>
          <w:rStyle w:val="29"/>
          <w:rFonts w:hint="eastAsia" w:ascii="仿宋" w:hAnsi="仿宋" w:eastAsia="仿宋"/>
          <w:b w:val="0"/>
          <w:bCs w:val="0"/>
        </w:rPr>
        <w:t>国有资本经营预算财政拨款支出决算表</w:t>
      </w:r>
      <w:bookmarkEnd w:id="112"/>
    </w:p>
    <w:p w14:paraId="20F0039E">
      <w:pPr>
        <w:pStyle w:val="6"/>
        <w:rPr>
          <w:rFonts w:eastAsia="仿宋"/>
        </w:rPr>
      </w:pPr>
      <w:bookmarkStart w:id="113" w:name="_Toc15396631"/>
      <w:bookmarkStart w:id="114" w:name="_Toc31582"/>
      <w:r>
        <w:rPr>
          <w:rStyle w:val="29"/>
          <w:rFonts w:hint="eastAsia" w:ascii="仿宋" w:hAnsi="仿宋" w:eastAsia="仿宋"/>
          <w:b w:val="0"/>
          <w:bCs w:val="0"/>
        </w:rPr>
        <w:t>十三、</w:t>
      </w:r>
      <w:bookmarkEnd w:id="113"/>
      <w:r>
        <w:rPr>
          <w:rStyle w:val="29"/>
          <w:rFonts w:hint="eastAsia" w:ascii="仿宋" w:hAnsi="仿宋" w:eastAsia="仿宋"/>
          <w:b w:val="0"/>
          <w:bCs w:val="0"/>
        </w:rPr>
        <w:t>财政拨款“三公”经费支出决算表</w:t>
      </w:r>
      <w:bookmarkEnd w:id="114"/>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347026C-AC88-4C3D-BE69-9E05B4B1EDF3}"/>
  </w:font>
  <w:font w:name="黑体">
    <w:panose1 w:val="02010609060101010101"/>
    <w:charset w:val="86"/>
    <w:family w:val="auto"/>
    <w:pitch w:val="default"/>
    <w:sig w:usb0="800002BF" w:usb1="38CF7CFA" w:usb2="00000016" w:usb3="00000000" w:csb0="00040001" w:csb1="00000000"/>
    <w:embedRegular r:id="rId2" w:fontKey="{1DB0F859-4F9A-436A-B751-5DE5C466917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E885EFD0-E4CA-48AA-9F5E-8F0D0E3E7CB9}"/>
  </w:font>
  <w:font w:name="Cambria">
    <w:panose1 w:val="02040503050406030204"/>
    <w:charset w:val="00"/>
    <w:family w:val="roman"/>
    <w:pitch w:val="default"/>
    <w:sig w:usb0="E00006FF" w:usb1="420024FF" w:usb2="02000000" w:usb3="00000000" w:csb0="2000019F" w:csb1="00000000"/>
    <w:embedRegular r:id="rId4" w:fontKey="{29850FF4-7CA1-4DB4-A2DF-822B8755E4AC}"/>
  </w:font>
  <w:font w:name="仿宋_GB2312">
    <w:panose1 w:val="02010609030101010101"/>
    <w:charset w:val="86"/>
    <w:family w:val="auto"/>
    <w:pitch w:val="default"/>
    <w:sig w:usb0="00000001" w:usb1="080E0000" w:usb2="00000000" w:usb3="00000000" w:csb0="00040000" w:csb1="00000000"/>
    <w:embedRegular r:id="rId5" w:fontKey="{72AD5D67-1CA1-4865-851B-3C8B6F4BA6DD}"/>
  </w:font>
  <w:font w:name="仿宋">
    <w:panose1 w:val="02010609060101010101"/>
    <w:charset w:val="86"/>
    <w:family w:val="modern"/>
    <w:pitch w:val="default"/>
    <w:sig w:usb0="800002BF" w:usb1="38CF7CFA" w:usb2="00000016" w:usb3="00000000" w:csb0="00040001" w:csb1="00000000"/>
    <w:embedRegular r:id="rId6" w:fontKey="{8558D2E2-FC53-4835-8A8B-B7C80DADAB5E}"/>
  </w:font>
  <w:font w:name="方正小标宋简体">
    <w:panose1 w:val="02000000000000000000"/>
    <w:charset w:val="86"/>
    <w:family w:val="script"/>
    <w:pitch w:val="default"/>
    <w:sig w:usb0="00000001" w:usb1="08000000" w:usb2="00000000" w:usb3="00000000" w:csb0="00040000" w:csb1="00000000"/>
    <w:embedRegular r:id="rId7" w:fontKey="{0BA8DD3C-BE38-4E2E-AC9E-223FFA5A14B1}"/>
  </w:font>
  <w:font w:name="华文中宋">
    <w:altName w:val="宋体"/>
    <w:panose1 w:val="02010600040101010101"/>
    <w:charset w:val="86"/>
    <w:family w:val="auto"/>
    <w:pitch w:val="default"/>
    <w:sig w:usb0="00000000" w:usb1="00000000" w:usb2="00000010" w:usb3="00000000" w:csb0="0004009F" w:csb1="00000000"/>
    <w:embedRegular r:id="rId8" w:fontKey="{1BF99812-B739-482E-A044-7D96E6864AA4}"/>
  </w:font>
  <w:font w:name="微软雅黑">
    <w:panose1 w:val="020B0503020204020204"/>
    <w:charset w:val="86"/>
    <w:family w:val="auto"/>
    <w:pitch w:val="default"/>
    <w:sig w:usb0="80000287" w:usb1="2ACF3C50" w:usb2="00000016" w:usb3="00000000" w:csb0="0004001F" w:csb1="00000000"/>
    <w:embedRegular r:id="rId9" w:fontKey="{101DBBB3-C8A0-4F8B-A719-A0F9E5F57E9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00E2389A">
        <w:pPr>
          <w:pStyle w:val="11"/>
          <w:jc w:val="center"/>
        </w:pPr>
        <w:r>
          <w:fldChar w:fldCharType="begin"/>
        </w:r>
        <w:r>
          <w:instrText xml:space="preserve">PAGE   \* MERGEFORMAT</w:instrText>
        </w:r>
        <w:r>
          <w:fldChar w:fldCharType="separate"/>
        </w:r>
        <w:r>
          <w:rPr>
            <w:lang w:val="zh-CN"/>
          </w:rPr>
          <w:t>15</w:t>
        </w:r>
        <w:r>
          <w:fldChar w:fldCharType="end"/>
        </w:r>
      </w:p>
    </w:sdtContent>
  </w:sdt>
  <w:p w14:paraId="1C6971CF">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8861A">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D97AFAAE"/>
    <w:multiLevelType w:val="singleLevel"/>
    <w:tmpl w:val="D97AFAAE"/>
    <w:lvl w:ilvl="0" w:tentative="0">
      <w:start w:val="1"/>
      <w:numFmt w:val="decimal"/>
      <w:lvlText w:val="%1."/>
      <w:lvlJc w:val="left"/>
      <w:pPr>
        <w:tabs>
          <w:tab w:val="left" w:pos="312"/>
        </w:tabs>
      </w:p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818A09A"/>
    <w:multiLevelType w:val="singleLevel"/>
    <w:tmpl w:val="3818A09A"/>
    <w:lvl w:ilvl="0" w:tentative="0">
      <w:start w:val="1"/>
      <w:numFmt w:val="chineseCounting"/>
      <w:suff w:val="nothing"/>
      <w:lvlText w:val="%1、"/>
      <w:lvlJc w:val="left"/>
      <w:rPr>
        <w:rFonts w:hint="eastAsia"/>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1MWNhN2ZmY2ZhZmY3ODhlYTg0MWU5OGMyY2QwZmU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DC2831"/>
    <w:rsid w:val="03E21658"/>
    <w:rsid w:val="081B5E94"/>
    <w:rsid w:val="0A2032A3"/>
    <w:rsid w:val="0B8A37D8"/>
    <w:rsid w:val="0F5FFB2F"/>
    <w:rsid w:val="0FFFCF60"/>
    <w:rsid w:val="10C055FF"/>
    <w:rsid w:val="118107EC"/>
    <w:rsid w:val="11DD6519"/>
    <w:rsid w:val="15D55234"/>
    <w:rsid w:val="1692505C"/>
    <w:rsid w:val="16BB723D"/>
    <w:rsid w:val="18015F3F"/>
    <w:rsid w:val="19FA2A8A"/>
    <w:rsid w:val="1A707B4D"/>
    <w:rsid w:val="1BE8440E"/>
    <w:rsid w:val="1D155CEE"/>
    <w:rsid w:val="1FDBBF84"/>
    <w:rsid w:val="20413F6E"/>
    <w:rsid w:val="20B71D18"/>
    <w:rsid w:val="20F57F95"/>
    <w:rsid w:val="240371BF"/>
    <w:rsid w:val="25711CC6"/>
    <w:rsid w:val="25C741E6"/>
    <w:rsid w:val="276F80C0"/>
    <w:rsid w:val="27842671"/>
    <w:rsid w:val="294A3017"/>
    <w:rsid w:val="298656FF"/>
    <w:rsid w:val="29FD04D3"/>
    <w:rsid w:val="2ABE7A3E"/>
    <w:rsid w:val="2AFF09B6"/>
    <w:rsid w:val="2CA234A8"/>
    <w:rsid w:val="2EFA178C"/>
    <w:rsid w:val="2EFDF86C"/>
    <w:rsid w:val="2F9D17E1"/>
    <w:rsid w:val="30B46D73"/>
    <w:rsid w:val="319F7F4E"/>
    <w:rsid w:val="356A28F1"/>
    <w:rsid w:val="357C035A"/>
    <w:rsid w:val="368E000D"/>
    <w:rsid w:val="36A948D8"/>
    <w:rsid w:val="383D272C"/>
    <w:rsid w:val="39AE70AB"/>
    <w:rsid w:val="3A4DCE41"/>
    <w:rsid w:val="3BCB56FA"/>
    <w:rsid w:val="3C0C0783"/>
    <w:rsid w:val="3EE7C2F4"/>
    <w:rsid w:val="3F371B56"/>
    <w:rsid w:val="3F792ED8"/>
    <w:rsid w:val="3F9F3A96"/>
    <w:rsid w:val="3FECA4B2"/>
    <w:rsid w:val="3FF58C48"/>
    <w:rsid w:val="42FF6694"/>
    <w:rsid w:val="48BF60AB"/>
    <w:rsid w:val="493C27E9"/>
    <w:rsid w:val="496F39ED"/>
    <w:rsid w:val="49FF41D3"/>
    <w:rsid w:val="4BE068DB"/>
    <w:rsid w:val="4BF6002B"/>
    <w:rsid w:val="4BFFC6BE"/>
    <w:rsid w:val="4D2530C2"/>
    <w:rsid w:val="4ECE2238"/>
    <w:rsid w:val="51DB4B86"/>
    <w:rsid w:val="51F64DB0"/>
    <w:rsid w:val="55333C3E"/>
    <w:rsid w:val="56520F1D"/>
    <w:rsid w:val="5B2B23DF"/>
    <w:rsid w:val="5F67802D"/>
    <w:rsid w:val="5F7DC4F2"/>
    <w:rsid w:val="5FB36814"/>
    <w:rsid w:val="5FBB8E56"/>
    <w:rsid w:val="5FFB5535"/>
    <w:rsid w:val="611D7E13"/>
    <w:rsid w:val="63484F6B"/>
    <w:rsid w:val="64CA39A1"/>
    <w:rsid w:val="65A67F49"/>
    <w:rsid w:val="69630ADE"/>
    <w:rsid w:val="69BD5F13"/>
    <w:rsid w:val="69FB0B4B"/>
    <w:rsid w:val="6BFFE1FB"/>
    <w:rsid w:val="6C4A05C8"/>
    <w:rsid w:val="6CDF3CF7"/>
    <w:rsid w:val="6D3B1A89"/>
    <w:rsid w:val="6DB7D8A3"/>
    <w:rsid w:val="6EC78701"/>
    <w:rsid w:val="6F7A5481"/>
    <w:rsid w:val="6FFE07A9"/>
    <w:rsid w:val="71355068"/>
    <w:rsid w:val="71BF4EC2"/>
    <w:rsid w:val="72734D90"/>
    <w:rsid w:val="73E75B71"/>
    <w:rsid w:val="7412278C"/>
    <w:rsid w:val="74A06571"/>
    <w:rsid w:val="75DDCDA9"/>
    <w:rsid w:val="75FF44B1"/>
    <w:rsid w:val="77670518"/>
    <w:rsid w:val="777FA627"/>
    <w:rsid w:val="77DF1B5F"/>
    <w:rsid w:val="77EF2D9D"/>
    <w:rsid w:val="78EB0FB5"/>
    <w:rsid w:val="79E7B28D"/>
    <w:rsid w:val="7ACFF0C2"/>
    <w:rsid w:val="7AFB9108"/>
    <w:rsid w:val="7BD5340C"/>
    <w:rsid w:val="7BFB19D2"/>
    <w:rsid w:val="7BFD1750"/>
    <w:rsid w:val="7BFDAA1B"/>
    <w:rsid w:val="7CDF9A82"/>
    <w:rsid w:val="7CFFA1BD"/>
    <w:rsid w:val="7D2E3F7A"/>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99"/>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200" w:leftChars="200"/>
    </w:pPr>
    <w:rPr>
      <w:rFonts w:ascii="仿宋_GB2312"/>
      <w:szCs w:val="32"/>
    </w:rPr>
  </w:style>
  <w:style w:type="paragraph" w:styleId="8">
    <w:name w:val="Body Text"/>
    <w:basedOn w:val="1"/>
    <w:next w:val="1"/>
    <w:link w:val="25"/>
    <w:qFormat/>
    <w:uiPriority w:val="99"/>
    <w:pPr>
      <w:spacing w:beforeLines="30"/>
    </w:pPr>
    <w:rPr>
      <w:rFonts w:ascii="仿宋_GB2312" w:eastAsia="仿宋_GB2312"/>
      <w:kern w:val="0"/>
      <w:sz w:val="30"/>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1"/>
    <w:semiHidden/>
    <w:unhideWhenUsed/>
    <w:qFormat/>
    <w:uiPriority w:val="99"/>
    <w:rPr>
      <w:sz w:val="18"/>
      <w:szCs w:val="18"/>
    </w:rPr>
  </w:style>
  <w:style w:type="paragraph" w:styleId="11">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2"/>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11"/>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8"/>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5"/>
    <w:qFormat/>
    <w:uiPriority w:val="9"/>
    <w:rPr>
      <w:rFonts w:ascii="Times New Roman" w:hAnsi="Times New Roman"/>
      <w:b/>
      <w:bCs/>
      <w:kern w:val="44"/>
      <w:sz w:val="44"/>
      <w:szCs w:val="44"/>
    </w:rPr>
  </w:style>
  <w:style w:type="character" w:customStyle="1" w:styleId="29">
    <w:name w:val="标题 2 字符"/>
    <w:basedOn w:val="16"/>
    <w:link w:val="6"/>
    <w:qFormat/>
    <w:uiPriority w:val="9"/>
    <w:rPr>
      <w:rFonts w:asciiTheme="majorHAnsi" w:hAnsiTheme="majorHAnsi" w:eastAsiaTheme="majorEastAsia" w:cstheme="majorBidi"/>
      <w:b/>
      <w:bCs/>
      <w:kern w:val="2"/>
      <w:sz w:val="32"/>
      <w:szCs w:val="32"/>
    </w:rPr>
  </w:style>
  <w:style w:type="paragraph" w:customStyle="1" w:styleId="30">
    <w:name w:val="TOC 标题1"/>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10"/>
    <w:semiHidden/>
    <w:qFormat/>
    <w:uiPriority w:val="99"/>
    <w:rPr>
      <w:rFonts w:ascii="Times New Roman" w:hAnsi="Times New Roman"/>
      <w:kern w:val="2"/>
      <w:sz w:val="18"/>
      <w:szCs w:val="18"/>
    </w:rPr>
  </w:style>
  <w:style w:type="character" w:customStyle="1" w:styleId="32">
    <w:name w:val="标题 3 字符"/>
    <w:basedOn w:val="16"/>
    <w:link w:val="7"/>
    <w:qFormat/>
    <w:uiPriority w:val="9"/>
    <w:rPr>
      <w:rFonts w:ascii="Times New Roman" w:hAnsi="Times New Roman"/>
      <w:b/>
      <w:bCs/>
      <w:kern w:val="2"/>
      <w:sz w:val="32"/>
      <w:szCs w:val="32"/>
    </w:rPr>
  </w:style>
  <w:style w:type="paragraph" w:customStyle="1" w:styleId="33">
    <w:name w:val="TOC 标题2"/>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WPSOffice手动目录 1"/>
    <w:qFormat/>
    <w:uiPriority w:val="0"/>
    <w:pPr>
      <w:ind w:leftChars="0"/>
    </w:pPr>
    <w:rPr>
      <w:rFonts w:ascii="Times New Roman" w:hAnsi="Times New Roman" w:eastAsia="宋体" w:cs="Times New Roman"/>
      <w:sz w:val="20"/>
      <w:szCs w:val="20"/>
    </w:rPr>
  </w:style>
  <w:style w:type="paragraph" w:customStyle="1" w:styleId="35">
    <w:name w:val="WPSOffice手动目录 2"/>
    <w:qFormat/>
    <w:uiPriority w:val="0"/>
    <w:pPr>
      <w:ind w:leftChars="200"/>
    </w:pPr>
    <w:rPr>
      <w:rFonts w:ascii="Times New Roman" w:hAnsi="Times New Roman" w:eastAsia="宋体" w:cs="Times New Roman"/>
      <w:sz w:val="20"/>
      <w:szCs w:val="20"/>
    </w:rPr>
  </w:style>
  <w:style w:type="paragraph" w:customStyle="1" w:styleId="36">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1"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24037;&#20316;&#31807;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24037;&#20316;&#31807;1"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24037;&#20316;&#31807;1"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24037;&#20316;&#31807;1"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收支决算总计情况变动图</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cat>
            <c:strRef>
              <c:f>[工作簿1]Sheet1!$A$1:$B$1</c:f>
              <c:strCache>
                <c:ptCount val="2"/>
                <c:pt idx="0">
                  <c:v>2023年收支</c:v>
                </c:pt>
                <c:pt idx="1">
                  <c:v>2022年收支</c:v>
                </c:pt>
              </c:strCache>
            </c:strRef>
          </c:cat>
          <c:val>
            <c:numRef>
              <c:f>[工作簿1]Sheet1!$A$2:$B$2</c:f>
              <c:numCache>
                <c:formatCode>General</c:formatCode>
                <c:ptCount val="2"/>
                <c:pt idx="0">
                  <c:v>449.01</c:v>
                </c:pt>
                <c:pt idx="1">
                  <c:v>380.36</c:v>
                </c:pt>
              </c:numCache>
            </c:numRef>
          </c:val>
        </c:ser>
        <c:dLbls>
          <c:showLegendKey val="0"/>
          <c:showVal val="1"/>
          <c:showCatName val="0"/>
          <c:showSerName val="0"/>
          <c:showPercent val="0"/>
          <c:showBubbleSize val="0"/>
        </c:dLbls>
        <c:gapWidth val="219"/>
        <c:overlap val="-27"/>
        <c:axId val="945248531"/>
        <c:axId val="221804978"/>
      </c:barChart>
      <c:catAx>
        <c:axId val="945248531"/>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21804978"/>
        <c:crosses val="autoZero"/>
        <c:auto val="1"/>
        <c:lblAlgn val="ctr"/>
        <c:lblOffset val="100"/>
        <c:noMultiLvlLbl val="0"/>
      </c:catAx>
      <c:valAx>
        <c:axId val="22180497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45248531"/>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[工作簿1]Sheet1!$A$1:$B$1</c:f>
              <c:strCache>
                <c:ptCount val="2"/>
                <c:pt idx="0">
                  <c:v>一般公共预算财政拨款收入</c:v>
                </c:pt>
                <c:pt idx="1">
                  <c:v>事业收入</c:v>
                </c:pt>
              </c:strCache>
            </c:strRef>
          </c:cat>
          <c:val>
            <c:numRef>
              <c:f>[工作簿1]Sheet1!$A$2:$B$2</c:f>
              <c:numCache>
                <c:formatCode>General</c:formatCode>
                <c:ptCount val="2"/>
                <c:pt idx="0">
                  <c:v>437.51</c:v>
                </c:pt>
                <c:pt idx="1">
                  <c:v>11.5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[工作簿1]Sheet1!$A$1:$B$1</c:f>
              <c:strCache>
                <c:ptCount val="2"/>
                <c:pt idx="0">
                  <c:v>基本支出</c:v>
                </c:pt>
                <c:pt idx="1">
                  <c:v>项目支出</c:v>
                </c:pt>
              </c:strCache>
            </c:strRef>
          </c:cat>
          <c:val>
            <c:numRef>
              <c:f>[工作簿1]Sheet1!$A$2:$B$2</c:f>
              <c:numCache>
                <c:formatCode>General</c:formatCode>
                <c:ptCount val="2"/>
                <c:pt idx="0">
                  <c:v>402.96</c:v>
                </c:pt>
                <c:pt idx="1">
                  <c:v>46.05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a:t>
            </a:r>
          </a:p>
        </c:rich>
      </c:tx>
      <c:layout>
        <c:manualLayout>
          <c:xMode val="edge"/>
          <c:yMode val="edge"/>
          <c:x val="0.216527777777778"/>
          <c:y val="0.0416666666666667"/>
        </c:manualLayout>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trendline>
            <c:spPr>
              <a:ln w="19050" cap="rnd">
                <a:solidFill>
                  <a:schemeClr val="accent1"/>
                </a:solidFill>
                <a:prstDash val="sysDot"/>
              </a:ln>
              <a:effectLst/>
            </c:spPr>
            <c:trendlineType val="linear"/>
            <c:dispRSqr val="0"/>
            <c:dispEq val="0"/>
          </c:trendline>
          <c:errBars>
            <c:errBarType val="both"/>
            <c:errValType val="stdErr"/>
            <c:noEndCap val="0"/>
            <c:spPr>
              <a:noFill/>
              <a:ln w="9525" cap="flat" cmpd="sng" algn="ctr">
                <a:solidFill>
                  <a:schemeClr val="tx1">
                    <a:lumMod val="65000"/>
                    <a:lumOff val="35000"/>
                  </a:schemeClr>
                </a:solidFill>
                <a:round/>
              </a:ln>
              <a:effectLst/>
            </c:spPr>
          </c:errBars>
          <c:cat>
            <c:strRef>
              <c:f>[工作簿1]Sheet1!$A$1:$B$1</c:f>
              <c:strCache>
                <c:ptCount val="2"/>
                <c:pt idx="0">
                  <c:v>2022年</c:v>
                </c:pt>
                <c:pt idx="1">
                  <c:v>2023年</c:v>
                </c:pt>
              </c:strCache>
            </c:strRef>
          </c:cat>
          <c:val>
            <c:numRef>
              <c:f>[工作簿1]Sheet1!$A$2:$B$2</c:f>
              <c:numCache>
                <c:formatCode>General</c:formatCode>
                <c:ptCount val="2"/>
                <c:pt idx="0">
                  <c:v>380.36</c:v>
                </c:pt>
                <c:pt idx="1">
                  <c:v>437.51</c:v>
                </c:pt>
              </c:numCache>
            </c:numRef>
          </c:val>
        </c:ser>
        <c:dLbls>
          <c:showLegendKey val="0"/>
          <c:showVal val="1"/>
          <c:showCatName val="0"/>
          <c:showSerName val="0"/>
          <c:showPercent val="0"/>
          <c:showBubbleSize val="0"/>
        </c:dLbls>
        <c:gapWidth val="150"/>
        <c:overlap val="-25"/>
        <c:axId val="207583497"/>
        <c:axId val="872416483"/>
      </c:barChart>
      <c:catAx>
        <c:axId val="20758349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72416483"/>
        <c:crosses val="autoZero"/>
        <c:auto val="1"/>
        <c:lblAlgn val="ctr"/>
        <c:lblOffset val="100"/>
        <c:noMultiLvlLbl val="0"/>
      </c:catAx>
      <c:valAx>
        <c:axId val="872416483"/>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7583497"/>
        <c:crosses val="autoZero"/>
        <c:crossBetween val="between"/>
      </c:valAx>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a:t>
            </a:r>
          </a:p>
        </c:rich>
      </c:tx>
      <c:layout>
        <c:manualLayout>
          <c:xMode val="edge"/>
          <c:yMode val="edge"/>
          <c:x val="0.216527777777778"/>
          <c:y val="0.0416666666666667"/>
        </c:manualLayout>
      </c:layout>
      <c:overlay val="0"/>
      <c:spPr>
        <a:noFill/>
        <a:ln>
          <a:noFill/>
        </a:ln>
        <a:effectLst/>
      </c:spPr>
    </c:title>
    <c:autoTitleDeleted val="0"/>
    <c:plotArea>
      <c:layout/>
      <c:barChart>
        <c:barDir val="col"/>
        <c:grouping val="clustered"/>
        <c:varyColors val="0"/>
        <c:ser>
          <c:idx val="0"/>
          <c:order val="0"/>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errBars>
            <c:errBarType val="both"/>
            <c:errValType val="stdErr"/>
            <c:noEndCap val="0"/>
            <c:spPr>
              <a:noFill/>
              <a:ln w="9525" cap="flat" cmpd="sng" algn="ctr">
                <a:solidFill>
                  <a:schemeClr val="tx1">
                    <a:lumMod val="65000"/>
                    <a:lumOff val="35000"/>
                  </a:schemeClr>
                </a:solidFill>
                <a:round/>
              </a:ln>
              <a:effectLst/>
            </c:spPr>
          </c:errBars>
          <c:cat>
            <c:strRef>
              <c:f>[工作簿1]Sheet1!$A$1:$B$1</c:f>
              <c:strCache>
                <c:ptCount val="2"/>
                <c:pt idx="0">
                  <c:v>2022年</c:v>
                </c:pt>
                <c:pt idx="1">
                  <c:v>2023年</c:v>
                </c:pt>
              </c:strCache>
            </c:strRef>
          </c:cat>
          <c:val>
            <c:numRef>
              <c:f>[工作簿1]Sheet1!$A$2:$B$2</c:f>
              <c:numCache>
                <c:formatCode>General</c:formatCode>
                <c:ptCount val="2"/>
                <c:pt idx="0">
                  <c:v>380.36</c:v>
                </c:pt>
                <c:pt idx="1">
                  <c:v>437.51</c:v>
                </c:pt>
              </c:numCache>
            </c:numRef>
          </c:val>
        </c:ser>
        <c:dLbls>
          <c:showLegendKey val="0"/>
          <c:showVal val="1"/>
          <c:showCatName val="0"/>
          <c:showSerName val="0"/>
          <c:showPercent val="0"/>
          <c:showBubbleSize val="0"/>
        </c:dLbls>
        <c:gapWidth val="150"/>
        <c:overlap val="-25"/>
        <c:axId val="207583497"/>
        <c:axId val="872416483"/>
      </c:barChart>
      <c:catAx>
        <c:axId val="20758349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72416483"/>
        <c:crosses val="autoZero"/>
        <c:auto val="1"/>
        <c:lblAlgn val="ctr"/>
        <c:lblOffset val="100"/>
        <c:noMultiLvlLbl val="0"/>
      </c:catAx>
      <c:valAx>
        <c:axId val="872416483"/>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7583497"/>
        <c:crosses val="autoZero"/>
        <c:crossBetween val="between"/>
      </c:valAx>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a:t>
            </a:r>
          </a:p>
        </c:rich>
      </c:tx>
      <c:layout/>
      <c:overlay val="0"/>
      <c:spPr>
        <a:noFill/>
        <a:ln>
          <a:noFill/>
        </a:ln>
        <a:effectLst/>
      </c:spPr>
    </c:title>
    <c:autoTitleDeleted val="0"/>
    <c:plotArea>
      <c:layout/>
      <c:pieChart>
        <c:varyColors val="1"/>
        <c:ser>
          <c:idx val="0"/>
          <c:order val="0"/>
          <c:spPr>
            <a:effectLst/>
          </c:spPr>
          <c:explosion val="0"/>
          <c:dPt>
            <c:idx val="0"/>
            <c:bubble3D val="0"/>
            <c:spPr>
              <a:solidFill>
                <a:schemeClr val="accent2"/>
              </a:solidFill>
              <a:ln>
                <a:noFill/>
              </a:ln>
              <a:effectLst/>
            </c:spPr>
          </c:dPt>
          <c:dPt>
            <c:idx val="1"/>
            <c:bubble3D val="0"/>
            <c:spPr>
              <a:solidFill>
                <a:schemeClr val="accent4"/>
              </a:solidFill>
              <a:ln>
                <a:noFill/>
              </a:ln>
              <a:effectLst/>
            </c:spPr>
          </c:dPt>
          <c:dPt>
            <c:idx val="2"/>
            <c:bubble3D val="0"/>
            <c:spPr>
              <a:solidFill>
                <a:schemeClr val="accent6"/>
              </a:solidFill>
              <a:ln>
                <a:no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[工作簿1]Sheet1!$A$1:$C$1</c:f>
              <c:strCache>
                <c:ptCount val="3"/>
                <c:pt idx="0">
                  <c:v>社会保障和就业支出</c:v>
                </c:pt>
                <c:pt idx="1">
                  <c:v>卫生健康支出</c:v>
                </c:pt>
                <c:pt idx="2">
                  <c:v>住房保障支出</c:v>
                </c:pt>
              </c:strCache>
            </c:strRef>
          </c:cat>
          <c:val>
            <c:numRef>
              <c:f>[工作簿1]Sheet1!$A$2:$C$2</c:f>
              <c:numCache>
                <c:formatCode>General</c:formatCode>
                <c:ptCount val="3"/>
                <c:pt idx="0">
                  <c:v>59.72</c:v>
                </c:pt>
                <c:pt idx="1">
                  <c:v>346.53</c:v>
                </c:pt>
                <c:pt idx="2">
                  <c:v>31.26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4"/>
    </mc:Choice>
    <mc:Fallback>
      <c:style val="4"/>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三公经费</a:t>
            </a:r>
          </a:p>
        </c:rich>
      </c:tx>
      <c:layout/>
      <c:overlay val="0"/>
      <c:spPr>
        <a:noFill/>
        <a:ln>
          <a:noFill/>
        </a:ln>
        <a:effectLst/>
      </c:spPr>
    </c:title>
    <c:autoTitleDeleted val="0"/>
    <c:plotArea>
      <c:layout>
        <c:manualLayout>
          <c:layoutTarget val="inner"/>
          <c:xMode val="edge"/>
          <c:yMode val="edge"/>
          <c:x val="0.186111111111111"/>
          <c:y val="0.363425925925926"/>
          <c:w val="0.231944444444444"/>
          <c:h val="0.386574074074074"/>
        </c:manualLayout>
      </c:layout>
      <c:pieChart>
        <c:varyColors val="1"/>
        <c:ser>
          <c:idx val="0"/>
          <c:order val="0"/>
          <c:spPr/>
          <c:explosion val="0"/>
          <c:dPt>
            <c:idx val="0"/>
            <c:bubble3D val="0"/>
            <c:spPr>
              <a:solidFill>
                <a:schemeClr val="accent2">
                  <a:shade val="65000"/>
                </a:schemeClr>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2">
                  <a:tint val="65000"/>
                </a:schemeClr>
              </a:solidFill>
              <a:ln w="19050">
                <a:solidFill>
                  <a:schemeClr val="lt1"/>
                </a:solidFill>
              </a:ln>
              <a:effectLst/>
            </c:spPr>
          </c:dPt>
          <c:dLbls>
            <c:dLbl>
              <c:idx val="1"/>
              <c:delete val="1"/>
            </c:dLbl>
            <c:dLbl>
              <c:idx val="2"/>
              <c:delete val="1"/>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[工作簿1]Sheet1!$A$1:$C$1</c:f>
              <c:strCache>
                <c:ptCount val="3"/>
                <c:pt idx="0">
                  <c:v>因公出国（境）费支出</c:v>
                </c:pt>
                <c:pt idx="1">
                  <c:v>公务用车购置及运行维护费支出</c:v>
                </c:pt>
                <c:pt idx="2">
                  <c:v>公务接待费支出</c:v>
                </c:pt>
              </c:strCache>
            </c:strRef>
          </c:cat>
          <c:val>
            <c:numRef>
              <c:f>[工作簿1]Sheet1!$A$2:$C$2</c:f>
              <c:numCache>
                <c:formatCode>General</c:formatCode>
                <c:ptCount val="3"/>
                <c:pt idx="0">
                  <c:v>0</c:v>
                </c:pt>
                <c:pt idx="1">
                  <c:v>0</c:v>
                </c:pt>
                <c:pt idx="2">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withinLinear" id="15">
  <a:schemeClr val="accent2"/>
</cs:colorStyle>
</file>

<file path=word/charts/colors5.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四川省财政厅</Company>
  <Pages>24</Pages>
  <Words>7826</Words>
  <Characters>8948</Characters>
  <Lines>54</Lines>
  <Paragraphs>15</Paragraphs>
  <TotalTime>2</TotalTime>
  <ScaleCrop>false</ScaleCrop>
  <LinksUpToDate>false</LinksUpToDate>
  <CharactersWithSpaces>9126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奕夕^_^</cp:lastModifiedBy>
  <cp:lastPrinted>2024-09-19T08:41:00Z</cp:lastPrinted>
  <dcterms:modified xsi:type="dcterms:W3CDTF">2024-09-23T09:13:12Z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D7F4AFDD430643F3B49DD42B370D12E6_12</vt:lpwstr>
  </property>
</Properties>
</file>