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52578">
      <w:pPr>
        <w:spacing w:line="600" w:lineRule="exact"/>
        <w:jc w:val="left"/>
        <w:outlineLvl w:val="0"/>
        <w:rPr>
          <w:rFonts w:ascii="方正小标宋简体" w:hAnsi="宋体" w:eastAsia="方正小标宋简体"/>
          <w:szCs w:val="21"/>
        </w:rPr>
      </w:pPr>
      <w:bookmarkStart w:id="0" w:name="_Toc15306267"/>
    </w:p>
    <w:p w14:paraId="2E703FD4">
      <w:pPr>
        <w:pStyle w:val="5"/>
        <w:spacing w:before="93"/>
      </w:pPr>
    </w:p>
    <w:p w14:paraId="3EFA9FD5">
      <w:pPr>
        <w:spacing w:line="600" w:lineRule="exact"/>
        <w:jc w:val="center"/>
        <w:outlineLvl w:val="0"/>
        <w:rPr>
          <w:rFonts w:ascii="方正小标宋简体" w:hAnsi="宋体" w:eastAsia="方正小标宋简体"/>
          <w:sz w:val="72"/>
          <w:szCs w:val="72"/>
        </w:rPr>
      </w:pPr>
    </w:p>
    <w:p w14:paraId="67993B9E">
      <w:pPr>
        <w:spacing w:line="600" w:lineRule="exact"/>
        <w:jc w:val="center"/>
        <w:outlineLvl w:val="0"/>
        <w:rPr>
          <w:rFonts w:ascii="方正小标宋简体" w:hAnsi="宋体" w:eastAsia="方正小标宋简体"/>
          <w:sz w:val="72"/>
          <w:szCs w:val="72"/>
        </w:rPr>
      </w:pPr>
    </w:p>
    <w:p w14:paraId="77F27163">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597"/>
      <w:bookmarkStart w:id="2" w:name="_Toc15396475"/>
      <w:bookmarkStart w:id="3" w:name="_Toc22201"/>
      <w:bookmarkStart w:id="4" w:name="_Toc26265"/>
      <w:bookmarkStart w:id="5" w:name="_Toc15377193"/>
      <w:bookmarkStart w:id="6" w:name="_Toc15377425"/>
      <w:bookmarkStart w:id="7" w:name="_Toc15378441"/>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bookmarkEnd w:id="7"/>
    </w:p>
    <w:p w14:paraId="6C558BCC">
      <w:pPr>
        <w:adjustRightInd w:val="0"/>
        <w:snapToGrid w:val="0"/>
        <w:spacing w:line="360" w:lineRule="auto"/>
        <w:jc w:val="center"/>
        <w:outlineLvl w:val="0"/>
        <w:rPr>
          <w:rFonts w:hint="default" w:ascii="方正小标宋简体" w:hAnsi="方正小标宋简体" w:eastAsia="方正小标宋简体" w:cs="方正小标宋简体"/>
          <w:sz w:val="72"/>
          <w:szCs w:val="72"/>
          <w:lang w:val="en-US" w:eastAsia="zh-CN"/>
        </w:rPr>
      </w:pPr>
      <w:bookmarkStart w:id="8" w:name="_Toc15377426"/>
      <w:bookmarkStart w:id="9" w:name="_Toc11906"/>
      <w:bookmarkStart w:id="10" w:name="_Toc15396476"/>
      <w:bookmarkStart w:id="11" w:name="_Toc15378442"/>
      <w:bookmarkStart w:id="12" w:name="_Toc15377194"/>
      <w:bookmarkStart w:id="13" w:name="_Toc15396598"/>
      <w:bookmarkStart w:id="14" w:name="_Toc12212"/>
      <w:r>
        <w:rPr>
          <w:rFonts w:hint="eastAsia" w:ascii="方正小标宋简体" w:hAnsi="方正小标宋简体" w:eastAsia="方正小标宋简体" w:cs="方正小标宋简体"/>
          <w:sz w:val="72"/>
          <w:szCs w:val="72"/>
        </w:rPr>
        <w:t>四川省</w:t>
      </w:r>
      <w:bookmarkEnd w:id="0"/>
      <w:bookmarkStart w:id="15" w:name="_Toc15306268"/>
      <w:r>
        <w:rPr>
          <w:rFonts w:hint="eastAsia" w:ascii="方正小标宋简体" w:hAnsi="方正小标宋简体" w:eastAsia="方正小标宋简体" w:cs="方正小标宋简体"/>
          <w:sz w:val="72"/>
          <w:szCs w:val="72"/>
          <w:lang w:val="en-US" w:eastAsia="zh-CN"/>
        </w:rPr>
        <w:t>松潘县川主寺镇卫生院</w:t>
      </w:r>
      <w:r>
        <w:rPr>
          <w:rFonts w:hint="eastAsia" w:ascii="方正小标宋简体" w:hAnsi="方正小标宋简体" w:eastAsia="方正小标宋简体" w:cs="方正小标宋简体"/>
          <w:sz w:val="72"/>
          <w:szCs w:val="72"/>
        </w:rPr>
        <w:t>决算</w:t>
      </w:r>
      <w:bookmarkEnd w:id="8"/>
      <w:bookmarkEnd w:id="9"/>
      <w:bookmarkEnd w:id="10"/>
      <w:bookmarkEnd w:id="11"/>
      <w:bookmarkEnd w:id="12"/>
      <w:bookmarkEnd w:id="13"/>
      <w:bookmarkEnd w:id="14"/>
      <w:bookmarkEnd w:id="15"/>
      <w:r>
        <w:rPr>
          <w:rFonts w:hint="eastAsia" w:ascii="方正小标宋简体" w:hAnsi="方正小标宋简体" w:eastAsia="方正小标宋简体" w:cs="方正小标宋简体"/>
          <w:sz w:val="72"/>
          <w:szCs w:val="72"/>
          <w:lang w:val="en-US" w:eastAsia="zh-CN"/>
        </w:rPr>
        <w:t>公开</w:t>
      </w:r>
    </w:p>
    <w:p w14:paraId="700830BB">
      <w:pPr>
        <w:adjustRightInd w:val="0"/>
        <w:snapToGrid w:val="0"/>
        <w:spacing w:line="360" w:lineRule="auto"/>
        <w:jc w:val="center"/>
        <w:outlineLvl w:val="0"/>
        <w:rPr>
          <w:rFonts w:ascii="方正小标宋简体" w:hAnsi="宋体" w:eastAsia="方正小标宋简体"/>
          <w:sz w:val="52"/>
          <w:szCs w:val="52"/>
        </w:rPr>
      </w:pPr>
    </w:p>
    <w:p w14:paraId="22356B99">
      <w:pPr>
        <w:widowControl/>
        <w:jc w:val="center"/>
        <w:rPr>
          <w:rFonts w:hint="eastAsia" w:ascii="黑体" w:hAnsi="黑体" w:eastAsia="黑体"/>
          <w:sz w:val="48"/>
          <w:szCs w:val="48"/>
        </w:rPr>
        <w:sectPr>
          <w:footerReference r:id="rId5" w:type="first"/>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p>
    <w:p w14:paraId="5C3B8EC5">
      <w:pPr>
        <w:widowControl/>
        <w:jc w:val="center"/>
        <w:rPr>
          <w:rFonts w:ascii="黑体" w:hAnsi="黑体" w:eastAsia="黑体"/>
          <w:sz w:val="48"/>
          <w:szCs w:val="48"/>
        </w:rPr>
      </w:pPr>
      <w:r>
        <w:rPr>
          <w:rFonts w:hint="eastAsia" w:ascii="黑体" w:hAnsi="黑体" w:eastAsia="黑体"/>
          <w:sz w:val="48"/>
          <w:szCs w:val="48"/>
        </w:rPr>
        <w:t>目录</w:t>
      </w:r>
    </w:p>
    <w:p w14:paraId="4E6AFC20">
      <w:pPr>
        <w:widowControl/>
        <w:jc w:val="center"/>
        <w:rPr>
          <w:rFonts w:ascii="黑体" w:hAnsi="黑体" w:eastAsia="黑体" w:cstheme="minorBidi"/>
          <w:sz w:val="28"/>
          <w:szCs w:val="28"/>
        </w:rPr>
      </w:pPr>
    </w:p>
    <w:p w14:paraId="7C7AC1C5">
      <w:pPr>
        <w:pStyle w:val="11"/>
      </w:pPr>
      <w:r>
        <w:rPr>
          <w:rFonts w:hint="eastAsia"/>
        </w:rPr>
        <w:t>公开时间：202</w:t>
      </w:r>
      <w:r>
        <w:rPr>
          <w:rFonts w:hint="eastAsia"/>
          <w:lang w:val="en-US" w:eastAsia="zh-CN"/>
        </w:rPr>
        <w:t>4</w:t>
      </w:r>
      <w:r>
        <w:rPr>
          <w:rFonts w:hint="eastAsia"/>
        </w:rPr>
        <w:t>年</w:t>
      </w:r>
      <w:r>
        <w:rPr>
          <w:rFonts w:hint="eastAsia"/>
          <w:lang w:val="en-US" w:eastAsia="zh-CN"/>
        </w:rPr>
        <w:t xml:space="preserve"> 9 </w:t>
      </w:r>
      <w:r>
        <w:rPr>
          <w:rFonts w:hint="eastAsia"/>
        </w:rPr>
        <w:t>月</w:t>
      </w:r>
      <w:r>
        <w:rPr>
          <w:rFonts w:hint="eastAsia"/>
          <w:lang w:val="en-US" w:eastAsia="zh-CN"/>
        </w:rPr>
        <w:t xml:space="preserve"> 19 </w:t>
      </w:r>
      <w:r>
        <w:rPr>
          <w:rFonts w:hint="eastAsia"/>
        </w:rPr>
        <w:t>日</w:t>
      </w:r>
    </w:p>
    <w:p w14:paraId="03491187"/>
    <w:p w14:paraId="5F803EA1">
      <w:pPr>
        <w:pStyle w:val="11"/>
        <w:tabs>
          <w:tab w:val="right" w:leader="dot" w:pos="8306"/>
          <w:tab w:val="clear" w:pos="8296"/>
        </w:tabs>
      </w:pPr>
      <w:r>
        <w:fldChar w:fldCharType="begin"/>
      </w:r>
      <w:r>
        <w:instrText xml:space="preserve">TOC \o "1-3" \h \u </w:instrText>
      </w:r>
      <w:r>
        <w:fldChar w:fldCharType="separate"/>
      </w:r>
      <w:r>
        <w:fldChar w:fldCharType="begin"/>
      </w:r>
      <w:r>
        <w:instrText xml:space="preserve"> HYPERLINK \l _Toc12927 </w:instrText>
      </w:r>
      <w:r>
        <w:fldChar w:fldCharType="separate"/>
      </w:r>
      <w:r>
        <w:rPr>
          <w:rFonts w:hint="eastAsia" w:ascii="黑体" w:hAnsi="黑体" w:eastAsia="黑体"/>
        </w:rPr>
        <w:t>第一部分 单位</w:t>
      </w:r>
      <w:r>
        <w:rPr>
          <w:rFonts w:hint="eastAsia" w:ascii="黑体" w:hAnsi="黑体" w:eastAsia="黑体"/>
          <w:bCs w:val="0"/>
        </w:rPr>
        <w:t>概况</w:t>
      </w:r>
      <w:r>
        <w:tab/>
      </w:r>
      <w:r>
        <w:fldChar w:fldCharType="begin"/>
      </w:r>
      <w:r>
        <w:instrText xml:space="preserve"> PAGEREF _Toc12927 \h </w:instrText>
      </w:r>
      <w:r>
        <w:fldChar w:fldCharType="separate"/>
      </w:r>
      <w:r>
        <w:t>4</w:t>
      </w:r>
      <w:r>
        <w:fldChar w:fldCharType="end"/>
      </w:r>
      <w:r>
        <w:fldChar w:fldCharType="end"/>
      </w:r>
    </w:p>
    <w:p w14:paraId="560499A5">
      <w:pPr>
        <w:pStyle w:val="13"/>
        <w:tabs>
          <w:tab w:val="right" w:leader="dot" w:pos="8306"/>
          <w:tab w:val="clear" w:pos="8296"/>
        </w:tabs>
      </w:pPr>
      <w:r>
        <w:fldChar w:fldCharType="begin"/>
      </w:r>
      <w:r>
        <w:instrText xml:space="preserve"> HYPERLINK \l _Toc12887 </w:instrText>
      </w:r>
      <w:r>
        <w:fldChar w:fldCharType="separate"/>
      </w:r>
      <w:r>
        <w:rPr>
          <w:rFonts w:hint="eastAsia" w:ascii="黑体" w:hAnsi="黑体" w:eastAsia="黑体"/>
          <w:bCs w:val="0"/>
        </w:rPr>
        <w:t>一、 主要职责</w:t>
      </w:r>
      <w:r>
        <w:tab/>
      </w:r>
      <w:r>
        <w:fldChar w:fldCharType="begin"/>
      </w:r>
      <w:r>
        <w:instrText xml:space="preserve"> PAGEREF _Toc12887 \h </w:instrText>
      </w:r>
      <w:r>
        <w:fldChar w:fldCharType="separate"/>
      </w:r>
      <w:r>
        <w:t>4</w:t>
      </w:r>
      <w:r>
        <w:fldChar w:fldCharType="end"/>
      </w:r>
      <w:r>
        <w:fldChar w:fldCharType="end"/>
      </w:r>
    </w:p>
    <w:p w14:paraId="53669B25">
      <w:pPr>
        <w:pStyle w:val="13"/>
        <w:tabs>
          <w:tab w:val="right" w:leader="dot" w:pos="8306"/>
          <w:tab w:val="clear" w:pos="8296"/>
        </w:tabs>
      </w:pPr>
      <w:r>
        <w:fldChar w:fldCharType="begin"/>
      </w:r>
      <w:r>
        <w:instrText xml:space="preserve"> HYPERLINK \l _Toc30480 </w:instrText>
      </w:r>
      <w:r>
        <w:fldChar w:fldCharType="separate"/>
      </w:r>
      <w:r>
        <w:rPr>
          <w:rFonts w:hint="eastAsia" w:ascii="黑体" w:hAnsi="黑体" w:eastAsia="黑体"/>
        </w:rPr>
        <w:t>二、机构设置</w:t>
      </w:r>
      <w:r>
        <w:tab/>
      </w:r>
      <w:r>
        <w:fldChar w:fldCharType="begin"/>
      </w:r>
      <w:r>
        <w:instrText xml:space="preserve"> PAGEREF _Toc30480 \h </w:instrText>
      </w:r>
      <w:r>
        <w:fldChar w:fldCharType="separate"/>
      </w:r>
      <w:r>
        <w:t>4</w:t>
      </w:r>
      <w:r>
        <w:fldChar w:fldCharType="end"/>
      </w:r>
      <w:r>
        <w:fldChar w:fldCharType="end"/>
      </w:r>
    </w:p>
    <w:p w14:paraId="46328CC5">
      <w:pPr>
        <w:pStyle w:val="11"/>
        <w:tabs>
          <w:tab w:val="right" w:leader="dot" w:pos="8306"/>
          <w:tab w:val="clear" w:pos="8296"/>
        </w:tabs>
      </w:pPr>
      <w:r>
        <w:fldChar w:fldCharType="begin"/>
      </w:r>
      <w:r>
        <w:instrText xml:space="preserve"> HYPERLINK \l _Toc19007 </w:instrText>
      </w:r>
      <w:r>
        <w:fldChar w:fldCharType="separate"/>
      </w:r>
      <w:r>
        <w:rPr>
          <w:rFonts w:hint="eastAsia" w:ascii="黑体" w:hAnsi="黑体" w:eastAsia="黑体"/>
        </w:rPr>
        <w:t>第二部分 2023年度</w:t>
      </w:r>
      <w:r>
        <w:rPr>
          <w:rFonts w:hint="eastAsia" w:ascii="黑体" w:hAnsi="黑体" w:eastAsia="黑体"/>
          <w:bCs/>
        </w:rPr>
        <w:t>单位决算情况说明</w:t>
      </w:r>
      <w:r>
        <w:tab/>
      </w:r>
      <w:r>
        <w:fldChar w:fldCharType="begin"/>
      </w:r>
      <w:r>
        <w:instrText xml:space="preserve"> PAGEREF _Toc19007 \h </w:instrText>
      </w:r>
      <w:r>
        <w:fldChar w:fldCharType="separate"/>
      </w:r>
      <w:r>
        <w:t>5</w:t>
      </w:r>
      <w:r>
        <w:fldChar w:fldCharType="end"/>
      </w:r>
      <w:r>
        <w:fldChar w:fldCharType="end"/>
      </w:r>
    </w:p>
    <w:p w14:paraId="54CBF66A">
      <w:pPr>
        <w:pStyle w:val="13"/>
        <w:tabs>
          <w:tab w:val="right" w:leader="dot" w:pos="8306"/>
          <w:tab w:val="clear" w:pos="8296"/>
        </w:tabs>
      </w:pPr>
      <w:r>
        <w:fldChar w:fldCharType="begin"/>
      </w:r>
      <w:r>
        <w:instrText xml:space="preserve"> HYPERLINK \l _Toc15022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_Toc15022 \h </w:instrText>
      </w:r>
      <w:r>
        <w:fldChar w:fldCharType="separate"/>
      </w:r>
      <w:r>
        <w:t>5</w:t>
      </w:r>
      <w:r>
        <w:fldChar w:fldCharType="end"/>
      </w:r>
      <w:r>
        <w:fldChar w:fldCharType="end"/>
      </w:r>
    </w:p>
    <w:p w14:paraId="66E0769A">
      <w:pPr>
        <w:pStyle w:val="13"/>
        <w:tabs>
          <w:tab w:val="right" w:leader="dot" w:pos="8306"/>
          <w:tab w:val="clear" w:pos="8296"/>
        </w:tabs>
      </w:pPr>
      <w:r>
        <w:fldChar w:fldCharType="begin"/>
      </w:r>
      <w:r>
        <w:instrText xml:space="preserve"> HYPERLINK \l _Toc13023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_Toc13023 \h </w:instrText>
      </w:r>
      <w:r>
        <w:fldChar w:fldCharType="separate"/>
      </w:r>
      <w:r>
        <w:t>5</w:t>
      </w:r>
      <w:r>
        <w:fldChar w:fldCharType="end"/>
      </w:r>
      <w:r>
        <w:fldChar w:fldCharType="end"/>
      </w:r>
    </w:p>
    <w:p w14:paraId="20D3C19A">
      <w:pPr>
        <w:pStyle w:val="13"/>
        <w:tabs>
          <w:tab w:val="right" w:leader="dot" w:pos="8306"/>
          <w:tab w:val="clear" w:pos="8296"/>
        </w:tabs>
      </w:pPr>
      <w:r>
        <w:fldChar w:fldCharType="begin"/>
      </w:r>
      <w:r>
        <w:instrText xml:space="preserve"> HYPERLINK \l _Toc8650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_Toc8650 \h </w:instrText>
      </w:r>
      <w:r>
        <w:fldChar w:fldCharType="separate"/>
      </w:r>
      <w:r>
        <w:t>6</w:t>
      </w:r>
      <w:r>
        <w:fldChar w:fldCharType="end"/>
      </w:r>
      <w:r>
        <w:fldChar w:fldCharType="end"/>
      </w:r>
    </w:p>
    <w:p w14:paraId="7BF83C7A">
      <w:pPr>
        <w:pStyle w:val="13"/>
        <w:tabs>
          <w:tab w:val="right" w:leader="dot" w:pos="8306"/>
          <w:tab w:val="clear" w:pos="8296"/>
        </w:tabs>
      </w:pPr>
      <w:r>
        <w:fldChar w:fldCharType="begin"/>
      </w:r>
      <w:r>
        <w:instrText xml:space="preserve"> HYPERLINK \l _Toc27902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_Toc27902 \h </w:instrText>
      </w:r>
      <w:r>
        <w:fldChar w:fldCharType="separate"/>
      </w:r>
      <w:r>
        <w:t>7</w:t>
      </w:r>
      <w:r>
        <w:fldChar w:fldCharType="end"/>
      </w:r>
      <w:r>
        <w:fldChar w:fldCharType="end"/>
      </w:r>
    </w:p>
    <w:p w14:paraId="658431F8">
      <w:pPr>
        <w:pStyle w:val="13"/>
        <w:tabs>
          <w:tab w:val="right" w:leader="dot" w:pos="8306"/>
          <w:tab w:val="clear" w:pos="8296"/>
        </w:tabs>
      </w:pPr>
      <w:r>
        <w:fldChar w:fldCharType="begin"/>
      </w:r>
      <w:r>
        <w:instrText xml:space="preserve"> HYPERLINK \l _Toc50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_Toc50 \h </w:instrText>
      </w:r>
      <w:r>
        <w:fldChar w:fldCharType="separate"/>
      </w:r>
      <w:r>
        <w:t>7</w:t>
      </w:r>
      <w:r>
        <w:fldChar w:fldCharType="end"/>
      </w:r>
      <w:r>
        <w:fldChar w:fldCharType="end"/>
      </w:r>
    </w:p>
    <w:p w14:paraId="03346C16">
      <w:pPr>
        <w:pStyle w:val="7"/>
        <w:tabs>
          <w:tab w:val="right" w:leader="dot" w:pos="8306"/>
          <w:tab w:val="clear" w:pos="8296"/>
        </w:tabs>
      </w:pPr>
      <w:r>
        <w:fldChar w:fldCharType="begin"/>
      </w:r>
      <w:r>
        <w:instrText xml:space="preserve"> HYPERLINK \l _Toc18828 </w:instrText>
      </w:r>
      <w:r>
        <w:fldChar w:fldCharType="separate"/>
      </w:r>
      <w:r>
        <w:rPr>
          <w:rFonts w:hint="eastAsia" w:ascii="仿宋" w:hAnsi="仿宋" w:eastAsia="仿宋"/>
          <w:szCs w:val="32"/>
        </w:rPr>
        <w:t>（一）一般公共预算财政拨款支出决算总体情况</w:t>
      </w:r>
      <w:r>
        <w:tab/>
      </w:r>
      <w:r>
        <w:fldChar w:fldCharType="begin"/>
      </w:r>
      <w:r>
        <w:instrText xml:space="preserve"> PAGEREF _Toc18828 \h </w:instrText>
      </w:r>
      <w:r>
        <w:fldChar w:fldCharType="separate"/>
      </w:r>
      <w:r>
        <w:t>8</w:t>
      </w:r>
      <w:r>
        <w:fldChar w:fldCharType="end"/>
      </w:r>
      <w:r>
        <w:fldChar w:fldCharType="end"/>
      </w:r>
    </w:p>
    <w:p w14:paraId="7BF5F407">
      <w:pPr>
        <w:pStyle w:val="7"/>
        <w:tabs>
          <w:tab w:val="right" w:leader="dot" w:pos="8306"/>
          <w:tab w:val="clear" w:pos="8296"/>
        </w:tabs>
      </w:pPr>
      <w:r>
        <w:fldChar w:fldCharType="begin"/>
      </w:r>
      <w:r>
        <w:instrText xml:space="preserve"> HYPERLINK \l _Toc19532 </w:instrText>
      </w:r>
      <w:r>
        <w:fldChar w:fldCharType="separate"/>
      </w:r>
      <w:r>
        <w:rPr>
          <w:rFonts w:hint="eastAsia" w:ascii="仿宋" w:hAnsi="仿宋" w:eastAsia="仿宋"/>
          <w:szCs w:val="32"/>
        </w:rPr>
        <w:t>（二）一般公共预算财政拨款支出决算结构情况</w:t>
      </w:r>
      <w:r>
        <w:tab/>
      </w:r>
      <w:r>
        <w:fldChar w:fldCharType="begin"/>
      </w:r>
      <w:r>
        <w:instrText xml:space="preserve"> PAGEREF _Toc19532 \h </w:instrText>
      </w:r>
      <w:r>
        <w:fldChar w:fldCharType="separate"/>
      </w:r>
      <w:r>
        <w:t>8</w:t>
      </w:r>
      <w:r>
        <w:fldChar w:fldCharType="end"/>
      </w:r>
      <w:r>
        <w:fldChar w:fldCharType="end"/>
      </w:r>
    </w:p>
    <w:p w14:paraId="40EA5E9D">
      <w:pPr>
        <w:pStyle w:val="7"/>
        <w:tabs>
          <w:tab w:val="right" w:leader="dot" w:pos="8306"/>
          <w:tab w:val="clear" w:pos="8296"/>
        </w:tabs>
      </w:pPr>
      <w:r>
        <w:fldChar w:fldCharType="begin"/>
      </w:r>
      <w:r>
        <w:instrText xml:space="preserve"> HYPERLINK \l _Toc12437 </w:instrText>
      </w:r>
      <w:r>
        <w:fldChar w:fldCharType="separate"/>
      </w:r>
      <w:r>
        <w:rPr>
          <w:rFonts w:hint="eastAsia" w:ascii="仿宋" w:hAnsi="仿宋" w:eastAsia="仿宋"/>
          <w:szCs w:val="32"/>
        </w:rPr>
        <w:t>（三）一般公共预算财政拨款支出决算具体情况</w:t>
      </w:r>
      <w:r>
        <w:tab/>
      </w:r>
      <w:r>
        <w:fldChar w:fldCharType="begin"/>
      </w:r>
      <w:r>
        <w:instrText xml:space="preserve"> PAGEREF _Toc12437 \h </w:instrText>
      </w:r>
      <w:r>
        <w:fldChar w:fldCharType="separate"/>
      </w:r>
      <w:r>
        <w:t>9</w:t>
      </w:r>
      <w:r>
        <w:fldChar w:fldCharType="end"/>
      </w:r>
      <w:r>
        <w:fldChar w:fldCharType="end"/>
      </w:r>
    </w:p>
    <w:p w14:paraId="677F339B">
      <w:pPr>
        <w:pStyle w:val="13"/>
        <w:tabs>
          <w:tab w:val="right" w:leader="dot" w:pos="8306"/>
          <w:tab w:val="clear" w:pos="8296"/>
        </w:tabs>
      </w:pPr>
      <w:r>
        <w:fldChar w:fldCharType="begin"/>
      </w:r>
      <w:r>
        <w:instrText xml:space="preserve"> HYPERLINK \l _Toc31932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_Toc31932 \h </w:instrText>
      </w:r>
      <w:r>
        <w:fldChar w:fldCharType="separate"/>
      </w:r>
      <w:r>
        <w:t>11</w:t>
      </w:r>
      <w:r>
        <w:fldChar w:fldCharType="end"/>
      </w:r>
      <w:r>
        <w:fldChar w:fldCharType="end"/>
      </w:r>
    </w:p>
    <w:p w14:paraId="35B9F5F3">
      <w:pPr>
        <w:pStyle w:val="13"/>
        <w:tabs>
          <w:tab w:val="right" w:leader="dot" w:pos="8306"/>
          <w:tab w:val="clear" w:pos="8296"/>
        </w:tabs>
      </w:pPr>
      <w:r>
        <w:fldChar w:fldCharType="begin"/>
      </w:r>
      <w:r>
        <w:instrText xml:space="preserve"> HYPERLINK \l _Toc27206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_Toc27206 \h </w:instrText>
      </w:r>
      <w:r>
        <w:fldChar w:fldCharType="separate"/>
      </w:r>
      <w:r>
        <w:t>11</w:t>
      </w:r>
      <w:r>
        <w:fldChar w:fldCharType="end"/>
      </w:r>
      <w:r>
        <w:fldChar w:fldCharType="end"/>
      </w:r>
    </w:p>
    <w:p w14:paraId="31B42B4A">
      <w:pPr>
        <w:pStyle w:val="7"/>
        <w:tabs>
          <w:tab w:val="right" w:leader="dot" w:pos="8306"/>
          <w:tab w:val="clear" w:pos="8296"/>
        </w:tabs>
      </w:pPr>
      <w:r>
        <w:fldChar w:fldCharType="begin"/>
      </w:r>
      <w:r>
        <w:instrText xml:space="preserve"> HYPERLINK \l _Toc18507 </w:instrText>
      </w:r>
      <w:r>
        <w:fldChar w:fldCharType="separate"/>
      </w:r>
      <w:r>
        <w:rPr>
          <w:rFonts w:hint="eastAsia" w:ascii="仿宋" w:hAnsi="仿宋" w:eastAsia="仿宋"/>
          <w:szCs w:val="32"/>
        </w:rPr>
        <w:t>（一）“三公”经费财政拨款支出决算总体情况说明</w:t>
      </w:r>
      <w:r>
        <w:tab/>
      </w:r>
      <w:r>
        <w:fldChar w:fldCharType="begin"/>
      </w:r>
      <w:r>
        <w:instrText xml:space="preserve"> PAGEREF _Toc18507 \h </w:instrText>
      </w:r>
      <w:r>
        <w:fldChar w:fldCharType="separate"/>
      </w:r>
      <w:r>
        <w:t>11</w:t>
      </w:r>
      <w:r>
        <w:fldChar w:fldCharType="end"/>
      </w:r>
      <w:r>
        <w:fldChar w:fldCharType="end"/>
      </w:r>
    </w:p>
    <w:p w14:paraId="1B385A2B">
      <w:pPr>
        <w:pStyle w:val="7"/>
        <w:tabs>
          <w:tab w:val="right" w:leader="dot" w:pos="8306"/>
          <w:tab w:val="clear" w:pos="8296"/>
        </w:tabs>
      </w:pPr>
      <w:r>
        <w:fldChar w:fldCharType="begin"/>
      </w:r>
      <w:r>
        <w:instrText xml:space="preserve"> HYPERLINK \l _Toc32384 </w:instrText>
      </w:r>
      <w:r>
        <w:fldChar w:fldCharType="separate"/>
      </w:r>
      <w:r>
        <w:rPr>
          <w:rFonts w:hint="eastAsia" w:ascii="仿宋" w:hAnsi="仿宋" w:eastAsia="仿宋"/>
          <w:szCs w:val="32"/>
        </w:rPr>
        <w:t>（二）“三公”经费财政拨款支出决算具体情况说明</w:t>
      </w:r>
      <w:r>
        <w:tab/>
      </w:r>
      <w:r>
        <w:fldChar w:fldCharType="begin"/>
      </w:r>
      <w:r>
        <w:instrText xml:space="preserve"> PAGEREF _Toc32384 \h </w:instrText>
      </w:r>
      <w:r>
        <w:fldChar w:fldCharType="separate"/>
      </w:r>
      <w:r>
        <w:t>12</w:t>
      </w:r>
      <w:r>
        <w:fldChar w:fldCharType="end"/>
      </w:r>
      <w:r>
        <w:fldChar w:fldCharType="end"/>
      </w:r>
    </w:p>
    <w:p w14:paraId="5E701F62">
      <w:pPr>
        <w:pStyle w:val="13"/>
        <w:tabs>
          <w:tab w:val="right" w:leader="dot" w:pos="8306"/>
          <w:tab w:val="clear" w:pos="8296"/>
        </w:tabs>
      </w:pPr>
      <w:r>
        <w:fldChar w:fldCharType="begin"/>
      </w:r>
      <w:r>
        <w:instrText xml:space="preserve"> HYPERLINK \l _Toc24191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_Toc24191 \h </w:instrText>
      </w:r>
      <w:r>
        <w:fldChar w:fldCharType="separate"/>
      </w:r>
      <w:r>
        <w:t>13</w:t>
      </w:r>
      <w:r>
        <w:fldChar w:fldCharType="end"/>
      </w:r>
      <w:r>
        <w:fldChar w:fldCharType="end"/>
      </w:r>
    </w:p>
    <w:p w14:paraId="4C14E935">
      <w:pPr>
        <w:pStyle w:val="13"/>
        <w:tabs>
          <w:tab w:val="right" w:leader="dot" w:pos="8306"/>
          <w:tab w:val="clear" w:pos="8296"/>
        </w:tabs>
      </w:pPr>
      <w:r>
        <w:fldChar w:fldCharType="begin"/>
      </w:r>
      <w:r>
        <w:instrText xml:space="preserve"> HYPERLINK \l _Toc7257 </w:instrText>
      </w:r>
      <w:r>
        <w:fldChar w:fldCharType="separate"/>
      </w:r>
      <w:r>
        <w:rPr>
          <w:rFonts w:hint="eastAsia" w:ascii="黑体" w:hAnsi="黑体" w:eastAsia="黑体"/>
        </w:rPr>
        <w:t>九、 国有资本经营预算支出决算情况说明</w:t>
      </w:r>
      <w:r>
        <w:tab/>
      </w:r>
      <w:r>
        <w:fldChar w:fldCharType="begin"/>
      </w:r>
      <w:r>
        <w:instrText xml:space="preserve"> PAGEREF _Toc7257 \h </w:instrText>
      </w:r>
      <w:r>
        <w:fldChar w:fldCharType="separate"/>
      </w:r>
      <w:r>
        <w:t>13</w:t>
      </w:r>
      <w:r>
        <w:fldChar w:fldCharType="end"/>
      </w:r>
      <w:r>
        <w:fldChar w:fldCharType="end"/>
      </w:r>
    </w:p>
    <w:p w14:paraId="29B91202">
      <w:pPr>
        <w:pStyle w:val="13"/>
        <w:tabs>
          <w:tab w:val="right" w:leader="dot" w:pos="8306"/>
          <w:tab w:val="clear" w:pos="8296"/>
        </w:tabs>
      </w:pPr>
      <w:r>
        <w:fldChar w:fldCharType="begin"/>
      </w:r>
      <w:r>
        <w:instrText xml:space="preserve"> HYPERLINK \l _Toc22584 </w:instrText>
      </w:r>
      <w:r>
        <w:fldChar w:fldCharType="separate"/>
      </w:r>
      <w:r>
        <w:rPr>
          <w:rFonts w:hint="eastAsia" w:ascii="黑体" w:hAnsi="黑体" w:eastAsia="黑体"/>
        </w:rPr>
        <w:t>十、 其他重要事项的情况说明</w:t>
      </w:r>
      <w:r>
        <w:tab/>
      </w:r>
      <w:r>
        <w:fldChar w:fldCharType="begin"/>
      </w:r>
      <w:r>
        <w:instrText xml:space="preserve"> PAGEREF _Toc22584 \h </w:instrText>
      </w:r>
      <w:r>
        <w:fldChar w:fldCharType="separate"/>
      </w:r>
      <w:r>
        <w:t>13</w:t>
      </w:r>
      <w:r>
        <w:fldChar w:fldCharType="end"/>
      </w:r>
      <w:r>
        <w:fldChar w:fldCharType="end"/>
      </w:r>
    </w:p>
    <w:p w14:paraId="7783C9D9">
      <w:pPr>
        <w:pStyle w:val="7"/>
        <w:tabs>
          <w:tab w:val="right" w:leader="dot" w:pos="8306"/>
          <w:tab w:val="clear" w:pos="8296"/>
        </w:tabs>
      </w:pPr>
      <w:r>
        <w:fldChar w:fldCharType="begin"/>
      </w:r>
      <w:r>
        <w:instrText xml:space="preserve"> HYPERLINK \l _Toc22410 </w:instrText>
      </w:r>
      <w:r>
        <w:fldChar w:fldCharType="separate"/>
      </w:r>
      <w:r>
        <w:rPr>
          <w:rFonts w:hint="eastAsia" w:ascii="仿宋" w:hAnsi="仿宋" w:eastAsia="仿宋"/>
          <w:szCs w:val="32"/>
        </w:rPr>
        <w:t>（一）机关运行经费支出情况</w:t>
      </w:r>
      <w:r>
        <w:tab/>
      </w:r>
      <w:r>
        <w:fldChar w:fldCharType="begin"/>
      </w:r>
      <w:r>
        <w:instrText xml:space="preserve"> PAGEREF _Toc22410 \h </w:instrText>
      </w:r>
      <w:r>
        <w:fldChar w:fldCharType="separate"/>
      </w:r>
      <w:r>
        <w:t>13</w:t>
      </w:r>
      <w:r>
        <w:fldChar w:fldCharType="end"/>
      </w:r>
      <w:r>
        <w:fldChar w:fldCharType="end"/>
      </w:r>
    </w:p>
    <w:p w14:paraId="40F6DD70">
      <w:pPr>
        <w:pStyle w:val="7"/>
        <w:tabs>
          <w:tab w:val="right" w:leader="dot" w:pos="8306"/>
          <w:tab w:val="clear" w:pos="8296"/>
        </w:tabs>
      </w:pPr>
      <w:r>
        <w:fldChar w:fldCharType="begin"/>
      </w:r>
      <w:r>
        <w:instrText xml:space="preserve"> HYPERLINK \l _Toc18230 </w:instrText>
      </w:r>
      <w:r>
        <w:fldChar w:fldCharType="separate"/>
      </w:r>
      <w:r>
        <w:rPr>
          <w:rFonts w:hint="eastAsia" w:ascii="仿宋" w:hAnsi="仿宋" w:eastAsia="仿宋"/>
          <w:szCs w:val="32"/>
        </w:rPr>
        <w:t>（二）政府采购支出情况</w:t>
      </w:r>
      <w:r>
        <w:tab/>
      </w:r>
      <w:r>
        <w:fldChar w:fldCharType="begin"/>
      </w:r>
      <w:r>
        <w:instrText xml:space="preserve"> PAGEREF _Toc18230 \h </w:instrText>
      </w:r>
      <w:r>
        <w:fldChar w:fldCharType="separate"/>
      </w:r>
      <w:r>
        <w:t>13</w:t>
      </w:r>
      <w:r>
        <w:fldChar w:fldCharType="end"/>
      </w:r>
      <w:r>
        <w:fldChar w:fldCharType="end"/>
      </w:r>
    </w:p>
    <w:p w14:paraId="15845C25">
      <w:pPr>
        <w:pStyle w:val="7"/>
        <w:tabs>
          <w:tab w:val="right" w:leader="dot" w:pos="8306"/>
          <w:tab w:val="clear" w:pos="8296"/>
        </w:tabs>
      </w:pPr>
      <w:r>
        <w:fldChar w:fldCharType="begin"/>
      </w:r>
      <w:r>
        <w:instrText xml:space="preserve"> HYPERLINK \l _Toc23543 </w:instrText>
      </w:r>
      <w:r>
        <w:fldChar w:fldCharType="separate"/>
      </w:r>
      <w:r>
        <w:rPr>
          <w:rFonts w:hint="eastAsia" w:ascii="仿宋" w:hAnsi="仿宋" w:eastAsia="仿宋"/>
          <w:szCs w:val="32"/>
        </w:rPr>
        <w:t>（三）国有资产占有使用情况</w:t>
      </w:r>
      <w:r>
        <w:tab/>
      </w:r>
      <w:r>
        <w:fldChar w:fldCharType="begin"/>
      </w:r>
      <w:r>
        <w:instrText xml:space="preserve"> PAGEREF _Toc23543 \h </w:instrText>
      </w:r>
      <w:r>
        <w:fldChar w:fldCharType="separate"/>
      </w:r>
      <w:r>
        <w:t>14</w:t>
      </w:r>
      <w:r>
        <w:fldChar w:fldCharType="end"/>
      </w:r>
      <w:r>
        <w:fldChar w:fldCharType="end"/>
      </w:r>
    </w:p>
    <w:p w14:paraId="52CC1878">
      <w:pPr>
        <w:pStyle w:val="7"/>
        <w:tabs>
          <w:tab w:val="right" w:leader="dot" w:pos="8306"/>
          <w:tab w:val="clear" w:pos="8296"/>
        </w:tabs>
      </w:pPr>
      <w:r>
        <w:fldChar w:fldCharType="begin"/>
      </w:r>
      <w:r>
        <w:instrText xml:space="preserve"> HYPERLINK \l _Toc11348 </w:instrText>
      </w:r>
      <w:r>
        <w:fldChar w:fldCharType="separate"/>
      </w:r>
      <w:r>
        <w:rPr>
          <w:rFonts w:hint="eastAsia" w:ascii="仿宋" w:hAnsi="仿宋" w:eastAsia="仿宋"/>
          <w:szCs w:val="32"/>
        </w:rPr>
        <w:t>（四）预算绩效管理情况</w:t>
      </w:r>
      <w:r>
        <w:tab/>
      </w:r>
      <w:r>
        <w:fldChar w:fldCharType="begin"/>
      </w:r>
      <w:r>
        <w:instrText xml:space="preserve"> PAGEREF _Toc11348 \h </w:instrText>
      </w:r>
      <w:r>
        <w:fldChar w:fldCharType="separate"/>
      </w:r>
      <w:r>
        <w:t>14</w:t>
      </w:r>
      <w:r>
        <w:fldChar w:fldCharType="end"/>
      </w:r>
      <w:r>
        <w:fldChar w:fldCharType="end"/>
      </w:r>
    </w:p>
    <w:p w14:paraId="0783ADE5">
      <w:pPr>
        <w:pStyle w:val="11"/>
        <w:tabs>
          <w:tab w:val="right" w:leader="dot" w:pos="8306"/>
          <w:tab w:val="clear" w:pos="8296"/>
        </w:tabs>
      </w:pPr>
      <w:r>
        <w:fldChar w:fldCharType="begin"/>
      </w:r>
      <w:r>
        <w:instrText xml:space="preserve"> HYPERLINK \l _Toc8593 </w:instrText>
      </w:r>
      <w:r>
        <w:fldChar w:fldCharType="separate"/>
      </w:r>
      <w:r>
        <w:rPr>
          <w:rFonts w:hint="eastAsia" w:ascii="黑体" w:hAnsi="黑体" w:eastAsia="黑体" w:cs="黑体"/>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_Toc8593 \h </w:instrText>
      </w:r>
      <w:r>
        <w:fldChar w:fldCharType="separate"/>
      </w:r>
      <w:r>
        <w:t>14</w:t>
      </w:r>
      <w:r>
        <w:fldChar w:fldCharType="end"/>
      </w:r>
      <w:r>
        <w:fldChar w:fldCharType="end"/>
      </w:r>
    </w:p>
    <w:p w14:paraId="010A524B">
      <w:pPr>
        <w:pStyle w:val="11"/>
        <w:tabs>
          <w:tab w:val="right" w:leader="dot" w:pos="8306"/>
          <w:tab w:val="clear" w:pos="8296"/>
        </w:tabs>
        <w:rPr>
          <w:rFonts w:hint="eastAsia" w:eastAsia="仿宋"/>
          <w:lang w:val="en-US" w:eastAsia="zh-CN"/>
        </w:rPr>
      </w:pPr>
      <w:r>
        <w:fldChar w:fldCharType="begin"/>
      </w:r>
      <w:r>
        <w:instrText xml:space="preserve"> HYPERLINK \l _Toc6223 </w:instrText>
      </w:r>
      <w:r>
        <w:fldChar w:fldCharType="separate"/>
      </w:r>
      <w:r>
        <w:rPr>
          <w:rFonts w:hint="eastAsia" w:ascii="黑体" w:hAnsi="黑体" w:eastAsia="黑体"/>
          <w:szCs w:val="44"/>
        </w:rPr>
        <w:t>第</w:t>
      </w:r>
      <w:r>
        <w:rPr>
          <w:rFonts w:hint="eastAsia" w:ascii="黑体" w:hAnsi="黑体" w:eastAsia="黑体"/>
        </w:rPr>
        <w:t>四部分 附件</w:t>
      </w:r>
      <w:r>
        <w:tab/>
      </w:r>
      <w:r>
        <w:fldChar w:fldCharType="begin"/>
      </w:r>
      <w:r>
        <w:instrText xml:space="preserve"> PAGEREF _Toc6223 \h </w:instrText>
      </w:r>
      <w:r>
        <w:fldChar w:fldCharType="separate"/>
      </w:r>
      <w:r>
        <w:t>18</w:t>
      </w:r>
      <w:r>
        <w:fldChar w:fldCharType="end"/>
      </w:r>
      <w:r>
        <w:fldChar w:fldCharType="end"/>
      </w:r>
    </w:p>
    <w:p w14:paraId="5825ADE8">
      <w:pPr>
        <w:pStyle w:val="11"/>
        <w:tabs>
          <w:tab w:val="right" w:leader="dot" w:pos="8306"/>
          <w:tab w:val="clear" w:pos="8296"/>
        </w:tabs>
      </w:pPr>
      <w:r>
        <w:fldChar w:fldCharType="begin"/>
      </w:r>
      <w:r>
        <w:instrText xml:space="preserve"> HYPERLINK \l _Toc21604 </w:instrText>
      </w:r>
      <w:r>
        <w:fldChar w:fldCharType="separate"/>
      </w:r>
      <w:r>
        <w:rPr>
          <w:rFonts w:hint="eastAsia" w:ascii="黑体" w:hAnsi="黑体" w:eastAsia="黑体"/>
          <w:szCs w:val="44"/>
        </w:rPr>
        <w:t>第</w:t>
      </w:r>
      <w:r>
        <w:rPr>
          <w:rFonts w:hint="eastAsia" w:ascii="黑体" w:hAnsi="黑体" w:eastAsia="黑体"/>
        </w:rPr>
        <w:t>五部分 附表</w:t>
      </w:r>
      <w:r>
        <w:tab/>
      </w:r>
      <w:r>
        <w:fldChar w:fldCharType="begin"/>
      </w:r>
      <w:r>
        <w:instrText xml:space="preserve"> PAGEREF _Toc21604 \h </w:instrText>
      </w:r>
      <w:r>
        <w:fldChar w:fldCharType="separate"/>
      </w:r>
      <w:r>
        <w:t>27</w:t>
      </w:r>
      <w:r>
        <w:fldChar w:fldCharType="end"/>
      </w:r>
      <w:r>
        <w:fldChar w:fldCharType="end"/>
      </w:r>
    </w:p>
    <w:p w14:paraId="6CDB466E">
      <w:pPr>
        <w:pStyle w:val="13"/>
        <w:tabs>
          <w:tab w:val="right" w:leader="dot" w:pos="8306"/>
          <w:tab w:val="clear" w:pos="8296"/>
        </w:tabs>
      </w:pPr>
      <w:r>
        <w:fldChar w:fldCharType="begin"/>
      </w:r>
      <w:r>
        <w:instrText xml:space="preserve"> HYPERLINK \l _Toc5156 </w:instrText>
      </w:r>
      <w: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_Toc5156 \h </w:instrText>
      </w:r>
      <w:r>
        <w:fldChar w:fldCharType="separate"/>
      </w:r>
      <w:r>
        <w:t>27</w:t>
      </w:r>
      <w:r>
        <w:fldChar w:fldCharType="end"/>
      </w:r>
      <w:r>
        <w:fldChar w:fldCharType="end"/>
      </w:r>
    </w:p>
    <w:p w14:paraId="7A18CFD0">
      <w:pPr>
        <w:pStyle w:val="13"/>
        <w:tabs>
          <w:tab w:val="right" w:leader="dot" w:pos="8306"/>
          <w:tab w:val="clear" w:pos="8296"/>
        </w:tabs>
      </w:pPr>
      <w:r>
        <w:fldChar w:fldCharType="begin"/>
      </w:r>
      <w:r>
        <w:instrText xml:space="preserve"> HYPERLINK \l _Toc14873 </w:instrText>
      </w:r>
      <w: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_Toc14873 \h </w:instrText>
      </w:r>
      <w:r>
        <w:fldChar w:fldCharType="separate"/>
      </w:r>
      <w:r>
        <w:t>27</w:t>
      </w:r>
      <w:r>
        <w:fldChar w:fldCharType="end"/>
      </w:r>
      <w:r>
        <w:fldChar w:fldCharType="end"/>
      </w:r>
    </w:p>
    <w:p w14:paraId="78379E1C">
      <w:pPr>
        <w:pStyle w:val="13"/>
        <w:tabs>
          <w:tab w:val="right" w:leader="dot" w:pos="8306"/>
          <w:tab w:val="clear" w:pos="8296"/>
        </w:tabs>
      </w:pPr>
      <w:r>
        <w:fldChar w:fldCharType="begin"/>
      </w:r>
      <w:r>
        <w:instrText xml:space="preserve"> HYPERLINK \l _Toc5388 </w:instrText>
      </w:r>
      <w: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_Toc5388 \h </w:instrText>
      </w:r>
      <w:r>
        <w:fldChar w:fldCharType="separate"/>
      </w:r>
      <w:r>
        <w:t>27</w:t>
      </w:r>
      <w:r>
        <w:fldChar w:fldCharType="end"/>
      </w:r>
      <w:r>
        <w:fldChar w:fldCharType="end"/>
      </w:r>
    </w:p>
    <w:p w14:paraId="564C33C6">
      <w:pPr>
        <w:pStyle w:val="13"/>
        <w:tabs>
          <w:tab w:val="right" w:leader="dot" w:pos="8306"/>
          <w:tab w:val="clear" w:pos="8296"/>
        </w:tabs>
      </w:pPr>
      <w:r>
        <w:fldChar w:fldCharType="begin"/>
      </w:r>
      <w:r>
        <w:instrText xml:space="preserve"> HYPERLINK \l _Toc26731 </w:instrText>
      </w:r>
      <w: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_Toc26731 \h </w:instrText>
      </w:r>
      <w:r>
        <w:fldChar w:fldCharType="separate"/>
      </w:r>
      <w:r>
        <w:t>27</w:t>
      </w:r>
      <w:r>
        <w:fldChar w:fldCharType="end"/>
      </w:r>
      <w:r>
        <w:fldChar w:fldCharType="end"/>
      </w:r>
    </w:p>
    <w:p w14:paraId="1031D3B4">
      <w:pPr>
        <w:pStyle w:val="13"/>
        <w:tabs>
          <w:tab w:val="right" w:leader="dot" w:pos="8306"/>
          <w:tab w:val="clear" w:pos="8296"/>
        </w:tabs>
      </w:pPr>
      <w:r>
        <w:fldChar w:fldCharType="begin"/>
      </w:r>
      <w:r>
        <w:instrText xml:space="preserve"> HYPERLINK \l _Toc8601 </w:instrText>
      </w:r>
      <w: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_Toc8601 \h </w:instrText>
      </w:r>
      <w:r>
        <w:fldChar w:fldCharType="separate"/>
      </w:r>
      <w:r>
        <w:t>27</w:t>
      </w:r>
      <w:r>
        <w:fldChar w:fldCharType="end"/>
      </w:r>
      <w:r>
        <w:fldChar w:fldCharType="end"/>
      </w:r>
    </w:p>
    <w:p w14:paraId="11A707A3">
      <w:pPr>
        <w:pStyle w:val="13"/>
        <w:tabs>
          <w:tab w:val="right" w:leader="dot" w:pos="8306"/>
          <w:tab w:val="clear" w:pos="8296"/>
        </w:tabs>
      </w:pPr>
      <w:r>
        <w:fldChar w:fldCharType="begin"/>
      </w:r>
      <w:r>
        <w:instrText xml:space="preserve"> HYPERLINK \l _Toc31840 </w:instrText>
      </w:r>
      <w: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_Toc31840 \h </w:instrText>
      </w:r>
      <w:r>
        <w:fldChar w:fldCharType="separate"/>
      </w:r>
      <w:r>
        <w:t>27</w:t>
      </w:r>
      <w:r>
        <w:fldChar w:fldCharType="end"/>
      </w:r>
      <w:r>
        <w:fldChar w:fldCharType="end"/>
      </w:r>
    </w:p>
    <w:p w14:paraId="28A35800">
      <w:pPr>
        <w:pStyle w:val="13"/>
        <w:tabs>
          <w:tab w:val="right" w:leader="dot" w:pos="8306"/>
          <w:tab w:val="clear" w:pos="8296"/>
        </w:tabs>
      </w:pPr>
      <w:r>
        <w:fldChar w:fldCharType="begin"/>
      </w:r>
      <w:r>
        <w:instrText xml:space="preserve"> HYPERLINK \l _Toc14470 </w:instrText>
      </w:r>
      <w: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_Toc14470 \h </w:instrText>
      </w:r>
      <w:r>
        <w:fldChar w:fldCharType="separate"/>
      </w:r>
      <w:r>
        <w:t>27</w:t>
      </w:r>
      <w:r>
        <w:fldChar w:fldCharType="end"/>
      </w:r>
      <w:r>
        <w:fldChar w:fldCharType="end"/>
      </w:r>
    </w:p>
    <w:p w14:paraId="2AD5B516">
      <w:pPr>
        <w:pStyle w:val="13"/>
        <w:tabs>
          <w:tab w:val="right" w:leader="dot" w:pos="8306"/>
          <w:tab w:val="clear" w:pos="8296"/>
        </w:tabs>
      </w:pPr>
      <w:r>
        <w:fldChar w:fldCharType="begin"/>
      </w:r>
      <w:r>
        <w:instrText xml:space="preserve"> HYPERLINK \l _Toc16464 </w:instrText>
      </w:r>
      <w: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_Toc16464 \h </w:instrText>
      </w:r>
      <w:r>
        <w:fldChar w:fldCharType="separate"/>
      </w:r>
      <w:r>
        <w:t>27</w:t>
      </w:r>
      <w:r>
        <w:fldChar w:fldCharType="end"/>
      </w:r>
      <w:r>
        <w:fldChar w:fldCharType="end"/>
      </w:r>
    </w:p>
    <w:p w14:paraId="56DB226C">
      <w:pPr>
        <w:pStyle w:val="13"/>
        <w:tabs>
          <w:tab w:val="right" w:leader="dot" w:pos="8306"/>
          <w:tab w:val="clear" w:pos="8296"/>
        </w:tabs>
      </w:pPr>
      <w:r>
        <w:fldChar w:fldCharType="begin"/>
      </w:r>
      <w:r>
        <w:instrText xml:space="preserve"> HYPERLINK \l _Toc20277 </w:instrText>
      </w:r>
      <w: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_Toc20277 \h </w:instrText>
      </w:r>
      <w:r>
        <w:fldChar w:fldCharType="separate"/>
      </w:r>
      <w:r>
        <w:t>27</w:t>
      </w:r>
      <w:r>
        <w:fldChar w:fldCharType="end"/>
      </w:r>
      <w:r>
        <w:fldChar w:fldCharType="end"/>
      </w:r>
    </w:p>
    <w:p w14:paraId="40192FC2">
      <w:pPr>
        <w:pStyle w:val="13"/>
        <w:tabs>
          <w:tab w:val="right" w:leader="dot" w:pos="8306"/>
          <w:tab w:val="clear" w:pos="8296"/>
        </w:tabs>
      </w:pPr>
      <w:r>
        <w:fldChar w:fldCharType="begin"/>
      </w:r>
      <w:r>
        <w:instrText xml:space="preserve"> HYPERLINK \l _Toc24304 </w:instrText>
      </w:r>
      <w: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_Toc24304 \h </w:instrText>
      </w:r>
      <w:r>
        <w:fldChar w:fldCharType="separate"/>
      </w:r>
      <w:r>
        <w:t>27</w:t>
      </w:r>
      <w:r>
        <w:fldChar w:fldCharType="end"/>
      </w:r>
      <w:r>
        <w:fldChar w:fldCharType="end"/>
      </w:r>
    </w:p>
    <w:p w14:paraId="57C8C860">
      <w:pPr>
        <w:pStyle w:val="13"/>
        <w:tabs>
          <w:tab w:val="right" w:leader="dot" w:pos="8306"/>
          <w:tab w:val="clear" w:pos="8296"/>
        </w:tabs>
      </w:pPr>
      <w:r>
        <w:fldChar w:fldCharType="begin"/>
      </w:r>
      <w:r>
        <w:instrText xml:space="preserve"> HYPERLINK \l _Toc11505 </w:instrText>
      </w:r>
      <w: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_Toc11505 \h </w:instrText>
      </w:r>
      <w:r>
        <w:fldChar w:fldCharType="separate"/>
      </w:r>
      <w:r>
        <w:t>27</w:t>
      </w:r>
      <w:r>
        <w:fldChar w:fldCharType="end"/>
      </w:r>
      <w:r>
        <w:fldChar w:fldCharType="end"/>
      </w:r>
    </w:p>
    <w:p w14:paraId="631981C7">
      <w:pPr>
        <w:pStyle w:val="13"/>
        <w:tabs>
          <w:tab w:val="right" w:leader="dot" w:pos="8306"/>
          <w:tab w:val="clear" w:pos="8296"/>
        </w:tabs>
      </w:pPr>
      <w:r>
        <w:fldChar w:fldCharType="begin"/>
      </w:r>
      <w:r>
        <w:instrText xml:space="preserve"> HYPERLINK \l _Toc29701 </w:instrText>
      </w:r>
      <w:r>
        <w:fldChar w:fldCharType="separate"/>
      </w:r>
      <w:r>
        <w:rPr>
          <w:rFonts w:hint="eastAsia" w:ascii="仿宋" w:hAnsi="仿宋" w:eastAsia="仿宋"/>
          <w:bCs w:val="0"/>
        </w:rPr>
        <w:t>十二、国有资本经营预算财政拨款支出决算表</w:t>
      </w:r>
      <w:r>
        <w:tab/>
      </w:r>
      <w:r>
        <w:fldChar w:fldCharType="begin"/>
      </w:r>
      <w:r>
        <w:instrText xml:space="preserve"> PAGEREF _Toc29701 \h </w:instrText>
      </w:r>
      <w:r>
        <w:fldChar w:fldCharType="separate"/>
      </w:r>
      <w:r>
        <w:t>27</w:t>
      </w:r>
      <w:r>
        <w:fldChar w:fldCharType="end"/>
      </w:r>
      <w:r>
        <w:fldChar w:fldCharType="end"/>
      </w:r>
    </w:p>
    <w:p w14:paraId="1A6B3D46">
      <w:pPr>
        <w:pStyle w:val="13"/>
        <w:tabs>
          <w:tab w:val="right" w:leader="dot" w:pos="8306"/>
          <w:tab w:val="clear" w:pos="8296"/>
        </w:tabs>
      </w:pPr>
      <w:r>
        <w:fldChar w:fldCharType="begin"/>
      </w:r>
      <w:r>
        <w:instrText xml:space="preserve"> HYPERLINK \l _Toc20847 </w:instrText>
      </w:r>
      <w:r>
        <w:fldChar w:fldCharType="separate"/>
      </w:r>
      <w:r>
        <w:rPr>
          <w:rFonts w:hint="eastAsia" w:ascii="仿宋" w:hAnsi="仿宋" w:eastAsia="仿宋"/>
          <w:bCs w:val="0"/>
        </w:rPr>
        <w:t>十三、财政拨款“三公”经费支出决算表</w:t>
      </w:r>
      <w:r>
        <w:tab/>
      </w:r>
      <w:r>
        <w:fldChar w:fldCharType="begin"/>
      </w:r>
      <w:r>
        <w:instrText xml:space="preserve"> PAGEREF _Toc20847 \h </w:instrText>
      </w:r>
      <w:r>
        <w:fldChar w:fldCharType="separate"/>
      </w:r>
      <w:r>
        <w:t>27</w:t>
      </w:r>
      <w:r>
        <w:fldChar w:fldCharType="end"/>
      </w:r>
      <w:r>
        <w:fldChar w:fldCharType="end"/>
      </w:r>
    </w:p>
    <w:p w14:paraId="19595DC6">
      <w:r>
        <w:fldChar w:fldCharType="end"/>
      </w:r>
    </w:p>
    <w:p w14:paraId="10BA89C0">
      <w:pPr>
        <w:pStyle w:val="2"/>
        <w:jc w:val="center"/>
        <w:rPr>
          <w:rFonts w:hint="eastAsia" w:ascii="黑体" w:hAnsi="黑体" w:eastAsia="黑体"/>
          <w:b w:val="0"/>
        </w:rPr>
      </w:pPr>
      <w:bookmarkStart w:id="16" w:name="_Toc15377196"/>
      <w:bookmarkStart w:id="17" w:name="_Toc15396599"/>
    </w:p>
    <w:p w14:paraId="4A7F2EA8">
      <w:pPr>
        <w:pStyle w:val="2"/>
        <w:jc w:val="center"/>
        <w:rPr>
          <w:rFonts w:hint="eastAsia" w:ascii="黑体" w:hAnsi="黑体" w:eastAsia="黑体"/>
          <w:b w:val="0"/>
        </w:rPr>
      </w:pPr>
    </w:p>
    <w:p w14:paraId="0B345B44">
      <w:pPr>
        <w:pStyle w:val="2"/>
        <w:jc w:val="center"/>
        <w:rPr>
          <w:rFonts w:hint="eastAsia" w:ascii="黑体" w:hAnsi="黑体" w:eastAsia="黑体"/>
          <w:b w:val="0"/>
        </w:rPr>
      </w:pPr>
    </w:p>
    <w:p w14:paraId="1AAB1639">
      <w:pPr>
        <w:pStyle w:val="2"/>
        <w:jc w:val="both"/>
        <w:rPr>
          <w:rFonts w:hint="eastAsia" w:ascii="黑体" w:hAnsi="黑体" w:eastAsia="黑体"/>
          <w:b w:val="0"/>
        </w:rPr>
      </w:pPr>
    </w:p>
    <w:p w14:paraId="4FA47659">
      <w:pPr>
        <w:rPr>
          <w:rFonts w:hint="eastAsia" w:ascii="黑体" w:hAnsi="黑体" w:eastAsia="黑体"/>
          <w:b w:val="0"/>
        </w:rPr>
      </w:pPr>
    </w:p>
    <w:p w14:paraId="3C3AC62B">
      <w:pPr>
        <w:rPr>
          <w:rFonts w:hint="eastAsia" w:ascii="黑体" w:hAnsi="黑体" w:eastAsia="黑体"/>
          <w:b w:val="0"/>
        </w:rPr>
      </w:pPr>
    </w:p>
    <w:p w14:paraId="1D6CB2D4">
      <w:pPr>
        <w:rPr>
          <w:rFonts w:hint="eastAsia" w:ascii="黑体" w:hAnsi="黑体" w:eastAsia="黑体"/>
          <w:b w:val="0"/>
        </w:rPr>
      </w:pPr>
    </w:p>
    <w:p w14:paraId="2241C56F">
      <w:pPr>
        <w:rPr>
          <w:rFonts w:hint="eastAsia" w:ascii="黑体" w:hAnsi="黑体" w:eastAsia="黑体"/>
          <w:b w:val="0"/>
        </w:rPr>
      </w:pPr>
    </w:p>
    <w:p w14:paraId="11019C0C">
      <w:pPr>
        <w:rPr>
          <w:rFonts w:hint="eastAsia" w:ascii="黑体" w:hAnsi="黑体" w:eastAsia="黑体"/>
          <w:b w:val="0"/>
        </w:rPr>
      </w:pPr>
    </w:p>
    <w:p w14:paraId="083E6BA0">
      <w:pPr>
        <w:rPr>
          <w:rFonts w:hint="eastAsia" w:ascii="黑体" w:hAnsi="黑体" w:eastAsia="黑体"/>
          <w:b w:val="0"/>
        </w:rPr>
      </w:pPr>
    </w:p>
    <w:p w14:paraId="38866413">
      <w:pPr>
        <w:rPr>
          <w:rFonts w:hint="eastAsia" w:ascii="黑体" w:hAnsi="黑体" w:eastAsia="黑体"/>
          <w:b w:val="0"/>
        </w:rPr>
      </w:pPr>
    </w:p>
    <w:p w14:paraId="2ECAA47A">
      <w:pPr>
        <w:rPr>
          <w:rFonts w:hint="eastAsia" w:ascii="黑体" w:hAnsi="黑体" w:eastAsia="黑体"/>
          <w:b w:val="0"/>
        </w:rPr>
      </w:pPr>
    </w:p>
    <w:p w14:paraId="3150AA60">
      <w:pPr>
        <w:rPr>
          <w:rFonts w:hint="eastAsia" w:ascii="黑体" w:hAnsi="黑体" w:eastAsia="黑体"/>
          <w:b w:val="0"/>
        </w:rPr>
      </w:pPr>
    </w:p>
    <w:p w14:paraId="6161E074">
      <w:pPr>
        <w:rPr>
          <w:rFonts w:hint="eastAsia" w:ascii="黑体" w:hAnsi="黑体" w:eastAsia="黑体"/>
          <w:b w:val="0"/>
        </w:rPr>
      </w:pPr>
    </w:p>
    <w:p w14:paraId="28F5DBDE">
      <w:pPr>
        <w:rPr>
          <w:rFonts w:hint="eastAsia" w:ascii="黑体" w:hAnsi="黑体" w:eastAsia="黑体"/>
          <w:b w:val="0"/>
        </w:rPr>
      </w:pPr>
    </w:p>
    <w:p w14:paraId="5B998D5B">
      <w:pPr>
        <w:rPr>
          <w:rFonts w:hint="eastAsia" w:ascii="黑体" w:hAnsi="黑体" w:eastAsia="黑体"/>
          <w:b w:val="0"/>
        </w:rPr>
      </w:pPr>
    </w:p>
    <w:p w14:paraId="2AAE6E76">
      <w:pPr>
        <w:rPr>
          <w:rFonts w:hint="eastAsia" w:ascii="黑体" w:hAnsi="黑体" w:eastAsia="黑体"/>
          <w:b w:val="0"/>
        </w:rPr>
      </w:pPr>
    </w:p>
    <w:p w14:paraId="4DE58F47">
      <w:pPr>
        <w:rPr>
          <w:rFonts w:hint="eastAsia" w:ascii="黑体" w:hAnsi="黑体" w:eastAsia="黑体"/>
          <w:b w:val="0"/>
        </w:rPr>
      </w:pPr>
    </w:p>
    <w:p w14:paraId="10BEE03D">
      <w:pPr>
        <w:rPr>
          <w:rFonts w:hint="eastAsia" w:ascii="黑体" w:hAnsi="黑体" w:eastAsia="黑体"/>
          <w:b w:val="0"/>
        </w:rPr>
      </w:pPr>
    </w:p>
    <w:p w14:paraId="05912246">
      <w:pPr>
        <w:pStyle w:val="2"/>
        <w:jc w:val="center"/>
        <w:rPr>
          <w:rStyle w:val="28"/>
          <w:rFonts w:ascii="黑体" w:hAnsi="黑体" w:eastAsia="黑体"/>
          <w:b/>
          <w:bCs w:val="0"/>
        </w:rPr>
      </w:pPr>
      <w:bookmarkStart w:id="18" w:name="_Toc12927"/>
      <w:r>
        <w:rPr>
          <w:rFonts w:hint="eastAsia" w:ascii="黑体" w:hAnsi="黑体" w:eastAsia="黑体"/>
          <w:b w:val="0"/>
        </w:rPr>
        <w:t>第一部分 单位</w:t>
      </w:r>
      <w:r>
        <w:rPr>
          <w:rStyle w:val="28"/>
          <w:rFonts w:hint="eastAsia" w:ascii="黑体" w:hAnsi="黑体" w:eastAsia="黑体"/>
          <w:b w:val="0"/>
          <w:bCs w:val="0"/>
        </w:rPr>
        <w:t>概况</w:t>
      </w:r>
      <w:bookmarkEnd w:id="16"/>
      <w:bookmarkEnd w:id="17"/>
      <w:bookmarkEnd w:id="18"/>
    </w:p>
    <w:p w14:paraId="6AF0925E">
      <w:pPr>
        <w:widowControl/>
        <w:jc w:val="left"/>
        <w:rPr>
          <w:rFonts w:ascii="黑体" w:eastAsia="黑体"/>
          <w:sz w:val="32"/>
          <w:szCs w:val="32"/>
        </w:rPr>
      </w:pPr>
    </w:p>
    <w:p w14:paraId="7BEB2D0D">
      <w:pPr>
        <w:pStyle w:val="3"/>
        <w:numPr>
          <w:ilvl w:val="0"/>
          <w:numId w:val="1"/>
        </w:numPr>
        <w:rPr>
          <w:rStyle w:val="29"/>
          <w:rFonts w:ascii="黑体" w:hAnsi="黑体" w:eastAsia="黑体"/>
          <w:b w:val="0"/>
          <w:bCs w:val="0"/>
        </w:rPr>
      </w:pPr>
      <w:bookmarkStart w:id="19" w:name="_Toc12887"/>
      <w:bookmarkStart w:id="20" w:name="_Toc15396600"/>
      <w:bookmarkStart w:id="21" w:name="_Toc15377197"/>
      <w:r>
        <w:rPr>
          <w:rStyle w:val="29"/>
          <w:rFonts w:hint="eastAsia" w:ascii="黑体" w:hAnsi="黑体" w:eastAsia="黑体"/>
          <w:b w:val="0"/>
          <w:bCs w:val="0"/>
        </w:rPr>
        <w:t>主要职责</w:t>
      </w:r>
      <w:bookmarkEnd w:id="19"/>
    </w:p>
    <w:p w14:paraId="01AAA5D0">
      <w:pPr>
        <w:pStyle w:val="5"/>
        <w:adjustRightInd w:val="0"/>
        <w:snapToGrid w:val="0"/>
        <w:spacing w:before="93" w:line="600" w:lineRule="exact"/>
        <w:ind w:firstLine="672" w:firstLineChars="210"/>
        <w:outlineLvl w:val="2"/>
        <w:rPr>
          <w:rFonts w:hint="eastAsia" w:ascii="仿宋" w:hAnsi="仿宋" w:eastAsia="仿宋"/>
          <w:bCs/>
          <w:color w:val="000000"/>
          <w:sz w:val="32"/>
          <w:szCs w:val="32"/>
          <w:highlight w:val="none"/>
          <w:lang w:eastAsia="zh-CN"/>
        </w:rPr>
      </w:pPr>
      <w:bookmarkStart w:id="22" w:name="_Toc13407"/>
      <w:bookmarkStart w:id="23" w:name="_Toc5292"/>
      <w:bookmarkStart w:id="24" w:name="_Toc17881"/>
      <w:r>
        <w:rPr>
          <w:rFonts w:hint="eastAsia" w:ascii="仿宋" w:hAnsi="仿宋" w:eastAsia="仿宋"/>
          <w:bCs/>
          <w:color w:val="000000"/>
          <w:sz w:val="32"/>
          <w:szCs w:val="32"/>
          <w:highlight w:val="none"/>
          <w:lang w:val="en-US" w:eastAsia="zh-CN"/>
        </w:rPr>
        <w:t>1、</w:t>
      </w:r>
      <w:r>
        <w:rPr>
          <w:rFonts w:hint="eastAsia" w:ascii="仿宋" w:hAnsi="仿宋" w:eastAsia="仿宋"/>
          <w:bCs/>
          <w:color w:val="000000"/>
          <w:sz w:val="32"/>
          <w:szCs w:val="32"/>
          <w:highlight w:val="none"/>
        </w:rPr>
        <w:t>医疗救护</w:t>
      </w:r>
      <w:r>
        <w:rPr>
          <w:rFonts w:hint="eastAsia" w:ascii="仿宋" w:hAnsi="仿宋" w:eastAsia="仿宋"/>
          <w:bCs/>
          <w:color w:val="000000"/>
          <w:sz w:val="32"/>
          <w:szCs w:val="32"/>
          <w:highlight w:val="none"/>
          <w:lang w:eastAsia="zh-CN"/>
        </w:rPr>
        <w:t>：</w:t>
      </w:r>
      <w:r>
        <w:rPr>
          <w:rFonts w:hint="eastAsia" w:ascii="仿宋" w:hAnsi="仿宋" w:eastAsia="仿宋"/>
          <w:bCs/>
          <w:color w:val="000000"/>
          <w:sz w:val="32"/>
          <w:szCs w:val="32"/>
          <w:highlight w:val="none"/>
        </w:rPr>
        <w:t>负责</w:t>
      </w:r>
      <w:r>
        <w:rPr>
          <w:rFonts w:hint="eastAsia" w:ascii="仿宋" w:hAnsi="仿宋" w:eastAsia="仿宋"/>
          <w:bCs/>
          <w:color w:val="000000"/>
          <w:sz w:val="32"/>
          <w:szCs w:val="32"/>
          <w:highlight w:val="none"/>
          <w:lang w:eastAsia="zh-CN"/>
        </w:rPr>
        <w:t>辖区内老百姓</w:t>
      </w:r>
      <w:r>
        <w:rPr>
          <w:rFonts w:hint="eastAsia" w:ascii="仿宋" w:hAnsi="仿宋" w:eastAsia="仿宋"/>
          <w:bCs/>
          <w:color w:val="000000"/>
          <w:sz w:val="32"/>
          <w:szCs w:val="32"/>
          <w:highlight w:val="none"/>
        </w:rPr>
        <w:t>日常医疗诊疗救护工作</w:t>
      </w:r>
      <w:r>
        <w:rPr>
          <w:rFonts w:hint="eastAsia" w:ascii="仿宋" w:hAnsi="仿宋" w:eastAsia="仿宋"/>
          <w:bCs/>
          <w:color w:val="000000"/>
          <w:sz w:val="32"/>
          <w:szCs w:val="32"/>
          <w:highlight w:val="none"/>
          <w:lang w:eastAsia="zh-CN"/>
        </w:rPr>
        <w:t>，</w:t>
      </w:r>
      <w:r>
        <w:rPr>
          <w:rFonts w:hint="eastAsia" w:ascii="仿宋" w:hAnsi="仿宋" w:eastAsia="仿宋"/>
          <w:bCs/>
          <w:color w:val="000000"/>
          <w:sz w:val="32"/>
          <w:szCs w:val="32"/>
          <w:highlight w:val="none"/>
        </w:rPr>
        <w:t>开展常见病、急危重症、</w:t>
      </w:r>
      <w:r>
        <w:rPr>
          <w:rFonts w:hint="eastAsia" w:ascii="仿宋" w:hAnsi="仿宋" w:eastAsia="仿宋"/>
          <w:bCs/>
          <w:color w:val="000000"/>
          <w:sz w:val="32"/>
          <w:szCs w:val="32"/>
          <w:highlight w:val="none"/>
          <w:lang w:eastAsia="zh-CN"/>
        </w:rPr>
        <w:t>疑难杂症</w:t>
      </w:r>
      <w:r>
        <w:rPr>
          <w:rFonts w:hint="eastAsia" w:ascii="仿宋" w:hAnsi="仿宋" w:eastAsia="仿宋"/>
          <w:bCs/>
          <w:color w:val="000000"/>
          <w:sz w:val="32"/>
          <w:szCs w:val="32"/>
          <w:highlight w:val="none"/>
        </w:rPr>
        <w:t>的诊疗。</w:t>
      </w:r>
      <w:bookmarkEnd w:id="22"/>
      <w:bookmarkEnd w:id="23"/>
      <w:bookmarkEnd w:id="24"/>
    </w:p>
    <w:p w14:paraId="564E8429">
      <w:pPr>
        <w:pStyle w:val="5"/>
        <w:adjustRightInd w:val="0"/>
        <w:snapToGrid w:val="0"/>
        <w:spacing w:before="93" w:line="600" w:lineRule="exact"/>
        <w:ind w:firstLine="672" w:firstLineChars="210"/>
        <w:outlineLvl w:val="2"/>
        <w:rPr>
          <w:rFonts w:hint="eastAsia" w:ascii="仿宋" w:hAnsi="仿宋" w:eastAsia="仿宋"/>
          <w:bCs/>
          <w:color w:val="000000"/>
          <w:sz w:val="32"/>
          <w:szCs w:val="32"/>
          <w:highlight w:val="none"/>
          <w:lang w:eastAsia="zh-CN"/>
        </w:rPr>
      </w:pPr>
      <w:bookmarkStart w:id="25" w:name="_Toc7002"/>
      <w:bookmarkStart w:id="26" w:name="_Toc3874"/>
      <w:bookmarkStart w:id="27" w:name="_Toc30214"/>
      <w:r>
        <w:rPr>
          <w:rFonts w:hint="eastAsia" w:ascii="仿宋" w:hAnsi="仿宋" w:eastAsia="仿宋"/>
          <w:bCs/>
          <w:color w:val="000000"/>
          <w:sz w:val="32"/>
          <w:szCs w:val="32"/>
          <w:highlight w:val="none"/>
          <w:lang w:val="en-US" w:eastAsia="zh-CN"/>
        </w:rPr>
        <w:t>2、</w:t>
      </w:r>
      <w:r>
        <w:rPr>
          <w:rFonts w:hint="eastAsia" w:ascii="仿宋" w:hAnsi="仿宋" w:eastAsia="仿宋"/>
          <w:bCs/>
          <w:color w:val="000000"/>
          <w:sz w:val="32"/>
          <w:szCs w:val="32"/>
          <w:highlight w:val="none"/>
        </w:rPr>
        <w:t>预防保健</w:t>
      </w:r>
      <w:r>
        <w:rPr>
          <w:rFonts w:hint="eastAsia" w:ascii="仿宋" w:hAnsi="仿宋" w:eastAsia="仿宋"/>
          <w:bCs/>
          <w:color w:val="000000"/>
          <w:sz w:val="32"/>
          <w:szCs w:val="32"/>
          <w:highlight w:val="none"/>
          <w:lang w:eastAsia="zh-CN"/>
        </w:rPr>
        <w:t>：疾病预防、健康咨询和教育、预防保健及社区服务活动；</w:t>
      </w:r>
      <w:bookmarkEnd w:id="25"/>
      <w:bookmarkEnd w:id="26"/>
      <w:bookmarkEnd w:id="27"/>
    </w:p>
    <w:p w14:paraId="5136A973">
      <w:pPr>
        <w:pStyle w:val="5"/>
        <w:adjustRightInd w:val="0"/>
        <w:snapToGrid w:val="0"/>
        <w:spacing w:before="93" w:line="600" w:lineRule="exact"/>
        <w:ind w:firstLine="672" w:firstLineChars="210"/>
        <w:outlineLvl w:val="2"/>
        <w:rPr>
          <w:rFonts w:hint="eastAsia" w:ascii="仿宋" w:hAnsi="仿宋" w:eastAsia="仿宋"/>
          <w:bCs/>
          <w:color w:val="000000"/>
          <w:sz w:val="32"/>
          <w:szCs w:val="32"/>
          <w:highlight w:val="none"/>
        </w:rPr>
      </w:pPr>
      <w:bookmarkStart w:id="28" w:name="_Toc25613"/>
      <w:bookmarkStart w:id="29" w:name="_Toc14477"/>
      <w:bookmarkStart w:id="30" w:name="_Toc12551"/>
      <w:r>
        <w:rPr>
          <w:rFonts w:hint="eastAsia" w:ascii="仿宋" w:hAnsi="仿宋" w:eastAsia="仿宋"/>
          <w:bCs/>
          <w:color w:val="000000"/>
          <w:sz w:val="32"/>
          <w:szCs w:val="32"/>
          <w:highlight w:val="none"/>
          <w:lang w:val="en-US" w:eastAsia="zh-CN"/>
        </w:rPr>
        <w:t>3、</w:t>
      </w:r>
      <w:r>
        <w:rPr>
          <w:rFonts w:hint="eastAsia" w:ascii="仿宋" w:hAnsi="仿宋" w:eastAsia="仿宋"/>
          <w:bCs/>
          <w:color w:val="000000"/>
          <w:sz w:val="32"/>
          <w:szCs w:val="32"/>
          <w:highlight w:val="none"/>
        </w:rPr>
        <w:t>健康检查</w:t>
      </w:r>
      <w:r>
        <w:rPr>
          <w:rFonts w:hint="eastAsia" w:ascii="仿宋" w:hAnsi="仿宋" w:eastAsia="仿宋"/>
          <w:bCs/>
          <w:color w:val="000000"/>
          <w:sz w:val="32"/>
          <w:szCs w:val="32"/>
          <w:highlight w:val="none"/>
          <w:lang w:eastAsia="zh-CN"/>
        </w:rPr>
        <w:t>：</w:t>
      </w:r>
      <w:r>
        <w:rPr>
          <w:rFonts w:hint="eastAsia" w:ascii="仿宋" w:hAnsi="仿宋" w:eastAsia="仿宋"/>
          <w:bCs/>
          <w:color w:val="000000"/>
          <w:sz w:val="32"/>
          <w:szCs w:val="32"/>
          <w:highlight w:val="none"/>
        </w:rPr>
        <w:t>负责</w:t>
      </w:r>
      <w:r>
        <w:rPr>
          <w:rFonts w:hint="eastAsia" w:ascii="仿宋" w:hAnsi="仿宋" w:eastAsia="仿宋"/>
          <w:bCs/>
          <w:color w:val="000000"/>
          <w:sz w:val="32"/>
          <w:szCs w:val="32"/>
          <w:highlight w:val="none"/>
          <w:lang w:eastAsia="zh-CN"/>
        </w:rPr>
        <w:t>辖区内老百姓</w:t>
      </w:r>
      <w:r>
        <w:rPr>
          <w:rFonts w:hint="eastAsia" w:ascii="仿宋" w:hAnsi="仿宋" w:eastAsia="仿宋"/>
          <w:bCs/>
          <w:color w:val="000000"/>
          <w:sz w:val="32"/>
          <w:szCs w:val="32"/>
          <w:highlight w:val="none"/>
        </w:rPr>
        <w:t>日常健康体检及上级指定的</w:t>
      </w:r>
      <w:r>
        <w:rPr>
          <w:rFonts w:hint="eastAsia" w:ascii="仿宋" w:hAnsi="仿宋" w:eastAsia="仿宋"/>
          <w:bCs/>
          <w:color w:val="000000"/>
          <w:sz w:val="32"/>
          <w:szCs w:val="32"/>
          <w:highlight w:val="none"/>
          <w:lang w:eastAsia="zh-CN"/>
        </w:rPr>
        <w:t>地方病等</w:t>
      </w:r>
      <w:r>
        <w:rPr>
          <w:rFonts w:hint="eastAsia" w:ascii="仿宋" w:hAnsi="仿宋" w:eastAsia="仿宋"/>
          <w:bCs/>
          <w:color w:val="000000"/>
          <w:sz w:val="32"/>
          <w:szCs w:val="32"/>
          <w:highlight w:val="none"/>
        </w:rPr>
        <w:t>体检工作</w:t>
      </w:r>
      <w:r>
        <w:rPr>
          <w:rFonts w:hint="eastAsia" w:ascii="仿宋" w:hAnsi="仿宋" w:eastAsia="仿宋"/>
          <w:bCs/>
          <w:color w:val="000000"/>
          <w:sz w:val="32"/>
          <w:szCs w:val="32"/>
          <w:highlight w:val="none"/>
          <w:lang w:eastAsia="zh-CN"/>
        </w:rPr>
        <w:t>；</w:t>
      </w:r>
      <w:bookmarkEnd w:id="28"/>
      <w:bookmarkEnd w:id="29"/>
      <w:bookmarkEnd w:id="30"/>
    </w:p>
    <w:p w14:paraId="0E879211">
      <w:pPr>
        <w:pStyle w:val="5"/>
        <w:adjustRightInd w:val="0"/>
        <w:snapToGrid w:val="0"/>
        <w:spacing w:before="93" w:line="600" w:lineRule="exact"/>
        <w:ind w:firstLine="672" w:firstLineChars="210"/>
        <w:outlineLvl w:val="2"/>
        <w:rPr>
          <w:rFonts w:hint="eastAsia" w:ascii="仿宋" w:hAnsi="仿宋" w:eastAsia="仿宋"/>
          <w:bCs/>
          <w:color w:val="000000"/>
          <w:sz w:val="32"/>
          <w:szCs w:val="32"/>
          <w:highlight w:val="none"/>
        </w:rPr>
      </w:pPr>
      <w:bookmarkStart w:id="31" w:name="_Toc6318"/>
      <w:bookmarkStart w:id="32" w:name="_Toc26931"/>
      <w:bookmarkStart w:id="33" w:name="_Toc30348"/>
      <w:r>
        <w:rPr>
          <w:rFonts w:hint="eastAsia" w:ascii="仿宋" w:hAnsi="仿宋" w:eastAsia="仿宋"/>
          <w:bCs/>
          <w:color w:val="000000"/>
          <w:sz w:val="32"/>
          <w:szCs w:val="32"/>
          <w:highlight w:val="none"/>
          <w:lang w:val="en-US" w:eastAsia="zh-CN"/>
        </w:rPr>
        <w:t>4、</w:t>
      </w:r>
      <w:r>
        <w:rPr>
          <w:rFonts w:hint="eastAsia" w:ascii="仿宋" w:hAnsi="仿宋" w:eastAsia="仿宋"/>
          <w:bCs/>
          <w:color w:val="000000"/>
          <w:sz w:val="32"/>
          <w:szCs w:val="32"/>
          <w:highlight w:val="none"/>
        </w:rPr>
        <w:t>公共突发卫生事件应急</w:t>
      </w:r>
      <w:r>
        <w:rPr>
          <w:rFonts w:hint="eastAsia" w:ascii="仿宋" w:hAnsi="仿宋" w:eastAsia="仿宋"/>
          <w:bCs/>
          <w:color w:val="000000"/>
          <w:sz w:val="32"/>
          <w:szCs w:val="32"/>
          <w:highlight w:val="none"/>
          <w:lang w:eastAsia="zh-CN"/>
        </w:rPr>
        <w:t>：</w:t>
      </w:r>
      <w:r>
        <w:rPr>
          <w:rFonts w:hint="eastAsia" w:ascii="仿宋" w:hAnsi="仿宋" w:eastAsia="仿宋"/>
          <w:bCs/>
          <w:color w:val="000000"/>
          <w:sz w:val="32"/>
          <w:szCs w:val="32"/>
          <w:highlight w:val="none"/>
        </w:rPr>
        <w:t>参与全县范围内突发公共卫生事件的应急处理工作。</w:t>
      </w:r>
      <w:bookmarkEnd w:id="31"/>
      <w:bookmarkEnd w:id="32"/>
      <w:bookmarkEnd w:id="33"/>
    </w:p>
    <w:p w14:paraId="3A650C7A">
      <w:r>
        <w:rPr>
          <w:rFonts w:hint="eastAsia" w:ascii="仿宋" w:hAnsi="仿宋" w:eastAsia="仿宋"/>
          <w:bCs/>
          <w:color w:val="000000"/>
          <w:sz w:val="32"/>
          <w:szCs w:val="32"/>
          <w:highlight w:val="none"/>
          <w:lang w:val="en-US" w:eastAsia="zh-CN"/>
        </w:rPr>
        <w:t>5、</w:t>
      </w:r>
      <w:r>
        <w:rPr>
          <w:rFonts w:hint="eastAsia" w:ascii="仿宋" w:hAnsi="仿宋" w:eastAsia="仿宋"/>
          <w:bCs/>
          <w:color w:val="000000"/>
          <w:sz w:val="32"/>
          <w:szCs w:val="32"/>
          <w:highlight w:val="none"/>
        </w:rPr>
        <w:t>完成上级和业务主管部门交办</w:t>
      </w:r>
      <w:r>
        <w:rPr>
          <w:rFonts w:hint="eastAsia" w:ascii="仿宋" w:hAnsi="仿宋" w:eastAsia="仿宋"/>
          <w:bCs/>
          <w:color w:val="000000"/>
          <w:sz w:val="32"/>
          <w:szCs w:val="32"/>
          <w:highlight w:val="none"/>
          <w:lang w:eastAsia="zh-CN"/>
        </w:rPr>
        <w:t>的其他工作</w:t>
      </w:r>
      <w:r>
        <w:rPr>
          <w:rFonts w:hint="eastAsia" w:ascii="仿宋" w:hAnsi="仿宋" w:eastAsia="仿宋"/>
          <w:bCs/>
          <w:color w:val="000000"/>
          <w:sz w:val="32"/>
          <w:szCs w:val="32"/>
          <w:highlight w:val="none"/>
        </w:rPr>
        <w:t>。</w:t>
      </w:r>
    </w:p>
    <w:p w14:paraId="22B5425A">
      <w:pPr>
        <w:pStyle w:val="3"/>
        <w:rPr>
          <w:rFonts w:hint="eastAsia" w:ascii="黑体" w:hAnsi="黑体" w:eastAsia="黑体"/>
          <w:b w:val="0"/>
        </w:rPr>
      </w:pPr>
      <w:bookmarkStart w:id="34" w:name="_Toc30480"/>
      <w:r>
        <w:rPr>
          <w:rFonts w:hint="eastAsia" w:ascii="黑体" w:hAnsi="黑体" w:eastAsia="黑体"/>
          <w:b w:val="0"/>
        </w:rPr>
        <w:t>二、机构设置</w:t>
      </w:r>
      <w:bookmarkEnd w:id="34"/>
    </w:p>
    <w:p w14:paraId="0B26112A">
      <w:pPr>
        <w:ind w:firstLine="800" w:firstLineChars="250"/>
        <w:rPr>
          <w:rFonts w:hint="eastAsia" w:ascii="仿宋" w:hAnsi="仿宋" w:eastAsia="仿宋"/>
          <w:sz w:val="32"/>
          <w:szCs w:val="32"/>
          <w:lang w:eastAsia="zh-CN"/>
        </w:rPr>
      </w:pPr>
      <w:r>
        <w:rPr>
          <w:rFonts w:hint="eastAsia" w:ascii="仿宋" w:hAnsi="仿宋" w:eastAsia="仿宋"/>
          <w:sz w:val="32"/>
          <w:szCs w:val="32"/>
          <w:lang w:val="en-US" w:eastAsia="zh-CN"/>
        </w:rPr>
        <w:t>松潘县川主寺镇卫生院下属二级单位0个，</w:t>
      </w:r>
      <w:r>
        <w:rPr>
          <w:rFonts w:hint="eastAsia" w:ascii="仿宋" w:hAnsi="仿宋" w:eastAsia="仿宋"/>
          <w:sz w:val="32"/>
          <w:szCs w:val="32"/>
        </w:rPr>
        <w:t>属其他事业单位</w:t>
      </w:r>
      <w:r>
        <w:rPr>
          <w:rFonts w:hint="eastAsia" w:ascii="仿宋" w:hAnsi="仿宋" w:eastAsia="仿宋"/>
          <w:sz w:val="32"/>
          <w:szCs w:val="32"/>
          <w:lang w:eastAsia="zh-CN"/>
        </w:rPr>
        <w:t>。</w:t>
      </w:r>
    </w:p>
    <w:p w14:paraId="0BB77D10"/>
    <w:bookmarkEnd w:id="20"/>
    <w:bookmarkEnd w:id="21"/>
    <w:p w14:paraId="08C060F5">
      <w:pPr>
        <w:widowControl/>
        <w:jc w:val="left"/>
        <w:rPr>
          <w:rFonts w:ascii="仿宋" w:hAnsi="仿宋" w:eastAsia="仿宋"/>
          <w:kern w:val="0"/>
          <w:sz w:val="32"/>
          <w:szCs w:val="32"/>
        </w:rPr>
      </w:pPr>
      <w:r>
        <w:rPr>
          <w:rFonts w:ascii="仿宋" w:hAnsi="仿宋" w:eastAsia="仿宋"/>
          <w:sz w:val="32"/>
          <w:szCs w:val="32"/>
        </w:rPr>
        <w:br w:type="page"/>
      </w:r>
    </w:p>
    <w:p w14:paraId="1901F098">
      <w:pPr>
        <w:pStyle w:val="2"/>
        <w:ind w:right="440"/>
        <w:jc w:val="both"/>
        <w:rPr>
          <w:rStyle w:val="28"/>
          <w:rFonts w:ascii="黑体" w:hAnsi="黑体" w:eastAsia="黑体"/>
          <w:b w:val="0"/>
          <w:bCs/>
        </w:rPr>
      </w:pPr>
      <w:bookmarkStart w:id="35" w:name="_Toc19007"/>
      <w:bookmarkStart w:id="36" w:name="_Toc15396602"/>
      <w:bookmarkStart w:id="37" w:name="_Toc15377204"/>
      <w:r>
        <w:rPr>
          <w:rFonts w:hint="eastAsia" w:ascii="黑体" w:hAnsi="黑体" w:eastAsia="黑体"/>
          <w:b w:val="0"/>
        </w:rPr>
        <w:t>第二部分 2023年度</w:t>
      </w:r>
      <w:r>
        <w:rPr>
          <w:rStyle w:val="28"/>
          <w:rFonts w:hint="eastAsia" w:ascii="黑体" w:hAnsi="黑体" w:eastAsia="黑体"/>
          <w:b w:val="0"/>
          <w:bCs/>
        </w:rPr>
        <w:t>单位决算情况说明</w:t>
      </w:r>
      <w:bookmarkEnd w:id="35"/>
      <w:bookmarkEnd w:id="36"/>
      <w:bookmarkEnd w:id="37"/>
    </w:p>
    <w:p w14:paraId="49553B16"/>
    <w:p w14:paraId="4230167F">
      <w:pPr>
        <w:pStyle w:val="27"/>
        <w:numPr>
          <w:ilvl w:val="0"/>
          <w:numId w:val="2"/>
        </w:numPr>
        <w:spacing w:line="600" w:lineRule="exact"/>
        <w:ind w:firstLineChars="0"/>
        <w:outlineLvl w:val="1"/>
        <w:rPr>
          <w:rStyle w:val="29"/>
          <w:rFonts w:ascii="黑体" w:hAnsi="黑体" w:eastAsia="黑体"/>
          <w:b w:val="0"/>
        </w:rPr>
      </w:pPr>
      <w:bookmarkStart w:id="38" w:name="_Toc15022"/>
      <w:bookmarkStart w:id="39" w:name="_Toc15396603"/>
      <w:bookmarkStart w:id="40" w:name="_Toc15377205"/>
      <w:r>
        <w:rPr>
          <w:rFonts w:hint="eastAsia" w:ascii="黑体" w:hAnsi="黑体" w:eastAsia="黑体"/>
          <w:sz w:val="32"/>
          <w:szCs w:val="32"/>
        </w:rPr>
        <w:t>收</w:t>
      </w:r>
      <w:r>
        <w:rPr>
          <w:rStyle w:val="29"/>
          <w:rFonts w:hint="eastAsia" w:ascii="黑体" w:hAnsi="黑体" w:eastAsia="黑体"/>
          <w:b w:val="0"/>
        </w:rPr>
        <w:t>入支出决算总体情况说明</w:t>
      </w:r>
      <w:bookmarkEnd w:id="38"/>
      <w:bookmarkEnd w:id="39"/>
      <w:bookmarkEnd w:id="40"/>
    </w:p>
    <w:p w14:paraId="686C8C76">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2023年度收、支总计均为</w:t>
      </w:r>
      <w:r>
        <w:rPr>
          <w:rFonts w:hint="eastAsia" w:ascii="仿宋" w:hAnsi="仿宋" w:eastAsia="仿宋"/>
          <w:b/>
          <w:sz w:val="32"/>
          <w:szCs w:val="32"/>
        </w:rPr>
        <w:t>578.38</w:t>
      </w:r>
      <w:r>
        <w:rPr>
          <w:rFonts w:hint="eastAsia" w:ascii="仿宋" w:hAnsi="仿宋" w:eastAsia="仿宋"/>
          <w:sz w:val="32"/>
          <w:szCs w:val="32"/>
        </w:rPr>
        <w:t>万元。与2022年度相比，收、支总计各增加</w:t>
      </w:r>
      <w:r>
        <w:rPr>
          <w:rFonts w:hint="eastAsia" w:ascii="仿宋" w:hAnsi="仿宋" w:eastAsia="仿宋"/>
          <w:sz w:val="32"/>
          <w:szCs w:val="32"/>
          <w:lang w:val="en-US" w:eastAsia="zh-CN"/>
        </w:rPr>
        <w:t>111.6</w:t>
      </w:r>
      <w:r>
        <w:rPr>
          <w:rFonts w:hint="eastAsia" w:ascii="仿宋" w:hAnsi="仿宋" w:eastAsia="仿宋"/>
          <w:sz w:val="32"/>
          <w:szCs w:val="32"/>
        </w:rPr>
        <w:t>万元，增长</w:t>
      </w:r>
      <w:r>
        <w:rPr>
          <w:rFonts w:hint="eastAsia" w:ascii="仿宋" w:hAnsi="仿宋" w:eastAsia="仿宋"/>
          <w:sz w:val="32"/>
          <w:szCs w:val="32"/>
          <w:lang w:val="en-US" w:eastAsia="zh-CN"/>
        </w:rPr>
        <w:t>23.91</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人员经费增加</w:t>
      </w:r>
      <w:r>
        <w:rPr>
          <w:rFonts w:hint="eastAsia" w:ascii="仿宋" w:hAnsi="仿宋" w:eastAsia="仿宋"/>
          <w:sz w:val="32"/>
          <w:szCs w:val="32"/>
        </w:rPr>
        <w:t>。</w:t>
      </w:r>
    </w:p>
    <w:p w14:paraId="6898442C">
      <w:pPr>
        <w:spacing w:line="600" w:lineRule="exact"/>
        <w:ind w:firstLine="420" w:firstLineChars="200"/>
        <w:rPr>
          <w:rFonts w:hint="eastAsia" w:ascii="仿宋" w:hAnsi="仿宋" w:eastAsia="仿宋"/>
          <w:sz w:val="32"/>
          <w:szCs w:val="32"/>
        </w:rPr>
      </w:pPr>
      <w:r>
        <w:drawing>
          <wp:anchor distT="0" distB="0" distL="114300" distR="114300" simplePos="0" relativeHeight="251659264" behindDoc="0" locked="0" layoutInCell="1" allowOverlap="1">
            <wp:simplePos x="0" y="0"/>
            <wp:positionH relativeFrom="column">
              <wp:posOffset>204470</wp:posOffset>
            </wp:positionH>
            <wp:positionV relativeFrom="paragraph">
              <wp:posOffset>280670</wp:posOffset>
            </wp:positionV>
            <wp:extent cx="4872990" cy="3562985"/>
            <wp:effectExtent l="4445" t="4445" r="18415" b="13970"/>
            <wp:wrapNone/>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14:paraId="726D28D7">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3E763904">
      <w:pPr>
        <w:spacing w:line="600" w:lineRule="exact"/>
        <w:ind w:firstLine="640" w:firstLineChars="200"/>
        <w:rPr>
          <w:rFonts w:hint="eastAsia" w:ascii="仿宋" w:hAnsi="仿宋" w:eastAsia="仿宋"/>
          <w:sz w:val="32"/>
          <w:szCs w:val="32"/>
        </w:rPr>
      </w:pPr>
    </w:p>
    <w:p w14:paraId="28BCCBF2">
      <w:pPr>
        <w:spacing w:line="600" w:lineRule="exact"/>
        <w:ind w:firstLine="640" w:firstLineChars="200"/>
        <w:jc w:val="left"/>
        <w:rPr>
          <w:rFonts w:ascii="仿宋_GB2312" w:eastAsia="仿宋_GB2312"/>
          <w:sz w:val="32"/>
          <w:szCs w:val="32"/>
        </w:rPr>
      </w:pPr>
    </w:p>
    <w:p w14:paraId="6F699085">
      <w:pPr>
        <w:spacing w:line="600" w:lineRule="exact"/>
        <w:ind w:firstLine="640" w:firstLineChars="200"/>
        <w:jc w:val="left"/>
        <w:rPr>
          <w:rFonts w:ascii="仿宋_GB2312" w:eastAsia="仿宋_GB2312"/>
          <w:sz w:val="32"/>
          <w:szCs w:val="32"/>
        </w:rPr>
      </w:pPr>
    </w:p>
    <w:p w14:paraId="0EFCA53D">
      <w:pPr>
        <w:spacing w:line="600" w:lineRule="exact"/>
        <w:ind w:firstLine="640" w:firstLineChars="200"/>
        <w:jc w:val="left"/>
        <w:rPr>
          <w:rFonts w:ascii="仿宋_GB2312" w:eastAsia="仿宋_GB2312"/>
          <w:sz w:val="32"/>
          <w:szCs w:val="32"/>
        </w:rPr>
      </w:pPr>
    </w:p>
    <w:p w14:paraId="13E05A14">
      <w:pPr>
        <w:spacing w:line="600" w:lineRule="exact"/>
        <w:ind w:firstLine="640" w:firstLineChars="200"/>
        <w:jc w:val="left"/>
        <w:rPr>
          <w:rFonts w:ascii="仿宋_GB2312" w:eastAsia="仿宋_GB2312"/>
          <w:sz w:val="32"/>
          <w:szCs w:val="32"/>
        </w:rPr>
      </w:pPr>
    </w:p>
    <w:p w14:paraId="636A419E">
      <w:pPr>
        <w:spacing w:line="600" w:lineRule="exact"/>
        <w:ind w:firstLine="640" w:firstLineChars="200"/>
        <w:jc w:val="left"/>
        <w:rPr>
          <w:rFonts w:ascii="仿宋_GB2312" w:eastAsia="仿宋_GB2312"/>
          <w:sz w:val="32"/>
          <w:szCs w:val="32"/>
        </w:rPr>
      </w:pPr>
    </w:p>
    <w:p w14:paraId="5783D5B6">
      <w:pPr>
        <w:spacing w:line="600" w:lineRule="exact"/>
        <w:ind w:firstLine="640" w:firstLineChars="200"/>
        <w:jc w:val="left"/>
        <w:rPr>
          <w:rFonts w:ascii="仿宋_GB2312" w:eastAsia="仿宋_GB2312"/>
          <w:sz w:val="32"/>
          <w:szCs w:val="32"/>
        </w:rPr>
      </w:pPr>
    </w:p>
    <w:p w14:paraId="128A3208">
      <w:pPr>
        <w:spacing w:line="600" w:lineRule="exact"/>
        <w:ind w:firstLine="640" w:firstLineChars="200"/>
        <w:jc w:val="left"/>
        <w:rPr>
          <w:rFonts w:ascii="仿宋_GB2312" w:eastAsia="仿宋_GB2312"/>
          <w:sz w:val="32"/>
          <w:szCs w:val="32"/>
        </w:rPr>
      </w:pPr>
    </w:p>
    <w:p w14:paraId="034A41F7">
      <w:pPr>
        <w:pStyle w:val="27"/>
        <w:numPr>
          <w:ilvl w:val="0"/>
          <w:numId w:val="2"/>
        </w:numPr>
        <w:spacing w:line="600" w:lineRule="exact"/>
        <w:ind w:firstLineChars="0"/>
        <w:outlineLvl w:val="1"/>
        <w:rPr>
          <w:rStyle w:val="29"/>
          <w:rFonts w:ascii="黑体" w:hAnsi="黑体" w:eastAsia="黑体"/>
          <w:b w:val="0"/>
        </w:rPr>
      </w:pPr>
      <w:bookmarkStart w:id="41" w:name="_Toc15377206"/>
      <w:bookmarkStart w:id="42" w:name="_Toc13023"/>
      <w:bookmarkStart w:id="43" w:name="_Toc15396604"/>
      <w:r>
        <w:rPr>
          <w:rFonts w:hint="eastAsia" w:ascii="黑体" w:hAnsi="黑体" w:eastAsia="黑体"/>
          <w:sz w:val="32"/>
          <w:szCs w:val="32"/>
        </w:rPr>
        <w:t>收</w:t>
      </w:r>
      <w:r>
        <w:rPr>
          <w:rStyle w:val="29"/>
          <w:rFonts w:hint="eastAsia" w:ascii="黑体" w:hAnsi="黑体" w:eastAsia="黑体"/>
          <w:b w:val="0"/>
        </w:rPr>
        <w:t>入决算情况说明</w:t>
      </w:r>
      <w:bookmarkEnd w:id="41"/>
      <w:bookmarkEnd w:id="42"/>
      <w:bookmarkEnd w:id="43"/>
    </w:p>
    <w:p w14:paraId="1B7EB8A1">
      <w:pPr>
        <w:spacing w:line="600" w:lineRule="exact"/>
        <w:ind w:firstLine="640" w:firstLineChars="200"/>
        <w:outlineLvl w:val="1"/>
        <w:rPr>
          <w:rFonts w:ascii="仿宋" w:hAnsi="仿宋" w:eastAsia="仿宋"/>
          <w:sz w:val="32"/>
          <w:szCs w:val="32"/>
        </w:rPr>
      </w:pPr>
      <w:bookmarkStart w:id="44" w:name="_Toc5509"/>
      <w:bookmarkStart w:id="45" w:name="_Toc29884"/>
      <w:bookmarkStart w:id="46" w:name="_Toc6015"/>
      <w:r>
        <w:rPr>
          <w:rFonts w:hint="eastAsia" w:ascii="仿宋" w:hAnsi="仿宋" w:eastAsia="仿宋"/>
          <w:sz w:val="32"/>
          <w:szCs w:val="32"/>
        </w:rPr>
        <w:t>2023年度本年收入合计</w:t>
      </w:r>
      <w:r>
        <w:rPr>
          <w:rFonts w:ascii="仿宋" w:hAnsi="仿宋" w:eastAsia="仿宋"/>
          <w:b/>
          <w:sz w:val="32"/>
          <w:szCs w:val="32"/>
        </w:rPr>
        <w:t>578.38</w:t>
      </w:r>
      <w:r>
        <w:rPr>
          <w:rFonts w:hint="eastAsia" w:ascii="仿宋" w:hAnsi="仿宋" w:eastAsia="仿宋"/>
          <w:sz w:val="32"/>
          <w:szCs w:val="32"/>
        </w:rPr>
        <w:t>万元，其中：一般公共预算财政拨款收入</w:t>
      </w:r>
      <w:r>
        <w:rPr>
          <w:rFonts w:ascii="仿宋" w:hAnsi="仿宋" w:eastAsia="仿宋"/>
          <w:b/>
          <w:sz w:val="32"/>
          <w:szCs w:val="32"/>
        </w:rPr>
        <w:t>578.38</w:t>
      </w:r>
      <w:r>
        <w:rPr>
          <w:rFonts w:hint="eastAsia" w:ascii="仿宋" w:hAnsi="仿宋" w:eastAsia="仿宋"/>
          <w:sz w:val="32"/>
          <w:szCs w:val="32"/>
        </w:rPr>
        <w:t>万元，占</w:t>
      </w:r>
      <w:r>
        <w:rPr>
          <w:rFonts w:ascii="仿宋" w:hAnsi="仿宋" w:eastAsia="仿宋"/>
          <w:b/>
          <w:sz w:val="32"/>
          <w:szCs w:val="32"/>
        </w:rPr>
        <w:t>100%</w:t>
      </w:r>
      <w:r>
        <w:rPr>
          <w:rFonts w:hint="eastAsia" w:ascii="仿宋" w:hAnsi="仿宋" w:eastAsia="仿宋"/>
          <w:sz w:val="32"/>
          <w:szCs w:val="32"/>
        </w:rPr>
        <w:t>；政府性基金预算财政拨款收入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；上级补助收入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；事业收入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；附属单位上缴收入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bookmarkEnd w:id="44"/>
      <w:bookmarkEnd w:id="45"/>
      <w:bookmarkEnd w:id="46"/>
    </w:p>
    <w:p w14:paraId="6F463680">
      <w:pPr>
        <w:spacing w:line="600" w:lineRule="exact"/>
        <w:ind w:firstLine="643" w:firstLineChars="200"/>
        <w:outlineLvl w:val="1"/>
        <w:rPr>
          <w:rFonts w:ascii="仿宋" w:hAnsi="仿宋" w:eastAsia="仿宋"/>
          <w:b/>
          <w:sz w:val="32"/>
          <w:szCs w:val="32"/>
        </w:rPr>
      </w:pPr>
      <w:bookmarkStart w:id="47" w:name="_Toc11350"/>
      <w:bookmarkStart w:id="48" w:name="_Toc31117"/>
      <w:bookmarkStart w:id="49" w:name="_Toc17652"/>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，仅罗列本单位涉及的收入。</w:t>
      </w:r>
      <w:r>
        <w:rPr>
          <w:rFonts w:ascii="仿宋" w:hAnsi="仿宋" w:eastAsia="仿宋"/>
          <w:b/>
          <w:sz w:val="32"/>
          <w:szCs w:val="32"/>
        </w:rPr>
        <w:t>）</w:t>
      </w:r>
      <w:bookmarkEnd w:id="47"/>
      <w:bookmarkEnd w:id="48"/>
      <w:bookmarkEnd w:id="49"/>
    </w:p>
    <w:p w14:paraId="2CC36044">
      <w:pPr>
        <w:spacing w:line="600" w:lineRule="exact"/>
        <w:ind w:firstLine="640" w:firstLineChars="200"/>
        <w:outlineLvl w:val="1"/>
        <w:rPr>
          <w:rFonts w:ascii="仿宋" w:hAnsi="仿宋" w:eastAsia="仿宋"/>
          <w:sz w:val="32"/>
          <w:szCs w:val="32"/>
        </w:rPr>
      </w:pPr>
    </w:p>
    <w:p w14:paraId="750D7069">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（图2：收入决算结构图）（饼状图）</w:t>
      </w:r>
    </w:p>
    <w:p w14:paraId="1138F81A">
      <w:pPr>
        <w:spacing w:line="600" w:lineRule="exact"/>
        <w:ind w:firstLine="420" w:firstLineChars="200"/>
        <w:rPr>
          <w:rFonts w:hint="eastAsia" w:ascii="仿宋" w:hAnsi="仿宋" w:eastAsia="仿宋"/>
          <w:sz w:val="32"/>
          <w:szCs w:val="32"/>
        </w:rPr>
      </w:pPr>
      <w:r>
        <w:drawing>
          <wp:anchor distT="0" distB="0" distL="114300" distR="114300" simplePos="0" relativeHeight="251660288" behindDoc="0" locked="0" layoutInCell="1" allowOverlap="1">
            <wp:simplePos x="0" y="0"/>
            <wp:positionH relativeFrom="column">
              <wp:posOffset>175895</wp:posOffset>
            </wp:positionH>
            <wp:positionV relativeFrom="paragraph">
              <wp:posOffset>147320</wp:posOffset>
            </wp:positionV>
            <wp:extent cx="4910455" cy="3027045"/>
            <wp:effectExtent l="4445" t="4445" r="19050" b="16510"/>
            <wp:wrapNone/>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14:paraId="21FE8E01">
      <w:pPr>
        <w:spacing w:line="600" w:lineRule="exact"/>
        <w:ind w:firstLine="640" w:firstLineChars="200"/>
        <w:rPr>
          <w:rFonts w:hint="eastAsia" w:ascii="仿宋" w:hAnsi="仿宋" w:eastAsia="仿宋"/>
          <w:sz w:val="32"/>
          <w:szCs w:val="32"/>
        </w:rPr>
      </w:pPr>
    </w:p>
    <w:p w14:paraId="168651B0">
      <w:pPr>
        <w:spacing w:line="600" w:lineRule="exact"/>
        <w:ind w:firstLine="640" w:firstLineChars="200"/>
        <w:rPr>
          <w:rFonts w:hint="eastAsia" w:ascii="仿宋" w:hAnsi="仿宋" w:eastAsia="仿宋"/>
          <w:sz w:val="32"/>
          <w:szCs w:val="32"/>
        </w:rPr>
      </w:pPr>
    </w:p>
    <w:p w14:paraId="6983E39D">
      <w:pPr>
        <w:spacing w:line="600" w:lineRule="exact"/>
        <w:ind w:firstLine="640" w:firstLineChars="200"/>
        <w:rPr>
          <w:rFonts w:hint="eastAsia" w:ascii="仿宋" w:hAnsi="仿宋" w:eastAsia="仿宋"/>
          <w:sz w:val="32"/>
          <w:szCs w:val="32"/>
        </w:rPr>
      </w:pPr>
    </w:p>
    <w:p w14:paraId="50EE714A">
      <w:pPr>
        <w:spacing w:line="600" w:lineRule="exact"/>
        <w:ind w:firstLine="640" w:firstLineChars="200"/>
        <w:rPr>
          <w:rFonts w:hint="eastAsia" w:ascii="仿宋" w:hAnsi="仿宋" w:eastAsia="仿宋"/>
          <w:sz w:val="32"/>
          <w:szCs w:val="32"/>
        </w:rPr>
      </w:pPr>
    </w:p>
    <w:p w14:paraId="00BAE899">
      <w:pPr>
        <w:spacing w:line="600" w:lineRule="exact"/>
        <w:ind w:firstLine="640" w:firstLineChars="200"/>
        <w:rPr>
          <w:rFonts w:hint="eastAsia" w:ascii="仿宋" w:hAnsi="仿宋" w:eastAsia="仿宋"/>
          <w:sz w:val="32"/>
          <w:szCs w:val="32"/>
        </w:rPr>
      </w:pPr>
    </w:p>
    <w:p w14:paraId="626BC0FC">
      <w:pPr>
        <w:spacing w:line="600" w:lineRule="exact"/>
        <w:ind w:firstLine="640" w:firstLineChars="200"/>
        <w:rPr>
          <w:rFonts w:hint="eastAsia" w:ascii="仿宋" w:hAnsi="仿宋" w:eastAsia="仿宋"/>
          <w:sz w:val="32"/>
          <w:szCs w:val="32"/>
        </w:rPr>
      </w:pPr>
    </w:p>
    <w:p w14:paraId="1DA4DE59">
      <w:pPr>
        <w:spacing w:line="600" w:lineRule="exact"/>
        <w:ind w:firstLine="640" w:firstLineChars="200"/>
        <w:rPr>
          <w:rFonts w:ascii="仿宋_GB2312" w:eastAsia="仿宋_GB2312"/>
          <w:sz w:val="32"/>
          <w:szCs w:val="32"/>
        </w:rPr>
      </w:pPr>
    </w:p>
    <w:p w14:paraId="0AF04613">
      <w:pPr>
        <w:spacing w:line="600" w:lineRule="exact"/>
        <w:ind w:firstLine="640" w:firstLineChars="200"/>
        <w:rPr>
          <w:rFonts w:ascii="仿宋_GB2312" w:eastAsia="仿宋_GB2312"/>
          <w:sz w:val="32"/>
          <w:szCs w:val="32"/>
        </w:rPr>
      </w:pPr>
    </w:p>
    <w:p w14:paraId="6B83C8D3">
      <w:pPr>
        <w:pStyle w:val="27"/>
        <w:numPr>
          <w:ilvl w:val="0"/>
          <w:numId w:val="2"/>
        </w:numPr>
        <w:spacing w:line="600" w:lineRule="exact"/>
        <w:ind w:firstLineChars="0"/>
        <w:outlineLvl w:val="1"/>
        <w:rPr>
          <w:rStyle w:val="29"/>
          <w:rFonts w:ascii="黑体" w:hAnsi="黑体" w:eastAsia="黑体"/>
          <w:b w:val="0"/>
        </w:rPr>
      </w:pPr>
      <w:bookmarkStart w:id="50" w:name="_Toc8650"/>
      <w:bookmarkStart w:id="51" w:name="_Toc15377207"/>
      <w:bookmarkStart w:id="52" w:name="_Toc15396605"/>
      <w:r>
        <w:rPr>
          <w:rFonts w:hint="eastAsia" w:ascii="黑体" w:hAnsi="黑体" w:eastAsia="黑体"/>
          <w:sz w:val="32"/>
          <w:szCs w:val="32"/>
        </w:rPr>
        <w:t>支</w:t>
      </w:r>
      <w:r>
        <w:rPr>
          <w:rStyle w:val="29"/>
          <w:rFonts w:hint="eastAsia" w:ascii="黑体" w:hAnsi="黑体" w:eastAsia="黑体"/>
          <w:b w:val="0"/>
        </w:rPr>
        <w:t>出决算情况说明</w:t>
      </w:r>
      <w:bookmarkEnd w:id="50"/>
      <w:bookmarkEnd w:id="51"/>
      <w:bookmarkEnd w:id="52"/>
    </w:p>
    <w:p w14:paraId="36EFDC0C">
      <w:pPr>
        <w:spacing w:line="600" w:lineRule="exact"/>
        <w:ind w:firstLine="640" w:firstLineChars="200"/>
        <w:outlineLvl w:val="1"/>
        <w:rPr>
          <w:rFonts w:ascii="仿宋" w:hAnsi="仿宋" w:eastAsia="仿宋"/>
          <w:sz w:val="32"/>
          <w:szCs w:val="32"/>
        </w:rPr>
      </w:pPr>
      <w:bookmarkStart w:id="53" w:name="_Toc22003"/>
      <w:bookmarkStart w:id="54" w:name="_Toc13852"/>
      <w:bookmarkStart w:id="55" w:name="_Toc6192"/>
      <w:r>
        <w:rPr>
          <w:rFonts w:hint="eastAsia" w:ascii="仿宋" w:hAnsi="仿宋" w:eastAsia="仿宋"/>
          <w:sz w:val="32"/>
          <w:szCs w:val="32"/>
        </w:rPr>
        <w:t>2023年度本年支出合计</w:t>
      </w:r>
      <w:r>
        <w:rPr>
          <w:rFonts w:ascii="仿宋" w:hAnsi="仿宋" w:eastAsia="仿宋"/>
          <w:b/>
          <w:sz w:val="32"/>
          <w:szCs w:val="32"/>
        </w:rPr>
        <w:t>578.38</w:t>
      </w:r>
      <w:r>
        <w:rPr>
          <w:rFonts w:hint="eastAsia" w:ascii="仿宋" w:hAnsi="仿宋" w:eastAsia="仿宋"/>
          <w:sz w:val="32"/>
          <w:szCs w:val="32"/>
        </w:rPr>
        <w:t>万元，其中：基本支出</w:t>
      </w:r>
      <w:r>
        <w:rPr>
          <w:rFonts w:ascii="仿宋" w:hAnsi="仿宋" w:eastAsia="仿宋"/>
          <w:b/>
          <w:sz w:val="32"/>
          <w:szCs w:val="32"/>
        </w:rPr>
        <w:t>488.62</w:t>
      </w:r>
      <w:r>
        <w:rPr>
          <w:rFonts w:hint="eastAsia" w:ascii="仿宋" w:hAnsi="仿宋" w:eastAsia="仿宋"/>
          <w:sz w:val="32"/>
          <w:szCs w:val="32"/>
        </w:rPr>
        <w:t>万元，占</w:t>
      </w:r>
      <w:r>
        <w:rPr>
          <w:rFonts w:ascii="仿宋" w:hAnsi="仿宋" w:eastAsia="仿宋"/>
          <w:b/>
          <w:sz w:val="32"/>
          <w:szCs w:val="32"/>
        </w:rPr>
        <w:t>84.48</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89.76</w:t>
      </w:r>
      <w:r>
        <w:rPr>
          <w:rFonts w:hint="eastAsia" w:ascii="仿宋" w:hAnsi="仿宋" w:eastAsia="仿宋"/>
          <w:sz w:val="32"/>
          <w:szCs w:val="32"/>
        </w:rPr>
        <w:t>万元，占</w:t>
      </w:r>
      <w:r>
        <w:rPr>
          <w:rFonts w:ascii="仿宋" w:hAnsi="仿宋" w:eastAsia="仿宋"/>
          <w:b/>
          <w:sz w:val="32"/>
          <w:szCs w:val="32"/>
        </w:rPr>
        <w:t>15.51</w:t>
      </w:r>
      <w:r>
        <w:rPr>
          <w:rFonts w:ascii="仿宋" w:hAnsi="仿宋" w:eastAsia="仿宋"/>
          <w:sz w:val="32"/>
          <w:szCs w:val="32"/>
        </w:rPr>
        <w:t>%</w:t>
      </w:r>
      <w:r>
        <w:rPr>
          <w:rFonts w:hint="eastAsia" w:ascii="仿宋" w:hAnsi="仿宋" w:eastAsia="仿宋"/>
          <w:sz w:val="32"/>
          <w:szCs w:val="32"/>
        </w:rPr>
        <w:t>；上缴上级支出</w:t>
      </w:r>
      <w:r>
        <w:rPr>
          <w:rFonts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；对附属单位补助支出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bookmarkEnd w:id="53"/>
      <w:bookmarkEnd w:id="54"/>
      <w:bookmarkEnd w:id="55"/>
    </w:p>
    <w:p w14:paraId="4F05108E">
      <w:pPr>
        <w:spacing w:line="600" w:lineRule="exact"/>
        <w:ind w:firstLine="643" w:firstLineChars="200"/>
        <w:outlineLvl w:val="1"/>
        <w:rPr>
          <w:rFonts w:ascii="仿宋" w:hAnsi="仿宋" w:eastAsia="仿宋"/>
          <w:b/>
          <w:sz w:val="32"/>
          <w:szCs w:val="32"/>
        </w:rPr>
      </w:pPr>
      <w:bookmarkStart w:id="56" w:name="_Toc11280"/>
      <w:bookmarkStart w:id="57" w:name="_Toc10583"/>
      <w:bookmarkStart w:id="58" w:name="_Toc25210"/>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表，仅罗列本单位涉及的支出。）</w:t>
      </w:r>
      <w:bookmarkEnd w:id="56"/>
      <w:bookmarkEnd w:id="57"/>
      <w:bookmarkEnd w:id="58"/>
    </w:p>
    <w:p w14:paraId="277806EB">
      <w:pPr>
        <w:spacing w:line="600" w:lineRule="exact"/>
        <w:ind w:firstLine="640"/>
        <w:rPr>
          <w:rFonts w:ascii="仿宋" w:hAnsi="仿宋" w:eastAsia="仿宋"/>
          <w:sz w:val="32"/>
          <w:szCs w:val="32"/>
          <w:shd w:val="pct10" w:color="auto" w:fill="FFFFFF"/>
        </w:rPr>
      </w:pPr>
    </w:p>
    <w:p w14:paraId="4237886D">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（图3：支出决算结构图）（饼状图）</w:t>
      </w:r>
    </w:p>
    <w:p w14:paraId="0EB37FE8">
      <w:pPr>
        <w:spacing w:line="600" w:lineRule="exact"/>
        <w:ind w:firstLine="420" w:firstLineChars="200"/>
        <w:rPr>
          <w:rFonts w:hint="eastAsia" w:ascii="仿宋" w:hAnsi="仿宋" w:eastAsia="仿宋"/>
          <w:sz w:val="32"/>
          <w:szCs w:val="32"/>
        </w:rPr>
      </w:pPr>
      <w:r>
        <w:drawing>
          <wp:anchor distT="0" distB="0" distL="114300" distR="114300" simplePos="0" relativeHeight="251661312" behindDoc="0" locked="0" layoutInCell="1" allowOverlap="1">
            <wp:simplePos x="0" y="0"/>
            <wp:positionH relativeFrom="column">
              <wp:posOffset>175895</wp:posOffset>
            </wp:positionH>
            <wp:positionV relativeFrom="paragraph">
              <wp:posOffset>-262255</wp:posOffset>
            </wp:positionV>
            <wp:extent cx="4901565" cy="3268345"/>
            <wp:effectExtent l="4445" t="4445" r="8890" b="22860"/>
            <wp:wrapNone/>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14:paraId="121A4A74">
      <w:pPr>
        <w:spacing w:line="600" w:lineRule="exact"/>
        <w:ind w:firstLine="640" w:firstLineChars="200"/>
        <w:rPr>
          <w:rFonts w:hint="eastAsia" w:ascii="仿宋" w:hAnsi="仿宋" w:eastAsia="仿宋"/>
          <w:sz w:val="32"/>
          <w:szCs w:val="32"/>
        </w:rPr>
      </w:pPr>
    </w:p>
    <w:p w14:paraId="7D0CF494">
      <w:pPr>
        <w:spacing w:line="600" w:lineRule="exact"/>
        <w:ind w:firstLine="640" w:firstLineChars="200"/>
        <w:rPr>
          <w:rFonts w:hint="eastAsia" w:ascii="仿宋" w:hAnsi="仿宋" w:eastAsia="仿宋"/>
          <w:sz w:val="32"/>
          <w:szCs w:val="32"/>
        </w:rPr>
      </w:pPr>
    </w:p>
    <w:p w14:paraId="59A53433">
      <w:pPr>
        <w:spacing w:line="600" w:lineRule="exact"/>
        <w:ind w:firstLine="640" w:firstLineChars="200"/>
        <w:rPr>
          <w:rFonts w:hint="eastAsia" w:ascii="仿宋" w:hAnsi="仿宋" w:eastAsia="仿宋"/>
          <w:sz w:val="32"/>
          <w:szCs w:val="32"/>
        </w:rPr>
      </w:pPr>
    </w:p>
    <w:p w14:paraId="52B65619">
      <w:pPr>
        <w:spacing w:line="600" w:lineRule="exact"/>
        <w:ind w:firstLine="640" w:firstLineChars="200"/>
        <w:rPr>
          <w:rFonts w:hint="eastAsia" w:ascii="仿宋" w:hAnsi="仿宋" w:eastAsia="仿宋"/>
          <w:sz w:val="32"/>
          <w:szCs w:val="32"/>
        </w:rPr>
      </w:pPr>
    </w:p>
    <w:p w14:paraId="7625066A">
      <w:pPr>
        <w:spacing w:line="600" w:lineRule="exact"/>
        <w:ind w:firstLine="640" w:firstLineChars="200"/>
        <w:rPr>
          <w:rFonts w:hint="eastAsia" w:ascii="仿宋" w:hAnsi="仿宋" w:eastAsia="仿宋"/>
          <w:sz w:val="32"/>
          <w:szCs w:val="32"/>
        </w:rPr>
      </w:pPr>
    </w:p>
    <w:p w14:paraId="129115EF">
      <w:pPr>
        <w:spacing w:line="600" w:lineRule="exact"/>
        <w:ind w:firstLine="640" w:firstLineChars="200"/>
        <w:rPr>
          <w:rFonts w:hint="eastAsia" w:ascii="仿宋" w:hAnsi="仿宋" w:eastAsia="仿宋"/>
          <w:sz w:val="32"/>
          <w:szCs w:val="32"/>
        </w:rPr>
      </w:pPr>
    </w:p>
    <w:p w14:paraId="0B9901DE">
      <w:pPr>
        <w:spacing w:line="600" w:lineRule="exact"/>
        <w:ind w:firstLine="640" w:firstLineChars="200"/>
        <w:rPr>
          <w:rFonts w:hint="eastAsia" w:ascii="仿宋" w:hAnsi="仿宋" w:eastAsia="仿宋"/>
          <w:sz w:val="32"/>
          <w:szCs w:val="32"/>
        </w:rPr>
      </w:pPr>
    </w:p>
    <w:p w14:paraId="2ED10EF0">
      <w:pPr>
        <w:spacing w:line="600" w:lineRule="exact"/>
        <w:ind w:firstLine="640" w:firstLineChars="200"/>
        <w:rPr>
          <w:rFonts w:ascii="仿宋_GB2312" w:eastAsia="仿宋_GB2312"/>
          <w:sz w:val="32"/>
          <w:szCs w:val="32"/>
        </w:rPr>
      </w:pPr>
    </w:p>
    <w:p w14:paraId="6291638A">
      <w:pPr>
        <w:spacing w:line="600" w:lineRule="exact"/>
        <w:ind w:firstLine="640" w:firstLineChars="200"/>
        <w:outlineLvl w:val="1"/>
        <w:rPr>
          <w:rStyle w:val="29"/>
          <w:rFonts w:ascii="黑体" w:hAnsi="黑体" w:eastAsia="黑体"/>
          <w:b w:val="0"/>
        </w:rPr>
      </w:pPr>
      <w:bookmarkStart w:id="59" w:name="_Toc27902"/>
      <w:bookmarkStart w:id="60" w:name="_Toc15396606"/>
      <w:bookmarkStart w:id="61" w:name="_Toc15377208"/>
      <w:r>
        <w:rPr>
          <w:rFonts w:hint="eastAsia" w:ascii="黑体" w:hAnsi="黑体" w:eastAsia="黑体"/>
          <w:sz w:val="32"/>
          <w:szCs w:val="32"/>
        </w:rPr>
        <w:t>四、财</w:t>
      </w:r>
      <w:r>
        <w:rPr>
          <w:rStyle w:val="29"/>
          <w:rFonts w:hint="eastAsia" w:ascii="黑体" w:hAnsi="黑体" w:eastAsia="黑体"/>
          <w:b w:val="0"/>
        </w:rPr>
        <w:t>政拨款收入支出决算总体情况说明</w:t>
      </w:r>
      <w:bookmarkEnd w:id="59"/>
      <w:bookmarkEnd w:id="60"/>
      <w:bookmarkEnd w:id="61"/>
    </w:p>
    <w:p w14:paraId="020DBC71">
      <w:pPr>
        <w:spacing w:line="600" w:lineRule="exact"/>
        <w:ind w:firstLine="640"/>
        <w:rPr>
          <w:rFonts w:hint="default" w:ascii="仿宋" w:hAnsi="仿宋" w:eastAsia="仿宋"/>
          <w:sz w:val="32"/>
          <w:szCs w:val="32"/>
          <w:lang w:val="en-US" w:eastAsia="zh-CN"/>
        </w:rPr>
      </w:pPr>
      <w:r>
        <w:rPr>
          <w:rFonts w:hint="eastAsia" w:ascii="仿宋" w:hAnsi="仿宋" w:eastAsia="仿宋"/>
          <w:sz w:val="32"/>
          <w:szCs w:val="32"/>
        </w:rPr>
        <w:t>2023年度财政拨款收、支总计均为</w:t>
      </w:r>
      <w:r>
        <w:rPr>
          <w:rFonts w:ascii="仿宋" w:hAnsi="仿宋" w:eastAsia="仿宋"/>
          <w:b/>
          <w:sz w:val="32"/>
          <w:szCs w:val="32"/>
        </w:rPr>
        <w:t>578.38</w:t>
      </w:r>
      <w:r>
        <w:rPr>
          <w:rFonts w:hint="eastAsia" w:ascii="仿宋" w:hAnsi="仿宋" w:eastAsia="仿宋"/>
          <w:sz w:val="32"/>
          <w:szCs w:val="32"/>
        </w:rPr>
        <w:t>万元。与2022年度相比，财政拨款收、支总计各增加</w:t>
      </w:r>
      <w:r>
        <w:rPr>
          <w:rFonts w:hint="eastAsia" w:ascii="仿宋" w:hAnsi="仿宋" w:eastAsia="仿宋"/>
          <w:sz w:val="32"/>
          <w:szCs w:val="32"/>
          <w:lang w:val="en-US" w:eastAsia="zh-CN"/>
        </w:rPr>
        <w:t>111.6</w:t>
      </w:r>
      <w:r>
        <w:rPr>
          <w:rFonts w:hint="eastAsia" w:ascii="仿宋" w:hAnsi="仿宋" w:eastAsia="仿宋"/>
          <w:sz w:val="32"/>
          <w:szCs w:val="32"/>
        </w:rPr>
        <w:t>万元，增长</w:t>
      </w:r>
      <w:r>
        <w:rPr>
          <w:rFonts w:hint="eastAsia" w:ascii="仿宋" w:hAnsi="仿宋" w:eastAsia="仿宋"/>
          <w:sz w:val="32"/>
          <w:szCs w:val="32"/>
          <w:lang w:val="en-US" w:eastAsia="zh-CN"/>
        </w:rPr>
        <w:t>23.91</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人员经费增加</w:t>
      </w:r>
    </w:p>
    <w:p w14:paraId="1B8DC208">
      <w:pPr>
        <w:spacing w:line="600" w:lineRule="exact"/>
        <w:ind w:firstLine="640"/>
        <w:rPr>
          <w:rFonts w:ascii="仿宋" w:hAnsi="仿宋" w:eastAsia="仿宋"/>
          <w:sz w:val="32"/>
          <w:szCs w:val="32"/>
        </w:rPr>
      </w:pP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14:paraId="0BBD78DF">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（图4：财政拨款收、支决算总计变动情况）（柱状图）</w:t>
      </w:r>
    </w:p>
    <w:p w14:paraId="30F9F8E4">
      <w:pPr>
        <w:spacing w:line="600" w:lineRule="exact"/>
        <w:ind w:firstLine="420" w:firstLineChars="200"/>
        <w:rPr>
          <w:rFonts w:hint="eastAsia" w:ascii="仿宋" w:hAnsi="仿宋" w:eastAsia="仿宋"/>
          <w:sz w:val="32"/>
          <w:szCs w:val="32"/>
        </w:rPr>
      </w:pPr>
      <w:r>
        <w:drawing>
          <wp:anchor distT="0" distB="0" distL="114300" distR="114300" simplePos="0" relativeHeight="251662336" behindDoc="0" locked="0" layoutInCell="1" allowOverlap="1">
            <wp:simplePos x="0" y="0"/>
            <wp:positionH relativeFrom="column">
              <wp:posOffset>309245</wp:posOffset>
            </wp:positionH>
            <wp:positionV relativeFrom="paragraph">
              <wp:posOffset>13970</wp:posOffset>
            </wp:positionV>
            <wp:extent cx="4882515" cy="3229610"/>
            <wp:effectExtent l="4445" t="4445" r="8890" b="23495"/>
            <wp:wrapNone/>
            <wp:docPr id="2"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14:paraId="0B089C52">
      <w:pPr>
        <w:spacing w:line="600" w:lineRule="exact"/>
        <w:ind w:firstLine="640" w:firstLineChars="200"/>
        <w:rPr>
          <w:rFonts w:hint="eastAsia" w:ascii="仿宋" w:hAnsi="仿宋" w:eastAsia="仿宋"/>
          <w:sz w:val="32"/>
          <w:szCs w:val="32"/>
        </w:rPr>
      </w:pPr>
    </w:p>
    <w:p w14:paraId="5A217080">
      <w:pPr>
        <w:spacing w:line="600" w:lineRule="exact"/>
        <w:ind w:firstLine="640" w:firstLineChars="200"/>
        <w:rPr>
          <w:rFonts w:hint="eastAsia" w:ascii="仿宋" w:hAnsi="仿宋" w:eastAsia="仿宋"/>
          <w:sz w:val="32"/>
          <w:szCs w:val="32"/>
        </w:rPr>
      </w:pPr>
    </w:p>
    <w:p w14:paraId="40D7CC93">
      <w:pPr>
        <w:spacing w:line="600" w:lineRule="exact"/>
        <w:ind w:firstLine="640" w:firstLineChars="200"/>
        <w:rPr>
          <w:rFonts w:hint="eastAsia" w:ascii="仿宋" w:hAnsi="仿宋" w:eastAsia="仿宋"/>
          <w:sz w:val="32"/>
          <w:szCs w:val="32"/>
        </w:rPr>
      </w:pPr>
    </w:p>
    <w:p w14:paraId="7496E290">
      <w:pPr>
        <w:spacing w:line="600" w:lineRule="exact"/>
        <w:ind w:firstLine="640" w:firstLineChars="200"/>
        <w:rPr>
          <w:rFonts w:hint="eastAsia" w:ascii="仿宋" w:hAnsi="仿宋" w:eastAsia="仿宋"/>
          <w:sz w:val="32"/>
          <w:szCs w:val="32"/>
        </w:rPr>
      </w:pPr>
    </w:p>
    <w:p w14:paraId="7F584A8D">
      <w:pPr>
        <w:spacing w:line="600" w:lineRule="exact"/>
        <w:ind w:firstLine="640" w:firstLineChars="200"/>
        <w:rPr>
          <w:rFonts w:hint="eastAsia" w:ascii="仿宋" w:hAnsi="仿宋" w:eastAsia="仿宋"/>
          <w:sz w:val="32"/>
          <w:szCs w:val="32"/>
        </w:rPr>
      </w:pPr>
    </w:p>
    <w:p w14:paraId="2A658ECF">
      <w:pPr>
        <w:spacing w:line="600" w:lineRule="exact"/>
        <w:ind w:firstLine="640" w:firstLineChars="200"/>
        <w:rPr>
          <w:rFonts w:hint="eastAsia" w:ascii="仿宋" w:hAnsi="仿宋" w:eastAsia="仿宋"/>
          <w:sz w:val="32"/>
          <w:szCs w:val="32"/>
        </w:rPr>
      </w:pPr>
    </w:p>
    <w:p w14:paraId="6926D74D">
      <w:pPr>
        <w:spacing w:line="600" w:lineRule="exact"/>
        <w:ind w:firstLine="640" w:firstLineChars="200"/>
        <w:outlineLvl w:val="1"/>
        <w:rPr>
          <w:rStyle w:val="29"/>
          <w:rFonts w:ascii="黑体" w:hAnsi="黑体" w:eastAsia="黑体"/>
          <w:b w:val="0"/>
        </w:rPr>
      </w:pPr>
      <w:bookmarkStart w:id="62" w:name="_Toc15377209"/>
      <w:bookmarkStart w:id="63" w:name="_Toc50"/>
      <w:bookmarkStart w:id="64" w:name="_Toc15396607"/>
      <w:r>
        <w:rPr>
          <w:rFonts w:hint="eastAsia" w:ascii="黑体" w:hAnsi="黑体" w:eastAsia="黑体"/>
          <w:sz w:val="32"/>
          <w:szCs w:val="32"/>
        </w:rPr>
        <w:t>五、</w:t>
      </w:r>
      <w:r>
        <w:rPr>
          <w:rFonts w:hint="eastAsia" w:ascii="黑体" w:hAnsi="黑体" w:eastAsia="黑体"/>
          <w:b/>
          <w:sz w:val="32"/>
          <w:szCs w:val="32"/>
        </w:rPr>
        <w:t>一</w:t>
      </w:r>
      <w:r>
        <w:rPr>
          <w:rStyle w:val="29"/>
          <w:rFonts w:hint="eastAsia" w:ascii="黑体" w:hAnsi="黑体" w:eastAsia="黑体"/>
          <w:b w:val="0"/>
        </w:rPr>
        <w:t>般公共预算财政拨款支出决算情况说明</w:t>
      </w:r>
      <w:bookmarkEnd w:id="62"/>
      <w:bookmarkEnd w:id="63"/>
      <w:bookmarkEnd w:id="64"/>
    </w:p>
    <w:p w14:paraId="60F390F5">
      <w:pPr>
        <w:spacing w:line="600" w:lineRule="exact"/>
        <w:ind w:firstLine="643" w:firstLineChars="200"/>
        <w:outlineLvl w:val="2"/>
        <w:rPr>
          <w:rFonts w:ascii="仿宋" w:hAnsi="仿宋" w:eastAsia="仿宋"/>
          <w:b/>
          <w:sz w:val="32"/>
          <w:szCs w:val="32"/>
        </w:rPr>
      </w:pPr>
      <w:bookmarkStart w:id="65" w:name="_Toc18828"/>
      <w:bookmarkStart w:id="66" w:name="_Toc15377210"/>
      <w:r>
        <w:rPr>
          <w:rFonts w:hint="eastAsia" w:ascii="仿宋" w:hAnsi="仿宋" w:eastAsia="仿宋"/>
          <w:b/>
          <w:sz w:val="32"/>
          <w:szCs w:val="32"/>
        </w:rPr>
        <w:t>（一）一般公共预算财政拨款支出决算总体情况</w:t>
      </w:r>
      <w:bookmarkEnd w:id="65"/>
      <w:bookmarkEnd w:id="66"/>
    </w:p>
    <w:p w14:paraId="5EC7E559">
      <w:pPr>
        <w:spacing w:line="60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2023年度一般公共预算财政拨款支出</w:t>
      </w:r>
      <w:r>
        <w:rPr>
          <w:rFonts w:ascii="仿宋" w:hAnsi="仿宋" w:eastAsia="仿宋"/>
          <w:b/>
          <w:sz w:val="32"/>
          <w:szCs w:val="32"/>
        </w:rPr>
        <w:t>578.38</w:t>
      </w:r>
      <w:r>
        <w:rPr>
          <w:rFonts w:hint="eastAsia" w:ascii="仿宋" w:hAnsi="仿宋" w:eastAsia="仿宋"/>
          <w:sz w:val="32"/>
          <w:szCs w:val="32"/>
        </w:rPr>
        <w:t>万元，占本年支出合计的</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。与2022年度相比，一般公共预算财政拨款支出增加</w:t>
      </w:r>
      <w:r>
        <w:rPr>
          <w:rFonts w:hint="eastAsia" w:ascii="仿宋" w:hAnsi="仿宋" w:eastAsia="仿宋"/>
          <w:sz w:val="32"/>
          <w:szCs w:val="32"/>
          <w:lang w:val="en-US" w:eastAsia="zh-CN"/>
        </w:rPr>
        <w:t>111.6</w:t>
      </w:r>
      <w:r>
        <w:rPr>
          <w:rFonts w:hint="eastAsia" w:ascii="仿宋" w:hAnsi="仿宋" w:eastAsia="仿宋"/>
          <w:sz w:val="32"/>
          <w:szCs w:val="32"/>
        </w:rPr>
        <w:t>万元，增长</w:t>
      </w:r>
      <w:r>
        <w:rPr>
          <w:rFonts w:hint="eastAsia" w:ascii="仿宋" w:hAnsi="仿宋" w:eastAsia="仿宋"/>
          <w:sz w:val="32"/>
          <w:szCs w:val="32"/>
          <w:lang w:val="en-US" w:eastAsia="zh-CN"/>
        </w:rPr>
        <w:t>23.91</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人员经费增加。</w:t>
      </w:r>
    </w:p>
    <w:p w14:paraId="69C584AA">
      <w:pPr>
        <w:spacing w:line="600" w:lineRule="exact"/>
        <w:ind w:firstLine="640" w:firstLineChars="200"/>
        <w:rPr>
          <w:rFonts w:ascii="仿宋" w:hAnsi="仿宋" w:eastAsia="仿宋"/>
          <w:sz w:val="32"/>
          <w:szCs w:val="32"/>
        </w:rPr>
      </w:pPr>
    </w:p>
    <w:p w14:paraId="360E7DEE">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（图5：一般公共预算财政拨款支出决算变动情况）（柱状图）</w:t>
      </w:r>
    </w:p>
    <w:p w14:paraId="458C871D">
      <w:pPr>
        <w:spacing w:line="600" w:lineRule="exact"/>
        <w:ind w:firstLine="640" w:firstLineChars="200"/>
        <w:rPr>
          <w:rFonts w:hint="eastAsia" w:ascii="仿宋" w:hAnsi="仿宋" w:eastAsia="仿宋"/>
          <w:sz w:val="32"/>
          <w:szCs w:val="32"/>
        </w:rPr>
      </w:pPr>
    </w:p>
    <w:p w14:paraId="3BFF5BC5">
      <w:pPr>
        <w:spacing w:line="600" w:lineRule="exact"/>
        <w:ind w:firstLine="640" w:firstLineChars="200"/>
        <w:rPr>
          <w:rFonts w:hint="eastAsia" w:ascii="仿宋" w:hAnsi="仿宋" w:eastAsia="仿宋"/>
          <w:sz w:val="32"/>
          <w:szCs w:val="32"/>
        </w:rPr>
      </w:pPr>
    </w:p>
    <w:p w14:paraId="0533CE70">
      <w:pPr>
        <w:spacing w:line="600" w:lineRule="exact"/>
        <w:ind w:firstLine="640" w:firstLineChars="200"/>
        <w:rPr>
          <w:rFonts w:hint="eastAsia" w:ascii="仿宋" w:hAnsi="仿宋" w:eastAsia="仿宋"/>
          <w:sz w:val="32"/>
          <w:szCs w:val="32"/>
        </w:rPr>
      </w:pPr>
    </w:p>
    <w:p w14:paraId="1A0DD6E4">
      <w:pPr>
        <w:spacing w:line="600" w:lineRule="exact"/>
        <w:ind w:firstLine="640" w:firstLineChars="200"/>
        <w:rPr>
          <w:rFonts w:hint="eastAsia" w:ascii="仿宋" w:hAnsi="仿宋" w:eastAsia="仿宋"/>
          <w:sz w:val="32"/>
          <w:szCs w:val="32"/>
        </w:rPr>
      </w:pPr>
    </w:p>
    <w:p w14:paraId="4453F1A3">
      <w:pPr>
        <w:spacing w:line="600" w:lineRule="exact"/>
        <w:ind w:firstLine="640" w:firstLineChars="200"/>
        <w:rPr>
          <w:rFonts w:hint="eastAsia" w:ascii="仿宋" w:hAnsi="仿宋" w:eastAsia="仿宋"/>
          <w:sz w:val="32"/>
          <w:szCs w:val="32"/>
        </w:rPr>
      </w:pPr>
    </w:p>
    <w:p w14:paraId="2058730B">
      <w:pPr>
        <w:spacing w:line="600" w:lineRule="exact"/>
        <w:ind w:firstLine="640" w:firstLineChars="200"/>
        <w:rPr>
          <w:rFonts w:hint="eastAsia" w:ascii="仿宋" w:hAnsi="仿宋" w:eastAsia="仿宋"/>
          <w:sz w:val="32"/>
          <w:szCs w:val="32"/>
        </w:rPr>
      </w:pPr>
    </w:p>
    <w:p w14:paraId="369DABCE">
      <w:pPr>
        <w:spacing w:line="600" w:lineRule="exact"/>
        <w:ind w:firstLine="640" w:firstLineChars="200"/>
        <w:rPr>
          <w:rFonts w:hint="eastAsia" w:ascii="仿宋" w:hAnsi="仿宋" w:eastAsia="仿宋"/>
          <w:sz w:val="32"/>
          <w:szCs w:val="32"/>
        </w:rPr>
      </w:pPr>
    </w:p>
    <w:p w14:paraId="7E4B381B">
      <w:pPr>
        <w:spacing w:line="600" w:lineRule="exact"/>
        <w:ind w:firstLine="420" w:firstLineChars="200"/>
        <w:rPr>
          <w:rFonts w:hint="eastAsia" w:ascii="仿宋" w:hAnsi="仿宋" w:eastAsia="仿宋"/>
          <w:sz w:val="32"/>
          <w:szCs w:val="32"/>
        </w:rPr>
      </w:pPr>
      <w:r>
        <w:drawing>
          <wp:anchor distT="0" distB="0" distL="114300" distR="114300" simplePos="0" relativeHeight="251663360" behindDoc="0" locked="0" layoutInCell="1" allowOverlap="1">
            <wp:simplePos x="0" y="0"/>
            <wp:positionH relativeFrom="column">
              <wp:posOffset>271145</wp:posOffset>
            </wp:positionH>
            <wp:positionV relativeFrom="paragraph">
              <wp:posOffset>-2738755</wp:posOffset>
            </wp:positionV>
            <wp:extent cx="4881880" cy="3027045"/>
            <wp:effectExtent l="4445" t="4445" r="9525" b="16510"/>
            <wp:wrapNone/>
            <wp:docPr id="15"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14:paraId="4B06D3DD">
      <w:pPr>
        <w:spacing w:line="600" w:lineRule="exact"/>
        <w:ind w:firstLine="640" w:firstLineChars="200"/>
        <w:rPr>
          <w:rFonts w:ascii="仿宋" w:hAnsi="仿宋" w:eastAsia="仿宋"/>
          <w:sz w:val="32"/>
          <w:szCs w:val="32"/>
        </w:rPr>
      </w:pPr>
    </w:p>
    <w:p w14:paraId="48B2EBD7">
      <w:pPr>
        <w:spacing w:line="600" w:lineRule="exact"/>
        <w:ind w:firstLine="643" w:firstLineChars="200"/>
        <w:outlineLvl w:val="2"/>
        <w:rPr>
          <w:rFonts w:ascii="仿宋" w:hAnsi="仿宋" w:eastAsia="仿宋"/>
          <w:b/>
          <w:sz w:val="32"/>
          <w:szCs w:val="32"/>
        </w:rPr>
      </w:pPr>
      <w:bookmarkStart w:id="67" w:name="_Toc19532"/>
      <w:bookmarkStart w:id="68" w:name="_Toc15377211"/>
      <w:r>
        <w:rPr>
          <w:rFonts w:hint="eastAsia" w:ascii="仿宋" w:hAnsi="仿宋" w:eastAsia="仿宋"/>
          <w:b/>
          <w:sz w:val="32"/>
          <w:szCs w:val="32"/>
        </w:rPr>
        <w:t>（二）一般公共预算财政拨款支出决算结构情况</w:t>
      </w:r>
      <w:bookmarkEnd w:id="67"/>
      <w:bookmarkEnd w:id="68"/>
    </w:p>
    <w:p w14:paraId="2C0CEA39">
      <w:pPr>
        <w:spacing w:line="600" w:lineRule="exact"/>
        <w:ind w:firstLine="640"/>
        <w:rPr>
          <w:rFonts w:ascii="仿宋" w:hAnsi="仿宋" w:eastAsia="仿宋"/>
          <w:b/>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578.38</w:t>
      </w:r>
      <w:r>
        <w:rPr>
          <w:rFonts w:hint="eastAsia" w:ascii="仿宋" w:hAnsi="仿宋" w:eastAsia="仿宋"/>
          <w:sz w:val="32"/>
          <w:szCs w:val="32"/>
        </w:rPr>
        <w:t>万元，主要用于以下方面</w:t>
      </w:r>
      <w:r>
        <w:rPr>
          <w:rFonts w:hint="eastAsia" w:ascii="仿宋" w:hAnsi="仿宋" w:eastAsia="仿宋"/>
          <w:sz w:val="32"/>
          <w:szCs w:val="32"/>
          <w:lang w:eastAsia="zh-CN"/>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教育支出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文化旅游体育与传媒支出</w:t>
      </w:r>
      <w:r>
        <w:rPr>
          <w:rFonts w:hint="eastAsia" w:ascii="仿宋" w:hAnsi="仿宋" w:eastAsia="仿宋"/>
          <w:b/>
          <w:bCs/>
          <w:sz w:val="32"/>
          <w:szCs w:val="32"/>
          <w:lang w:val="en-US" w:eastAsia="zh-CN"/>
        </w:rPr>
        <w:t>0</w:t>
      </w:r>
      <w:r>
        <w:rPr>
          <w:rFonts w:hint="eastAsia" w:ascii="仿宋" w:hAnsi="仿宋" w:eastAsia="仿宋"/>
          <w:b/>
          <w:bCs/>
          <w:sz w:val="32"/>
          <w:szCs w:val="32"/>
        </w:rPr>
        <w:t>万元，占</w:t>
      </w:r>
      <w:r>
        <w:rPr>
          <w:rFonts w:hint="eastAsia" w:ascii="仿宋" w:hAnsi="仿宋" w:eastAsia="仿宋"/>
          <w:b/>
          <w:bCs/>
          <w:sz w:val="32"/>
          <w:szCs w:val="32"/>
          <w:lang w:val="en-US" w:eastAsia="zh-CN"/>
        </w:rPr>
        <w:t>0</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74.39</w:t>
      </w:r>
      <w:r>
        <w:rPr>
          <w:rFonts w:hint="eastAsia" w:ascii="仿宋" w:hAnsi="仿宋" w:eastAsia="仿宋"/>
          <w:sz w:val="32"/>
          <w:szCs w:val="32"/>
        </w:rPr>
        <w:t>万元，占</w:t>
      </w:r>
      <w:r>
        <w:rPr>
          <w:rFonts w:hint="eastAsia" w:ascii="仿宋" w:hAnsi="仿宋" w:eastAsia="仿宋"/>
          <w:sz w:val="32"/>
          <w:szCs w:val="32"/>
          <w:lang w:val="en-US" w:eastAsia="zh-CN"/>
        </w:rPr>
        <w:t>12.86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466.09</w:t>
      </w:r>
      <w:r>
        <w:rPr>
          <w:rFonts w:hint="eastAsia" w:ascii="仿宋" w:hAnsi="仿宋" w:eastAsia="仿宋"/>
          <w:sz w:val="32"/>
          <w:szCs w:val="32"/>
        </w:rPr>
        <w:t>万元，占</w:t>
      </w:r>
      <w:r>
        <w:rPr>
          <w:rFonts w:hint="eastAsia" w:ascii="仿宋" w:hAnsi="仿宋" w:eastAsia="仿宋"/>
          <w:sz w:val="32"/>
          <w:szCs w:val="32"/>
          <w:lang w:val="en-US" w:eastAsia="zh-CN"/>
        </w:rPr>
        <w:t>80.59</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37.9</w:t>
      </w:r>
      <w:r>
        <w:rPr>
          <w:rFonts w:hint="eastAsia" w:ascii="仿宋" w:hAnsi="仿宋" w:eastAsia="仿宋"/>
          <w:sz w:val="32"/>
          <w:szCs w:val="32"/>
        </w:rPr>
        <w:t>万元，占</w:t>
      </w:r>
      <w:r>
        <w:rPr>
          <w:rFonts w:hint="eastAsia" w:ascii="仿宋" w:hAnsi="仿宋" w:eastAsia="仿宋"/>
          <w:sz w:val="32"/>
          <w:szCs w:val="32"/>
          <w:lang w:val="en-US" w:eastAsia="zh-CN"/>
        </w:rPr>
        <w:t>6.55</w:t>
      </w:r>
      <w:r>
        <w:rPr>
          <w:rFonts w:ascii="仿宋" w:hAnsi="仿宋" w:eastAsia="仿宋"/>
          <w:sz w:val="32"/>
          <w:szCs w:val="32"/>
        </w:rPr>
        <w:t>%</w:t>
      </w:r>
      <w:r>
        <w:rPr>
          <w:rFonts w:hint="eastAsia" w:ascii="仿宋" w:hAnsi="仿宋" w:eastAsia="仿宋"/>
          <w:sz w:val="32"/>
          <w:szCs w:val="32"/>
        </w:rPr>
        <w:t>。</w:t>
      </w:r>
    </w:p>
    <w:p w14:paraId="1F442C58">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14:paraId="25CEF633">
      <w:pPr>
        <w:spacing w:line="600" w:lineRule="exact"/>
        <w:ind w:firstLine="640"/>
        <w:rPr>
          <w:rFonts w:ascii="仿宋" w:hAnsi="仿宋" w:eastAsia="仿宋"/>
          <w:sz w:val="32"/>
          <w:szCs w:val="32"/>
        </w:rPr>
      </w:pPr>
    </w:p>
    <w:p w14:paraId="500A38FD">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（图6：一般公共预算财政拨款支出决算结构）（饼状图）</w:t>
      </w:r>
    </w:p>
    <w:p w14:paraId="47435F3B">
      <w:pPr>
        <w:spacing w:line="600" w:lineRule="exact"/>
        <w:ind w:firstLine="420" w:firstLineChars="200"/>
        <w:rPr>
          <w:rFonts w:hint="eastAsia" w:ascii="仿宋" w:hAnsi="仿宋" w:eastAsia="仿宋"/>
          <w:sz w:val="32"/>
          <w:szCs w:val="32"/>
        </w:rPr>
      </w:pPr>
      <w:r>
        <w:drawing>
          <wp:anchor distT="0" distB="0" distL="114300" distR="114300" simplePos="0" relativeHeight="251664384" behindDoc="0" locked="0" layoutInCell="1" allowOverlap="1">
            <wp:simplePos x="0" y="0"/>
            <wp:positionH relativeFrom="column">
              <wp:posOffset>366395</wp:posOffset>
            </wp:positionH>
            <wp:positionV relativeFrom="paragraph">
              <wp:posOffset>137795</wp:posOffset>
            </wp:positionV>
            <wp:extent cx="4826000" cy="2743200"/>
            <wp:effectExtent l="4445" t="4445" r="8255" b="14605"/>
            <wp:wrapNone/>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14:paraId="5EC0AF9A">
      <w:pPr>
        <w:spacing w:line="600" w:lineRule="exact"/>
        <w:ind w:firstLine="640" w:firstLineChars="200"/>
        <w:rPr>
          <w:rFonts w:hint="eastAsia" w:ascii="仿宋" w:hAnsi="仿宋" w:eastAsia="仿宋"/>
          <w:sz w:val="32"/>
          <w:szCs w:val="32"/>
        </w:rPr>
      </w:pPr>
    </w:p>
    <w:p w14:paraId="6C3086D9">
      <w:pPr>
        <w:spacing w:line="600" w:lineRule="exact"/>
        <w:ind w:firstLine="640" w:firstLineChars="200"/>
        <w:rPr>
          <w:rFonts w:hint="eastAsia" w:ascii="仿宋" w:hAnsi="仿宋" w:eastAsia="仿宋"/>
          <w:sz w:val="32"/>
          <w:szCs w:val="32"/>
        </w:rPr>
      </w:pPr>
    </w:p>
    <w:p w14:paraId="6A3430A0">
      <w:pPr>
        <w:spacing w:line="600" w:lineRule="exact"/>
        <w:ind w:firstLine="640" w:firstLineChars="200"/>
        <w:rPr>
          <w:rFonts w:hint="eastAsia" w:ascii="仿宋" w:hAnsi="仿宋" w:eastAsia="仿宋"/>
          <w:sz w:val="32"/>
          <w:szCs w:val="32"/>
        </w:rPr>
      </w:pPr>
    </w:p>
    <w:p w14:paraId="31271022">
      <w:pPr>
        <w:spacing w:line="600" w:lineRule="exact"/>
        <w:ind w:firstLine="640" w:firstLineChars="200"/>
        <w:rPr>
          <w:rFonts w:hint="eastAsia" w:ascii="仿宋" w:hAnsi="仿宋" w:eastAsia="仿宋"/>
          <w:sz w:val="32"/>
          <w:szCs w:val="32"/>
        </w:rPr>
      </w:pPr>
    </w:p>
    <w:p w14:paraId="157F000C">
      <w:pPr>
        <w:spacing w:line="600" w:lineRule="exact"/>
        <w:ind w:firstLine="640" w:firstLineChars="200"/>
        <w:rPr>
          <w:rFonts w:hint="eastAsia" w:ascii="仿宋" w:hAnsi="仿宋" w:eastAsia="仿宋"/>
          <w:sz w:val="32"/>
          <w:szCs w:val="32"/>
        </w:rPr>
      </w:pPr>
    </w:p>
    <w:p w14:paraId="7541A549">
      <w:pPr>
        <w:spacing w:line="600" w:lineRule="exact"/>
        <w:ind w:firstLine="640" w:firstLineChars="200"/>
        <w:rPr>
          <w:rFonts w:hint="eastAsia" w:ascii="仿宋" w:hAnsi="仿宋" w:eastAsia="仿宋"/>
          <w:sz w:val="32"/>
          <w:szCs w:val="32"/>
        </w:rPr>
      </w:pPr>
    </w:p>
    <w:p w14:paraId="517A846F">
      <w:pPr>
        <w:spacing w:line="600" w:lineRule="exact"/>
        <w:ind w:firstLine="640" w:firstLineChars="200"/>
        <w:rPr>
          <w:rFonts w:hint="eastAsia" w:ascii="仿宋" w:hAnsi="仿宋" w:eastAsia="仿宋"/>
          <w:sz w:val="32"/>
          <w:szCs w:val="32"/>
        </w:rPr>
      </w:pPr>
    </w:p>
    <w:p w14:paraId="4F502D09">
      <w:pPr>
        <w:spacing w:line="600" w:lineRule="exact"/>
        <w:ind w:firstLine="640" w:firstLineChars="200"/>
        <w:rPr>
          <w:rFonts w:ascii="仿宋" w:hAnsi="仿宋" w:eastAsia="仿宋"/>
          <w:sz w:val="32"/>
          <w:szCs w:val="32"/>
        </w:rPr>
      </w:pPr>
    </w:p>
    <w:p w14:paraId="73BF194A">
      <w:pPr>
        <w:spacing w:line="600" w:lineRule="exact"/>
        <w:ind w:firstLine="643" w:firstLineChars="200"/>
        <w:outlineLvl w:val="2"/>
        <w:rPr>
          <w:rFonts w:ascii="仿宋" w:hAnsi="仿宋" w:eastAsia="仿宋"/>
          <w:b/>
          <w:sz w:val="32"/>
          <w:szCs w:val="32"/>
        </w:rPr>
      </w:pPr>
      <w:bookmarkStart w:id="69" w:name="_Toc15377212"/>
      <w:bookmarkStart w:id="70" w:name="_Toc12437"/>
      <w:r>
        <w:rPr>
          <w:rFonts w:hint="eastAsia" w:ascii="仿宋" w:hAnsi="仿宋" w:eastAsia="仿宋"/>
          <w:b/>
          <w:sz w:val="32"/>
          <w:szCs w:val="32"/>
        </w:rPr>
        <w:t>（三）一般公共预算财政拨款支出决算具体情况</w:t>
      </w:r>
      <w:bookmarkEnd w:id="69"/>
      <w:bookmarkEnd w:id="70"/>
    </w:p>
    <w:p w14:paraId="628815F0">
      <w:pPr>
        <w:spacing w:line="600" w:lineRule="exact"/>
        <w:ind w:firstLine="643" w:firstLineChars="200"/>
        <w:outlineLvl w:val="2"/>
        <w:rPr>
          <w:rFonts w:ascii="仿宋" w:hAnsi="仿宋" w:eastAsia="仿宋"/>
          <w:sz w:val="32"/>
          <w:szCs w:val="32"/>
        </w:rPr>
      </w:pPr>
      <w:bookmarkStart w:id="71" w:name="_Toc15377444"/>
      <w:bookmarkStart w:id="72" w:name="_Toc10794"/>
      <w:bookmarkStart w:id="73" w:name="_Toc15378460"/>
      <w:bookmarkStart w:id="74" w:name="_Toc25427"/>
      <w:bookmarkStart w:id="75" w:name="_Toc15377213"/>
      <w:bookmarkStart w:id="76" w:name="_Toc29965"/>
      <w:r>
        <w:rPr>
          <w:rFonts w:hint="eastAsia" w:ascii="仿宋" w:hAnsi="仿宋" w:eastAsia="仿宋"/>
          <w:b/>
          <w:sz w:val="32"/>
          <w:szCs w:val="32"/>
        </w:rPr>
        <w:t>2023年度一般公共预算支出决算数为</w:t>
      </w:r>
      <w:r>
        <w:rPr>
          <w:rFonts w:ascii="仿宋" w:hAnsi="仿宋" w:eastAsia="仿宋"/>
          <w:b/>
          <w:sz w:val="32"/>
          <w:szCs w:val="32"/>
        </w:rPr>
        <w:t>578.38</w:t>
      </w:r>
      <w:r>
        <w:rPr>
          <w:rFonts w:hint="eastAsia" w:ascii="仿宋" w:hAnsi="仿宋" w:eastAsia="仿宋"/>
          <w:sz w:val="32"/>
          <w:szCs w:val="32"/>
        </w:rPr>
        <w:t>，</w:t>
      </w:r>
      <w:r>
        <w:rPr>
          <w:rStyle w:val="17"/>
          <w:rFonts w:hint="eastAsia" w:ascii="仿宋" w:hAnsi="仿宋" w:eastAsia="仿宋"/>
          <w:bCs/>
          <w:sz w:val="32"/>
          <w:szCs w:val="32"/>
        </w:rPr>
        <w:t>完成预算</w:t>
      </w:r>
      <w:r>
        <w:rPr>
          <w:rStyle w:val="17"/>
          <w:rFonts w:hint="eastAsia" w:ascii="仿宋" w:hAnsi="仿宋" w:eastAsia="仿宋"/>
          <w:bCs/>
          <w:sz w:val="32"/>
          <w:szCs w:val="32"/>
          <w:lang w:val="en-US" w:eastAsia="zh-CN"/>
        </w:rPr>
        <w:t>100</w:t>
      </w:r>
      <w:r>
        <w:rPr>
          <w:rStyle w:val="17"/>
          <w:rFonts w:ascii="仿宋" w:hAnsi="仿宋" w:eastAsia="仿宋"/>
          <w:bCs/>
          <w:sz w:val="32"/>
          <w:szCs w:val="32"/>
        </w:rPr>
        <w:t>%</w:t>
      </w:r>
      <w:r>
        <w:rPr>
          <w:rStyle w:val="17"/>
          <w:rFonts w:hint="eastAsia" w:ascii="仿宋" w:hAnsi="仿宋" w:eastAsia="仿宋"/>
          <w:bCs/>
          <w:sz w:val="32"/>
          <w:szCs w:val="32"/>
        </w:rPr>
        <w:t>。其中：</w:t>
      </w:r>
      <w:bookmarkEnd w:id="71"/>
      <w:bookmarkEnd w:id="72"/>
      <w:bookmarkEnd w:id="73"/>
      <w:bookmarkEnd w:id="74"/>
      <w:bookmarkEnd w:id="75"/>
      <w:bookmarkEnd w:id="76"/>
    </w:p>
    <w:p w14:paraId="2A8F0E13">
      <w:pPr>
        <w:numPr>
          <w:ilvl w:val="0"/>
          <w:numId w:val="3"/>
        </w:numPr>
        <w:spacing w:line="600" w:lineRule="exact"/>
        <w:ind w:firstLine="643" w:firstLineChars="200"/>
        <w:rPr>
          <w:rFonts w:hint="eastAsia" w:ascii="仿宋" w:hAnsi="仿宋" w:eastAsia="仿宋" w:cs="Times New Roman"/>
          <w:color w:val="000000"/>
          <w:sz w:val="32"/>
          <w:szCs w:val="32"/>
          <w:lang w:val="en-US" w:eastAsia="zh-CN"/>
        </w:rPr>
      </w:pPr>
      <w:bookmarkStart w:id="77" w:name="OLE_LINK1"/>
      <w:r>
        <w:rPr>
          <w:rFonts w:hint="eastAsia" w:ascii="仿宋" w:hAnsi="仿宋" w:eastAsia="仿宋" w:cs="Times New Roman"/>
          <w:b/>
          <w:bCs/>
          <w:sz w:val="32"/>
          <w:szCs w:val="32"/>
          <w:lang w:val="en-US" w:eastAsia="zh-CN"/>
        </w:rPr>
        <w:t>社会保障和就业（208）行政事业单位养老支出（20805）机关事业单位养老保险费支出（2080505）：</w:t>
      </w:r>
      <w:r>
        <w:rPr>
          <w:rFonts w:hint="eastAsia" w:ascii="仿宋" w:hAnsi="仿宋" w:eastAsia="仿宋" w:cs="Times New Roman"/>
          <w:color w:val="000000"/>
          <w:sz w:val="32"/>
          <w:szCs w:val="32"/>
          <w:lang w:val="en-US" w:eastAsia="zh-CN"/>
        </w:rPr>
        <w:t xml:space="preserve"> 支出决算为45万元，完成预算100%。</w:t>
      </w:r>
    </w:p>
    <w:p w14:paraId="0C946842">
      <w:pPr>
        <w:numPr>
          <w:ilvl w:val="0"/>
          <w:numId w:val="3"/>
        </w:numPr>
        <w:spacing w:line="600" w:lineRule="exact"/>
        <w:ind w:left="0" w:leftChars="0" w:firstLine="643"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b/>
          <w:bCs/>
          <w:sz w:val="32"/>
          <w:szCs w:val="32"/>
          <w:lang w:val="en-US" w:eastAsia="zh-CN"/>
        </w:rPr>
        <w:t>社会保障和就业（208）行政事业单位养老支出（20805）机关事业单位职业年金缴费支出（2080506）：</w:t>
      </w:r>
      <w:r>
        <w:rPr>
          <w:rFonts w:hint="eastAsia" w:ascii="仿宋" w:hAnsi="仿宋" w:eastAsia="仿宋" w:cs="Times New Roman"/>
          <w:color w:val="000000"/>
          <w:sz w:val="32"/>
          <w:szCs w:val="32"/>
          <w:lang w:val="en-US" w:eastAsia="zh-CN"/>
        </w:rPr>
        <w:t>支出决算为25.62万元，完成预算100%。</w:t>
      </w:r>
    </w:p>
    <w:p w14:paraId="5ECAD2B3">
      <w:pPr>
        <w:numPr>
          <w:ilvl w:val="0"/>
          <w:numId w:val="0"/>
        </w:numPr>
        <w:spacing w:line="600" w:lineRule="exact"/>
        <w:ind w:firstLine="643"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b/>
          <w:bCs/>
          <w:sz w:val="32"/>
          <w:szCs w:val="32"/>
          <w:lang w:val="en-US" w:eastAsia="zh-CN"/>
        </w:rPr>
        <w:t>3.社会保障和就业（208）人力资源和社会保障管理事务（20801）其他人力资源和社会保障管理事务支出（2080199）：</w:t>
      </w:r>
      <w:r>
        <w:rPr>
          <w:rFonts w:hint="eastAsia" w:ascii="仿宋" w:hAnsi="仿宋" w:eastAsia="仿宋" w:cs="Times New Roman"/>
          <w:color w:val="000000"/>
          <w:sz w:val="32"/>
          <w:szCs w:val="32"/>
          <w:lang w:val="en-US" w:eastAsia="zh-CN"/>
        </w:rPr>
        <w:t xml:space="preserve"> 支出决算为3.77万元，完成预算100%。</w:t>
      </w:r>
    </w:p>
    <w:p w14:paraId="51FAFBBC">
      <w:pPr>
        <w:numPr>
          <w:ilvl w:val="0"/>
          <w:numId w:val="0"/>
        </w:numPr>
        <w:spacing w:line="600" w:lineRule="exact"/>
        <w:ind w:firstLine="643"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b/>
          <w:bCs/>
          <w:sz w:val="32"/>
          <w:szCs w:val="32"/>
          <w:lang w:val="en-US" w:eastAsia="zh-CN"/>
        </w:rPr>
        <w:t>4.卫生健康支出（210）基层医疗卫生机构（21003）乡镇卫生院支出（2100302）：</w:t>
      </w:r>
      <w:r>
        <w:rPr>
          <w:rFonts w:hint="eastAsia" w:ascii="仿宋" w:hAnsi="仿宋" w:eastAsia="仿宋" w:cs="Times New Roman"/>
          <w:color w:val="000000"/>
          <w:sz w:val="32"/>
          <w:szCs w:val="32"/>
          <w:lang w:val="en-US" w:eastAsia="zh-CN"/>
        </w:rPr>
        <w:t>支出决算为354.76万元，完成预算100%。</w:t>
      </w:r>
    </w:p>
    <w:p w14:paraId="095E891E">
      <w:pPr>
        <w:numPr>
          <w:ilvl w:val="0"/>
          <w:numId w:val="0"/>
        </w:numPr>
        <w:spacing w:line="600" w:lineRule="exact"/>
        <w:ind w:firstLine="643"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b/>
          <w:bCs/>
          <w:sz w:val="32"/>
          <w:szCs w:val="32"/>
          <w:lang w:val="en-US" w:eastAsia="zh-CN"/>
        </w:rPr>
        <w:t>5.卫生健康支出（210）基层医疗卫生机构（21003）其他基层医疗卫生机构支出（2100399）：</w:t>
      </w:r>
      <w:r>
        <w:rPr>
          <w:rFonts w:hint="eastAsia" w:ascii="仿宋" w:hAnsi="仿宋" w:eastAsia="仿宋" w:cs="Times New Roman"/>
          <w:color w:val="000000"/>
          <w:sz w:val="32"/>
          <w:szCs w:val="32"/>
          <w:lang w:val="en-US" w:eastAsia="zh-CN"/>
        </w:rPr>
        <w:t>支出决算为20.15万元，完成预算100%。</w:t>
      </w:r>
    </w:p>
    <w:p w14:paraId="5285AFE1">
      <w:pPr>
        <w:numPr>
          <w:ilvl w:val="0"/>
          <w:numId w:val="0"/>
        </w:numPr>
        <w:spacing w:line="600" w:lineRule="exact"/>
        <w:ind w:firstLine="643" w:firstLineChars="200"/>
        <w:rPr>
          <w:rFonts w:hint="eastAsia" w:ascii="仿宋" w:hAnsi="仿宋" w:eastAsia="仿宋" w:cs="Times New Roman"/>
          <w:color w:val="000000"/>
          <w:sz w:val="32"/>
          <w:szCs w:val="32"/>
          <w:lang w:val="en-US" w:eastAsia="zh-CN"/>
        </w:rPr>
      </w:pPr>
      <w:bookmarkStart w:id="78" w:name="OLE_LINK2"/>
      <w:r>
        <w:rPr>
          <w:rFonts w:hint="eastAsia" w:ascii="仿宋" w:hAnsi="仿宋" w:eastAsia="仿宋" w:cs="Times New Roman"/>
          <w:b/>
          <w:bCs/>
          <w:sz w:val="32"/>
          <w:szCs w:val="32"/>
          <w:lang w:val="en-US" w:eastAsia="zh-CN"/>
        </w:rPr>
        <w:t>6.卫生健康支出（210）公共卫生（21004）基本公共卫生服务（2100408）：</w:t>
      </w:r>
      <w:r>
        <w:rPr>
          <w:rFonts w:hint="eastAsia" w:ascii="仿宋" w:hAnsi="仿宋" w:eastAsia="仿宋" w:cs="Times New Roman"/>
          <w:color w:val="000000"/>
          <w:sz w:val="32"/>
          <w:szCs w:val="32"/>
          <w:lang w:val="en-US" w:eastAsia="zh-CN"/>
        </w:rPr>
        <w:t>支出决算为65.84万元，完成预算100%。</w:t>
      </w:r>
    </w:p>
    <w:bookmarkEnd w:id="78"/>
    <w:p w14:paraId="6A5F408C">
      <w:pPr>
        <w:numPr>
          <w:ilvl w:val="0"/>
          <w:numId w:val="0"/>
        </w:numPr>
        <w:spacing w:line="600" w:lineRule="exact"/>
        <w:ind w:firstLine="643"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b/>
          <w:bCs/>
          <w:sz w:val="32"/>
          <w:szCs w:val="32"/>
          <w:lang w:val="en-US" w:eastAsia="zh-CN"/>
        </w:rPr>
        <w:t>7.卫生健康支出（210）行政事业单位医疗（21011）事业单位医疗（2101102）：</w:t>
      </w:r>
      <w:r>
        <w:rPr>
          <w:rFonts w:hint="eastAsia" w:ascii="仿宋" w:hAnsi="仿宋" w:eastAsia="仿宋" w:cs="Times New Roman"/>
          <w:color w:val="000000"/>
          <w:sz w:val="32"/>
          <w:szCs w:val="32"/>
          <w:lang w:val="en-US" w:eastAsia="zh-CN"/>
        </w:rPr>
        <w:t>支出决算为19.75万元，完成预算100%。</w:t>
      </w:r>
    </w:p>
    <w:p w14:paraId="41580C72">
      <w:pPr>
        <w:numPr>
          <w:ilvl w:val="0"/>
          <w:numId w:val="0"/>
        </w:numPr>
        <w:spacing w:line="600" w:lineRule="exact"/>
        <w:ind w:firstLine="643"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b/>
          <w:bCs/>
          <w:sz w:val="32"/>
          <w:szCs w:val="32"/>
          <w:lang w:val="en-US" w:eastAsia="zh-CN"/>
        </w:rPr>
        <w:t>8.卫生健康支出（210）行政事业单位医疗（21011）其他行政事业单位医疗（2101199）：</w:t>
      </w:r>
      <w:r>
        <w:rPr>
          <w:rFonts w:hint="eastAsia" w:ascii="仿宋" w:hAnsi="仿宋" w:eastAsia="仿宋" w:cs="Times New Roman"/>
          <w:color w:val="000000"/>
          <w:sz w:val="32"/>
          <w:szCs w:val="32"/>
          <w:lang w:val="en-US" w:eastAsia="zh-CN"/>
        </w:rPr>
        <w:t>支出决算为5.59万元，完成预算100%。</w:t>
      </w:r>
    </w:p>
    <w:p w14:paraId="66CFC3FD">
      <w:pPr>
        <w:pStyle w:val="35"/>
        <w:keepNext w:val="0"/>
        <w:keepLines w:val="0"/>
        <w:widowControl/>
        <w:suppressLineNumbers w:val="0"/>
        <w:spacing w:before="0" w:beforeAutospacing="0"/>
        <w:ind w:left="0" w:firstLine="643" w:firstLineChars="200"/>
        <w:jc w:val="left"/>
        <w:rPr>
          <w:rFonts w:hint="default" w:ascii="仿宋" w:hAnsi="仿宋" w:eastAsia="仿宋" w:cs="Times New Roman"/>
          <w:color w:val="000000"/>
          <w:sz w:val="32"/>
          <w:szCs w:val="32"/>
          <w:lang w:val="en-US" w:eastAsia="zh-CN"/>
        </w:rPr>
      </w:pPr>
      <w:r>
        <w:rPr>
          <w:rFonts w:hint="eastAsia" w:ascii="仿宋" w:hAnsi="仿宋" w:eastAsia="仿宋" w:cs="Times New Roman"/>
          <w:b/>
          <w:bCs/>
          <w:kern w:val="2"/>
          <w:sz w:val="32"/>
          <w:szCs w:val="32"/>
          <w:lang w:val="en-US" w:eastAsia="zh-CN" w:bidi="ar-SA"/>
        </w:rPr>
        <w:t>9.住房保障支出（221）住房改革支出（22102）住房公积金（2210201）：</w:t>
      </w:r>
      <w:r>
        <w:rPr>
          <w:rFonts w:hint="eastAsia" w:ascii="仿宋" w:hAnsi="仿宋" w:eastAsia="仿宋" w:cs="Times New Roman"/>
          <w:color w:val="000000"/>
          <w:sz w:val="32"/>
          <w:szCs w:val="32"/>
          <w:lang w:val="en-US" w:eastAsia="zh-CN"/>
        </w:rPr>
        <w:t>支出决算为37.9万元，完成预算100%。</w:t>
      </w:r>
    </w:p>
    <w:bookmarkEnd w:id="77"/>
    <w:p w14:paraId="5721BE45">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1-1表和财决08表，仅罗列本单位涉及的全部功能分类科目，至项级。上述“预算”口径为全年预算数。增减变动原因为决算数</w:t>
      </w:r>
      <w:r>
        <w:rPr>
          <w:rFonts w:hint="eastAsia" w:ascii="仿宋" w:hAnsi="仿宋" w:eastAsia="仿宋"/>
          <w:b/>
          <w:sz w:val="32"/>
          <w:szCs w:val="32"/>
          <w:lang w:eastAsia="zh-CN"/>
        </w:rPr>
        <w:t>〈</w:t>
      </w:r>
      <w:r>
        <w:rPr>
          <w:rFonts w:hint="eastAsia" w:ascii="仿宋" w:hAnsi="仿宋" w:eastAsia="仿宋"/>
          <w:b/>
          <w:sz w:val="32"/>
          <w:szCs w:val="32"/>
        </w:rPr>
        <w:t>项级</w:t>
      </w:r>
      <w:r>
        <w:rPr>
          <w:rFonts w:hint="eastAsia" w:ascii="仿宋" w:hAnsi="仿宋" w:eastAsia="仿宋"/>
          <w:b/>
          <w:sz w:val="32"/>
          <w:szCs w:val="32"/>
          <w:lang w:eastAsia="zh-CN"/>
        </w:rPr>
        <w:t>〉</w:t>
      </w:r>
      <w:r>
        <w:rPr>
          <w:rFonts w:hint="eastAsia" w:ascii="仿宋" w:hAnsi="仿宋" w:eastAsia="仿宋"/>
          <w:b/>
          <w:sz w:val="32"/>
          <w:szCs w:val="32"/>
        </w:rPr>
        <w:t>和全年预算数</w:t>
      </w:r>
      <w:r>
        <w:rPr>
          <w:rFonts w:hint="eastAsia" w:ascii="仿宋" w:hAnsi="仿宋" w:eastAsia="仿宋"/>
          <w:b/>
          <w:sz w:val="32"/>
          <w:szCs w:val="32"/>
          <w:lang w:eastAsia="zh-CN"/>
        </w:rPr>
        <w:t>〈</w:t>
      </w:r>
      <w:r>
        <w:rPr>
          <w:rFonts w:hint="eastAsia" w:ascii="仿宋" w:hAnsi="仿宋" w:eastAsia="仿宋"/>
          <w:b/>
          <w:sz w:val="32"/>
          <w:szCs w:val="32"/>
        </w:rPr>
        <w:t>项级</w:t>
      </w:r>
      <w:r>
        <w:rPr>
          <w:rFonts w:hint="eastAsia" w:ascii="仿宋" w:hAnsi="仿宋" w:eastAsia="仿宋"/>
          <w:b/>
          <w:sz w:val="32"/>
          <w:szCs w:val="32"/>
          <w:lang w:eastAsia="zh-CN"/>
        </w:rPr>
        <w:t>〉</w:t>
      </w:r>
      <w:r>
        <w:rPr>
          <w:rFonts w:hint="eastAsia" w:ascii="仿宋" w:hAnsi="仿宋" w:eastAsia="仿宋"/>
          <w:b/>
          <w:sz w:val="32"/>
          <w:szCs w:val="32"/>
        </w:rPr>
        <w:t>比较，与预算数持平可以不写原因。）</w:t>
      </w:r>
    </w:p>
    <w:p w14:paraId="1DCD4FD3">
      <w:pPr>
        <w:tabs>
          <w:tab w:val="right" w:pos="8306"/>
        </w:tabs>
        <w:spacing w:line="600" w:lineRule="exact"/>
        <w:ind w:firstLine="640"/>
        <w:outlineLvl w:val="1"/>
        <w:rPr>
          <w:rStyle w:val="29"/>
        </w:rPr>
      </w:pPr>
      <w:bookmarkStart w:id="79" w:name="_Toc15377214"/>
      <w:bookmarkStart w:id="80" w:name="_Toc31932"/>
      <w:bookmarkStart w:id="81"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9"/>
          <w:rFonts w:hint="eastAsia" w:ascii="黑体" w:hAnsi="黑体" w:eastAsia="黑体"/>
          <w:b w:val="0"/>
        </w:rPr>
        <w:t>般公共预算财政拨款基本支出决算情况说明</w:t>
      </w:r>
      <w:bookmarkEnd w:id="79"/>
      <w:bookmarkEnd w:id="80"/>
      <w:bookmarkEnd w:id="81"/>
      <w:r>
        <w:rPr>
          <w:rStyle w:val="29"/>
          <w:rFonts w:ascii="黑体" w:hAnsi="黑体" w:eastAsia="黑体"/>
          <w:b w:val="0"/>
        </w:rPr>
        <w:tab/>
      </w:r>
    </w:p>
    <w:p w14:paraId="0BC427B7">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488.62</w:t>
      </w:r>
      <w:r>
        <w:rPr>
          <w:rFonts w:hint="eastAsia" w:ascii="仿宋" w:hAnsi="仿宋" w:eastAsia="仿宋"/>
          <w:sz w:val="32"/>
          <w:szCs w:val="32"/>
        </w:rPr>
        <w:t>万元，其中：</w:t>
      </w:r>
    </w:p>
    <w:p w14:paraId="1D535450">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ascii="仿宋" w:hAnsi="仿宋" w:eastAsia="仿宋"/>
          <w:b/>
          <w:sz w:val="32"/>
          <w:szCs w:val="32"/>
        </w:rPr>
        <w:t>484.85</w:t>
      </w:r>
      <w:r>
        <w:rPr>
          <w:rFonts w:hint="eastAsia" w:ascii="仿宋" w:hAnsi="仿宋" w:eastAsia="仿宋"/>
          <w:sz w:val="32"/>
          <w:szCs w:val="32"/>
        </w:rPr>
        <w:t>万元，主要包括：基本工资</w:t>
      </w:r>
      <w:r>
        <w:rPr>
          <w:rFonts w:hint="eastAsia" w:ascii="仿宋" w:hAnsi="仿宋" w:eastAsia="仿宋"/>
          <w:sz w:val="32"/>
          <w:szCs w:val="32"/>
          <w:lang w:val="en-US" w:eastAsia="zh-CN"/>
        </w:rPr>
        <w:t>89.11万元</w:t>
      </w:r>
      <w:r>
        <w:rPr>
          <w:rFonts w:hint="eastAsia" w:ascii="仿宋" w:hAnsi="仿宋" w:eastAsia="仿宋"/>
          <w:sz w:val="32"/>
          <w:szCs w:val="32"/>
        </w:rPr>
        <w:t>、津贴补贴</w:t>
      </w:r>
      <w:r>
        <w:rPr>
          <w:rFonts w:hint="eastAsia" w:ascii="仿宋" w:hAnsi="仿宋" w:eastAsia="仿宋"/>
          <w:sz w:val="32"/>
          <w:szCs w:val="32"/>
          <w:lang w:val="en-US" w:eastAsia="zh-CN"/>
        </w:rPr>
        <w:t>67.82万元</w:t>
      </w:r>
      <w:r>
        <w:rPr>
          <w:rFonts w:hint="eastAsia" w:ascii="仿宋" w:hAnsi="仿宋" w:eastAsia="仿宋"/>
          <w:sz w:val="32"/>
          <w:szCs w:val="32"/>
        </w:rPr>
        <w:t>、奖金</w:t>
      </w:r>
      <w:r>
        <w:rPr>
          <w:rFonts w:hint="eastAsia" w:ascii="仿宋" w:hAnsi="仿宋" w:eastAsia="仿宋"/>
          <w:sz w:val="32"/>
          <w:szCs w:val="32"/>
          <w:lang w:val="en-US" w:eastAsia="zh-CN"/>
        </w:rPr>
        <w:t>116.79万元</w:t>
      </w:r>
      <w:r>
        <w:rPr>
          <w:rFonts w:hint="eastAsia" w:ascii="仿宋" w:hAnsi="仿宋" w:eastAsia="仿宋"/>
          <w:sz w:val="32"/>
          <w:szCs w:val="32"/>
        </w:rPr>
        <w:t>、绩效工资</w:t>
      </w:r>
      <w:r>
        <w:rPr>
          <w:rFonts w:hint="eastAsia" w:ascii="仿宋" w:hAnsi="仿宋" w:eastAsia="仿宋"/>
          <w:sz w:val="32"/>
          <w:szCs w:val="32"/>
          <w:lang w:val="en-US" w:eastAsia="zh-CN"/>
        </w:rPr>
        <w:t>74.6万元</w:t>
      </w:r>
      <w:r>
        <w:rPr>
          <w:rFonts w:hint="eastAsia" w:ascii="仿宋" w:hAnsi="仿宋" w:eastAsia="仿宋"/>
          <w:sz w:val="32"/>
          <w:szCs w:val="32"/>
        </w:rPr>
        <w:t>、机关事业单位基本养老保险缴费</w:t>
      </w:r>
      <w:r>
        <w:rPr>
          <w:rFonts w:hint="eastAsia" w:ascii="仿宋" w:hAnsi="仿宋" w:eastAsia="仿宋"/>
          <w:sz w:val="32"/>
          <w:szCs w:val="32"/>
          <w:lang w:val="en-US" w:eastAsia="zh-CN"/>
        </w:rPr>
        <w:t>45万元</w:t>
      </w:r>
      <w:r>
        <w:rPr>
          <w:rFonts w:hint="eastAsia" w:ascii="仿宋" w:hAnsi="仿宋" w:eastAsia="仿宋"/>
          <w:sz w:val="32"/>
          <w:szCs w:val="32"/>
        </w:rPr>
        <w:t>、职业年金缴费</w:t>
      </w:r>
      <w:r>
        <w:rPr>
          <w:rFonts w:hint="eastAsia" w:ascii="仿宋" w:hAnsi="仿宋" w:eastAsia="仿宋"/>
          <w:sz w:val="32"/>
          <w:szCs w:val="32"/>
          <w:lang w:val="en-US" w:eastAsia="zh-CN"/>
        </w:rPr>
        <w:t>25.62万元</w:t>
      </w:r>
      <w:r>
        <w:rPr>
          <w:rFonts w:hint="eastAsia" w:ascii="仿宋" w:hAnsi="仿宋" w:eastAsia="仿宋"/>
          <w:sz w:val="32"/>
          <w:szCs w:val="32"/>
        </w:rPr>
        <w:t>、其他社会保障缴费</w:t>
      </w:r>
      <w:r>
        <w:rPr>
          <w:rFonts w:hint="eastAsia" w:ascii="仿宋" w:hAnsi="仿宋" w:eastAsia="仿宋"/>
          <w:sz w:val="32"/>
          <w:szCs w:val="32"/>
          <w:lang w:val="en-US" w:eastAsia="zh-CN"/>
        </w:rPr>
        <w:t>28.01万元</w:t>
      </w:r>
      <w:r>
        <w:rPr>
          <w:rFonts w:hint="eastAsia" w:ascii="仿宋" w:hAnsi="仿宋" w:eastAsia="仿宋"/>
          <w:sz w:val="32"/>
          <w:szCs w:val="32"/>
        </w:rPr>
        <w:t>、住房公积金</w:t>
      </w:r>
      <w:r>
        <w:rPr>
          <w:rFonts w:hint="eastAsia" w:ascii="仿宋" w:hAnsi="仿宋" w:eastAsia="仿宋"/>
          <w:sz w:val="32"/>
          <w:szCs w:val="32"/>
          <w:lang w:val="en-US" w:eastAsia="zh-CN"/>
        </w:rPr>
        <w:t>37.9万元</w:t>
      </w:r>
      <w:r>
        <w:rPr>
          <w:rFonts w:hint="eastAsia" w:ascii="仿宋" w:hAnsi="仿宋" w:eastAsia="仿宋"/>
          <w:sz w:val="32"/>
          <w:szCs w:val="32"/>
        </w:rPr>
        <w:t>。</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b/>
          <w:sz w:val="32"/>
          <w:szCs w:val="32"/>
        </w:rPr>
        <w:t>3.77</w:t>
      </w:r>
      <w:r>
        <w:rPr>
          <w:rFonts w:hint="eastAsia" w:ascii="仿宋" w:hAnsi="仿宋" w:eastAsia="仿宋"/>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14:paraId="13C44EE5">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7表和财决08-1表，仅罗列本单位实际支出涉及的经济分类科目。）</w:t>
      </w:r>
    </w:p>
    <w:p w14:paraId="2EEF482B">
      <w:pPr>
        <w:spacing w:line="600" w:lineRule="exact"/>
        <w:ind w:firstLine="640"/>
        <w:outlineLvl w:val="1"/>
        <w:rPr>
          <w:rStyle w:val="29"/>
          <w:rFonts w:ascii="黑体" w:hAnsi="黑体" w:eastAsia="黑体"/>
          <w:b w:val="0"/>
        </w:rPr>
      </w:pPr>
      <w:bookmarkStart w:id="82" w:name="_Toc27206"/>
      <w:bookmarkStart w:id="83" w:name="_Toc15396609"/>
      <w:bookmarkStart w:id="84" w:name="_Toc15377215"/>
      <w:r>
        <w:rPr>
          <w:rFonts w:hint="eastAsia" w:ascii="黑体" w:eastAsia="黑体"/>
          <w:sz w:val="32"/>
          <w:szCs w:val="32"/>
        </w:rPr>
        <w:t>七、</w:t>
      </w:r>
      <w:r>
        <w:rPr>
          <w:rStyle w:val="29"/>
          <w:rFonts w:hint="eastAsia" w:ascii="黑体" w:hAnsi="黑体" w:eastAsia="黑体"/>
          <w:b w:val="0"/>
        </w:rPr>
        <w:t>财政拨款</w:t>
      </w:r>
      <w:r>
        <w:rPr>
          <w:rStyle w:val="29"/>
          <w:rFonts w:hint="eastAsia" w:ascii="黑体" w:hAnsi="黑体" w:eastAsia="黑体"/>
        </w:rPr>
        <w:t>“</w:t>
      </w:r>
      <w:r>
        <w:rPr>
          <w:rStyle w:val="29"/>
          <w:rFonts w:hint="eastAsia" w:ascii="黑体" w:hAnsi="黑体" w:eastAsia="黑体"/>
          <w:b w:val="0"/>
        </w:rPr>
        <w:t>三公”经费支出决算情况说明</w:t>
      </w:r>
      <w:bookmarkEnd w:id="82"/>
      <w:bookmarkEnd w:id="83"/>
      <w:bookmarkEnd w:id="84"/>
    </w:p>
    <w:p w14:paraId="13B51E55">
      <w:pPr>
        <w:spacing w:line="600" w:lineRule="exact"/>
        <w:ind w:firstLine="640"/>
        <w:outlineLvl w:val="2"/>
        <w:rPr>
          <w:rFonts w:ascii="仿宋" w:hAnsi="仿宋" w:eastAsia="仿宋"/>
          <w:b/>
          <w:sz w:val="32"/>
          <w:szCs w:val="32"/>
        </w:rPr>
      </w:pPr>
      <w:bookmarkStart w:id="85" w:name="_Toc18507"/>
      <w:bookmarkStart w:id="86" w:name="_Toc15377216"/>
      <w:r>
        <w:rPr>
          <w:rFonts w:hint="eastAsia" w:ascii="仿宋" w:hAnsi="仿宋" w:eastAsia="仿宋"/>
          <w:b/>
          <w:sz w:val="32"/>
          <w:szCs w:val="32"/>
        </w:rPr>
        <w:t>（一）“三公”经费财政拨款支出决算总体情况说明</w:t>
      </w:r>
      <w:bookmarkEnd w:id="85"/>
      <w:bookmarkEnd w:id="86"/>
    </w:p>
    <w:p w14:paraId="531A6095">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0</w:t>
      </w:r>
      <w:r>
        <w:rPr>
          <w:rFonts w:hint="eastAsia" w:ascii="仿宋" w:hAnsi="仿宋" w:eastAsia="仿宋"/>
          <w:sz w:val="32"/>
          <w:szCs w:val="32"/>
        </w:rPr>
        <w:t>万元，完成预算</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p>
    <w:p w14:paraId="182BEF6D">
      <w:pPr>
        <w:spacing w:line="600" w:lineRule="exact"/>
        <w:ind w:firstLine="640"/>
        <w:rPr>
          <w:rFonts w:ascii="仿宋" w:hAnsi="仿宋" w:eastAsia="仿宋"/>
          <w:b/>
          <w:sz w:val="32"/>
          <w:szCs w:val="32"/>
        </w:rPr>
      </w:pPr>
      <w:r>
        <w:rPr>
          <w:rFonts w:hint="eastAsia" w:ascii="仿宋" w:hAnsi="仿宋" w:eastAsia="仿宋"/>
          <w:b/>
          <w:sz w:val="32"/>
          <w:szCs w:val="32"/>
        </w:rPr>
        <w:t>（注：上述“预算”口径为全年预算数，包括一般公共预算和政府性基金预算财政拨款支出决算情况。）</w:t>
      </w:r>
    </w:p>
    <w:p w14:paraId="06E1DBEA">
      <w:pPr>
        <w:spacing w:line="600" w:lineRule="exact"/>
        <w:ind w:firstLine="640"/>
        <w:outlineLvl w:val="2"/>
        <w:rPr>
          <w:rFonts w:ascii="仿宋" w:hAnsi="仿宋" w:eastAsia="仿宋"/>
          <w:b/>
          <w:sz w:val="32"/>
          <w:szCs w:val="32"/>
        </w:rPr>
      </w:pPr>
      <w:bookmarkStart w:id="87" w:name="_Toc15377217"/>
      <w:bookmarkStart w:id="88" w:name="_Toc32384"/>
      <w:r>
        <w:rPr>
          <w:rFonts w:hint="eastAsia" w:ascii="仿宋" w:hAnsi="仿宋" w:eastAsia="仿宋"/>
          <w:b/>
          <w:sz w:val="32"/>
          <w:szCs w:val="32"/>
        </w:rPr>
        <w:t>（二）“三公”经费财政拨款支出决算具体情况说明</w:t>
      </w:r>
      <w:bookmarkEnd w:id="87"/>
      <w:bookmarkEnd w:id="88"/>
    </w:p>
    <w:p w14:paraId="0A404FF8">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14:paraId="3A86F3E7">
      <w:pPr>
        <w:spacing w:line="600" w:lineRule="exact"/>
        <w:ind w:firstLine="640"/>
        <w:rPr>
          <w:rFonts w:hint="eastAsia" w:ascii="仿宋" w:hAnsi="仿宋" w:eastAsia="仿宋"/>
          <w:sz w:val="32"/>
          <w:szCs w:val="32"/>
        </w:rPr>
      </w:pPr>
      <w:r>
        <w:rPr>
          <w:rFonts w:hint="eastAsia" w:ascii="仿宋" w:hAnsi="仿宋" w:eastAsia="仿宋"/>
          <w:sz w:val="32"/>
          <w:szCs w:val="32"/>
        </w:rPr>
        <w:t>（图7：“三公”经费财政拨款支出结构）（饼状图）</w:t>
      </w:r>
    </w:p>
    <w:p w14:paraId="7ACCA9E3">
      <w:pPr>
        <w:spacing w:line="600" w:lineRule="exact"/>
        <w:ind w:firstLine="640"/>
        <w:rPr>
          <w:rFonts w:hint="eastAsia" w:ascii="仿宋" w:hAnsi="仿宋" w:eastAsia="仿宋"/>
          <w:sz w:val="32"/>
          <w:szCs w:val="32"/>
        </w:rPr>
      </w:pPr>
    </w:p>
    <w:p w14:paraId="7F82900F">
      <w:pPr>
        <w:spacing w:line="600" w:lineRule="exact"/>
        <w:ind w:firstLine="640"/>
        <w:rPr>
          <w:rFonts w:hint="eastAsia" w:ascii="仿宋" w:hAnsi="仿宋" w:eastAsia="仿宋"/>
          <w:sz w:val="32"/>
          <w:szCs w:val="32"/>
        </w:rPr>
      </w:pPr>
    </w:p>
    <w:p w14:paraId="64FDB490">
      <w:pPr>
        <w:spacing w:line="600" w:lineRule="exact"/>
        <w:ind w:firstLine="640"/>
        <w:rPr>
          <w:rFonts w:hint="eastAsia" w:ascii="仿宋" w:hAnsi="仿宋" w:eastAsia="仿宋"/>
          <w:sz w:val="32"/>
          <w:szCs w:val="32"/>
        </w:rPr>
      </w:pPr>
    </w:p>
    <w:p w14:paraId="5DB6B6C8">
      <w:pPr>
        <w:spacing w:line="600" w:lineRule="exact"/>
        <w:ind w:firstLine="640"/>
        <w:rPr>
          <w:rFonts w:hint="eastAsia" w:ascii="仿宋" w:hAnsi="仿宋" w:eastAsia="仿宋"/>
          <w:sz w:val="32"/>
          <w:szCs w:val="32"/>
        </w:rPr>
      </w:pPr>
    </w:p>
    <w:p w14:paraId="1B0AA464">
      <w:pPr>
        <w:spacing w:line="600" w:lineRule="exact"/>
        <w:ind w:firstLine="640"/>
        <w:rPr>
          <w:rFonts w:hint="eastAsia" w:ascii="仿宋" w:hAnsi="仿宋" w:eastAsia="仿宋"/>
          <w:sz w:val="32"/>
          <w:szCs w:val="32"/>
        </w:rPr>
      </w:pPr>
    </w:p>
    <w:p w14:paraId="35B82BCC">
      <w:pPr>
        <w:spacing w:line="600" w:lineRule="exact"/>
        <w:ind w:firstLine="640"/>
        <w:rPr>
          <w:rFonts w:hint="eastAsia" w:ascii="仿宋" w:hAnsi="仿宋" w:eastAsia="仿宋"/>
          <w:sz w:val="32"/>
          <w:szCs w:val="32"/>
        </w:rPr>
      </w:pPr>
    </w:p>
    <w:p w14:paraId="54EA3A08">
      <w:pPr>
        <w:spacing w:line="600" w:lineRule="exact"/>
        <w:ind w:firstLine="640"/>
        <w:rPr>
          <w:rFonts w:hint="eastAsia" w:ascii="仿宋" w:hAnsi="仿宋" w:eastAsia="仿宋"/>
          <w:sz w:val="32"/>
          <w:szCs w:val="32"/>
        </w:rPr>
      </w:pPr>
      <w:r>
        <w:drawing>
          <wp:anchor distT="0" distB="0" distL="114300" distR="114300" simplePos="0" relativeHeight="251665408" behindDoc="0" locked="0" layoutInCell="1" allowOverlap="1">
            <wp:simplePos x="0" y="0"/>
            <wp:positionH relativeFrom="column">
              <wp:posOffset>410845</wp:posOffset>
            </wp:positionH>
            <wp:positionV relativeFrom="paragraph">
              <wp:posOffset>-2967355</wp:posOffset>
            </wp:positionV>
            <wp:extent cx="4881880" cy="3255645"/>
            <wp:effectExtent l="4445" t="4445" r="9525" b="16510"/>
            <wp:wrapNone/>
            <wp:docPr id="19"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p>
    <w:p w14:paraId="35ADDA52">
      <w:pPr>
        <w:spacing w:line="600" w:lineRule="exact"/>
        <w:ind w:firstLine="640"/>
        <w:rPr>
          <w:rFonts w:ascii="仿宋_GB2312" w:eastAsia="仿宋_GB2312"/>
          <w:b/>
          <w:sz w:val="32"/>
          <w:szCs w:val="32"/>
        </w:rPr>
      </w:pPr>
      <w:bookmarkStart w:id="89" w:name="_Toc15377218"/>
      <w:bookmarkStart w:id="90" w:name="_Toc15396610"/>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人。因公出国（境）支出决算比2022年增加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53BB3592">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sz w:val="32"/>
          <w:szCs w:val="32"/>
          <w:lang w:eastAsia="zh-CN"/>
        </w:rPr>
        <w:t>，</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17F03E49">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月31日，单位共有公务用</w:t>
      </w:r>
      <w:r>
        <w:rPr>
          <w:rFonts w:hint="eastAsia" w:ascii="仿宋_GB2312" w:eastAsia="仿宋_GB2312"/>
          <w:sz w:val="32"/>
          <w:szCs w:val="32"/>
          <w:lang w:val="en-US" w:eastAsia="zh-CN"/>
        </w:rPr>
        <w:t>车0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14:paraId="2B143FFF">
      <w:pPr>
        <w:spacing w:line="600" w:lineRule="exact"/>
        <w:ind w:firstLine="640"/>
        <w:rPr>
          <w:rFonts w:hint="eastAsia"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0</w:t>
      </w:r>
      <w:r>
        <w:rPr>
          <w:rFonts w:hint="eastAsia" w:ascii="仿宋_GB2312" w:eastAsia="仿宋_GB2312"/>
          <w:sz w:val="32"/>
          <w:szCs w:val="32"/>
        </w:rPr>
        <w:t>万元。</w:t>
      </w:r>
    </w:p>
    <w:p w14:paraId="543DA5AC">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 w:val="0"/>
          <w:bCs/>
          <w:sz w:val="32"/>
          <w:szCs w:val="32"/>
        </w:rPr>
        <w:t>0%</w:t>
      </w:r>
      <w:r>
        <w:rPr>
          <w:rStyle w:val="17"/>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。其中：</w:t>
      </w:r>
    </w:p>
    <w:p w14:paraId="159A1565">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b/>
          <w:sz w:val="32"/>
          <w:szCs w:val="32"/>
        </w:rPr>
        <w:t>0</w:t>
      </w:r>
      <w:r>
        <w:rPr>
          <w:rFonts w:hint="eastAsia" w:ascii="仿宋_GB2312" w:eastAsia="仿宋_GB2312"/>
          <w:sz w:val="32"/>
          <w:szCs w:val="32"/>
        </w:rPr>
        <w:t>万元。国内公务接待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14:paraId="47BE02F3">
      <w:pPr>
        <w:spacing w:line="600" w:lineRule="exact"/>
        <w:ind w:firstLine="643" w:firstLineChars="200"/>
        <w:rPr>
          <w:rFonts w:ascii="黑体" w:eastAsia="黑体"/>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外事接待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14:paraId="53AAB1ED">
      <w:pPr>
        <w:spacing w:line="600" w:lineRule="exact"/>
        <w:ind w:firstLine="640"/>
        <w:outlineLvl w:val="1"/>
        <w:rPr>
          <w:rStyle w:val="29"/>
          <w:rFonts w:ascii="黑体" w:hAnsi="黑体" w:eastAsia="黑体"/>
        </w:rPr>
      </w:pPr>
      <w:bookmarkStart w:id="91" w:name="_Toc24191"/>
      <w:r>
        <w:rPr>
          <w:rFonts w:hint="eastAsia" w:ascii="黑体" w:eastAsia="黑体"/>
          <w:sz w:val="32"/>
          <w:szCs w:val="32"/>
        </w:rPr>
        <w:t>八、</w:t>
      </w:r>
      <w:r>
        <w:rPr>
          <w:rStyle w:val="29"/>
          <w:rFonts w:hint="eastAsia" w:ascii="黑体" w:hAnsi="黑体" w:eastAsia="黑体"/>
          <w:b w:val="0"/>
        </w:rPr>
        <w:t>政府性基金预算支出决算情况说明</w:t>
      </w:r>
      <w:bookmarkEnd w:id="89"/>
      <w:bookmarkEnd w:id="90"/>
      <w:bookmarkEnd w:id="91"/>
    </w:p>
    <w:p w14:paraId="2F16E536">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0</w:t>
      </w:r>
      <w:r>
        <w:rPr>
          <w:rFonts w:hint="eastAsia" w:ascii="仿宋_GB2312" w:eastAsia="仿宋_GB2312"/>
          <w:sz w:val="32"/>
          <w:szCs w:val="32"/>
        </w:rPr>
        <w:t>万元。</w:t>
      </w:r>
    </w:p>
    <w:p w14:paraId="6B7CB2A3">
      <w:pPr>
        <w:numPr>
          <w:ilvl w:val="0"/>
          <w:numId w:val="4"/>
        </w:numPr>
        <w:spacing w:line="600" w:lineRule="exact"/>
        <w:ind w:firstLine="640"/>
        <w:outlineLvl w:val="1"/>
        <w:rPr>
          <w:rStyle w:val="29"/>
          <w:rFonts w:ascii="黑体" w:hAnsi="黑体" w:eastAsia="黑体"/>
          <w:b w:val="0"/>
        </w:rPr>
      </w:pPr>
      <w:bookmarkStart w:id="92" w:name="_Toc7257"/>
      <w:bookmarkStart w:id="93" w:name="_Toc15377219"/>
      <w:bookmarkStart w:id="94" w:name="_Toc15396611"/>
      <w:r>
        <w:rPr>
          <w:rStyle w:val="29"/>
          <w:rFonts w:hint="eastAsia" w:ascii="黑体" w:hAnsi="黑体" w:eastAsia="黑体"/>
          <w:b w:val="0"/>
        </w:rPr>
        <w:t>国有资本经营预算支出决算情况说明</w:t>
      </w:r>
      <w:bookmarkEnd w:id="92"/>
      <w:bookmarkEnd w:id="93"/>
      <w:bookmarkEnd w:id="94"/>
    </w:p>
    <w:p w14:paraId="1894D2E3">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14:paraId="2122C6FC">
      <w:pPr>
        <w:numPr>
          <w:ilvl w:val="0"/>
          <w:numId w:val="4"/>
        </w:numPr>
        <w:spacing w:line="600" w:lineRule="exact"/>
        <w:ind w:firstLine="640"/>
        <w:outlineLvl w:val="1"/>
        <w:rPr>
          <w:rStyle w:val="29"/>
          <w:rFonts w:ascii="黑体" w:hAnsi="黑体" w:eastAsia="黑体"/>
          <w:b w:val="0"/>
        </w:rPr>
      </w:pPr>
      <w:bookmarkStart w:id="95" w:name="_Toc22584"/>
      <w:bookmarkStart w:id="96" w:name="_Toc15396612"/>
      <w:bookmarkStart w:id="97" w:name="_Toc15377221"/>
      <w:r>
        <w:rPr>
          <w:rStyle w:val="29"/>
          <w:rFonts w:hint="eastAsia" w:ascii="黑体" w:hAnsi="黑体" w:eastAsia="黑体"/>
          <w:b w:val="0"/>
        </w:rPr>
        <w:t>其他重要事项的情况说明</w:t>
      </w:r>
      <w:bookmarkEnd w:id="95"/>
      <w:bookmarkEnd w:id="96"/>
      <w:bookmarkEnd w:id="97"/>
    </w:p>
    <w:p w14:paraId="1600671C">
      <w:pPr>
        <w:spacing w:line="600" w:lineRule="exact"/>
        <w:ind w:firstLine="643" w:firstLineChars="200"/>
        <w:outlineLvl w:val="2"/>
        <w:rPr>
          <w:rFonts w:ascii="仿宋" w:hAnsi="仿宋" w:eastAsia="仿宋"/>
          <w:sz w:val="32"/>
          <w:szCs w:val="32"/>
        </w:rPr>
      </w:pPr>
      <w:bookmarkStart w:id="98" w:name="_Toc22410"/>
      <w:bookmarkStart w:id="99" w:name="_Toc15377222"/>
      <w:r>
        <w:rPr>
          <w:rFonts w:hint="eastAsia" w:ascii="仿宋" w:hAnsi="仿宋" w:eastAsia="仿宋"/>
          <w:b/>
          <w:sz w:val="32"/>
          <w:szCs w:val="32"/>
        </w:rPr>
        <w:t>（一）机关运行经费支出情况</w:t>
      </w:r>
      <w:bookmarkEnd w:id="98"/>
      <w:bookmarkEnd w:id="99"/>
    </w:p>
    <w:p w14:paraId="0CBA9D95">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2023年度，阿坝州松潘县川主寺镇卫生院机关运行经费支出</w:t>
      </w:r>
      <w:r>
        <w:rPr>
          <w:rFonts w:ascii="仿宋" w:hAnsi="仿宋" w:eastAsia="仿宋"/>
          <w:b/>
          <w:sz w:val="32"/>
          <w:szCs w:val="32"/>
        </w:rPr>
        <w:t>0</w:t>
      </w:r>
      <w:r>
        <w:rPr>
          <w:rFonts w:hint="eastAsia" w:ascii="仿宋_GB2312" w:eastAsia="仿宋_GB2312"/>
          <w:sz w:val="32"/>
          <w:szCs w:val="32"/>
        </w:rPr>
        <w:t>万元，与2022年度决算数持平。</w:t>
      </w:r>
    </w:p>
    <w:p w14:paraId="1D0E00A3">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357A6BD7">
      <w:pPr>
        <w:autoSpaceDE w:val="0"/>
        <w:autoSpaceDN w:val="0"/>
        <w:adjustRightInd w:val="0"/>
        <w:spacing w:line="600" w:lineRule="exact"/>
        <w:ind w:firstLine="643" w:firstLineChars="200"/>
        <w:jc w:val="left"/>
        <w:outlineLvl w:val="2"/>
        <w:rPr>
          <w:rFonts w:ascii="仿宋" w:hAnsi="仿宋" w:eastAsia="仿宋"/>
          <w:b/>
          <w:sz w:val="32"/>
          <w:szCs w:val="32"/>
        </w:rPr>
      </w:pPr>
      <w:bookmarkStart w:id="100" w:name="_Toc15377223"/>
      <w:bookmarkStart w:id="101" w:name="_Toc18230"/>
      <w:r>
        <w:rPr>
          <w:rFonts w:hint="eastAsia" w:ascii="仿宋" w:hAnsi="仿宋" w:eastAsia="仿宋"/>
          <w:b/>
          <w:sz w:val="32"/>
          <w:szCs w:val="32"/>
        </w:rPr>
        <w:t>（二）政府采购支出情况</w:t>
      </w:r>
      <w:bookmarkEnd w:id="100"/>
      <w:bookmarkEnd w:id="101"/>
    </w:p>
    <w:p w14:paraId="7BC8CD2E">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2023年度，阿坝州松潘县川主寺镇卫生院政府采购支出总额</w:t>
      </w:r>
      <w:r>
        <w:rPr>
          <w:rFonts w:ascii="仿宋" w:hAnsi="仿宋" w:eastAsia="仿宋"/>
          <w:b/>
          <w:sz w:val="32"/>
          <w:szCs w:val="32"/>
        </w:rPr>
        <w:t>0</w:t>
      </w:r>
      <w:r>
        <w:rPr>
          <w:rFonts w:hint="eastAsia" w:ascii="仿宋_GB2312" w:eastAsia="仿宋_GB2312"/>
          <w:sz w:val="32"/>
          <w:szCs w:val="32"/>
        </w:rPr>
        <w:t>万元，其中：政府采购货物支出</w:t>
      </w:r>
      <w:r>
        <w:rPr>
          <w:rFonts w:ascii="仿宋" w:hAnsi="仿宋" w:eastAsia="仿宋"/>
          <w:b/>
          <w:sz w:val="32"/>
          <w:szCs w:val="32"/>
        </w:rPr>
        <w:t>0</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0</w:t>
      </w:r>
      <w:r>
        <w:rPr>
          <w:rFonts w:hint="eastAsia" w:ascii="仿宋_GB2312" w:eastAsia="仿宋_GB2312"/>
          <w:sz w:val="32"/>
          <w:szCs w:val="32"/>
        </w:rPr>
        <w:t>万元。授予中小企业合同金额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14:paraId="39F52437">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3213854D">
      <w:pPr>
        <w:autoSpaceDE w:val="0"/>
        <w:autoSpaceDN w:val="0"/>
        <w:adjustRightInd w:val="0"/>
        <w:spacing w:line="600" w:lineRule="exact"/>
        <w:ind w:firstLine="643" w:firstLineChars="200"/>
        <w:jc w:val="left"/>
        <w:outlineLvl w:val="2"/>
        <w:rPr>
          <w:rFonts w:ascii="仿宋" w:hAnsi="仿宋" w:eastAsia="仿宋"/>
          <w:b/>
          <w:sz w:val="32"/>
          <w:szCs w:val="32"/>
        </w:rPr>
      </w:pPr>
      <w:bookmarkStart w:id="102" w:name="_Toc15377224"/>
      <w:bookmarkStart w:id="103" w:name="_Toc23543"/>
      <w:r>
        <w:rPr>
          <w:rFonts w:hint="eastAsia" w:ascii="仿宋" w:hAnsi="仿宋" w:eastAsia="仿宋"/>
          <w:b/>
          <w:sz w:val="32"/>
          <w:szCs w:val="32"/>
        </w:rPr>
        <w:t>（三）国有资产占有使用情况</w:t>
      </w:r>
      <w:bookmarkEnd w:id="102"/>
      <w:bookmarkEnd w:id="103"/>
    </w:p>
    <w:p w14:paraId="7FC4A665">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日，阿坝州松潘县川主寺镇卫生院共有车辆</w:t>
      </w:r>
      <w:r>
        <w:rPr>
          <w:rFonts w:hint="eastAsia" w:ascii="仿宋_GB2312" w:eastAsia="仿宋_GB2312"/>
          <w:b/>
          <w:sz w:val="32"/>
          <w:szCs w:val="32"/>
        </w:rPr>
        <w:t>0</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14:paraId="2370834E">
      <w:pPr>
        <w:autoSpaceDE w:val="0"/>
        <w:autoSpaceDN w:val="0"/>
        <w:adjustRightInd w:val="0"/>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（注：数据来源于财决附03表，按单位决算报表填报数据罗列车辆情况。）</w:t>
      </w:r>
    </w:p>
    <w:p w14:paraId="5300D608">
      <w:pPr>
        <w:autoSpaceDE w:val="0"/>
        <w:autoSpaceDN w:val="0"/>
        <w:adjustRightInd w:val="0"/>
        <w:spacing w:line="600" w:lineRule="exact"/>
        <w:ind w:firstLine="643" w:firstLineChars="200"/>
        <w:jc w:val="left"/>
        <w:outlineLvl w:val="2"/>
        <w:rPr>
          <w:rFonts w:ascii="仿宋" w:hAnsi="仿宋" w:eastAsia="仿宋"/>
          <w:b/>
          <w:sz w:val="32"/>
          <w:szCs w:val="32"/>
        </w:rPr>
      </w:pPr>
      <w:bookmarkStart w:id="104" w:name="_Toc11348"/>
      <w:r>
        <w:rPr>
          <w:rFonts w:hint="eastAsia" w:ascii="仿宋" w:hAnsi="仿宋" w:eastAsia="仿宋"/>
          <w:b/>
          <w:sz w:val="32"/>
          <w:szCs w:val="32"/>
        </w:rPr>
        <w:t>（四）预算绩效管理情况</w:t>
      </w:r>
      <w:bookmarkEnd w:id="104"/>
    </w:p>
    <w:p w14:paraId="51F41417">
      <w:pPr>
        <w:pStyle w:val="35"/>
        <w:keepNext w:val="0"/>
        <w:keepLines w:val="0"/>
        <w:widowControl/>
        <w:suppressLineNumbers w:val="0"/>
        <w:spacing w:before="0" w:beforeAutospacing="0"/>
        <w:ind w:left="0" w:firstLine="640" w:firstLineChars="200"/>
        <w:jc w:val="left"/>
        <w:rPr>
          <w:rFonts w:hint="default" w:ascii="仿宋_GB2312" w:eastAsia="仿宋_GB2312"/>
          <w:sz w:val="32"/>
          <w:szCs w:val="32"/>
          <w:lang w:val="en-US"/>
        </w:rPr>
      </w:pPr>
      <w:r>
        <w:rPr>
          <w:rFonts w:hint="eastAsia" w:ascii="仿宋_GB2312" w:eastAsia="仿宋_GB2312"/>
          <w:sz w:val="32"/>
          <w:szCs w:val="32"/>
          <w:lang w:eastAsia="zh-CN"/>
        </w:rPr>
        <w:t>根据</w:t>
      </w:r>
      <w:r>
        <w:rPr>
          <w:rFonts w:hint="eastAsia" w:ascii="仿宋_GB2312" w:hAnsi="Times New Roman" w:eastAsia="仿宋_GB2312" w:cs="Times New Roman"/>
          <w:color w:val="000000"/>
          <w:kern w:val="2"/>
          <w:sz w:val="32"/>
          <w:szCs w:val="32"/>
          <w:lang w:val="en-US" w:eastAsia="zh-CN" w:bidi="ar-SA"/>
        </w:rPr>
        <w:t>预算绩效管理要求，组织对基本公共卫生服务、基层医疗机构基本药物制度补助、村卫生室实施国家基本药物制度补助、三支一扶财政补助资金4个项目开展了预算事前绩效评估，对4个项目编制了绩效目标，预算执行过程中，对所有项目开展绩效监控，年终执行完毕后，组织对4个项目开展绩效自评，绩效自评表详见第四部分附件。</w:t>
      </w:r>
    </w:p>
    <w:p w14:paraId="7C92E48B">
      <w:pPr>
        <w:numPr>
          <w:ilvl w:val="0"/>
          <w:numId w:val="5"/>
        </w:numPr>
        <w:spacing w:line="600" w:lineRule="exact"/>
        <w:ind w:firstLine="660" w:firstLineChars="150"/>
        <w:jc w:val="center"/>
        <w:outlineLvl w:val="0"/>
        <w:rPr>
          <w:rStyle w:val="28"/>
          <w:rFonts w:ascii="黑体" w:hAnsi="黑体" w:eastAsia="黑体"/>
          <w:b w:val="0"/>
        </w:rPr>
      </w:pPr>
      <w:bookmarkStart w:id="105" w:name="_Toc8593"/>
      <w:bookmarkStart w:id="106" w:name="_Toc15377225"/>
      <w:bookmarkStart w:id="107" w:name="_Toc15396613"/>
      <w:r>
        <w:rPr>
          <w:rFonts w:hint="eastAsia" w:ascii="黑体" w:hAnsi="黑体" w:eastAsia="黑体"/>
          <w:sz w:val="44"/>
          <w:szCs w:val="44"/>
        </w:rPr>
        <w:t>名</w:t>
      </w:r>
      <w:r>
        <w:rPr>
          <w:rStyle w:val="28"/>
          <w:rFonts w:hint="eastAsia" w:ascii="黑体" w:hAnsi="黑体" w:eastAsia="黑体"/>
          <w:b w:val="0"/>
        </w:rPr>
        <w:t>词解释</w:t>
      </w:r>
      <w:bookmarkEnd w:id="105"/>
      <w:bookmarkEnd w:id="106"/>
      <w:bookmarkEnd w:id="107"/>
    </w:p>
    <w:p w14:paraId="7B6BB1B4">
      <w:pPr>
        <w:spacing w:line="600" w:lineRule="exact"/>
        <w:jc w:val="left"/>
        <w:rPr>
          <w:rFonts w:ascii="宋体"/>
          <w:b/>
          <w:sz w:val="44"/>
          <w:szCs w:val="44"/>
        </w:rPr>
      </w:pPr>
    </w:p>
    <w:p w14:paraId="7797B675">
      <w:pPr>
        <w:ind w:firstLine="640" w:firstLineChars="200"/>
        <w:rPr>
          <w:rFonts w:hint="eastAsia" w:ascii="仿宋_GB2312" w:eastAsia="仿宋_GB2312"/>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w:t>
      </w:r>
    </w:p>
    <w:p w14:paraId="1C24C7DF">
      <w:pPr>
        <w:spacing w:line="600" w:lineRule="exact"/>
        <w:ind w:firstLine="640"/>
        <w:rPr>
          <w:rFonts w:ascii="仿宋" w:hAnsi="仿宋" w:eastAsia="仿宋"/>
          <w:color w:val="000000"/>
          <w:sz w:val="32"/>
          <w:szCs w:val="32"/>
        </w:rPr>
      </w:pPr>
      <w:r>
        <w:rPr>
          <w:rFonts w:ascii="仿宋" w:hAnsi="仿宋" w:eastAsia="仿宋"/>
          <w:color w:val="000000"/>
          <w:sz w:val="32"/>
          <w:szCs w:val="32"/>
        </w:rPr>
        <w:t>2.</w:t>
      </w:r>
      <w:r>
        <w:rPr>
          <w:rFonts w:hint="eastAsia" w:ascii="仿宋" w:hAnsi="仿宋" w:eastAsia="仿宋"/>
          <w:color w:val="000000"/>
          <w:sz w:val="32"/>
          <w:szCs w:val="32"/>
        </w:rPr>
        <w:t>事业收入：指事业单位开展专业业务活动及辅助活动取得的收入。</w:t>
      </w:r>
    </w:p>
    <w:p w14:paraId="002F8D43">
      <w:pPr>
        <w:spacing w:line="600" w:lineRule="exact"/>
        <w:ind w:firstLine="640"/>
        <w:rPr>
          <w:rFonts w:ascii="仿宋" w:hAnsi="仿宋" w:eastAsia="仿宋"/>
          <w:color w:val="000000"/>
          <w:sz w:val="32"/>
          <w:szCs w:val="32"/>
        </w:rPr>
      </w:pPr>
      <w:r>
        <w:rPr>
          <w:rFonts w:ascii="仿宋" w:hAnsi="仿宋" w:eastAsia="仿宋"/>
          <w:color w:val="000000"/>
          <w:sz w:val="32"/>
          <w:szCs w:val="32"/>
        </w:rPr>
        <w:t>3.</w:t>
      </w:r>
      <w:r>
        <w:rPr>
          <w:rFonts w:hint="eastAsia" w:ascii="仿宋" w:hAnsi="仿宋" w:eastAsia="仿宋"/>
          <w:color w:val="000000"/>
          <w:sz w:val="32"/>
          <w:szCs w:val="32"/>
        </w:rPr>
        <w:t>经营收入：指事业单位在专业业务活动及其辅助活动之外开展非独立核算经营活动取得的收入</w:t>
      </w:r>
    </w:p>
    <w:p w14:paraId="61749288">
      <w:pPr>
        <w:spacing w:line="600" w:lineRule="exact"/>
        <w:ind w:firstLine="640"/>
        <w:rPr>
          <w:rFonts w:ascii="仿宋" w:hAnsi="仿宋" w:eastAsia="仿宋"/>
          <w:color w:val="000000"/>
          <w:sz w:val="32"/>
          <w:szCs w:val="32"/>
        </w:rPr>
      </w:pPr>
      <w:r>
        <w:rPr>
          <w:rFonts w:ascii="仿宋" w:hAnsi="仿宋" w:eastAsia="仿宋"/>
          <w:color w:val="000000"/>
          <w:sz w:val="32"/>
          <w:szCs w:val="32"/>
        </w:rPr>
        <w:t>4.</w:t>
      </w:r>
      <w:r>
        <w:rPr>
          <w:rFonts w:hint="eastAsia" w:ascii="仿宋" w:hAnsi="仿宋" w:eastAsia="仿宋"/>
          <w:color w:val="000000"/>
          <w:sz w:val="32"/>
          <w:szCs w:val="32"/>
        </w:rPr>
        <w:t>其他收入：指单位取得的除上述收入以外的各项收入。</w:t>
      </w:r>
    </w:p>
    <w:p w14:paraId="0B38DF39">
      <w:pPr>
        <w:spacing w:line="600" w:lineRule="exact"/>
        <w:ind w:firstLine="640"/>
        <w:rPr>
          <w:rFonts w:ascii="仿宋" w:hAnsi="仿宋" w:eastAsia="仿宋"/>
          <w:color w:val="000000"/>
          <w:sz w:val="32"/>
          <w:szCs w:val="32"/>
        </w:rPr>
      </w:pPr>
      <w:r>
        <w:rPr>
          <w:rFonts w:ascii="仿宋" w:hAnsi="仿宋" w:eastAsia="仿宋"/>
          <w:color w:val="000000"/>
          <w:sz w:val="32"/>
          <w:szCs w:val="32"/>
        </w:rPr>
        <w:t>5.</w:t>
      </w:r>
      <w:r>
        <w:rPr>
          <w:rFonts w:hint="eastAsia" w:ascii="仿宋" w:hAnsi="仿宋" w:eastAsia="仿宋"/>
          <w:color w:val="000000"/>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仿宋" w:hAnsi="仿宋" w:eastAsia="仿宋"/>
          <w:color w:val="000000"/>
          <w:sz w:val="32"/>
          <w:szCs w:val="32"/>
        </w:rPr>
        <w:t xml:space="preserve"> </w:t>
      </w:r>
    </w:p>
    <w:p w14:paraId="2624C660">
      <w:pPr>
        <w:spacing w:line="600" w:lineRule="exact"/>
        <w:ind w:firstLine="640"/>
        <w:rPr>
          <w:rFonts w:ascii="仿宋" w:hAnsi="仿宋" w:eastAsia="仿宋"/>
          <w:color w:val="000000"/>
          <w:sz w:val="32"/>
          <w:szCs w:val="32"/>
        </w:rPr>
      </w:pPr>
      <w:r>
        <w:rPr>
          <w:rFonts w:ascii="仿宋" w:hAnsi="仿宋" w:eastAsia="仿宋"/>
          <w:color w:val="000000"/>
          <w:sz w:val="32"/>
          <w:szCs w:val="32"/>
        </w:rPr>
        <w:t>6.</w:t>
      </w:r>
      <w:r>
        <w:rPr>
          <w:rFonts w:hint="eastAsia" w:ascii="仿宋" w:hAnsi="仿宋" w:eastAsia="仿宋"/>
          <w:color w:val="000000"/>
          <w:sz w:val="32"/>
          <w:szCs w:val="32"/>
        </w:rPr>
        <w:t>年初结转和结余：指以前年度尚未完成、结转到本年按有关规定继续使用的资金。</w:t>
      </w:r>
      <w:r>
        <w:rPr>
          <w:rFonts w:ascii="仿宋" w:hAnsi="仿宋" w:eastAsia="仿宋"/>
          <w:color w:val="000000"/>
          <w:sz w:val="32"/>
          <w:szCs w:val="32"/>
        </w:rPr>
        <w:t xml:space="preserve"> </w:t>
      </w:r>
    </w:p>
    <w:p w14:paraId="4A35D9A7">
      <w:pPr>
        <w:spacing w:line="600" w:lineRule="exact"/>
        <w:ind w:firstLine="640"/>
        <w:rPr>
          <w:rFonts w:ascii="仿宋" w:hAnsi="仿宋" w:eastAsia="仿宋"/>
          <w:color w:val="000000"/>
          <w:sz w:val="32"/>
          <w:szCs w:val="32"/>
        </w:rPr>
      </w:pPr>
      <w:r>
        <w:rPr>
          <w:rFonts w:ascii="仿宋" w:hAnsi="仿宋" w:eastAsia="仿宋"/>
          <w:color w:val="000000"/>
          <w:sz w:val="32"/>
          <w:szCs w:val="32"/>
        </w:rPr>
        <w:t>7.</w:t>
      </w:r>
      <w:r>
        <w:rPr>
          <w:rFonts w:hint="eastAsia" w:ascii="仿宋" w:hAnsi="仿宋" w:eastAsia="仿宋"/>
          <w:color w:val="000000"/>
          <w:sz w:val="32"/>
          <w:szCs w:val="32"/>
        </w:rPr>
        <w:t>结余分配：指事业单位按照事业单位会计制度的规定从非财政补助结余中分配的事业基金和职工福利基金等。</w:t>
      </w:r>
    </w:p>
    <w:p w14:paraId="35168BD2">
      <w:pPr>
        <w:spacing w:line="600" w:lineRule="exact"/>
        <w:ind w:firstLine="640"/>
        <w:rPr>
          <w:rFonts w:hint="eastAsia" w:ascii="仿宋" w:hAnsi="仿宋" w:eastAsia="仿宋" w:cs="Times New Roman"/>
          <w:b/>
          <w:bCs/>
          <w:sz w:val="32"/>
          <w:szCs w:val="32"/>
          <w:lang w:val="en-US" w:eastAsia="zh-CN"/>
        </w:rPr>
      </w:pPr>
      <w:r>
        <w:rPr>
          <w:rFonts w:ascii="仿宋" w:hAnsi="仿宋" w:eastAsia="仿宋"/>
          <w:color w:val="000000"/>
          <w:sz w:val="32"/>
          <w:szCs w:val="32"/>
        </w:rPr>
        <w:t>8</w:t>
      </w:r>
      <w:r>
        <w:rPr>
          <w:rFonts w:hint="eastAsia" w:ascii="仿宋" w:hAnsi="仿宋" w:eastAsia="仿宋"/>
          <w:color w:val="000000"/>
          <w:sz w:val="32"/>
          <w:szCs w:val="32"/>
        </w:rPr>
        <w:t>.年末结转和结余：指单位按有关规定结转到下年或以后年度继续使用的资金。</w:t>
      </w:r>
    </w:p>
    <w:p w14:paraId="5C3A7B01">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9.社会保障和就业（208）行政事业单位养老支出（20805）机关事业单位养老保险费支出（2080505）： 反映机关事业单位实施养老保险制度由单位缴纳的基本养老保险费支出。3.社会保障和就业（208）行政事业单位养老支出（20805）机关事业单位职业年金缴费支出（2080506）：</w:t>
      </w:r>
      <w:bookmarkStart w:id="108" w:name="OLE_LINK3"/>
      <w:r>
        <w:rPr>
          <w:rFonts w:hint="eastAsia" w:ascii="仿宋" w:hAnsi="仿宋" w:eastAsia="仿宋" w:cs="Times New Roman"/>
          <w:color w:val="000000"/>
          <w:sz w:val="32"/>
          <w:szCs w:val="32"/>
          <w:lang w:val="en-US" w:eastAsia="zh-CN"/>
        </w:rPr>
        <w:t>反映机关事业单位实施养老保险制度由单位实际缴纳的职业年金支出。</w:t>
      </w:r>
    </w:p>
    <w:bookmarkEnd w:id="108"/>
    <w:p w14:paraId="4539ECD9">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10.社会保障和就业（208）人力资源和社会保障管理事务（20801）其他人力资源和社会保障管理事务支出（2080199）： 指三支一扶人员工资性支出。</w:t>
      </w:r>
    </w:p>
    <w:p w14:paraId="21D46064">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11.卫生健康支出（210）基层医疗卫生机构（21003）乡镇卫生院支出（2100302）：指用于单位保障人员支出、对个人和家庭的补助支出，以及保障机构正常运行、开展日常工作的基本支出。</w:t>
      </w:r>
    </w:p>
    <w:p w14:paraId="1ECCB26A">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12.卫生健康支出（210）基层医疗卫生机构（21003）其他基层医疗卫生机构支出（2100399）：指村卫生室实施国家基本药物制度及基层医疗卫生机构基本药物制度补助资金。</w:t>
      </w:r>
    </w:p>
    <w:p w14:paraId="5921E949">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13.卫生健康支出（210）公共卫生（21004）基本公共卫生服务（2100408）：指基本公共卫生服务支出。</w:t>
      </w:r>
    </w:p>
    <w:p w14:paraId="247118B1">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14.卫生健康支出（210）行政事业单位医疗（21011）事业单位医疗（2101102）：反映财政部门安排的事业单位基本医疗保险缴费经费。</w:t>
      </w:r>
    </w:p>
    <w:p w14:paraId="4BA0377A">
      <w:pPr>
        <w:ind w:firstLine="640" w:firstLineChars="200"/>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15.卫生健康支出（210）行政事业单位医疗（21011）其他行政事业单位医疗（2101199）：</w:t>
      </w:r>
      <w:bookmarkStart w:id="109" w:name="OLE_LINK10"/>
      <w:r>
        <w:rPr>
          <w:rFonts w:hint="eastAsia" w:ascii="仿宋" w:hAnsi="仿宋" w:eastAsia="仿宋" w:cs="Times New Roman"/>
          <w:color w:val="000000"/>
          <w:sz w:val="32"/>
          <w:szCs w:val="32"/>
          <w:lang w:val="en-US" w:eastAsia="zh-CN"/>
        </w:rPr>
        <w:t>指单位为职工缴纳的公务员医疗补助经费。</w:t>
      </w:r>
    </w:p>
    <w:bookmarkEnd w:id="109"/>
    <w:p w14:paraId="6A86AB66">
      <w:pPr>
        <w:ind w:firstLine="640" w:firstLineChars="200"/>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16.住房保障支出（221）住房改革支出（22102）住房公积金（2210201）：指单位为职工缴纳的住房公积金单位部分。</w:t>
      </w:r>
    </w:p>
    <w:p w14:paraId="34EE572C">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17.基本支出：指为保障机构正常运转、完成日常工作任务而发生的人员支出和公用支出。</w:t>
      </w:r>
    </w:p>
    <w:p w14:paraId="6B44B24C">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 xml:space="preserve">18.项目支出：指在基本支出之外为完成特定行政任务和事业发展目标所发生的支出。 </w:t>
      </w:r>
    </w:p>
    <w:p w14:paraId="68C4CC85">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19.“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D7DF228">
      <w:pPr>
        <w:spacing w:line="600" w:lineRule="exact"/>
        <w:jc w:val="center"/>
        <w:outlineLvl w:val="0"/>
        <w:rPr>
          <w:rFonts w:ascii="宋体"/>
          <w:b/>
          <w:sz w:val="44"/>
          <w:szCs w:val="44"/>
        </w:rPr>
        <w:sectPr>
          <w:footerReference r:id="rId7" w:type="first"/>
          <w:footerReference r:id="rId6" w:type="default"/>
          <w:pgSz w:w="11906" w:h="16838"/>
          <w:pgMar w:top="1440" w:right="1800" w:bottom="1440" w:left="1800" w:header="851" w:footer="992" w:gutter="0"/>
          <w:pgNumType w:fmt="decimal" w:start="2"/>
          <w:cols w:space="425" w:num="1"/>
          <w:docGrid w:type="lines" w:linePitch="312" w:charSpace="0"/>
        </w:sectPr>
      </w:pPr>
      <w:bookmarkStart w:id="110" w:name="_Toc15377226"/>
      <w:r>
        <w:rPr>
          <w:rFonts w:ascii="宋体"/>
          <w:b/>
          <w:sz w:val="44"/>
          <w:szCs w:val="44"/>
        </w:rPr>
        <w:br w:type="page"/>
      </w:r>
      <w:bookmarkStart w:id="111" w:name="_Toc15396614"/>
    </w:p>
    <w:p w14:paraId="04FE5070">
      <w:pPr>
        <w:numPr>
          <w:ilvl w:val="0"/>
          <w:numId w:val="5"/>
        </w:numPr>
        <w:spacing w:line="600" w:lineRule="exact"/>
        <w:ind w:left="0" w:leftChars="0" w:firstLine="660" w:firstLineChars="150"/>
        <w:jc w:val="center"/>
        <w:outlineLvl w:val="0"/>
        <w:rPr>
          <w:rStyle w:val="28"/>
          <w:rFonts w:hint="eastAsia" w:ascii="黑体" w:hAnsi="黑体" w:eastAsia="黑体"/>
          <w:b w:val="0"/>
        </w:rPr>
      </w:pPr>
      <w:bookmarkStart w:id="112" w:name="_Toc6223"/>
      <w:r>
        <w:rPr>
          <w:rStyle w:val="28"/>
          <w:rFonts w:hint="eastAsia" w:ascii="黑体" w:hAnsi="黑体" w:eastAsia="黑体"/>
          <w:b w:val="0"/>
        </w:rPr>
        <w:t>附件</w:t>
      </w:r>
      <w:bookmarkEnd w:id="111"/>
      <w:bookmarkEnd w:id="112"/>
    </w:p>
    <w:p w14:paraId="3F1F9029">
      <w:pPr>
        <w:keepNext w:val="0"/>
        <w:keepLines w:val="0"/>
        <w:widowControl/>
        <w:suppressLineNumbers w:val="0"/>
        <w:jc w:val="center"/>
        <w:textAlignment w:val="center"/>
        <w:rPr>
          <w:rFonts w:hint="eastAsia" w:ascii="黑体" w:hAnsi="宋体" w:eastAsia="黑体" w:cs="黑体"/>
          <w:b/>
          <w:bCs/>
          <w:i w:val="0"/>
          <w:iCs w:val="0"/>
          <w:color w:val="000000"/>
          <w:kern w:val="0"/>
          <w:sz w:val="30"/>
          <w:szCs w:val="30"/>
          <w:u w:val="none"/>
          <w:lang w:val="en-US" w:eastAsia="zh-CN" w:bidi="ar"/>
        </w:rPr>
      </w:pPr>
      <w:bookmarkStart w:id="113" w:name="_Toc15396618"/>
    </w:p>
    <w:tbl>
      <w:tblPr>
        <w:tblStyle w:val="15"/>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8"/>
        <w:gridCol w:w="740"/>
        <w:gridCol w:w="689"/>
        <w:gridCol w:w="902"/>
        <w:gridCol w:w="450"/>
        <w:gridCol w:w="527"/>
        <w:gridCol w:w="445"/>
        <w:gridCol w:w="929"/>
        <w:gridCol w:w="493"/>
        <w:gridCol w:w="411"/>
        <w:gridCol w:w="2228"/>
      </w:tblGrid>
      <w:tr w14:paraId="1CF70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2D04E84">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62FCF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A12A1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4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7566C9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51322422T000006098975</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基层医疗卫生机构基本药物制度补助</w:t>
            </w:r>
          </w:p>
        </w:tc>
      </w:tr>
      <w:tr w14:paraId="66807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A0E16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17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50D06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545" w:type="pct"/>
            <w:tcBorders>
              <w:top w:val="nil"/>
              <w:left w:val="nil"/>
              <w:bottom w:val="nil"/>
              <w:right w:val="nil"/>
            </w:tcBorders>
            <w:shd w:val="clear" w:color="auto" w:fill="auto"/>
            <w:vAlign w:val="center"/>
          </w:tcPr>
          <w:p w14:paraId="37D7CCD1">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83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F8EB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松潘县川主寺镇卫生院</w:t>
            </w:r>
          </w:p>
        </w:tc>
      </w:tr>
      <w:tr w14:paraId="0C02D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9CD0B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0FC13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17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380F0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38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E30BF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F608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B5008">
            <w:pPr>
              <w:rPr>
                <w:rFonts w:hint="eastAsia" w:ascii="宋体" w:hAnsi="宋体" w:eastAsia="宋体" w:cs="宋体"/>
                <w:i w:val="0"/>
                <w:iCs w:val="0"/>
                <w:color w:val="000000"/>
                <w:sz w:val="18"/>
                <w:szCs w:val="18"/>
                <w:u w:val="none"/>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16B1C">
            <w:pPr>
              <w:rPr>
                <w:rFonts w:hint="eastAsia" w:ascii="宋体" w:hAnsi="宋体" w:eastAsia="宋体" w:cs="宋体"/>
                <w:i w:val="0"/>
                <w:iCs w:val="0"/>
                <w:color w:val="000000"/>
                <w:sz w:val="18"/>
                <w:szCs w:val="18"/>
                <w:u w:val="none"/>
              </w:rPr>
            </w:pPr>
          </w:p>
        </w:tc>
        <w:tc>
          <w:tcPr>
            <w:tcW w:w="17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465CFF2">
            <w:pPr>
              <w:keepNext w:val="0"/>
              <w:keepLines w:val="0"/>
              <w:widowControl/>
              <w:suppressLineNumbers w:val="0"/>
              <w:jc w:val="left"/>
              <w:textAlignment w:val="center"/>
              <w:rPr>
                <w:rFonts w:ascii="宋体" w:hAnsi="宋体" w:eastAsia="宋体" w:cs="宋体"/>
                <w:i w:val="0"/>
                <w:iCs w:val="0"/>
                <w:color w:val="000000"/>
                <w:sz w:val="18"/>
                <w:szCs w:val="18"/>
                <w:u w:val="none"/>
              </w:rPr>
            </w:pPr>
            <w:bookmarkStart w:id="114" w:name="OLE_LINK6"/>
            <w:r>
              <w:rPr>
                <w:rFonts w:ascii="宋体" w:hAnsi="宋体" w:eastAsia="宋体" w:cs="宋体"/>
                <w:i w:val="0"/>
                <w:iCs w:val="0"/>
                <w:color w:val="000000"/>
                <w:kern w:val="0"/>
                <w:sz w:val="18"/>
                <w:szCs w:val="18"/>
                <w:u w:val="none"/>
                <w:lang w:val="en-US" w:eastAsia="zh-CN" w:bidi="ar"/>
              </w:rPr>
              <w:t>按时完成了基层医疗</w:t>
            </w:r>
            <w:r>
              <w:rPr>
                <w:rFonts w:hint="eastAsia" w:ascii="宋体" w:hAnsi="宋体" w:cs="宋体"/>
                <w:i w:val="0"/>
                <w:iCs w:val="0"/>
                <w:color w:val="000000"/>
                <w:kern w:val="0"/>
                <w:sz w:val="18"/>
                <w:szCs w:val="18"/>
                <w:u w:val="none"/>
                <w:lang w:val="en-US" w:eastAsia="zh-CN" w:bidi="ar"/>
              </w:rPr>
              <w:t>器</w:t>
            </w:r>
            <w:bookmarkStart w:id="147" w:name="_GoBack"/>
            <w:bookmarkEnd w:id="147"/>
            <w:r>
              <w:rPr>
                <w:rFonts w:ascii="宋体" w:hAnsi="宋体" w:eastAsia="宋体" w:cs="宋体"/>
                <w:i w:val="0"/>
                <w:iCs w:val="0"/>
                <w:color w:val="000000"/>
                <w:kern w:val="0"/>
                <w:sz w:val="18"/>
                <w:szCs w:val="18"/>
                <w:u w:val="none"/>
                <w:lang w:val="en-US" w:eastAsia="zh-CN" w:bidi="ar"/>
              </w:rPr>
              <w:t>械采购，药品零售价，保障了老百姓的基本医疗需求。</w:t>
            </w:r>
            <w:bookmarkEnd w:id="114"/>
          </w:p>
        </w:tc>
        <w:tc>
          <w:tcPr>
            <w:tcW w:w="238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69DB58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w:t>
            </w:r>
            <w:bookmarkStart w:id="115" w:name="OLE_LINK7"/>
            <w:r>
              <w:rPr>
                <w:rFonts w:ascii="宋体" w:hAnsi="宋体" w:eastAsia="宋体" w:cs="宋体"/>
                <w:i w:val="0"/>
                <w:iCs w:val="0"/>
                <w:color w:val="000000"/>
                <w:kern w:val="0"/>
                <w:sz w:val="18"/>
                <w:szCs w:val="18"/>
                <w:u w:val="none"/>
                <w:lang w:val="en-US" w:eastAsia="zh-CN" w:bidi="ar"/>
              </w:rPr>
              <w:t>时完成了基层医疗</w:t>
            </w:r>
            <w:r>
              <w:rPr>
                <w:rFonts w:hint="eastAsia" w:ascii="宋体" w:hAnsi="宋体" w:cs="宋体"/>
                <w:i w:val="0"/>
                <w:iCs w:val="0"/>
                <w:color w:val="000000"/>
                <w:kern w:val="0"/>
                <w:sz w:val="18"/>
                <w:szCs w:val="18"/>
                <w:u w:val="none"/>
                <w:lang w:val="en-US" w:eastAsia="zh-CN" w:bidi="ar"/>
              </w:rPr>
              <w:t>器</w:t>
            </w:r>
            <w:r>
              <w:rPr>
                <w:rFonts w:ascii="宋体" w:hAnsi="宋体" w:eastAsia="宋体" w:cs="宋体"/>
                <w:i w:val="0"/>
                <w:iCs w:val="0"/>
                <w:color w:val="000000"/>
                <w:kern w:val="0"/>
                <w:sz w:val="18"/>
                <w:szCs w:val="18"/>
                <w:u w:val="none"/>
                <w:lang w:val="en-US" w:eastAsia="zh-CN" w:bidi="ar"/>
              </w:rPr>
              <w:t>械采购，药品零售价，保障了老百姓的基本医疗需求。</w:t>
            </w:r>
            <w:bookmarkEnd w:id="115"/>
          </w:p>
        </w:tc>
      </w:tr>
      <w:tr w14:paraId="4AEEA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ED01E">
            <w:pP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9971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4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352FCEC">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时完成了基层医疗</w:t>
            </w:r>
            <w:r>
              <w:rPr>
                <w:rFonts w:hint="eastAsia" w:ascii="宋体" w:hAnsi="宋体" w:cs="宋体"/>
                <w:i w:val="0"/>
                <w:iCs w:val="0"/>
                <w:color w:val="000000"/>
                <w:kern w:val="0"/>
                <w:sz w:val="18"/>
                <w:szCs w:val="18"/>
                <w:u w:val="none"/>
                <w:lang w:val="en-US" w:eastAsia="zh-CN" w:bidi="ar"/>
              </w:rPr>
              <w:t>器</w:t>
            </w:r>
            <w:r>
              <w:rPr>
                <w:rFonts w:ascii="宋体" w:hAnsi="宋体" w:eastAsia="宋体" w:cs="宋体"/>
                <w:i w:val="0"/>
                <w:iCs w:val="0"/>
                <w:color w:val="000000"/>
                <w:kern w:val="0"/>
                <w:sz w:val="18"/>
                <w:szCs w:val="18"/>
                <w:u w:val="none"/>
                <w:lang w:val="en-US" w:eastAsia="zh-CN" w:bidi="ar"/>
              </w:rPr>
              <w:t>械采购，药品零售价，保障了老百姓的基本医疗需求。</w:t>
            </w:r>
          </w:p>
        </w:tc>
      </w:tr>
      <w:tr w14:paraId="6B552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9483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C69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DF9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736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4E0E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E04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CAE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B20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EED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23BBB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D7307">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782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794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12D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10.69</w:t>
            </w:r>
          </w:p>
        </w:tc>
        <w:tc>
          <w:tcPr>
            <w:tcW w:w="8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2197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10.69</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FDC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4B2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28A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79FD2A">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4F3F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96577">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2F2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F01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3B9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10.69</w:t>
            </w:r>
          </w:p>
        </w:tc>
        <w:tc>
          <w:tcPr>
            <w:tcW w:w="8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E0A8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10.69</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438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76C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B84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AB349">
            <w:pPr>
              <w:rPr>
                <w:rFonts w:hint="eastAsia" w:ascii="黑体" w:hAnsi="黑体" w:eastAsia="黑体" w:cs="黑体"/>
                <w:i/>
                <w:iCs/>
                <w:color w:val="000000"/>
                <w:sz w:val="18"/>
                <w:szCs w:val="18"/>
                <w:u w:val="none"/>
              </w:rPr>
            </w:pPr>
          </w:p>
        </w:tc>
      </w:tr>
      <w:tr w14:paraId="57302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6D731">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A4A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E9D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3C1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6255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49F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3BD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DB7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2400A">
            <w:pPr>
              <w:rPr>
                <w:rFonts w:hint="eastAsia" w:ascii="黑体" w:hAnsi="黑体" w:eastAsia="黑体" w:cs="黑体"/>
                <w:i/>
                <w:iCs/>
                <w:color w:val="000000"/>
                <w:sz w:val="18"/>
                <w:szCs w:val="18"/>
                <w:u w:val="none"/>
              </w:rPr>
            </w:pPr>
          </w:p>
        </w:tc>
      </w:tr>
      <w:tr w14:paraId="4CCC5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C7793">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0CB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57E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3F0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FA85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418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EA7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DA1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2A7D8">
            <w:pPr>
              <w:rPr>
                <w:rFonts w:hint="eastAsia" w:ascii="黑体" w:hAnsi="黑体" w:eastAsia="黑体" w:cs="黑体"/>
                <w:i/>
                <w:iCs/>
                <w:color w:val="000000"/>
                <w:sz w:val="18"/>
                <w:szCs w:val="18"/>
                <w:u w:val="none"/>
              </w:rPr>
            </w:pPr>
          </w:p>
        </w:tc>
      </w:tr>
      <w:tr w14:paraId="1C1D3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EEDE4">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5A2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CFCD4">
            <w:pPr>
              <w:jc w:val="center"/>
              <w:rPr>
                <w:rFonts w:hint="eastAsia" w:ascii="微软雅黑" w:hAnsi="微软雅黑" w:eastAsia="微软雅黑" w:cs="微软雅黑"/>
                <w:i/>
                <w:iCs/>
                <w:color w:val="000000"/>
                <w:sz w:val="16"/>
                <w:szCs w:val="16"/>
                <w:u w:val="none"/>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267C9">
            <w:pPr>
              <w:jc w:val="center"/>
              <w:rPr>
                <w:rFonts w:hint="eastAsia" w:ascii="微软雅黑" w:hAnsi="微软雅黑" w:eastAsia="微软雅黑" w:cs="微软雅黑"/>
                <w:i/>
                <w:iCs/>
                <w:color w:val="000000"/>
                <w:sz w:val="16"/>
                <w:szCs w:val="16"/>
                <w:u w:val="none"/>
              </w:rPr>
            </w:pPr>
          </w:p>
        </w:tc>
        <w:tc>
          <w:tcPr>
            <w:tcW w:w="8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2F725D">
            <w:pPr>
              <w:jc w:val="center"/>
              <w:rPr>
                <w:rFonts w:hint="eastAsia" w:ascii="微软雅黑" w:hAnsi="微软雅黑" w:eastAsia="微软雅黑" w:cs="微软雅黑"/>
                <w:i/>
                <w:iCs/>
                <w:color w:val="000000"/>
                <w:sz w:val="16"/>
                <w:szCs w:val="16"/>
                <w:u w:val="none"/>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D57E7">
            <w:pPr>
              <w:jc w:val="center"/>
              <w:rPr>
                <w:rFonts w:hint="eastAsia" w:ascii="微软雅黑" w:hAnsi="微软雅黑" w:eastAsia="微软雅黑" w:cs="微软雅黑"/>
                <w:i/>
                <w:iCs/>
                <w:color w:val="000000"/>
                <w:sz w:val="16"/>
                <w:szCs w:val="16"/>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BE8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A96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E1150">
            <w:pPr>
              <w:rPr>
                <w:rFonts w:hint="eastAsia" w:ascii="黑体" w:hAnsi="黑体" w:eastAsia="黑体" w:cs="黑体"/>
                <w:i/>
                <w:iCs/>
                <w:color w:val="000000"/>
                <w:sz w:val="18"/>
                <w:szCs w:val="18"/>
                <w:u w:val="none"/>
              </w:rPr>
            </w:pPr>
          </w:p>
        </w:tc>
      </w:tr>
      <w:tr w14:paraId="61A7B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3CB7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45F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7A8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C4E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B4E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AA9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3A6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BF2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B36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7E0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C6F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10C97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F7C69">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B83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609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383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实施基本药物制度的基层医疗卫生机构</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88A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80C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70F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29A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DCF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FFE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F75BE">
            <w:pPr>
              <w:jc w:val="center"/>
              <w:rPr>
                <w:rFonts w:hint="eastAsia" w:ascii="宋体" w:hAnsi="宋体" w:eastAsia="宋体" w:cs="宋体"/>
                <w:i w:val="0"/>
                <w:iCs w:val="0"/>
                <w:color w:val="000000"/>
                <w:sz w:val="18"/>
                <w:szCs w:val="18"/>
                <w:u w:val="none"/>
              </w:rPr>
            </w:pPr>
          </w:p>
        </w:tc>
      </w:tr>
      <w:tr w14:paraId="24FFB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78787">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315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BE7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95E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实施基本药物制度的卫生室</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42C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F55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8BD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02B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1D2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3EE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4F7D1">
            <w:pPr>
              <w:jc w:val="center"/>
              <w:rPr>
                <w:rFonts w:hint="eastAsia" w:ascii="宋体" w:hAnsi="宋体" w:eastAsia="宋体" w:cs="宋体"/>
                <w:i w:val="0"/>
                <w:iCs w:val="0"/>
                <w:color w:val="000000"/>
                <w:sz w:val="18"/>
                <w:szCs w:val="18"/>
                <w:u w:val="none"/>
              </w:rPr>
            </w:pPr>
          </w:p>
        </w:tc>
      </w:tr>
      <w:tr w14:paraId="69A27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1E455">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79A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EF4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3FF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优质服务基层</w:t>
            </w:r>
            <w:r>
              <w:rPr>
                <w:rFonts w:hint="eastAsia" w:ascii="宋体" w:hAnsi="宋体" w:cs="宋体"/>
                <w:i w:val="0"/>
                <w:iCs w:val="0"/>
                <w:color w:val="000000"/>
                <w:kern w:val="0"/>
                <w:sz w:val="18"/>
                <w:szCs w:val="18"/>
                <w:u w:val="none"/>
                <w:lang w:val="en-US" w:eastAsia="zh-CN" w:bidi="ar"/>
              </w:rPr>
              <w:t>行政</w:t>
            </w:r>
            <w:r>
              <w:rPr>
                <w:rFonts w:ascii="宋体" w:hAnsi="宋体" w:eastAsia="宋体" w:cs="宋体"/>
                <w:i w:val="0"/>
                <w:iCs w:val="0"/>
                <w:color w:val="000000"/>
                <w:kern w:val="0"/>
                <w:sz w:val="18"/>
                <w:szCs w:val="18"/>
                <w:u w:val="none"/>
                <w:lang w:val="en-US" w:eastAsia="zh-CN" w:bidi="ar"/>
              </w:rPr>
              <w:t>机构</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FF3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078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8E6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EBB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70E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17D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84EE4">
            <w:pPr>
              <w:jc w:val="center"/>
              <w:rPr>
                <w:rFonts w:hint="eastAsia" w:ascii="宋体" w:hAnsi="宋体" w:eastAsia="宋体" w:cs="宋体"/>
                <w:i w:val="0"/>
                <w:iCs w:val="0"/>
                <w:color w:val="000000"/>
                <w:sz w:val="18"/>
                <w:szCs w:val="18"/>
                <w:u w:val="none"/>
              </w:rPr>
            </w:pPr>
          </w:p>
        </w:tc>
      </w:tr>
      <w:tr w14:paraId="4A303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34B22">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F33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A5D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84F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乡村医生收入</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6E3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EB8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保持稳定</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493B9">
            <w:pPr>
              <w:jc w:val="center"/>
              <w:rPr>
                <w:rFonts w:hint="eastAsia" w:ascii="宋体" w:hAnsi="宋体" w:eastAsia="宋体" w:cs="宋体"/>
                <w:i w:val="0"/>
                <w:iCs w:val="0"/>
                <w:color w:val="000000"/>
                <w:sz w:val="18"/>
                <w:szCs w:val="18"/>
                <w:u w:val="none"/>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B0A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保持稳定</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FED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613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1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2A004">
            <w:pPr>
              <w:jc w:val="center"/>
              <w:rPr>
                <w:rFonts w:hint="eastAsia" w:ascii="宋体" w:hAnsi="宋体" w:eastAsia="宋体" w:cs="宋体"/>
                <w:i w:val="0"/>
                <w:iCs w:val="0"/>
                <w:color w:val="000000"/>
                <w:sz w:val="18"/>
                <w:szCs w:val="18"/>
                <w:u w:val="none"/>
              </w:rPr>
            </w:pPr>
          </w:p>
        </w:tc>
      </w:tr>
      <w:tr w14:paraId="33F2C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A3E6C">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E05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D21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F78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基本药物制度在基层持续实施</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602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832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中长期</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994E6">
            <w:pPr>
              <w:jc w:val="center"/>
              <w:rPr>
                <w:rFonts w:hint="eastAsia" w:ascii="宋体" w:hAnsi="宋体" w:eastAsia="宋体" w:cs="宋体"/>
                <w:i w:val="0"/>
                <w:iCs w:val="0"/>
                <w:color w:val="000000"/>
                <w:sz w:val="18"/>
                <w:szCs w:val="18"/>
                <w:u w:val="none"/>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A55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中长期</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58B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DF4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1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5FEBE">
            <w:pPr>
              <w:jc w:val="center"/>
              <w:rPr>
                <w:rFonts w:hint="eastAsia" w:ascii="宋体" w:hAnsi="宋体" w:eastAsia="宋体" w:cs="宋体"/>
                <w:i w:val="0"/>
                <w:iCs w:val="0"/>
                <w:color w:val="000000"/>
                <w:sz w:val="18"/>
                <w:szCs w:val="18"/>
                <w:u w:val="none"/>
              </w:rPr>
            </w:pPr>
          </w:p>
        </w:tc>
      </w:tr>
      <w:tr w14:paraId="74754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ACED5">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7C9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974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71C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F5D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357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015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F05FB">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EBA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C42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w:t>
            </w:r>
          </w:p>
        </w:tc>
        <w:tc>
          <w:tcPr>
            <w:tcW w:w="1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2B0EB">
            <w:pPr>
              <w:jc w:val="center"/>
              <w:rPr>
                <w:rFonts w:hint="eastAsia" w:ascii="微软雅黑" w:hAnsi="微软雅黑" w:eastAsia="微软雅黑" w:cs="微软雅黑"/>
                <w:i/>
                <w:iCs/>
                <w:color w:val="000000"/>
                <w:sz w:val="16"/>
                <w:szCs w:val="16"/>
                <w:u w:val="none"/>
              </w:rPr>
            </w:pPr>
          </w:p>
        </w:tc>
      </w:tr>
      <w:tr w14:paraId="01BE4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16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F77BB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09F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519C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84</w:t>
            </w:r>
          </w:p>
        </w:tc>
        <w:tc>
          <w:tcPr>
            <w:tcW w:w="13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2639D">
            <w:pPr>
              <w:rPr>
                <w:rFonts w:hint="eastAsia" w:ascii="宋体" w:hAnsi="宋体" w:eastAsia="宋体" w:cs="宋体"/>
                <w:i w:val="0"/>
                <w:iCs w:val="0"/>
                <w:color w:val="000000"/>
                <w:sz w:val="18"/>
                <w:szCs w:val="18"/>
                <w:u w:val="none"/>
              </w:rPr>
            </w:pPr>
          </w:p>
        </w:tc>
      </w:tr>
      <w:tr w14:paraId="1489A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47A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58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EC9426E">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根据资金绩效自评指标规定的内容，经我单位认真自评，2023年基药补助项目自评94分。用于采购药械，为了更好地给群众医疗服务。</w:t>
            </w:r>
          </w:p>
        </w:tc>
      </w:tr>
      <w:tr w14:paraId="05E78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47E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58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60D99BB">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2C054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B7F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58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5C0B53B">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1658C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0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574976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项目负责人：贾春花</w:t>
            </w:r>
          </w:p>
        </w:tc>
        <w:tc>
          <w:tcPr>
            <w:tcW w:w="295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13BEB6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财务负责人：贾丽玲</w:t>
            </w:r>
          </w:p>
        </w:tc>
      </w:tr>
      <w:tr w14:paraId="578AD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16" w:type="pct"/>
            <w:tcBorders>
              <w:top w:val="nil"/>
              <w:left w:val="nil"/>
              <w:bottom w:val="nil"/>
              <w:right w:val="nil"/>
            </w:tcBorders>
            <w:shd w:val="clear" w:color="auto" w:fill="auto"/>
            <w:vAlign w:val="center"/>
          </w:tcPr>
          <w:p w14:paraId="7BFC3136">
            <w:pPr>
              <w:rPr>
                <w:rFonts w:hint="eastAsia" w:ascii="宋体" w:hAnsi="宋体" w:eastAsia="宋体" w:cs="宋体"/>
                <w:i w:val="0"/>
                <w:iCs w:val="0"/>
                <w:color w:val="000000"/>
                <w:sz w:val="18"/>
                <w:szCs w:val="18"/>
                <w:u w:val="none"/>
              </w:rPr>
            </w:pPr>
          </w:p>
        </w:tc>
        <w:tc>
          <w:tcPr>
            <w:tcW w:w="434" w:type="pct"/>
            <w:tcBorders>
              <w:top w:val="nil"/>
              <w:left w:val="nil"/>
              <w:bottom w:val="nil"/>
              <w:right w:val="nil"/>
            </w:tcBorders>
            <w:shd w:val="clear" w:color="auto" w:fill="auto"/>
            <w:vAlign w:val="center"/>
          </w:tcPr>
          <w:p w14:paraId="46CCDF6E">
            <w:pPr>
              <w:rPr>
                <w:rFonts w:hint="eastAsia" w:ascii="宋体" w:hAnsi="宋体" w:eastAsia="宋体" w:cs="宋体"/>
                <w:i w:val="0"/>
                <w:iCs w:val="0"/>
                <w:color w:val="000000"/>
                <w:sz w:val="18"/>
                <w:szCs w:val="18"/>
                <w:u w:val="none"/>
              </w:rPr>
            </w:pPr>
          </w:p>
        </w:tc>
        <w:tc>
          <w:tcPr>
            <w:tcW w:w="404" w:type="pct"/>
            <w:tcBorders>
              <w:top w:val="nil"/>
              <w:left w:val="nil"/>
              <w:bottom w:val="nil"/>
              <w:right w:val="nil"/>
            </w:tcBorders>
            <w:shd w:val="clear" w:color="auto" w:fill="auto"/>
            <w:vAlign w:val="center"/>
          </w:tcPr>
          <w:p w14:paraId="5D4BFD04">
            <w:pPr>
              <w:rPr>
                <w:rFonts w:hint="eastAsia" w:ascii="宋体" w:hAnsi="宋体" w:eastAsia="宋体" w:cs="宋体"/>
                <w:i w:val="0"/>
                <w:iCs w:val="0"/>
                <w:color w:val="000000"/>
                <w:sz w:val="18"/>
                <w:szCs w:val="18"/>
                <w:u w:val="none"/>
              </w:rPr>
            </w:pPr>
          </w:p>
        </w:tc>
        <w:tc>
          <w:tcPr>
            <w:tcW w:w="529" w:type="pct"/>
            <w:tcBorders>
              <w:top w:val="nil"/>
              <w:left w:val="nil"/>
              <w:bottom w:val="nil"/>
              <w:right w:val="nil"/>
            </w:tcBorders>
            <w:shd w:val="clear" w:color="auto" w:fill="auto"/>
            <w:vAlign w:val="center"/>
          </w:tcPr>
          <w:p w14:paraId="11B38BFE">
            <w:pPr>
              <w:rPr>
                <w:rFonts w:hint="eastAsia" w:ascii="宋体" w:hAnsi="宋体" w:eastAsia="宋体" w:cs="宋体"/>
                <w:i w:val="0"/>
                <w:iCs w:val="0"/>
                <w:color w:val="000000"/>
                <w:sz w:val="18"/>
                <w:szCs w:val="18"/>
                <w:u w:val="none"/>
              </w:rPr>
            </w:pPr>
          </w:p>
        </w:tc>
        <w:tc>
          <w:tcPr>
            <w:tcW w:w="262" w:type="pct"/>
            <w:tcBorders>
              <w:top w:val="nil"/>
              <w:left w:val="nil"/>
              <w:bottom w:val="nil"/>
              <w:right w:val="nil"/>
            </w:tcBorders>
            <w:shd w:val="clear" w:color="auto" w:fill="auto"/>
            <w:vAlign w:val="center"/>
          </w:tcPr>
          <w:p w14:paraId="5F7F19DD">
            <w:pPr>
              <w:rPr>
                <w:rFonts w:hint="eastAsia" w:ascii="宋体" w:hAnsi="宋体" w:eastAsia="宋体" w:cs="宋体"/>
                <w:i w:val="0"/>
                <w:iCs w:val="0"/>
                <w:color w:val="000000"/>
                <w:sz w:val="18"/>
                <w:szCs w:val="18"/>
                <w:u w:val="none"/>
              </w:rPr>
            </w:pPr>
          </w:p>
        </w:tc>
        <w:tc>
          <w:tcPr>
            <w:tcW w:w="309" w:type="pct"/>
            <w:tcBorders>
              <w:top w:val="nil"/>
              <w:left w:val="nil"/>
              <w:bottom w:val="nil"/>
              <w:right w:val="nil"/>
            </w:tcBorders>
            <w:shd w:val="clear" w:color="auto" w:fill="auto"/>
            <w:vAlign w:val="center"/>
          </w:tcPr>
          <w:p w14:paraId="52FD0C94">
            <w:pPr>
              <w:rPr>
                <w:rFonts w:hint="eastAsia" w:ascii="宋体" w:hAnsi="宋体" w:eastAsia="宋体" w:cs="宋体"/>
                <w:i w:val="0"/>
                <w:iCs w:val="0"/>
                <w:color w:val="000000"/>
                <w:sz w:val="18"/>
                <w:szCs w:val="18"/>
                <w:u w:val="none"/>
              </w:rPr>
            </w:pPr>
          </w:p>
        </w:tc>
        <w:tc>
          <w:tcPr>
            <w:tcW w:w="261" w:type="pct"/>
            <w:tcBorders>
              <w:top w:val="nil"/>
              <w:left w:val="nil"/>
              <w:bottom w:val="nil"/>
              <w:right w:val="nil"/>
            </w:tcBorders>
            <w:shd w:val="clear" w:color="auto" w:fill="auto"/>
            <w:vAlign w:val="center"/>
          </w:tcPr>
          <w:p w14:paraId="1CA6DC78">
            <w:pPr>
              <w:rPr>
                <w:rFonts w:hint="eastAsia" w:ascii="宋体" w:hAnsi="宋体" w:eastAsia="宋体" w:cs="宋体"/>
                <w:i w:val="0"/>
                <w:iCs w:val="0"/>
                <w:color w:val="000000"/>
                <w:sz w:val="18"/>
                <w:szCs w:val="18"/>
                <w:u w:val="none"/>
              </w:rPr>
            </w:pPr>
          </w:p>
        </w:tc>
        <w:tc>
          <w:tcPr>
            <w:tcW w:w="545" w:type="pct"/>
            <w:tcBorders>
              <w:top w:val="nil"/>
              <w:left w:val="nil"/>
              <w:bottom w:val="nil"/>
              <w:right w:val="nil"/>
            </w:tcBorders>
            <w:shd w:val="clear" w:color="auto" w:fill="auto"/>
            <w:vAlign w:val="center"/>
          </w:tcPr>
          <w:p w14:paraId="17817E5B">
            <w:pPr>
              <w:rPr>
                <w:rFonts w:hint="eastAsia" w:ascii="宋体" w:hAnsi="宋体" w:eastAsia="宋体" w:cs="宋体"/>
                <w:i w:val="0"/>
                <w:iCs w:val="0"/>
                <w:color w:val="000000"/>
                <w:sz w:val="18"/>
                <w:szCs w:val="18"/>
                <w:u w:val="none"/>
              </w:rPr>
            </w:pPr>
          </w:p>
        </w:tc>
        <w:tc>
          <w:tcPr>
            <w:tcW w:w="289" w:type="pct"/>
            <w:tcBorders>
              <w:top w:val="nil"/>
              <w:left w:val="nil"/>
              <w:bottom w:val="nil"/>
              <w:right w:val="nil"/>
            </w:tcBorders>
            <w:shd w:val="clear" w:color="auto" w:fill="auto"/>
            <w:vAlign w:val="center"/>
          </w:tcPr>
          <w:p w14:paraId="1087C704">
            <w:pPr>
              <w:rPr>
                <w:rFonts w:hint="eastAsia" w:ascii="宋体" w:hAnsi="宋体" w:eastAsia="宋体" w:cs="宋体"/>
                <w:i w:val="0"/>
                <w:iCs w:val="0"/>
                <w:color w:val="000000"/>
                <w:sz w:val="18"/>
                <w:szCs w:val="18"/>
                <w:u w:val="none"/>
              </w:rPr>
            </w:pPr>
          </w:p>
        </w:tc>
        <w:tc>
          <w:tcPr>
            <w:tcW w:w="241" w:type="pct"/>
            <w:tcBorders>
              <w:top w:val="nil"/>
              <w:left w:val="nil"/>
              <w:bottom w:val="nil"/>
              <w:right w:val="nil"/>
            </w:tcBorders>
            <w:shd w:val="clear" w:color="auto" w:fill="auto"/>
            <w:vAlign w:val="center"/>
          </w:tcPr>
          <w:p w14:paraId="15CF694B">
            <w:pPr>
              <w:rPr>
                <w:rFonts w:hint="eastAsia" w:ascii="宋体" w:hAnsi="宋体" w:eastAsia="宋体" w:cs="宋体"/>
                <w:i w:val="0"/>
                <w:iCs w:val="0"/>
                <w:color w:val="000000"/>
                <w:sz w:val="18"/>
                <w:szCs w:val="18"/>
                <w:u w:val="none"/>
              </w:rPr>
            </w:pPr>
          </w:p>
        </w:tc>
        <w:tc>
          <w:tcPr>
            <w:tcW w:w="1306" w:type="pct"/>
            <w:tcBorders>
              <w:top w:val="nil"/>
              <w:left w:val="nil"/>
              <w:bottom w:val="nil"/>
              <w:right w:val="nil"/>
            </w:tcBorders>
            <w:shd w:val="clear" w:color="auto" w:fill="auto"/>
            <w:vAlign w:val="center"/>
          </w:tcPr>
          <w:p w14:paraId="01654CD2">
            <w:pPr>
              <w:rPr>
                <w:rFonts w:hint="eastAsia" w:ascii="宋体" w:hAnsi="宋体" w:eastAsia="宋体" w:cs="宋体"/>
                <w:i w:val="0"/>
                <w:iCs w:val="0"/>
                <w:color w:val="000000"/>
                <w:sz w:val="18"/>
                <w:szCs w:val="18"/>
                <w:u w:val="none"/>
              </w:rPr>
            </w:pPr>
          </w:p>
        </w:tc>
      </w:tr>
    </w:tbl>
    <w:p w14:paraId="0B8E4CE5">
      <w:pPr>
        <w:keepNext w:val="0"/>
        <w:keepLines w:val="0"/>
        <w:widowControl/>
        <w:suppressLineNumbers w:val="0"/>
        <w:jc w:val="center"/>
        <w:textAlignment w:val="center"/>
        <w:rPr>
          <w:rFonts w:hint="eastAsia" w:ascii="黑体" w:hAnsi="宋体" w:eastAsia="黑体" w:cs="黑体"/>
          <w:b/>
          <w:bCs/>
          <w:i w:val="0"/>
          <w:iCs w:val="0"/>
          <w:color w:val="000000"/>
          <w:kern w:val="0"/>
          <w:sz w:val="30"/>
          <w:szCs w:val="30"/>
          <w:u w:val="none"/>
          <w:lang w:val="en-US" w:eastAsia="zh-CN" w:bidi="ar"/>
        </w:rPr>
        <w:sectPr>
          <w:footerReference r:id="rId9" w:type="first"/>
          <w:footerReference r:id="rId8" w:type="default"/>
          <w:pgSz w:w="11906" w:h="16838"/>
          <w:pgMar w:top="1440" w:right="1800" w:bottom="1440" w:left="1800" w:header="851" w:footer="992" w:gutter="0"/>
          <w:pgNumType w:fmt="decimal" w:start="19"/>
          <w:cols w:space="425" w:num="1"/>
          <w:titlePg/>
          <w:docGrid w:type="lines" w:linePitch="312" w:charSpace="0"/>
        </w:sectPr>
      </w:pPr>
    </w:p>
    <w:tbl>
      <w:tblPr>
        <w:tblStyle w:val="15"/>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6"/>
        <w:gridCol w:w="722"/>
        <w:gridCol w:w="675"/>
        <w:gridCol w:w="958"/>
        <w:gridCol w:w="448"/>
        <w:gridCol w:w="568"/>
        <w:gridCol w:w="440"/>
        <w:gridCol w:w="925"/>
        <w:gridCol w:w="493"/>
        <w:gridCol w:w="493"/>
        <w:gridCol w:w="2124"/>
      </w:tblGrid>
      <w:tr w14:paraId="68430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83C4472">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5EFC3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5F1BB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17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73B434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51322422T000006098985</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村卫生室实施国家基本药物制度补助</w:t>
            </w:r>
          </w:p>
        </w:tc>
      </w:tr>
      <w:tr w14:paraId="3337A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3D0D7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18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586BF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542" w:type="pct"/>
            <w:tcBorders>
              <w:top w:val="nil"/>
              <w:left w:val="nil"/>
              <w:bottom w:val="nil"/>
              <w:right w:val="nil"/>
            </w:tcBorders>
            <w:shd w:val="clear" w:color="auto" w:fill="auto"/>
            <w:vAlign w:val="center"/>
          </w:tcPr>
          <w:p w14:paraId="180CCA3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82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4FA0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松潘县川主寺镇卫生院</w:t>
            </w:r>
          </w:p>
        </w:tc>
      </w:tr>
      <w:tr w14:paraId="42DC1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254C6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62B88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18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66BD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3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0E73504">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4A1A6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10746">
            <w:pPr>
              <w:rPr>
                <w:rFonts w:hint="eastAsia" w:ascii="宋体" w:hAnsi="宋体" w:eastAsia="宋体" w:cs="宋体"/>
                <w:i w:val="0"/>
                <w:iCs w:val="0"/>
                <w:color w:val="000000"/>
                <w:sz w:val="18"/>
                <w:szCs w:val="18"/>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A54BE">
            <w:pPr>
              <w:rPr>
                <w:rFonts w:hint="eastAsia" w:ascii="宋体" w:hAnsi="宋体" w:eastAsia="宋体" w:cs="宋体"/>
                <w:i w:val="0"/>
                <w:iCs w:val="0"/>
                <w:color w:val="000000"/>
                <w:sz w:val="18"/>
                <w:szCs w:val="18"/>
                <w:u w:val="none"/>
              </w:rPr>
            </w:pPr>
          </w:p>
        </w:tc>
        <w:tc>
          <w:tcPr>
            <w:tcW w:w="18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0B34273">
            <w:pPr>
              <w:keepNext w:val="0"/>
              <w:keepLines w:val="0"/>
              <w:widowControl/>
              <w:suppressLineNumbers w:val="0"/>
              <w:jc w:val="left"/>
              <w:textAlignment w:val="center"/>
              <w:rPr>
                <w:rFonts w:ascii="宋体" w:hAnsi="宋体" w:eastAsia="宋体" w:cs="宋体"/>
                <w:i w:val="0"/>
                <w:iCs w:val="0"/>
                <w:color w:val="000000"/>
                <w:sz w:val="18"/>
                <w:szCs w:val="18"/>
                <w:u w:val="none"/>
              </w:rPr>
            </w:pPr>
            <w:bookmarkStart w:id="116" w:name="OLE_LINK4"/>
            <w:r>
              <w:rPr>
                <w:rFonts w:ascii="宋体" w:hAnsi="宋体" w:eastAsia="宋体" w:cs="宋体"/>
                <w:i w:val="0"/>
                <w:iCs w:val="0"/>
                <w:color w:val="000000"/>
                <w:kern w:val="0"/>
                <w:sz w:val="18"/>
                <w:szCs w:val="18"/>
                <w:u w:val="none"/>
                <w:lang w:val="en-US" w:eastAsia="zh-CN" w:bidi="ar"/>
              </w:rPr>
              <w:t>按时完成了村卫生室药械采购，药品零售价，保障了老百姓的基本医疗需求用药。</w:t>
            </w:r>
            <w:bookmarkEnd w:id="116"/>
          </w:p>
        </w:tc>
        <w:tc>
          <w:tcPr>
            <w:tcW w:w="23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7C7813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bookmarkStart w:id="117" w:name="OLE_LINK8"/>
            <w:r>
              <w:rPr>
                <w:rFonts w:ascii="宋体" w:hAnsi="宋体" w:eastAsia="宋体" w:cs="宋体"/>
                <w:i w:val="0"/>
                <w:iCs w:val="0"/>
                <w:color w:val="000000"/>
                <w:kern w:val="0"/>
                <w:sz w:val="18"/>
                <w:szCs w:val="18"/>
                <w:u w:val="none"/>
                <w:lang w:val="en-US" w:eastAsia="zh-CN" w:bidi="ar"/>
              </w:rPr>
              <w:t>按时完成了村卫生室药械采购，药品零售价，保障了老百姓的基本医疗需求用药。</w:t>
            </w:r>
            <w:bookmarkEnd w:id="117"/>
          </w:p>
        </w:tc>
      </w:tr>
      <w:tr w14:paraId="34528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133B1">
            <w:pPr>
              <w:rPr>
                <w:rFonts w:hint="eastAsia" w:ascii="宋体" w:hAnsi="宋体" w:eastAsia="宋体" w:cs="宋体"/>
                <w:i w:val="0"/>
                <w:iCs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47CF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178"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CF3314E">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按时完成了村卫生室药械采购，药品零售价，保障了老百姓的基本医疗需求用药。</w:t>
            </w:r>
          </w:p>
        </w:tc>
      </w:tr>
      <w:tr w14:paraId="26365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C23A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280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AD9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2B4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27BC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B81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73D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688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3F1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13998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EDE9D">
            <w:pPr>
              <w:jc w:val="center"/>
              <w:rPr>
                <w:rFonts w:hint="eastAsia" w:ascii="宋体" w:hAnsi="宋体" w:eastAsia="宋体" w:cs="宋体"/>
                <w:i w:val="0"/>
                <w:iCs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1CB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45B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425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9.46</w:t>
            </w:r>
          </w:p>
        </w:tc>
        <w:tc>
          <w:tcPr>
            <w:tcW w:w="8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5C4D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9.46</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B72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E54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E36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02180F">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2EB8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66216">
            <w:pPr>
              <w:jc w:val="center"/>
              <w:rPr>
                <w:rFonts w:hint="eastAsia" w:ascii="宋体" w:hAnsi="宋体" w:eastAsia="宋体" w:cs="宋体"/>
                <w:i w:val="0"/>
                <w:iCs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4C5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063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270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9.46</w:t>
            </w:r>
          </w:p>
        </w:tc>
        <w:tc>
          <w:tcPr>
            <w:tcW w:w="8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9FF6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9.46</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F33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C7C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C42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9A3ED">
            <w:pPr>
              <w:rPr>
                <w:rFonts w:hint="eastAsia" w:ascii="黑体" w:hAnsi="黑体" w:eastAsia="黑体" w:cs="黑体"/>
                <w:i/>
                <w:iCs/>
                <w:color w:val="000000"/>
                <w:sz w:val="18"/>
                <w:szCs w:val="18"/>
                <w:u w:val="none"/>
              </w:rPr>
            </w:pPr>
          </w:p>
        </w:tc>
      </w:tr>
      <w:tr w14:paraId="68EDA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08EF0">
            <w:pPr>
              <w:jc w:val="center"/>
              <w:rPr>
                <w:rFonts w:hint="eastAsia" w:ascii="宋体" w:hAnsi="宋体" w:eastAsia="宋体" w:cs="宋体"/>
                <w:i w:val="0"/>
                <w:iCs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AAF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A04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E63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CBEF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534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BD8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FC3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4EABD">
            <w:pPr>
              <w:rPr>
                <w:rFonts w:hint="eastAsia" w:ascii="黑体" w:hAnsi="黑体" w:eastAsia="黑体" w:cs="黑体"/>
                <w:i/>
                <w:iCs/>
                <w:color w:val="000000"/>
                <w:sz w:val="18"/>
                <w:szCs w:val="18"/>
                <w:u w:val="none"/>
              </w:rPr>
            </w:pPr>
          </w:p>
        </w:tc>
      </w:tr>
      <w:tr w14:paraId="3CB86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82FA1">
            <w:pPr>
              <w:jc w:val="center"/>
              <w:rPr>
                <w:rFonts w:hint="eastAsia" w:ascii="宋体" w:hAnsi="宋体" w:eastAsia="宋体" w:cs="宋体"/>
                <w:i w:val="0"/>
                <w:iCs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052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F78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E0B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BC84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B98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62D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80A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0E7FC">
            <w:pPr>
              <w:rPr>
                <w:rFonts w:hint="eastAsia" w:ascii="黑体" w:hAnsi="黑体" w:eastAsia="黑体" w:cs="黑体"/>
                <w:i/>
                <w:iCs/>
                <w:color w:val="000000"/>
                <w:sz w:val="18"/>
                <w:szCs w:val="18"/>
                <w:u w:val="none"/>
              </w:rPr>
            </w:pPr>
          </w:p>
        </w:tc>
      </w:tr>
      <w:tr w14:paraId="58545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EFA34">
            <w:pPr>
              <w:jc w:val="center"/>
              <w:rPr>
                <w:rFonts w:hint="eastAsia" w:ascii="宋体" w:hAnsi="宋体" w:eastAsia="宋体" w:cs="宋体"/>
                <w:i w:val="0"/>
                <w:iCs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9C2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C0A91">
            <w:pPr>
              <w:jc w:val="center"/>
              <w:rPr>
                <w:rFonts w:hint="eastAsia" w:ascii="微软雅黑" w:hAnsi="微软雅黑" w:eastAsia="微软雅黑" w:cs="微软雅黑"/>
                <w:i/>
                <w:iCs/>
                <w:color w:val="000000"/>
                <w:sz w:val="16"/>
                <w:szCs w:val="16"/>
                <w:u w:val="none"/>
              </w:rPr>
            </w:pP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675BE">
            <w:pPr>
              <w:jc w:val="center"/>
              <w:rPr>
                <w:rFonts w:hint="eastAsia" w:ascii="微软雅黑" w:hAnsi="微软雅黑" w:eastAsia="微软雅黑" w:cs="微软雅黑"/>
                <w:i/>
                <w:iCs/>
                <w:color w:val="000000"/>
                <w:sz w:val="16"/>
                <w:szCs w:val="16"/>
                <w:u w:val="none"/>
              </w:rPr>
            </w:pPr>
          </w:p>
        </w:tc>
        <w:tc>
          <w:tcPr>
            <w:tcW w:w="8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236B2A">
            <w:pPr>
              <w:jc w:val="center"/>
              <w:rPr>
                <w:rFonts w:hint="eastAsia" w:ascii="微软雅黑" w:hAnsi="微软雅黑" w:eastAsia="微软雅黑" w:cs="微软雅黑"/>
                <w:i/>
                <w:iCs/>
                <w:color w:val="000000"/>
                <w:sz w:val="16"/>
                <w:szCs w:val="16"/>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E343A">
            <w:pPr>
              <w:jc w:val="center"/>
              <w:rPr>
                <w:rFonts w:hint="eastAsia" w:ascii="微软雅黑" w:hAnsi="微软雅黑" w:eastAsia="微软雅黑" w:cs="微软雅黑"/>
                <w:i/>
                <w:iCs/>
                <w:color w:val="000000"/>
                <w:sz w:val="16"/>
                <w:szCs w:val="16"/>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1DA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4AB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219CA">
            <w:pPr>
              <w:rPr>
                <w:rFonts w:hint="eastAsia" w:ascii="黑体" w:hAnsi="黑体" w:eastAsia="黑体" w:cs="黑体"/>
                <w:i/>
                <w:iCs/>
                <w:color w:val="000000"/>
                <w:sz w:val="18"/>
                <w:szCs w:val="18"/>
                <w:u w:val="none"/>
              </w:rPr>
            </w:pPr>
          </w:p>
        </w:tc>
      </w:tr>
      <w:tr w14:paraId="67164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9918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984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66D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A5F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3C5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B6A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826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27B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11F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E55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14D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4D9A5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459FE">
            <w:pPr>
              <w:jc w:val="center"/>
              <w:rPr>
                <w:rFonts w:hint="eastAsia" w:ascii="宋体" w:hAnsi="宋体" w:eastAsia="宋体" w:cs="宋体"/>
                <w:i w:val="0"/>
                <w:iCs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F5E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992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E17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实施基本药物制度的基层医疗卫生机构</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2C0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863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8AE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56F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8DE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9EF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E69DF">
            <w:pPr>
              <w:jc w:val="center"/>
              <w:rPr>
                <w:rFonts w:hint="eastAsia" w:ascii="宋体" w:hAnsi="宋体" w:eastAsia="宋体" w:cs="宋体"/>
                <w:i w:val="0"/>
                <w:iCs w:val="0"/>
                <w:color w:val="000000"/>
                <w:sz w:val="18"/>
                <w:szCs w:val="18"/>
                <w:u w:val="none"/>
              </w:rPr>
            </w:pPr>
          </w:p>
        </w:tc>
      </w:tr>
      <w:tr w14:paraId="23B84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9D83C">
            <w:pPr>
              <w:jc w:val="center"/>
              <w:rPr>
                <w:rFonts w:hint="eastAsia" w:ascii="宋体" w:hAnsi="宋体" w:eastAsia="宋体" w:cs="宋体"/>
                <w:i w:val="0"/>
                <w:iCs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243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4A0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589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实施基本药物制度的卫生室</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D5C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2B0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C62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593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23F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B4F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19A9C">
            <w:pPr>
              <w:jc w:val="center"/>
              <w:rPr>
                <w:rFonts w:hint="eastAsia" w:ascii="宋体" w:hAnsi="宋体" w:eastAsia="宋体" w:cs="宋体"/>
                <w:i w:val="0"/>
                <w:iCs w:val="0"/>
                <w:color w:val="000000"/>
                <w:sz w:val="18"/>
                <w:szCs w:val="18"/>
                <w:u w:val="none"/>
              </w:rPr>
            </w:pPr>
          </w:p>
        </w:tc>
      </w:tr>
      <w:tr w14:paraId="690B7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DAB2E">
            <w:pPr>
              <w:jc w:val="center"/>
              <w:rPr>
                <w:rFonts w:hint="eastAsia" w:ascii="宋体" w:hAnsi="宋体" w:eastAsia="宋体" w:cs="宋体"/>
                <w:i w:val="0"/>
                <w:iCs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368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386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B9C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优质服务基层</w:t>
            </w:r>
            <w:r>
              <w:rPr>
                <w:rFonts w:hint="eastAsia" w:ascii="宋体" w:hAnsi="宋体" w:cs="宋体"/>
                <w:i w:val="0"/>
                <w:iCs w:val="0"/>
                <w:color w:val="000000"/>
                <w:kern w:val="0"/>
                <w:sz w:val="18"/>
                <w:szCs w:val="18"/>
                <w:u w:val="none"/>
                <w:lang w:val="en-US" w:eastAsia="zh-CN" w:bidi="ar"/>
              </w:rPr>
              <w:t>行政</w:t>
            </w:r>
            <w:r>
              <w:rPr>
                <w:rFonts w:ascii="宋体" w:hAnsi="宋体" w:eastAsia="宋体" w:cs="宋体"/>
                <w:i w:val="0"/>
                <w:iCs w:val="0"/>
                <w:color w:val="000000"/>
                <w:kern w:val="0"/>
                <w:sz w:val="18"/>
                <w:szCs w:val="18"/>
                <w:u w:val="none"/>
                <w:lang w:val="en-US" w:eastAsia="zh-CN" w:bidi="ar"/>
              </w:rPr>
              <w:t>机构</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4C8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736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755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E2F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AA6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167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46587">
            <w:pPr>
              <w:jc w:val="center"/>
              <w:rPr>
                <w:rFonts w:hint="eastAsia" w:ascii="宋体" w:hAnsi="宋体" w:eastAsia="宋体" w:cs="宋体"/>
                <w:i w:val="0"/>
                <w:iCs w:val="0"/>
                <w:color w:val="000000"/>
                <w:sz w:val="18"/>
                <w:szCs w:val="18"/>
                <w:u w:val="none"/>
              </w:rPr>
            </w:pPr>
          </w:p>
        </w:tc>
      </w:tr>
      <w:tr w14:paraId="4E766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C4FF9">
            <w:pPr>
              <w:jc w:val="center"/>
              <w:rPr>
                <w:rFonts w:hint="eastAsia" w:ascii="宋体" w:hAnsi="宋体" w:eastAsia="宋体" w:cs="宋体"/>
                <w:i w:val="0"/>
                <w:iCs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8EC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155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D99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乡村医生收入</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38F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20A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保持稳定</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C221E">
            <w:pPr>
              <w:jc w:val="center"/>
              <w:rPr>
                <w:rFonts w:hint="eastAsia" w:ascii="宋体" w:hAnsi="宋体" w:eastAsia="宋体" w:cs="宋体"/>
                <w:i w:val="0"/>
                <w:iCs w:val="0"/>
                <w:color w:val="000000"/>
                <w:sz w:val="18"/>
                <w:szCs w:val="18"/>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427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保持稳定</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C17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750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1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26AAB">
            <w:pPr>
              <w:jc w:val="center"/>
              <w:rPr>
                <w:rFonts w:hint="eastAsia" w:ascii="宋体" w:hAnsi="宋体" w:eastAsia="宋体" w:cs="宋体"/>
                <w:i w:val="0"/>
                <w:iCs w:val="0"/>
                <w:color w:val="000000"/>
                <w:sz w:val="18"/>
                <w:szCs w:val="18"/>
                <w:u w:val="none"/>
              </w:rPr>
            </w:pPr>
          </w:p>
        </w:tc>
      </w:tr>
      <w:tr w14:paraId="3228A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A822A">
            <w:pPr>
              <w:jc w:val="center"/>
              <w:rPr>
                <w:rFonts w:hint="eastAsia" w:ascii="宋体" w:hAnsi="宋体" w:eastAsia="宋体" w:cs="宋体"/>
                <w:i w:val="0"/>
                <w:iCs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577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9A6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1D7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基本药物制度在基层持续实施</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C65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845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中长期</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FFC1C">
            <w:pPr>
              <w:jc w:val="center"/>
              <w:rPr>
                <w:rFonts w:hint="eastAsia" w:ascii="宋体" w:hAnsi="宋体" w:eastAsia="宋体" w:cs="宋体"/>
                <w:i w:val="0"/>
                <w:iCs w:val="0"/>
                <w:color w:val="000000"/>
                <w:sz w:val="18"/>
                <w:szCs w:val="18"/>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0A3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中长期</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750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D9B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1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DFB43">
            <w:pPr>
              <w:jc w:val="center"/>
              <w:rPr>
                <w:rFonts w:hint="eastAsia" w:ascii="宋体" w:hAnsi="宋体" w:eastAsia="宋体" w:cs="宋体"/>
                <w:i w:val="0"/>
                <w:iCs w:val="0"/>
                <w:color w:val="000000"/>
                <w:sz w:val="18"/>
                <w:szCs w:val="18"/>
                <w:u w:val="none"/>
              </w:rPr>
            </w:pPr>
          </w:p>
        </w:tc>
      </w:tr>
      <w:tr w14:paraId="06592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8F6E4">
            <w:pPr>
              <w:jc w:val="center"/>
              <w:rPr>
                <w:rFonts w:hint="eastAsia" w:ascii="宋体" w:hAnsi="宋体" w:eastAsia="宋体" w:cs="宋体"/>
                <w:i w:val="0"/>
                <w:iCs w:val="0"/>
                <w:color w:val="000000"/>
                <w:sz w:val="18"/>
                <w:szCs w:val="18"/>
                <w:u w:val="none"/>
              </w:rPr>
            </w:pP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E12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B95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52F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CE7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369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1BF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C3D62">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290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44C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w:t>
            </w:r>
          </w:p>
        </w:tc>
        <w:tc>
          <w:tcPr>
            <w:tcW w:w="1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AE18A">
            <w:pPr>
              <w:jc w:val="center"/>
              <w:rPr>
                <w:rFonts w:hint="eastAsia" w:ascii="微软雅黑" w:hAnsi="微软雅黑" w:eastAsia="微软雅黑" w:cs="微软雅黑"/>
                <w:i/>
                <w:iCs/>
                <w:color w:val="000000"/>
                <w:sz w:val="16"/>
                <w:szCs w:val="16"/>
                <w:u w:val="none"/>
              </w:rPr>
            </w:pPr>
          </w:p>
        </w:tc>
      </w:tr>
      <w:tr w14:paraId="5E7D1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17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EDE02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ABA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0173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84</w:t>
            </w:r>
          </w:p>
        </w:tc>
        <w:tc>
          <w:tcPr>
            <w:tcW w:w="1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F9463">
            <w:pPr>
              <w:rPr>
                <w:rFonts w:hint="eastAsia" w:ascii="宋体" w:hAnsi="宋体" w:eastAsia="宋体" w:cs="宋体"/>
                <w:i w:val="0"/>
                <w:iCs w:val="0"/>
                <w:color w:val="000000"/>
                <w:sz w:val="18"/>
                <w:szCs w:val="18"/>
                <w:u w:val="none"/>
              </w:rPr>
            </w:pPr>
          </w:p>
        </w:tc>
      </w:tr>
      <w:tr w14:paraId="215D6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2DC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F6E6289">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根据资金绩效自评指标规定的内容，经我单位认真自评，2023年村卫生基药补助项目自评94分。用于村卫生室采购药械，更好地为群众服务。</w:t>
            </w:r>
          </w:p>
        </w:tc>
      </w:tr>
      <w:tr w14:paraId="1619E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784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5C24303">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3DB34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E4A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0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DF1222D">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78297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204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39FD8D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项目负责人：贾春花</w:t>
            </w:r>
          </w:p>
        </w:tc>
        <w:tc>
          <w:tcPr>
            <w:tcW w:w="29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5A605E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财务负责人：贾丽玲</w:t>
            </w:r>
          </w:p>
        </w:tc>
      </w:tr>
    </w:tbl>
    <w:p w14:paraId="12DC4F6E"/>
    <w:p w14:paraId="4716AB98"/>
    <w:p w14:paraId="3A159547"/>
    <w:p w14:paraId="6B6F3DFF"/>
    <w:p w14:paraId="542747A1"/>
    <w:p w14:paraId="2BDDA7EC"/>
    <w:p w14:paraId="7D6546C0"/>
    <w:p w14:paraId="192C2FFF"/>
    <w:p w14:paraId="5493FF2B"/>
    <w:p w14:paraId="0D90E731"/>
    <w:p w14:paraId="746F96DD"/>
    <w:p w14:paraId="0C57BAEA"/>
    <w:p w14:paraId="38EEF4B9"/>
    <w:p w14:paraId="21DEE7C8"/>
    <w:p w14:paraId="18FEE57E"/>
    <w:p w14:paraId="78608861"/>
    <w:p w14:paraId="108D2C5C"/>
    <w:tbl>
      <w:tblPr>
        <w:tblStyle w:val="15"/>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5"/>
        <w:gridCol w:w="676"/>
        <w:gridCol w:w="646"/>
        <w:gridCol w:w="861"/>
        <w:gridCol w:w="428"/>
        <w:gridCol w:w="539"/>
        <w:gridCol w:w="428"/>
        <w:gridCol w:w="968"/>
        <w:gridCol w:w="510"/>
        <w:gridCol w:w="510"/>
        <w:gridCol w:w="2301"/>
      </w:tblGrid>
      <w:tr w14:paraId="750C0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AD2DE19">
            <w:pPr>
              <w:keepNext w:val="0"/>
              <w:keepLines w:val="0"/>
              <w:widowControl/>
              <w:suppressLineNumbers w:val="0"/>
              <w:ind w:firstLine="904" w:firstLineChars="300"/>
              <w:jc w:val="both"/>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2996D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A2118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1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CD8839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51322422T000006104104-12项基本公共卫生服务</w:t>
            </w:r>
          </w:p>
        </w:tc>
      </w:tr>
      <w:tr w14:paraId="7CBE6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EE664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170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155898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567" w:type="pct"/>
            <w:tcBorders>
              <w:top w:val="nil"/>
              <w:left w:val="nil"/>
              <w:bottom w:val="nil"/>
              <w:right w:val="nil"/>
            </w:tcBorders>
            <w:shd w:val="clear" w:color="auto" w:fill="auto"/>
            <w:vAlign w:val="center"/>
          </w:tcPr>
          <w:p w14:paraId="0E7318F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C397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松潘县川主寺镇卫生院</w:t>
            </w:r>
          </w:p>
        </w:tc>
      </w:tr>
      <w:tr w14:paraId="28589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7947E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1A539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170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4C2A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51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2F701DE">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0C463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DE5E6">
            <w:pPr>
              <w:rPr>
                <w:rFonts w:hint="eastAsia" w:ascii="宋体" w:hAnsi="宋体" w:eastAsia="宋体" w:cs="宋体"/>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8EDD7">
            <w:pPr>
              <w:rPr>
                <w:rFonts w:hint="eastAsia" w:ascii="宋体" w:hAnsi="宋体" w:eastAsia="宋体" w:cs="宋体"/>
                <w:i w:val="0"/>
                <w:iCs w:val="0"/>
                <w:color w:val="000000"/>
                <w:sz w:val="18"/>
                <w:szCs w:val="18"/>
                <w:u w:val="none"/>
              </w:rPr>
            </w:pPr>
          </w:p>
        </w:tc>
        <w:tc>
          <w:tcPr>
            <w:tcW w:w="170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A4AEDD2">
            <w:pPr>
              <w:keepNext w:val="0"/>
              <w:keepLines w:val="0"/>
              <w:widowControl/>
              <w:suppressLineNumbers w:val="0"/>
              <w:jc w:val="left"/>
              <w:textAlignment w:val="center"/>
              <w:rPr>
                <w:rFonts w:ascii="宋体" w:hAnsi="宋体" w:eastAsia="宋体" w:cs="宋体"/>
                <w:i w:val="0"/>
                <w:iCs w:val="0"/>
                <w:color w:val="000000"/>
                <w:sz w:val="18"/>
                <w:szCs w:val="18"/>
                <w:u w:val="none"/>
              </w:rPr>
            </w:pPr>
            <w:bookmarkStart w:id="118" w:name="OLE_LINK5"/>
            <w:r>
              <w:rPr>
                <w:rFonts w:ascii="宋体" w:hAnsi="宋体" w:eastAsia="宋体" w:cs="宋体"/>
                <w:i w:val="0"/>
                <w:iCs w:val="0"/>
                <w:color w:val="000000"/>
                <w:kern w:val="0"/>
                <w:sz w:val="18"/>
                <w:szCs w:val="18"/>
                <w:u w:val="none"/>
                <w:lang w:val="en-US" w:eastAsia="zh-CN" w:bidi="ar"/>
              </w:rPr>
              <w:t>按时完成了辖区内国家基本公共卫生服务各项指标，为群众更好</w:t>
            </w:r>
            <w:r>
              <w:rPr>
                <w:rFonts w:hint="eastAsia" w:ascii="宋体" w:hAnsi="宋体" w:cs="宋体"/>
                <w:i w:val="0"/>
                <w:iCs w:val="0"/>
                <w:color w:val="000000"/>
                <w:kern w:val="0"/>
                <w:sz w:val="18"/>
                <w:szCs w:val="18"/>
                <w:u w:val="none"/>
                <w:lang w:val="en-US" w:eastAsia="zh-CN" w:bidi="ar"/>
              </w:rPr>
              <w:t>地</w:t>
            </w:r>
            <w:r>
              <w:rPr>
                <w:rFonts w:ascii="宋体" w:hAnsi="宋体" w:eastAsia="宋体" w:cs="宋体"/>
                <w:i w:val="0"/>
                <w:iCs w:val="0"/>
                <w:color w:val="000000"/>
                <w:kern w:val="0"/>
                <w:sz w:val="18"/>
                <w:szCs w:val="18"/>
                <w:u w:val="none"/>
                <w:lang w:val="en-US" w:eastAsia="zh-CN" w:bidi="ar"/>
              </w:rPr>
              <w:t>服务</w:t>
            </w:r>
            <w:bookmarkEnd w:id="118"/>
          </w:p>
        </w:tc>
        <w:tc>
          <w:tcPr>
            <w:tcW w:w="251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FAA80D6">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bookmarkStart w:id="119" w:name="OLE_LINK9"/>
            <w:r>
              <w:rPr>
                <w:rFonts w:hint="eastAsia" w:ascii="宋体" w:hAnsi="宋体" w:cs="宋体"/>
                <w:i w:val="0"/>
                <w:iCs w:val="0"/>
                <w:color w:val="000000"/>
                <w:kern w:val="0"/>
                <w:sz w:val="18"/>
                <w:szCs w:val="18"/>
                <w:u w:val="none"/>
                <w:lang w:val="en-US" w:eastAsia="zh-CN" w:bidi="ar"/>
              </w:rPr>
              <w:t>截至2023年</w:t>
            </w:r>
            <w:r>
              <w:rPr>
                <w:rFonts w:hint="eastAsia" w:ascii="宋体" w:hAnsi="宋体" w:eastAsia="宋体" w:cs="宋体"/>
                <w:i w:val="0"/>
                <w:iCs w:val="0"/>
                <w:color w:val="000000"/>
                <w:kern w:val="0"/>
                <w:sz w:val="18"/>
                <w:szCs w:val="18"/>
                <w:u w:val="none"/>
                <w:lang w:val="en-US" w:eastAsia="zh-CN" w:bidi="ar"/>
              </w:rPr>
              <w:t>10月底全镇共建立居民健康案10811份，电子档案10811人，家庭签约10811人，其中高血压管理档案</w:t>
            </w:r>
            <w:r>
              <w:rPr>
                <w:rFonts w:hint="default" w:ascii="宋体" w:hAnsi="宋体" w:eastAsia="宋体" w:cs="宋体"/>
                <w:i w:val="0"/>
                <w:iCs w:val="0"/>
                <w:color w:val="000000"/>
                <w:kern w:val="0"/>
                <w:sz w:val="18"/>
                <w:szCs w:val="18"/>
                <w:u w:val="none"/>
                <w:lang w:val="en-US" w:eastAsia="zh-CN" w:bidi="ar"/>
              </w:rPr>
              <w:t>41</w:t>
            </w:r>
            <w:r>
              <w:rPr>
                <w:rFonts w:hint="eastAsia" w:ascii="宋体" w:hAnsi="宋体" w:eastAsia="宋体" w:cs="宋体"/>
                <w:i w:val="0"/>
                <w:iCs w:val="0"/>
                <w:color w:val="000000"/>
                <w:kern w:val="0"/>
                <w:sz w:val="18"/>
                <w:szCs w:val="18"/>
                <w:u w:val="none"/>
                <w:lang w:val="en-US" w:eastAsia="zh-CN" w:bidi="ar"/>
              </w:rPr>
              <w:t>3份，家庭签约415人；2型糖尿病管理档案</w:t>
            </w:r>
            <w:r>
              <w:rPr>
                <w:rFonts w:hint="default" w:ascii="宋体" w:hAnsi="宋体" w:eastAsia="宋体" w:cs="宋体"/>
                <w:i w:val="0"/>
                <w:iCs w:val="0"/>
                <w:color w:val="000000"/>
                <w:kern w:val="0"/>
                <w:sz w:val="18"/>
                <w:szCs w:val="18"/>
                <w:u w:val="none"/>
                <w:lang w:val="en-US" w:eastAsia="zh-CN" w:bidi="ar"/>
              </w:rPr>
              <w:t>3</w:t>
            </w:r>
            <w:r>
              <w:rPr>
                <w:rFonts w:hint="eastAsia" w:ascii="宋体" w:hAnsi="宋体" w:eastAsia="宋体" w:cs="宋体"/>
                <w:i w:val="0"/>
                <w:iCs w:val="0"/>
                <w:color w:val="000000"/>
                <w:kern w:val="0"/>
                <w:sz w:val="18"/>
                <w:szCs w:val="18"/>
                <w:u w:val="none"/>
                <w:lang w:val="en-US" w:eastAsia="zh-CN" w:bidi="ar"/>
              </w:rPr>
              <w:t>8份，家庭签约38人；儿童保健管理档案</w:t>
            </w:r>
            <w:r>
              <w:rPr>
                <w:rFonts w:hint="default" w:ascii="宋体" w:hAnsi="宋体" w:eastAsia="宋体" w:cs="宋体"/>
                <w:i w:val="0"/>
                <w:iCs w:val="0"/>
                <w:color w:val="000000"/>
                <w:kern w:val="0"/>
                <w:sz w:val="18"/>
                <w:szCs w:val="18"/>
                <w:u w:val="none"/>
                <w:lang w:val="en-US" w:eastAsia="zh-CN" w:bidi="ar"/>
              </w:rPr>
              <w:t>6</w:t>
            </w:r>
            <w:r>
              <w:rPr>
                <w:rFonts w:hint="eastAsia" w:ascii="宋体" w:hAnsi="宋体" w:eastAsia="宋体" w:cs="宋体"/>
                <w:i w:val="0"/>
                <w:iCs w:val="0"/>
                <w:color w:val="000000"/>
                <w:kern w:val="0"/>
                <w:sz w:val="18"/>
                <w:szCs w:val="18"/>
                <w:u w:val="none"/>
                <w:lang w:val="en-US" w:eastAsia="zh-CN" w:bidi="ar"/>
              </w:rPr>
              <w:t>17份（其中0-3岁儿童245人），新生儿51人，家庭签约617人；孕产妇管理档案</w:t>
            </w:r>
            <w:r>
              <w:rPr>
                <w:rFonts w:hint="default" w:ascii="宋体" w:hAnsi="宋体" w:eastAsia="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1份，家庭签约11人；重性精神疾病管理档案</w:t>
            </w:r>
            <w:r>
              <w:rPr>
                <w:rFonts w:hint="default" w:ascii="宋体" w:hAnsi="宋体" w:eastAsia="宋体" w:cs="宋体"/>
                <w:i w:val="0"/>
                <w:iCs w:val="0"/>
                <w:color w:val="000000"/>
                <w:kern w:val="0"/>
                <w:sz w:val="18"/>
                <w:szCs w:val="18"/>
                <w:u w:val="none"/>
                <w:lang w:val="en-US" w:eastAsia="zh-CN" w:bidi="ar"/>
              </w:rPr>
              <w:t>11</w:t>
            </w:r>
            <w:r>
              <w:rPr>
                <w:rFonts w:hint="eastAsia" w:ascii="宋体" w:hAnsi="宋体" w:eastAsia="宋体" w:cs="宋体"/>
                <w:i w:val="0"/>
                <w:iCs w:val="0"/>
                <w:color w:val="000000"/>
                <w:kern w:val="0"/>
                <w:sz w:val="18"/>
                <w:szCs w:val="18"/>
                <w:u w:val="none"/>
                <w:lang w:val="en-US" w:eastAsia="zh-CN" w:bidi="ar"/>
              </w:rPr>
              <w:t>份，家庭签约11人；老年人管理档案</w:t>
            </w:r>
            <w:r>
              <w:rPr>
                <w:rFonts w:hint="default" w:ascii="宋体" w:hAnsi="宋体" w:eastAsia="宋体" w:cs="宋体"/>
                <w:i w:val="0"/>
                <w:iCs w:val="0"/>
                <w:color w:val="000000"/>
                <w:kern w:val="0"/>
                <w:sz w:val="18"/>
                <w:szCs w:val="18"/>
                <w:u w:val="none"/>
                <w:lang w:val="en-US" w:eastAsia="zh-CN" w:bidi="ar"/>
              </w:rPr>
              <w:t>1136</w:t>
            </w:r>
            <w:r>
              <w:rPr>
                <w:rFonts w:hint="eastAsia" w:ascii="宋体" w:hAnsi="宋体" w:eastAsia="宋体" w:cs="宋体"/>
                <w:i w:val="0"/>
                <w:iCs w:val="0"/>
                <w:color w:val="000000"/>
                <w:kern w:val="0"/>
                <w:sz w:val="18"/>
                <w:szCs w:val="18"/>
                <w:u w:val="none"/>
                <w:lang w:val="en-US" w:eastAsia="zh-CN" w:bidi="ar"/>
              </w:rPr>
              <w:t>份，老年健康体检718人（其中只做了一般体格检查336人），中医药管理700人，家庭签约1136人；今年共上报传染病报告卡9例。</w:t>
            </w:r>
          </w:p>
          <w:bookmarkEnd w:id="119"/>
          <w:p w14:paraId="530F0A16">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p>
        </w:tc>
      </w:tr>
      <w:tr w14:paraId="54EC7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A2D5E">
            <w:pP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2A75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1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918B6DC">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截至2023年</w:t>
            </w:r>
            <w:r>
              <w:rPr>
                <w:rFonts w:hint="eastAsia" w:ascii="宋体" w:hAnsi="宋体" w:eastAsia="宋体" w:cs="宋体"/>
                <w:i w:val="0"/>
                <w:iCs w:val="0"/>
                <w:color w:val="000000"/>
                <w:kern w:val="0"/>
                <w:sz w:val="18"/>
                <w:szCs w:val="18"/>
                <w:u w:val="none"/>
                <w:lang w:val="en-US" w:eastAsia="zh-CN" w:bidi="ar"/>
              </w:rPr>
              <w:t>10月底全镇共建立居民健康案10811份，电子档案10811人，家庭签约10811人，其中高血压管理档案</w:t>
            </w:r>
            <w:r>
              <w:rPr>
                <w:rFonts w:hint="default" w:ascii="宋体" w:hAnsi="宋体" w:eastAsia="宋体" w:cs="宋体"/>
                <w:i w:val="0"/>
                <w:iCs w:val="0"/>
                <w:color w:val="000000"/>
                <w:kern w:val="0"/>
                <w:sz w:val="18"/>
                <w:szCs w:val="18"/>
                <w:u w:val="none"/>
                <w:lang w:val="en-US" w:eastAsia="zh-CN" w:bidi="ar"/>
              </w:rPr>
              <w:t>41</w:t>
            </w:r>
            <w:r>
              <w:rPr>
                <w:rFonts w:hint="eastAsia" w:ascii="宋体" w:hAnsi="宋体" w:eastAsia="宋体" w:cs="宋体"/>
                <w:i w:val="0"/>
                <w:iCs w:val="0"/>
                <w:color w:val="000000"/>
                <w:kern w:val="0"/>
                <w:sz w:val="18"/>
                <w:szCs w:val="18"/>
                <w:u w:val="none"/>
                <w:lang w:val="en-US" w:eastAsia="zh-CN" w:bidi="ar"/>
              </w:rPr>
              <w:t>3份，家庭签约415人；2型糖尿病管理档案</w:t>
            </w:r>
            <w:r>
              <w:rPr>
                <w:rFonts w:hint="default" w:ascii="宋体" w:hAnsi="宋体" w:eastAsia="宋体" w:cs="宋体"/>
                <w:i w:val="0"/>
                <w:iCs w:val="0"/>
                <w:color w:val="000000"/>
                <w:kern w:val="0"/>
                <w:sz w:val="18"/>
                <w:szCs w:val="18"/>
                <w:u w:val="none"/>
                <w:lang w:val="en-US" w:eastAsia="zh-CN" w:bidi="ar"/>
              </w:rPr>
              <w:t>3</w:t>
            </w:r>
            <w:r>
              <w:rPr>
                <w:rFonts w:hint="eastAsia" w:ascii="宋体" w:hAnsi="宋体" w:eastAsia="宋体" w:cs="宋体"/>
                <w:i w:val="0"/>
                <w:iCs w:val="0"/>
                <w:color w:val="000000"/>
                <w:kern w:val="0"/>
                <w:sz w:val="18"/>
                <w:szCs w:val="18"/>
                <w:u w:val="none"/>
                <w:lang w:val="en-US" w:eastAsia="zh-CN" w:bidi="ar"/>
              </w:rPr>
              <w:t>8份，家庭签约38人；儿童保健管理档案</w:t>
            </w:r>
            <w:r>
              <w:rPr>
                <w:rFonts w:hint="default" w:ascii="宋体" w:hAnsi="宋体" w:eastAsia="宋体" w:cs="宋体"/>
                <w:i w:val="0"/>
                <w:iCs w:val="0"/>
                <w:color w:val="000000"/>
                <w:kern w:val="0"/>
                <w:sz w:val="18"/>
                <w:szCs w:val="18"/>
                <w:u w:val="none"/>
                <w:lang w:val="en-US" w:eastAsia="zh-CN" w:bidi="ar"/>
              </w:rPr>
              <w:t>6</w:t>
            </w:r>
            <w:r>
              <w:rPr>
                <w:rFonts w:hint="eastAsia" w:ascii="宋体" w:hAnsi="宋体" w:eastAsia="宋体" w:cs="宋体"/>
                <w:i w:val="0"/>
                <w:iCs w:val="0"/>
                <w:color w:val="000000"/>
                <w:kern w:val="0"/>
                <w:sz w:val="18"/>
                <w:szCs w:val="18"/>
                <w:u w:val="none"/>
                <w:lang w:val="en-US" w:eastAsia="zh-CN" w:bidi="ar"/>
              </w:rPr>
              <w:t>17份（其中0-3岁儿童245人），新生儿51人，家庭签约617人；孕产妇管理档案</w:t>
            </w:r>
            <w:r>
              <w:rPr>
                <w:rFonts w:hint="default" w:ascii="宋体" w:hAnsi="宋体" w:eastAsia="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1份，家庭签约11人；重性精神疾病管理档案</w:t>
            </w:r>
            <w:r>
              <w:rPr>
                <w:rFonts w:hint="default" w:ascii="宋体" w:hAnsi="宋体" w:eastAsia="宋体" w:cs="宋体"/>
                <w:i w:val="0"/>
                <w:iCs w:val="0"/>
                <w:color w:val="000000"/>
                <w:kern w:val="0"/>
                <w:sz w:val="18"/>
                <w:szCs w:val="18"/>
                <w:u w:val="none"/>
                <w:lang w:val="en-US" w:eastAsia="zh-CN" w:bidi="ar"/>
              </w:rPr>
              <w:t>11</w:t>
            </w:r>
            <w:r>
              <w:rPr>
                <w:rFonts w:hint="eastAsia" w:ascii="宋体" w:hAnsi="宋体" w:eastAsia="宋体" w:cs="宋体"/>
                <w:i w:val="0"/>
                <w:iCs w:val="0"/>
                <w:color w:val="000000"/>
                <w:kern w:val="0"/>
                <w:sz w:val="18"/>
                <w:szCs w:val="18"/>
                <w:u w:val="none"/>
                <w:lang w:val="en-US" w:eastAsia="zh-CN" w:bidi="ar"/>
              </w:rPr>
              <w:t>份，家庭签约11人；老年人管理档案</w:t>
            </w:r>
            <w:r>
              <w:rPr>
                <w:rFonts w:hint="default" w:ascii="宋体" w:hAnsi="宋体" w:eastAsia="宋体" w:cs="宋体"/>
                <w:i w:val="0"/>
                <w:iCs w:val="0"/>
                <w:color w:val="000000"/>
                <w:kern w:val="0"/>
                <w:sz w:val="18"/>
                <w:szCs w:val="18"/>
                <w:u w:val="none"/>
                <w:lang w:val="en-US" w:eastAsia="zh-CN" w:bidi="ar"/>
              </w:rPr>
              <w:t>1136</w:t>
            </w:r>
            <w:r>
              <w:rPr>
                <w:rFonts w:hint="eastAsia" w:ascii="宋体" w:hAnsi="宋体" w:eastAsia="宋体" w:cs="宋体"/>
                <w:i w:val="0"/>
                <w:iCs w:val="0"/>
                <w:color w:val="000000"/>
                <w:kern w:val="0"/>
                <w:sz w:val="18"/>
                <w:szCs w:val="18"/>
                <w:u w:val="none"/>
                <w:lang w:val="en-US" w:eastAsia="zh-CN" w:bidi="ar"/>
              </w:rPr>
              <w:t>份，老年健康体检718人（其中只做了一般体格检查336人），中医药管理700人，家庭签约1136人；今年共上报传染病报告卡9例。</w:t>
            </w:r>
          </w:p>
        </w:tc>
      </w:tr>
      <w:tr w14:paraId="60352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0D43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0E5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DB6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0C6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F89F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F6C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56C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D32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798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46F43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245AB">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46B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DE8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8A0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15.16</w:t>
            </w:r>
          </w:p>
        </w:tc>
        <w:tc>
          <w:tcPr>
            <w:tcW w:w="8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3F9B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15.16</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F0D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3F7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6B0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6F9094">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45CE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582DA">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E7A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DB5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8C8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15.16</w:t>
            </w:r>
          </w:p>
        </w:tc>
        <w:tc>
          <w:tcPr>
            <w:tcW w:w="8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9714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15.16</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9F9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595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240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02DD2">
            <w:pPr>
              <w:rPr>
                <w:rFonts w:hint="eastAsia" w:ascii="黑体" w:hAnsi="黑体" w:eastAsia="黑体" w:cs="黑体"/>
                <w:i/>
                <w:iCs/>
                <w:color w:val="000000"/>
                <w:sz w:val="18"/>
                <w:szCs w:val="18"/>
                <w:u w:val="none"/>
              </w:rPr>
            </w:pPr>
          </w:p>
        </w:tc>
      </w:tr>
      <w:tr w14:paraId="5CC8E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CE136">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746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FE6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60C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749965">
            <w:pPr>
              <w:jc w:val="center"/>
              <w:rPr>
                <w:rFonts w:hint="eastAsia" w:ascii="宋体" w:hAnsi="宋体" w:eastAsia="宋体" w:cs="宋体"/>
                <w:i w:val="0"/>
                <w:iCs w:val="0"/>
                <w:color w:val="000000"/>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B81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FFF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31C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D0D88">
            <w:pPr>
              <w:rPr>
                <w:rFonts w:hint="eastAsia" w:ascii="黑体" w:hAnsi="黑体" w:eastAsia="黑体" w:cs="黑体"/>
                <w:i/>
                <w:iCs/>
                <w:color w:val="000000"/>
                <w:sz w:val="18"/>
                <w:szCs w:val="18"/>
                <w:u w:val="none"/>
              </w:rPr>
            </w:pPr>
          </w:p>
        </w:tc>
      </w:tr>
      <w:tr w14:paraId="25C46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DCB91">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FE3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BD5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115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4414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B22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B8D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C01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44BF8">
            <w:pPr>
              <w:rPr>
                <w:rFonts w:hint="eastAsia" w:ascii="黑体" w:hAnsi="黑体" w:eastAsia="黑体" w:cs="黑体"/>
                <w:i/>
                <w:iCs/>
                <w:color w:val="000000"/>
                <w:sz w:val="18"/>
                <w:szCs w:val="18"/>
                <w:u w:val="none"/>
              </w:rPr>
            </w:pPr>
          </w:p>
        </w:tc>
      </w:tr>
      <w:tr w14:paraId="0916A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3711E">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DD1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D0C07">
            <w:pPr>
              <w:jc w:val="center"/>
              <w:rPr>
                <w:rFonts w:hint="eastAsia" w:ascii="微软雅黑" w:hAnsi="微软雅黑" w:eastAsia="微软雅黑" w:cs="微软雅黑"/>
                <w:i/>
                <w:iCs/>
                <w:color w:val="000000"/>
                <w:sz w:val="16"/>
                <w:szCs w:val="16"/>
                <w:u w:val="none"/>
              </w:rPr>
            </w:pP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EF0A6">
            <w:pPr>
              <w:jc w:val="center"/>
              <w:rPr>
                <w:rFonts w:hint="eastAsia" w:ascii="微软雅黑" w:hAnsi="微软雅黑" w:eastAsia="微软雅黑" w:cs="微软雅黑"/>
                <w:i/>
                <w:iCs/>
                <w:color w:val="000000"/>
                <w:sz w:val="16"/>
                <w:szCs w:val="16"/>
                <w:u w:val="none"/>
              </w:rPr>
            </w:pPr>
          </w:p>
        </w:tc>
        <w:tc>
          <w:tcPr>
            <w:tcW w:w="8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3410A9">
            <w:pPr>
              <w:jc w:val="center"/>
              <w:rPr>
                <w:rFonts w:hint="eastAsia" w:ascii="微软雅黑" w:hAnsi="微软雅黑" w:eastAsia="微软雅黑" w:cs="微软雅黑"/>
                <w:i/>
                <w:iCs/>
                <w:color w:val="000000"/>
                <w:sz w:val="16"/>
                <w:szCs w:val="16"/>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B4FDD">
            <w:pPr>
              <w:jc w:val="center"/>
              <w:rPr>
                <w:rFonts w:hint="eastAsia" w:ascii="微软雅黑" w:hAnsi="微软雅黑" w:eastAsia="微软雅黑" w:cs="微软雅黑"/>
                <w:i/>
                <w:iCs/>
                <w:color w:val="000000"/>
                <w:sz w:val="16"/>
                <w:szCs w:val="16"/>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063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4BD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983DA">
            <w:pPr>
              <w:rPr>
                <w:rFonts w:hint="eastAsia" w:ascii="黑体" w:hAnsi="黑体" w:eastAsia="黑体" w:cs="黑体"/>
                <w:i/>
                <w:iCs/>
                <w:color w:val="000000"/>
                <w:sz w:val="18"/>
                <w:szCs w:val="18"/>
                <w:u w:val="none"/>
              </w:rPr>
            </w:pPr>
          </w:p>
        </w:tc>
      </w:tr>
      <w:tr w14:paraId="2F7CC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4758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513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717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117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02A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798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6BD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EC6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68F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581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7A8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09D3F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95B64">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789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3F2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AFE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社会在册居家精神障碍患者健康管理率</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EB6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901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49D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9CD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265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1F3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2EB29">
            <w:pPr>
              <w:jc w:val="center"/>
              <w:rPr>
                <w:rFonts w:hint="eastAsia" w:ascii="宋体" w:hAnsi="宋体" w:eastAsia="宋体" w:cs="宋体"/>
                <w:i w:val="0"/>
                <w:iCs w:val="0"/>
                <w:color w:val="000000"/>
                <w:sz w:val="18"/>
                <w:szCs w:val="18"/>
                <w:u w:val="none"/>
              </w:rPr>
            </w:pPr>
          </w:p>
        </w:tc>
      </w:tr>
      <w:tr w14:paraId="2AEE0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4E604">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24E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1A9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1FA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7岁以下儿童健康管理率</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7B0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FD3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132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10C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812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282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49E5C">
            <w:pPr>
              <w:jc w:val="center"/>
              <w:rPr>
                <w:rFonts w:hint="eastAsia" w:ascii="宋体" w:hAnsi="宋体" w:eastAsia="宋体" w:cs="宋体"/>
                <w:i w:val="0"/>
                <w:iCs w:val="0"/>
                <w:color w:val="000000"/>
                <w:sz w:val="18"/>
                <w:szCs w:val="18"/>
                <w:u w:val="none"/>
              </w:rPr>
            </w:pPr>
          </w:p>
        </w:tc>
      </w:tr>
      <w:tr w14:paraId="5409A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E1593">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1EE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10E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FF3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传染病和突发公共</w:t>
            </w:r>
            <w:r>
              <w:rPr>
                <w:rFonts w:hint="eastAsia" w:ascii="宋体" w:hAnsi="宋体" w:cs="宋体"/>
                <w:i w:val="0"/>
                <w:iCs w:val="0"/>
                <w:color w:val="000000"/>
                <w:kern w:val="0"/>
                <w:sz w:val="18"/>
                <w:szCs w:val="18"/>
                <w:u w:val="none"/>
                <w:lang w:val="en-US" w:eastAsia="zh-CN" w:bidi="ar"/>
              </w:rPr>
              <w:t>卫生</w:t>
            </w:r>
            <w:r>
              <w:rPr>
                <w:rFonts w:ascii="宋体" w:hAnsi="宋体" w:eastAsia="宋体" w:cs="宋体"/>
                <w:i w:val="0"/>
                <w:iCs w:val="0"/>
                <w:color w:val="000000"/>
                <w:kern w:val="0"/>
                <w:sz w:val="18"/>
                <w:szCs w:val="18"/>
                <w:u w:val="none"/>
                <w:lang w:val="en-US" w:eastAsia="zh-CN" w:bidi="ar"/>
              </w:rPr>
              <w:t>事件报告率</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0E0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9A8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8E5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83B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4A3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FC9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C1FA0">
            <w:pPr>
              <w:jc w:val="center"/>
              <w:rPr>
                <w:rFonts w:hint="eastAsia" w:ascii="宋体" w:hAnsi="宋体" w:eastAsia="宋体" w:cs="宋体"/>
                <w:i w:val="0"/>
                <w:iCs w:val="0"/>
                <w:color w:val="000000"/>
                <w:sz w:val="18"/>
                <w:szCs w:val="18"/>
                <w:u w:val="none"/>
              </w:rPr>
            </w:pPr>
          </w:p>
        </w:tc>
      </w:tr>
      <w:tr w14:paraId="6BF34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59468">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E1F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89F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127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基本公共卫生服务水平</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DF6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840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不断提高</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26EC8">
            <w:pPr>
              <w:jc w:val="center"/>
              <w:rPr>
                <w:rFonts w:hint="eastAsia" w:ascii="宋体" w:hAnsi="宋体" w:eastAsia="宋体" w:cs="宋体"/>
                <w:i w:val="0"/>
                <w:iCs w:val="0"/>
                <w:color w:val="000000"/>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CC2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不断提高</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063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2FE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A0236">
            <w:pPr>
              <w:jc w:val="center"/>
              <w:rPr>
                <w:rFonts w:hint="eastAsia" w:ascii="宋体" w:hAnsi="宋体" w:eastAsia="宋体" w:cs="宋体"/>
                <w:i w:val="0"/>
                <w:iCs w:val="0"/>
                <w:color w:val="000000"/>
                <w:sz w:val="18"/>
                <w:szCs w:val="18"/>
                <w:u w:val="none"/>
              </w:rPr>
            </w:pPr>
          </w:p>
        </w:tc>
      </w:tr>
      <w:tr w14:paraId="7DEDF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009B4">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FF4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4AC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91A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城乡居民公共卫生差距</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239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443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不断缩小</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F32AE">
            <w:pPr>
              <w:jc w:val="center"/>
              <w:rPr>
                <w:rFonts w:hint="eastAsia" w:ascii="宋体" w:hAnsi="宋体" w:eastAsia="宋体" w:cs="宋体"/>
                <w:i w:val="0"/>
                <w:iCs w:val="0"/>
                <w:color w:val="000000"/>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674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不断缩小</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0C7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466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7FA77">
            <w:pPr>
              <w:jc w:val="center"/>
              <w:rPr>
                <w:rFonts w:hint="eastAsia" w:ascii="宋体" w:hAnsi="宋体" w:eastAsia="宋体" w:cs="宋体"/>
                <w:i w:val="0"/>
                <w:iCs w:val="0"/>
                <w:color w:val="000000"/>
                <w:sz w:val="18"/>
                <w:szCs w:val="18"/>
                <w:u w:val="none"/>
              </w:rPr>
            </w:pPr>
          </w:p>
        </w:tc>
      </w:tr>
      <w:tr w14:paraId="7583D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D4E9E">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CAA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827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4BE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77A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1CF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较上年不断提高</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F120B">
            <w:pPr>
              <w:jc w:val="center"/>
              <w:rPr>
                <w:rFonts w:hint="eastAsia" w:ascii="宋体" w:hAnsi="宋体" w:eastAsia="宋体" w:cs="宋体"/>
                <w:i w:val="0"/>
                <w:iCs w:val="0"/>
                <w:color w:val="000000"/>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62EF6">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较上年不断提高</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945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8BA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38817">
            <w:pPr>
              <w:jc w:val="center"/>
              <w:rPr>
                <w:rFonts w:hint="eastAsia" w:ascii="微软雅黑" w:hAnsi="微软雅黑" w:eastAsia="微软雅黑" w:cs="微软雅黑"/>
                <w:i/>
                <w:iCs/>
                <w:color w:val="000000"/>
                <w:sz w:val="16"/>
                <w:szCs w:val="16"/>
                <w:u w:val="none"/>
              </w:rPr>
            </w:pPr>
          </w:p>
        </w:tc>
      </w:tr>
      <w:tr w14:paraId="58A61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05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C2FD1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38C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1A3F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0B9B1">
            <w:pPr>
              <w:rPr>
                <w:rFonts w:hint="eastAsia" w:ascii="宋体" w:hAnsi="宋体" w:eastAsia="宋体" w:cs="宋体"/>
                <w:i w:val="0"/>
                <w:iCs w:val="0"/>
                <w:color w:val="000000"/>
                <w:sz w:val="18"/>
                <w:szCs w:val="18"/>
                <w:u w:val="none"/>
              </w:rPr>
            </w:pPr>
          </w:p>
        </w:tc>
      </w:tr>
      <w:tr w14:paraId="6204D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F64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1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464ECDE">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根据资金绩效自评指标规定的内容，经我单位认真自评，2023年国家基本公共卫生服务补助项目自评95分。为了更好地给辖区老百姓服务，</w:t>
            </w:r>
          </w:p>
        </w:tc>
      </w:tr>
      <w:tr w14:paraId="49E1F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9F4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1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3884AFE">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6E423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23C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1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9E37DD7">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5582B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91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2A66E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项目负责人：贾春花</w:t>
            </w:r>
          </w:p>
        </w:tc>
        <w:tc>
          <w:tcPr>
            <w:tcW w:w="30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DEBBF21">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财务负责人：贾丽玲</w:t>
            </w:r>
          </w:p>
        </w:tc>
      </w:tr>
    </w:tbl>
    <w:p w14:paraId="62662C2D"/>
    <w:p w14:paraId="2FBE24B3"/>
    <w:p w14:paraId="7A476803"/>
    <w:p w14:paraId="171D0C0E"/>
    <w:tbl>
      <w:tblPr>
        <w:tblStyle w:val="15"/>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5"/>
        <w:gridCol w:w="676"/>
        <w:gridCol w:w="646"/>
        <w:gridCol w:w="861"/>
        <w:gridCol w:w="428"/>
        <w:gridCol w:w="539"/>
        <w:gridCol w:w="428"/>
        <w:gridCol w:w="966"/>
        <w:gridCol w:w="510"/>
        <w:gridCol w:w="510"/>
        <w:gridCol w:w="2303"/>
      </w:tblGrid>
      <w:tr w14:paraId="2F0DC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5A44890">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0BB40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A2950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21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5961AD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51322422T000006746496-三支一扶财政补助资金</w:t>
            </w:r>
          </w:p>
        </w:tc>
      </w:tr>
      <w:tr w14:paraId="44379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9E0E4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170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D3D9E0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松潘县卫生健康局本级</w:t>
            </w:r>
          </w:p>
        </w:tc>
        <w:tc>
          <w:tcPr>
            <w:tcW w:w="567" w:type="pct"/>
            <w:tcBorders>
              <w:top w:val="nil"/>
              <w:left w:val="nil"/>
              <w:bottom w:val="nil"/>
              <w:right w:val="nil"/>
            </w:tcBorders>
            <w:shd w:val="clear" w:color="auto" w:fill="auto"/>
            <w:vAlign w:val="center"/>
          </w:tcPr>
          <w:p w14:paraId="4963A87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80D4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松潘县川主寺镇卫生院</w:t>
            </w:r>
          </w:p>
        </w:tc>
      </w:tr>
      <w:tr w14:paraId="40269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B2E54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3B23B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170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8B44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51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B565614">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64F09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1A251">
            <w:pPr>
              <w:rPr>
                <w:rFonts w:hint="eastAsia" w:ascii="宋体" w:hAnsi="宋体" w:eastAsia="宋体" w:cs="宋体"/>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FEDBB">
            <w:pPr>
              <w:rPr>
                <w:rFonts w:hint="eastAsia" w:ascii="宋体" w:hAnsi="宋体" w:eastAsia="宋体" w:cs="宋体"/>
                <w:i w:val="0"/>
                <w:iCs w:val="0"/>
                <w:color w:val="000000"/>
                <w:sz w:val="18"/>
                <w:szCs w:val="18"/>
                <w:u w:val="none"/>
              </w:rPr>
            </w:pPr>
          </w:p>
        </w:tc>
        <w:tc>
          <w:tcPr>
            <w:tcW w:w="170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FB17A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完成年度三支一扶名额招募计划，为基层</w:t>
            </w:r>
            <w:r>
              <w:rPr>
                <w:rFonts w:hint="eastAsia" w:ascii="宋体" w:hAnsi="宋体" w:cs="宋体"/>
                <w:i w:val="0"/>
                <w:iCs w:val="0"/>
                <w:color w:val="000000"/>
                <w:kern w:val="0"/>
                <w:sz w:val="18"/>
                <w:szCs w:val="18"/>
                <w:u w:val="none"/>
                <w:lang w:val="en-US" w:eastAsia="zh-CN" w:bidi="ar"/>
              </w:rPr>
              <w:t>输送</w:t>
            </w:r>
            <w:r>
              <w:rPr>
                <w:rFonts w:ascii="宋体" w:hAnsi="宋体" w:eastAsia="宋体" w:cs="宋体"/>
                <w:i w:val="0"/>
                <w:iCs w:val="0"/>
                <w:color w:val="000000"/>
                <w:kern w:val="0"/>
                <w:sz w:val="18"/>
                <w:szCs w:val="18"/>
                <w:u w:val="none"/>
                <w:lang w:val="en-US" w:eastAsia="zh-CN" w:bidi="ar"/>
              </w:rPr>
              <w:t>一批急需紧缺人才，提升三支一扶人员服务基层能力素质</w:t>
            </w:r>
          </w:p>
        </w:tc>
        <w:tc>
          <w:tcPr>
            <w:tcW w:w="251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5790D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完成年度三支一扶名额招募计划，为基层</w:t>
            </w:r>
            <w:r>
              <w:rPr>
                <w:rFonts w:hint="eastAsia" w:ascii="宋体" w:hAnsi="宋体" w:cs="宋体"/>
                <w:i w:val="0"/>
                <w:iCs w:val="0"/>
                <w:color w:val="000000"/>
                <w:kern w:val="0"/>
                <w:sz w:val="18"/>
                <w:szCs w:val="18"/>
                <w:u w:val="none"/>
                <w:lang w:val="en-US" w:eastAsia="zh-CN" w:bidi="ar"/>
              </w:rPr>
              <w:t>输送</w:t>
            </w:r>
            <w:r>
              <w:rPr>
                <w:rFonts w:ascii="宋体" w:hAnsi="宋体" w:eastAsia="宋体" w:cs="宋体"/>
                <w:i w:val="0"/>
                <w:iCs w:val="0"/>
                <w:color w:val="000000"/>
                <w:kern w:val="0"/>
                <w:sz w:val="18"/>
                <w:szCs w:val="18"/>
                <w:u w:val="none"/>
                <w:lang w:val="en-US" w:eastAsia="zh-CN" w:bidi="ar"/>
              </w:rPr>
              <w:t>一批急需紧缺人才，提升三支一扶人员服务基层能力素质</w:t>
            </w:r>
          </w:p>
        </w:tc>
      </w:tr>
      <w:tr w14:paraId="17CFD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AE61E">
            <w:pP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3E31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21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815C4E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完成年度三支一扶名额招募计划，为基层</w:t>
            </w:r>
            <w:r>
              <w:rPr>
                <w:rFonts w:hint="eastAsia" w:ascii="宋体" w:hAnsi="宋体" w:cs="宋体"/>
                <w:i w:val="0"/>
                <w:iCs w:val="0"/>
                <w:color w:val="000000"/>
                <w:kern w:val="0"/>
                <w:sz w:val="18"/>
                <w:szCs w:val="18"/>
                <w:u w:val="none"/>
                <w:lang w:val="en-US" w:eastAsia="zh-CN" w:bidi="ar"/>
              </w:rPr>
              <w:t>输送</w:t>
            </w:r>
            <w:r>
              <w:rPr>
                <w:rFonts w:ascii="宋体" w:hAnsi="宋体" w:eastAsia="宋体" w:cs="宋体"/>
                <w:i w:val="0"/>
                <w:iCs w:val="0"/>
                <w:color w:val="000000"/>
                <w:kern w:val="0"/>
                <w:sz w:val="18"/>
                <w:szCs w:val="18"/>
                <w:u w:val="none"/>
                <w:lang w:val="en-US" w:eastAsia="zh-CN" w:bidi="ar"/>
              </w:rPr>
              <w:t>一批急需紧缺人才，提升三支一扶人员服务基层能力素质</w:t>
            </w:r>
          </w:p>
        </w:tc>
      </w:tr>
      <w:tr w14:paraId="676A8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E7F5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83B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037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D78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8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34B3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14C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752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836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DE1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47332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EA893">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8CB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556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D38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3.77</w:t>
            </w:r>
          </w:p>
        </w:tc>
        <w:tc>
          <w:tcPr>
            <w:tcW w:w="8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BAE3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3.77</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947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5F5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A8F18">
            <w:pPr>
              <w:jc w:val="center"/>
              <w:rPr>
                <w:rFonts w:hint="eastAsia" w:ascii="宋体" w:hAnsi="宋体" w:eastAsia="宋体" w:cs="宋体"/>
                <w:i w:val="0"/>
                <w:iCs w:val="0"/>
                <w:color w:val="000000"/>
                <w:sz w:val="18"/>
                <w:szCs w:val="18"/>
                <w:u w:val="none"/>
              </w:rPr>
            </w:pPr>
          </w:p>
        </w:tc>
        <w:tc>
          <w:tcPr>
            <w:tcW w:w="1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1B0C58">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497E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917AC">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25E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E7E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E91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3.77</w:t>
            </w:r>
          </w:p>
        </w:tc>
        <w:tc>
          <w:tcPr>
            <w:tcW w:w="8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F222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3.77</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22D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4D7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A03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CAD10">
            <w:pPr>
              <w:rPr>
                <w:rFonts w:hint="eastAsia" w:ascii="黑体" w:hAnsi="黑体" w:eastAsia="黑体" w:cs="黑体"/>
                <w:i/>
                <w:iCs/>
                <w:color w:val="000000"/>
                <w:sz w:val="18"/>
                <w:szCs w:val="18"/>
                <w:u w:val="none"/>
              </w:rPr>
            </w:pPr>
          </w:p>
        </w:tc>
      </w:tr>
      <w:tr w14:paraId="0BB5B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33BEC">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76F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77A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F7E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13CC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9AD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061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444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69F780">
            <w:pPr>
              <w:rPr>
                <w:rFonts w:hint="eastAsia" w:ascii="黑体" w:hAnsi="黑体" w:eastAsia="黑体" w:cs="黑体"/>
                <w:i/>
                <w:iCs/>
                <w:color w:val="000000"/>
                <w:sz w:val="18"/>
                <w:szCs w:val="18"/>
                <w:u w:val="none"/>
              </w:rPr>
            </w:pPr>
          </w:p>
        </w:tc>
      </w:tr>
      <w:tr w14:paraId="6A364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F3429">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D6A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C08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D41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26E8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143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2A3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EBA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7F017">
            <w:pPr>
              <w:rPr>
                <w:rFonts w:hint="eastAsia" w:ascii="黑体" w:hAnsi="黑体" w:eastAsia="黑体" w:cs="黑体"/>
                <w:i/>
                <w:iCs/>
                <w:color w:val="000000"/>
                <w:sz w:val="18"/>
                <w:szCs w:val="18"/>
                <w:u w:val="none"/>
              </w:rPr>
            </w:pPr>
          </w:p>
        </w:tc>
      </w:tr>
      <w:tr w14:paraId="3A0E0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4EF56">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C41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CC216">
            <w:pPr>
              <w:jc w:val="center"/>
              <w:rPr>
                <w:rFonts w:hint="eastAsia" w:ascii="微软雅黑" w:hAnsi="微软雅黑" w:eastAsia="微软雅黑" w:cs="微软雅黑"/>
                <w:i/>
                <w:iCs/>
                <w:color w:val="000000"/>
                <w:sz w:val="16"/>
                <w:szCs w:val="16"/>
                <w:u w:val="none"/>
              </w:rPr>
            </w:pP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DD408">
            <w:pPr>
              <w:jc w:val="center"/>
              <w:rPr>
                <w:rFonts w:hint="eastAsia" w:ascii="微软雅黑" w:hAnsi="微软雅黑" w:eastAsia="微软雅黑" w:cs="微软雅黑"/>
                <w:i/>
                <w:iCs/>
                <w:color w:val="000000"/>
                <w:sz w:val="16"/>
                <w:szCs w:val="16"/>
                <w:u w:val="none"/>
              </w:rPr>
            </w:pPr>
          </w:p>
        </w:tc>
        <w:tc>
          <w:tcPr>
            <w:tcW w:w="81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14ED86">
            <w:pPr>
              <w:jc w:val="center"/>
              <w:rPr>
                <w:rFonts w:hint="eastAsia" w:ascii="微软雅黑" w:hAnsi="微软雅黑" w:eastAsia="微软雅黑" w:cs="微软雅黑"/>
                <w:i/>
                <w:iCs/>
                <w:color w:val="000000"/>
                <w:sz w:val="16"/>
                <w:szCs w:val="16"/>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E261E">
            <w:pPr>
              <w:jc w:val="center"/>
              <w:rPr>
                <w:rFonts w:hint="eastAsia" w:ascii="微软雅黑" w:hAnsi="微软雅黑" w:eastAsia="微软雅黑" w:cs="微软雅黑"/>
                <w:i/>
                <w:iCs/>
                <w:color w:val="000000"/>
                <w:sz w:val="16"/>
                <w:szCs w:val="16"/>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5E0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7A2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98C11">
            <w:pPr>
              <w:rPr>
                <w:rFonts w:hint="eastAsia" w:ascii="黑体" w:hAnsi="黑体" w:eastAsia="黑体" w:cs="黑体"/>
                <w:i/>
                <w:iCs/>
                <w:color w:val="000000"/>
                <w:sz w:val="18"/>
                <w:szCs w:val="18"/>
                <w:u w:val="none"/>
              </w:rPr>
            </w:pPr>
          </w:p>
        </w:tc>
      </w:tr>
      <w:tr w14:paraId="504B7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331A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A2A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76C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130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B1C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519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183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F6C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3F4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F17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FD1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5D49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7A522">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620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6C3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386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010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49C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8EE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B82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C0D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292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CD57E">
            <w:pPr>
              <w:jc w:val="center"/>
              <w:rPr>
                <w:rFonts w:hint="eastAsia" w:ascii="宋体" w:hAnsi="宋体" w:eastAsia="宋体" w:cs="宋体"/>
                <w:i w:val="0"/>
                <w:iCs w:val="0"/>
                <w:color w:val="000000"/>
                <w:sz w:val="18"/>
                <w:szCs w:val="18"/>
                <w:u w:val="none"/>
              </w:rPr>
            </w:pPr>
          </w:p>
        </w:tc>
      </w:tr>
      <w:tr w14:paraId="3F11C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223F8">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751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970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E76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足额参保率</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C51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2CB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F0C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643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260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786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4E704">
            <w:pPr>
              <w:jc w:val="center"/>
              <w:rPr>
                <w:rFonts w:hint="eastAsia" w:ascii="宋体" w:hAnsi="宋体" w:eastAsia="宋体" w:cs="宋体"/>
                <w:i w:val="0"/>
                <w:iCs w:val="0"/>
                <w:color w:val="000000"/>
                <w:sz w:val="18"/>
                <w:szCs w:val="18"/>
                <w:u w:val="none"/>
              </w:rPr>
            </w:pPr>
          </w:p>
        </w:tc>
      </w:tr>
      <w:tr w14:paraId="0F137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8403F">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147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8D8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E98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完成三支一扶就业率</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F5D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7AC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5BA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B64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196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AAB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FDEB8">
            <w:pPr>
              <w:jc w:val="center"/>
              <w:rPr>
                <w:rFonts w:hint="eastAsia" w:ascii="宋体" w:hAnsi="宋体" w:eastAsia="宋体" w:cs="宋体"/>
                <w:i w:val="0"/>
                <w:iCs w:val="0"/>
                <w:color w:val="000000"/>
                <w:sz w:val="18"/>
                <w:szCs w:val="18"/>
                <w:u w:val="none"/>
              </w:rPr>
            </w:pPr>
          </w:p>
        </w:tc>
      </w:tr>
      <w:tr w14:paraId="2E6DE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FFA09">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C7C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DF0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583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完成年限</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D98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E1E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4F6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ADF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1年</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0DA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DBD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752B0">
            <w:pPr>
              <w:jc w:val="center"/>
              <w:rPr>
                <w:rFonts w:hint="eastAsia" w:ascii="宋体" w:hAnsi="宋体" w:eastAsia="宋体" w:cs="宋体"/>
                <w:i w:val="0"/>
                <w:iCs w:val="0"/>
                <w:color w:val="000000"/>
                <w:sz w:val="18"/>
                <w:szCs w:val="18"/>
                <w:u w:val="none"/>
              </w:rPr>
            </w:pPr>
          </w:p>
        </w:tc>
      </w:tr>
      <w:tr w14:paraId="31620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8C894">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938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B01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E38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为基层输送培养青年人才，优化基层人才队伍结构</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3E6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作用显著</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709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作用显著</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926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A54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作用显著</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364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158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1A2AD">
            <w:pPr>
              <w:jc w:val="center"/>
              <w:rPr>
                <w:rFonts w:hint="eastAsia" w:ascii="宋体" w:hAnsi="宋体" w:eastAsia="宋体" w:cs="宋体"/>
                <w:i w:val="0"/>
                <w:iCs w:val="0"/>
                <w:color w:val="000000"/>
                <w:sz w:val="18"/>
                <w:szCs w:val="18"/>
                <w:u w:val="none"/>
              </w:rPr>
            </w:pPr>
          </w:p>
        </w:tc>
      </w:tr>
      <w:tr w14:paraId="7C91A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FDB78">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396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D0F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C2A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9DB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21E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7B5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6CB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60E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CD8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798E3">
            <w:pPr>
              <w:jc w:val="center"/>
              <w:rPr>
                <w:rFonts w:hint="eastAsia" w:ascii="微软雅黑" w:hAnsi="微软雅黑" w:eastAsia="微软雅黑" w:cs="微软雅黑"/>
                <w:i/>
                <w:iCs/>
                <w:color w:val="000000"/>
                <w:sz w:val="16"/>
                <w:szCs w:val="16"/>
                <w:u w:val="none"/>
              </w:rPr>
            </w:pPr>
          </w:p>
        </w:tc>
      </w:tr>
      <w:tr w14:paraId="4385D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DA392">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EBA5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52CBF">
            <w:pPr>
              <w:rPr>
                <w:rFonts w:hint="eastAsia" w:ascii="宋体" w:hAnsi="宋体" w:eastAsia="宋体" w:cs="宋体"/>
                <w:i w:val="0"/>
                <w:iCs w:val="0"/>
                <w:color w:val="000000"/>
                <w:sz w:val="18"/>
                <w:szCs w:val="18"/>
                <w:u w:val="none"/>
              </w:rPr>
            </w:pP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B7FAA">
            <w:pPr>
              <w:rPr>
                <w:rFonts w:hint="eastAsia" w:ascii="宋体" w:hAnsi="宋体" w:eastAsia="宋体" w:cs="宋体"/>
                <w:i w:val="0"/>
                <w:iCs w:val="0"/>
                <w:color w:val="000000"/>
                <w:sz w:val="18"/>
                <w:szCs w:val="18"/>
                <w:u w:val="none"/>
              </w:rPr>
            </w:pP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7BD67">
            <w:pPr>
              <w:rPr>
                <w:rFonts w:hint="eastAsia" w:ascii="宋体" w:hAnsi="宋体" w:eastAsia="宋体" w:cs="宋体"/>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4C6BA">
            <w:pPr>
              <w:rPr>
                <w:rFonts w:hint="eastAsia" w:ascii="宋体" w:hAnsi="宋体" w:eastAsia="宋体" w:cs="宋体"/>
                <w:i w:val="0"/>
                <w:iCs w:val="0"/>
                <w:color w:val="000000"/>
                <w:sz w:val="18"/>
                <w:szCs w:val="18"/>
                <w:u w:val="none"/>
              </w:rPr>
            </w:pP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DA86A">
            <w:pPr>
              <w:rPr>
                <w:rFonts w:hint="eastAsia" w:ascii="宋体" w:hAnsi="宋体" w:eastAsia="宋体" w:cs="宋体"/>
                <w:i w:val="0"/>
                <w:iCs w:val="0"/>
                <w:color w:val="000000"/>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F00CA">
            <w:pPr>
              <w:rPr>
                <w:rFonts w:hint="eastAsia" w:ascii="宋体" w:hAnsi="宋体" w:eastAsia="宋体" w:cs="宋体"/>
                <w:i w:val="0"/>
                <w:iCs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C6D6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0AE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5F9BA">
            <w:pPr>
              <w:rPr>
                <w:rFonts w:hint="eastAsia" w:ascii="宋体" w:hAnsi="宋体" w:eastAsia="宋体" w:cs="宋体"/>
                <w:i w:val="0"/>
                <w:iCs w:val="0"/>
                <w:color w:val="000000"/>
                <w:sz w:val="18"/>
                <w:szCs w:val="18"/>
                <w:u w:val="none"/>
              </w:rPr>
            </w:pPr>
          </w:p>
        </w:tc>
      </w:tr>
      <w:tr w14:paraId="6C5E5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C48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1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82BB355">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项目自评100分，各绩效指标均已完成。</w:t>
            </w:r>
          </w:p>
        </w:tc>
      </w:tr>
      <w:tr w14:paraId="6CC1D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133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1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3BDCA3D">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绩效评价工作与绩效目标的设定不完全匹配</w:t>
            </w:r>
          </w:p>
        </w:tc>
      </w:tr>
      <w:tr w14:paraId="3C130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9BD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1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DD3C272">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加强绩效评价工作与绩效目标的设定匹配度，保持整个绩效管理工作的连续性</w:t>
            </w:r>
          </w:p>
        </w:tc>
      </w:tr>
      <w:tr w14:paraId="1B1DC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91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74AB0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项目负责人：贾春花</w:t>
            </w:r>
          </w:p>
        </w:tc>
        <w:tc>
          <w:tcPr>
            <w:tcW w:w="30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5EB92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财务负责人：贾丽玲</w:t>
            </w:r>
          </w:p>
        </w:tc>
      </w:tr>
    </w:tbl>
    <w:p w14:paraId="4D889AA0">
      <w:pPr>
        <w:pStyle w:val="5"/>
        <w:spacing w:before="93"/>
        <w:rPr>
          <w:rFonts w:hAnsi="Calibri" w:cs="仿宋"/>
          <w:sz w:val="32"/>
          <w:szCs w:val="32"/>
        </w:rPr>
      </w:pPr>
    </w:p>
    <w:p w14:paraId="05C95C94">
      <w:pPr>
        <w:pStyle w:val="5"/>
        <w:spacing w:before="93"/>
        <w:rPr>
          <w:rFonts w:hAnsi="Calibri" w:cs="仿宋"/>
          <w:sz w:val="32"/>
          <w:szCs w:val="32"/>
        </w:rPr>
      </w:pPr>
    </w:p>
    <w:p w14:paraId="411F49C6">
      <w:pPr>
        <w:pStyle w:val="5"/>
        <w:spacing w:before="93"/>
        <w:rPr>
          <w:rFonts w:hAnsi="Calibri" w:cs="仿宋"/>
          <w:sz w:val="32"/>
          <w:szCs w:val="32"/>
        </w:rPr>
        <w:sectPr>
          <w:footerReference r:id="rId11" w:type="first"/>
          <w:footerReference r:id="rId10" w:type="default"/>
          <w:pgSz w:w="11906" w:h="16838"/>
          <w:pgMar w:top="1440" w:right="1800" w:bottom="1440" w:left="1800" w:header="851" w:footer="992" w:gutter="0"/>
          <w:pgNumType w:fmt="decimal" w:start="21"/>
          <w:cols w:space="425" w:num="1"/>
          <w:docGrid w:type="lines" w:linePitch="312" w:charSpace="0"/>
        </w:sectPr>
      </w:pPr>
    </w:p>
    <w:p w14:paraId="06C7AED8">
      <w:pPr>
        <w:spacing w:line="600" w:lineRule="exact"/>
        <w:jc w:val="center"/>
        <w:outlineLvl w:val="0"/>
        <w:rPr>
          <w:rFonts w:ascii="仿宋" w:hAnsi="仿宋" w:eastAsia="仿宋"/>
        </w:rPr>
      </w:pPr>
      <w:bookmarkStart w:id="120" w:name="_Toc21604"/>
      <w:r>
        <w:rPr>
          <w:rFonts w:hint="eastAsia" w:ascii="黑体" w:hAnsi="黑体" w:eastAsia="黑体"/>
          <w:sz w:val="44"/>
          <w:szCs w:val="44"/>
        </w:rPr>
        <w:t>第</w:t>
      </w:r>
      <w:r>
        <w:rPr>
          <w:rStyle w:val="28"/>
          <w:rFonts w:hint="eastAsia" w:ascii="黑体" w:hAnsi="黑体" w:eastAsia="黑体"/>
          <w:b w:val="0"/>
        </w:rPr>
        <w:t>五部分 附表</w:t>
      </w:r>
      <w:bookmarkEnd w:id="110"/>
      <w:bookmarkEnd w:id="113"/>
      <w:bookmarkEnd w:id="120"/>
      <w:bookmarkStart w:id="121" w:name="_Toc15396619"/>
    </w:p>
    <w:p w14:paraId="5F073C2C">
      <w:pPr>
        <w:pStyle w:val="3"/>
        <w:rPr>
          <w:rFonts w:ascii="仿宋" w:hAnsi="仿宋" w:eastAsia="仿宋"/>
        </w:rPr>
      </w:pPr>
      <w:bookmarkStart w:id="122" w:name="_Toc5156"/>
      <w:r>
        <w:rPr>
          <w:rFonts w:hint="eastAsia" w:ascii="仿宋" w:hAnsi="仿宋" w:eastAsia="仿宋"/>
          <w:b w:val="0"/>
        </w:rPr>
        <w:t>一、收</w:t>
      </w:r>
      <w:r>
        <w:rPr>
          <w:rStyle w:val="29"/>
          <w:rFonts w:hint="eastAsia" w:ascii="仿宋" w:hAnsi="仿宋" w:eastAsia="仿宋"/>
          <w:b w:val="0"/>
          <w:bCs w:val="0"/>
        </w:rPr>
        <w:t>入支出决算总表</w:t>
      </w:r>
      <w:bookmarkEnd w:id="121"/>
      <w:bookmarkEnd w:id="122"/>
    </w:p>
    <w:p w14:paraId="379C4326">
      <w:pPr>
        <w:pStyle w:val="3"/>
        <w:rPr>
          <w:rFonts w:ascii="仿宋" w:hAnsi="仿宋" w:eastAsia="仿宋"/>
        </w:rPr>
      </w:pPr>
      <w:bookmarkStart w:id="123" w:name="_Toc15396620"/>
      <w:bookmarkStart w:id="124" w:name="_Toc14873"/>
      <w:r>
        <w:rPr>
          <w:rFonts w:hint="eastAsia" w:ascii="仿宋" w:hAnsi="仿宋" w:eastAsia="仿宋"/>
          <w:b w:val="0"/>
        </w:rPr>
        <w:t>二、收</w:t>
      </w:r>
      <w:r>
        <w:rPr>
          <w:rStyle w:val="29"/>
          <w:rFonts w:hint="eastAsia" w:ascii="仿宋" w:hAnsi="仿宋" w:eastAsia="仿宋"/>
          <w:b w:val="0"/>
          <w:bCs w:val="0"/>
        </w:rPr>
        <w:t>入决算表</w:t>
      </w:r>
      <w:bookmarkEnd w:id="123"/>
      <w:bookmarkEnd w:id="124"/>
    </w:p>
    <w:p w14:paraId="42AF756C">
      <w:pPr>
        <w:pStyle w:val="3"/>
        <w:rPr>
          <w:rFonts w:ascii="仿宋" w:hAnsi="仿宋" w:eastAsia="仿宋"/>
        </w:rPr>
      </w:pPr>
      <w:bookmarkStart w:id="125" w:name="_Toc15396621"/>
      <w:bookmarkStart w:id="126" w:name="_Toc5388"/>
      <w:r>
        <w:rPr>
          <w:rStyle w:val="29"/>
          <w:rFonts w:hint="eastAsia" w:ascii="仿宋" w:hAnsi="仿宋" w:eastAsia="仿宋"/>
          <w:b w:val="0"/>
          <w:bCs w:val="0"/>
        </w:rPr>
        <w:t>三、</w:t>
      </w:r>
      <w:r>
        <w:rPr>
          <w:rFonts w:hint="eastAsia" w:ascii="仿宋" w:hAnsi="仿宋" w:eastAsia="仿宋"/>
          <w:b w:val="0"/>
        </w:rPr>
        <w:t>支</w:t>
      </w:r>
      <w:r>
        <w:rPr>
          <w:rStyle w:val="29"/>
          <w:rFonts w:hint="eastAsia" w:ascii="仿宋" w:hAnsi="仿宋" w:eastAsia="仿宋"/>
          <w:b w:val="0"/>
          <w:bCs w:val="0"/>
        </w:rPr>
        <w:t>出决算表</w:t>
      </w:r>
      <w:bookmarkEnd w:id="125"/>
      <w:bookmarkEnd w:id="126"/>
    </w:p>
    <w:p w14:paraId="276C9914">
      <w:pPr>
        <w:pStyle w:val="3"/>
        <w:rPr>
          <w:rFonts w:ascii="仿宋" w:hAnsi="仿宋" w:eastAsia="仿宋"/>
          <w:b w:val="0"/>
        </w:rPr>
      </w:pPr>
      <w:bookmarkStart w:id="127" w:name="_Toc15396622"/>
      <w:bookmarkStart w:id="128" w:name="_Toc26731"/>
      <w:r>
        <w:rPr>
          <w:rStyle w:val="29"/>
          <w:rFonts w:hint="eastAsia" w:ascii="仿宋" w:hAnsi="仿宋" w:eastAsia="仿宋"/>
          <w:b w:val="0"/>
          <w:bCs w:val="0"/>
        </w:rPr>
        <w:t>四、</w:t>
      </w:r>
      <w:r>
        <w:rPr>
          <w:rFonts w:hint="eastAsia" w:ascii="仿宋" w:hAnsi="仿宋" w:eastAsia="仿宋"/>
          <w:b w:val="0"/>
        </w:rPr>
        <w:t>财</w:t>
      </w:r>
      <w:r>
        <w:rPr>
          <w:rStyle w:val="29"/>
          <w:rFonts w:hint="eastAsia" w:ascii="仿宋" w:hAnsi="仿宋" w:eastAsia="仿宋"/>
          <w:b w:val="0"/>
          <w:bCs w:val="0"/>
        </w:rPr>
        <w:t>政拨款收入支出决算总表</w:t>
      </w:r>
      <w:bookmarkEnd w:id="127"/>
      <w:bookmarkEnd w:id="128"/>
    </w:p>
    <w:p w14:paraId="17C8E83F">
      <w:pPr>
        <w:pStyle w:val="3"/>
        <w:rPr>
          <w:rStyle w:val="29"/>
          <w:rFonts w:ascii="仿宋" w:hAnsi="仿宋" w:eastAsia="仿宋"/>
          <w:b w:val="0"/>
          <w:bCs w:val="0"/>
        </w:rPr>
      </w:pPr>
      <w:bookmarkStart w:id="129" w:name="_Toc8601"/>
      <w:bookmarkStart w:id="130" w:name="_Toc15396623"/>
      <w:r>
        <w:rPr>
          <w:rStyle w:val="29"/>
          <w:rFonts w:hint="eastAsia" w:ascii="仿宋" w:hAnsi="仿宋" w:eastAsia="仿宋"/>
          <w:b w:val="0"/>
          <w:bCs w:val="0"/>
        </w:rPr>
        <w:t>五、</w:t>
      </w:r>
      <w:r>
        <w:rPr>
          <w:rFonts w:hint="eastAsia" w:ascii="仿宋" w:hAnsi="仿宋" w:eastAsia="仿宋"/>
          <w:b w:val="0"/>
        </w:rPr>
        <w:t>财</w:t>
      </w:r>
      <w:r>
        <w:rPr>
          <w:rStyle w:val="29"/>
          <w:rFonts w:hint="eastAsia" w:ascii="仿宋" w:hAnsi="仿宋" w:eastAsia="仿宋"/>
          <w:b w:val="0"/>
          <w:bCs w:val="0"/>
        </w:rPr>
        <w:t>政拨款支出决算明细表</w:t>
      </w:r>
      <w:bookmarkEnd w:id="129"/>
      <w:bookmarkEnd w:id="130"/>
      <w:bookmarkStart w:id="131" w:name="_Toc15396624"/>
    </w:p>
    <w:p w14:paraId="6C25C695">
      <w:pPr>
        <w:pStyle w:val="3"/>
        <w:rPr>
          <w:rFonts w:ascii="仿宋" w:hAnsi="仿宋" w:eastAsia="仿宋"/>
        </w:rPr>
      </w:pPr>
      <w:bookmarkStart w:id="132" w:name="_Toc31840"/>
      <w:r>
        <w:rPr>
          <w:rStyle w:val="29"/>
          <w:rFonts w:hint="eastAsia" w:ascii="仿宋" w:hAnsi="仿宋" w:eastAsia="仿宋"/>
          <w:b w:val="0"/>
          <w:bCs w:val="0"/>
        </w:rPr>
        <w:t>六、</w:t>
      </w:r>
      <w:r>
        <w:rPr>
          <w:rFonts w:hint="eastAsia" w:ascii="仿宋" w:hAnsi="仿宋" w:eastAsia="仿宋"/>
          <w:b w:val="0"/>
        </w:rPr>
        <w:t>一</w:t>
      </w:r>
      <w:r>
        <w:rPr>
          <w:rStyle w:val="29"/>
          <w:rFonts w:hint="eastAsia" w:ascii="仿宋" w:hAnsi="仿宋" w:eastAsia="仿宋"/>
          <w:b w:val="0"/>
          <w:bCs w:val="0"/>
        </w:rPr>
        <w:t>般公共预算财政拨款支出决算表</w:t>
      </w:r>
      <w:bookmarkEnd w:id="131"/>
      <w:bookmarkEnd w:id="132"/>
    </w:p>
    <w:p w14:paraId="6941F856">
      <w:pPr>
        <w:pStyle w:val="3"/>
        <w:rPr>
          <w:rFonts w:ascii="仿宋" w:hAnsi="仿宋" w:eastAsia="仿宋"/>
        </w:rPr>
      </w:pPr>
      <w:bookmarkStart w:id="133" w:name="_Toc14470"/>
      <w:bookmarkStart w:id="134" w:name="_Toc15396625"/>
      <w:r>
        <w:rPr>
          <w:rStyle w:val="29"/>
          <w:rFonts w:hint="eastAsia" w:ascii="仿宋" w:hAnsi="仿宋" w:eastAsia="仿宋"/>
          <w:b w:val="0"/>
          <w:bCs w:val="0"/>
        </w:rPr>
        <w:t>七、</w:t>
      </w:r>
      <w:r>
        <w:rPr>
          <w:rFonts w:hint="eastAsia" w:ascii="仿宋" w:hAnsi="仿宋" w:eastAsia="仿宋"/>
          <w:b w:val="0"/>
        </w:rPr>
        <w:t>一</w:t>
      </w:r>
      <w:r>
        <w:rPr>
          <w:rStyle w:val="29"/>
          <w:rFonts w:hint="eastAsia" w:ascii="仿宋" w:hAnsi="仿宋" w:eastAsia="仿宋"/>
          <w:b w:val="0"/>
          <w:bCs w:val="0"/>
        </w:rPr>
        <w:t>般公共预算财政拨款支出决算明细表</w:t>
      </w:r>
      <w:bookmarkEnd w:id="133"/>
      <w:bookmarkEnd w:id="134"/>
    </w:p>
    <w:p w14:paraId="243E7DA9">
      <w:pPr>
        <w:pStyle w:val="3"/>
        <w:rPr>
          <w:rFonts w:ascii="仿宋" w:hAnsi="仿宋" w:eastAsia="仿宋"/>
        </w:rPr>
      </w:pPr>
      <w:bookmarkStart w:id="135" w:name="_Toc15396626"/>
      <w:bookmarkStart w:id="136" w:name="_Toc16464"/>
      <w:r>
        <w:rPr>
          <w:rStyle w:val="29"/>
          <w:rFonts w:hint="eastAsia" w:ascii="仿宋" w:hAnsi="仿宋" w:eastAsia="仿宋"/>
          <w:b w:val="0"/>
          <w:bCs w:val="0"/>
        </w:rPr>
        <w:t>八、</w:t>
      </w:r>
      <w:r>
        <w:rPr>
          <w:rFonts w:hint="eastAsia" w:ascii="仿宋" w:hAnsi="仿宋" w:eastAsia="仿宋"/>
          <w:b w:val="0"/>
        </w:rPr>
        <w:t>一</w:t>
      </w:r>
      <w:r>
        <w:rPr>
          <w:rStyle w:val="29"/>
          <w:rFonts w:hint="eastAsia" w:ascii="仿宋" w:hAnsi="仿宋" w:eastAsia="仿宋"/>
          <w:b w:val="0"/>
          <w:bCs w:val="0"/>
        </w:rPr>
        <w:t>般公共预算财政拨款基本支出决算表</w:t>
      </w:r>
      <w:bookmarkEnd w:id="135"/>
      <w:bookmarkEnd w:id="136"/>
    </w:p>
    <w:p w14:paraId="1D9651A5">
      <w:pPr>
        <w:pStyle w:val="3"/>
        <w:rPr>
          <w:rFonts w:ascii="仿宋" w:hAnsi="仿宋" w:eastAsia="仿宋"/>
        </w:rPr>
      </w:pPr>
      <w:bookmarkStart w:id="137" w:name="_Toc15396627"/>
      <w:bookmarkStart w:id="138" w:name="_Toc20277"/>
      <w:r>
        <w:rPr>
          <w:rStyle w:val="29"/>
          <w:rFonts w:hint="eastAsia" w:ascii="仿宋" w:hAnsi="仿宋" w:eastAsia="仿宋"/>
          <w:b w:val="0"/>
          <w:bCs w:val="0"/>
        </w:rPr>
        <w:t>九、</w:t>
      </w:r>
      <w:r>
        <w:rPr>
          <w:rFonts w:hint="eastAsia" w:ascii="仿宋" w:hAnsi="仿宋" w:eastAsia="仿宋"/>
          <w:b w:val="0"/>
        </w:rPr>
        <w:t>一</w:t>
      </w:r>
      <w:r>
        <w:rPr>
          <w:rStyle w:val="29"/>
          <w:rFonts w:hint="eastAsia" w:ascii="仿宋" w:hAnsi="仿宋" w:eastAsia="仿宋"/>
          <w:b w:val="0"/>
          <w:bCs w:val="0"/>
        </w:rPr>
        <w:t>般公共预算财政拨款项目支出决算表</w:t>
      </w:r>
      <w:bookmarkEnd w:id="137"/>
      <w:bookmarkEnd w:id="138"/>
    </w:p>
    <w:p w14:paraId="214C86DA">
      <w:pPr>
        <w:pStyle w:val="3"/>
        <w:rPr>
          <w:rFonts w:ascii="仿宋" w:hAnsi="仿宋" w:eastAsia="仿宋"/>
        </w:rPr>
      </w:pPr>
      <w:bookmarkStart w:id="139" w:name="_Toc15396628"/>
      <w:bookmarkStart w:id="140" w:name="_Toc24304"/>
      <w:r>
        <w:rPr>
          <w:rStyle w:val="29"/>
          <w:rFonts w:hint="eastAsia" w:ascii="仿宋" w:hAnsi="仿宋" w:eastAsia="仿宋"/>
          <w:b w:val="0"/>
          <w:bCs w:val="0"/>
        </w:rPr>
        <w:t>十、</w:t>
      </w:r>
      <w:bookmarkEnd w:id="139"/>
      <w:r>
        <w:rPr>
          <w:rFonts w:hint="eastAsia" w:ascii="仿宋" w:hAnsi="仿宋" w:eastAsia="仿宋"/>
          <w:b w:val="0"/>
        </w:rPr>
        <w:t>政</w:t>
      </w:r>
      <w:r>
        <w:rPr>
          <w:rStyle w:val="29"/>
          <w:rFonts w:hint="eastAsia" w:ascii="仿宋" w:hAnsi="仿宋" w:eastAsia="仿宋"/>
          <w:b w:val="0"/>
          <w:bCs w:val="0"/>
        </w:rPr>
        <w:t>府性基金预算财政拨款收入支出决算表</w:t>
      </w:r>
      <w:bookmarkEnd w:id="140"/>
    </w:p>
    <w:p w14:paraId="6F0A4F2A">
      <w:pPr>
        <w:pStyle w:val="3"/>
        <w:rPr>
          <w:rFonts w:ascii="仿宋" w:hAnsi="仿宋" w:eastAsia="仿宋"/>
        </w:rPr>
      </w:pPr>
      <w:bookmarkStart w:id="141" w:name="_Toc15396629"/>
      <w:bookmarkStart w:id="142" w:name="_Toc11505"/>
      <w:r>
        <w:rPr>
          <w:rStyle w:val="29"/>
          <w:rFonts w:hint="eastAsia" w:ascii="仿宋" w:hAnsi="仿宋" w:eastAsia="仿宋"/>
          <w:b w:val="0"/>
          <w:bCs w:val="0"/>
        </w:rPr>
        <w:t>十一、</w:t>
      </w:r>
      <w:bookmarkEnd w:id="141"/>
      <w:r>
        <w:rPr>
          <w:rFonts w:hint="eastAsia" w:ascii="仿宋" w:hAnsi="仿宋" w:eastAsia="仿宋"/>
          <w:b w:val="0"/>
        </w:rPr>
        <w:t>国</w:t>
      </w:r>
      <w:r>
        <w:rPr>
          <w:rStyle w:val="29"/>
          <w:rFonts w:hint="eastAsia" w:ascii="仿宋" w:hAnsi="仿宋" w:eastAsia="仿宋"/>
          <w:b w:val="0"/>
          <w:bCs w:val="0"/>
        </w:rPr>
        <w:t>有资本经营预算财政拨款收入支出决算表</w:t>
      </w:r>
      <w:bookmarkEnd w:id="142"/>
    </w:p>
    <w:p w14:paraId="5FEC4532">
      <w:pPr>
        <w:pStyle w:val="3"/>
        <w:rPr>
          <w:rFonts w:ascii="仿宋" w:hAnsi="仿宋" w:eastAsia="仿宋"/>
        </w:rPr>
      </w:pPr>
      <w:bookmarkStart w:id="143" w:name="_Toc15396630"/>
      <w:bookmarkStart w:id="144" w:name="_Toc29701"/>
      <w:r>
        <w:rPr>
          <w:rStyle w:val="29"/>
          <w:rFonts w:hint="eastAsia" w:ascii="仿宋" w:hAnsi="仿宋" w:eastAsia="仿宋"/>
          <w:b w:val="0"/>
          <w:bCs w:val="0"/>
        </w:rPr>
        <w:t>十二、</w:t>
      </w:r>
      <w:bookmarkEnd w:id="143"/>
      <w:r>
        <w:rPr>
          <w:rStyle w:val="29"/>
          <w:rFonts w:hint="eastAsia" w:ascii="仿宋" w:hAnsi="仿宋" w:eastAsia="仿宋"/>
          <w:b w:val="0"/>
          <w:bCs w:val="0"/>
        </w:rPr>
        <w:t>国有资本经营预算财政拨款支出决算表</w:t>
      </w:r>
      <w:bookmarkEnd w:id="144"/>
    </w:p>
    <w:p w14:paraId="4D27E01A">
      <w:pPr>
        <w:pStyle w:val="3"/>
        <w:rPr>
          <w:rFonts w:eastAsia="仿宋"/>
        </w:rPr>
      </w:pPr>
      <w:bookmarkStart w:id="145" w:name="_Toc15396631"/>
      <w:bookmarkStart w:id="146" w:name="_Toc20847"/>
      <w:r>
        <w:rPr>
          <w:rStyle w:val="29"/>
          <w:rFonts w:hint="eastAsia" w:ascii="仿宋" w:hAnsi="仿宋" w:eastAsia="仿宋"/>
          <w:b w:val="0"/>
          <w:bCs w:val="0"/>
        </w:rPr>
        <w:t>十三、</w:t>
      </w:r>
      <w:bookmarkEnd w:id="145"/>
      <w:r>
        <w:rPr>
          <w:rStyle w:val="29"/>
          <w:rFonts w:hint="eastAsia" w:ascii="仿宋" w:hAnsi="仿宋" w:eastAsia="仿宋"/>
          <w:b w:val="0"/>
          <w:bCs w:val="0"/>
        </w:rPr>
        <w:t>财政拨款“三公”经费支出决算表</w:t>
      </w:r>
      <w:bookmarkEnd w:id="146"/>
    </w:p>
    <w:sectPr>
      <w:footerReference r:id="rId13" w:type="first"/>
      <w:footerReference r:id="rId12" w:type="default"/>
      <w:pgSz w:w="11906" w:h="16838"/>
      <w:pgMar w:top="1440" w:right="1800" w:bottom="1440" w:left="1800" w:header="851" w:footer="992" w:gutter="0"/>
      <w:pgNumType w:fmt="decimal" w:start="27"/>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DFA7E">
    <w:pPr>
      <w:pStyle w:val="9"/>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408195">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7A408195">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D946D">
    <w:pPr>
      <w:pStyle w:val="9"/>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21CA74">
                          <w:pPr>
                            <w:pStyle w:val="9"/>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7521CA74">
                    <w:pPr>
                      <w:pStyle w:val="9"/>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D0F61">
    <w:pPr>
      <w:pStyle w:val="9"/>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BF4D50">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66BF4D50">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01D90">
    <w:pPr>
      <w:pStyle w:val="9"/>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2386FD">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562386FD">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6BF83">
    <w:pPr>
      <w:pStyle w:val="9"/>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29660B">
                          <w:pPr>
                            <w:pStyle w:val="9"/>
                            <w:rPr>
                              <w:rFonts w:hint="eastAsia" w:eastAsia="宋体"/>
                              <w:lang w:val="en-US" w:eastAsia="zh-CN"/>
                            </w:rPr>
                          </w:pPr>
                          <w:r>
                            <w:fldChar w:fldCharType="begin"/>
                          </w:r>
                          <w:r>
                            <w:instrText xml:space="preserve"> PAGE  \* MERGEFORMAT </w:instrText>
                          </w:r>
                          <w:r>
                            <w:fldChar w:fldCharType="separate"/>
                          </w:r>
                          <w:r>
                            <w:t>1</w:t>
                          </w:r>
                          <w:r>
                            <w:fldChar w:fldCharType="end"/>
                          </w:r>
                          <w:r>
                            <w:rPr>
                              <w:rFonts w:hint="eastAsia"/>
                              <w:lang w:val="en-US" w:eastAsia="zh-CN"/>
                            </w:rPr>
                            <w:t>8</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1329660B">
                    <w:pPr>
                      <w:pStyle w:val="9"/>
                      <w:rPr>
                        <w:rFonts w:hint="eastAsia" w:eastAsia="宋体"/>
                        <w:lang w:val="en-US" w:eastAsia="zh-CN"/>
                      </w:rPr>
                    </w:pPr>
                    <w:r>
                      <w:fldChar w:fldCharType="begin"/>
                    </w:r>
                    <w:r>
                      <w:instrText xml:space="preserve"> PAGE  \* MERGEFORMAT </w:instrText>
                    </w:r>
                    <w:r>
                      <w:fldChar w:fldCharType="separate"/>
                    </w:r>
                    <w:r>
                      <w:t>1</w:t>
                    </w:r>
                    <w:r>
                      <w:fldChar w:fldCharType="end"/>
                    </w:r>
                    <w:r>
                      <w:rPr>
                        <w:rFonts w:hint="eastAsia"/>
                        <w:lang w:val="en-US" w:eastAsia="zh-CN"/>
                      </w:rPr>
                      <w:t>8</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0DAB8">
    <w:pPr>
      <w:pStyle w:val="9"/>
      <w:jc w:val="both"/>
      <w:rPr>
        <w:rFonts w:hint="default"/>
        <w:lang w:val="en-US"/>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63C20C">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463C20C">
                    <w:pPr>
                      <w:pStyle w:val="9"/>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lang w:val="en-US" w:eastAsia="zh-CN"/>
      </w:rPr>
      <w:t>19</w:t>
    </w:r>
  </w:p>
  <w:p w14:paraId="66F70E4C">
    <w:pPr>
      <w:pStyle w:val="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2B37A">
    <w:pPr>
      <w:pStyle w:val="9"/>
      <w:tabs>
        <w:tab w:val="center" w:pos="6979"/>
        <w:tab w:val="clear" w:pos="4153"/>
      </w:tabs>
      <w:rPr>
        <w:rFonts w:hint="default"/>
        <w:lang w:val="en-US" w:eastAsia="zh-CN"/>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4553D4">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0B4553D4">
                    <w:pPr>
                      <w:pStyle w:val="9"/>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val="en-US" w:eastAsia="zh-CN"/>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E9935">
    <w:pPr>
      <w:pStyle w:val="9"/>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478D11">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7F478D11">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AD454">
    <w:pPr>
      <w:pStyle w:val="9"/>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258340">
                          <w:pPr>
                            <w:pStyle w:val="9"/>
                            <w:rPr>
                              <w:rFonts w:hint="eastAsia" w:eastAsia="宋体"/>
                              <w:lang w:val="en-US" w:eastAsia="zh-CN"/>
                            </w:rPr>
                          </w:pPr>
                          <w:r>
                            <w:fldChar w:fldCharType="begin"/>
                          </w:r>
                          <w:r>
                            <w:instrText xml:space="preserve"> PAGE  \* MERGEFORMAT </w:instrText>
                          </w:r>
                          <w:r>
                            <w:fldChar w:fldCharType="separate"/>
                          </w:r>
                          <w:r>
                            <w:t>1</w:t>
                          </w:r>
                          <w:r>
                            <w:fldChar w:fldCharType="end"/>
                          </w:r>
                          <w:r>
                            <w:rPr>
                              <w:rFonts w:hint="eastAsia"/>
                              <w:lang w:val="en-US" w:eastAsia="zh-CN"/>
                            </w:rPr>
                            <w:t>8</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7258340">
                    <w:pPr>
                      <w:pStyle w:val="9"/>
                      <w:rPr>
                        <w:rFonts w:hint="eastAsia" w:eastAsia="宋体"/>
                        <w:lang w:val="en-US" w:eastAsia="zh-CN"/>
                      </w:rPr>
                    </w:pPr>
                    <w:r>
                      <w:fldChar w:fldCharType="begin"/>
                    </w:r>
                    <w:r>
                      <w:instrText xml:space="preserve"> PAGE  \* MERGEFORMAT </w:instrText>
                    </w:r>
                    <w:r>
                      <w:fldChar w:fldCharType="separate"/>
                    </w:r>
                    <w:r>
                      <w:t>1</w:t>
                    </w:r>
                    <w:r>
                      <w:fldChar w:fldCharType="end"/>
                    </w:r>
                    <w:r>
                      <w:rPr>
                        <w:rFonts w:hint="eastAsia"/>
                        <w:lang w:val="en-US" w:eastAsia="zh-CN"/>
                      </w:rPr>
                      <w:t>8</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33928">
    <w:pPr>
      <w:pStyle w:val="9"/>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0A5281">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020A5281">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C05CF">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ABFC95"/>
    <w:multiLevelType w:val="singleLevel"/>
    <w:tmpl w:val="80ABFC95"/>
    <w:lvl w:ilvl="0" w:tentative="0">
      <w:start w:val="1"/>
      <w:numFmt w:val="decimal"/>
      <w:lvlText w:val="%1."/>
      <w:lvlJc w:val="left"/>
      <w:pPr>
        <w:tabs>
          <w:tab w:val="left" w:pos="312"/>
        </w:tabs>
      </w:p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zMDFjNDRiNDI1ZjdjOWYyNTYzY2ViNmU5OWEwMmQ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7906891"/>
    <w:rsid w:val="081B5E94"/>
    <w:rsid w:val="0A2032A3"/>
    <w:rsid w:val="0B8A37D8"/>
    <w:rsid w:val="0ECD284E"/>
    <w:rsid w:val="0F5FFB2F"/>
    <w:rsid w:val="0FFFCF60"/>
    <w:rsid w:val="10C055FF"/>
    <w:rsid w:val="118107EC"/>
    <w:rsid w:val="11DD6519"/>
    <w:rsid w:val="147970C5"/>
    <w:rsid w:val="16BB723D"/>
    <w:rsid w:val="17A26C03"/>
    <w:rsid w:val="18015F3F"/>
    <w:rsid w:val="1BE8440E"/>
    <w:rsid w:val="1D155CEE"/>
    <w:rsid w:val="1FDBBF84"/>
    <w:rsid w:val="20F108D5"/>
    <w:rsid w:val="20F57F95"/>
    <w:rsid w:val="2286637C"/>
    <w:rsid w:val="240371BF"/>
    <w:rsid w:val="25711CC6"/>
    <w:rsid w:val="25C741E6"/>
    <w:rsid w:val="276F80C0"/>
    <w:rsid w:val="27842671"/>
    <w:rsid w:val="29FD04D3"/>
    <w:rsid w:val="2ABE7A3E"/>
    <w:rsid w:val="2AFF09B6"/>
    <w:rsid w:val="2CA234A8"/>
    <w:rsid w:val="2EFA178C"/>
    <w:rsid w:val="2EFDF86C"/>
    <w:rsid w:val="2F9D17E1"/>
    <w:rsid w:val="30B46D73"/>
    <w:rsid w:val="319F7F4E"/>
    <w:rsid w:val="356A28F1"/>
    <w:rsid w:val="357C035A"/>
    <w:rsid w:val="368E000D"/>
    <w:rsid w:val="383D272C"/>
    <w:rsid w:val="39AE70AB"/>
    <w:rsid w:val="3A4DCE41"/>
    <w:rsid w:val="3BCB56FA"/>
    <w:rsid w:val="3C0C0783"/>
    <w:rsid w:val="3D141FD3"/>
    <w:rsid w:val="3EE7C2F4"/>
    <w:rsid w:val="3F371B56"/>
    <w:rsid w:val="3F792ED8"/>
    <w:rsid w:val="3F9F3A96"/>
    <w:rsid w:val="3FECA4B2"/>
    <w:rsid w:val="3FF58C48"/>
    <w:rsid w:val="42FF6694"/>
    <w:rsid w:val="45876549"/>
    <w:rsid w:val="47E83BDB"/>
    <w:rsid w:val="48BF60AB"/>
    <w:rsid w:val="493C27E9"/>
    <w:rsid w:val="496F39ED"/>
    <w:rsid w:val="49FF41D3"/>
    <w:rsid w:val="4BE068DB"/>
    <w:rsid w:val="4BF6002B"/>
    <w:rsid w:val="4BFFC6BE"/>
    <w:rsid w:val="4CB43884"/>
    <w:rsid w:val="4ECE2238"/>
    <w:rsid w:val="51DB4B86"/>
    <w:rsid w:val="51F64DB0"/>
    <w:rsid w:val="55333C3E"/>
    <w:rsid w:val="5F67802D"/>
    <w:rsid w:val="5F7DC4F2"/>
    <w:rsid w:val="5FB36814"/>
    <w:rsid w:val="5FBB8E56"/>
    <w:rsid w:val="5FFB5535"/>
    <w:rsid w:val="64CA39A1"/>
    <w:rsid w:val="69630ADE"/>
    <w:rsid w:val="69BD5F13"/>
    <w:rsid w:val="69FB0B4B"/>
    <w:rsid w:val="6A136B98"/>
    <w:rsid w:val="6BFFE1FB"/>
    <w:rsid w:val="6C4A05C8"/>
    <w:rsid w:val="6D3B1A89"/>
    <w:rsid w:val="6DB7D8A3"/>
    <w:rsid w:val="6EC78701"/>
    <w:rsid w:val="6F7A5481"/>
    <w:rsid w:val="6FFE07A9"/>
    <w:rsid w:val="701F7684"/>
    <w:rsid w:val="71BF4EC2"/>
    <w:rsid w:val="72734D90"/>
    <w:rsid w:val="73E75B71"/>
    <w:rsid w:val="7412278C"/>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Body Text"/>
    <w:basedOn w:val="1"/>
    <w:link w:val="25"/>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1"/>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able of figures"/>
    <w:basedOn w:val="1"/>
    <w:next w:val="1"/>
    <w:qFormat/>
    <w:uiPriority w:val="0"/>
    <w:pPr>
      <w:ind w:leftChars="200" w:hanging="200" w:hangingChars="200"/>
    </w:pPr>
  </w:style>
  <w:style w:type="paragraph" w:styleId="13">
    <w:name w:val="toc 2"/>
    <w:basedOn w:val="1"/>
    <w:next w:val="1"/>
    <w:unhideWhenUsed/>
    <w:qFormat/>
    <w:uiPriority w:val="39"/>
    <w:pPr>
      <w:tabs>
        <w:tab w:val="right" w:leader="dot" w:pos="8296"/>
      </w:tabs>
      <w:ind w:left="420" w:leftChars="200"/>
    </w:pPr>
  </w:style>
  <w:style w:type="paragraph" w:styleId="14">
    <w:name w:val="Body Text First Indent 2"/>
    <w:basedOn w:val="6"/>
    <w:unhideWhenUsed/>
    <w:qFormat/>
    <w:uiPriority w:val="99"/>
    <w:pPr>
      <w:ind w:firstLine="420" w:firstLine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0"/>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9"/>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5"/>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2"/>
    <w:qFormat/>
    <w:uiPriority w:val="9"/>
    <w:rPr>
      <w:rFonts w:ascii="Times New Roman" w:hAnsi="Times New Roman"/>
      <w:b/>
      <w:bCs/>
      <w:kern w:val="44"/>
      <w:sz w:val="44"/>
      <w:szCs w:val="44"/>
    </w:rPr>
  </w:style>
  <w:style w:type="character" w:customStyle="1" w:styleId="29">
    <w:name w:val="标题 2 字符"/>
    <w:basedOn w:val="16"/>
    <w:link w:val="3"/>
    <w:qFormat/>
    <w:uiPriority w:val="9"/>
    <w:rPr>
      <w:rFonts w:asciiTheme="majorHAnsi" w:hAnsiTheme="majorHAnsi" w:eastAsiaTheme="majorEastAsia" w:cstheme="majorBidi"/>
      <w:b/>
      <w:bCs/>
      <w:kern w:val="2"/>
      <w:sz w:val="32"/>
      <w:szCs w:val="32"/>
    </w:rPr>
  </w:style>
  <w:style w:type="paragraph" w:customStyle="1" w:styleId="30">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8"/>
    <w:semiHidden/>
    <w:qFormat/>
    <w:uiPriority w:val="99"/>
    <w:rPr>
      <w:rFonts w:ascii="Times New Roman" w:hAnsi="Times New Roman"/>
      <w:kern w:val="2"/>
      <w:sz w:val="18"/>
      <w:szCs w:val="18"/>
    </w:rPr>
  </w:style>
  <w:style w:type="character" w:customStyle="1" w:styleId="32">
    <w:name w:val="标题 3 字符"/>
    <w:basedOn w:val="16"/>
    <w:link w:val="4"/>
    <w:qFormat/>
    <w:uiPriority w:val="9"/>
    <w:rPr>
      <w:rFonts w:ascii="Times New Roman" w:hAnsi="Times New Roman"/>
      <w:b/>
      <w:bCs/>
      <w:kern w:val="2"/>
      <w:sz w:val="32"/>
      <w:szCs w:val="32"/>
    </w:rPr>
  </w:style>
  <w:style w:type="paragraph" w:customStyle="1" w:styleId="33">
    <w:name w:val="TOC 标题2"/>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称呼1"/>
    <w:basedOn w:val="1"/>
    <w:next w:val="1"/>
    <w:autoRedefine/>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35">
    <w:name w:val="普通(网站) Char"/>
    <w:basedOn w:val="1"/>
    <w:autoRedefine/>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chart" Target="charts/chart7.xml"/><Relationship Id="rId20" Type="http://schemas.openxmlformats.org/officeDocument/2006/relationships/chart" Target="charts/chart6.xml"/><Relationship Id="rId2" Type="http://schemas.openxmlformats.org/officeDocument/2006/relationships/settings" Target="settings.xml"/><Relationship Id="rId19" Type="http://schemas.openxmlformats.org/officeDocument/2006/relationships/chart" Target="charts/chart5.xml"/><Relationship Id="rId18" Type="http://schemas.openxmlformats.org/officeDocument/2006/relationships/chart" Target="charts/chart4.xml"/><Relationship Id="rId17" Type="http://schemas.openxmlformats.org/officeDocument/2006/relationships/chart" Target="charts/chart3.xml"/><Relationship Id="rId16" Type="http://schemas.openxmlformats.org/officeDocument/2006/relationships/chart" Target="charts/chart2.xml"/><Relationship Id="rId15" Type="http://schemas.openxmlformats.org/officeDocument/2006/relationships/chart" Target="charts/chart1.xml"/><Relationship Id="rId14" Type="http://schemas.openxmlformats.org/officeDocument/2006/relationships/theme" Target="theme/theme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HP\Desktop\&#20915;&#31639;&#22270;&#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HP\Desktop\&#20915;&#31639;&#22270;&#34920;.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HP\Desktop\&#20915;&#31639;&#22270;&#34920;.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HP\Desktop\&#20915;&#31639;&#22270;&#34920;.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HP\Desktop\&#20915;&#31639;&#22270;&#34920;.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HP\Desktop\&#20915;&#31639;&#22270;&#34920;.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C:\Users\HP\Desktop\&#20915;&#31639;&#2227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财政拨款收、支决算总计变动情况</a:t>
            </a:r>
          </a:p>
        </c:rich>
      </c:tx>
      <c:layout>
        <c:manualLayout>
          <c:xMode val="edge"/>
          <c:yMode val="edge"/>
          <c:x val="0.241980321484153"/>
          <c:y val="0.0347222222222222"/>
        </c:manualLayout>
      </c:layout>
      <c:overlay val="0"/>
      <c:spPr>
        <a:noFill/>
        <a:ln>
          <a:noFill/>
        </a:ln>
        <a:effectLst/>
      </c:spPr>
    </c:title>
    <c:autoTitleDeleted val="0"/>
    <c:plotArea>
      <c:layout>
        <c:manualLayout>
          <c:layoutTarget val="inner"/>
          <c:xMode val="edge"/>
          <c:yMode val="edge"/>
          <c:x val="0.0701850403961428"/>
          <c:y val="0.138477989663162"/>
          <c:w val="0.901146729215533"/>
          <c:h val="0.697273213330957"/>
        </c:manualLayout>
      </c:layout>
      <c:barChart>
        <c:barDir val="col"/>
        <c:grouping val="clustered"/>
        <c:varyColors val="0"/>
        <c:ser>
          <c:idx val="0"/>
          <c:order val="0"/>
          <c:tx>
            <c:strRef>
              <c:f>[决算图表.xlsx]Sheet1!$A$79</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[决算图表.xlsx]Sheet1!$B$77:$C$78</c:f>
              <c:multiLvlStrCache>
                <c:ptCount val="2"/>
                <c:lvl>
                  <c:pt idx="0">
                    <c:v>2022年</c:v>
                  </c:pt>
                  <c:pt idx="1">
                    <c:v>2023年</c:v>
                  </c:pt>
                </c:lvl>
                <c:lvl/>
              </c:multiLvlStrCache>
            </c:multiLvlStrRef>
          </c:cat>
          <c:val>
            <c:numRef>
              <c:f>[决算图表.xlsx]Sheet1!$B$79:$C$79</c:f>
              <c:numCache>
                <c:formatCode>General</c:formatCode>
                <c:ptCount val="2"/>
                <c:pt idx="0">
                  <c:v>466.78</c:v>
                </c:pt>
                <c:pt idx="1" c:formatCode="#,##0.00">
                  <c:v>578.38</c:v>
                </c:pt>
              </c:numCache>
            </c:numRef>
          </c:val>
        </c:ser>
        <c:ser>
          <c:idx val="1"/>
          <c:order val="1"/>
          <c:tx>
            <c:strRef>
              <c:f>[决算图表.xlsx]Sheet1!$A$80</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[决算图表.xlsx]Sheet1!$B$77:$C$78</c:f>
              <c:multiLvlStrCache>
                <c:ptCount val="2"/>
                <c:lvl>
                  <c:pt idx="0">
                    <c:v>2022年</c:v>
                  </c:pt>
                  <c:pt idx="1">
                    <c:v>2023年</c:v>
                  </c:pt>
                </c:lvl>
                <c:lvl/>
              </c:multiLvlStrCache>
            </c:multiLvlStrRef>
          </c:cat>
          <c:val>
            <c:numRef>
              <c:f>[决算图表.xlsx]Sheet1!$B$80:$C$80</c:f>
              <c:numCache>
                <c:formatCode>General</c:formatCode>
                <c:ptCount val="2"/>
                <c:pt idx="0">
                  <c:v>466.78</c:v>
                </c:pt>
                <c:pt idx="1" c:formatCode="#,##0.00">
                  <c:v>578.38</c:v>
                </c:pt>
              </c:numCache>
            </c:numRef>
          </c:val>
        </c:ser>
        <c:dLbls>
          <c:showLegendKey val="0"/>
          <c:showVal val="1"/>
          <c:showCatName val="0"/>
          <c:showSerName val="0"/>
          <c:showPercent val="0"/>
          <c:showBubbleSize val="0"/>
        </c:dLbls>
        <c:gapWidth val="246"/>
        <c:overlap val="-28"/>
        <c:axId val="442978941"/>
        <c:axId val="313891353"/>
      </c:barChart>
      <c:catAx>
        <c:axId val="44297894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13891353"/>
        <c:crosses val="autoZero"/>
        <c:auto val="1"/>
        <c:lblAlgn val="ctr"/>
        <c:lblOffset val="100"/>
        <c:noMultiLvlLbl val="0"/>
      </c:catAx>
      <c:valAx>
        <c:axId val="313891353"/>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42978941"/>
        <c:crosses val="autoZero"/>
        <c:crossBetween val="between"/>
      </c:valAx>
      <c:spPr>
        <a:noFill/>
        <a:ln>
          <a:noFill/>
        </a:ln>
        <a:effectLst/>
      </c:spPr>
    </c:plotArea>
    <c:legend>
      <c:legendPos val="b"/>
      <c:layout>
        <c:manualLayout>
          <c:xMode val="edge"/>
          <c:yMode val="edge"/>
          <c:x val="0.897881300171075"/>
          <c:y val="0.405092592592593"/>
          <c:w val="0.0809317015396763"/>
          <c:h val="0.24652777777777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Pt>
            <c:idx val="8"/>
            <c:bubble3D val="0"/>
            <c:spPr>
              <a:solidFill>
                <a:schemeClr val="accent3">
                  <a:lumMod val="60000"/>
                </a:schemeClr>
              </a:solidFill>
              <a:ln>
                <a:solidFill>
                  <a:schemeClr val="bg1"/>
                </a:solidFill>
              </a:ln>
              <a:effectLst/>
            </c:spPr>
          </c:dPt>
          <c:dLbls>
            <c:dLbl>
              <c:idx val="2"/>
              <c:delete val="1"/>
            </c:dLbl>
            <c:dLbl>
              <c:idx val="3"/>
              <c:delete val="1"/>
            </c:dLbl>
            <c:dLbl>
              <c:idx val="4"/>
              <c:delete val="1"/>
            </c:dLbl>
            <c:dLbl>
              <c:idx val="6"/>
              <c:delete val="1"/>
            </c:dLbl>
            <c:dLbl>
              <c:idx val="7"/>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[决算图表.xlsx]Sheet1!$A$23:$A$31</c:f>
              <c:strCache>
                <c:ptCount val="9"/>
                <c:pt idx="0">
                  <c:v>收入决算结构图</c:v>
                </c:pt>
                <c:pt idx="1">
                  <c:v>一般公共预算财政拨款收入</c:v>
                </c:pt>
                <c:pt idx="2">
                  <c:v>政府性基金预算财政拨款收入</c:v>
                </c:pt>
                <c:pt idx="3">
                  <c:v>国有资本经营预算财政拨款收入</c:v>
                </c:pt>
                <c:pt idx="4">
                  <c:v>上级补助收入</c:v>
                </c:pt>
                <c:pt idx="5">
                  <c:v>事业收入</c:v>
                </c:pt>
                <c:pt idx="6">
                  <c:v>经营收入</c:v>
                </c:pt>
                <c:pt idx="7">
                  <c:v>附属单位上缴收入</c:v>
                </c:pt>
                <c:pt idx="8">
                  <c:v>其他收入</c:v>
                </c:pt>
              </c:strCache>
            </c:strRef>
          </c:cat>
          <c:val>
            <c:numRef>
              <c:f>[决算图表.xlsx]Sheet1!$B$23:$B$31</c:f>
              <c:numCache>
                <c:formatCode>General</c:formatCode>
                <c:ptCount val="9"/>
                <c:pt idx="1">
                  <c:v>578.38</c:v>
                </c:pt>
                <c:pt idx="2">
                  <c:v>0</c:v>
                </c:pt>
                <c:pt idx="3">
                  <c:v>0</c:v>
                </c:pt>
                <c:pt idx="4">
                  <c:v>0</c:v>
                </c:pt>
                <c:pt idx="5">
                  <c:v>0</c:v>
                </c:pt>
                <c:pt idx="6">
                  <c:v>0</c:v>
                </c:pt>
                <c:pt idx="7">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665263157894737"/>
          <c:y val="0.140856481481481"/>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支出决算结构图</a:t>
            </a:r>
          </a:p>
        </c:rich>
      </c:tx>
      <c:layout/>
      <c:overlay val="0"/>
      <c:spPr>
        <a:noFill/>
        <a:ln>
          <a:noFill/>
        </a:ln>
        <a:effectLst/>
      </c:spPr>
    </c:title>
    <c:autoTitleDeleted val="0"/>
    <c:plotArea>
      <c:layout>
        <c:manualLayout>
          <c:layoutTarget val="inner"/>
          <c:xMode val="edge"/>
          <c:yMode val="edge"/>
          <c:x val="0.273481020857624"/>
          <c:y val="0.326403730328347"/>
          <c:w val="0.445264930690504"/>
          <c:h val="0.667767631630076"/>
        </c:manualLayout>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Lbls>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85%</a:t>
                    </a:r>
                  </a:p>
                </c:rich>
              </c:tx>
              <c:dLblPos val="inEnd"/>
              <c:showLegendKey val="0"/>
              <c:showVal val="1"/>
              <c:showCatName val="0"/>
              <c:showSerName val="0"/>
              <c:showPercent val="1"/>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15%</a:t>
                    </a:r>
                  </a:p>
                </c:rich>
              </c:tx>
              <c:dLblPos val="inEnd"/>
              <c:showLegendKey val="0"/>
              <c:showVal val="1"/>
              <c:showCatName val="0"/>
              <c:showSerName val="0"/>
              <c:showPercent val="1"/>
              <c:showBubbleSize val="0"/>
              <c:extLst>
                <c:ext xmlns:c15="http://schemas.microsoft.com/office/drawing/2012/chart" uri="{CE6537A1-D6FC-4f65-9D91-7224C49458BB}"/>
              </c:extLst>
            </c:dLbl>
            <c:dLbl>
              <c:idx val="3"/>
              <c:layout/>
              <c:dLblPos val="inEnd"/>
              <c:showLegendKey val="0"/>
              <c:showVal val="0"/>
              <c:showCatName val="0"/>
              <c:showSerName val="0"/>
              <c:showPercent val="1"/>
              <c:showBubbleSize val="0"/>
              <c:extLst>
                <c:ext xmlns:c15="http://schemas.microsoft.com/office/drawing/2012/chart" uri="{CE6537A1-D6FC-4f65-9D91-7224C49458BB}"/>
              </c:extLst>
            </c:dLbl>
            <c:dLbl>
              <c:idx val="4"/>
              <c:layout/>
              <c:dLblPos val="inEnd"/>
              <c:showLegendKey val="0"/>
              <c:showVal val="0"/>
              <c:showCatName val="0"/>
              <c:showSerName val="0"/>
              <c:showPercent val="1"/>
              <c:showBubbleSize val="0"/>
              <c:extLst>
                <c:ext xmlns:c15="http://schemas.microsoft.com/office/drawing/2012/chart" uri="{CE6537A1-D6FC-4f65-9D91-7224C49458BB}"/>
              </c:extLst>
            </c:dLbl>
            <c:dLbl>
              <c:idx val="5"/>
              <c:layout/>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[决算图表.xlsx]Sheet1!$A$51:$A$56</c:f>
              <c:strCache>
                <c:ptCount val="6"/>
                <c:pt idx="0">
                  <c:v>支出决算结构图</c:v>
                </c:pt>
                <c:pt idx="1">
                  <c:v>基本支出</c:v>
                </c:pt>
                <c:pt idx="2">
                  <c:v>项目支出</c:v>
                </c:pt>
                <c:pt idx="3">
                  <c:v>上缴上级支出</c:v>
                </c:pt>
                <c:pt idx="4">
                  <c:v>经营支出</c:v>
                </c:pt>
                <c:pt idx="5">
                  <c:v>对附属单位补助支出</c:v>
                </c:pt>
              </c:strCache>
            </c:strRef>
          </c:cat>
          <c:val>
            <c:numRef>
              <c:f>[决算图表.xlsx]Sheet1!$B$51:$B$56</c:f>
              <c:numCache>
                <c:formatCode>General</c:formatCode>
                <c:ptCount val="6"/>
                <c:pt idx="1">
                  <c:v>488.62</c:v>
                </c:pt>
                <c:pt idx="2">
                  <c:v>89.76</c:v>
                </c:pt>
                <c:pt idx="3">
                  <c:v>0</c:v>
                </c:pt>
                <c:pt idx="4">
                  <c:v>0</c:v>
                </c:pt>
                <c:pt idx="5">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707746663238856"/>
          <c:y val="0.29841664497729"/>
          <c:w val="0.268916424993409"/>
          <c:h val="0.69575471698113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财政拨款收、支决算总计变动情况</a:t>
            </a:r>
          </a:p>
        </c:rich>
      </c:tx>
      <c:layout>
        <c:manualLayout>
          <c:xMode val="edge"/>
          <c:yMode val="edge"/>
          <c:x val="0.238071017340291"/>
          <c:y val="0.0347222222222222"/>
        </c:manualLayout>
      </c:layout>
      <c:overlay val="0"/>
      <c:spPr>
        <a:noFill/>
        <a:ln>
          <a:noFill/>
        </a:ln>
        <a:effectLst/>
      </c:spPr>
    </c:title>
    <c:autoTitleDeleted val="0"/>
    <c:plotArea>
      <c:layout>
        <c:manualLayout>
          <c:layoutTarget val="inner"/>
          <c:xMode val="edge"/>
          <c:yMode val="edge"/>
          <c:x val="0.0610633307271306"/>
          <c:y val="0.0662983425414368"/>
          <c:w val="0.901146729215533"/>
          <c:h val="0.697273213330957"/>
        </c:manualLayout>
      </c:layout>
      <c:barChart>
        <c:barDir val="col"/>
        <c:grouping val="clustered"/>
        <c:varyColors val="0"/>
        <c:ser>
          <c:idx val="0"/>
          <c:order val="0"/>
          <c:tx>
            <c:strRef>
              <c:f>[决算图表.xlsx]Sheet1!$A$79</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[决算图表.xlsx]Sheet1!$B$77:$C$78</c:f>
              <c:multiLvlStrCache>
                <c:ptCount val="2"/>
                <c:lvl>
                  <c:pt idx="0">
                    <c:v>2022年</c:v>
                  </c:pt>
                  <c:pt idx="1">
                    <c:v>2023年</c:v>
                  </c:pt>
                </c:lvl>
                <c:lvl/>
              </c:multiLvlStrCache>
            </c:multiLvlStrRef>
          </c:cat>
          <c:val>
            <c:numRef>
              <c:f>[决算图表.xlsx]Sheet1!$B$79:$C$79</c:f>
              <c:numCache>
                <c:formatCode>General</c:formatCode>
                <c:ptCount val="2"/>
                <c:pt idx="0">
                  <c:v>466.78</c:v>
                </c:pt>
                <c:pt idx="1" c:formatCode="#,##0.00">
                  <c:v>578.38</c:v>
                </c:pt>
              </c:numCache>
            </c:numRef>
          </c:val>
        </c:ser>
        <c:ser>
          <c:idx val="1"/>
          <c:order val="1"/>
          <c:tx>
            <c:strRef>
              <c:f>[决算图表.xlsx]Sheet1!$A$80</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[决算图表.xlsx]Sheet1!$B$77:$C$78</c:f>
              <c:multiLvlStrCache>
                <c:ptCount val="2"/>
                <c:lvl>
                  <c:pt idx="0">
                    <c:v>2022年</c:v>
                  </c:pt>
                  <c:pt idx="1">
                    <c:v>2023年</c:v>
                  </c:pt>
                </c:lvl>
                <c:lvl/>
              </c:multiLvlStrCache>
            </c:multiLvlStrRef>
          </c:cat>
          <c:val>
            <c:numRef>
              <c:f>[决算图表.xlsx]Sheet1!$B$80:$C$80</c:f>
              <c:numCache>
                <c:formatCode>General</c:formatCode>
                <c:ptCount val="2"/>
                <c:pt idx="0">
                  <c:v>466.78</c:v>
                </c:pt>
                <c:pt idx="1" c:formatCode="#,##0.00">
                  <c:v>578.38</c:v>
                </c:pt>
              </c:numCache>
            </c:numRef>
          </c:val>
        </c:ser>
        <c:dLbls>
          <c:showLegendKey val="0"/>
          <c:showVal val="1"/>
          <c:showCatName val="0"/>
          <c:showSerName val="0"/>
          <c:showPercent val="0"/>
          <c:showBubbleSize val="0"/>
        </c:dLbls>
        <c:gapWidth val="246"/>
        <c:overlap val="-28"/>
        <c:axId val="442978941"/>
        <c:axId val="313891353"/>
      </c:barChart>
      <c:catAx>
        <c:axId val="44297894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13891353"/>
        <c:crosses val="autoZero"/>
        <c:auto val="1"/>
        <c:lblAlgn val="ctr"/>
        <c:lblOffset val="100"/>
        <c:noMultiLvlLbl val="0"/>
      </c:catAx>
      <c:valAx>
        <c:axId val="313891353"/>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42978941"/>
        <c:crosses val="autoZero"/>
        <c:crossBetween val="between"/>
      </c:valAx>
      <c:spPr>
        <a:noFill/>
        <a:ln>
          <a:noFill/>
        </a:ln>
        <a:effectLst/>
      </c:spPr>
    </c:plotArea>
    <c:legend>
      <c:legendPos val="b"/>
      <c:layout>
        <c:manualLayout>
          <c:xMode val="edge"/>
          <c:yMode val="edge"/>
          <c:x val="0.897881300171075"/>
          <c:y val="0.405092592592593"/>
          <c:w val="0.0809317015396763"/>
          <c:h val="0.24652777777777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一般公共预算财政拨款支出决算结构</a:t>
            </a:r>
          </a:p>
        </c:rich>
      </c:tx>
      <c:layout>
        <c:manualLayout>
          <c:xMode val="edge"/>
          <c:yMode val="edge"/>
          <c:x val="0.238553590010406"/>
          <c:y val="0.0346129641283826"/>
        </c:manualLayout>
      </c:layout>
      <c:overlay val="0"/>
      <c:spPr>
        <a:noFill/>
        <a:ln>
          <a:noFill/>
        </a:ln>
        <a:effectLst/>
      </c:spPr>
    </c:title>
    <c:autoTitleDeleted val="0"/>
    <c:plotArea>
      <c:layout/>
      <c:barChart>
        <c:barDir val="col"/>
        <c:grouping val="clustered"/>
        <c:varyColors val="0"/>
        <c:ser>
          <c:idx val="0"/>
          <c:order val="0"/>
          <c:spPr>
            <a:solidFill>
              <a:schemeClr val="accent1"/>
            </a:solidFill>
            <a:ln>
              <a:solidFill>
                <a:schemeClr val="bg1"/>
              </a:solidFill>
            </a:ln>
            <a:effectLst/>
          </c:spPr>
          <c:invertIfNegative val="0"/>
          <c:dPt>
            <c:idx val="0"/>
            <c:invertIfNegative val="0"/>
            <c:bubble3D val="0"/>
            <c:spPr>
              <a:solidFill>
                <a:schemeClr val="accent1"/>
              </a:solidFill>
              <a:ln>
                <a:solidFill>
                  <a:schemeClr val="bg1"/>
                </a:solidFill>
              </a:ln>
              <a:effectLst/>
            </c:spPr>
          </c:dPt>
          <c:dPt>
            <c:idx val="1"/>
            <c:invertIfNegative val="0"/>
            <c:bubble3D val="0"/>
            <c:spPr>
              <a:solidFill>
                <a:schemeClr val="accent1"/>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[决算图表.xlsx]Sheet1!$A$104:$A$105</c:f>
              <c:strCache>
                <c:ptCount val="2"/>
                <c:pt idx="0">
                  <c:v>2022年</c:v>
                </c:pt>
                <c:pt idx="1">
                  <c:v>2023年</c:v>
                </c:pt>
              </c:strCache>
            </c:strRef>
          </c:cat>
          <c:val>
            <c:numRef>
              <c:f>[决算图表.xlsx]Sheet1!$B$104:$B$105</c:f>
              <c:numCache>
                <c:formatCode>General</c:formatCode>
                <c:ptCount val="2"/>
                <c:pt idx="0">
                  <c:v>466.78</c:v>
                </c:pt>
                <c:pt idx="1" c:formatCode="#,##0.00">
                  <c:v>578.38</c:v>
                </c:pt>
              </c:numCache>
            </c:numRef>
          </c:val>
        </c:ser>
        <c:dLbls>
          <c:showLegendKey val="0"/>
          <c:showVal val="1"/>
          <c:showCatName val="0"/>
          <c:showSerName val="0"/>
          <c:showPercent val="0"/>
          <c:showBubbleSize val="0"/>
        </c:dLbls>
        <c:gapWidth val="150"/>
        <c:overlap val="0"/>
        <c:axId val="439390380"/>
        <c:axId val="638291600"/>
      </c:barChart>
      <c:catAx>
        <c:axId val="439390380"/>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38291600"/>
        <c:crosses val="autoZero"/>
        <c:auto val="1"/>
        <c:lblAlgn val="ctr"/>
        <c:lblOffset val="100"/>
        <c:noMultiLvlLbl val="0"/>
      </c:catAx>
      <c:valAx>
        <c:axId val="638291600"/>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9390380"/>
        <c:crosses val="autoZero"/>
        <c:crossBetween val="between"/>
      </c:valAx>
      <c:spPr>
        <a:noFill/>
        <a:ln>
          <a:noFill/>
        </a:ln>
        <a:effectLst/>
      </c:spPr>
    </c:plotArea>
    <c:legend>
      <c:legendPos val="t"/>
      <c:layout>
        <c:manualLayout>
          <c:xMode val="edge"/>
          <c:yMode val="edge"/>
          <c:x val="0.844584813791288"/>
          <c:y val="0.486111111111111"/>
          <c:w val="0.100671140939597"/>
          <c:h val="0.33333333333333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a:t>
            </a:r>
          </a:p>
        </c:rich>
      </c:tx>
      <c:layout>
        <c:manualLayout>
          <c:xMode val="edge"/>
          <c:yMode val="edge"/>
          <c:x val="0.232894736842105"/>
          <c:y val="0.00694444444444444"/>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[决算图表.xlsx]Sheet1!$A$157:$A$159</c:f>
              <c:strCache>
                <c:ptCount val="3"/>
                <c:pt idx="0">
                  <c:v>社会保障和就业支出</c:v>
                </c:pt>
                <c:pt idx="1">
                  <c:v>卫生健康支出</c:v>
                </c:pt>
                <c:pt idx="2">
                  <c:v>住房保障支出</c:v>
                </c:pt>
              </c:strCache>
            </c:strRef>
          </c:cat>
          <c:val>
            <c:numRef>
              <c:f>[决算图表.xlsx]Sheet1!$B$157:$B$159</c:f>
              <c:numCache>
                <c:formatCode>General</c:formatCode>
                <c:ptCount val="3"/>
                <c:pt idx="0">
                  <c:v>74.39</c:v>
                </c:pt>
                <c:pt idx="1">
                  <c:v>466.09</c:v>
                </c:pt>
                <c:pt idx="2">
                  <c:v>37.9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manualLayout>
          <c:xMode val="edge"/>
          <c:yMode val="edge"/>
          <c:x val="0.752631578947368"/>
          <c:y val="0.575231481481482"/>
          <c:w val="0.239736842105263"/>
          <c:h val="0.2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lang="en-US" altLang="zh-CN"/>
              <a:t>“</a:t>
            </a:r>
            <a:r>
              <a:rPr altLang="en-US"/>
              <a:t>三公</a:t>
            </a:r>
            <a:r>
              <a:rPr lang="en-US" altLang="zh-CN"/>
              <a:t>”</a:t>
            </a:r>
            <a:r>
              <a:rPr altLang="en-US"/>
              <a:t>经费</a:t>
            </a:r>
            <a:endParaRPr altLang="en-US"/>
          </a:p>
        </c:rich>
      </c:tx>
      <c:layout>
        <c:manualLayout>
          <c:xMode val="edge"/>
          <c:yMode val="edge"/>
          <c:x val="0.422037488361904"/>
          <c:y val="0.156668535855926"/>
        </c:manualLayout>
      </c:layout>
      <c:overlay val="0"/>
      <c:spPr>
        <a:noFill/>
        <a:ln>
          <a:noFill/>
        </a:ln>
        <a:effectLst/>
      </c:spPr>
    </c:title>
    <c:autoTitleDeleted val="0"/>
    <c:plotArea>
      <c:layout>
        <c:manualLayout>
          <c:layoutTarget val="inner"/>
          <c:xMode val="edge"/>
          <c:yMode val="edge"/>
          <c:x val="0.356907894736842"/>
          <c:y val="0.44212962962963"/>
          <c:w val="0.286184210526316"/>
          <c:h val="0.503472222222222"/>
        </c:manualLayout>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elete val="1"/>
          </c:dLbls>
          <c:cat>
            <c:strRef>
              <c:f>[决算图表.xlsx]Sheet1!$A$127:$A$130</c:f>
              <c:strCache>
                <c:ptCount val="4"/>
                <c:pt idx="0">
                  <c:v>“三公”经费财政拨款支出</c:v>
                </c:pt>
                <c:pt idx="1">
                  <c:v>因公出国（境）费支出</c:v>
                </c:pt>
                <c:pt idx="2">
                  <c:v>公务用车购置及运行维护费支出</c:v>
                </c:pt>
                <c:pt idx="3">
                  <c:v>公务接待费支出</c:v>
                </c:pt>
              </c:strCache>
            </c:strRef>
          </c:cat>
          <c:val>
            <c:numRef>
              <c:f>[决算图表.xlsx]Sheet1!$B$127:$B$130</c:f>
              <c:numCache>
                <c:formatCode>General</c:formatCode>
                <c:ptCount val="4"/>
                <c:pt idx="1">
                  <c:v>0</c:v>
                </c:pt>
                <c:pt idx="2">
                  <c:v>0</c:v>
                </c:pt>
                <c:pt idx="3">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manualLayout>
          <c:xMode val="edge"/>
          <c:yMode val="edge"/>
          <c:x val="0.6625"/>
          <c:y val="0.24537037037037"/>
          <c:w val="0.311842105263158"/>
          <c:h val="0.66666666666666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26</Pages>
  <Words>8536</Words>
  <Characters>9773</Characters>
  <Lines>54</Lines>
  <Paragraphs>15</Paragraphs>
  <TotalTime>1</TotalTime>
  <ScaleCrop>false</ScaleCrop>
  <LinksUpToDate>false</LinksUpToDate>
  <CharactersWithSpaces>9844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奕夕^_^</cp:lastModifiedBy>
  <cp:lastPrinted>2024-09-04T01:54:00Z</cp:lastPrinted>
  <dcterms:modified xsi:type="dcterms:W3CDTF">2024-09-23T08:31:52Z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3E77622C77294718A119D104E9C16540_13</vt:lpwstr>
  </property>
</Properties>
</file>