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51FD0">
      <w:pPr>
        <w:spacing w:line="600" w:lineRule="exact"/>
        <w:jc w:val="left"/>
        <w:outlineLvl w:val="9"/>
        <w:rPr>
          <w:rFonts w:ascii="方正小标宋简体" w:hAnsi="宋体" w:eastAsia="方正小标宋简体"/>
          <w:kern w:val="21"/>
          <w:szCs w:val="21"/>
        </w:rPr>
      </w:pPr>
      <w:bookmarkStart w:id="0" w:name="_Toc15306267"/>
    </w:p>
    <w:p w14:paraId="7EFC3C05">
      <w:pPr>
        <w:pStyle w:val="6"/>
        <w:spacing w:before="93"/>
        <w:rPr>
          <w:kern w:val="21"/>
        </w:rPr>
      </w:pPr>
    </w:p>
    <w:p w14:paraId="38A428F8">
      <w:pPr>
        <w:spacing w:line="600" w:lineRule="exact"/>
        <w:jc w:val="center"/>
        <w:outlineLvl w:val="9"/>
        <w:rPr>
          <w:rFonts w:ascii="方正小标宋简体" w:hAnsi="宋体" w:eastAsia="方正小标宋简体"/>
          <w:kern w:val="21"/>
          <w:sz w:val="72"/>
          <w:szCs w:val="72"/>
        </w:rPr>
      </w:pPr>
    </w:p>
    <w:p w14:paraId="109358FA">
      <w:pPr>
        <w:spacing w:line="600" w:lineRule="exact"/>
        <w:jc w:val="center"/>
        <w:outlineLvl w:val="9"/>
        <w:rPr>
          <w:rFonts w:ascii="方正小标宋简体" w:hAnsi="宋体" w:eastAsia="方正小标宋简体"/>
          <w:kern w:val="21"/>
          <w:sz w:val="72"/>
          <w:szCs w:val="72"/>
        </w:rPr>
      </w:pPr>
    </w:p>
    <w:p w14:paraId="28C82F57">
      <w:pPr>
        <w:adjustRightInd w:val="0"/>
        <w:snapToGrid w:val="0"/>
        <w:spacing w:line="360" w:lineRule="auto"/>
        <w:jc w:val="center"/>
        <w:outlineLvl w:val="0"/>
        <w:rPr>
          <w:rFonts w:ascii="方正小标宋简体" w:hAnsi="方正小标宋简体" w:eastAsia="方正小标宋简体" w:cs="方正小标宋简体"/>
          <w:kern w:val="21"/>
          <w:sz w:val="72"/>
          <w:szCs w:val="72"/>
        </w:rPr>
      </w:pPr>
      <w:bookmarkStart w:id="1" w:name="_Toc15378441"/>
      <w:bookmarkStart w:id="2" w:name="_Toc15377425"/>
      <w:bookmarkStart w:id="3" w:name="_Toc15811"/>
      <w:bookmarkStart w:id="4" w:name="_Toc15396597"/>
      <w:bookmarkStart w:id="5" w:name="_Toc15377193"/>
      <w:bookmarkStart w:id="6" w:name="_Toc15396475"/>
      <w:bookmarkStart w:id="7" w:name="_Toc725"/>
      <w:r>
        <w:rPr>
          <w:rFonts w:hint="eastAsia" w:ascii="方正小标宋简体" w:hAnsi="方正小标宋简体" w:eastAsia="方正小标宋简体" w:cs="方正小标宋简体"/>
          <w:kern w:val="21"/>
          <w:sz w:val="72"/>
          <w:szCs w:val="72"/>
        </w:rPr>
        <w:t>2023年度</w:t>
      </w:r>
      <w:bookmarkEnd w:id="1"/>
      <w:bookmarkEnd w:id="2"/>
      <w:bookmarkEnd w:id="3"/>
      <w:bookmarkEnd w:id="4"/>
      <w:bookmarkEnd w:id="5"/>
      <w:bookmarkEnd w:id="6"/>
      <w:bookmarkEnd w:id="7"/>
    </w:p>
    <w:p w14:paraId="23B782E8">
      <w:pPr>
        <w:adjustRightInd w:val="0"/>
        <w:snapToGrid w:val="0"/>
        <w:spacing w:line="360" w:lineRule="auto"/>
        <w:jc w:val="center"/>
        <w:outlineLvl w:val="0"/>
        <w:rPr>
          <w:rFonts w:hint="eastAsia" w:ascii="方正小标宋简体" w:hAnsi="方正小标宋简体" w:eastAsia="方正小标宋简体" w:cs="方正小标宋简体"/>
          <w:kern w:val="21"/>
          <w:sz w:val="72"/>
          <w:szCs w:val="72"/>
          <w:lang w:eastAsia="zh-CN"/>
        </w:rPr>
      </w:pPr>
      <w:bookmarkStart w:id="8" w:name="_Toc15378442"/>
      <w:bookmarkStart w:id="9" w:name="_Toc15396598"/>
      <w:bookmarkStart w:id="10" w:name="_Toc15396476"/>
      <w:bookmarkStart w:id="11" w:name="_Toc15377426"/>
      <w:bookmarkStart w:id="12" w:name="_Toc15377194"/>
      <w:bookmarkStart w:id="13" w:name="_Toc14027"/>
      <w:bookmarkStart w:id="14" w:name="_Toc14443"/>
      <w:r>
        <w:rPr>
          <w:rFonts w:hint="eastAsia" w:ascii="方正小标宋简体" w:hAnsi="方正小标宋简体" w:eastAsia="方正小标宋简体" w:cs="方正小标宋简体"/>
          <w:kern w:val="21"/>
          <w:sz w:val="72"/>
          <w:szCs w:val="72"/>
        </w:rPr>
        <w:t>四川省</w:t>
      </w:r>
      <w:bookmarkEnd w:id="0"/>
      <w:bookmarkStart w:id="15" w:name="_Toc15306268"/>
      <w:r>
        <w:rPr>
          <w:rFonts w:hint="eastAsia" w:ascii="方正小标宋简体" w:hAnsi="方正小标宋简体" w:eastAsia="方正小标宋简体" w:cs="方正小标宋简体"/>
          <w:kern w:val="21"/>
          <w:sz w:val="72"/>
          <w:szCs w:val="72"/>
          <w:lang w:eastAsia="zh-CN"/>
        </w:rPr>
        <w:t>岷江乡卫生院</w:t>
      </w:r>
      <w:r>
        <w:rPr>
          <w:rFonts w:hint="eastAsia" w:ascii="方正小标宋简体" w:hAnsi="方正小标宋简体" w:eastAsia="方正小标宋简体" w:cs="方正小标宋简体"/>
          <w:kern w:val="21"/>
          <w:sz w:val="72"/>
          <w:szCs w:val="72"/>
        </w:rPr>
        <w:t>单位决算</w:t>
      </w:r>
      <w:bookmarkEnd w:id="8"/>
      <w:bookmarkEnd w:id="9"/>
      <w:bookmarkEnd w:id="10"/>
      <w:bookmarkEnd w:id="11"/>
      <w:bookmarkEnd w:id="12"/>
      <w:bookmarkEnd w:id="15"/>
      <w:r>
        <w:rPr>
          <w:rFonts w:hint="eastAsia" w:ascii="方正小标宋简体" w:hAnsi="方正小标宋简体" w:eastAsia="方正小标宋简体" w:cs="方正小标宋简体"/>
          <w:kern w:val="21"/>
          <w:sz w:val="72"/>
          <w:szCs w:val="72"/>
          <w:lang w:eastAsia="zh-CN"/>
        </w:rPr>
        <w:t>公开</w:t>
      </w:r>
      <w:bookmarkEnd w:id="13"/>
      <w:bookmarkEnd w:id="14"/>
    </w:p>
    <w:p w14:paraId="50253460">
      <w:pPr>
        <w:widowControl/>
        <w:jc w:val="center"/>
        <w:rPr>
          <w:rFonts w:hint="eastAsia" w:ascii="黑体" w:hAnsi="黑体" w:eastAsia="黑体"/>
          <w:kern w:val="21"/>
          <w:sz w:val="48"/>
          <w:szCs w:val="48"/>
        </w:rPr>
      </w:pPr>
    </w:p>
    <w:p w14:paraId="0ABC0A6C">
      <w:pPr>
        <w:widowControl/>
        <w:jc w:val="center"/>
        <w:rPr>
          <w:rFonts w:hint="eastAsia" w:ascii="黑体" w:hAnsi="黑体" w:eastAsia="黑体"/>
          <w:kern w:val="21"/>
          <w:sz w:val="48"/>
          <w:szCs w:val="48"/>
        </w:rPr>
      </w:pPr>
    </w:p>
    <w:p w14:paraId="4A387209">
      <w:pPr>
        <w:widowControl/>
        <w:jc w:val="center"/>
        <w:rPr>
          <w:rFonts w:hint="eastAsia" w:ascii="黑体" w:hAnsi="黑体" w:eastAsia="黑体"/>
          <w:kern w:val="21"/>
          <w:sz w:val="48"/>
          <w:szCs w:val="48"/>
        </w:rPr>
      </w:pPr>
    </w:p>
    <w:p w14:paraId="65E16194">
      <w:pPr>
        <w:widowControl/>
        <w:jc w:val="center"/>
        <w:rPr>
          <w:rFonts w:hint="eastAsia" w:ascii="黑体" w:hAnsi="黑体" w:eastAsia="黑体"/>
          <w:kern w:val="21"/>
          <w:sz w:val="48"/>
          <w:szCs w:val="48"/>
        </w:rPr>
      </w:pPr>
    </w:p>
    <w:p w14:paraId="174B5FB4">
      <w:pPr>
        <w:widowControl/>
        <w:jc w:val="center"/>
        <w:rPr>
          <w:rFonts w:hint="eastAsia" w:ascii="黑体" w:hAnsi="黑体" w:eastAsia="黑体"/>
          <w:kern w:val="21"/>
          <w:sz w:val="48"/>
          <w:szCs w:val="48"/>
        </w:rPr>
      </w:pPr>
    </w:p>
    <w:p w14:paraId="3455EC22">
      <w:pPr>
        <w:widowControl/>
        <w:jc w:val="center"/>
        <w:rPr>
          <w:rFonts w:hint="eastAsia" w:ascii="黑体" w:hAnsi="黑体" w:eastAsia="黑体"/>
          <w:kern w:val="21"/>
          <w:sz w:val="48"/>
          <w:szCs w:val="48"/>
        </w:rPr>
      </w:pPr>
    </w:p>
    <w:p w14:paraId="512383C2">
      <w:pPr>
        <w:widowControl/>
        <w:jc w:val="center"/>
        <w:rPr>
          <w:rFonts w:hint="eastAsia" w:ascii="黑体" w:hAnsi="黑体" w:eastAsia="黑体"/>
          <w:kern w:val="21"/>
          <w:sz w:val="48"/>
          <w:szCs w:val="48"/>
        </w:rPr>
      </w:pPr>
    </w:p>
    <w:p w14:paraId="2D33E51D">
      <w:pPr>
        <w:widowControl/>
        <w:jc w:val="center"/>
        <w:rPr>
          <w:rFonts w:hint="eastAsia" w:ascii="黑体" w:hAnsi="黑体" w:eastAsia="黑体"/>
          <w:kern w:val="21"/>
          <w:sz w:val="48"/>
          <w:szCs w:val="48"/>
        </w:rPr>
      </w:pPr>
    </w:p>
    <w:p w14:paraId="686C48BC">
      <w:pPr>
        <w:widowControl/>
        <w:jc w:val="center"/>
        <w:rPr>
          <w:rFonts w:hint="eastAsia" w:ascii="黑体" w:hAnsi="黑体" w:eastAsia="黑体"/>
          <w:kern w:val="21"/>
          <w:sz w:val="48"/>
          <w:szCs w:val="48"/>
        </w:rPr>
      </w:pPr>
    </w:p>
    <w:p w14:paraId="3C6B7083">
      <w:pPr>
        <w:widowControl/>
        <w:jc w:val="center"/>
        <w:rPr>
          <w:rFonts w:hint="eastAsia" w:ascii="黑体" w:hAnsi="黑体" w:eastAsia="黑体"/>
          <w:kern w:val="21"/>
          <w:sz w:val="48"/>
          <w:szCs w:val="48"/>
        </w:rPr>
      </w:pPr>
    </w:p>
    <w:p w14:paraId="320667A1">
      <w:pPr>
        <w:widowControl/>
        <w:jc w:val="center"/>
        <w:rPr>
          <w:rFonts w:ascii="黑体" w:hAnsi="黑体" w:eastAsia="黑体"/>
          <w:kern w:val="21"/>
          <w:sz w:val="48"/>
          <w:szCs w:val="48"/>
        </w:rPr>
      </w:pPr>
      <w:r>
        <w:rPr>
          <w:rFonts w:hint="eastAsia" w:ascii="黑体" w:hAnsi="黑体" w:eastAsia="黑体"/>
          <w:kern w:val="21"/>
          <w:sz w:val="48"/>
          <w:szCs w:val="48"/>
        </w:rPr>
        <w:t>目录</w:t>
      </w:r>
    </w:p>
    <w:p w14:paraId="4ADC8EE7">
      <w:pPr>
        <w:widowControl/>
        <w:jc w:val="center"/>
        <w:rPr>
          <w:rFonts w:ascii="黑体" w:hAnsi="黑体" w:eastAsia="黑体" w:cstheme="minorBidi"/>
          <w:kern w:val="21"/>
          <w:sz w:val="28"/>
          <w:szCs w:val="28"/>
        </w:rPr>
      </w:pPr>
    </w:p>
    <w:p w14:paraId="037DFD73">
      <w:pPr>
        <w:pStyle w:val="12"/>
        <w:rPr>
          <w:rFonts w:hint="eastAsia"/>
          <w:kern w:val="21"/>
        </w:rPr>
      </w:pPr>
      <w:r>
        <w:rPr>
          <w:rFonts w:hint="eastAsia"/>
          <w:kern w:val="21"/>
        </w:rPr>
        <w:t>公开时间：202</w:t>
      </w:r>
      <w:r>
        <w:rPr>
          <w:rFonts w:hint="eastAsia"/>
          <w:kern w:val="21"/>
          <w:lang w:val="en-US" w:eastAsia="zh-CN"/>
        </w:rPr>
        <w:t>4</w:t>
      </w:r>
      <w:r>
        <w:rPr>
          <w:rFonts w:hint="eastAsia"/>
          <w:kern w:val="21"/>
        </w:rPr>
        <w:t>年9月</w:t>
      </w:r>
      <w:r>
        <w:rPr>
          <w:rFonts w:hint="eastAsia"/>
          <w:kern w:val="21"/>
          <w:lang w:val="en-US" w:eastAsia="zh-CN"/>
        </w:rPr>
        <w:t>19</w:t>
      </w:r>
      <w:r>
        <w:rPr>
          <w:rFonts w:hint="eastAsia"/>
          <w:kern w:val="21"/>
        </w:rPr>
        <w:t>日</w:t>
      </w:r>
    </w:p>
    <w:sdt>
      <w:sdtPr>
        <w:rPr>
          <w:rFonts w:ascii="宋体" w:hAnsi="宋体" w:eastAsia="宋体" w:cs="Times New Roman"/>
          <w:kern w:val="2"/>
          <w:sz w:val="21"/>
          <w:szCs w:val="24"/>
          <w:lang w:val="en-US" w:eastAsia="zh-CN" w:bidi="ar-SA"/>
        </w:rPr>
        <w:id w:val="147480430"/>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14:paraId="7F7CD3B7">
          <w:pPr>
            <w:spacing w:before="0" w:beforeLines="0" w:after="0" w:afterLines="0" w:line="240" w:lineRule="auto"/>
            <w:ind w:left="0" w:leftChars="0" w:right="0" w:rightChars="0" w:firstLine="0" w:firstLineChars="0"/>
            <w:jc w:val="center"/>
          </w:pPr>
        </w:p>
        <w:p w14:paraId="5C9C04DC">
          <w:pPr>
            <w:pStyle w:val="12"/>
            <w:tabs>
              <w:tab w:val="right" w:leader="dot" w:pos="8306"/>
              <w:tab w:val="clear" w:pos="8296"/>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_Toc14506 </w:instrText>
          </w:r>
          <w:r>
            <w:rPr>
              <w:rFonts w:hint="eastAsia"/>
            </w:rPr>
            <w:fldChar w:fldCharType="separate"/>
          </w:r>
          <w:r>
            <w:rPr>
              <w:rFonts w:hint="eastAsia" w:ascii="黑体" w:hAnsi="黑体" w:eastAsia="黑体"/>
              <w:kern w:val="21"/>
            </w:rPr>
            <w:t>第一部分 单位</w:t>
          </w:r>
          <w:r>
            <w:rPr>
              <w:rFonts w:hint="eastAsia" w:ascii="黑体" w:hAnsi="黑体" w:eastAsia="黑体"/>
              <w:bCs w:val="0"/>
              <w:kern w:val="21"/>
            </w:rPr>
            <w:t>概况</w:t>
          </w:r>
          <w:r>
            <w:tab/>
          </w:r>
          <w:r>
            <w:fldChar w:fldCharType="begin"/>
          </w:r>
          <w:r>
            <w:instrText xml:space="preserve"> PAGEREF _Toc14506 \h </w:instrText>
          </w:r>
          <w:r>
            <w:fldChar w:fldCharType="separate"/>
          </w:r>
          <w:r>
            <w:t>4</w:t>
          </w:r>
          <w:r>
            <w:fldChar w:fldCharType="end"/>
          </w:r>
          <w:r>
            <w:rPr>
              <w:rFonts w:hint="eastAsia"/>
            </w:rPr>
            <w:fldChar w:fldCharType="end"/>
          </w:r>
        </w:p>
        <w:p w14:paraId="61277DD4">
          <w:pPr>
            <w:pStyle w:val="13"/>
            <w:tabs>
              <w:tab w:val="right" w:leader="dot" w:pos="8306"/>
              <w:tab w:val="clear" w:pos="8296"/>
            </w:tabs>
          </w:pPr>
          <w:r>
            <w:rPr>
              <w:rFonts w:hint="eastAsia"/>
            </w:rPr>
            <w:fldChar w:fldCharType="begin"/>
          </w:r>
          <w:r>
            <w:rPr>
              <w:rFonts w:hint="eastAsia"/>
            </w:rPr>
            <w:instrText xml:space="preserve"> HYPERLINK \l _Toc10394 </w:instrText>
          </w:r>
          <w:r>
            <w:rPr>
              <w:rFonts w:hint="eastAsia"/>
            </w:rPr>
            <w:fldChar w:fldCharType="separate"/>
          </w:r>
          <w:r>
            <w:rPr>
              <w:rFonts w:hint="eastAsia" w:ascii="黑体" w:hAnsi="黑体" w:eastAsia="黑体"/>
              <w:bCs w:val="0"/>
              <w:kern w:val="21"/>
            </w:rPr>
            <w:t>一、 主要职责</w:t>
          </w:r>
          <w:r>
            <w:tab/>
          </w:r>
          <w:r>
            <w:fldChar w:fldCharType="begin"/>
          </w:r>
          <w:r>
            <w:instrText xml:space="preserve"> PAGEREF _Toc10394 \h </w:instrText>
          </w:r>
          <w:r>
            <w:fldChar w:fldCharType="separate"/>
          </w:r>
          <w:r>
            <w:t>4</w:t>
          </w:r>
          <w:r>
            <w:fldChar w:fldCharType="end"/>
          </w:r>
          <w:r>
            <w:rPr>
              <w:rFonts w:hint="eastAsia"/>
            </w:rPr>
            <w:fldChar w:fldCharType="end"/>
          </w:r>
        </w:p>
        <w:p w14:paraId="1099D77B">
          <w:pPr>
            <w:pStyle w:val="13"/>
            <w:tabs>
              <w:tab w:val="right" w:leader="dot" w:pos="8306"/>
              <w:tab w:val="clear" w:pos="8296"/>
            </w:tabs>
          </w:pPr>
          <w:r>
            <w:rPr>
              <w:rFonts w:hint="eastAsia"/>
            </w:rPr>
            <w:fldChar w:fldCharType="begin"/>
          </w:r>
          <w:r>
            <w:rPr>
              <w:rFonts w:hint="eastAsia"/>
            </w:rPr>
            <w:instrText xml:space="preserve"> HYPERLINK \l _Toc19381 </w:instrText>
          </w:r>
          <w:r>
            <w:rPr>
              <w:rFonts w:hint="eastAsia"/>
            </w:rPr>
            <w:fldChar w:fldCharType="separate"/>
          </w:r>
          <w:r>
            <w:rPr>
              <w:rFonts w:hint="eastAsia" w:ascii="仿宋_GB2312" w:hAnsi="仿宋_GB2312" w:eastAsia="仿宋_GB2312" w:cs="仿宋_GB2312"/>
              <w:kern w:val="21"/>
              <w:szCs w:val="32"/>
              <w:lang w:val="en-US"/>
            </w:rPr>
            <w:t xml:space="preserve">二、 </w:t>
          </w:r>
          <w:r>
            <w:rPr>
              <w:rFonts w:hint="eastAsia" w:ascii="黑体" w:hAnsi="黑体" w:eastAsia="黑体"/>
              <w:kern w:val="21"/>
            </w:rPr>
            <w:t>机构设置</w:t>
          </w:r>
          <w:r>
            <w:tab/>
          </w:r>
          <w:r>
            <w:fldChar w:fldCharType="begin"/>
          </w:r>
          <w:r>
            <w:instrText xml:space="preserve"> PAGEREF _Toc19381 \h </w:instrText>
          </w:r>
          <w:r>
            <w:fldChar w:fldCharType="separate"/>
          </w:r>
          <w:r>
            <w:t>5</w:t>
          </w:r>
          <w:r>
            <w:fldChar w:fldCharType="end"/>
          </w:r>
          <w:r>
            <w:rPr>
              <w:rFonts w:hint="eastAsia"/>
            </w:rPr>
            <w:fldChar w:fldCharType="end"/>
          </w:r>
        </w:p>
        <w:p w14:paraId="5A590583">
          <w:pPr>
            <w:pStyle w:val="12"/>
            <w:tabs>
              <w:tab w:val="right" w:leader="dot" w:pos="8306"/>
              <w:tab w:val="clear" w:pos="8296"/>
            </w:tabs>
          </w:pPr>
          <w:r>
            <w:rPr>
              <w:rFonts w:hint="eastAsia"/>
            </w:rPr>
            <w:fldChar w:fldCharType="begin"/>
          </w:r>
          <w:r>
            <w:rPr>
              <w:rFonts w:hint="eastAsia"/>
            </w:rPr>
            <w:instrText xml:space="preserve"> HYPERLINK \l _Toc31443 </w:instrText>
          </w:r>
          <w:r>
            <w:rPr>
              <w:rFonts w:hint="eastAsia"/>
            </w:rPr>
            <w:fldChar w:fldCharType="separate"/>
          </w:r>
          <w:r>
            <w:rPr>
              <w:rFonts w:hint="eastAsia" w:ascii="黑体" w:hAnsi="黑体" w:eastAsia="黑体"/>
              <w:kern w:val="21"/>
            </w:rPr>
            <w:t>第二部分 2023年度</w:t>
          </w:r>
          <w:r>
            <w:rPr>
              <w:rFonts w:hint="eastAsia" w:ascii="黑体" w:hAnsi="黑体" w:eastAsia="黑体"/>
              <w:bCs/>
              <w:kern w:val="21"/>
            </w:rPr>
            <w:t>单位决算情况说明</w:t>
          </w:r>
          <w:r>
            <w:tab/>
          </w:r>
          <w:r>
            <w:fldChar w:fldCharType="begin"/>
          </w:r>
          <w:r>
            <w:instrText xml:space="preserve"> PAGEREF _Toc31443 \h </w:instrText>
          </w:r>
          <w:r>
            <w:fldChar w:fldCharType="separate"/>
          </w:r>
          <w:r>
            <w:t>5</w:t>
          </w:r>
          <w:r>
            <w:fldChar w:fldCharType="end"/>
          </w:r>
          <w:r>
            <w:rPr>
              <w:rFonts w:hint="eastAsia"/>
            </w:rPr>
            <w:fldChar w:fldCharType="end"/>
          </w:r>
        </w:p>
        <w:p w14:paraId="73F3C269">
          <w:pPr>
            <w:pStyle w:val="13"/>
            <w:tabs>
              <w:tab w:val="right" w:leader="dot" w:pos="8306"/>
              <w:tab w:val="clear" w:pos="8296"/>
            </w:tabs>
          </w:pPr>
          <w:r>
            <w:rPr>
              <w:rFonts w:hint="eastAsia"/>
            </w:rPr>
            <w:fldChar w:fldCharType="begin"/>
          </w:r>
          <w:r>
            <w:rPr>
              <w:rFonts w:hint="eastAsia"/>
            </w:rPr>
            <w:instrText xml:space="preserve"> HYPERLINK \l _Toc4247 </w:instrText>
          </w:r>
          <w:r>
            <w:rPr>
              <w:rFonts w:hint="eastAsia"/>
            </w:rPr>
            <w:fldChar w:fldCharType="separate"/>
          </w:r>
          <w:r>
            <w:rPr>
              <w:rFonts w:hint="default" w:ascii="黑体" w:hAnsi="黑体" w:eastAsia="黑体"/>
              <w:kern w:val="21"/>
            </w:rPr>
            <w:t xml:space="preserve">一、 </w:t>
          </w:r>
          <w:r>
            <w:rPr>
              <w:rFonts w:hint="eastAsia" w:ascii="黑体" w:hAnsi="黑体" w:eastAsia="黑体"/>
              <w:kern w:val="21"/>
              <w:szCs w:val="32"/>
            </w:rPr>
            <w:t>收</w:t>
          </w:r>
          <w:r>
            <w:rPr>
              <w:rFonts w:hint="eastAsia" w:ascii="黑体" w:hAnsi="黑体" w:eastAsia="黑体"/>
              <w:kern w:val="21"/>
            </w:rPr>
            <w:t>入支出决算总体情况说明</w:t>
          </w:r>
          <w:r>
            <w:tab/>
          </w:r>
          <w:r>
            <w:fldChar w:fldCharType="begin"/>
          </w:r>
          <w:r>
            <w:instrText xml:space="preserve"> PAGEREF _Toc4247 \h </w:instrText>
          </w:r>
          <w:r>
            <w:fldChar w:fldCharType="separate"/>
          </w:r>
          <w:r>
            <w:t>5</w:t>
          </w:r>
          <w:r>
            <w:fldChar w:fldCharType="end"/>
          </w:r>
          <w:r>
            <w:rPr>
              <w:rFonts w:hint="eastAsia"/>
            </w:rPr>
            <w:fldChar w:fldCharType="end"/>
          </w:r>
        </w:p>
        <w:p w14:paraId="1C90B807">
          <w:pPr>
            <w:pStyle w:val="13"/>
            <w:tabs>
              <w:tab w:val="right" w:leader="dot" w:pos="8306"/>
              <w:tab w:val="clear" w:pos="8296"/>
            </w:tabs>
          </w:pPr>
          <w:r>
            <w:rPr>
              <w:rFonts w:hint="eastAsia"/>
            </w:rPr>
            <w:fldChar w:fldCharType="begin"/>
          </w:r>
          <w:r>
            <w:rPr>
              <w:rFonts w:hint="eastAsia"/>
            </w:rPr>
            <w:instrText xml:space="preserve"> HYPERLINK \l _Toc24736 </w:instrText>
          </w:r>
          <w:r>
            <w:rPr>
              <w:rFonts w:hint="eastAsia"/>
            </w:rPr>
            <w:fldChar w:fldCharType="separate"/>
          </w:r>
          <w:r>
            <w:rPr>
              <w:rFonts w:hint="default" w:ascii="黑体" w:hAnsi="黑体" w:eastAsia="黑体"/>
              <w:kern w:val="21"/>
            </w:rPr>
            <w:t xml:space="preserve">二、 </w:t>
          </w:r>
          <w:r>
            <w:rPr>
              <w:rFonts w:hint="eastAsia" w:ascii="黑体" w:hAnsi="黑体" w:eastAsia="黑体"/>
              <w:kern w:val="21"/>
              <w:szCs w:val="32"/>
            </w:rPr>
            <w:t>收</w:t>
          </w:r>
          <w:r>
            <w:rPr>
              <w:rFonts w:hint="eastAsia" w:ascii="黑体" w:hAnsi="黑体" w:eastAsia="黑体"/>
              <w:kern w:val="21"/>
            </w:rPr>
            <w:t>入决算情况说明</w:t>
          </w:r>
          <w:r>
            <w:tab/>
          </w:r>
          <w:r>
            <w:fldChar w:fldCharType="begin"/>
          </w:r>
          <w:r>
            <w:instrText xml:space="preserve"> PAGEREF _Toc24736 \h </w:instrText>
          </w:r>
          <w:r>
            <w:fldChar w:fldCharType="separate"/>
          </w:r>
          <w:r>
            <w:t>6</w:t>
          </w:r>
          <w:r>
            <w:fldChar w:fldCharType="end"/>
          </w:r>
          <w:r>
            <w:rPr>
              <w:rFonts w:hint="eastAsia"/>
            </w:rPr>
            <w:fldChar w:fldCharType="end"/>
          </w:r>
        </w:p>
        <w:p w14:paraId="431BDB32">
          <w:pPr>
            <w:pStyle w:val="13"/>
            <w:tabs>
              <w:tab w:val="right" w:leader="dot" w:pos="8306"/>
              <w:tab w:val="clear" w:pos="8296"/>
            </w:tabs>
          </w:pPr>
          <w:r>
            <w:rPr>
              <w:rFonts w:hint="eastAsia"/>
            </w:rPr>
            <w:fldChar w:fldCharType="begin"/>
          </w:r>
          <w:r>
            <w:rPr>
              <w:rFonts w:hint="eastAsia"/>
            </w:rPr>
            <w:instrText xml:space="preserve"> HYPERLINK \l _Toc1335 </w:instrText>
          </w:r>
          <w:r>
            <w:rPr>
              <w:rFonts w:hint="eastAsia"/>
            </w:rPr>
            <w:fldChar w:fldCharType="separate"/>
          </w:r>
          <w:r>
            <w:rPr>
              <w:rFonts w:hint="default" w:ascii="黑体" w:hAnsi="黑体" w:eastAsia="黑体"/>
              <w:kern w:val="21"/>
            </w:rPr>
            <w:t xml:space="preserve">三、 </w:t>
          </w:r>
          <w:r>
            <w:rPr>
              <w:rFonts w:hint="eastAsia" w:ascii="黑体" w:hAnsi="黑体" w:eastAsia="黑体"/>
              <w:kern w:val="21"/>
              <w:szCs w:val="32"/>
            </w:rPr>
            <w:t>支</w:t>
          </w:r>
          <w:r>
            <w:rPr>
              <w:rFonts w:hint="eastAsia" w:ascii="黑体" w:hAnsi="黑体" w:eastAsia="黑体"/>
              <w:kern w:val="21"/>
            </w:rPr>
            <w:t>出决算情况说明</w:t>
          </w:r>
          <w:r>
            <w:tab/>
          </w:r>
          <w:r>
            <w:fldChar w:fldCharType="begin"/>
          </w:r>
          <w:r>
            <w:instrText xml:space="preserve"> PAGEREF _Toc1335 \h </w:instrText>
          </w:r>
          <w:r>
            <w:fldChar w:fldCharType="separate"/>
          </w:r>
          <w:r>
            <w:t>6</w:t>
          </w:r>
          <w:r>
            <w:fldChar w:fldCharType="end"/>
          </w:r>
          <w:r>
            <w:rPr>
              <w:rFonts w:hint="eastAsia"/>
            </w:rPr>
            <w:fldChar w:fldCharType="end"/>
          </w:r>
        </w:p>
        <w:p w14:paraId="219AD4B4">
          <w:pPr>
            <w:pStyle w:val="13"/>
            <w:tabs>
              <w:tab w:val="right" w:leader="dot" w:pos="8306"/>
              <w:tab w:val="clear" w:pos="8296"/>
            </w:tabs>
          </w:pPr>
          <w:r>
            <w:rPr>
              <w:rFonts w:hint="eastAsia"/>
            </w:rPr>
            <w:fldChar w:fldCharType="begin"/>
          </w:r>
          <w:r>
            <w:rPr>
              <w:rFonts w:hint="eastAsia"/>
            </w:rPr>
            <w:instrText xml:space="preserve"> HYPERLINK \l _Toc30092 </w:instrText>
          </w:r>
          <w:r>
            <w:rPr>
              <w:rFonts w:hint="eastAsia"/>
            </w:rPr>
            <w:fldChar w:fldCharType="separate"/>
          </w:r>
          <w:r>
            <w:rPr>
              <w:rFonts w:hint="eastAsia" w:ascii="黑体" w:hAnsi="黑体" w:eastAsia="黑体"/>
              <w:kern w:val="21"/>
              <w:szCs w:val="32"/>
            </w:rPr>
            <w:t>四、财</w:t>
          </w:r>
          <w:r>
            <w:rPr>
              <w:rFonts w:hint="eastAsia" w:ascii="黑体" w:hAnsi="黑体" w:eastAsia="黑体"/>
              <w:kern w:val="21"/>
            </w:rPr>
            <w:t>政拨款收入支出决算总体情况说明</w:t>
          </w:r>
          <w:r>
            <w:tab/>
          </w:r>
          <w:r>
            <w:fldChar w:fldCharType="begin"/>
          </w:r>
          <w:r>
            <w:instrText xml:space="preserve"> PAGEREF _Toc30092 \h </w:instrText>
          </w:r>
          <w:r>
            <w:fldChar w:fldCharType="separate"/>
          </w:r>
          <w:r>
            <w:t>7</w:t>
          </w:r>
          <w:r>
            <w:fldChar w:fldCharType="end"/>
          </w:r>
          <w:r>
            <w:rPr>
              <w:rFonts w:hint="eastAsia"/>
            </w:rPr>
            <w:fldChar w:fldCharType="end"/>
          </w:r>
        </w:p>
        <w:p w14:paraId="4A682BA4">
          <w:pPr>
            <w:pStyle w:val="13"/>
            <w:tabs>
              <w:tab w:val="right" w:leader="dot" w:pos="8306"/>
              <w:tab w:val="clear" w:pos="8296"/>
            </w:tabs>
          </w:pPr>
          <w:r>
            <w:rPr>
              <w:rFonts w:hint="eastAsia"/>
            </w:rPr>
            <w:fldChar w:fldCharType="begin"/>
          </w:r>
          <w:r>
            <w:rPr>
              <w:rFonts w:hint="eastAsia"/>
            </w:rPr>
            <w:instrText xml:space="preserve"> HYPERLINK \l _Toc26274 </w:instrText>
          </w:r>
          <w:r>
            <w:rPr>
              <w:rFonts w:hint="eastAsia"/>
            </w:rPr>
            <w:fldChar w:fldCharType="separate"/>
          </w:r>
          <w:r>
            <w:rPr>
              <w:rFonts w:hint="eastAsia" w:ascii="黑体" w:hAnsi="黑体" w:eastAsia="黑体"/>
              <w:kern w:val="21"/>
              <w:szCs w:val="32"/>
            </w:rPr>
            <w:t>五、一</w:t>
          </w:r>
          <w:r>
            <w:rPr>
              <w:rFonts w:hint="eastAsia" w:ascii="黑体" w:hAnsi="黑体" w:eastAsia="黑体"/>
              <w:kern w:val="21"/>
            </w:rPr>
            <w:t>般公共预算财政拨款支出决算情况说明</w:t>
          </w:r>
          <w:r>
            <w:tab/>
          </w:r>
          <w:r>
            <w:fldChar w:fldCharType="begin"/>
          </w:r>
          <w:r>
            <w:instrText xml:space="preserve"> PAGEREF _Toc26274 \h </w:instrText>
          </w:r>
          <w:r>
            <w:fldChar w:fldCharType="separate"/>
          </w:r>
          <w:r>
            <w:t>8</w:t>
          </w:r>
          <w:r>
            <w:fldChar w:fldCharType="end"/>
          </w:r>
          <w:r>
            <w:rPr>
              <w:rFonts w:hint="eastAsia"/>
            </w:rPr>
            <w:fldChar w:fldCharType="end"/>
          </w:r>
        </w:p>
        <w:p w14:paraId="1E8AE5F2">
          <w:pPr>
            <w:pStyle w:val="8"/>
            <w:tabs>
              <w:tab w:val="right" w:leader="dot" w:pos="8306"/>
              <w:tab w:val="clear" w:pos="8296"/>
            </w:tabs>
          </w:pPr>
          <w:r>
            <w:rPr>
              <w:rFonts w:hint="eastAsia"/>
            </w:rPr>
            <w:fldChar w:fldCharType="begin"/>
          </w:r>
          <w:r>
            <w:rPr>
              <w:rFonts w:hint="eastAsia"/>
            </w:rPr>
            <w:instrText xml:space="preserve"> HYPERLINK \l _Toc6157 </w:instrText>
          </w:r>
          <w:r>
            <w:rPr>
              <w:rFonts w:hint="eastAsia"/>
            </w:rPr>
            <w:fldChar w:fldCharType="separate"/>
          </w:r>
          <w:r>
            <w:rPr>
              <w:rFonts w:hint="eastAsia" w:ascii="仿宋" w:hAnsi="仿宋" w:eastAsia="仿宋"/>
              <w:kern w:val="21"/>
              <w:szCs w:val="32"/>
            </w:rPr>
            <w:t>（一）一般公共预算财政拨款支出决算总体情况</w:t>
          </w:r>
          <w:r>
            <w:tab/>
          </w:r>
          <w:r>
            <w:fldChar w:fldCharType="begin"/>
          </w:r>
          <w:r>
            <w:instrText xml:space="preserve"> PAGEREF _Toc6157 \h </w:instrText>
          </w:r>
          <w:r>
            <w:fldChar w:fldCharType="separate"/>
          </w:r>
          <w:r>
            <w:t>8</w:t>
          </w:r>
          <w:r>
            <w:fldChar w:fldCharType="end"/>
          </w:r>
          <w:r>
            <w:rPr>
              <w:rFonts w:hint="eastAsia"/>
            </w:rPr>
            <w:fldChar w:fldCharType="end"/>
          </w:r>
        </w:p>
        <w:p w14:paraId="161EC1EF">
          <w:pPr>
            <w:pStyle w:val="8"/>
            <w:tabs>
              <w:tab w:val="right" w:leader="dot" w:pos="8306"/>
              <w:tab w:val="clear" w:pos="8296"/>
            </w:tabs>
          </w:pPr>
          <w:r>
            <w:rPr>
              <w:rFonts w:hint="eastAsia"/>
            </w:rPr>
            <w:fldChar w:fldCharType="begin"/>
          </w:r>
          <w:r>
            <w:rPr>
              <w:rFonts w:hint="eastAsia"/>
            </w:rPr>
            <w:instrText xml:space="preserve"> HYPERLINK \l _Toc21746 </w:instrText>
          </w:r>
          <w:r>
            <w:rPr>
              <w:rFonts w:hint="eastAsia"/>
            </w:rPr>
            <w:fldChar w:fldCharType="separate"/>
          </w:r>
          <w:r>
            <w:rPr>
              <w:rFonts w:hint="eastAsia" w:ascii="仿宋" w:hAnsi="仿宋" w:eastAsia="仿宋"/>
              <w:kern w:val="21"/>
              <w:szCs w:val="32"/>
            </w:rPr>
            <w:t>（二）一般公共预算财政拨款支出决算结构情况</w:t>
          </w:r>
          <w:r>
            <w:tab/>
          </w:r>
          <w:r>
            <w:fldChar w:fldCharType="begin"/>
          </w:r>
          <w:r>
            <w:instrText xml:space="preserve"> PAGEREF _Toc21746 \h </w:instrText>
          </w:r>
          <w:r>
            <w:fldChar w:fldCharType="separate"/>
          </w:r>
          <w:r>
            <w:t>8</w:t>
          </w:r>
          <w:r>
            <w:fldChar w:fldCharType="end"/>
          </w:r>
          <w:r>
            <w:rPr>
              <w:rFonts w:hint="eastAsia"/>
            </w:rPr>
            <w:fldChar w:fldCharType="end"/>
          </w:r>
        </w:p>
        <w:p w14:paraId="04086668">
          <w:pPr>
            <w:pStyle w:val="8"/>
            <w:tabs>
              <w:tab w:val="right" w:leader="dot" w:pos="8306"/>
              <w:tab w:val="clear" w:pos="8296"/>
            </w:tabs>
          </w:pPr>
          <w:r>
            <w:rPr>
              <w:rFonts w:hint="eastAsia"/>
            </w:rPr>
            <w:fldChar w:fldCharType="begin"/>
          </w:r>
          <w:r>
            <w:rPr>
              <w:rFonts w:hint="eastAsia"/>
            </w:rPr>
            <w:instrText xml:space="preserve"> HYPERLINK \l _Toc19778 </w:instrText>
          </w:r>
          <w:r>
            <w:rPr>
              <w:rFonts w:hint="eastAsia"/>
            </w:rPr>
            <w:fldChar w:fldCharType="separate"/>
          </w:r>
          <w:r>
            <w:rPr>
              <w:rFonts w:hint="eastAsia" w:ascii="仿宋" w:hAnsi="仿宋" w:eastAsia="仿宋"/>
              <w:kern w:val="21"/>
              <w:szCs w:val="32"/>
            </w:rPr>
            <w:t>（三）一般公共预算财政拨款支出决算具体情况</w:t>
          </w:r>
          <w:r>
            <w:tab/>
          </w:r>
          <w:r>
            <w:fldChar w:fldCharType="begin"/>
          </w:r>
          <w:r>
            <w:instrText xml:space="preserve"> PAGEREF _Toc19778 \h </w:instrText>
          </w:r>
          <w:r>
            <w:fldChar w:fldCharType="separate"/>
          </w:r>
          <w:r>
            <w:t>9</w:t>
          </w:r>
          <w:r>
            <w:fldChar w:fldCharType="end"/>
          </w:r>
          <w:r>
            <w:rPr>
              <w:rFonts w:hint="eastAsia"/>
            </w:rPr>
            <w:fldChar w:fldCharType="end"/>
          </w:r>
        </w:p>
        <w:p w14:paraId="2448E5D1">
          <w:pPr>
            <w:pStyle w:val="13"/>
            <w:tabs>
              <w:tab w:val="right" w:leader="dot" w:pos="8306"/>
              <w:tab w:val="clear" w:pos="8296"/>
            </w:tabs>
          </w:pPr>
          <w:r>
            <w:rPr>
              <w:rFonts w:hint="eastAsia"/>
            </w:rPr>
            <w:fldChar w:fldCharType="begin"/>
          </w:r>
          <w:r>
            <w:rPr>
              <w:rFonts w:hint="eastAsia"/>
            </w:rPr>
            <w:instrText xml:space="preserve"> HYPERLINK \l _Toc12296 </w:instrText>
          </w:r>
          <w:r>
            <w:rPr>
              <w:rFonts w:hint="eastAsia"/>
            </w:rPr>
            <w:fldChar w:fldCharType="separate"/>
          </w:r>
          <w:r>
            <w:rPr>
              <w:rFonts w:hint="eastAsia" w:ascii="黑体" w:eastAsia="黑体"/>
              <w:kern w:val="21"/>
              <w:szCs w:val="32"/>
            </w:rPr>
            <w:t>六、</w:t>
          </w:r>
          <w:r>
            <w:rPr>
              <w:rFonts w:hint="eastAsia" w:ascii="黑体" w:hAnsi="黑体" w:eastAsia="黑体"/>
              <w:kern w:val="21"/>
              <w:szCs w:val="32"/>
            </w:rPr>
            <w:t>一</w:t>
          </w:r>
          <w:r>
            <w:rPr>
              <w:rFonts w:hint="eastAsia" w:ascii="黑体" w:hAnsi="黑体" w:eastAsia="黑体"/>
              <w:kern w:val="21"/>
            </w:rPr>
            <w:t>般公共预算财政拨款基本支出决算情况说明</w:t>
          </w:r>
          <w:r>
            <w:tab/>
          </w:r>
          <w:r>
            <w:fldChar w:fldCharType="begin"/>
          </w:r>
          <w:r>
            <w:instrText xml:space="preserve"> PAGEREF _Toc12296 \h </w:instrText>
          </w:r>
          <w:r>
            <w:fldChar w:fldCharType="separate"/>
          </w:r>
          <w:r>
            <w:t>10</w:t>
          </w:r>
          <w:r>
            <w:fldChar w:fldCharType="end"/>
          </w:r>
          <w:r>
            <w:rPr>
              <w:rFonts w:hint="eastAsia"/>
            </w:rPr>
            <w:fldChar w:fldCharType="end"/>
          </w:r>
        </w:p>
        <w:p w14:paraId="66C41FEA">
          <w:pPr>
            <w:pStyle w:val="13"/>
            <w:tabs>
              <w:tab w:val="right" w:leader="dot" w:pos="8306"/>
              <w:tab w:val="clear" w:pos="8296"/>
            </w:tabs>
          </w:pPr>
          <w:r>
            <w:rPr>
              <w:rFonts w:hint="eastAsia"/>
            </w:rPr>
            <w:fldChar w:fldCharType="begin"/>
          </w:r>
          <w:r>
            <w:rPr>
              <w:rFonts w:hint="eastAsia"/>
            </w:rPr>
            <w:instrText xml:space="preserve"> HYPERLINK \l _Toc23175 </w:instrText>
          </w:r>
          <w:r>
            <w:rPr>
              <w:rFonts w:hint="eastAsia"/>
            </w:rPr>
            <w:fldChar w:fldCharType="separate"/>
          </w:r>
          <w:r>
            <w:rPr>
              <w:rFonts w:hint="eastAsia" w:ascii="黑体" w:eastAsia="黑体"/>
              <w:kern w:val="21"/>
              <w:szCs w:val="32"/>
            </w:rPr>
            <w:t>七、“三公”经费财政拨款支出决算情况说明</w:t>
          </w:r>
          <w:r>
            <w:tab/>
          </w:r>
          <w:r>
            <w:fldChar w:fldCharType="begin"/>
          </w:r>
          <w:r>
            <w:instrText xml:space="preserve"> PAGEREF _Toc23175 \h </w:instrText>
          </w:r>
          <w:r>
            <w:fldChar w:fldCharType="separate"/>
          </w:r>
          <w:r>
            <w:t>10</w:t>
          </w:r>
          <w:r>
            <w:fldChar w:fldCharType="end"/>
          </w:r>
          <w:r>
            <w:rPr>
              <w:rFonts w:hint="eastAsia"/>
            </w:rPr>
            <w:fldChar w:fldCharType="end"/>
          </w:r>
        </w:p>
        <w:p w14:paraId="7FA36EEA">
          <w:pPr>
            <w:pStyle w:val="13"/>
            <w:tabs>
              <w:tab w:val="right" w:leader="dot" w:pos="8306"/>
              <w:tab w:val="clear" w:pos="8296"/>
            </w:tabs>
          </w:pPr>
          <w:r>
            <w:rPr>
              <w:rFonts w:hint="eastAsia"/>
            </w:rPr>
            <w:fldChar w:fldCharType="begin"/>
          </w:r>
          <w:r>
            <w:rPr>
              <w:rFonts w:hint="eastAsia"/>
            </w:rPr>
            <w:instrText xml:space="preserve"> HYPERLINK \l _Toc12442 </w:instrText>
          </w:r>
          <w:r>
            <w:rPr>
              <w:rFonts w:hint="eastAsia"/>
            </w:rPr>
            <w:fldChar w:fldCharType="separate"/>
          </w:r>
          <w:r>
            <w:rPr>
              <w:rFonts w:hint="eastAsia" w:ascii="黑体" w:eastAsia="黑体"/>
              <w:kern w:val="21"/>
              <w:szCs w:val="32"/>
            </w:rPr>
            <w:t>八、</w:t>
          </w:r>
          <w:r>
            <w:rPr>
              <w:rFonts w:hint="eastAsia" w:ascii="黑体" w:hAnsi="黑体" w:eastAsia="黑体"/>
              <w:kern w:val="21"/>
            </w:rPr>
            <w:t>政府性基金预算支出决算情况说明</w:t>
          </w:r>
          <w:r>
            <w:tab/>
          </w:r>
          <w:r>
            <w:fldChar w:fldCharType="begin"/>
          </w:r>
          <w:r>
            <w:instrText xml:space="preserve"> PAGEREF _Toc12442 \h </w:instrText>
          </w:r>
          <w:r>
            <w:fldChar w:fldCharType="separate"/>
          </w:r>
          <w:r>
            <w:t>12</w:t>
          </w:r>
          <w:r>
            <w:fldChar w:fldCharType="end"/>
          </w:r>
          <w:r>
            <w:rPr>
              <w:rFonts w:hint="eastAsia"/>
            </w:rPr>
            <w:fldChar w:fldCharType="end"/>
          </w:r>
        </w:p>
        <w:p w14:paraId="60C280EC">
          <w:pPr>
            <w:pStyle w:val="13"/>
            <w:tabs>
              <w:tab w:val="right" w:leader="dot" w:pos="8306"/>
              <w:tab w:val="clear" w:pos="8296"/>
            </w:tabs>
          </w:pPr>
          <w:r>
            <w:rPr>
              <w:rFonts w:hint="eastAsia"/>
            </w:rPr>
            <w:fldChar w:fldCharType="begin"/>
          </w:r>
          <w:r>
            <w:rPr>
              <w:rFonts w:hint="eastAsia"/>
            </w:rPr>
            <w:instrText xml:space="preserve"> HYPERLINK \l _Toc7646 </w:instrText>
          </w:r>
          <w:r>
            <w:rPr>
              <w:rFonts w:hint="eastAsia"/>
            </w:rPr>
            <w:fldChar w:fldCharType="separate"/>
          </w:r>
          <w:r>
            <w:rPr>
              <w:rFonts w:hint="eastAsia" w:ascii="黑体" w:hAnsi="黑体" w:eastAsia="黑体"/>
              <w:kern w:val="21"/>
            </w:rPr>
            <w:t>九、 国有资本经营预算支出决算情况说明</w:t>
          </w:r>
          <w:r>
            <w:tab/>
          </w:r>
          <w:r>
            <w:fldChar w:fldCharType="begin"/>
          </w:r>
          <w:r>
            <w:instrText xml:space="preserve"> PAGEREF _Toc7646 \h </w:instrText>
          </w:r>
          <w:r>
            <w:fldChar w:fldCharType="separate"/>
          </w:r>
          <w:r>
            <w:t>12</w:t>
          </w:r>
          <w:r>
            <w:fldChar w:fldCharType="end"/>
          </w:r>
          <w:r>
            <w:rPr>
              <w:rFonts w:hint="eastAsia"/>
            </w:rPr>
            <w:fldChar w:fldCharType="end"/>
          </w:r>
        </w:p>
        <w:p w14:paraId="50A72454">
          <w:pPr>
            <w:pStyle w:val="13"/>
            <w:tabs>
              <w:tab w:val="right" w:leader="dot" w:pos="8306"/>
              <w:tab w:val="clear" w:pos="8296"/>
            </w:tabs>
          </w:pPr>
          <w:r>
            <w:rPr>
              <w:rFonts w:hint="eastAsia"/>
            </w:rPr>
            <w:fldChar w:fldCharType="begin"/>
          </w:r>
          <w:r>
            <w:rPr>
              <w:rFonts w:hint="eastAsia"/>
            </w:rPr>
            <w:instrText xml:space="preserve"> HYPERLINK \l _Toc31452 </w:instrText>
          </w:r>
          <w:r>
            <w:rPr>
              <w:rFonts w:hint="eastAsia"/>
            </w:rPr>
            <w:fldChar w:fldCharType="separate"/>
          </w:r>
          <w:r>
            <w:rPr>
              <w:rFonts w:hint="eastAsia" w:ascii="黑体" w:hAnsi="黑体" w:eastAsia="黑体"/>
              <w:kern w:val="21"/>
            </w:rPr>
            <w:t>十、 其他重要事项的情况说明</w:t>
          </w:r>
          <w:r>
            <w:tab/>
          </w:r>
          <w:r>
            <w:fldChar w:fldCharType="begin"/>
          </w:r>
          <w:r>
            <w:instrText xml:space="preserve"> PAGEREF _Toc31452 \h </w:instrText>
          </w:r>
          <w:r>
            <w:fldChar w:fldCharType="separate"/>
          </w:r>
          <w:r>
            <w:t>12</w:t>
          </w:r>
          <w:r>
            <w:fldChar w:fldCharType="end"/>
          </w:r>
          <w:r>
            <w:rPr>
              <w:rFonts w:hint="eastAsia"/>
            </w:rPr>
            <w:fldChar w:fldCharType="end"/>
          </w:r>
        </w:p>
        <w:p w14:paraId="5AD1C1C1">
          <w:pPr>
            <w:pStyle w:val="8"/>
            <w:tabs>
              <w:tab w:val="right" w:leader="dot" w:pos="8306"/>
              <w:tab w:val="clear" w:pos="8296"/>
            </w:tabs>
          </w:pPr>
          <w:r>
            <w:rPr>
              <w:rFonts w:hint="eastAsia"/>
            </w:rPr>
            <w:fldChar w:fldCharType="begin"/>
          </w:r>
          <w:r>
            <w:rPr>
              <w:rFonts w:hint="eastAsia"/>
            </w:rPr>
            <w:instrText xml:space="preserve"> HYPERLINK \l _Toc3569 </w:instrText>
          </w:r>
          <w:r>
            <w:rPr>
              <w:rFonts w:hint="eastAsia"/>
            </w:rPr>
            <w:fldChar w:fldCharType="separate"/>
          </w:r>
          <w:r>
            <w:rPr>
              <w:rFonts w:hint="eastAsia" w:ascii="仿宋" w:hAnsi="仿宋" w:eastAsia="仿宋"/>
              <w:kern w:val="21"/>
              <w:szCs w:val="32"/>
            </w:rPr>
            <w:t>（一）机关运行经费支出情况</w:t>
          </w:r>
          <w:r>
            <w:tab/>
          </w:r>
          <w:r>
            <w:fldChar w:fldCharType="begin"/>
          </w:r>
          <w:r>
            <w:instrText xml:space="preserve"> PAGEREF _Toc3569 \h </w:instrText>
          </w:r>
          <w:r>
            <w:fldChar w:fldCharType="separate"/>
          </w:r>
          <w:r>
            <w:t>12</w:t>
          </w:r>
          <w:r>
            <w:fldChar w:fldCharType="end"/>
          </w:r>
          <w:r>
            <w:rPr>
              <w:rFonts w:hint="eastAsia"/>
            </w:rPr>
            <w:fldChar w:fldCharType="end"/>
          </w:r>
        </w:p>
        <w:p w14:paraId="43CD1B67">
          <w:pPr>
            <w:pStyle w:val="8"/>
            <w:tabs>
              <w:tab w:val="right" w:leader="dot" w:pos="8306"/>
              <w:tab w:val="clear" w:pos="8296"/>
            </w:tabs>
          </w:pPr>
          <w:r>
            <w:rPr>
              <w:rFonts w:hint="eastAsia"/>
            </w:rPr>
            <w:fldChar w:fldCharType="begin"/>
          </w:r>
          <w:r>
            <w:rPr>
              <w:rFonts w:hint="eastAsia"/>
            </w:rPr>
            <w:instrText xml:space="preserve"> HYPERLINK \l _Toc19767 </w:instrText>
          </w:r>
          <w:r>
            <w:rPr>
              <w:rFonts w:hint="eastAsia"/>
            </w:rPr>
            <w:fldChar w:fldCharType="separate"/>
          </w:r>
          <w:r>
            <w:rPr>
              <w:rFonts w:hint="eastAsia" w:ascii="仿宋" w:hAnsi="仿宋" w:eastAsia="仿宋"/>
              <w:kern w:val="21"/>
              <w:szCs w:val="32"/>
            </w:rPr>
            <w:t>（二）政府采购支出情况</w:t>
          </w:r>
          <w:r>
            <w:tab/>
          </w:r>
          <w:r>
            <w:fldChar w:fldCharType="begin"/>
          </w:r>
          <w:r>
            <w:instrText xml:space="preserve"> PAGEREF _Toc19767 \h </w:instrText>
          </w:r>
          <w:r>
            <w:fldChar w:fldCharType="separate"/>
          </w:r>
          <w:r>
            <w:t>13</w:t>
          </w:r>
          <w:r>
            <w:fldChar w:fldCharType="end"/>
          </w:r>
          <w:r>
            <w:rPr>
              <w:rFonts w:hint="eastAsia"/>
            </w:rPr>
            <w:fldChar w:fldCharType="end"/>
          </w:r>
        </w:p>
        <w:p w14:paraId="5DDF255C">
          <w:pPr>
            <w:pStyle w:val="8"/>
            <w:tabs>
              <w:tab w:val="right" w:leader="dot" w:pos="8306"/>
              <w:tab w:val="clear" w:pos="8296"/>
            </w:tabs>
          </w:pPr>
          <w:r>
            <w:rPr>
              <w:rFonts w:hint="eastAsia"/>
            </w:rPr>
            <w:fldChar w:fldCharType="begin"/>
          </w:r>
          <w:r>
            <w:rPr>
              <w:rFonts w:hint="eastAsia"/>
            </w:rPr>
            <w:instrText xml:space="preserve"> HYPERLINK \l _Toc452 </w:instrText>
          </w:r>
          <w:r>
            <w:rPr>
              <w:rFonts w:hint="eastAsia"/>
            </w:rPr>
            <w:fldChar w:fldCharType="separate"/>
          </w:r>
          <w:r>
            <w:rPr>
              <w:rFonts w:hint="eastAsia" w:ascii="仿宋" w:hAnsi="仿宋" w:eastAsia="仿宋"/>
              <w:kern w:val="21"/>
              <w:szCs w:val="32"/>
            </w:rPr>
            <w:t>（三）国有资产占有使用情况</w:t>
          </w:r>
          <w:r>
            <w:tab/>
          </w:r>
          <w:r>
            <w:fldChar w:fldCharType="begin"/>
          </w:r>
          <w:r>
            <w:instrText xml:space="preserve"> PAGEREF _Toc452 \h </w:instrText>
          </w:r>
          <w:r>
            <w:fldChar w:fldCharType="separate"/>
          </w:r>
          <w:r>
            <w:t>13</w:t>
          </w:r>
          <w:r>
            <w:fldChar w:fldCharType="end"/>
          </w:r>
          <w:r>
            <w:rPr>
              <w:rFonts w:hint="eastAsia"/>
            </w:rPr>
            <w:fldChar w:fldCharType="end"/>
          </w:r>
        </w:p>
        <w:p w14:paraId="077964D4">
          <w:pPr>
            <w:pStyle w:val="8"/>
            <w:tabs>
              <w:tab w:val="right" w:leader="dot" w:pos="8306"/>
              <w:tab w:val="clear" w:pos="8296"/>
            </w:tabs>
          </w:pPr>
          <w:r>
            <w:rPr>
              <w:rFonts w:hint="eastAsia"/>
            </w:rPr>
            <w:fldChar w:fldCharType="begin"/>
          </w:r>
          <w:r>
            <w:rPr>
              <w:rFonts w:hint="eastAsia"/>
            </w:rPr>
            <w:instrText xml:space="preserve"> HYPERLINK \l _Toc14645 </w:instrText>
          </w:r>
          <w:r>
            <w:rPr>
              <w:rFonts w:hint="eastAsia"/>
            </w:rPr>
            <w:fldChar w:fldCharType="separate"/>
          </w:r>
          <w:r>
            <w:rPr>
              <w:rFonts w:hint="eastAsia" w:ascii="仿宋" w:hAnsi="仿宋" w:eastAsia="仿宋"/>
              <w:kern w:val="21"/>
              <w:szCs w:val="32"/>
            </w:rPr>
            <w:t>（四）预算绩效管理情况</w:t>
          </w:r>
          <w:r>
            <w:tab/>
          </w:r>
          <w:r>
            <w:fldChar w:fldCharType="begin"/>
          </w:r>
          <w:r>
            <w:instrText xml:space="preserve"> PAGEREF _Toc14645 \h </w:instrText>
          </w:r>
          <w:r>
            <w:fldChar w:fldCharType="separate"/>
          </w:r>
          <w:r>
            <w:t>13</w:t>
          </w:r>
          <w:r>
            <w:fldChar w:fldCharType="end"/>
          </w:r>
          <w:r>
            <w:rPr>
              <w:rFonts w:hint="eastAsia"/>
            </w:rPr>
            <w:fldChar w:fldCharType="end"/>
          </w:r>
        </w:p>
        <w:p w14:paraId="5857506D">
          <w:pPr>
            <w:pStyle w:val="12"/>
            <w:tabs>
              <w:tab w:val="right" w:leader="dot" w:pos="8306"/>
              <w:tab w:val="clear" w:pos="8296"/>
            </w:tabs>
          </w:pPr>
          <w:r>
            <w:rPr>
              <w:rFonts w:hint="eastAsia"/>
            </w:rPr>
            <w:fldChar w:fldCharType="begin"/>
          </w:r>
          <w:r>
            <w:rPr>
              <w:rFonts w:hint="eastAsia"/>
            </w:rPr>
            <w:instrText xml:space="preserve"> HYPERLINK \l _Toc20232 </w:instrText>
          </w:r>
          <w:r>
            <w:rPr>
              <w:rFonts w:hint="eastAsia"/>
            </w:rPr>
            <w:fldChar w:fldCharType="separate"/>
          </w:r>
          <w:r>
            <w:rPr>
              <w:rFonts w:hint="eastAsia" w:ascii="黑体" w:hAnsi="黑体" w:eastAsia="黑体" w:cs="黑体"/>
              <w:kern w:val="21"/>
              <w:szCs w:val="44"/>
            </w:rPr>
            <w:t xml:space="preserve">第三部分 </w:t>
          </w:r>
          <w:r>
            <w:rPr>
              <w:rFonts w:hint="eastAsia" w:ascii="黑体" w:hAnsi="黑体" w:eastAsia="黑体"/>
              <w:kern w:val="21"/>
              <w:szCs w:val="44"/>
            </w:rPr>
            <w:t>名</w:t>
          </w:r>
          <w:r>
            <w:rPr>
              <w:rFonts w:hint="eastAsia" w:ascii="黑体" w:hAnsi="黑体" w:eastAsia="黑体"/>
              <w:kern w:val="21"/>
            </w:rPr>
            <w:t>词解释</w:t>
          </w:r>
          <w:r>
            <w:tab/>
          </w:r>
          <w:r>
            <w:fldChar w:fldCharType="begin"/>
          </w:r>
          <w:r>
            <w:instrText xml:space="preserve"> PAGEREF _Toc20232 \h </w:instrText>
          </w:r>
          <w:r>
            <w:fldChar w:fldCharType="separate"/>
          </w:r>
          <w:r>
            <w:t>14</w:t>
          </w:r>
          <w:r>
            <w:fldChar w:fldCharType="end"/>
          </w:r>
          <w:r>
            <w:rPr>
              <w:rFonts w:hint="eastAsia"/>
            </w:rPr>
            <w:fldChar w:fldCharType="end"/>
          </w:r>
        </w:p>
        <w:p w14:paraId="691C5311">
          <w:pPr>
            <w:pStyle w:val="12"/>
            <w:tabs>
              <w:tab w:val="right" w:leader="dot" w:pos="8306"/>
              <w:tab w:val="clear" w:pos="8296"/>
            </w:tabs>
          </w:pPr>
          <w:r>
            <w:rPr>
              <w:rFonts w:hint="eastAsia"/>
            </w:rPr>
            <w:fldChar w:fldCharType="begin"/>
          </w:r>
          <w:r>
            <w:rPr>
              <w:rFonts w:hint="eastAsia"/>
            </w:rPr>
            <w:instrText xml:space="preserve"> HYPERLINK \l _Toc14374 </w:instrText>
          </w:r>
          <w:r>
            <w:rPr>
              <w:rFonts w:hint="eastAsia"/>
            </w:rPr>
            <w:fldChar w:fldCharType="separate"/>
          </w:r>
          <w:r>
            <w:rPr>
              <w:rFonts w:hint="eastAsia" w:ascii="黑体" w:hAnsi="黑体" w:eastAsia="黑体"/>
              <w:kern w:val="21"/>
              <w:szCs w:val="44"/>
            </w:rPr>
            <w:t>第</w:t>
          </w:r>
          <w:r>
            <w:rPr>
              <w:rFonts w:hint="eastAsia" w:ascii="黑体" w:hAnsi="黑体" w:eastAsia="黑体"/>
              <w:kern w:val="21"/>
            </w:rPr>
            <w:t>四部分 附件</w:t>
          </w:r>
          <w:r>
            <w:tab/>
          </w:r>
          <w:r>
            <w:fldChar w:fldCharType="begin"/>
          </w:r>
          <w:r>
            <w:instrText xml:space="preserve"> PAGEREF _Toc14374 \h </w:instrText>
          </w:r>
          <w:r>
            <w:fldChar w:fldCharType="separate"/>
          </w:r>
          <w:r>
            <w:t>17</w:t>
          </w:r>
          <w:r>
            <w:fldChar w:fldCharType="end"/>
          </w:r>
          <w:r>
            <w:rPr>
              <w:rFonts w:hint="eastAsia"/>
            </w:rPr>
            <w:fldChar w:fldCharType="end"/>
          </w:r>
        </w:p>
        <w:p w14:paraId="0ABAC682">
          <w:pPr>
            <w:pStyle w:val="12"/>
            <w:tabs>
              <w:tab w:val="right" w:leader="dot" w:pos="8306"/>
              <w:tab w:val="clear" w:pos="8296"/>
            </w:tabs>
          </w:pPr>
          <w:r>
            <w:rPr>
              <w:rFonts w:hint="eastAsia"/>
            </w:rPr>
            <w:fldChar w:fldCharType="begin"/>
          </w:r>
          <w:r>
            <w:rPr>
              <w:rFonts w:hint="eastAsia"/>
            </w:rPr>
            <w:instrText xml:space="preserve"> HYPERLINK \l _Toc21089 </w:instrText>
          </w:r>
          <w:r>
            <w:rPr>
              <w:rFonts w:hint="eastAsia"/>
            </w:rPr>
            <w:fldChar w:fldCharType="separate"/>
          </w:r>
          <w:r>
            <w:rPr>
              <w:rFonts w:hint="eastAsia" w:ascii="黑体" w:hAnsi="黑体" w:eastAsia="黑体"/>
              <w:kern w:val="21"/>
              <w:szCs w:val="44"/>
            </w:rPr>
            <w:t>第</w:t>
          </w:r>
          <w:r>
            <w:rPr>
              <w:rFonts w:hint="eastAsia" w:ascii="黑体" w:hAnsi="黑体" w:eastAsia="黑体"/>
              <w:kern w:val="21"/>
            </w:rPr>
            <w:t>五部分 附表</w:t>
          </w:r>
          <w:r>
            <w:tab/>
          </w:r>
          <w:r>
            <w:fldChar w:fldCharType="begin"/>
          </w:r>
          <w:r>
            <w:instrText xml:space="preserve"> PAGEREF _Toc21089 \h </w:instrText>
          </w:r>
          <w:r>
            <w:fldChar w:fldCharType="separate"/>
          </w:r>
          <w:r>
            <w:t>23</w:t>
          </w:r>
          <w:r>
            <w:fldChar w:fldCharType="end"/>
          </w:r>
          <w:r>
            <w:rPr>
              <w:rFonts w:hint="eastAsia"/>
            </w:rPr>
            <w:fldChar w:fldCharType="end"/>
          </w:r>
        </w:p>
        <w:p w14:paraId="3B24A588">
          <w:pPr>
            <w:pStyle w:val="13"/>
            <w:tabs>
              <w:tab w:val="right" w:leader="dot" w:pos="8306"/>
              <w:tab w:val="clear" w:pos="8296"/>
            </w:tabs>
          </w:pPr>
          <w:r>
            <w:rPr>
              <w:rFonts w:hint="eastAsia"/>
            </w:rPr>
            <w:fldChar w:fldCharType="begin"/>
          </w:r>
          <w:r>
            <w:rPr>
              <w:rFonts w:hint="eastAsia"/>
            </w:rPr>
            <w:instrText xml:space="preserve"> HYPERLINK \l _Toc4472 </w:instrText>
          </w:r>
          <w:r>
            <w:rPr>
              <w:rFonts w:hint="eastAsia"/>
            </w:rPr>
            <w:fldChar w:fldCharType="separate"/>
          </w:r>
          <w:r>
            <w:rPr>
              <w:rFonts w:hint="eastAsia" w:ascii="仿宋" w:hAnsi="仿宋" w:eastAsia="仿宋"/>
              <w:kern w:val="21"/>
            </w:rPr>
            <w:t>一、收</w:t>
          </w:r>
          <w:r>
            <w:rPr>
              <w:rFonts w:hint="eastAsia" w:ascii="仿宋" w:hAnsi="仿宋" w:eastAsia="仿宋"/>
              <w:bCs w:val="0"/>
              <w:kern w:val="21"/>
            </w:rPr>
            <w:t>入支出决算总表</w:t>
          </w:r>
          <w:r>
            <w:tab/>
          </w:r>
          <w:r>
            <w:fldChar w:fldCharType="begin"/>
          </w:r>
          <w:r>
            <w:instrText xml:space="preserve"> PAGEREF _Toc4472 \h </w:instrText>
          </w:r>
          <w:r>
            <w:fldChar w:fldCharType="separate"/>
          </w:r>
          <w:r>
            <w:t>23</w:t>
          </w:r>
          <w:r>
            <w:fldChar w:fldCharType="end"/>
          </w:r>
          <w:r>
            <w:rPr>
              <w:rFonts w:hint="eastAsia"/>
            </w:rPr>
            <w:fldChar w:fldCharType="end"/>
          </w:r>
        </w:p>
        <w:p w14:paraId="60E99936">
          <w:pPr>
            <w:pStyle w:val="13"/>
            <w:tabs>
              <w:tab w:val="right" w:leader="dot" w:pos="8306"/>
              <w:tab w:val="clear" w:pos="8296"/>
            </w:tabs>
          </w:pPr>
          <w:r>
            <w:rPr>
              <w:rFonts w:hint="eastAsia"/>
            </w:rPr>
            <w:fldChar w:fldCharType="begin"/>
          </w:r>
          <w:r>
            <w:rPr>
              <w:rFonts w:hint="eastAsia"/>
            </w:rPr>
            <w:instrText xml:space="preserve"> HYPERLINK \l _Toc27852 </w:instrText>
          </w:r>
          <w:r>
            <w:rPr>
              <w:rFonts w:hint="eastAsia"/>
            </w:rPr>
            <w:fldChar w:fldCharType="separate"/>
          </w:r>
          <w:r>
            <w:rPr>
              <w:rFonts w:hint="eastAsia" w:ascii="仿宋" w:hAnsi="仿宋" w:eastAsia="仿宋"/>
              <w:kern w:val="21"/>
            </w:rPr>
            <w:t>二、收</w:t>
          </w:r>
          <w:r>
            <w:rPr>
              <w:rFonts w:hint="eastAsia" w:ascii="仿宋" w:hAnsi="仿宋" w:eastAsia="仿宋"/>
              <w:bCs w:val="0"/>
              <w:kern w:val="21"/>
            </w:rPr>
            <w:t>入决算表</w:t>
          </w:r>
          <w:r>
            <w:tab/>
          </w:r>
          <w:r>
            <w:fldChar w:fldCharType="begin"/>
          </w:r>
          <w:r>
            <w:instrText xml:space="preserve"> PAGEREF _Toc27852 \h </w:instrText>
          </w:r>
          <w:r>
            <w:fldChar w:fldCharType="separate"/>
          </w:r>
          <w:r>
            <w:t>23</w:t>
          </w:r>
          <w:r>
            <w:fldChar w:fldCharType="end"/>
          </w:r>
          <w:r>
            <w:rPr>
              <w:rFonts w:hint="eastAsia"/>
            </w:rPr>
            <w:fldChar w:fldCharType="end"/>
          </w:r>
        </w:p>
        <w:p w14:paraId="5C73C86F">
          <w:pPr>
            <w:pStyle w:val="13"/>
            <w:tabs>
              <w:tab w:val="right" w:leader="dot" w:pos="8306"/>
              <w:tab w:val="clear" w:pos="8296"/>
            </w:tabs>
          </w:pPr>
          <w:r>
            <w:rPr>
              <w:rFonts w:hint="eastAsia"/>
            </w:rPr>
            <w:fldChar w:fldCharType="begin"/>
          </w:r>
          <w:r>
            <w:rPr>
              <w:rFonts w:hint="eastAsia"/>
            </w:rPr>
            <w:instrText xml:space="preserve"> HYPERLINK \l _Toc2869 </w:instrText>
          </w:r>
          <w:r>
            <w:rPr>
              <w:rFonts w:hint="eastAsia"/>
            </w:rPr>
            <w:fldChar w:fldCharType="separate"/>
          </w:r>
          <w:r>
            <w:rPr>
              <w:rFonts w:hint="eastAsia" w:ascii="仿宋" w:hAnsi="仿宋" w:eastAsia="仿宋"/>
              <w:bCs w:val="0"/>
              <w:kern w:val="21"/>
            </w:rPr>
            <w:t>三、</w:t>
          </w:r>
          <w:r>
            <w:rPr>
              <w:rFonts w:hint="eastAsia" w:ascii="仿宋" w:hAnsi="仿宋" w:eastAsia="仿宋"/>
              <w:kern w:val="21"/>
            </w:rPr>
            <w:t>支</w:t>
          </w:r>
          <w:r>
            <w:rPr>
              <w:rFonts w:hint="eastAsia" w:ascii="仿宋" w:hAnsi="仿宋" w:eastAsia="仿宋"/>
              <w:bCs w:val="0"/>
              <w:kern w:val="21"/>
            </w:rPr>
            <w:t>出决算表</w:t>
          </w:r>
          <w:r>
            <w:tab/>
          </w:r>
          <w:r>
            <w:fldChar w:fldCharType="begin"/>
          </w:r>
          <w:r>
            <w:instrText xml:space="preserve"> PAGEREF _Toc2869 \h </w:instrText>
          </w:r>
          <w:r>
            <w:fldChar w:fldCharType="separate"/>
          </w:r>
          <w:r>
            <w:t>23</w:t>
          </w:r>
          <w:r>
            <w:fldChar w:fldCharType="end"/>
          </w:r>
          <w:r>
            <w:rPr>
              <w:rFonts w:hint="eastAsia"/>
            </w:rPr>
            <w:fldChar w:fldCharType="end"/>
          </w:r>
        </w:p>
        <w:p w14:paraId="2A11F948">
          <w:pPr>
            <w:pStyle w:val="13"/>
            <w:tabs>
              <w:tab w:val="right" w:leader="dot" w:pos="8306"/>
              <w:tab w:val="clear" w:pos="8296"/>
            </w:tabs>
          </w:pPr>
          <w:r>
            <w:rPr>
              <w:rFonts w:hint="eastAsia"/>
            </w:rPr>
            <w:fldChar w:fldCharType="begin"/>
          </w:r>
          <w:r>
            <w:rPr>
              <w:rFonts w:hint="eastAsia"/>
            </w:rPr>
            <w:instrText xml:space="preserve"> HYPERLINK \l _Toc28730 </w:instrText>
          </w:r>
          <w:r>
            <w:rPr>
              <w:rFonts w:hint="eastAsia"/>
            </w:rPr>
            <w:fldChar w:fldCharType="separate"/>
          </w:r>
          <w:r>
            <w:rPr>
              <w:rFonts w:hint="eastAsia" w:ascii="仿宋" w:hAnsi="仿宋" w:eastAsia="仿宋"/>
              <w:bCs w:val="0"/>
              <w:kern w:val="21"/>
            </w:rPr>
            <w:t>四、</w:t>
          </w:r>
          <w:r>
            <w:rPr>
              <w:rFonts w:hint="eastAsia" w:ascii="仿宋" w:hAnsi="仿宋" w:eastAsia="仿宋"/>
              <w:kern w:val="21"/>
            </w:rPr>
            <w:t>财</w:t>
          </w:r>
          <w:r>
            <w:rPr>
              <w:rFonts w:hint="eastAsia" w:ascii="仿宋" w:hAnsi="仿宋" w:eastAsia="仿宋"/>
              <w:bCs w:val="0"/>
              <w:kern w:val="21"/>
            </w:rPr>
            <w:t>政拨款收入支出决算总表</w:t>
          </w:r>
          <w:r>
            <w:tab/>
          </w:r>
          <w:r>
            <w:fldChar w:fldCharType="begin"/>
          </w:r>
          <w:r>
            <w:instrText xml:space="preserve"> PAGEREF _Toc28730 \h </w:instrText>
          </w:r>
          <w:r>
            <w:fldChar w:fldCharType="separate"/>
          </w:r>
          <w:r>
            <w:t>23</w:t>
          </w:r>
          <w:r>
            <w:fldChar w:fldCharType="end"/>
          </w:r>
          <w:r>
            <w:rPr>
              <w:rFonts w:hint="eastAsia"/>
            </w:rPr>
            <w:fldChar w:fldCharType="end"/>
          </w:r>
        </w:p>
        <w:p w14:paraId="59D6FDC6">
          <w:pPr>
            <w:pStyle w:val="13"/>
            <w:tabs>
              <w:tab w:val="right" w:leader="dot" w:pos="8306"/>
              <w:tab w:val="clear" w:pos="8296"/>
            </w:tabs>
          </w:pPr>
          <w:r>
            <w:rPr>
              <w:rFonts w:hint="eastAsia"/>
            </w:rPr>
            <w:fldChar w:fldCharType="begin"/>
          </w:r>
          <w:r>
            <w:rPr>
              <w:rFonts w:hint="eastAsia"/>
            </w:rPr>
            <w:instrText xml:space="preserve"> HYPERLINK \l _Toc19486 </w:instrText>
          </w:r>
          <w:r>
            <w:rPr>
              <w:rFonts w:hint="eastAsia"/>
            </w:rPr>
            <w:fldChar w:fldCharType="separate"/>
          </w:r>
          <w:r>
            <w:rPr>
              <w:rFonts w:hint="eastAsia" w:ascii="仿宋" w:hAnsi="仿宋" w:eastAsia="仿宋"/>
              <w:bCs w:val="0"/>
              <w:kern w:val="21"/>
            </w:rPr>
            <w:t>五、</w:t>
          </w:r>
          <w:r>
            <w:rPr>
              <w:rFonts w:hint="eastAsia" w:ascii="仿宋" w:hAnsi="仿宋" w:eastAsia="仿宋"/>
              <w:kern w:val="21"/>
            </w:rPr>
            <w:t>财</w:t>
          </w:r>
          <w:r>
            <w:rPr>
              <w:rFonts w:hint="eastAsia" w:ascii="仿宋" w:hAnsi="仿宋" w:eastAsia="仿宋"/>
              <w:bCs w:val="0"/>
              <w:kern w:val="21"/>
            </w:rPr>
            <w:t>政拨款支出决算明细表</w:t>
          </w:r>
          <w:r>
            <w:tab/>
          </w:r>
          <w:r>
            <w:fldChar w:fldCharType="begin"/>
          </w:r>
          <w:r>
            <w:instrText xml:space="preserve"> PAGEREF _Toc19486 \h </w:instrText>
          </w:r>
          <w:r>
            <w:fldChar w:fldCharType="separate"/>
          </w:r>
          <w:r>
            <w:t>23</w:t>
          </w:r>
          <w:r>
            <w:fldChar w:fldCharType="end"/>
          </w:r>
          <w:r>
            <w:rPr>
              <w:rFonts w:hint="eastAsia"/>
            </w:rPr>
            <w:fldChar w:fldCharType="end"/>
          </w:r>
        </w:p>
        <w:p w14:paraId="200F8FE5">
          <w:pPr>
            <w:pStyle w:val="13"/>
            <w:tabs>
              <w:tab w:val="right" w:leader="dot" w:pos="8306"/>
              <w:tab w:val="clear" w:pos="8296"/>
            </w:tabs>
          </w:pPr>
          <w:r>
            <w:rPr>
              <w:rFonts w:hint="eastAsia"/>
            </w:rPr>
            <w:fldChar w:fldCharType="begin"/>
          </w:r>
          <w:r>
            <w:rPr>
              <w:rFonts w:hint="eastAsia"/>
            </w:rPr>
            <w:instrText xml:space="preserve"> HYPERLINK \l _Toc29834 </w:instrText>
          </w:r>
          <w:r>
            <w:rPr>
              <w:rFonts w:hint="eastAsia"/>
            </w:rPr>
            <w:fldChar w:fldCharType="separate"/>
          </w:r>
          <w:r>
            <w:rPr>
              <w:rFonts w:hint="eastAsia" w:ascii="仿宋" w:hAnsi="仿宋" w:eastAsia="仿宋"/>
              <w:bCs w:val="0"/>
              <w:kern w:val="21"/>
            </w:rPr>
            <w:t>六、</w:t>
          </w:r>
          <w:r>
            <w:rPr>
              <w:rFonts w:hint="eastAsia" w:ascii="仿宋" w:hAnsi="仿宋" w:eastAsia="仿宋"/>
              <w:kern w:val="21"/>
            </w:rPr>
            <w:t>一</w:t>
          </w:r>
          <w:r>
            <w:rPr>
              <w:rFonts w:hint="eastAsia" w:ascii="仿宋" w:hAnsi="仿宋" w:eastAsia="仿宋"/>
              <w:bCs w:val="0"/>
              <w:kern w:val="21"/>
            </w:rPr>
            <w:t>般公共预算财政拨款支出决算表</w:t>
          </w:r>
          <w:r>
            <w:tab/>
          </w:r>
          <w:r>
            <w:fldChar w:fldCharType="begin"/>
          </w:r>
          <w:r>
            <w:instrText xml:space="preserve"> PAGEREF _Toc29834 \h </w:instrText>
          </w:r>
          <w:r>
            <w:fldChar w:fldCharType="separate"/>
          </w:r>
          <w:r>
            <w:t>23</w:t>
          </w:r>
          <w:r>
            <w:fldChar w:fldCharType="end"/>
          </w:r>
          <w:r>
            <w:rPr>
              <w:rFonts w:hint="eastAsia"/>
            </w:rPr>
            <w:fldChar w:fldCharType="end"/>
          </w:r>
        </w:p>
        <w:p w14:paraId="2BB2B729">
          <w:pPr>
            <w:pStyle w:val="13"/>
            <w:tabs>
              <w:tab w:val="right" w:leader="dot" w:pos="8306"/>
              <w:tab w:val="clear" w:pos="8296"/>
            </w:tabs>
          </w:pPr>
          <w:r>
            <w:rPr>
              <w:rFonts w:hint="eastAsia"/>
            </w:rPr>
            <w:fldChar w:fldCharType="begin"/>
          </w:r>
          <w:r>
            <w:rPr>
              <w:rFonts w:hint="eastAsia"/>
            </w:rPr>
            <w:instrText xml:space="preserve"> HYPERLINK \l _Toc28717 </w:instrText>
          </w:r>
          <w:r>
            <w:rPr>
              <w:rFonts w:hint="eastAsia"/>
            </w:rPr>
            <w:fldChar w:fldCharType="separate"/>
          </w:r>
          <w:r>
            <w:rPr>
              <w:rFonts w:hint="eastAsia" w:ascii="仿宋" w:hAnsi="仿宋" w:eastAsia="仿宋"/>
              <w:bCs w:val="0"/>
              <w:kern w:val="21"/>
            </w:rPr>
            <w:t>七、</w:t>
          </w:r>
          <w:r>
            <w:rPr>
              <w:rFonts w:hint="eastAsia" w:ascii="仿宋" w:hAnsi="仿宋" w:eastAsia="仿宋"/>
              <w:kern w:val="21"/>
            </w:rPr>
            <w:t>一</w:t>
          </w:r>
          <w:r>
            <w:rPr>
              <w:rFonts w:hint="eastAsia" w:ascii="仿宋" w:hAnsi="仿宋" w:eastAsia="仿宋"/>
              <w:bCs w:val="0"/>
              <w:kern w:val="21"/>
            </w:rPr>
            <w:t>般公共预算财政拨款支出决算明细表</w:t>
          </w:r>
          <w:r>
            <w:tab/>
          </w:r>
          <w:r>
            <w:fldChar w:fldCharType="begin"/>
          </w:r>
          <w:r>
            <w:instrText xml:space="preserve"> PAGEREF _Toc28717 \h </w:instrText>
          </w:r>
          <w:r>
            <w:fldChar w:fldCharType="separate"/>
          </w:r>
          <w:r>
            <w:t>23</w:t>
          </w:r>
          <w:r>
            <w:fldChar w:fldCharType="end"/>
          </w:r>
          <w:r>
            <w:rPr>
              <w:rFonts w:hint="eastAsia"/>
            </w:rPr>
            <w:fldChar w:fldCharType="end"/>
          </w:r>
        </w:p>
        <w:p w14:paraId="5FEDDD0D">
          <w:pPr>
            <w:pStyle w:val="13"/>
            <w:tabs>
              <w:tab w:val="right" w:leader="dot" w:pos="8306"/>
              <w:tab w:val="clear" w:pos="8296"/>
            </w:tabs>
          </w:pPr>
          <w:r>
            <w:rPr>
              <w:rFonts w:hint="eastAsia"/>
            </w:rPr>
            <w:fldChar w:fldCharType="begin"/>
          </w:r>
          <w:r>
            <w:rPr>
              <w:rFonts w:hint="eastAsia"/>
            </w:rPr>
            <w:instrText xml:space="preserve"> HYPERLINK \l _Toc25346 </w:instrText>
          </w:r>
          <w:r>
            <w:rPr>
              <w:rFonts w:hint="eastAsia"/>
            </w:rPr>
            <w:fldChar w:fldCharType="separate"/>
          </w:r>
          <w:r>
            <w:rPr>
              <w:rFonts w:hint="eastAsia" w:ascii="仿宋" w:hAnsi="仿宋" w:eastAsia="仿宋"/>
              <w:bCs w:val="0"/>
              <w:kern w:val="21"/>
            </w:rPr>
            <w:t>八、</w:t>
          </w:r>
          <w:r>
            <w:rPr>
              <w:rFonts w:hint="eastAsia" w:ascii="仿宋" w:hAnsi="仿宋" w:eastAsia="仿宋"/>
              <w:kern w:val="21"/>
            </w:rPr>
            <w:t>一</w:t>
          </w:r>
          <w:r>
            <w:rPr>
              <w:rFonts w:hint="eastAsia" w:ascii="仿宋" w:hAnsi="仿宋" w:eastAsia="仿宋"/>
              <w:bCs w:val="0"/>
              <w:kern w:val="21"/>
            </w:rPr>
            <w:t>般公共预算财政拨款基本支出决算表</w:t>
          </w:r>
          <w:r>
            <w:tab/>
          </w:r>
          <w:r>
            <w:fldChar w:fldCharType="begin"/>
          </w:r>
          <w:r>
            <w:instrText xml:space="preserve"> PAGEREF _Toc25346 \h </w:instrText>
          </w:r>
          <w:r>
            <w:fldChar w:fldCharType="separate"/>
          </w:r>
          <w:r>
            <w:t>23</w:t>
          </w:r>
          <w:r>
            <w:fldChar w:fldCharType="end"/>
          </w:r>
          <w:r>
            <w:rPr>
              <w:rFonts w:hint="eastAsia"/>
            </w:rPr>
            <w:fldChar w:fldCharType="end"/>
          </w:r>
        </w:p>
        <w:p w14:paraId="704D9BA6">
          <w:pPr>
            <w:pStyle w:val="13"/>
            <w:tabs>
              <w:tab w:val="right" w:leader="dot" w:pos="8306"/>
              <w:tab w:val="clear" w:pos="8296"/>
            </w:tabs>
          </w:pPr>
          <w:r>
            <w:rPr>
              <w:rFonts w:hint="eastAsia"/>
            </w:rPr>
            <w:fldChar w:fldCharType="begin"/>
          </w:r>
          <w:r>
            <w:rPr>
              <w:rFonts w:hint="eastAsia"/>
            </w:rPr>
            <w:instrText xml:space="preserve"> HYPERLINK \l _Toc19451 </w:instrText>
          </w:r>
          <w:r>
            <w:rPr>
              <w:rFonts w:hint="eastAsia"/>
            </w:rPr>
            <w:fldChar w:fldCharType="separate"/>
          </w:r>
          <w:r>
            <w:rPr>
              <w:rFonts w:hint="eastAsia" w:ascii="仿宋" w:hAnsi="仿宋" w:eastAsia="仿宋"/>
              <w:bCs w:val="0"/>
              <w:kern w:val="21"/>
            </w:rPr>
            <w:t>九、</w:t>
          </w:r>
          <w:r>
            <w:rPr>
              <w:rFonts w:hint="eastAsia" w:ascii="仿宋" w:hAnsi="仿宋" w:eastAsia="仿宋"/>
              <w:kern w:val="21"/>
            </w:rPr>
            <w:t>一</w:t>
          </w:r>
          <w:r>
            <w:rPr>
              <w:rFonts w:hint="eastAsia" w:ascii="仿宋" w:hAnsi="仿宋" w:eastAsia="仿宋"/>
              <w:bCs w:val="0"/>
              <w:kern w:val="21"/>
            </w:rPr>
            <w:t>般公共预算财政拨款项目支出决算表</w:t>
          </w:r>
          <w:r>
            <w:tab/>
          </w:r>
          <w:r>
            <w:fldChar w:fldCharType="begin"/>
          </w:r>
          <w:r>
            <w:instrText xml:space="preserve"> PAGEREF _Toc19451 \h </w:instrText>
          </w:r>
          <w:r>
            <w:fldChar w:fldCharType="separate"/>
          </w:r>
          <w:r>
            <w:t>23</w:t>
          </w:r>
          <w:r>
            <w:fldChar w:fldCharType="end"/>
          </w:r>
          <w:r>
            <w:rPr>
              <w:rFonts w:hint="eastAsia"/>
            </w:rPr>
            <w:fldChar w:fldCharType="end"/>
          </w:r>
        </w:p>
        <w:p w14:paraId="7DD58557">
          <w:pPr>
            <w:pStyle w:val="13"/>
            <w:tabs>
              <w:tab w:val="right" w:leader="dot" w:pos="8306"/>
              <w:tab w:val="clear" w:pos="8296"/>
            </w:tabs>
          </w:pPr>
          <w:r>
            <w:rPr>
              <w:rFonts w:hint="eastAsia"/>
            </w:rPr>
            <w:fldChar w:fldCharType="begin"/>
          </w:r>
          <w:r>
            <w:rPr>
              <w:rFonts w:hint="eastAsia"/>
            </w:rPr>
            <w:instrText xml:space="preserve"> HYPERLINK \l _Toc13459 </w:instrText>
          </w:r>
          <w:r>
            <w:rPr>
              <w:rFonts w:hint="eastAsia"/>
            </w:rPr>
            <w:fldChar w:fldCharType="separate"/>
          </w:r>
          <w:r>
            <w:rPr>
              <w:rFonts w:hint="eastAsia" w:ascii="仿宋" w:hAnsi="仿宋" w:eastAsia="仿宋"/>
              <w:bCs w:val="0"/>
              <w:kern w:val="21"/>
            </w:rPr>
            <w:t>十、</w:t>
          </w:r>
          <w:r>
            <w:rPr>
              <w:rFonts w:hint="eastAsia" w:ascii="仿宋" w:hAnsi="仿宋" w:eastAsia="仿宋"/>
              <w:kern w:val="21"/>
            </w:rPr>
            <w:t>政</w:t>
          </w:r>
          <w:r>
            <w:rPr>
              <w:rFonts w:hint="eastAsia" w:ascii="仿宋" w:hAnsi="仿宋" w:eastAsia="仿宋"/>
              <w:bCs w:val="0"/>
              <w:kern w:val="21"/>
            </w:rPr>
            <w:t>府性基金预算财政拨款收入支出决算表</w:t>
          </w:r>
          <w:r>
            <w:tab/>
          </w:r>
          <w:r>
            <w:fldChar w:fldCharType="begin"/>
          </w:r>
          <w:r>
            <w:instrText xml:space="preserve"> PAGEREF _Toc13459 \h </w:instrText>
          </w:r>
          <w:r>
            <w:fldChar w:fldCharType="separate"/>
          </w:r>
          <w:r>
            <w:t>23</w:t>
          </w:r>
          <w:r>
            <w:fldChar w:fldCharType="end"/>
          </w:r>
          <w:r>
            <w:rPr>
              <w:rFonts w:hint="eastAsia"/>
            </w:rPr>
            <w:fldChar w:fldCharType="end"/>
          </w:r>
        </w:p>
        <w:p w14:paraId="5D82F1F6">
          <w:pPr>
            <w:pStyle w:val="13"/>
            <w:tabs>
              <w:tab w:val="right" w:leader="dot" w:pos="8306"/>
              <w:tab w:val="clear" w:pos="8296"/>
            </w:tabs>
          </w:pPr>
          <w:r>
            <w:rPr>
              <w:rFonts w:hint="eastAsia"/>
            </w:rPr>
            <w:fldChar w:fldCharType="begin"/>
          </w:r>
          <w:r>
            <w:rPr>
              <w:rFonts w:hint="eastAsia"/>
            </w:rPr>
            <w:instrText xml:space="preserve"> HYPERLINK \l _Toc6256 </w:instrText>
          </w:r>
          <w:r>
            <w:rPr>
              <w:rFonts w:hint="eastAsia"/>
            </w:rPr>
            <w:fldChar w:fldCharType="separate"/>
          </w:r>
          <w:r>
            <w:rPr>
              <w:rFonts w:hint="eastAsia" w:ascii="仿宋" w:hAnsi="仿宋" w:eastAsia="仿宋"/>
              <w:bCs w:val="0"/>
              <w:kern w:val="21"/>
            </w:rPr>
            <w:t>十一、</w:t>
          </w:r>
          <w:r>
            <w:rPr>
              <w:rFonts w:hint="eastAsia" w:ascii="仿宋" w:hAnsi="仿宋" w:eastAsia="仿宋"/>
              <w:kern w:val="21"/>
            </w:rPr>
            <w:t>国</w:t>
          </w:r>
          <w:r>
            <w:rPr>
              <w:rFonts w:hint="eastAsia" w:ascii="仿宋" w:hAnsi="仿宋" w:eastAsia="仿宋"/>
              <w:bCs w:val="0"/>
              <w:kern w:val="21"/>
            </w:rPr>
            <w:t>有资本经营预算财政拨款收入支出决算表</w:t>
          </w:r>
          <w:r>
            <w:tab/>
          </w:r>
          <w:r>
            <w:fldChar w:fldCharType="begin"/>
          </w:r>
          <w:r>
            <w:instrText xml:space="preserve"> PAGEREF _Toc6256 \h </w:instrText>
          </w:r>
          <w:r>
            <w:fldChar w:fldCharType="separate"/>
          </w:r>
          <w:r>
            <w:t>23</w:t>
          </w:r>
          <w:r>
            <w:fldChar w:fldCharType="end"/>
          </w:r>
          <w:r>
            <w:rPr>
              <w:rFonts w:hint="eastAsia"/>
            </w:rPr>
            <w:fldChar w:fldCharType="end"/>
          </w:r>
        </w:p>
        <w:p w14:paraId="3C8F0E24">
          <w:pPr>
            <w:pStyle w:val="13"/>
            <w:tabs>
              <w:tab w:val="right" w:leader="dot" w:pos="8306"/>
              <w:tab w:val="clear" w:pos="8296"/>
            </w:tabs>
          </w:pPr>
          <w:r>
            <w:rPr>
              <w:rFonts w:hint="eastAsia"/>
            </w:rPr>
            <w:fldChar w:fldCharType="begin"/>
          </w:r>
          <w:r>
            <w:rPr>
              <w:rFonts w:hint="eastAsia"/>
            </w:rPr>
            <w:instrText xml:space="preserve"> HYPERLINK \l _Toc15200 </w:instrText>
          </w:r>
          <w:r>
            <w:rPr>
              <w:rFonts w:hint="eastAsia"/>
            </w:rPr>
            <w:fldChar w:fldCharType="separate"/>
          </w:r>
          <w:r>
            <w:rPr>
              <w:rFonts w:hint="eastAsia" w:ascii="仿宋" w:hAnsi="仿宋" w:eastAsia="仿宋"/>
              <w:bCs w:val="0"/>
              <w:kern w:val="21"/>
            </w:rPr>
            <w:t>十二、国有资本经营预算财政拨款支出决算表</w:t>
          </w:r>
          <w:r>
            <w:tab/>
          </w:r>
          <w:r>
            <w:fldChar w:fldCharType="begin"/>
          </w:r>
          <w:r>
            <w:instrText xml:space="preserve"> PAGEREF _Toc15200 \h </w:instrText>
          </w:r>
          <w:r>
            <w:fldChar w:fldCharType="separate"/>
          </w:r>
          <w:r>
            <w:t>23</w:t>
          </w:r>
          <w:r>
            <w:fldChar w:fldCharType="end"/>
          </w:r>
          <w:r>
            <w:rPr>
              <w:rFonts w:hint="eastAsia"/>
            </w:rPr>
            <w:fldChar w:fldCharType="end"/>
          </w:r>
        </w:p>
        <w:p w14:paraId="47B699EE">
          <w:pPr>
            <w:pStyle w:val="13"/>
            <w:tabs>
              <w:tab w:val="right" w:leader="dot" w:pos="8306"/>
              <w:tab w:val="clear" w:pos="8296"/>
            </w:tabs>
          </w:pPr>
          <w:r>
            <w:rPr>
              <w:rFonts w:hint="eastAsia"/>
            </w:rPr>
            <w:fldChar w:fldCharType="begin"/>
          </w:r>
          <w:r>
            <w:rPr>
              <w:rFonts w:hint="eastAsia"/>
            </w:rPr>
            <w:instrText xml:space="preserve"> HYPERLINK \l _Toc12459 </w:instrText>
          </w:r>
          <w:r>
            <w:rPr>
              <w:rFonts w:hint="eastAsia"/>
            </w:rPr>
            <w:fldChar w:fldCharType="separate"/>
          </w:r>
          <w:r>
            <w:rPr>
              <w:rFonts w:hint="eastAsia" w:ascii="仿宋" w:hAnsi="仿宋" w:eastAsia="仿宋"/>
              <w:bCs w:val="0"/>
              <w:kern w:val="21"/>
            </w:rPr>
            <w:t>十三、财政拨款“三公”经费支出决算表</w:t>
          </w:r>
          <w:r>
            <w:tab/>
          </w:r>
          <w:r>
            <w:fldChar w:fldCharType="begin"/>
          </w:r>
          <w:r>
            <w:instrText xml:space="preserve"> PAGEREF _Toc12459 \h </w:instrText>
          </w:r>
          <w:r>
            <w:fldChar w:fldCharType="separate"/>
          </w:r>
          <w:r>
            <w:t>23</w:t>
          </w:r>
          <w:r>
            <w:fldChar w:fldCharType="end"/>
          </w:r>
          <w:r>
            <w:rPr>
              <w:rFonts w:hint="eastAsia"/>
            </w:rPr>
            <w:fldChar w:fldCharType="end"/>
          </w:r>
        </w:p>
        <w:p w14:paraId="0D5E44D3">
          <w:pPr>
            <w:rPr>
              <w:rFonts w:hint="eastAsia" w:ascii="Times New Roman" w:hAnsi="Times New Roman" w:eastAsia="宋体" w:cs="Times New Roman"/>
              <w:kern w:val="2"/>
              <w:sz w:val="21"/>
              <w:szCs w:val="24"/>
              <w:lang w:val="en-US" w:eastAsia="zh-CN" w:bidi="ar-SA"/>
            </w:rPr>
          </w:pPr>
          <w:r>
            <w:rPr>
              <w:rFonts w:hint="eastAsia"/>
            </w:rPr>
            <w:fldChar w:fldCharType="end"/>
          </w:r>
        </w:p>
      </w:sdtContent>
    </w:sdt>
    <w:p w14:paraId="4037C534">
      <w:pPr>
        <w:pStyle w:val="2"/>
        <w:rPr>
          <w:rFonts w:hint="eastAsia"/>
        </w:rPr>
      </w:pPr>
    </w:p>
    <w:p w14:paraId="3B95033F">
      <w:pPr>
        <w:pStyle w:val="3"/>
        <w:jc w:val="center"/>
        <w:outlineLvl w:val="9"/>
        <w:rPr>
          <w:rFonts w:hint="eastAsia" w:ascii="黑体" w:hAnsi="黑体" w:eastAsia="黑体"/>
          <w:b w:val="0"/>
          <w:kern w:val="21"/>
        </w:rPr>
      </w:pPr>
    </w:p>
    <w:p w14:paraId="36F6AD6C">
      <w:pPr>
        <w:pStyle w:val="3"/>
        <w:jc w:val="center"/>
        <w:outlineLvl w:val="9"/>
        <w:rPr>
          <w:rFonts w:hint="eastAsia" w:ascii="黑体" w:hAnsi="黑体" w:eastAsia="黑体"/>
          <w:b w:val="0"/>
          <w:kern w:val="21"/>
        </w:rPr>
      </w:pPr>
    </w:p>
    <w:p w14:paraId="2C0434E5">
      <w:pPr>
        <w:pStyle w:val="3"/>
        <w:jc w:val="center"/>
        <w:outlineLvl w:val="9"/>
        <w:rPr>
          <w:rFonts w:hint="eastAsia" w:ascii="黑体" w:hAnsi="黑体" w:eastAsia="黑体"/>
          <w:b w:val="0"/>
          <w:kern w:val="21"/>
        </w:rPr>
      </w:pPr>
    </w:p>
    <w:p w14:paraId="2334FA7F">
      <w:pPr>
        <w:pStyle w:val="3"/>
        <w:jc w:val="center"/>
        <w:outlineLvl w:val="9"/>
        <w:rPr>
          <w:rFonts w:hint="eastAsia" w:ascii="黑体" w:hAnsi="黑体" w:eastAsia="黑体"/>
          <w:b w:val="0"/>
          <w:kern w:val="21"/>
        </w:rPr>
      </w:pPr>
    </w:p>
    <w:p w14:paraId="68FEA9D7">
      <w:pPr>
        <w:pStyle w:val="3"/>
        <w:jc w:val="center"/>
        <w:outlineLvl w:val="9"/>
        <w:rPr>
          <w:rFonts w:hint="eastAsia" w:ascii="黑体" w:hAnsi="黑体" w:eastAsia="黑体"/>
          <w:b w:val="0"/>
          <w:kern w:val="21"/>
        </w:rPr>
      </w:pPr>
    </w:p>
    <w:p w14:paraId="6E4789F2">
      <w:pPr>
        <w:rPr>
          <w:rFonts w:hint="eastAsia" w:ascii="黑体" w:hAnsi="黑体" w:eastAsia="黑体"/>
          <w:b w:val="0"/>
          <w:kern w:val="21"/>
        </w:rPr>
      </w:pPr>
    </w:p>
    <w:p w14:paraId="70AA6DFA">
      <w:pPr>
        <w:pStyle w:val="2"/>
        <w:outlineLvl w:val="9"/>
        <w:rPr>
          <w:rFonts w:hint="eastAsia" w:ascii="黑体" w:hAnsi="黑体" w:eastAsia="黑体"/>
          <w:b w:val="0"/>
          <w:kern w:val="21"/>
        </w:rPr>
      </w:pPr>
    </w:p>
    <w:p w14:paraId="117D8009">
      <w:pPr>
        <w:rPr>
          <w:rFonts w:hint="eastAsia" w:ascii="黑体" w:hAnsi="黑体" w:eastAsia="黑体"/>
          <w:b w:val="0"/>
          <w:kern w:val="21"/>
        </w:rPr>
      </w:pPr>
    </w:p>
    <w:p w14:paraId="09CA5235">
      <w:pPr>
        <w:pStyle w:val="2"/>
        <w:outlineLvl w:val="9"/>
        <w:rPr>
          <w:rFonts w:hint="eastAsia" w:ascii="黑体" w:hAnsi="黑体" w:eastAsia="黑体"/>
          <w:b w:val="0"/>
          <w:kern w:val="21"/>
        </w:rPr>
      </w:pPr>
    </w:p>
    <w:p w14:paraId="0CE9DD86">
      <w:pPr>
        <w:rPr>
          <w:rFonts w:hint="eastAsia" w:ascii="黑体" w:hAnsi="黑体" w:eastAsia="黑体"/>
          <w:b w:val="0"/>
          <w:kern w:val="21"/>
        </w:rPr>
      </w:pPr>
    </w:p>
    <w:p w14:paraId="5118D77F">
      <w:pPr>
        <w:pStyle w:val="2"/>
        <w:outlineLvl w:val="9"/>
        <w:rPr>
          <w:rFonts w:hint="eastAsia" w:ascii="黑体" w:hAnsi="黑体" w:eastAsia="黑体"/>
          <w:b w:val="0"/>
          <w:kern w:val="21"/>
        </w:rPr>
      </w:pPr>
    </w:p>
    <w:p w14:paraId="280BB236">
      <w:pPr>
        <w:rPr>
          <w:rFonts w:hint="eastAsia"/>
        </w:rPr>
      </w:pPr>
    </w:p>
    <w:p w14:paraId="373EF693">
      <w:pPr>
        <w:pStyle w:val="3"/>
        <w:jc w:val="center"/>
        <w:rPr>
          <w:rFonts w:ascii="黑体" w:eastAsia="黑体"/>
          <w:kern w:val="21"/>
          <w:sz w:val="32"/>
          <w:szCs w:val="32"/>
        </w:rPr>
      </w:pPr>
      <w:bookmarkStart w:id="16" w:name="_Toc14506"/>
      <w:r>
        <w:rPr>
          <w:rFonts w:hint="eastAsia" w:ascii="黑体" w:hAnsi="黑体" w:eastAsia="黑体"/>
          <w:b w:val="0"/>
          <w:kern w:val="21"/>
        </w:rPr>
        <w:t>第一部分 单位</w:t>
      </w:r>
      <w:r>
        <w:rPr>
          <w:rStyle w:val="28"/>
          <w:rFonts w:hint="eastAsia" w:ascii="黑体" w:hAnsi="黑体" w:eastAsia="黑体"/>
          <w:b w:val="0"/>
          <w:bCs w:val="0"/>
          <w:kern w:val="21"/>
        </w:rPr>
        <w:t>概况</w:t>
      </w:r>
      <w:bookmarkEnd w:id="16"/>
    </w:p>
    <w:p w14:paraId="62788E7A">
      <w:pPr>
        <w:pStyle w:val="4"/>
        <w:keepNext/>
        <w:keepLines/>
        <w:pageBreakBefore w:val="0"/>
        <w:widowControl w:val="0"/>
        <w:numPr>
          <w:ilvl w:val="0"/>
          <w:numId w:val="1"/>
        </w:numPr>
        <w:kinsoku/>
        <w:wordWrap/>
        <w:overflowPunct/>
        <w:topLinePunct w:val="0"/>
        <w:autoSpaceDE/>
        <w:autoSpaceDN/>
        <w:bidi w:val="0"/>
        <w:adjustRightInd/>
        <w:snapToGrid/>
        <w:spacing w:after="0" w:line="416" w:lineRule="auto"/>
        <w:textAlignment w:val="auto"/>
        <w:rPr>
          <w:rStyle w:val="29"/>
          <w:rFonts w:ascii="黑体" w:hAnsi="黑体" w:eastAsia="黑体"/>
          <w:b w:val="0"/>
          <w:bCs w:val="0"/>
          <w:kern w:val="21"/>
        </w:rPr>
      </w:pPr>
      <w:bookmarkStart w:id="17" w:name="_Toc10394"/>
      <w:bookmarkStart w:id="18" w:name="_Toc15396600"/>
      <w:bookmarkStart w:id="19" w:name="_Toc15377197"/>
      <w:r>
        <w:rPr>
          <w:rStyle w:val="29"/>
          <w:rFonts w:hint="eastAsia" w:ascii="黑体" w:hAnsi="黑体" w:eastAsia="黑体"/>
          <w:b w:val="0"/>
          <w:bCs w:val="0"/>
          <w:kern w:val="21"/>
        </w:rPr>
        <w:t>主要职责</w:t>
      </w:r>
      <w:bookmarkEnd w:id="17"/>
    </w:p>
    <w:p w14:paraId="691F1EB2">
      <w:pPr>
        <w:pStyle w:val="26"/>
        <w:spacing w:line="560" w:lineRule="exact"/>
        <w:rPr>
          <w:rFonts w:hint="default" w:eastAsia="宋体"/>
          <w:kern w:val="21"/>
          <w:lang w:val="en-US" w:eastAsia="zh-CN"/>
        </w:rPr>
      </w:pPr>
      <w:r>
        <w:rPr>
          <w:rFonts w:hint="eastAsia"/>
          <w:kern w:val="21"/>
          <w:lang w:val="en-US" w:eastAsia="zh-CN"/>
        </w:rPr>
        <w:t xml:space="preserve">    </w:t>
      </w:r>
      <w:r>
        <w:rPr>
          <w:rFonts w:hint="eastAsia" w:ascii="仿宋_GB2312" w:hAnsi="仿宋_GB2312" w:eastAsia="仿宋_GB2312" w:cs="仿宋_GB2312"/>
          <w:kern w:val="21"/>
          <w:sz w:val="32"/>
          <w:szCs w:val="32"/>
          <w:lang w:val="en-US" w:eastAsia="zh-CN"/>
        </w:rPr>
        <w:t>卫生院的职责：基本医疗服务，1、正确处理常见病、多发病，对疑难重症进行恰当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78488643">
      <w:pPr>
        <w:pStyle w:val="4"/>
        <w:keepNext/>
        <w:keepLines/>
        <w:pageBreakBefore w:val="0"/>
        <w:widowControl w:val="0"/>
        <w:numPr>
          <w:ilvl w:val="0"/>
          <w:numId w:val="1"/>
        </w:numPr>
        <w:kinsoku/>
        <w:wordWrap/>
        <w:overflowPunct/>
        <w:topLinePunct w:val="0"/>
        <w:autoSpaceDE/>
        <w:autoSpaceDN/>
        <w:bidi w:val="0"/>
        <w:adjustRightInd/>
        <w:snapToGrid/>
        <w:spacing w:before="0" w:after="0" w:line="416" w:lineRule="auto"/>
        <w:ind w:left="0" w:leftChars="0" w:firstLine="0" w:firstLineChars="0"/>
        <w:textAlignment w:val="auto"/>
        <w:rPr>
          <w:rFonts w:hint="eastAsia" w:ascii="仿宋_GB2312" w:hAnsi="仿宋_GB2312" w:eastAsia="仿宋_GB2312" w:cs="仿宋_GB2312"/>
          <w:kern w:val="21"/>
          <w:sz w:val="32"/>
          <w:szCs w:val="32"/>
          <w:lang w:val="en-US"/>
        </w:rPr>
      </w:pPr>
      <w:bookmarkStart w:id="20" w:name="_Toc19381"/>
      <w:r>
        <w:rPr>
          <w:rFonts w:hint="eastAsia" w:ascii="黑体" w:hAnsi="黑体" w:eastAsia="黑体"/>
          <w:b w:val="0"/>
          <w:kern w:val="21"/>
        </w:rPr>
        <w:t>机构设置</w:t>
      </w:r>
      <w:bookmarkEnd w:id="18"/>
      <w:bookmarkEnd w:id="19"/>
      <w:bookmarkEnd w:id="20"/>
    </w:p>
    <w:p w14:paraId="608F33F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5" w:lineRule="atLeast"/>
        <w:ind w:left="0" w:leftChars="0" w:right="0" w:firstLine="646"/>
        <w:textAlignment w:val="auto"/>
        <w:rPr>
          <w:rFonts w:hint="eastAsia" w:ascii="仿宋_GB2312" w:hAnsi="仿宋_GB2312" w:eastAsia="仿宋_GB2312" w:cs="仿宋_GB2312"/>
          <w:kern w:val="21"/>
          <w:sz w:val="32"/>
          <w:szCs w:val="32"/>
          <w:lang w:val="en-US" w:eastAsia="zh-CN" w:bidi="ar-SA"/>
        </w:rPr>
      </w:pPr>
      <w:r>
        <w:rPr>
          <w:rFonts w:hint="eastAsia" w:ascii="仿宋_GB2312" w:hAnsi="仿宋_GB2312" w:eastAsia="仿宋_GB2312" w:cs="仿宋_GB2312"/>
          <w:kern w:val="21"/>
          <w:sz w:val="32"/>
          <w:szCs w:val="32"/>
          <w:lang w:val="en-US" w:eastAsia="zh-CN" w:bidi="ar-SA"/>
        </w:rPr>
        <w:t>松潘县岷江乡卫生院为财政全额拨款的事业单位，内设机构如下：预防保健科、内科、外科；普通外科专业、妇产科、妇女保健科、儿科、儿童保健科、中医科。核定编</w:t>
      </w:r>
      <w:bookmarkStart w:id="109" w:name="_GoBack"/>
      <w:bookmarkEnd w:id="109"/>
      <w:r>
        <w:rPr>
          <w:rFonts w:hint="eastAsia" w:ascii="仿宋_GB2312" w:hAnsi="仿宋_GB2312" w:eastAsia="仿宋_GB2312" w:cs="仿宋_GB2312"/>
          <w:kern w:val="21"/>
          <w:sz w:val="32"/>
          <w:szCs w:val="32"/>
          <w:lang w:val="en-US" w:eastAsia="zh-CN" w:bidi="ar-SA"/>
        </w:rPr>
        <w:t>制人数11人，截至2023年12月31日实有在职人数10人。</w:t>
      </w:r>
    </w:p>
    <w:p w14:paraId="71FEEE5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645" w:lineRule="atLeast"/>
        <w:ind w:left="0" w:right="0" w:firstLine="0"/>
        <w:textAlignment w:val="auto"/>
        <w:rPr>
          <w:rFonts w:ascii="仿宋" w:hAnsi="仿宋" w:eastAsia="仿宋"/>
          <w:kern w:val="21"/>
          <w:sz w:val="32"/>
          <w:szCs w:val="32"/>
        </w:rPr>
      </w:pPr>
      <w:r>
        <w:rPr>
          <w:rFonts w:hint="default" w:ascii="仿宋_GB2312" w:hAnsi="仿宋_GB2312" w:eastAsia="仿宋_GB2312" w:cs="仿宋_GB2312"/>
          <w:kern w:val="21"/>
          <w:sz w:val="32"/>
          <w:szCs w:val="32"/>
          <w:lang w:val="en-US" w:eastAsia="zh-CN" w:bidi="ar-SA"/>
        </w:rPr>
        <w:t>   按照决算管理有关规定，</w:t>
      </w:r>
      <w:r>
        <w:rPr>
          <w:rFonts w:hint="eastAsia" w:ascii="仿宋_GB2312" w:hAnsi="仿宋_GB2312" w:eastAsia="仿宋_GB2312" w:cs="仿宋_GB2312"/>
          <w:kern w:val="21"/>
          <w:sz w:val="32"/>
          <w:szCs w:val="32"/>
          <w:lang w:val="en-US" w:eastAsia="zh-CN" w:bidi="ar-SA"/>
        </w:rPr>
        <w:t>2024</w:t>
      </w:r>
      <w:r>
        <w:rPr>
          <w:rFonts w:hint="default" w:ascii="仿宋_GB2312" w:hAnsi="仿宋_GB2312" w:eastAsia="仿宋_GB2312" w:cs="仿宋_GB2312"/>
          <w:kern w:val="21"/>
          <w:sz w:val="32"/>
          <w:szCs w:val="32"/>
          <w:lang w:val="en-US" w:eastAsia="zh-CN" w:bidi="ar-SA"/>
        </w:rPr>
        <w:t>年</w:t>
      </w:r>
      <w:r>
        <w:rPr>
          <w:rFonts w:hint="eastAsia" w:ascii="仿宋_GB2312" w:hAnsi="仿宋_GB2312" w:eastAsia="仿宋_GB2312" w:cs="仿宋_GB2312"/>
          <w:kern w:val="21"/>
          <w:sz w:val="32"/>
          <w:szCs w:val="32"/>
          <w:lang w:val="en-US" w:eastAsia="zh-CN" w:bidi="ar-SA"/>
        </w:rPr>
        <w:t>岷江乡为</w:t>
      </w:r>
      <w:r>
        <w:rPr>
          <w:rFonts w:hint="default" w:ascii="仿宋_GB2312" w:hAnsi="仿宋_GB2312" w:eastAsia="仿宋_GB2312" w:cs="仿宋_GB2312"/>
          <w:kern w:val="21"/>
          <w:sz w:val="32"/>
          <w:szCs w:val="32"/>
          <w:lang w:val="en-US" w:eastAsia="zh-CN" w:bidi="ar-SA"/>
        </w:rPr>
        <w:t>卫生院决算编报内容为本级，无所属下级预算单位。</w:t>
      </w:r>
    </w:p>
    <w:p w14:paraId="70E66626">
      <w:pPr>
        <w:pStyle w:val="3"/>
        <w:ind w:right="440"/>
        <w:jc w:val="center"/>
        <w:rPr>
          <w:kern w:val="21"/>
        </w:rPr>
      </w:pPr>
      <w:bookmarkStart w:id="21" w:name="_Toc15377204"/>
      <w:bookmarkStart w:id="22" w:name="_Toc31443"/>
      <w:bookmarkStart w:id="23" w:name="_Toc15396602"/>
      <w:r>
        <w:rPr>
          <w:rFonts w:hint="eastAsia" w:ascii="黑体" w:hAnsi="黑体" w:eastAsia="黑体"/>
          <w:b w:val="0"/>
          <w:kern w:val="21"/>
        </w:rPr>
        <w:t>第二部分 2023年度</w:t>
      </w:r>
      <w:r>
        <w:rPr>
          <w:rStyle w:val="28"/>
          <w:rFonts w:hint="eastAsia" w:ascii="黑体" w:hAnsi="黑体" w:eastAsia="黑体"/>
          <w:b w:val="0"/>
          <w:bCs/>
          <w:kern w:val="21"/>
        </w:rPr>
        <w:t>单位决算情况说明</w:t>
      </w:r>
      <w:bookmarkEnd w:id="21"/>
      <w:bookmarkEnd w:id="22"/>
      <w:bookmarkEnd w:id="23"/>
    </w:p>
    <w:p w14:paraId="310B20C5">
      <w:pPr>
        <w:pStyle w:val="27"/>
        <w:numPr>
          <w:ilvl w:val="0"/>
          <w:numId w:val="2"/>
        </w:numPr>
        <w:spacing w:line="600" w:lineRule="exact"/>
        <w:ind w:firstLineChars="0"/>
        <w:outlineLvl w:val="1"/>
        <w:rPr>
          <w:rStyle w:val="29"/>
          <w:rFonts w:ascii="黑体" w:hAnsi="黑体" w:eastAsia="黑体"/>
          <w:b w:val="0"/>
          <w:kern w:val="21"/>
        </w:rPr>
      </w:pPr>
      <w:bookmarkStart w:id="24" w:name="_Toc15377205"/>
      <w:bookmarkStart w:id="25" w:name="_Toc15396603"/>
      <w:bookmarkStart w:id="26" w:name="_Toc4247"/>
      <w:r>
        <w:rPr>
          <w:rFonts w:hint="eastAsia" w:ascii="黑体" w:hAnsi="黑体" w:eastAsia="黑体"/>
          <w:kern w:val="21"/>
          <w:sz w:val="32"/>
          <w:szCs w:val="32"/>
        </w:rPr>
        <w:t>收</w:t>
      </w:r>
      <w:r>
        <w:rPr>
          <w:rStyle w:val="29"/>
          <w:rFonts w:hint="eastAsia" w:ascii="黑体" w:hAnsi="黑体" w:eastAsia="黑体"/>
          <w:b w:val="0"/>
          <w:kern w:val="21"/>
        </w:rPr>
        <w:t>入支出决算总体情况说明</w:t>
      </w:r>
      <w:bookmarkEnd w:id="24"/>
      <w:bookmarkEnd w:id="25"/>
      <w:bookmarkEnd w:id="26"/>
    </w:p>
    <w:p w14:paraId="59EA803E">
      <w:pPr>
        <w:spacing w:line="600" w:lineRule="exact"/>
        <w:ind w:firstLine="640" w:firstLineChars="200"/>
        <w:rPr>
          <w:rFonts w:hint="eastAsia" w:ascii="仿宋" w:hAnsi="仿宋" w:eastAsia="仿宋"/>
          <w:kern w:val="21"/>
          <w:sz w:val="32"/>
          <w:szCs w:val="32"/>
        </w:rPr>
      </w:pPr>
      <w:r>
        <w:rPr>
          <w:rFonts w:hint="eastAsia" w:ascii="仿宋" w:hAnsi="仿宋" w:eastAsia="仿宋"/>
          <w:kern w:val="21"/>
          <w:sz w:val="32"/>
          <w:szCs w:val="32"/>
        </w:rPr>
        <w:t>2023年度收、支总计均为</w:t>
      </w:r>
      <w:r>
        <w:rPr>
          <w:rFonts w:hint="eastAsia" w:ascii="仿宋" w:hAnsi="仿宋" w:eastAsia="仿宋"/>
          <w:b/>
          <w:kern w:val="21"/>
          <w:sz w:val="32"/>
          <w:szCs w:val="32"/>
        </w:rPr>
        <w:t>231.42</w:t>
      </w:r>
      <w:r>
        <w:rPr>
          <w:rFonts w:hint="eastAsia" w:ascii="仿宋" w:hAnsi="仿宋" w:eastAsia="仿宋"/>
          <w:kern w:val="21"/>
          <w:sz w:val="32"/>
          <w:szCs w:val="32"/>
        </w:rPr>
        <w:t>万元。与2022年度相比，收、支总计</w:t>
      </w:r>
      <w:r>
        <w:rPr>
          <w:rFonts w:hint="eastAsia" w:ascii="仿宋" w:hAnsi="仿宋" w:eastAsia="仿宋"/>
          <w:kern w:val="21"/>
          <w:sz w:val="32"/>
          <w:szCs w:val="32"/>
          <w:lang w:val="en-US" w:eastAsia="zh-CN"/>
        </w:rPr>
        <w:t>各</w:t>
      </w:r>
      <w:r>
        <w:rPr>
          <w:rFonts w:hint="eastAsia" w:ascii="仿宋" w:hAnsi="仿宋" w:eastAsia="仿宋"/>
          <w:kern w:val="21"/>
          <w:sz w:val="32"/>
          <w:szCs w:val="32"/>
        </w:rPr>
        <w:t>增加</w:t>
      </w:r>
      <w:r>
        <w:rPr>
          <w:rFonts w:hint="eastAsia" w:ascii="仿宋" w:hAnsi="仿宋" w:eastAsia="仿宋"/>
          <w:kern w:val="21"/>
          <w:sz w:val="32"/>
          <w:szCs w:val="32"/>
          <w:lang w:val="en-US" w:eastAsia="zh-CN"/>
        </w:rPr>
        <w:t>11.29</w:t>
      </w:r>
      <w:r>
        <w:rPr>
          <w:rFonts w:hint="eastAsia" w:ascii="仿宋" w:hAnsi="仿宋" w:eastAsia="仿宋"/>
          <w:kern w:val="21"/>
          <w:sz w:val="32"/>
          <w:szCs w:val="32"/>
        </w:rPr>
        <w:t>万元，增长</w:t>
      </w:r>
      <w:r>
        <w:rPr>
          <w:rFonts w:hint="eastAsia" w:ascii="仿宋" w:hAnsi="仿宋" w:eastAsia="仿宋"/>
          <w:kern w:val="21"/>
          <w:sz w:val="32"/>
          <w:szCs w:val="32"/>
          <w:lang w:val="en-US" w:eastAsia="zh-CN"/>
        </w:rPr>
        <w:t>5.13</w:t>
      </w:r>
      <w:r>
        <w:rPr>
          <w:rFonts w:ascii="仿宋" w:hAnsi="仿宋" w:eastAsia="仿宋"/>
          <w:kern w:val="21"/>
          <w:sz w:val="32"/>
          <w:szCs w:val="32"/>
        </w:rPr>
        <w:t>%</w:t>
      </w:r>
      <w:r>
        <w:rPr>
          <w:rFonts w:hint="eastAsia" w:ascii="仿宋" w:hAnsi="仿宋" w:eastAsia="仿宋"/>
          <w:kern w:val="21"/>
          <w:sz w:val="32"/>
          <w:szCs w:val="32"/>
        </w:rPr>
        <w:t>。主要变动原因是</w:t>
      </w:r>
      <w:r>
        <w:rPr>
          <w:rFonts w:hint="eastAsia" w:ascii="仿宋" w:hAnsi="仿宋" w:eastAsia="仿宋"/>
          <w:kern w:val="21"/>
          <w:sz w:val="32"/>
          <w:szCs w:val="32"/>
          <w:lang w:val="en-US" w:eastAsia="zh-CN"/>
        </w:rPr>
        <w:t>项目标准上涨</w:t>
      </w:r>
      <w:r>
        <w:rPr>
          <w:rFonts w:hint="eastAsia" w:ascii="仿宋" w:hAnsi="仿宋" w:eastAsia="仿宋"/>
          <w:kern w:val="21"/>
          <w:sz w:val="32"/>
          <w:szCs w:val="32"/>
        </w:rPr>
        <w:t>。</w:t>
      </w:r>
    </w:p>
    <w:p w14:paraId="30A4B899">
      <w:pPr>
        <w:pStyle w:val="2"/>
        <w:jc w:val="center"/>
        <w:outlineLvl w:val="9"/>
        <w:rPr>
          <w:kern w:val="21"/>
        </w:rPr>
      </w:pPr>
      <w:r>
        <w:drawing>
          <wp:inline distT="0" distB="0" distL="114300" distR="114300">
            <wp:extent cx="5271135" cy="2715895"/>
            <wp:effectExtent l="4445" t="4445" r="20320" b="2286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C1C4174">
      <w:pPr>
        <w:spacing w:line="600" w:lineRule="exact"/>
        <w:ind w:firstLine="640" w:firstLineChars="200"/>
        <w:rPr>
          <w:rFonts w:ascii="仿宋_GB2312" w:eastAsia="仿宋_GB2312"/>
          <w:kern w:val="21"/>
          <w:sz w:val="32"/>
          <w:szCs w:val="32"/>
        </w:rPr>
      </w:pPr>
      <w:r>
        <w:rPr>
          <w:rFonts w:hint="eastAsia" w:ascii="仿宋" w:hAnsi="仿宋" w:eastAsia="仿宋"/>
          <w:kern w:val="21"/>
          <w:sz w:val="32"/>
          <w:szCs w:val="32"/>
        </w:rPr>
        <w:t>（图</w:t>
      </w:r>
      <w:r>
        <w:rPr>
          <w:rFonts w:ascii="仿宋" w:hAnsi="仿宋" w:eastAsia="仿宋"/>
          <w:kern w:val="21"/>
          <w:sz w:val="32"/>
          <w:szCs w:val="32"/>
        </w:rPr>
        <w:t>1</w:t>
      </w:r>
      <w:r>
        <w:rPr>
          <w:rFonts w:hint="eastAsia" w:ascii="仿宋" w:hAnsi="仿宋" w:eastAsia="仿宋"/>
          <w:kern w:val="21"/>
          <w:sz w:val="32"/>
          <w:szCs w:val="32"/>
        </w:rPr>
        <w:t>：收、支决算总计变动情况图）（柱状图）</w:t>
      </w:r>
    </w:p>
    <w:p w14:paraId="6781BBFB">
      <w:pPr>
        <w:pStyle w:val="27"/>
        <w:numPr>
          <w:ilvl w:val="0"/>
          <w:numId w:val="2"/>
        </w:numPr>
        <w:spacing w:line="600" w:lineRule="exact"/>
        <w:ind w:firstLineChars="0"/>
        <w:outlineLvl w:val="1"/>
        <w:rPr>
          <w:rStyle w:val="29"/>
          <w:rFonts w:ascii="黑体" w:hAnsi="黑体" w:eastAsia="黑体"/>
          <w:b w:val="0"/>
          <w:kern w:val="21"/>
        </w:rPr>
      </w:pPr>
      <w:bookmarkStart w:id="27" w:name="_Toc15377206"/>
      <w:bookmarkStart w:id="28" w:name="_Toc24736"/>
      <w:bookmarkStart w:id="29" w:name="_Toc15396604"/>
      <w:r>
        <w:rPr>
          <w:rFonts w:hint="eastAsia" w:ascii="黑体" w:hAnsi="黑体" w:eastAsia="黑体"/>
          <w:kern w:val="21"/>
          <w:sz w:val="32"/>
          <w:szCs w:val="32"/>
        </w:rPr>
        <w:t>收</w:t>
      </w:r>
      <w:r>
        <w:rPr>
          <w:rStyle w:val="29"/>
          <w:rFonts w:hint="eastAsia" w:ascii="黑体" w:hAnsi="黑体" w:eastAsia="黑体"/>
          <w:b w:val="0"/>
          <w:kern w:val="21"/>
        </w:rPr>
        <w:t>入决算情况说明</w:t>
      </w:r>
      <w:bookmarkEnd w:id="27"/>
      <w:bookmarkEnd w:id="28"/>
      <w:bookmarkEnd w:id="29"/>
    </w:p>
    <w:p w14:paraId="766813CB">
      <w:pPr>
        <w:spacing w:line="600" w:lineRule="exact"/>
        <w:ind w:firstLine="640" w:firstLineChars="200"/>
        <w:outlineLvl w:val="1"/>
        <w:rPr>
          <w:rFonts w:hint="eastAsia" w:ascii="仿宋" w:hAnsi="仿宋" w:eastAsia="仿宋"/>
          <w:kern w:val="21"/>
          <w:sz w:val="32"/>
          <w:szCs w:val="32"/>
          <w:lang w:eastAsia="zh-CN"/>
        </w:rPr>
      </w:pPr>
      <w:bookmarkStart w:id="30" w:name="_Toc3195"/>
      <w:bookmarkStart w:id="31" w:name="_Toc9227"/>
      <w:r>
        <w:rPr>
          <w:rFonts w:hint="eastAsia" w:ascii="仿宋" w:hAnsi="仿宋" w:eastAsia="仿宋"/>
          <w:kern w:val="21"/>
          <w:sz w:val="32"/>
          <w:szCs w:val="32"/>
        </w:rPr>
        <w:t>2023年度本年收入合计</w:t>
      </w:r>
      <w:r>
        <w:rPr>
          <w:rFonts w:ascii="仿宋" w:hAnsi="仿宋" w:eastAsia="仿宋"/>
          <w:b/>
          <w:kern w:val="21"/>
          <w:sz w:val="32"/>
          <w:szCs w:val="32"/>
        </w:rPr>
        <w:t>231.42</w:t>
      </w:r>
      <w:r>
        <w:rPr>
          <w:rFonts w:hint="eastAsia" w:ascii="仿宋" w:hAnsi="仿宋" w:eastAsia="仿宋"/>
          <w:kern w:val="21"/>
          <w:sz w:val="32"/>
          <w:szCs w:val="32"/>
        </w:rPr>
        <w:t>万元，其中：一般公共预算财政拨款收入</w:t>
      </w:r>
      <w:r>
        <w:rPr>
          <w:rFonts w:ascii="仿宋" w:hAnsi="仿宋" w:eastAsia="仿宋"/>
          <w:b/>
          <w:kern w:val="21"/>
          <w:sz w:val="32"/>
          <w:szCs w:val="32"/>
        </w:rPr>
        <w:t>223.07</w:t>
      </w:r>
      <w:r>
        <w:rPr>
          <w:rFonts w:hint="eastAsia" w:ascii="仿宋" w:hAnsi="仿宋" w:eastAsia="仿宋"/>
          <w:kern w:val="21"/>
          <w:sz w:val="32"/>
          <w:szCs w:val="32"/>
        </w:rPr>
        <w:t>万元，占</w:t>
      </w:r>
      <w:r>
        <w:rPr>
          <w:rFonts w:ascii="仿宋" w:hAnsi="仿宋" w:eastAsia="仿宋"/>
          <w:b/>
          <w:kern w:val="21"/>
          <w:sz w:val="32"/>
          <w:szCs w:val="32"/>
        </w:rPr>
        <w:t>96.39%</w:t>
      </w:r>
      <w:r>
        <w:rPr>
          <w:rFonts w:hint="eastAsia" w:ascii="仿宋" w:hAnsi="仿宋" w:eastAsia="仿宋"/>
          <w:kern w:val="21"/>
          <w:sz w:val="32"/>
          <w:szCs w:val="32"/>
        </w:rPr>
        <w:t>；政府性基金预算财政拨款收入</w:t>
      </w:r>
      <w:r>
        <w:rPr>
          <w:rFonts w:ascii="仿宋" w:hAnsi="仿宋" w:eastAsia="仿宋"/>
          <w:b/>
          <w:kern w:val="21"/>
          <w:sz w:val="32"/>
          <w:szCs w:val="32"/>
        </w:rPr>
        <w:t>0</w:t>
      </w:r>
      <w:r>
        <w:rPr>
          <w:rFonts w:hint="eastAsia" w:ascii="仿宋" w:hAnsi="仿宋" w:eastAsia="仿宋"/>
          <w:kern w:val="21"/>
          <w:sz w:val="32"/>
          <w:szCs w:val="32"/>
        </w:rPr>
        <w:t>万元，占</w:t>
      </w:r>
      <w:r>
        <w:rPr>
          <w:rFonts w:ascii="仿宋" w:hAnsi="仿宋" w:eastAsia="仿宋"/>
          <w:b/>
          <w:kern w:val="21"/>
          <w:sz w:val="32"/>
          <w:szCs w:val="32"/>
        </w:rPr>
        <w:t>0</w:t>
      </w:r>
      <w:r>
        <w:rPr>
          <w:rFonts w:ascii="仿宋" w:hAnsi="仿宋" w:eastAsia="仿宋"/>
          <w:kern w:val="21"/>
          <w:sz w:val="32"/>
          <w:szCs w:val="32"/>
        </w:rPr>
        <w:t>%</w:t>
      </w:r>
      <w:r>
        <w:rPr>
          <w:rFonts w:hint="eastAsia" w:ascii="仿宋" w:hAnsi="仿宋" w:eastAsia="仿宋"/>
          <w:kern w:val="21"/>
          <w:sz w:val="32"/>
          <w:szCs w:val="32"/>
        </w:rPr>
        <w:t>；事业收入</w:t>
      </w:r>
      <w:r>
        <w:rPr>
          <w:rFonts w:ascii="仿宋" w:hAnsi="仿宋" w:eastAsia="仿宋"/>
          <w:b/>
          <w:kern w:val="21"/>
          <w:sz w:val="32"/>
          <w:szCs w:val="32"/>
        </w:rPr>
        <w:t>8.35</w:t>
      </w:r>
      <w:r>
        <w:rPr>
          <w:rFonts w:hint="eastAsia" w:ascii="仿宋" w:hAnsi="仿宋" w:eastAsia="仿宋"/>
          <w:kern w:val="21"/>
          <w:sz w:val="32"/>
          <w:szCs w:val="32"/>
        </w:rPr>
        <w:t>万元，占</w:t>
      </w:r>
      <w:r>
        <w:rPr>
          <w:rFonts w:ascii="仿宋" w:hAnsi="仿宋" w:eastAsia="仿宋"/>
          <w:b/>
          <w:kern w:val="21"/>
          <w:sz w:val="32"/>
          <w:szCs w:val="32"/>
        </w:rPr>
        <w:t>3.6</w:t>
      </w:r>
      <w:r>
        <w:rPr>
          <w:rFonts w:ascii="仿宋" w:hAnsi="仿宋" w:eastAsia="仿宋"/>
          <w:kern w:val="21"/>
          <w:sz w:val="32"/>
          <w:szCs w:val="32"/>
        </w:rPr>
        <w:t>%</w:t>
      </w:r>
      <w:r>
        <w:rPr>
          <w:rFonts w:hint="eastAsia" w:ascii="仿宋" w:hAnsi="仿宋" w:eastAsia="仿宋"/>
          <w:kern w:val="21"/>
          <w:sz w:val="32"/>
          <w:szCs w:val="32"/>
          <w:lang w:eastAsia="zh-CN"/>
        </w:rPr>
        <w:t>。</w:t>
      </w:r>
      <w:bookmarkEnd w:id="30"/>
      <w:bookmarkEnd w:id="31"/>
    </w:p>
    <w:p w14:paraId="307FE9E2">
      <w:pPr>
        <w:jc w:val="center"/>
        <w:rPr>
          <w:rFonts w:ascii="仿宋" w:hAnsi="仿宋" w:eastAsia="仿宋"/>
          <w:kern w:val="21"/>
          <w:sz w:val="32"/>
          <w:szCs w:val="32"/>
        </w:rPr>
      </w:pPr>
      <w:r>
        <w:drawing>
          <wp:inline distT="0" distB="0" distL="114300" distR="114300">
            <wp:extent cx="5210175" cy="2743200"/>
            <wp:effectExtent l="4445" t="4445" r="5080" b="14605"/>
            <wp:docPr id="1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3432BB">
      <w:pPr>
        <w:spacing w:line="600" w:lineRule="exact"/>
        <w:ind w:firstLine="640" w:firstLineChars="200"/>
        <w:rPr>
          <w:rFonts w:ascii="仿宋" w:hAnsi="仿宋" w:eastAsia="仿宋"/>
          <w:kern w:val="21"/>
          <w:sz w:val="32"/>
          <w:szCs w:val="32"/>
        </w:rPr>
      </w:pPr>
      <w:r>
        <w:rPr>
          <w:rFonts w:hint="eastAsia" w:ascii="仿宋" w:hAnsi="仿宋" w:eastAsia="仿宋"/>
          <w:kern w:val="21"/>
          <w:sz w:val="32"/>
          <w:szCs w:val="32"/>
        </w:rPr>
        <w:t>（图2：收入决算结构图）（饼状图）</w:t>
      </w:r>
    </w:p>
    <w:p w14:paraId="5C96D9EF">
      <w:pPr>
        <w:pStyle w:val="27"/>
        <w:numPr>
          <w:ilvl w:val="0"/>
          <w:numId w:val="2"/>
        </w:numPr>
        <w:spacing w:line="600" w:lineRule="exact"/>
        <w:ind w:firstLineChars="0"/>
        <w:outlineLvl w:val="1"/>
        <w:rPr>
          <w:rStyle w:val="29"/>
          <w:rFonts w:ascii="黑体" w:hAnsi="黑体" w:eastAsia="黑体"/>
          <w:b w:val="0"/>
          <w:kern w:val="21"/>
        </w:rPr>
      </w:pPr>
      <w:bookmarkStart w:id="32" w:name="_Toc1335"/>
      <w:bookmarkStart w:id="33" w:name="_Toc15377207"/>
      <w:bookmarkStart w:id="34" w:name="_Toc15396605"/>
      <w:r>
        <w:rPr>
          <w:rFonts w:hint="eastAsia" w:ascii="黑体" w:hAnsi="黑体" w:eastAsia="黑体"/>
          <w:kern w:val="21"/>
          <w:sz w:val="32"/>
          <w:szCs w:val="32"/>
        </w:rPr>
        <w:t>支</w:t>
      </w:r>
      <w:r>
        <w:rPr>
          <w:rStyle w:val="29"/>
          <w:rFonts w:hint="eastAsia" w:ascii="黑体" w:hAnsi="黑体" w:eastAsia="黑体"/>
          <w:b w:val="0"/>
          <w:kern w:val="21"/>
        </w:rPr>
        <w:t>出决算情况说明</w:t>
      </w:r>
      <w:bookmarkEnd w:id="32"/>
      <w:bookmarkEnd w:id="33"/>
      <w:bookmarkEnd w:id="34"/>
    </w:p>
    <w:p w14:paraId="5841A2AE">
      <w:pPr>
        <w:spacing w:line="600" w:lineRule="exact"/>
        <w:ind w:firstLine="640" w:firstLineChars="200"/>
        <w:rPr>
          <w:rFonts w:hint="eastAsia" w:ascii="仿宋" w:hAnsi="仿宋" w:eastAsia="仿宋"/>
          <w:kern w:val="21"/>
          <w:sz w:val="32"/>
          <w:szCs w:val="32"/>
        </w:rPr>
      </w:pPr>
      <w:r>
        <w:rPr>
          <w:rFonts w:hint="eastAsia" w:ascii="仿宋" w:hAnsi="仿宋" w:eastAsia="仿宋"/>
          <w:kern w:val="21"/>
          <w:sz w:val="32"/>
          <w:szCs w:val="32"/>
        </w:rPr>
        <w:t>2023年度本年支出合计</w:t>
      </w:r>
      <w:r>
        <w:rPr>
          <w:rFonts w:ascii="仿宋" w:hAnsi="仿宋" w:eastAsia="仿宋"/>
          <w:b/>
          <w:kern w:val="21"/>
          <w:sz w:val="32"/>
          <w:szCs w:val="32"/>
        </w:rPr>
        <w:t>231.42</w:t>
      </w:r>
      <w:r>
        <w:rPr>
          <w:rFonts w:hint="eastAsia" w:ascii="仿宋" w:hAnsi="仿宋" w:eastAsia="仿宋"/>
          <w:kern w:val="21"/>
          <w:sz w:val="32"/>
          <w:szCs w:val="32"/>
        </w:rPr>
        <w:t>万元，其中：基本支出</w:t>
      </w:r>
      <w:r>
        <w:rPr>
          <w:rFonts w:ascii="仿宋" w:hAnsi="仿宋" w:eastAsia="仿宋"/>
          <w:b/>
          <w:kern w:val="21"/>
          <w:sz w:val="32"/>
          <w:szCs w:val="32"/>
        </w:rPr>
        <w:t>202.99</w:t>
      </w:r>
      <w:r>
        <w:rPr>
          <w:rFonts w:hint="eastAsia" w:ascii="仿宋" w:hAnsi="仿宋" w:eastAsia="仿宋"/>
          <w:kern w:val="21"/>
          <w:sz w:val="32"/>
          <w:szCs w:val="32"/>
        </w:rPr>
        <w:t>万元，占</w:t>
      </w:r>
      <w:r>
        <w:rPr>
          <w:rFonts w:ascii="仿宋" w:hAnsi="仿宋" w:eastAsia="仿宋"/>
          <w:b/>
          <w:kern w:val="21"/>
          <w:sz w:val="32"/>
          <w:szCs w:val="32"/>
        </w:rPr>
        <w:t>87.71</w:t>
      </w:r>
      <w:r>
        <w:rPr>
          <w:rFonts w:ascii="仿宋" w:hAnsi="仿宋" w:eastAsia="仿宋"/>
          <w:kern w:val="21"/>
          <w:sz w:val="32"/>
          <w:szCs w:val="32"/>
        </w:rPr>
        <w:t>%</w:t>
      </w:r>
      <w:r>
        <w:rPr>
          <w:rFonts w:hint="eastAsia" w:ascii="仿宋" w:hAnsi="仿宋" w:eastAsia="仿宋"/>
          <w:kern w:val="21"/>
          <w:sz w:val="32"/>
          <w:szCs w:val="32"/>
        </w:rPr>
        <w:t>；项目支出</w:t>
      </w:r>
      <w:r>
        <w:rPr>
          <w:rFonts w:ascii="仿宋" w:hAnsi="仿宋" w:eastAsia="仿宋"/>
          <w:b/>
          <w:kern w:val="21"/>
          <w:sz w:val="32"/>
          <w:szCs w:val="32"/>
        </w:rPr>
        <w:t>28.43</w:t>
      </w:r>
      <w:r>
        <w:rPr>
          <w:rFonts w:hint="eastAsia" w:ascii="仿宋" w:hAnsi="仿宋" w:eastAsia="仿宋"/>
          <w:kern w:val="21"/>
          <w:sz w:val="32"/>
          <w:szCs w:val="32"/>
        </w:rPr>
        <w:t>万元，占</w:t>
      </w:r>
      <w:r>
        <w:rPr>
          <w:rFonts w:ascii="仿宋" w:hAnsi="仿宋" w:eastAsia="仿宋"/>
          <w:b/>
          <w:kern w:val="21"/>
          <w:sz w:val="32"/>
          <w:szCs w:val="32"/>
        </w:rPr>
        <w:t>12.2</w:t>
      </w:r>
      <w:r>
        <w:rPr>
          <w:rFonts w:hint="eastAsia" w:ascii="仿宋" w:hAnsi="仿宋" w:eastAsia="仿宋"/>
          <w:b/>
          <w:kern w:val="21"/>
          <w:sz w:val="32"/>
          <w:szCs w:val="32"/>
          <w:lang w:val="en-US" w:eastAsia="zh-CN"/>
        </w:rPr>
        <w:t>8</w:t>
      </w:r>
      <w:r>
        <w:rPr>
          <w:rFonts w:ascii="仿宋" w:hAnsi="仿宋" w:eastAsia="仿宋"/>
          <w:kern w:val="21"/>
          <w:sz w:val="32"/>
          <w:szCs w:val="32"/>
        </w:rPr>
        <w:t>%</w:t>
      </w:r>
      <w:r>
        <w:rPr>
          <w:rFonts w:hint="eastAsia" w:ascii="仿宋" w:hAnsi="仿宋" w:eastAsia="仿宋"/>
          <w:kern w:val="21"/>
          <w:sz w:val="32"/>
          <w:szCs w:val="32"/>
        </w:rPr>
        <w:t>；</w:t>
      </w:r>
    </w:p>
    <w:p w14:paraId="22835CBC">
      <w:pPr>
        <w:pStyle w:val="2"/>
        <w:jc w:val="center"/>
        <w:outlineLvl w:val="9"/>
        <w:rPr>
          <w:rFonts w:hint="eastAsia" w:ascii="仿宋" w:hAnsi="仿宋" w:eastAsia="仿宋"/>
          <w:kern w:val="21"/>
          <w:sz w:val="32"/>
          <w:szCs w:val="32"/>
        </w:rPr>
      </w:pPr>
      <w:r>
        <w:drawing>
          <wp:inline distT="0" distB="0" distL="114300" distR="114300">
            <wp:extent cx="3991610" cy="2714625"/>
            <wp:effectExtent l="4445" t="4445" r="23495" b="508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747A2E5">
      <w:pPr>
        <w:spacing w:line="600" w:lineRule="exact"/>
        <w:ind w:firstLine="640" w:firstLineChars="200"/>
        <w:rPr>
          <w:rFonts w:ascii="仿宋_GB2312" w:eastAsia="仿宋_GB2312"/>
          <w:kern w:val="21"/>
          <w:sz w:val="32"/>
          <w:szCs w:val="32"/>
        </w:rPr>
      </w:pPr>
      <w:r>
        <w:rPr>
          <w:rFonts w:hint="eastAsia" w:ascii="仿宋" w:hAnsi="仿宋" w:eastAsia="仿宋"/>
          <w:kern w:val="21"/>
          <w:sz w:val="32"/>
          <w:szCs w:val="32"/>
        </w:rPr>
        <w:t>（图3：支出决算结构图）（饼状图）</w:t>
      </w:r>
    </w:p>
    <w:p w14:paraId="55A2A271">
      <w:pPr>
        <w:spacing w:line="600" w:lineRule="exact"/>
        <w:ind w:firstLine="640" w:firstLineChars="200"/>
        <w:outlineLvl w:val="1"/>
        <w:rPr>
          <w:rStyle w:val="29"/>
          <w:rFonts w:ascii="黑体" w:hAnsi="黑体" w:eastAsia="黑体"/>
          <w:b w:val="0"/>
          <w:kern w:val="21"/>
        </w:rPr>
      </w:pPr>
      <w:bookmarkStart w:id="35" w:name="_Toc15377208"/>
      <w:bookmarkStart w:id="36" w:name="_Toc30092"/>
      <w:bookmarkStart w:id="37" w:name="_Toc15396606"/>
      <w:r>
        <w:rPr>
          <w:rFonts w:hint="eastAsia" w:ascii="黑体" w:hAnsi="黑体" w:eastAsia="黑体"/>
          <w:kern w:val="21"/>
          <w:sz w:val="32"/>
          <w:szCs w:val="32"/>
        </w:rPr>
        <w:t>四、财</w:t>
      </w:r>
      <w:r>
        <w:rPr>
          <w:rStyle w:val="29"/>
          <w:rFonts w:hint="eastAsia" w:ascii="黑体" w:hAnsi="黑体" w:eastAsia="黑体"/>
          <w:b w:val="0"/>
          <w:kern w:val="21"/>
        </w:rPr>
        <w:t>政拨款收入支出决算总体情况说明</w:t>
      </w:r>
      <w:bookmarkEnd w:id="35"/>
      <w:bookmarkEnd w:id="36"/>
      <w:bookmarkEnd w:id="37"/>
    </w:p>
    <w:p w14:paraId="62DD44A0">
      <w:pPr>
        <w:spacing w:line="600" w:lineRule="exact"/>
        <w:ind w:firstLine="640"/>
        <w:rPr>
          <w:rFonts w:ascii="仿宋" w:hAnsi="仿宋" w:eastAsia="仿宋"/>
          <w:b/>
          <w:kern w:val="21"/>
          <w:sz w:val="32"/>
          <w:szCs w:val="32"/>
        </w:rPr>
      </w:pPr>
      <w:r>
        <w:rPr>
          <w:rFonts w:hint="eastAsia" w:ascii="仿宋" w:hAnsi="仿宋" w:eastAsia="仿宋"/>
          <w:kern w:val="21"/>
          <w:sz w:val="32"/>
          <w:szCs w:val="32"/>
        </w:rPr>
        <w:t>2023年度财政拨款收、支总计均为</w:t>
      </w:r>
      <w:r>
        <w:rPr>
          <w:rFonts w:ascii="仿宋" w:hAnsi="仿宋" w:eastAsia="仿宋"/>
          <w:b/>
          <w:kern w:val="21"/>
          <w:sz w:val="32"/>
          <w:szCs w:val="32"/>
        </w:rPr>
        <w:t>223.07</w:t>
      </w:r>
      <w:r>
        <w:rPr>
          <w:rFonts w:hint="eastAsia" w:ascii="仿宋" w:hAnsi="仿宋" w:eastAsia="仿宋"/>
          <w:kern w:val="21"/>
          <w:sz w:val="32"/>
          <w:szCs w:val="32"/>
        </w:rPr>
        <w:t>万元。与2022年度相比，财政拨款收、支总计各增加</w:t>
      </w:r>
      <w:r>
        <w:rPr>
          <w:rFonts w:hint="eastAsia" w:ascii="仿宋" w:hAnsi="仿宋" w:eastAsia="仿宋"/>
          <w:kern w:val="21"/>
          <w:sz w:val="32"/>
          <w:szCs w:val="32"/>
          <w:lang w:val="en-US" w:eastAsia="zh-CN"/>
        </w:rPr>
        <w:t>2.94</w:t>
      </w:r>
      <w:r>
        <w:rPr>
          <w:rFonts w:hint="eastAsia" w:ascii="仿宋" w:hAnsi="仿宋" w:eastAsia="仿宋"/>
          <w:kern w:val="21"/>
          <w:sz w:val="32"/>
          <w:szCs w:val="32"/>
        </w:rPr>
        <w:t>万元，增长</w:t>
      </w:r>
      <w:r>
        <w:rPr>
          <w:rFonts w:hint="eastAsia" w:ascii="仿宋" w:hAnsi="仿宋" w:eastAsia="仿宋"/>
          <w:kern w:val="21"/>
          <w:sz w:val="32"/>
          <w:szCs w:val="32"/>
          <w:lang w:val="en-US" w:eastAsia="zh-CN"/>
        </w:rPr>
        <w:t>1.34</w:t>
      </w:r>
      <w:r>
        <w:rPr>
          <w:rFonts w:ascii="仿宋" w:hAnsi="仿宋" w:eastAsia="仿宋"/>
          <w:kern w:val="21"/>
          <w:sz w:val="32"/>
          <w:szCs w:val="32"/>
        </w:rPr>
        <w:t>%</w:t>
      </w:r>
      <w:r>
        <w:rPr>
          <w:rFonts w:hint="eastAsia" w:ascii="仿宋" w:hAnsi="仿宋" w:eastAsia="仿宋"/>
          <w:kern w:val="21"/>
          <w:sz w:val="32"/>
          <w:szCs w:val="32"/>
        </w:rPr>
        <w:t>。主要变动原因是</w:t>
      </w:r>
      <w:r>
        <w:rPr>
          <w:rFonts w:hint="eastAsia" w:ascii="仿宋" w:hAnsi="仿宋" w:eastAsia="仿宋"/>
          <w:kern w:val="21"/>
          <w:sz w:val="32"/>
          <w:szCs w:val="32"/>
          <w:lang w:eastAsia="zh-CN"/>
        </w:rPr>
        <w:t>项目标准上涨，公用经费上涨。</w:t>
      </w:r>
    </w:p>
    <w:p w14:paraId="381342BA">
      <w:pPr>
        <w:pStyle w:val="2"/>
        <w:jc w:val="center"/>
        <w:outlineLvl w:val="9"/>
        <w:rPr>
          <w:rFonts w:ascii="仿宋" w:hAnsi="仿宋" w:eastAsia="仿宋"/>
          <w:kern w:val="21"/>
          <w:sz w:val="32"/>
          <w:szCs w:val="32"/>
        </w:rPr>
      </w:pPr>
      <w:r>
        <w:drawing>
          <wp:inline distT="0" distB="0" distL="114300" distR="114300">
            <wp:extent cx="4572000" cy="2743200"/>
            <wp:effectExtent l="4445" t="4445" r="14605" b="14605"/>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177DD93">
      <w:pPr>
        <w:spacing w:line="600" w:lineRule="exact"/>
        <w:rPr>
          <w:rFonts w:ascii="仿宋" w:hAnsi="仿宋" w:eastAsia="仿宋"/>
          <w:kern w:val="21"/>
          <w:sz w:val="32"/>
          <w:szCs w:val="32"/>
        </w:rPr>
      </w:pPr>
      <w:r>
        <w:rPr>
          <w:rFonts w:hint="eastAsia" w:ascii="仿宋" w:hAnsi="仿宋" w:eastAsia="仿宋"/>
          <w:kern w:val="21"/>
          <w:sz w:val="32"/>
          <w:szCs w:val="32"/>
        </w:rPr>
        <w:t>（图4：财政拨款收、支决算总计变动情况）（柱状图）</w:t>
      </w:r>
    </w:p>
    <w:p w14:paraId="3EB842AE">
      <w:pPr>
        <w:spacing w:line="600" w:lineRule="exact"/>
        <w:ind w:firstLine="640"/>
        <w:rPr>
          <w:rFonts w:ascii="仿宋" w:hAnsi="仿宋" w:eastAsia="仿宋"/>
          <w:b/>
          <w:kern w:val="21"/>
          <w:sz w:val="32"/>
          <w:szCs w:val="32"/>
        </w:rPr>
      </w:pPr>
    </w:p>
    <w:p w14:paraId="7F563FFF">
      <w:pPr>
        <w:spacing w:line="600" w:lineRule="exact"/>
        <w:ind w:firstLine="640" w:firstLineChars="200"/>
        <w:outlineLvl w:val="1"/>
        <w:rPr>
          <w:rStyle w:val="29"/>
          <w:rFonts w:ascii="黑体" w:hAnsi="黑体" w:eastAsia="黑体"/>
          <w:b w:val="0"/>
          <w:kern w:val="21"/>
        </w:rPr>
      </w:pPr>
      <w:bookmarkStart w:id="38" w:name="_Toc15396607"/>
      <w:bookmarkStart w:id="39" w:name="_Toc15377209"/>
      <w:bookmarkStart w:id="40" w:name="_Toc26274"/>
      <w:r>
        <w:rPr>
          <w:rFonts w:hint="eastAsia" w:ascii="黑体" w:hAnsi="黑体" w:eastAsia="黑体"/>
          <w:kern w:val="21"/>
          <w:sz w:val="32"/>
          <w:szCs w:val="32"/>
        </w:rPr>
        <w:t>五、</w:t>
      </w:r>
      <w:r>
        <w:rPr>
          <w:rFonts w:hint="eastAsia" w:ascii="黑体" w:hAnsi="黑体" w:eastAsia="黑体"/>
          <w:b/>
          <w:kern w:val="21"/>
          <w:sz w:val="32"/>
          <w:szCs w:val="32"/>
        </w:rPr>
        <w:t>一</w:t>
      </w:r>
      <w:r>
        <w:rPr>
          <w:rStyle w:val="29"/>
          <w:rFonts w:hint="eastAsia" w:ascii="黑体" w:hAnsi="黑体" w:eastAsia="黑体"/>
          <w:b w:val="0"/>
          <w:kern w:val="21"/>
        </w:rPr>
        <w:t>般公共预算财政拨款支出决算情况说明</w:t>
      </w:r>
      <w:bookmarkEnd w:id="38"/>
      <w:bookmarkEnd w:id="39"/>
      <w:bookmarkEnd w:id="40"/>
    </w:p>
    <w:p w14:paraId="137D780E">
      <w:pPr>
        <w:spacing w:line="600" w:lineRule="exact"/>
        <w:ind w:firstLine="643" w:firstLineChars="200"/>
        <w:outlineLvl w:val="2"/>
        <w:rPr>
          <w:rFonts w:ascii="仿宋" w:hAnsi="仿宋" w:eastAsia="仿宋"/>
          <w:b/>
          <w:kern w:val="21"/>
          <w:sz w:val="32"/>
          <w:szCs w:val="32"/>
        </w:rPr>
      </w:pPr>
      <w:bookmarkStart w:id="41" w:name="_Toc15377210"/>
      <w:bookmarkStart w:id="42" w:name="_Toc6157"/>
      <w:r>
        <w:rPr>
          <w:rFonts w:hint="eastAsia" w:ascii="仿宋" w:hAnsi="仿宋" w:eastAsia="仿宋"/>
          <w:b/>
          <w:kern w:val="21"/>
          <w:sz w:val="32"/>
          <w:szCs w:val="32"/>
        </w:rPr>
        <w:t>（一）一般公共预算财政拨款支出决算总体情况</w:t>
      </w:r>
      <w:bookmarkEnd w:id="41"/>
      <w:bookmarkEnd w:id="42"/>
    </w:p>
    <w:p w14:paraId="1AE931FB">
      <w:pPr>
        <w:spacing w:line="600" w:lineRule="exact"/>
        <w:ind w:firstLine="640" w:firstLineChars="200"/>
        <w:rPr>
          <w:rFonts w:ascii="仿宋" w:hAnsi="仿宋" w:eastAsia="仿宋"/>
          <w:kern w:val="21"/>
          <w:sz w:val="32"/>
          <w:szCs w:val="32"/>
        </w:rPr>
      </w:pPr>
      <w:r>
        <w:rPr>
          <w:rFonts w:hint="eastAsia" w:ascii="仿宋" w:hAnsi="仿宋" w:eastAsia="仿宋"/>
          <w:kern w:val="21"/>
          <w:sz w:val="32"/>
          <w:szCs w:val="32"/>
        </w:rPr>
        <w:t>2023年度一般公共预算财政拨款支出</w:t>
      </w:r>
      <w:r>
        <w:rPr>
          <w:rFonts w:ascii="仿宋" w:hAnsi="仿宋" w:eastAsia="仿宋"/>
          <w:b/>
          <w:kern w:val="21"/>
          <w:sz w:val="32"/>
          <w:szCs w:val="32"/>
        </w:rPr>
        <w:t>223.07</w:t>
      </w:r>
      <w:r>
        <w:rPr>
          <w:rFonts w:hint="eastAsia" w:ascii="仿宋" w:hAnsi="仿宋" w:eastAsia="仿宋"/>
          <w:kern w:val="21"/>
          <w:sz w:val="32"/>
          <w:szCs w:val="32"/>
        </w:rPr>
        <w:t>万元，占本年支出合计的</w:t>
      </w:r>
      <w:r>
        <w:rPr>
          <w:rFonts w:ascii="仿宋" w:hAnsi="仿宋" w:eastAsia="仿宋"/>
          <w:b/>
          <w:kern w:val="21"/>
          <w:sz w:val="32"/>
          <w:szCs w:val="32"/>
        </w:rPr>
        <w:t>96.39</w:t>
      </w:r>
      <w:r>
        <w:rPr>
          <w:rFonts w:ascii="仿宋" w:hAnsi="仿宋" w:eastAsia="仿宋"/>
          <w:kern w:val="21"/>
          <w:sz w:val="32"/>
          <w:szCs w:val="32"/>
        </w:rPr>
        <w:t>%</w:t>
      </w:r>
      <w:r>
        <w:rPr>
          <w:rFonts w:hint="eastAsia" w:ascii="仿宋" w:hAnsi="仿宋" w:eastAsia="仿宋"/>
          <w:kern w:val="21"/>
          <w:sz w:val="32"/>
          <w:szCs w:val="32"/>
        </w:rPr>
        <w:t>。与2022年度相比，一般公共预算财政拨款支出增加</w:t>
      </w:r>
      <w:r>
        <w:rPr>
          <w:rFonts w:hint="eastAsia" w:ascii="仿宋" w:hAnsi="仿宋" w:eastAsia="仿宋"/>
          <w:kern w:val="21"/>
          <w:sz w:val="32"/>
          <w:szCs w:val="32"/>
          <w:lang w:val="en-US" w:eastAsia="zh-CN"/>
        </w:rPr>
        <w:t>2.94</w:t>
      </w:r>
      <w:r>
        <w:rPr>
          <w:rFonts w:hint="eastAsia" w:ascii="仿宋" w:hAnsi="仿宋" w:eastAsia="仿宋"/>
          <w:kern w:val="21"/>
          <w:sz w:val="32"/>
          <w:szCs w:val="32"/>
        </w:rPr>
        <w:t>万元，增长</w:t>
      </w:r>
      <w:r>
        <w:rPr>
          <w:rFonts w:hint="eastAsia" w:ascii="仿宋" w:hAnsi="仿宋" w:eastAsia="仿宋"/>
          <w:kern w:val="21"/>
          <w:sz w:val="32"/>
          <w:szCs w:val="32"/>
          <w:lang w:val="en-US" w:eastAsia="zh-CN"/>
        </w:rPr>
        <w:t>1.34</w:t>
      </w:r>
      <w:r>
        <w:rPr>
          <w:rFonts w:ascii="仿宋" w:hAnsi="仿宋" w:eastAsia="仿宋"/>
          <w:kern w:val="21"/>
          <w:sz w:val="32"/>
          <w:szCs w:val="32"/>
        </w:rPr>
        <w:t>*%</w:t>
      </w:r>
      <w:r>
        <w:rPr>
          <w:rFonts w:hint="eastAsia" w:ascii="仿宋" w:hAnsi="仿宋" w:eastAsia="仿宋"/>
          <w:kern w:val="21"/>
          <w:sz w:val="32"/>
          <w:szCs w:val="32"/>
        </w:rPr>
        <w:t>。主要变动原因是</w:t>
      </w:r>
      <w:r>
        <w:rPr>
          <w:rFonts w:hint="eastAsia" w:ascii="仿宋" w:hAnsi="仿宋" w:eastAsia="仿宋"/>
          <w:kern w:val="21"/>
          <w:sz w:val="32"/>
          <w:szCs w:val="32"/>
          <w:lang w:eastAsia="zh-CN"/>
        </w:rPr>
        <w:t>项目标准上涨，公用经费上涨。</w:t>
      </w:r>
    </w:p>
    <w:p w14:paraId="676182D8">
      <w:pPr>
        <w:pStyle w:val="2"/>
        <w:jc w:val="center"/>
        <w:outlineLvl w:val="9"/>
        <w:rPr>
          <w:rFonts w:ascii="仿宋" w:hAnsi="仿宋" w:eastAsia="仿宋"/>
          <w:kern w:val="21"/>
          <w:sz w:val="32"/>
          <w:szCs w:val="32"/>
        </w:rPr>
      </w:pPr>
      <w:r>
        <w:drawing>
          <wp:inline distT="0" distB="0" distL="114300" distR="114300">
            <wp:extent cx="4572000" cy="2743200"/>
            <wp:effectExtent l="4445" t="4445" r="14605" b="1460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89583C0">
      <w:pPr>
        <w:spacing w:line="600" w:lineRule="exact"/>
        <w:rPr>
          <w:rFonts w:ascii="仿宋" w:hAnsi="仿宋" w:eastAsia="仿宋"/>
          <w:kern w:val="21"/>
          <w:sz w:val="28"/>
          <w:szCs w:val="28"/>
        </w:rPr>
      </w:pPr>
      <w:r>
        <w:rPr>
          <w:rFonts w:hint="eastAsia" w:ascii="仿宋" w:hAnsi="仿宋" w:eastAsia="仿宋"/>
          <w:kern w:val="21"/>
          <w:sz w:val="28"/>
          <w:szCs w:val="28"/>
        </w:rPr>
        <w:t>（图5：一般公共预算财政拨款支出决算变动情况）（柱状图）</w:t>
      </w:r>
    </w:p>
    <w:p w14:paraId="138C2798">
      <w:pPr>
        <w:spacing w:line="600" w:lineRule="exact"/>
        <w:ind w:firstLine="643" w:firstLineChars="200"/>
        <w:outlineLvl w:val="2"/>
        <w:rPr>
          <w:rFonts w:ascii="仿宋" w:hAnsi="仿宋" w:eastAsia="仿宋"/>
          <w:b/>
          <w:kern w:val="21"/>
          <w:sz w:val="32"/>
          <w:szCs w:val="32"/>
        </w:rPr>
      </w:pPr>
      <w:bookmarkStart w:id="43" w:name="_Toc15377211"/>
      <w:bookmarkStart w:id="44" w:name="_Toc21746"/>
      <w:r>
        <w:rPr>
          <w:rFonts w:hint="eastAsia" w:ascii="仿宋" w:hAnsi="仿宋" w:eastAsia="仿宋"/>
          <w:b/>
          <w:kern w:val="21"/>
          <w:sz w:val="32"/>
          <w:szCs w:val="32"/>
        </w:rPr>
        <w:t>（二）一般公共预算财政拨款支出决算结构情况</w:t>
      </w:r>
      <w:bookmarkEnd w:id="43"/>
      <w:bookmarkEnd w:id="44"/>
    </w:p>
    <w:p w14:paraId="2EB7F5E6">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2023年度一般公共预算财政拨款支出223.07万元，主要用于以下方面：社会保障和就业支出26.13万元，占11.71％；卫生健康支出181.56万元，占81.39％；住房保障支出15.38万元，占6.90％。</w:t>
      </w:r>
    </w:p>
    <w:p w14:paraId="309A471B">
      <w:pPr>
        <w:jc w:val="center"/>
        <w:rPr>
          <w:rFonts w:hint="eastAsia" w:ascii="仿宋" w:hAnsi="仿宋" w:eastAsia="仿宋"/>
          <w:kern w:val="21"/>
          <w:sz w:val="32"/>
          <w:szCs w:val="32"/>
        </w:rPr>
      </w:pPr>
      <w:r>
        <w:drawing>
          <wp:inline distT="0" distB="0" distL="114300" distR="114300">
            <wp:extent cx="4572000" cy="2743200"/>
            <wp:effectExtent l="4445" t="4445" r="1460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944DC1F">
      <w:pPr>
        <w:spacing w:line="600" w:lineRule="exact"/>
        <w:ind w:firstLine="560" w:firstLineChars="200"/>
        <w:rPr>
          <w:rFonts w:ascii="仿宋" w:hAnsi="仿宋" w:eastAsia="仿宋"/>
          <w:kern w:val="21"/>
          <w:sz w:val="28"/>
          <w:szCs w:val="28"/>
        </w:rPr>
      </w:pPr>
      <w:r>
        <w:rPr>
          <w:rFonts w:hint="eastAsia" w:ascii="仿宋" w:hAnsi="仿宋" w:eastAsia="仿宋"/>
          <w:kern w:val="21"/>
          <w:sz w:val="28"/>
          <w:szCs w:val="28"/>
        </w:rPr>
        <w:t>（图6：一般公共预算财政拨款支出决算结构）（饼状图）</w:t>
      </w:r>
    </w:p>
    <w:p w14:paraId="4BF78D8F">
      <w:pPr>
        <w:spacing w:line="600" w:lineRule="exact"/>
        <w:ind w:firstLine="643" w:firstLineChars="200"/>
        <w:outlineLvl w:val="2"/>
        <w:rPr>
          <w:rFonts w:ascii="仿宋" w:hAnsi="仿宋" w:eastAsia="仿宋"/>
          <w:b/>
          <w:kern w:val="21"/>
          <w:sz w:val="32"/>
          <w:szCs w:val="32"/>
        </w:rPr>
      </w:pPr>
      <w:bookmarkStart w:id="45" w:name="_Toc15377212"/>
      <w:bookmarkStart w:id="46" w:name="_Toc19778"/>
      <w:r>
        <w:rPr>
          <w:rFonts w:hint="eastAsia" w:ascii="仿宋" w:hAnsi="仿宋" w:eastAsia="仿宋"/>
          <w:b/>
          <w:kern w:val="21"/>
          <w:sz w:val="32"/>
          <w:szCs w:val="32"/>
        </w:rPr>
        <w:t>（三）一般公共预算财政拨款支出决算具体情况</w:t>
      </w:r>
      <w:bookmarkEnd w:id="45"/>
      <w:bookmarkEnd w:id="46"/>
    </w:p>
    <w:p w14:paraId="5E229DCA">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2023年度一般公共预算支出决算数为223.07万元，完成预算100％。其中：</w:t>
      </w:r>
    </w:p>
    <w:p w14:paraId="2E1D037F">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1．社会保障和就业支出（类）行政事业单位养老支出、（款）机关事业单位基本养老保险缴费支出（项）：支出决算17.92万元，完成预算100％。</w:t>
      </w:r>
    </w:p>
    <w:p w14:paraId="348DAD1F">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2．社会保障和就业支出（类）行政事业单位养老支出（款）机关事业单位职业年金缴费支出（项）：支出决算8.21万元，完成预算100％。</w:t>
      </w:r>
    </w:p>
    <w:p w14:paraId="2DAF9239">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3．卫生健康支出（类）基层医疗卫生机构（款）乡镇卫生院（项）：支出决算143.35万元，完成预算100％。</w:t>
      </w:r>
    </w:p>
    <w:p w14:paraId="614C2DAB">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4．卫生健康支出（类）基层医疗卫生机构（款）其他基层医疗卫生机构支出（项）：支出决算2.20万元，完成预算100％。</w:t>
      </w:r>
    </w:p>
    <w:p w14:paraId="3C95F1E4">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5．卫生健康支出（类）公共卫生（款）基本公共卫生服务（项）：支出决算26.23万元，完成预算100％。</w:t>
      </w:r>
    </w:p>
    <w:p w14:paraId="32C687B4">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6．卫生健康支出（类）行政事业单位医疗（款）事业单位医疗（项）：支出决算7.62万元，完成预算100％。</w:t>
      </w:r>
    </w:p>
    <w:p w14:paraId="75A027D9">
      <w:pPr>
        <w:spacing w:line="600" w:lineRule="exact"/>
        <w:ind w:firstLine="640"/>
        <w:rPr>
          <w:rFonts w:hint="eastAsia" w:ascii="仿宋" w:hAnsi="仿宋" w:eastAsia="仿宋"/>
          <w:kern w:val="21"/>
          <w:sz w:val="32"/>
          <w:szCs w:val="32"/>
          <w:lang w:eastAsia="zh-CN"/>
        </w:rPr>
      </w:pPr>
      <w:r>
        <w:rPr>
          <w:rFonts w:hint="eastAsia" w:ascii="仿宋" w:hAnsi="仿宋" w:eastAsia="仿宋"/>
          <w:kern w:val="21"/>
          <w:sz w:val="32"/>
          <w:szCs w:val="32"/>
        </w:rPr>
        <w:t>7．卫生健康支出（类）行政事业单位医疗（款）其他行政事业单位医疗支出（项）；支出决算2.16万元，完成预算100％</w:t>
      </w:r>
      <w:r>
        <w:rPr>
          <w:rFonts w:hint="eastAsia" w:ascii="仿宋" w:hAnsi="仿宋" w:eastAsia="仿宋"/>
          <w:kern w:val="21"/>
          <w:sz w:val="32"/>
          <w:szCs w:val="32"/>
          <w:lang w:eastAsia="zh-CN"/>
        </w:rPr>
        <w:t>。</w:t>
      </w:r>
    </w:p>
    <w:p w14:paraId="73AD366B">
      <w:pPr>
        <w:spacing w:line="600" w:lineRule="exact"/>
        <w:ind w:firstLine="640"/>
        <w:rPr>
          <w:rFonts w:hint="default"/>
          <w:lang w:val="en-US" w:eastAsia="zh-CN"/>
        </w:rPr>
      </w:pPr>
      <w:r>
        <w:rPr>
          <w:rFonts w:hint="eastAsia" w:ascii="仿宋" w:hAnsi="仿宋" w:eastAsia="仿宋" w:cs="Times New Roman"/>
          <w:b w:val="0"/>
          <w:kern w:val="21"/>
          <w:sz w:val="32"/>
          <w:szCs w:val="32"/>
          <w:lang w:val="en-US" w:eastAsia="zh-CN" w:bidi="ar-SA"/>
        </w:rPr>
        <w:t>8.住房保障支出（类）住房改革支出（款）住房公积金项）：</w:t>
      </w:r>
      <w:r>
        <w:rPr>
          <w:rFonts w:hint="eastAsia" w:ascii="仿宋" w:hAnsi="仿宋" w:eastAsia="仿宋"/>
          <w:kern w:val="21"/>
          <w:sz w:val="32"/>
          <w:szCs w:val="32"/>
        </w:rPr>
        <w:t>支出决算</w:t>
      </w:r>
      <w:r>
        <w:rPr>
          <w:rFonts w:hint="eastAsia" w:ascii="仿宋" w:hAnsi="仿宋" w:eastAsia="仿宋"/>
          <w:kern w:val="21"/>
          <w:sz w:val="32"/>
          <w:szCs w:val="32"/>
          <w:lang w:val="en-US" w:eastAsia="zh-CN"/>
        </w:rPr>
        <w:t>15.38</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p>
    <w:p w14:paraId="7B842D6A">
      <w:pPr>
        <w:tabs>
          <w:tab w:val="right" w:pos="8306"/>
        </w:tabs>
        <w:spacing w:line="600" w:lineRule="exact"/>
        <w:ind w:firstLine="640"/>
        <w:outlineLvl w:val="1"/>
        <w:rPr>
          <w:rStyle w:val="29"/>
          <w:kern w:val="21"/>
        </w:rPr>
      </w:pPr>
      <w:bookmarkStart w:id="47" w:name="_Toc15377214"/>
      <w:bookmarkStart w:id="48" w:name="_Toc15396608"/>
      <w:bookmarkStart w:id="49" w:name="_Toc12296"/>
      <w:r>
        <w:rPr>
          <w:rFonts w:hint="eastAsia" w:ascii="黑体" w:eastAsia="黑体"/>
          <w:kern w:val="21"/>
          <w:sz w:val="32"/>
          <w:szCs w:val="32"/>
        </w:rPr>
        <w:t>六</w:t>
      </w:r>
      <w:r>
        <w:rPr>
          <w:rFonts w:hint="eastAsia" w:ascii="黑体" w:eastAsia="黑体"/>
          <w:b/>
          <w:kern w:val="21"/>
          <w:sz w:val="32"/>
          <w:szCs w:val="32"/>
        </w:rPr>
        <w:t>、</w:t>
      </w:r>
      <w:r>
        <w:rPr>
          <w:rFonts w:hint="eastAsia" w:ascii="黑体" w:hAnsi="黑体" w:eastAsia="黑体"/>
          <w:b/>
          <w:kern w:val="21"/>
          <w:sz w:val="32"/>
          <w:szCs w:val="32"/>
        </w:rPr>
        <w:t>一</w:t>
      </w:r>
      <w:r>
        <w:rPr>
          <w:rStyle w:val="29"/>
          <w:rFonts w:hint="eastAsia" w:ascii="黑体" w:hAnsi="黑体" w:eastAsia="黑体"/>
          <w:b w:val="0"/>
          <w:kern w:val="21"/>
        </w:rPr>
        <w:t>般公共预算财政拨款基本支出决算情况说明</w:t>
      </w:r>
      <w:bookmarkEnd w:id="47"/>
      <w:bookmarkEnd w:id="48"/>
      <w:bookmarkEnd w:id="49"/>
      <w:r>
        <w:rPr>
          <w:rStyle w:val="29"/>
          <w:rFonts w:ascii="黑体" w:hAnsi="黑体" w:eastAsia="黑体"/>
          <w:b w:val="0"/>
          <w:kern w:val="21"/>
        </w:rPr>
        <w:tab/>
      </w:r>
    </w:p>
    <w:p w14:paraId="5DB08660">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2023年度一般公共预算财政拨款基本支出194.64万元</w:t>
      </w:r>
      <w:r>
        <w:rPr>
          <w:rFonts w:hint="eastAsia" w:ascii="仿宋" w:hAnsi="仿宋" w:eastAsia="仿宋"/>
          <w:kern w:val="21"/>
          <w:sz w:val="32"/>
          <w:szCs w:val="32"/>
          <w:lang w:eastAsia="zh-CN"/>
        </w:rPr>
        <w:t>，</w:t>
      </w:r>
      <w:r>
        <w:rPr>
          <w:rFonts w:hint="eastAsia" w:ascii="仿宋" w:hAnsi="仿宋" w:eastAsia="仿宋"/>
          <w:kern w:val="21"/>
          <w:sz w:val="32"/>
          <w:szCs w:val="32"/>
        </w:rPr>
        <w:t>其中</w:t>
      </w:r>
      <w:r>
        <w:rPr>
          <w:rFonts w:hint="eastAsia" w:ascii="仿宋" w:hAnsi="仿宋" w:eastAsia="仿宋"/>
          <w:kern w:val="21"/>
          <w:sz w:val="32"/>
          <w:szCs w:val="32"/>
          <w:lang w:eastAsia="zh-CN"/>
        </w:rPr>
        <w:t>：</w:t>
      </w:r>
      <w:r>
        <w:rPr>
          <w:rFonts w:hint="eastAsia" w:ascii="仿宋" w:hAnsi="仿宋" w:eastAsia="仿宋"/>
          <w:kern w:val="21"/>
          <w:sz w:val="32"/>
          <w:szCs w:val="32"/>
        </w:rPr>
        <w:t>人员经费-192.82万元</w:t>
      </w:r>
      <w:r>
        <w:rPr>
          <w:rFonts w:hint="eastAsia" w:ascii="仿宋" w:hAnsi="仿宋" w:eastAsia="仿宋"/>
          <w:kern w:val="21"/>
          <w:sz w:val="32"/>
          <w:szCs w:val="32"/>
          <w:lang w:eastAsia="zh-CN"/>
        </w:rPr>
        <w:t>，</w:t>
      </w:r>
      <w:r>
        <w:rPr>
          <w:rFonts w:hint="eastAsia" w:ascii="仿宋" w:hAnsi="仿宋" w:eastAsia="仿宋"/>
          <w:kern w:val="21"/>
          <w:sz w:val="32"/>
          <w:szCs w:val="32"/>
        </w:rPr>
        <w:t>主要包括</w:t>
      </w:r>
      <w:r>
        <w:rPr>
          <w:rFonts w:hint="eastAsia" w:ascii="仿宋" w:hAnsi="仿宋" w:eastAsia="仿宋"/>
          <w:kern w:val="21"/>
          <w:sz w:val="32"/>
          <w:szCs w:val="32"/>
          <w:lang w:eastAsia="zh-CN"/>
        </w:rPr>
        <w:t>：</w:t>
      </w:r>
      <w:r>
        <w:rPr>
          <w:rFonts w:hint="eastAsia" w:ascii="仿宋" w:hAnsi="仿宋" w:eastAsia="仿宋"/>
          <w:kern w:val="21"/>
          <w:sz w:val="32"/>
          <w:szCs w:val="32"/>
        </w:rPr>
        <w:t>基本工资34.49万元、津贴补贴 29.03万元、奖金46.43万元、绩效工资30.51万元、机关事业单位基本养老保险缴费17.92万元、职业年金缴费8.21万元、职工基本医疗保险缴费7.62万元公务员医疗补助缴费2.16万元、其他社会保障缴费1.07万</w:t>
      </w:r>
      <w:r>
        <w:rPr>
          <w:rFonts w:hint="eastAsia" w:ascii="仿宋" w:hAnsi="仿宋" w:eastAsia="仿宋"/>
          <w:kern w:val="21"/>
          <w:sz w:val="32"/>
          <w:szCs w:val="32"/>
          <w:lang w:eastAsia="zh-CN"/>
        </w:rPr>
        <w:t>元</w:t>
      </w:r>
      <w:r>
        <w:rPr>
          <w:rFonts w:hint="eastAsia" w:ascii="仿宋" w:hAnsi="仿宋" w:eastAsia="仿宋"/>
          <w:kern w:val="21"/>
          <w:sz w:val="32"/>
          <w:szCs w:val="32"/>
        </w:rPr>
        <w:t>、住房公积金15.38万元奖励金0.01万元。</w:t>
      </w:r>
    </w:p>
    <w:p w14:paraId="5C89C9FA">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公用经费1.82万元</w:t>
      </w:r>
      <w:r>
        <w:rPr>
          <w:rFonts w:hint="eastAsia" w:ascii="仿宋" w:hAnsi="仿宋" w:eastAsia="仿宋"/>
          <w:kern w:val="21"/>
          <w:sz w:val="32"/>
          <w:szCs w:val="32"/>
          <w:lang w:eastAsia="zh-CN"/>
        </w:rPr>
        <w:t>，</w:t>
      </w:r>
      <w:r>
        <w:rPr>
          <w:rFonts w:hint="eastAsia" w:ascii="仿宋" w:hAnsi="仿宋" w:eastAsia="仿宋"/>
          <w:kern w:val="21"/>
          <w:sz w:val="32"/>
          <w:szCs w:val="32"/>
        </w:rPr>
        <w:t>主要包括</w:t>
      </w:r>
      <w:r>
        <w:rPr>
          <w:rFonts w:hint="eastAsia" w:ascii="仿宋" w:hAnsi="仿宋" w:eastAsia="仿宋"/>
          <w:kern w:val="21"/>
          <w:sz w:val="32"/>
          <w:szCs w:val="32"/>
          <w:lang w:eastAsia="zh-CN"/>
        </w:rPr>
        <w:t>：</w:t>
      </w:r>
      <w:r>
        <w:rPr>
          <w:rFonts w:hint="eastAsia" w:ascii="仿宋" w:hAnsi="仿宋" w:eastAsia="仿宋"/>
          <w:kern w:val="21"/>
          <w:sz w:val="32"/>
          <w:szCs w:val="32"/>
        </w:rPr>
        <w:t>工会经费1.82万元。</w:t>
      </w:r>
    </w:p>
    <w:p w14:paraId="74E1A593">
      <w:pPr>
        <w:tabs>
          <w:tab w:val="right" w:pos="8306"/>
        </w:tabs>
        <w:spacing w:line="600" w:lineRule="exact"/>
        <w:ind w:firstLine="640"/>
        <w:outlineLvl w:val="1"/>
        <w:rPr>
          <w:rFonts w:hint="eastAsia" w:ascii="黑体" w:eastAsia="黑体"/>
          <w:b/>
          <w:kern w:val="21"/>
          <w:sz w:val="32"/>
          <w:szCs w:val="32"/>
        </w:rPr>
      </w:pPr>
      <w:bookmarkStart w:id="50" w:name="_Toc23175"/>
      <w:r>
        <w:rPr>
          <w:rFonts w:hint="eastAsia" w:ascii="黑体" w:eastAsia="黑体"/>
          <w:b/>
          <w:kern w:val="21"/>
          <w:sz w:val="32"/>
          <w:szCs w:val="32"/>
        </w:rPr>
        <w:t>七、“三公”经费财政拨款支出决算情况说明</w:t>
      </w:r>
      <w:bookmarkEnd w:id="50"/>
    </w:p>
    <w:p w14:paraId="42808FB2">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三公经费财政拨款支出决算总体情况说明</w:t>
      </w:r>
    </w:p>
    <w:p w14:paraId="0A3B2CE9">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2023年度“三公”经费财政拨款支出决算为0.00万元</w:t>
      </w:r>
      <w:r>
        <w:rPr>
          <w:rFonts w:hint="eastAsia" w:ascii="仿宋" w:hAnsi="仿宋" w:eastAsia="仿宋"/>
          <w:kern w:val="21"/>
          <w:sz w:val="32"/>
          <w:szCs w:val="32"/>
          <w:lang w:eastAsia="zh-CN"/>
        </w:rPr>
        <w:t>，</w:t>
      </w:r>
      <w:r>
        <w:rPr>
          <w:rFonts w:hint="eastAsia" w:ascii="仿宋" w:hAnsi="仿宋" w:eastAsia="仿宋"/>
          <w:kern w:val="21"/>
          <w:sz w:val="32"/>
          <w:szCs w:val="32"/>
        </w:rPr>
        <w:t>完成预算0.00%</w:t>
      </w:r>
      <w:r>
        <w:rPr>
          <w:rFonts w:hint="eastAsia" w:ascii="仿宋" w:hAnsi="仿宋" w:eastAsia="仿宋"/>
          <w:kern w:val="21"/>
          <w:sz w:val="32"/>
          <w:szCs w:val="32"/>
          <w:lang w:eastAsia="zh-CN"/>
        </w:rPr>
        <w:t>，</w:t>
      </w:r>
      <w:r>
        <w:rPr>
          <w:rFonts w:hint="eastAsia" w:ascii="仿宋" w:hAnsi="仿宋" w:eastAsia="仿宋"/>
          <w:kern w:val="21"/>
          <w:sz w:val="32"/>
          <w:szCs w:val="32"/>
        </w:rPr>
        <w:t>较上年度增加0.00万元</w:t>
      </w:r>
      <w:r>
        <w:rPr>
          <w:rFonts w:hint="eastAsia" w:ascii="仿宋" w:hAnsi="仿宋" w:eastAsia="仿宋"/>
          <w:kern w:val="21"/>
          <w:sz w:val="32"/>
          <w:szCs w:val="32"/>
          <w:lang w:eastAsia="zh-CN"/>
        </w:rPr>
        <w:t>，</w:t>
      </w:r>
      <w:r>
        <w:rPr>
          <w:rFonts w:hint="eastAsia" w:ascii="仿宋" w:hAnsi="仿宋" w:eastAsia="仿宋"/>
          <w:kern w:val="21"/>
          <w:sz w:val="32"/>
          <w:szCs w:val="32"/>
        </w:rPr>
        <w:t>增加0.00%。决算数小于预算数</w:t>
      </w:r>
      <w:r>
        <w:rPr>
          <w:rFonts w:hint="eastAsia" w:ascii="仿宋" w:hAnsi="仿宋" w:eastAsia="仿宋"/>
          <w:kern w:val="21"/>
          <w:sz w:val="32"/>
          <w:szCs w:val="32"/>
          <w:lang w:eastAsia="zh-CN"/>
        </w:rPr>
        <w:t>（</w:t>
      </w:r>
      <w:r>
        <w:rPr>
          <w:rFonts w:hint="eastAsia" w:ascii="仿宋" w:hAnsi="仿宋" w:eastAsia="仿宋"/>
          <w:kern w:val="21"/>
          <w:sz w:val="32"/>
          <w:szCs w:val="32"/>
        </w:rPr>
        <w:t>或与预算数持平</w:t>
      </w:r>
      <w:r>
        <w:rPr>
          <w:rFonts w:hint="eastAsia" w:ascii="仿宋" w:hAnsi="仿宋" w:eastAsia="仿宋"/>
          <w:kern w:val="21"/>
          <w:sz w:val="32"/>
          <w:szCs w:val="32"/>
          <w:lang w:eastAsia="zh-CN"/>
        </w:rPr>
        <w:t>）</w:t>
      </w:r>
      <w:r>
        <w:rPr>
          <w:rFonts w:hint="eastAsia" w:ascii="仿宋" w:hAnsi="仿宋" w:eastAsia="仿宋"/>
          <w:kern w:val="21"/>
          <w:sz w:val="32"/>
          <w:szCs w:val="32"/>
        </w:rPr>
        <w:t>的主要原因是</w:t>
      </w:r>
      <w:r>
        <w:rPr>
          <w:rFonts w:hint="eastAsia" w:ascii="仿宋" w:hAnsi="仿宋" w:eastAsia="仿宋"/>
          <w:kern w:val="21"/>
          <w:sz w:val="32"/>
          <w:szCs w:val="32"/>
          <w:lang w:eastAsia="zh-CN"/>
        </w:rPr>
        <w:t>无该项经费</w:t>
      </w:r>
      <w:r>
        <w:rPr>
          <w:rFonts w:hint="eastAsia" w:ascii="仿宋" w:hAnsi="仿宋" w:eastAsia="仿宋"/>
          <w:kern w:val="21"/>
          <w:sz w:val="32"/>
          <w:szCs w:val="32"/>
        </w:rPr>
        <w:t>。</w:t>
      </w:r>
    </w:p>
    <w:p w14:paraId="168CF668">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lang w:eastAsia="zh-CN"/>
        </w:rPr>
        <w:t>（</w:t>
      </w:r>
      <w:r>
        <w:rPr>
          <w:rFonts w:hint="eastAsia" w:ascii="仿宋" w:hAnsi="仿宋" w:eastAsia="仿宋"/>
          <w:kern w:val="21"/>
          <w:sz w:val="32"/>
          <w:szCs w:val="32"/>
        </w:rPr>
        <w:t>注</w:t>
      </w:r>
      <w:r>
        <w:rPr>
          <w:rFonts w:hint="eastAsia" w:ascii="仿宋" w:hAnsi="仿宋" w:eastAsia="仿宋"/>
          <w:kern w:val="21"/>
          <w:sz w:val="32"/>
          <w:szCs w:val="32"/>
          <w:lang w:eastAsia="zh-CN"/>
        </w:rPr>
        <w:t>：</w:t>
      </w:r>
      <w:r>
        <w:rPr>
          <w:rFonts w:hint="eastAsia" w:ascii="仿宋" w:hAnsi="仿宋" w:eastAsia="仿宋"/>
          <w:kern w:val="21"/>
          <w:sz w:val="32"/>
          <w:szCs w:val="32"/>
        </w:rPr>
        <w:t>上述“预算”口径为全年预算数</w:t>
      </w:r>
      <w:r>
        <w:rPr>
          <w:rFonts w:hint="eastAsia" w:ascii="仿宋" w:hAnsi="仿宋" w:eastAsia="仿宋"/>
          <w:kern w:val="21"/>
          <w:sz w:val="32"/>
          <w:szCs w:val="32"/>
          <w:lang w:eastAsia="zh-CN"/>
        </w:rPr>
        <w:t>，－</w:t>
      </w:r>
      <w:r>
        <w:rPr>
          <w:rFonts w:hint="eastAsia" w:ascii="仿宋" w:hAnsi="仿宋" w:eastAsia="仿宋"/>
          <w:kern w:val="21"/>
          <w:sz w:val="32"/>
          <w:szCs w:val="32"/>
        </w:rPr>
        <w:t>包括一般公共预算和政府性基金预算财政拨款支出决算情况。</w:t>
      </w:r>
      <w:r>
        <w:rPr>
          <w:rFonts w:hint="eastAsia" w:ascii="仿宋" w:hAnsi="仿宋" w:eastAsia="仿宋"/>
          <w:kern w:val="21"/>
          <w:sz w:val="32"/>
          <w:szCs w:val="32"/>
          <w:lang w:eastAsia="zh-CN"/>
        </w:rPr>
        <w:t>）</w:t>
      </w:r>
    </w:p>
    <w:p w14:paraId="5A319298">
      <w:pPr>
        <w:spacing w:line="600" w:lineRule="exact"/>
        <w:ind w:firstLine="640"/>
        <w:outlineLvl w:val="2"/>
        <w:rPr>
          <w:rFonts w:hint="eastAsia" w:ascii="仿宋" w:hAnsi="仿宋" w:eastAsia="仿宋"/>
          <w:kern w:val="21"/>
          <w:sz w:val="32"/>
          <w:szCs w:val="32"/>
        </w:rPr>
      </w:pPr>
      <w:bookmarkStart w:id="51" w:name="_Toc195"/>
      <w:bookmarkStart w:id="52" w:name="_Toc2644"/>
      <w:r>
        <w:rPr>
          <w:rFonts w:hint="eastAsia" w:ascii="仿宋" w:hAnsi="仿宋" w:eastAsia="仿宋"/>
          <w:kern w:val="21"/>
          <w:sz w:val="32"/>
          <w:szCs w:val="32"/>
          <w:lang w:eastAsia="zh-CN"/>
        </w:rPr>
        <w:t>（</w:t>
      </w:r>
      <w:r>
        <w:rPr>
          <w:rFonts w:hint="eastAsia" w:ascii="仿宋" w:hAnsi="仿宋" w:eastAsia="仿宋"/>
          <w:kern w:val="21"/>
          <w:sz w:val="32"/>
          <w:szCs w:val="32"/>
        </w:rPr>
        <w:t>二</w:t>
      </w:r>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“三公”经费财政拨款支出决算具体情况说明</w:t>
      </w:r>
      <w:bookmarkEnd w:id="51"/>
      <w:bookmarkEnd w:id="52"/>
    </w:p>
    <w:p w14:paraId="30B44CF9">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2023年度“三公”经费财政拨款支出0.00万元，因公出国（境）费支出决算0.00万元，占0.00％；公务用车购置及运行维护费支出决算0.00万元，占0.00％；公务接待费支出决算0.00万元，占0.00％。具体情况如下：</w:t>
      </w:r>
    </w:p>
    <w:p w14:paraId="38B299D6">
      <w:pPr>
        <w:pStyle w:val="2"/>
        <w:jc w:val="center"/>
        <w:outlineLvl w:val="9"/>
        <w:rPr>
          <w:kern w:val="21"/>
        </w:rPr>
      </w:pPr>
      <w:r>
        <w:drawing>
          <wp:inline distT="0" distB="0" distL="114300" distR="114300">
            <wp:extent cx="4572000" cy="2743200"/>
            <wp:effectExtent l="4445" t="4445" r="14605" b="14605"/>
            <wp:docPr id="1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4C9BDA">
      <w:pPr>
        <w:pStyle w:val="2"/>
        <w:jc w:val="center"/>
        <w:outlineLvl w:val="1"/>
        <w:rPr>
          <w:rFonts w:hint="eastAsia" w:ascii="仿宋" w:hAnsi="仿宋" w:eastAsia="仿宋"/>
          <w:kern w:val="21"/>
          <w:sz w:val="32"/>
          <w:szCs w:val="32"/>
        </w:rPr>
      </w:pPr>
      <w:bookmarkStart w:id="53" w:name="_Toc592"/>
      <w:bookmarkStart w:id="54" w:name="_Toc19790"/>
      <w:r>
        <w:rPr>
          <w:rFonts w:hint="eastAsia" w:ascii="仿宋" w:hAnsi="仿宋" w:eastAsia="仿宋"/>
          <w:kern w:val="21"/>
          <w:sz w:val="32"/>
          <w:szCs w:val="32"/>
        </w:rPr>
        <w:t>（图7：“三公”经费财政拨款支出结构）</w:t>
      </w:r>
      <w:bookmarkEnd w:id="53"/>
      <w:bookmarkEnd w:id="54"/>
    </w:p>
    <w:p w14:paraId="4015D075">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1．因公出国（境）经费支出0.00万元，完成预算100％。全年安排因公出国（境）团组0次，出国（境）0人。因公出国（境）支出决算比2022年增加0.00万元，增加0.00%。</w:t>
      </w:r>
    </w:p>
    <w:p w14:paraId="2553172C">
      <w:pPr>
        <w:spacing w:line="600" w:lineRule="exact"/>
        <w:ind w:firstLine="640"/>
        <w:rPr>
          <w:rFonts w:hint="eastAsia" w:ascii="仿宋" w:hAnsi="仿宋" w:eastAsia="仿宋"/>
          <w:kern w:val="21"/>
          <w:sz w:val="32"/>
          <w:szCs w:val="32"/>
          <w:lang w:eastAsia="zh-CN"/>
        </w:rPr>
      </w:pPr>
      <w:r>
        <w:rPr>
          <w:rFonts w:hint="eastAsia" w:ascii="仿宋" w:hAnsi="仿宋" w:eastAsia="仿宋"/>
          <w:kern w:val="21"/>
          <w:sz w:val="32"/>
          <w:szCs w:val="32"/>
        </w:rPr>
        <w:t>2．公务用车购置及运行维护费支出0.00万元，完成预算0.00％。公务用车购置及运行维护费支出决算比2022年度增</w:t>
      </w:r>
      <w:r>
        <w:rPr>
          <w:rFonts w:hint="eastAsia" w:ascii="仿宋" w:hAnsi="仿宋" w:eastAsia="仿宋"/>
          <w:kern w:val="21"/>
          <w:sz w:val="32"/>
          <w:szCs w:val="32"/>
          <w:lang w:eastAsia="zh-CN"/>
        </w:rPr>
        <w:t>加</w:t>
      </w:r>
      <w:r>
        <w:rPr>
          <w:rFonts w:hint="eastAsia" w:ascii="仿宋" w:hAnsi="仿宋" w:eastAsia="仿宋"/>
          <w:kern w:val="21"/>
          <w:sz w:val="32"/>
          <w:szCs w:val="32"/>
          <w:lang w:val="en-US" w:eastAsia="zh-CN"/>
        </w:rPr>
        <w:t>0.00万元，</w:t>
      </w:r>
      <w:r>
        <w:rPr>
          <w:rFonts w:hint="eastAsia" w:ascii="仿宋" w:hAnsi="仿宋" w:eastAsia="仿宋"/>
          <w:kern w:val="21"/>
          <w:sz w:val="32"/>
          <w:szCs w:val="32"/>
        </w:rPr>
        <w:t>增加0.00%</w:t>
      </w:r>
      <w:r>
        <w:rPr>
          <w:rFonts w:hint="eastAsia" w:ascii="仿宋" w:hAnsi="仿宋" w:eastAsia="仿宋"/>
          <w:kern w:val="21"/>
          <w:sz w:val="32"/>
          <w:szCs w:val="32"/>
          <w:lang w:eastAsia="zh-CN"/>
        </w:rPr>
        <w:t>。</w:t>
      </w:r>
    </w:p>
    <w:p w14:paraId="3FF50AFF">
      <w:pPr>
        <w:spacing w:line="600" w:lineRule="exact"/>
        <w:ind w:firstLine="640"/>
        <w:rPr>
          <w:rFonts w:hint="eastAsia" w:ascii="仿宋" w:hAnsi="仿宋" w:eastAsia="仿宋"/>
          <w:kern w:val="21"/>
          <w:sz w:val="32"/>
          <w:szCs w:val="32"/>
          <w:lang w:val="en-US" w:eastAsia="zh-CN"/>
        </w:rPr>
      </w:pPr>
      <w:r>
        <w:rPr>
          <w:rFonts w:hint="eastAsia"/>
          <w:kern w:val="21"/>
          <w:lang w:val="en-US" w:eastAsia="zh-CN"/>
        </w:rPr>
        <w:t xml:space="preserve"> </w:t>
      </w:r>
      <w:bookmarkStart w:id="55" w:name="_Toc15396610"/>
      <w:bookmarkStart w:id="56" w:name="_Toc15377218"/>
      <w:r>
        <w:rPr>
          <w:rFonts w:hint="eastAsia" w:ascii="仿宋" w:hAnsi="仿宋" w:eastAsia="仿宋"/>
          <w:kern w:val="21"/>
          <w:sz w:val="32"/>
          <w:szCs w:val="32"/>
          <w:lang w:val="en-US" w:eastAsia="zh-CN"/>
        </w:rPr>
        <w:t>其中：公务用车购置支出0.00万元。全年按规定更新购置公务用车0辆，其中：轿车0辆、金额0.00万元，越野车0辆、金额0.00万元，载客汽车0辆、金额0.00万元截至2023年12月31日，单位共有公务用车0辆，其中：轿车0辆、越野车0辆、载客汽车0辆。</w:t>
      </w:r>
    </w:p>
    <w:p w14:paraId="79222268">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公务用车运行维护费支出0.00万元。</w:t>
      </w:r>
    </w:p>
    <w:p w14:paraId="24F56DA2">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3．公务接待费支出0.00万元，完成预算0.00％。公务接待费支出决算比2022年度增加0.00万元，增加0.00％。其中：</w:t>
      </w:r>
    </w:p>
    <w:p w14:paraId="18F163D3">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国内公务接待支出0.00万元，主要用于······（执行公务、开展业务活动开支的交通费、住宿费、用餐费等）。国内公务接待0批次，0人次（不包括陪同人员），共计支出0.00万元。</w:t>
      </w:r>
    </w:p>
    <w:p w14:paraId="259E360E">
      <w:pPr>
        <w:spacing w:line="600" w:lineRule="exact"/>
        <w:ind w:firstLine="640"/>
        <w:rPr>
          <w:rFonts w:ascii="黑体" w:eastAsia="黑体"/>
          <w:kern w:val="21"/>
          <w:sz w:val="32"/>
          <w:szCs w:val="32"/>
        </w:rPr>
      </w:pPr>
      <w:r>
        <w:rPr>
          <w:rFonts w:hint="eastAsia" w:ascii="仿宋" w:hAnsi="仿宋" w:eastAsia="仿宋"/>
          <w:kern w:val="21"/>
          <w:sz w:val="32"/>
          <w:szCs w:val="32"/>
          <w:lang w:val="en-US" w:eastAsia="zh-CN"/>
        </w:rPr>
        <w:t>外事接待支出0.00万元。外事接待0批次，0人次（不包括陪同人员），共计支出0.00万元。</w:t>
      </w:r>
    </w:p>
    <w:p w14:paraId="281EF16E">
      <w:pPr>
        <w:spacing w:line="600" w:lineRule="exact"/>
        <w:ind w:firstLine="640"/>
        <w:outlineLvl w:val="1"/>
        <w:rPr>
          <w:rStyle w:val="29"/>
          <w:rFonts w:ascii="黑体" w:hAnsi="黑体" w:eastAsia="黑体"/>
          <w:kern w:val="21"/>
        </w:rPr>
      </w:pPr>
      <w:bookmarkStart w:id="57" w:name="_Toc12442"/>
      <w:r>
        <w:rPr>
          <w:rFonts w:hint="eastAsia" w:ascii="黑体" w:eastAsia="黑体"/>
          <w:kern w:val="21"/>
          <w:sz w:val="32"/>
          <w:szCs w:val="32"/>
        </w:rPr>
        <w:t>八、</w:t>
      </w:r>
      <w:r>
        <w:rPr>
          <w:rStyle w:val="29"/>
          <w:rFonts w:hint="eastAsia" w:ascii="黑体" w:hAnsi="黑体" w:eastAsia="黑体"/>
          <w:b w:val="0"/>
          <w:kern w:val="21"/>
        </w:rPr>
        <w:t>政府性基金预算支出决算情况说明</w:t>
      </w:r>
      <w:bookmarkEnd w:id="55"/>
      <w:bookmarkEnd w:id="56"/>
      <w:bookmarkEnd w:id="57"/>
    </w:p>
    <w:p w14:paraId="1D5D3B02">
      <w:pPr>
        <w:spacing w:line="600" w:lineRule="exact"/>
        <w:ind w:firstLine="640"/>
        <w:rPr>
          <w:rFonts w:ascii="仿宋_GB2312" w:eastAsia="仿宋_GB2312"/>
          <w:kern w:val="21"/>
          <w:sz w:val="32"/>
          <w:szCs w:val="32"/>
        </w:rPr>
      </w:pPr>
      <w:r>
        <w:rPr>
          <w:rFonts w:hint="eastAsia" w:ascii="仿宋_GB2312" w:eastAsia="仿宋_GB2312"/>
          <w:kern w:val="21"/>
          <w:sz w:val="32"/>
          <w:szCs w:val="32"/>
        </w:rPr>
        <w:t>2023年度政府性基金预算财政拨款支出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26E56341">
      <w:pPr>
        <w:numPr>
          <w:ilvl w:val="0"/>
          <w:numId w:val="3"/>
        </w:numPr>
        <w:spacing w:line="600" w:lineRule="exact"/>
        <w:ind w:firstLine="640"/>
        <w:outlineLvl w:val="1"/>
        <w:rPr>
          <w:rStyle w:val="29"/>
          <w:rFonts w:ascii="黑体" w:hAnsi="黑体" w:eastAsia="黑体"/>
          <w:b w:val="0"/>
          <w:kern w:val="21"/>
        </w:rPr>
      </w:pPr>
      <w:bookmarkStart w:id="58" w:name="_Toc15377219"/>
      <w:bookmarkStart w:id="59" w:name="_Toc7646"/>
      <w:bookmarkStart w:id="60" w:name="_Toc15396611"/>
      <w:r>
        <w:rPr>
          <w:rStyle w:val="29"/>
          <w:rFonts w:hint="eastAsia" w:ascii="黑体" w:hAnsi="黑体" w:eastAsia="黑体"/>
          <w:b w:val="0"/>
          <w:kern w:val="21"/>
        </w:rPr>
        <w:t>国有资本经营预算支出决算情况说明</w:t>
      </w:r>
      <w:bookmarkEnd w:id="58"/>
      <w:bookmarkEnd w:id="59"/>
      <w:bookmarkEnd w:id="60"/>
    </w:p>
    <w:p w14:paraId="03FEBEA9">
      <w:pPr>
        <w:spacing w:line="600" w:lineRule="exact"/>
        <w:ind w:firstLine="640"/>
        <w:rPr>
          <w:rFonts w:ascii="方正小标宋简体" w:hAnsi="方正小标宋简体" w:eastAsia="方正小标宋简体" w:cs="方正小标宋简体"/>
          <w:kern w:val="21"/>
          <w:sz w:val="44"/>
          <w:szCs w:val="44"/>
        </w:rPr>
      </w:pPr>
      <w:r>
        <w:rPr>
          <w:rFonts w:hint="eastAsia" w:ascii="仿宋_GB2312" w:eastAsia="仿宋_GB2312"/>
          <w:kern w:val="21"/>
          <w:sz w:val="32"/>
          <w:szCs w:val="32"/>
        </w:rPr>
        <w:t>2023年度国有资本经营预算财政拨款支出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4BA9CDD0">
      <w:pPr>
        <w:numPr>
          <w:ilvl w:val="0"/>
          <w:numId w:val="3"/>
        </w:numPr>
        <w:spacing w:line="600" w:lineRule="exact"/>
        <w:ind w:firstLine="640"/>
        <w:outlineLvl w:val="1"/>
        <w:rPr>
          <w:rStyle w:val="29"/>
          <w:rFonts w:ascii="黑体" w:hAnsi="黑体" w:eastAsia="黑体"/>
          <w:b w:val="0"/>
          <w:kern w:val="21"/>
        </w:rPr>
      </w:pPr>
      <w:bookmarkStart w:id="61" w:name="_Toc31452"/>
      <w:bookmarkStart w:id="62" w:name="_Toc15377221"/>
      <w:bookmarkStart w:id="63" w:name="_Toc15396612"/>
      <w:r>
        <w:rPr>
          <w:rStyle w:val="29"/>
          <w:rFonts w:hint="eastAsia" w:ascii="黑体" w:hAnsi="黑体" w:eastAsia="黑体"/>
          <w:b w:val="0"/>
          <w:kern w:val="21"/>
        </w:rPr>
        <w:t>其他重要事项的情况说明</w:t>
      </w:r>
      <w:bookmarkEnd w:id="61"/>
      <w:bookmarkEnd w:id="62"/>
      <w:bookmarkEnd w:id="63"/>
    </w:p>
    <w:p w14:paraId="334753D1">
      <w:pPr>
        <w:spacing w:line="600" w:lineRule="exact"/>
        <w:ind w:firstLine="643" w:firstLineChars="200"/>
        <w:outlineLvl w:val="2"/>
        <w:rPr>
          <w:rFonts w:ascii="仿宋" w:hAnsi="仿宋" w:eastAsia="仿宋"/>
          <w:kern w:val="21"/>
          <w:sz w:val="32"/>
          <w:szCs w:val="32"/>
        </w:rPr>
      </w:pPr>
      <w:bookmarkStart w:id="64" w:name="_Toc3569"/>
      <w:bookmarkStart w:id="65" w:name="_Toc15377222"/>
      <w:r>
        <w:rPr>
          <w:rFonts w:hint="eastAsia" w:ascii="仿宋" w:hAnsi="仿宋" w:eastAsia="仿宋"/>
          <w:b/>
          <w:kern w:val="21"/>
          <w:sz w:val="32"/>
          <w:szCs w:val="32"/>
        </w:rPr>
        <w:t>（一）机关运行经费支出情况</w:t>
      </w:r>
      <w:bookmarkEnd w:id="64"/>
      <w:bookmarkEnd w:id="65"/>
    </w:p>
    <w:p w14:paraId="515A6418">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阿坝州松潘县岷江乡卫生院</w:t>
      </w:r>
      <w:r>
        <w:rPr>
          <w:rFonts w:hint="eastAsia" w:ascii="仿宋_GB2312" w:eastAsia="仿宋_GB2312"/>
          <w:kern w:val="21"/>
          <w:sz w:val="32"/>
          <w:szCs w:val="32"/>
        </w:rPr>
        <w:t>机关运行经费支出</w:t>
      </w:r>
      <w:r>
        <w:rPr>
          <w:rFonts w:ascii="仿宋" w:hAnsi="仿宋" w:eastAsia="仿宋"/>
          <w:b/>
          <w:kern w:val="21"/>
          <w:sz w:val="32"/>
          <w:szCs w:val="32"/>
        </w:rPr>
        <w:t>0</w:t>
      </w:r>
      <w:r>
        <w:rPr>
          <w:rFonts w:hint="eastAsia" w:ascii="仿宋_GB2312" w:eastAsia="仿宋_GB2312"/>
          <w:kern w:val="21"/>
          <w:sz w:val="32"/>
          <w:szCs w:val="32"/>
        </w:rPr>
        <w:t>万元，比2022年度增加</w:t>
      </w:r>
      <w:r>
        <w:rPr>
          <w:rFonts w:ascii="仿宋_GB2312" w:eastAsia="仿宋_GB2312"/>
          <w:kern w:val="21"/>
          <w:sz w:val="32"/>
          <w:szCs w:val="32"/>
        </w:rPr>
        <w:t>/</w:t>
      </w:r>
      <w:r>
        <w:rPr>
          <w:rFonts w:hint="eastAsia" w:ascii="仿宋_GB2312" w:eastAsia="仿宋_GB2312"/>
          <w:kern w:val="21"/>
          <w:sz w:val="32"/>
          <w:szCs w:val="32"/>
        </w:rPr>
        <w:t>减少</w:t>
      </w:r>
      <w:r>
        <w:rPr>
          <w:rFonts w:hint="eastAsia" w:ascii="仿宋_GB2312" w:eastAsia="仿宋_GB2312"/>
          <w:kern w:val="21"/>
          <w:sz w:val="32"/>
          <w:szCs w:val="32"/>
          <w:lang w:val="en-US" w:eastAsia="zh-CN"/>
        </w:rPr>
        <w:t>0</w:t>
      </w:r>
      <w:r>
        <w:rPr>
          <w:rFonts w:hint="eastAsia" w:ascii="仿宋_GB2312" w:eastAsia="仿宋_GB2312"/>
          <w:kern w:val="21"/>
          <w:sz w:val="32"/>
          <w:szCs w:val="32"/>
        </w:rPr>
        <w:t>万元，增长</w:t>
      </w:r>
      <w:r>
        <w:rPr>
          <w:rFonts w:ascii="仿宋_GB2312" w:eastAsia="仿宋_GB2312"/>
          <w:kern w:val="21"/>
          <w:sz w:val="32"/>
          <w:szCs w:val="32"/>
        </w:rPr>
        <w:t>/</w:t>
      </w:r>
      <w:r>
        <w:rPr>
          <w:rFonts w:hint="eastAsia" w:ascii="仿宋_GB2312" w:eastAsia="仿宋_GB2312"/>
          <w:kern w:val="21"/>
          <w:sz w:val="32"/>
          <w:szCs w:val="32"/>
        </w:rPr>
        <w:t>下降</w:t>
      </w:r>
      <w:r>
        <w:rPr>
          <w:rFonts w:hint="eastAsia" w:ascii="仿宋_GB2312" w:eastAsia="仿宋_GB2312"/>
          <w:kern w:val="21"/>
          <w:sz w:val="32"/>
          <w:szCs w:val="32"/>
          <w:lang w:val="en-US" w:eastAsia="zh-CN"/>
        </w:rPr>
        <w:t>0</w:t>
      </w:r>
      <w:r>
        <w:rPr>
          <w:rFonts w:ascii="仿宋_GB2312" w:eastAsia="仿宋_GB2312"/>
          <w:kern w:val="21"/>
          <w:sz w:val="32"/>
          <w:szCs w:val="32"/>
        </w:rPr>
        <w:t>%</w:t>
      </w:r>
      <w:r>
        <w:rPr>
          <w:rFonts w:hint="eastAsia" w:ascii="仿宋_GB2312" w:eastAsia="仿宋_GB2312"/>
          <w:kern w:val="21"/>
          <w:sz w:val="32"/>
          <w:szCs w:val="32"/>
        </w:rPr>
        <w:t>（或与2022年度决算数持平）。主要原因是</w:t>
      </w:r>
      <w:r>
        <w:rPr>
          <w:rFonts w:hint="eastAsia" w:ascii="仿宋_GB2312" w:eastAsia="仿宋_GB2312"/>
          <w:kern w:val="21"/>
          <w:sz w:val="32"/>
          <w:szCs w:val="32"/>
          <w:lang w:eastAsia="zh-CN"/>
        </w:rPr>
        <w:t>无该项经费</w:t>
      </w:r>
      <w:r>
        <w:rPr>
          <w:rFonts w:hint="eastAsia" w:ascii="仿宋_GB2312" w:eastAsia="仿宋_GB2312"/>
          <w:kern w:val="21"/>
          <w:sz w:val="32"/>
          <w:szCs w:val="32"/>
        </w:rPr>
        <w:t>。</w:t>
      </w:r>
    </w:p>
    <w:p w14:paraId="44D177DF">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66" w:name="_Toc19767"/>
      <w:bookmarkStart w:id="67" w:name="_Toc15377223"/>
      <w:r>
        <w:rPr>
          <w:rFonts w:hint="eastAsia" w:ascii="仿宋" w:hAnsi="仿宋" w:eastAsia="仿宋"/>
          <w:b/>
          <w:kern w:val="21"/>
          <w:sz w:val="32"/>
          <w:szCs w:val="32"/>
        </w:rPr>
        <w:t>（二）政府采购支出情况</w:t>
      </w:r>
      <w:bookmarkEnd w:id="66"/>
      <w:bookmarkEnd w:id="67"/>
    </w:p>
    <w:p w14:paraId="28C56E0F">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阿坝州松潘县岷江乡卫生院</w:t>
      </w:r>
      <w:r>
        <w:rPr>
          <w:rFonts w:hint="eastAsia" w:ascii="仿宋_GB2312" w:eastAsia="仿宋_GB2312"/>
          <w:kern w:val="21"/>
          <w:sz w:val="32"/>
          <w:szCs w:val="32"/>
        </w:rPr>
        <w:t>政府采购支出总额</w:t>
      </w:r>
      <w:r>
        <w:rPr>
          <w:rFonts w:ascii="仿宋" w:hAnsi="仿宋" w:eastAsia="仿宋"/>
          <w:b/>
          <w:kern w:val="21"/>
          <w:sz w:val="32"/>
          <w:szCs w:val="32"/>
        </w:rPr>
        <w:t>0</w:t>
      </w:r>
      <w:r>
        <w:rPr>
          <w:rFonts w:hint="eastAsia" w:ascii="仿宋_GB2312" w:eastAsia="仿宋_GB2312"/>
          <w:kern w:val="21"/>
          <w:sz w:val="32"/>
          <w:szCs w:val="32"/>
        </w:rPr>
        <w:t>万元，其中：政府采购货物支出</w:t>
      </w:r>
      <w:r>
        <w:rPr>
          <w:rFonts w:ascii="仿宋" w:hAnsi="仿宋" w:eastAsia="仿宋"/>
          <w:b/>
          <w:kern w:val="21"/>
          <w:sz w:val="32"/>
          <w:szCs w:val="32"/>
        </w:rPr>
        <w:t>0</w:t>
      </w:r>
      <w:r>
        <w:rPr>
          <w:rFonts w:hint="eastAsia" w:ascii="仿宋_GB2312" w:eastAsia="仿宋_GB2312"/>
          <w:kern w:val="21"/>
          <w:sz w:val="32"/>
          <w:szCs w:val="32"/>
        </w:rPr>
        <w:t>万元、政府采购工程支出</w:t>
      </w:r>
      <w:r>
        <w:rPr>
          <w:rFonts w:ascii="仿宋" w:hAnsi="仿宋" w:eastAsia="仿宋"/>
          <w:b/>
          <w:kern w:val="21"/>
          <w:sz w:val="32"/>
          <w:szCs w:val="32"/>
        </w:rPr>
        <w:t>0</w:t>
      </w:r>
      <w:r>
        <w:rPr>
          <w:rFonts w:hint="eastAsia" w:ascii="仿宋_GB2312" w:eastAsia="仿宋_GB2312"/>
          <w:kern w:val="21"/>
          <w:sz w:val="32"/>
          <w:szCs w:val="32"/>
        </w:rPr>
        <w:t>万元、政府采购服务支出</w:t>
      </w:r>
      <w:r>
        <w:rPr>
          <w:rFonts w:ascii="仿宋" w:hAnsi="仿宋" w:eastAsia="仿宋"/>
          <w:b/>
          <w:kern w:val="21"/>
          <w:sz w:val="32"/>
          <w:szCs w:val="32"/>
        </w:rPr>
        <w:t>0</w:t>
      </w:r>
      <w:r>
        <w:rPr>
          <w:rFonts w:hint="eastAsia" w:ascii="仿宋_GB2312" w:eastAsia="仿宋_GB2312"/>
          <w:kern w:val="21"/>
          <w:sz w:val="32"/>
          <w:szCs w:val="32"/>
        </w:rPr>
        <w:t>万元。主要用于</w:t>
      </w:r>
      <w:r>
        <w:rPr>
          <w:rFonts w:ascii="仿宋_GB2312" w:eastAsia="仿宋_GB2312"/>
          <w:kern w:val="21"/>
          <w:sz w:val="32"/>
          <w:szCs w:val="32"/>
        </w:rPr>
        <w:t>…</w:t>
      </w:r>
      <w:r>
        <w:rPr>
          <w:rFonts w:hint="eastAsia" w:ascii="仿宋_GB2312" w:eastAsia="仿宋_GB2312"/>
          <w:kern w:val="21"/>
          <w:sz w:val="32"/>
          <w:szCs w:val="32"/>
        </w:rPr>
        <w:t>（具体工作）。授予中小企业合同金额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kern w:val="21"/>
          <w:sz w:val="32"/>
          <w:szCs w:val="32"/>
        </w:rPr>
        <w:t>0%</w:t>
      </w:r>
      <w:r>
        <w:rPr>
          <w:rFonts w:hint="eastAsia" w:ascii="仿宋_GB2312" w:eastAsia="仿宋_GB2312"/>
          <w:kern w:val="21"/>
          <w:sz w:val="32"/>
          <w:szCs w:val="32"/>
        </w:rPr>
        <w:t>，其中：授予小微企业合同金额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b/>
          <w:kern w:val="21"/>
          <w:sz w:val="32"/>
          <w:szCs w:val="32"/>
        </w:rPr>
        <w:t>0</w:t>
      </w:r>
      <w:r>
        <w:rPr>
          <w:rFonts w:ascii="仿宋_GB2312" w:eastAsia="仿宋_GB2312"/>
          <w:kern w:val="21"/>
          <w:sz w:val="32"/>
          <w:szCs w:val="32"/>
        </w:rPr>
        <w:t>%</w:t>
      </w:r>
      <w:r>
        <w:rPr>
          <w:rFonts w:hint="eastAsia" w:ascii="仿宋_GB2312" w:eastAsia="仿宋_GB2312"/>
          <w:kern w:val="21"/>
          <w:sz w:val="32"/>
          <w:szCs w:val="32"/>
        </w:rPr>
        <w:t>。</w:t>
      </w:r>
    </w:p>
    <w:p w14:paraId="05F590FE">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68" w:name="_Toc452"/>
      <w:bookmarkStart w:id="69" w:name="_Toc15377224"/>
      <w:r>
        <w:rPr>
          <w:rFonts w:hint="eastAsia" w:ascii="仿宋" w:hAnsi="仿宋" w:eastAsia="仿宋"/>
          <w:b/>
          <w:kern w:val="21"/>
          <w:sz w:val="32"/>
          <w:szCs w:val="32"/>
        </w:rPr>
        <w:t>（三）国有资产占有使用情况</w:t>
      </w:r>
      <w:bookmarkEnd w:id="68"/>
      <w:bookmarkEnd w:id="69"/>
    </w:p>
    <w:p w14:paraId="155E5347">
      <w:pPr>
        <w:autoSpaceDE w:val="0"/>
        <w:autoSpaceDN w:val="0"/>
        <w:adjustRightInd w:val="0"/>
        <w:spacing w:line="600" w:lineRule="exact"/>
        <w:ind w:firstLine="640" w:firstLineChars="200"/>
        <w:jc w:val="left"/>
        <w:rPr>
          <w:rFonts w:hint="eastAsia" w:ascii="仿宋_GB2312" w:eastAsia="仿宋_GB2312"/>
          <w:kern w:val="21"/>
          <w:sz w:val="32"/>
          <w:szCs w:val="32"/>
        </w:rPr>
      </w:pPr>
      <w:r>
        <w:rPr>
          <w:rFonts w:hint="eastAsia" w:ascii="仿宋_GB2312" w:eastAsia="仿宋_GB2312"/>
          <w:kern w:val="21"/>
          <w:sz w:val="32"/>
          <w:szCs w:val="32"/>
        </w:rPr>
        <w:t>截至2023年12月31日，共有车辆0辆，其中：主要领导干部用车0辆、机要通信用车0辆、应急保障用车0辆、其他用车0辆。单价100万元以上专用设备（不含车辆）0台（套）。</w:t>
      </w:r>
    </w:p>
    <w:p w14:paraId="2835BFEF">
      <w:pPr>
        <w:autoSpaceDE w:val="0"/>
        <w:autoSpaceDN w:val="0"/>
        <w:adjustRightInd w:val="0"/>
        <w:spacing w:line="600" w:lineRule="exact"/>
        <w:ind w:firstLine="643" w:firstLineChars="200"/>
        <w:jc w:val="left"/>
        <w:rPr>
          <w:rFonts w:ascii="仿宋" w:hAnsi="仿宋" w:eastAsia="仿宋"/>
          <w:b/>
          <w:kern w:val="21"/>
          <w:sz w:val="32"/>
          <w:szCs w:val="32"/>
        </w:rPr>
      </w:pPr>
      <w:r>
        <w:rPr>
          <w:rFonts w:hint="eastAsia" w:ascii="仿宋" w:hAnsi="仿宋" w:eastAsia="仿宋"/>
          <w:b/>
          <w:kern w:val="21"/>
          <w:sz w:val="32"/>
          <w:szCs w:val="32"/>
        </w:rPr>
        <w:t>（注：数据来源于财决附</w:t>
      </w:r>
      <w:r>
        <w:rPr>
          <w:rFonts w:ascii="仿宋" w:hAnsi="仿宋" w:eastAsia="仿宋"/>
          <w:b/>
          <w:kern w:val="21"/>
          <w:sz w:val="32"/>
          <w:szCs w:val="32"/>
        </w:rPr>
        <w:t>03</w:t>
      </w:r>
      <w:r>
        <w:rPr>
          <w:rFonts w:hint="eastAsia" w:ascii="仿宋" w:hAnsi="仿宋" w:eastAsia="仿宋"/>
          <w:b/>
          <w:kern w:val="21"/>
          <w:sz w:val="32"/>
          <w:szCs w:val="32"/>
        </w:rPr>
        <w:t>表，按单位决算报表填报数据罗列车辆情况。）</w:t>
      </w:r>
    </w:p>
    <w:p w14:paraId="19401CCC">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70" w:name="_Toc14645"/>
      <w:r>
        <w:rPr>
          <w:rFonts w:hint="eastAsia" w:ascii="仿宋" w:hAnsi="仿宋" w:eastAsia="仿宋"/>
          <w:b/>
          <w:kern w:val="21"/>
          <w:sz w:val="32"/>
          <w:szCs w:val="32"/>
        </w:rPr>
        <w:t>（四）预算绩效管理情况</w:t>
      </w:r>
      <w:bookmarkEnd w:id="70"/>
    </w:p>
    <w:p w14:paraId="2FC4E71F">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根据预算绩效管理要求，本单位在2023年度预算编制阶段，组织对</w:t>
      </w:r>
      <w:r>
        <w:rPr>
          <w:rFonts w:hint="eastAsia" w:ascii="仿宋_GB2312" w:eastAsia="仿宋_GB2312"/>
          <w:kern w:val="21"/>
          <w:sz w:val="32"/>
          <w:szCs w:val="32"/>
          <w:lang w:val="en-US" w:eastAsia="zh-CN"/>
        </w:rPr>
        <w:t>51322422T000006098975－基层医疗卫生机构基本药物制度补助、51322422T000006098985－村卫生室实施国家基本药物制度补助、51322422T000006104104-12项基本公共卫生服务</w:t>
      </w:r>
      <w:r>
        <w:rPr>
          <w:rFonts w:hint="eastAsia" w:ascii="仿宋_GB2312" w:eastAsia="仿宋_GB2312"/>
          <w:kern w:val="21"/>
          <w:sz w:val="32"/>
          <w:szCs w:val="32"/>
        </w:rPr>
        <w:t>等</w:t>
      </w:r>
      <w:r>
        <w:rPr>
          <w:rFonts w:hint="eastAsia" w:ascii="仿宋_GB2312" w:eastAsia="仿宋_GB2312"/>
          <w:kern w:val="21"/>
          <w:sz w:val="32"/>
          <w:szCs w:val="32"/>
          <w:lang w:val="en-US" w:eastAsia="zh-CN"/>
        </w:rPr>
        <w:t>3</w:t>
      </w:r>
      <w:r>
        <w:rPr>
          <w:rFonts w:hint="eastAsia" w:ascii="仿宋_GB2312" w:eastAsia="仿宋_GB2312"/>
          <w:kern w:val="21"/>
          <w:sz w:val="32"/>
          <w:szCs w:val="32"/>
        </w:rPr>
        <w:t>个项目开展了预算事前绩效评估，对</w:t>
      </w:r>
      <w:r>
        <w:rPr>
          <w:rFonts w:hint="eastAsia" w:ascii="仿宋_GB2312" w:eastAsia="仿宋_GB2312"/>
          <w:kern w:val="21"/>
          <w:sz w:val="32"/>
          <w:szCs w:val="32"/>
          <w:lang w:val="en-US" w:eastAsia="zh-CN"/>
        </w:rPr>
        <w:t>3</w:t>
      </w:r>
      <w:r>
        <w:rPr>
          <w:rFonts w:hint="eastAsia" w:ascii="仿宋_GB2312" w:eastAsia="仿宋_GB2312"/>
          <w:kern w:val="21"/>
          <w:sz w:val="32"/>
          <w:szCs w:val="32"/>
        </w:rPr>
        <w:t>个项目编制了绩效目标，预算执行过程中，选取</w:t>
      </w:r>
      <w:r>
        <w:rPr>
          <w:rFonts w:hint="eastAsia" w:ascii="仿宋_GB2312" w:eastAsia="仿宋_GB2312"/>
          <w:kern w:val="21"/>
          <w:sz w:val="32"/>
          <w:szCs w:val="32"/>
          <w:lang w:val="en-US" w:eastAsia="zh-CN"/>
        </w:rPr>
        <w:t>3</w:t>
      </w:r>
      <w:r>
        <w:rPr>
          <w:rFonts w:hint="eastAsia" w:ascii="仿宋_GB2312" w:eastAsia="仿宋_GB2312"/>
          <w:kern w:val="21"/>
          <w:sz w:val="32"/>
          <w:szCs w:val="32"/>
        </w:rPr>
        <w:t>个项目开展绩效监控，组织对</w:t>
      </w:r>
      <w:r>
        <w:rPr>
          <w:rFonts w:hint="eastAsia" w:ascii="仿宋_GB2312" w:eastAsia="仿宋_GB2312"/>
          <w:kern w:val="21"/>
          <w:sz w:val="32"/>
          <w:szCs w:val="32"/>
          <w:lang w:val="en-US" w:eastAsia="zh-CN"/>
        </w:rPr>
        <w:t>3</w:t>
      </w:r>
      <w:r>
        <w:rPr>
          <w:rFonts w:hint="eastAsia" w:ascii="仿宋_GB2312" w:eastAsia="仿宋_GB2312"/>
          <w:kern w:val="21"/>
          <w:sz w:val="32"/>
          <w:szCs w:val="32"/>
        </w:rPr>
        <w:t>个项目开展绩效自评，绩效自评表详见第四部分附件。</w:t>
      </w:r>
    </w:p>
    <w:p w14:paraId="3E19326D">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br w:type="page"/>
      </w:r>
    </w:p>
    <w:p w14:paraId="6430D9E5">
      <w:pPr>
        <w:numPr>
          <w:ilvl w:val="0"/>
          <w:numId w:val="4"/>
        </w:numPr>
        <w:spacing w:line="600" w:lineRule="exact"/>
        <w:ind w:firstLine="660" w:firstLineChars="150"/>
        <w:jc w:val="center"/>
        <w:outlineLvl w:val="0"/>
        <w:rPr>
          <w:rStyle w:val="28"/>
          <w:rFonts w:ascii="黑体" w:hAnsi="黑体" w:eastAsia="黑体"/>
          <w:b w:val="0"/>
          <w:kern w:val="21"/>
        </w:rPr>
      </w:pPr>
      <w:bookmarkStart w:id="71" w:name="_Toc20232"/>
      <w:bookmarkStart w:id="72" w:name="_Toc15396613"/>
      <w:bookmarkStart w:id="73" w:name="_Toc15377225"/>
      <w:r>
        <w:rPr>
          <w:rFonts w:hint="eastAsia" w:ascii="黑体" w:hAnsi="黑体" w:eastAsia="黑体"/>
          <w:kern w:val="21"/>
          <w:sz w:val="44"/>
          <w:szCs w:val="44"/>
        </w:rPr>
        <w:t>名</w:t>
      </w:r>
      <w:r>
        <w:rPr>
          <w:rStyle w:val="28"/>
          <w:rFonts w:hint="eastAsia" w:ascii="黑体" w:hAnsi="黑体" w:eastAsia="黑体"/>
          <w:b w:val="0"/>
          <w:kern w:val="21"/>
        </w:rPr>
        <w:t>词解释</w:t>
      </w:r>
      <w:bookmarkEnd w:id="71"/>
      <w:bookmarkEnd w:id="72"/>
      <w:bookmarkEnd w:id="73"/>
    </w:p>
    <w:p w14:paraId="424C1846">
      <w:pPr>
        <w:spacing w:line="600" w:lineRule="exact"/>
        <w:jc w:val="left"/>
        <w:rPr>
          <w:rFonts w:ascii="宋体"/>
          <w:b/>
          <w:kern w:val="21"/>
          <w:sz w:val="44"/>
          <w:szCs w:val="44"/>
        </w:rPr>
      </w:pPr>
    </w:p>
    <w:p w14:paraId="7BFDE9D5">
      <w:pPr>
        <w:pStyle w:val="26"/>
        <w:spacing w:line="560" w:lineRule="exact"/>
        <w:outlineLvl w:val="1"/>
        <w:rPr>
          <w:rFonts w:ascii="仿宋_GB2312" w:eastAsia="仿宋_GB2312"/>
          <w:color w:val="auto"/>
          <w:kern w:val="21"/>
          <w:sz w:val="32"/>
          <w:szCs w:val="32"/>
        </w:rPr>
      </w:pPr>
      <w:bookmarkStart w:id="74" w:name="_Toc26313"/>
      <w:bookmarkStart w:id="75" w:name="_Toc26536"/>
      <w:r>
        <w:rPr>
          <w:rFonts w:ascii="仿宋_GB2312" w:eastAsia="仿宋_GB2312"/>
          <w:color w:val="auto"/>
          <w:kern w:val="21"/>
          <w:sz w:val="32"/>
          <w:szCs w:val="32"/>
        </w:rPr>
        <w:t>1.</w:t>
      </w:r>
      <w:r>
        <w:rPr>
          <w:rFonts w:hint="eastAsia" w:ascii="仿宋_GB2312" w:eastAsia="仿宋_GB2312"/>
          <w:color w:val="auto"/>
          <w:kern w:val="21"/>
          <w:sz w:val="32"/>
          <w:szCs w:val="32"/>
        </w:rPr>
        <w:t>财政拨款收入：指单位从同级财政部门取得的财政预算资金。</w:t>
      </w:r>
      <w:bookmarkEnd w:id="74"/>
      <w:bookmarkEnd w:id="75"/>
    </w:p>
    <w:p w14:paraId="46F19EC4">
      <w:pPr>
        <w:pStyle w:val="26"/>
        <w:spacing w:line="560" w:lineRule="exact"/>
        <w:rPr>
          <w:rFonts w:hint="eastAsia" w:ascii="仿宋_GB2312" w:eastAsia="仿宋_GB2312"/>
          <w:color w:val="auto"/>
          <w:kern w:val="21"/>
          <w:sz w:val="32"/>
          <w:szCs w:val="32"/>
        </w:rPr>
      </w:pPr>
      <w:r>
        <w:rPr>
          <w:rFonts w:ascii="仿宋_GB2312" w:eastAsia="仿宋_GB2312"/>
          <w:color w:val="auto"/>
          <w:kern w:val="21"/>
          <w:sz w:val="32"/>
          <w:szCs w:val="32"/>
        </w:rPr>
        <w:t>2.</w:t>
      </w:r>
      <w:r>
        <w:rPr>
          <w:rFonts w:hint="eastAsia" w:ascii="仿宋_GB2312" w:eastAsia="仿宋_GB2312"/>
          <w:color w:val="auto"/>
          <w:kern w:val="21"/>
          <w:sz w:val="32"/>
          <w:szCs w:val="32"/>
        </w:rPr>
        <w:t>事业收入：指事业单位开展专业业务活动及辅助活动取得的收入。</w:t>
      </w:r>
    </w:p>
    <w:p w14:paraId="6F4A8A3C">
      <w:pPr>
        <w:pStyle w:val="26"/>
        <w:spacing w:line="560" w:lineRule="exact"/>
        <w:rPr>
          <w:rFonts w:hint="eastAsia" w:ascii="仿宋_GB2312" w:eastAsia="仿宋_GB2312"/>
          <w:color w:val="auto"/>
          <w:kern w:val="21"/>
          <w:sz w:val="32"/>
          <w:szCs w:val="32"/>
        </w:rPr>
      </w:pPr>
      <w:r>
        <w:rPr>
          <w:rFonts w:ascii="仿宋_GB2312" w:eastAsia="仿宋_GB2312"/>
          <w:color w:val="auto"/>
          <w:kern w:val="21"/>
          <w:sz w:val="32"/>
          <w:szCs w:val="32"/>
        </w:rPr>
        <w:t>3.</w:t>
      </w:r>
      <w:r>
        <w:rPr>
          <w:rFonts w:hint="eastAsia" w:ascii="仿宋_GB2312" w:eastAsia="仿宋_GB2312"/>
          <w:color w:val="auto"/>
          <w:kern w:val="21"/>
          <w:sz w:val="32"/>
          <w:szCs w:val="32"/>
        </w:rPr>
        <w:t>经营收入：指事业单位在专业业务活动及其辅助活动之外开展非独立核算经营活动取得的收入。</w:t>
      </w:r>
    </w:p>
    <w:p w14:paraId="4C4D2DF9">
      <w:pPr>
        <w:pStyle w:val="26"/>
        <w:spacing w:line="560" w:lineRule="exact"/>
        <w:outlineLvl w:val="1"/>
        <w:rPr>
          <w:rFonts w:ascii="仿宋_GB2312" w:eastAsia="仿宋_GB2312"/>
          <w:color w:val="auto"/>
          <w:kern w:val="21"/>
          <w:sz w:val="32"/>
          <w:szCs w:val="32"/>
        </w:rPr>
      </w:pPr>
      <w:bookmarkStart w:id="76" w:name="_Toc10955"/>
      <w:bookmarkStart w:id="77" w:name="_Toc16309"/>
      <w:r>
        <w:rPr>
          <w:rFonts w:ascii="仿宋_GB2312" w:eastAsia="仿宋_GB2312"/>
          <w:color w:val="auto"/>
          <w:kern w:val="21"/>
          <w:sz w:val="32"/>
          <w:szCs w:val="32"/>
        </w:rPr>
        <w:t>4.</w:t>
      </w:r>
      <w:r>
        <w:rPr>
          <w:rFonts w:hint="eastAsia" w:ascii="仿宋_GB2312" w:eastAsia="仿宋_GB2312"/>
          <w:color w:val="auto"/>
          <w:kern w:val="21"/>
          <w:sz w:val="32"/>
          <w:szCs w:val="32"/>
        </w:rPr>
        <w:t>其他收入：指单位取得的除上述收入以外的各项收入。</w:t>
      </w:r>
      <w:bookmarkEnd w:id="76"/>
      <w:bookmarkEnd w:id="77"/>
      <w:r>
        <w:rPr>
          <w:rFonts w:ascii="仿宋_GB2312" w:eastAsia="仿宋_GB2312"/>
          <w:color w:val="auto"/>
          <w:kern w:val="21"/>
          <w:sz w:val="32"/>
          <w:szCs w:val="32"/>
        </w:rPr>
        <w:t xml:space="preserve"> </w:t>
      </w:r>
    </w:p>
    <w:p w14:paraId="2BF0CAA5">
      <w:pPr>
        <w:pStyle w:val="26"/>
        <w:spacing w:line="560" w:lineRule="exact"/>
        <w:rPr>
          <w:rFonts w:ascii="仿宋_GB2312" w:eastAsia="仿宋_GB2312"/>
          <w:color w:val="auto"/>
          <w:kern w:val="21"/>
          <w:sz w:val="32"/>
          <w:szCs w:val="32"/>
        </w:rPr>
      </w:pPr>
      <w:r>
        <w:rPr>
          <w:rFonts w:ascii="仿宋_GB2312" w:eastAsia="仿宋_GB2312"/>
          <w:color w:val="auto"/>
          <w:kern w:val="21"/>
          <w:sz w:val="32"/>
          <w:szCs w:val="32"/>
        </w:rPr>
        <w:t>5.</w:t>
      </w:r>
      <w:r>
        <w:rPr>
          <w:rFonts w:hint="eastAsia" w:ascii="仿宋_GB2312" w:hAnsi="华文中宋" w:eastAsia="仿宋_GB2312"/>
          <w:kern w:val="21"/>
          <w:sz w:val="32"/>
          <w:szCs w:val="32"/>
        </w:rPr>
        <w:t>使用非财政拨款结余（含专用结余）</w:t>
      </w:r>
      <w:r>
        <w:rPr>
          <w:rFonts w:hint="eastAsia" w:ascii="仿宋_GB2312" w:eastAsia="仿宋_GB2312"/>
          <w:color w:val="auto"/>
          <w:kern w:val="21"/>
          <w:sz w:val="32"/>
          <w:szCs w:val="32"/>
        </w:rPr>
        <w:t>：指事业单位使用以前年度积累的非财政拨款结余弥补当年收支差额的金额。</w:t>
      </w:r>
      <w:r>
        <w:rPr>
          <w:rFonts w:ascii="仿宋_GB2312" w:eastAsia="仿宋_GB2312"/>
          <w:color w:val="auto"/>
          <w:kern w:val="21"/>
          <w:sz w:val="32"/>
          <w:szCs w:val="32"/>
        </w:rPr>
        <w:t xml:space="preserve"> </w:t>
      </w:r>
    </w:p>
    <w:p w14:paraId="15834065">
      <w:pPr>
        <w:pStyle w:val="26"/>
        <w:spacing w:line="560" w:lineRule="exact"/>
        <w:rPr>
          <w:rFonts w:ascii="仿宋_GB2312" w:eastAsia="仿宋_GB2312"/>
          <w:color w:val="auto"/>
          <w:kern w:val="21"/>
          <w:sz w:val="32"/>
          <w:szCs w:val="32"/>
        </w:rPr>
      </w:pPr>
      <w:r>
        <w:rPr>
          <w:rFonts w:ascii="仿宋_GB2312" w:eastAsia="仿宋_GB2312"/>
          <w:color w:val="auto"/>
          <w:kern w:val="21"/>
          <w:sz w:val="32"/>
          <w:szCs w:val="32"/>
        </w:rPr>
        <w:t>6.</w:t>
      </w:r>
      <w:r>
        <w:rPr>
          <w:rFonts w:hint="eastAsia" w:ascii="仿宋_GB2312" w:eastAsia="仿宋_GB2312"/>
          <w:color w:val="auto"/>
          <w:kern w:val="21"/>
          <w:sz w:val="32"/>
          <w:szCs w:val="32"/>
        </w:rPr>
        <w:t>年初结转和结余：指以前年度尚未完成、结转到本年按有关规定继续使用的资金。</w:t>
      </w:r>
      <w:r>
        <w:rPr>
          <w:rFonts w:ascii="仿宋_GB2312" w:eastAsia="仿宋_GB2312"/>
          <w:color w:val="auto"/>
          <w:kern w:val="21"/>
          <w:sz w:val="32"/>
          <w:szCs w:val="32"/>
        </w:rPr>
        <w:t xml:space="preserve"> </w:t>
      </w:r>
    </w:p>
    <w:p w14:paraId="37B6DBEA">
      <w:pPr>
        <w:pStyle w:val="26"/>
        <w:spacing w:line="560" w:lineRule="exact"/>
        <w:rPr>
          <w:rFonts w:ascii="仿宋_GB2312" w:eastAsia="仿宋_GB2312"/>
          <w:color w:val="auto"/>
          <w:kern w:val="21"/>
          <w:sz w:val="32"/>
          <w:szCs w:val="32"/>
        </w:rPr>
      </w:pPr>
      <w:r>
        <w:rPr>
          <w:rFonts w:ascii="仿宋_GB2312" w:eastAsia="仿宋_GB2312"/>
          <w:color w:val="auto"/>
          <w:kern w:val="21"/>
          <w:sz w:val="32"/>
          <w:szCs w:val="32"/>
        </w:rPr>
        <w:t>7.</w:t>
      </w:r>
      <w:r>
        <w:rPr>
          <w:rFonts w:hint="eastAsia" w:ascii="仿宋_GB2312" w:eastAsia="仿宋_GB2312"/>
          <w:color w:val="auto"/>
          <w:kern w:val="21"/>
          <w:sz w:val="32"/>
          <w:szCs w:val="32"/>
        </w:rPr>
        <w:t>结余分配：指事业单位按照会计制度规定缴纳的所得税、提取的专用结余以及转入非财政拨款结余的金额等。</w:t>
      </w:r>
    </w:p>
    <w:p w14:paraId="0EFEA80A">
      <w:pPr>
        <w:pStyle w:val="26"/>
        <w:spacing w:line="560" w:lineRule="exact"/>
        <w:rPr>
          <w:rFonts w:ascii="仿宋_GB2312" w:eastAsia="仿宋_GB2312"/>
          <w:color w:val="auto"/>
          <w:kern w:val="21"/>
          <w:sz w:val="32"/>
          <w:szCs w:val="32"/>
        </w:rPr>
      </w:pPr>
      <w:r>
        <w:rPr>
          <w:rFonts w:ascii="仿宋_GB2312" w:eastAsia="仿宋_GB2312"/>
          <w:color w:val="auto"/>
          <w:kern w:val="21"/>
          <w:sz w:val="32"/>
          <w:szCs w:val="32"/>
        </w:rPr>
        <w:t>8</w:t>
      </w:r>
      <w:r>
        <w:rPr>
          <w:rFonts w:hint="eastAsia" w:ascii="仿宋_GB2312" w:eastAsia="仿宋_GB2312"/>
          <w:color w:val="auto"/>
          <w:kern w:val="21"/>
          <w:sz w:val="32"/>
          <w:szCs w:val="32"/>
        </w:rPr>
        <w:t>.年末结转和结余：指单位按有关规定结转到下年或以后年度继续使用的资金。</w:t>
      </w:r>
    </w:p>
    <w:p w14:paraId="494FB99B">
      <w:pPr>
        <w:rPr>
          <w:rFonts w:ascii="仿宋_GB2312" w:eastAsia="仿宋_GB2312"/>
          <w:kern w:val="21"/>
          <w:sz w:val="32"/>
          <w:szCs w:val="32"/>
        </w:rPr>
      </w:pPr>
      <w:r>
        <w:rPr>
          <w:rFonts w:ascii="仿宋_GB2312" w:eastAsia="仿宋_GB2312"/>
          <w:kern w:val="21"/>
          <w:sz w:val="32"/>
          <w:szCs w:val="32"/>
        </w:rPr>
        <w:t>9</w:t>
      </w:r>
      <w:r>
        <w:rPr>
          <w:rFonts w:hint="eastAsia" w:ascii="仿宋_GB2312" w:eastAsia="仿宋_GB2312"/>
          <w:kern w:val="21"/>
          <w:sz w:val="32"/>
          <w:szCs w:val="32"/>
        </w:rPr>
        <w:t>．社会保障和就业支出（类）行政事业单位养老支出</w:t>
      </w:r>
      <w:r>
        <w:rPr>
          <w:rFonts w:hint="eastAsia" w:ascii="仿宋_GB2312" w:eastAsia="仿宋_GB2312"/>
          <w:kern w:val="21"/>
          <w:sz w:val="32"/>
          <w:szCs w:val="32"/>
          <w:lang w:eastAsia="zh-CN"/>
        </w:rPr>
        <w:t>，（</w:t>
      </w:r>
      <w:r>
        <w:rPr>
          <w:rFonts w:hint="eastAsia" w:ascii="仿宋_GB2312" w:eastAsia="仿宋_GB2312"/>
          <w:kern w:val="21"/>
          <w:sz w:val="32"/>
          <w:szCs w:val="32"/>
          <w:lang w:val="en-US" w:eastAsia="zh-CN"/>
        </w:rPr>
        <w:t>款）机关事业单位基本养老保险缴费支出（项）：反映机关事业单位实施养老保险制度由单位缴纳的基本养老保险费支出。</w:t>
      </w:r>
    </w:p>
    <w:p w14:paraId="09863A04">
      <w:pPr>
        <w:spacing w:line="600" w:lineRule="exact"/>
        <w:rPr>
          <w:rFonts w:hint="eastAsia" w:ascii="仿宋_GB2312" w:hAnsi="Calibri" w:eastAsia="仿宋_GB2312" w:cs="仿宋"/>
          <w:color w:val="auto"/>
          <w:kern w:val="21"/>
          <w:sz w:val="32"/>
          <w:szCs w:val="32"/>
          <w:lang w:val="en-US" w:eastAsia="zh-CN" w:bidi="ar-SA"/>
        </w:rPr>
      </w:pPr>
      <w:r>
        <w:rPr>
          <w:rFonts w:hint="eastAsia" w:ascii="仿宋_GB2312" w:hAnsi="Calibri" w:eastAsia="仿宋_GB2312" w:cs="仿宋"/>
          <w:color w:val="auto"/>
          <w:kern w:val="21"/>
          <w:sz w:val="32"/>
          <w:szCs w:val="32"/>
          <w:lang w:val="en-US" w:eastAsia="zh-CN" w:bidi="ar-SA"/>
        </w:rPr>
        <w:t>10.社会保障和就业支出（类）行政事业单位养老支出，机关事业单位职业年金缴费支出（项）：反映机关事业单位实施养老保险制度由单位实际缴纳的职业年金支出。</w:t>
      </w:r>
    </w:p>
    <w:p w14:paraId="0AEAD766">
      <w:pPr>
        <w:spacing w:line="600" w:lineRule="exact"/>
        <w:rPr>
          <w:rFonts w:hint="eastAsia" w:ascii="仿宋_GB2312" w:hAnsi="Calibri" w:eastAsia="仿宋_GB2312" w:cs="仿宋"/>
          <w:color w:val="auto"/>
          <w:kern w:val="21"/>
          <w:sz w:val="32"/>
          <w:szCs w:val="32"/>
          <w:lang w:val="en-US" w:eastAsia="zh-CN" w:bidi="ar-SA"/>
        </w:rPr>
      </w:pPr>
      <w:r>
        <w:rPr>
          <w:rFonts w:hint="eastAsia" w:ascii="仿宋_GB2312" w:hAnsi="Calibri" w:eastAsia="仿宋_GB2312" w:cs="仿宋"/>
          <w:color w:val="auto"/>
          <w:kern w:val="21"/>
          <w:sz w:val="32"/>
          <w:szCs w:val="32"/>
          <w:lang w:val="en-US" w:eastAsia="zh-CN" w:bidi="ar-SA"/>
        </w:rPr>
        <w:t>11.卫生健康支出（类）基层医疗卫生机构（款）乡镇卫生院（项）：反映用于乡镇卫生院的支出。</w:t>
      </w:r>
    </w:p>
    <w:p w14:paraId="454E5C4E">
      <w:pPr>
        <w:spacing w:line="600" w:lineRule="exact"/>
        <w:rPr>
          <w:rFonts w:hint="eastAsia" w:ascii="仿宋_GB2312" w:hAnsi="Calibri" w:eastAsia="仿宋_GB2312" w:cs="仿宋"/>
          <w:color w:val="auto"/>
          <w:kern w:val="21"/>
          <w:sz w:val="32"/>
          <w:szCs w:val="32"/>
          <w:lang w:val="en-US" w:eastAsia="zh-CN" w:bidi="ar-SA"/>
        </w:rPr>
      </w:pPr>
      <w:r>
        <w:rPr>
          <w:rFonts w:hint="eastAsia" w:ascii="仿宋_GB2312" w:hAnsi="Calibri" w:eastAsia="仿宋_GB2312" w:cs="仿宋"/>
          <w:color w:val="auto"/>
          <w:kern w:val="21"/>
          <w:sz w:val="32"/>
          <w:szCs w:val="32"/>
          <w:lang w:val="en-US" w:eastAsia="zh-CN" w:bidi="ar-SA"/>
        </w:rPr>
        <w:t>12.卫生健康支出（类）基层医疗卫生机构（款）其他2基层医疗卫生机构支出（项）：反映除上述项目以外的其他用于基层医疗卫生机构的支出。</w:t>
      </w:r>
    </w:p>
    <w:p w14:paraId="0B240BF1">
      <w:pPr>
        <w:spacing w:line="600" w:lineRule="exact"/>
        <w:rPr>
          <w:rFonts w:hint="eastAsia" w:ascii="仿宋_GB2312" w:hAnsi="Calibri" w:eastAsia="仿宋_GB2312" w:cs="仿宋"/>
          <w:color w:val="auto"/>
          <w:kern w:val="21"/>
          <w:sz w:val="32"/>
          <w:szCs w:val="32"/>
          <w:lang w:val="en-US" w:eastAsia="zh-CN" w:bidi="ar-SA"/>
        </w:rPr>
      </w:pPr>
      <w:r>
        <w:rPr>
          <w:rFonts w:hint="eastAsia" w:ascii="仿宋_GB2312" w:hAnsi="Calibri" w:eastAsia="仿宋_GB2312" w:cs="仿宋"/>
          <w:color w:val="auto"/>
          <w:kern w:val="21"/>
          <w:sz w:val="32"/>
          <w:szCs w:val="32"/>
          <w:lang w:val="en-US" w:eastAsia="zh-CN" w:bidi="ar-SA"/>
        </w:rPr>
        <w:t>13.卫生健康支出（类）公共卫生（款）基本公共卫生服务（项）：反映基本公共卫生服务支出。</w:t>
      </w:r>
    </w:p>
    <w:p w14:paraId="3270006A">
      <w:pPr>
        <w:spacing w:line="600" w:lineRule="exact"/>
        <w:rPr>
          <w:rFonts w:hint="eastAsia" w:ascii="仿宋_GB2312" w:hAnsi="Calibri" w:eastAsia="仿宋_GB2312" w:cs="仿宋"/>
          <w:color w:val="auto"/>
          <w:kern w:val="21"/>
          <w:sz w:val="32"/>
          <w:szCs w:val="32"/>
          <w:lang w:val="en-US" w:eastAsia="zh-CN" w:bidi="ar-SA"/>
        </w:rPr>
      </w:pPr>
      <w:r>
        <w:rPr>
          <w:rFonts w:hint="eastAsia" w:ascii="仿宋_GB2312" w:hAnsi="Calibri" w:eastAsia="仿宋_GB2312" w:cs="仿宋"/>
          <w:color w:val="auto"/>
          <w:kern w:val="21"/>
          <w:sz w:val="32"/>
          <w:szCs w:val="32"/>
          <w:lang w:val="en-US" w:eastAsia="zh-CN" w:bidi="ar-SA"/>
        </w:rPr>
        <w:t>14.卫生健康支出（类）行政事业单位医疗（款）事业单位医疗（项）：反映财政部门安排的事业单位基本医疗保险缴费经费，未参加医疗保险的事业单位的公费医疗经费按国家规定享受离休人员待遇的医疗经费。</w:t>
      </w:r>
    </w:p>
    <w:p w14:paraId="29DF06FF">
      <w:pPr>
        <w:spacing w:line="600" w:lineRule="exact"/>
        <w:rPr>
          <w:rFonts w:hint="eastAsia" w:ascii="仿宋_GB2312" w:hAnsi="Calibri" w:eastAsia="仿宋_GB2312" w:cs="仿宋"/>
          <w:color w:val="auto"/>
          <w:kern w:val="21"/>
          <w:sz w:val="32"/>
          <w:szCs w:val="32"/>
          <w:lang w:val="en-US" w:eastAsia="zh-CN" w:bidi="ar-SA"/>
        </w:rPr>
      </w:pPr>
      <w:r>
        <w:rPr>
          <w:rFonts w:hint="eastAsia" w:ascii="仿宋_GB2312" w:hAnsi="Calibri" w:eastAsia="仿宋_GB2312" w:cs="仿宋"/>
          <w:color w:val="auto"/>
          <w:kern w:val="21"/>
          <w:sz w:val="32"/>
          <w:szCs w:val="32"/>
          <w:lang w:val="en-US" w:eastAsia="zh-CN" w:bidi="ar-SA"/>
        </w:rPr>
        <w:t>15.卫生健康支出（类）行政事业单位医疗（款）其他行政事业单位医疗支出（项）：反映除上述项目以外的其他用于行政事业单位医疗方面的支出。</w:t>
      </w:r>
    </w:p>
    <w:p w14:paraId="7E6E7E11">
      <w:pPr>
        <w:spacing w:line="600" w:lineRule="exact"/>
        <w:rPr>
          <w:rFonts w:hint="eastAsia" w:ascii="仿宋_GB2312" w:eastAsia="仿宋_GB2312"/>
          <w:kern w:val="21"/>
          <w:sz w:val="32"/>
          <w:szCs w:val="32"/>
        </w:rPr>
      </w:pPr>
      <w:r>
        <w:rPr>
          <w:rFonts w:hint="eastAsia" w:ascii="仿宋_GB2312" w:hAnsi="Calibri" w:eastAsia="仿宋_GB2312" w:cs="仿宋"/>
          <w:color w:val="auto"/>
          <w:kern w:val="21"/>
          <w:sz w:val="32"/>
          <w:szCs w:val="32"/>
          <w:lang w:val="en-US" w:eastAsia="zh-CN" w:bidi="ar-SA"/>
        </w:rPr>
        <w:t>16.住房保障支出（类）住房改革支出（款）住房公积金（项）：反映行政事业单位按人力资源和社会保障部、财</w:t>
      </w:r>
      <w:r>
        <w:rPr>
          <w:rFonts w:hint="eastAsia" w:ascii="仿宋_GB2312" w:eastAsia="仿宋_GB2312"/>
          <w:kern w:val="21"/>
          <w:sz w:val="32"/>
          <w:szCs w:val="32"/>
        </w:rPr>
        <w:t>政部规定的基本工资和津贴补贴以及规定比例为职工缴纳住房公积金。</w:t>
      </w:r>
    </w:p>
    <w:p w14:paraId="00E2854D">
      <w:pPr>
        <w:rPr>
          <w:rFonts w:hint="eastAsia" w:ascii="仿宋_GB2312" w:eastAsia="仿宋_GB2312"/>
          <w:kern w:val="21"/>
          <w:sz w:val="32"/>
          <w:szCs w:val="32"/>
        </w:rPr>
      </w:pPr>
      <w:r>
        <w:rPr>
          <w:rFonts w:hint="eastAsia" w:ascii="仿宋_GB2312" w:eastAsia="仿宋_GB2312"/>
          <w:kern w:val="21"/>
          <w:sz w:val="32"/>
          <w:szCs w:val="32"/>
        </w:rPr>
        <w:t>17.基本支出</w:t>
      </w:r>
      <w:r>
        <w:rPr>
          <w:rFonts w:hint="eastAsia" w:ascii="仿宋_GB2312" w:eastAsia="仿宋_GB2312"/>
          <w:kern w:val="21"/>
          <w:sz w:val="32"/>
          <w:szCs w:val="32"/>
          <w:lang w:eastAsia="zh-CN"/>
        </w:rPr>
        <w:t>：</w:t>
      </w:r>
      <w:r>
        <w:rPr>
          <w:rFonts w:hint="eastAsia" w:ascii="仿宋_GB2312" w:eastAsia="仿宋_GB2312"/>
          <w:kern w:val="21"/>
          <w:sz w:val="32"/>
          <w:szCs w:val="32"/>
        </w:rPr>
        <w:t>指为保障机构正常运转、完成日常工作任务而发生的人员支出和公用支出。</w:t>
      </w:r>
    </w:p>
    <w:p w14:paraId="55FD3E82">
      <w:pPr>
        <w:rPr>
          <w:rFonts w:hint="eastAsia" w:ascii="仿宋_GB2312" w:eastAsia="仿宋_GB2312"/>
          <w:kern w:val="21"/>
          <w:sz w:val="32"/>
          <w:szCs w:val="32"/>
        </w:rPr>
      </w:pPr>
      <w:r>
        <w:rPr>
          <w:rFonts w:hint="eastAsia" w:ascii="仿宋_GB2312" w:eastAsia="仿宋_GB2312"/>
          <w:kern w:val="21"/>
          <w:sz w:val="32"/>
          <w:szCs w:val="32"/>
        </w:rPr>
        <w:t>18.项目支出</w:t>
      </w:r>
      <w:r>
        <w:rPr>
          <w:rFonts w:hint="eastAsia" w:ascii="仿宋_GB2312" w:eastAsia="仿宋_GB2312"/>
          <w:kern w:val="21"/>
          <w:sz w:val="32"/>
          <w:szCs w:val="32"/>
          <w:lang w:eastAsia="zh-CN"/>
        </w:rPr>
        <w:t>：</w:t>
      </w:r>
      <w:r>
        <w:rPr>
          <w:rFonts w:hint="eastAsia" w:ascii="仿宋_GB2312" w:eastAsia="仿宋_GB2312"/>
          <w:kern w:val="21"/>
          <w:sz w:val="32"/>
          <w:szCs w:val="32"/>
        </w:rPr>
        <w:t>指在基本支出之外为完成特定行政任务和事业发展目标所发生的支出。</w:t>
      </w:r>
      <w:bookmarkStart w:id="78" w:name="_Toc15396614"/>
      <w:bookmarkStart w:id="79" w:name="_Toc15377226"/>
    </w:p>
    <w:p w14:paraId="21D5275E">
      <w:pPr>
        <w:rPr>
          <w:rFonts w:hint="eastAsia" w:ascii="仿宋_GB2312" w:hAnsi="Times New Roman" w:eastAsia="仿宋_GB2312" w:cs="Times New Roman"/>
          <w:b w:val="0"/>
          <w:kern w:val="21"/>
          <w:sz w:val="32"/>
          <w:szCs w:val="32"/>
          <w:lang w:val="en-US" w:eastAsia="zh-CN" w:bidi="ar-SA"/>
        </w:rPr>
      </w:pPr>
      <w:r>
        <w:rPr>
          <w:rFonts w:hint="eastAsia" w:ascii="仿宋_GB2312" w:hAnsi="Times New Roman" w:eastAsia="仿宋_GB2312" w:cs="Times New Roman"/>
          <w:b w:val="0"/>
          <w:kern w:val="21"/>
          <w:sz w:val="32"/>
          <w:szCs w:val="32"/>
          <w:lang w:val="en-US" w:eastAsia="zh-CN" w:bidi="ar-SA"/>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D709308">
      <w:pPr>
        <w:rPr>
          <w:rFonts w:hint="eastAsia" w:ascii="仿宋_GB2312" w:hAnsi="Times New Roman" w:eastAsia="仿宋_GB2312" w:cs="Times New Roman"/>
          <w:b w:val="0"/>
          <w:kern w:val="21"/>
          <w:sz w:val="32"/>
          <w:szCs w:val="32"/>
          <w:lang w:val="en-US" w:eastAsia="zh-CN" w:bidi="ar-SA"/>
        </w:rPr>
      </w:pPr>
      <w:r>
        <w:rPr>
          <w:rFonts w:hint="eastAsia" w:ascii="仿宋_GB2312" w:hAnsi="Times New Roman" w:eastAsia="仿宋_GB2312" w:cs="Times New Roman"/>
          <w:b w:val="0"/>
          <w:kern w:val="21"/>
          <w:sz w:val="32"/>
          <w:szCs w:val="32"/>
          <w:lang w:val="en-US" w:eastAsia="zh-CN" w:bidi="ar-SA"/>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7CB95B4">
      <w:pPr>
        <w:rPr>
          <w:rFonts w:hint="eastAsia" w:ascii="仿宋_GB2312" w:hAnsi="Times New Roman" w:eastAsia="仿宋_GB2312" w:cs="Times New Roman"/>
          <w:b w:val="0"/>
          <w:kern w:val="21"/>
          <w:sz w:val="32"/>
          <w:szCs w:val="32"/>
          <w:lang w:val="en-US" w:eastAsia="zh-CN" w:bidi="ar-SA"/>
        </w:rPr>
      </w:pPr>
      <w:r>
        <w:rPr>
          <w:rFonts w:hint="eastAsia" w:ascii="仿宋_GB2312" w:hAnsi="Times New Roman" w:eastAsia="仿宋_GB2312" w:cs="Times New Roman"/>
          <w:b w:val="0"/>
          <w:kern w:val="21"/>
          <w:sz w:val="32"/>
          <w:szCs w:val="32"/>
          <w:lang w:val="en-US" w:eastAsia="zh-CN" w:bidi="ar-SA"/>
        </w:rPr>
        <w:t>21．财政应返还额度：为行政事业单位会计核算科目，用于核算实行国库集中支付的行政事业单位应收财政返还的资金额度。</w:t>
      </w:r>
    </w:p>
    <w:p w14:paraId="3C376FEE">
      <w:pPr>
        <w:spacing w:line="600" w:lineRule="exact"/>
        <w:jc w:val="center"/>
        <w:outlineLvl w:val="9"/>
        <w:rPr>
          <w:rFonts w:hint="eastAsia" w:ascii="黑体" w:hAnsi="黑体" w:eastAsia="黑体"/>
          <w:kern w:val="21"/>
          <w:sz w:val="44"/>
          <w:szCs w:val="44"/>
        </w:rPr>
      </w:pPr>
    </w:p>
    <w:p w14:paraId="716BEA25">
      <w:pPr>
        <w:spacing w:line="600" w:lineRule="exact"/>
        <w:jc w:val="center"/>
        <w:outlineLvl w:val="9"/>
        <w:rPr>
          <w:rFonts w:hint="eastAsia" w:ascii="黑体" w:hAnsi="黑体" w:eastAsia="黑体"/>
          <w:kern w:val="21"/>
          <w:sz w:val="44"/>
          <w:szCs w:val="44"/>
        </w:rPr>
      </w:pPr>
    </w:p>
    <w:p w14:paraId="7432CA4F">
      <w:pPr>
        <w:spacing w:line="600" w:lineRule="exact"/>
        <w:jc w:val="center"/>
        <w:outlineLvl w:val="9"/>
        <w:rPr>
          <w:rFonts w:hint="eastAsia" w:ascii="黑体" w:hAnsi="黑体" w:eastAsia="黑体"/>
          <w:kern w:val="21"/>
          <w:sz w:val="44"/>
          <w:szCs w:val="44"/>
        </w:rPr>
      </w:pPr>
    </w:p>
    <w:p w14:paraId="7A77E623">
      <w:pPr>
        <w:spacing w:line="600" w:lineRule="exact"/>
        <w:jc w:val="center"/>
        <w:outlineLvl w:val="9"/>
        <w:rPr>
          <w:rFonts w:hint="eastAsia" w:ascii="黑体" w:hAnsi="黑体" w:eastAsia="黑体"/>
          <w:kern w:val="21"/>
          <w:sz w:val="44"/>
          <w:szCs w:val="44"/>
        </w:rPr>
      </w:pPr>
    </w:p>
    <w:p w14:paraId="1CD2D960">
      <w:pPr>
        <w:spacing w:line="600" w:lineRule="exact"/>
        <w:jc w:val="center"/>
        <w:outlineLvl w:val="9"/>
        <w:rPr>
          <w:rFonts w:hint="eastAsia" w:ascii="黑体" w:hAnsi="黑体" w:eastAsia="黑体"/>
          <w:kern w:val="21"/>
          <w:sz w:val="44"/>
          <w:szCs w:val="44"/>
        </w:rPr>
      </w:pPr>
    </w:p>
    <w:p w14:paraId="5D850832">
      <w:pPr>
        <w:spacing w:line="600" w:lineRule="exact"/>
        <w:jc w:val="center"/>
        <w:outlineLvl w:val="9"/>
        <w:rPr>
          <w:rFonts w:hint="eastAsia" w:ascii="黑体" w:hAnsi="黑体" w:eastAsia="黑体"/>
          <w:kern w:val="21"/>
          <w:sz w:val="44"/>
          <w:szCs w:val="44"/>
        </w:rPr>
      </w:pPr>
    </w:p>
    <w:p w14:paraId="5A4A7948">
      <w:pPr>
        <w:spacing w:line="600" w:lineRule="exact"/>
        <w:jc w:val="center"/>
        <w:outlineLvl w:val="9"/>
        <w:rPr>
          <w:rFonts w:hint="eastAsia" w:ascii="黑体" w:hAnsi="黑体" w:eastAsia="黑体"/>
          <w:kern w:val="21"/>
          <w:sz w:val="44"/>
          <w:szCs w:val="44"/>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p w14:paraId="7C52A866">
      <w:pPr>
        <w:spacing w:line="600" w:lineRule="exact"/>
        <w:jc w:val="center"/>
        <w:outlineLvl w:val="0"/>
        <w:rPr>
          <w:rFonts w:ascii="宋体" w:hAnsi="宋体" w:eastAsia="宋体" w:cs="宋体"/>
          <w:i w:val="0"/>
          <w:iCs w:val="0"/>
          <w:color w:val="C0C0C0"/>
          <w:kern w:val="21"/>
          <w:sz w:val="20"/>
          <w:szCs w:val="20"/>
          <w:u w:val="none"/>
          <w:lang w:val="en-US" w:eastAsia="zh-CN" w:bidi="ar"/>
        </w:rPr>
      </w:pPr>
      <w:bookmarkStart w:id="80" w:name="_Toc14374"/>
      <w:r>
        <w:rPr>
          <w:rFonts w:hint="eastAsia" w:ascii="黑体" w:hAnsi="黑体" w:eastAsia="黑体"/>
          <w:kern w:val="21"/>
          <w:sz w:val="44"/>
          <w:szCs w:val="44"/>
        </w:rPr>
        <w:t>第</w:t>
      </w:r>
      <w:r>
        <w:rPr>
          <w:rStyle w:val="28"/>
          <w:rFonts w:hint="eastAsia" w:ascii="黑体" w:hAnsi="黑体" w:eastAsia="黑体"/>
          <w:b w:val="0"/>
          <w:kern w:val="21"/>
        </w:rPr>
        <w:t>四部分 附件</w:t>
      </w:r>
      <w:bookmarkEnd w:id="78"/>
      <w:bookmarkEnd w:id="80"/>
      <w:bookmarkStart w:id="81" w:name="_Toc15396618"/>
    </w:p>
    <w:tbl>
      <w:tblPr>
        <w:tblStyle w:val="16"/>
        <w:tblW w:w="1353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708"/>
        <w:gridCol w:w="1733"/>
        <w:gridCol w:w="1705"/>
        <w:gridCol w:w="1923"/>
        <w:gridCol w:w="569"/>
        <w:gridCol w:w="1422"/>
        <w:gridCol w:w="525"/>
        <w:gridCol w:w="1"/>
        <w:gridCol w:w="1106"/>
        <w:gridCol w:w="1"/>
        <w:gridCol w:w="550"/>
        <w:gridCol w:w="1"/>
        <w:gridCol w:w="497"/>
        <w:gridCol w:w="1"/>
        <w:gridCol w:w="2790"/>
      </w:tblGrid>
      <w:tr w14:paraId="1E3EC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6069" w:type="dxa"/>
            <w:gridSpan w:val="4"/>
            <w:tcBorders>
              <w:top w:val="nil"/>
              <w:left w:val="nil"/>
              <w:bottom w:val="nil"/>
              <w:right w:val="nil"/>
            </w:tcBorders>
            <w:shd w:val="clear" w:color="auto" w:fill="FFFFFF" w:themeFill="background1"/>
            <w:vAlign w:val="center"/>
          </w:tcPr>
          <w:p w14:paraId="16CDFCB5">
            <w:pPr>
              <w:keepNext w:val="0"/>
              <w:keepLines w:val="0"/>
              <w:widowControl/>
              <w:suppressLineNumbers w:val="0"/>
              <w:jc w:val="left"/>
              <w:textAlignment w:val="center"/>
              <w:rPr>
                <w:rFonts w:ascii="宋体" w:hAnsi="宋体" w:eastAsia="宋体" w:cs="宋体"/>
                <w:i w:val="0"/>
                <w:iCs w:val="0"/>
                <w:color w:val="C0C0C0"/>
                <w:kern w:val="21"/>
                <w:sz w:val="20"/>
                <w:szCs w:val="20"/>
                <w:u w:val="none"/>
              </w:rPr>
            </w:pPr>
            <w:r>
              <w:rPr>
                <w:rFonts w:ascii="宋体" w:hAnsi="宋体" w:eastAsia="宋体" w:cs="宋体"/>
                <w:i w:val="0"/>
                <w:iCs w:val="0"/>
                <w:color w:val="C0C0C0"/>
                <w:kern w:val="21"/>
                <w:sz w:val="20"/>
                <w:szCs w:val="20"/>
                <w:u w:val="none"/>
                <w:lang w:val="en-US" w:eastAsia="zh-CN" w:bidi="ar"/>
              </w:rPr>
              <w:t>报表编号：510000_0013zp</w:t>
            </w:r>
          </w:p>
        </w:tc>
        <w:tc>
          <w:tcPr>
            <w:tcW w:w="569" w:type="dxa"/>
            <w:tcBorders>
              <w:top w:val="nil"/>
              <w:left w:val="nil"/>
              <w:bottom w:val="nil"/>
              <w:right w:val="nil"/>
            </w:tcBorders>
            <w:shd w:val="clear" w:color="auto" w:fill="FFFFFF" w:themeFill="background1"/>
            <w:noWrap/>
            <w:vAlign w:val="center"/>
          </w:tcPr>
          <w:p w14:paraId="1D0E290B">
            <w:pPr>
              <w:rPr>
                <w:rFonts w:hint="eastAsia" w:ascii="宋体" w:hAnsi="宋体" w:eastAsia="宋体" w:cs="宋体"/>
                <w:i w:val="0"/>
                <w:iCs w:val="0"/>
                <w:color w:val="000000"/>
                <w:kern w:val="21"/>
                <w:sz w:val="22"/>
                <w:szCs w:val="22"/>
                <w:u w:val="none"/>
              </w:rPr>
            </w:pPr>
          </w:p>
        </w:tc>
        <w:tc>
          <w:tcPr>
            <w:tcW w:w="3055" w:type="dxa"/>
            <w:gridSpan w:val="5"/>
            <w:tcBorders>
              <w:top w:val="nil"/>
              <w:left w:val="nil"/>
              <w:bottom w:val="nil"/>
              <w:right w:val="nil"/>
            </w:tcBorders>
            <w:shd w:val="clear" w:color="auto" w:fill="FFFFFF" w:themeFill="background1"/>
            <w:vAlign w:val="center"/>
          </w:tcPr>
          <w:p w14:paraId="1570D8E6">
            <w:pPr>
              <w:rPr>
                <w:rFonts w:hint="eastAsia" w:ascii="宋体" w:hAnsi="宋体" w:eastAsia="宋体" w:cs="宋体"/>
                <w:i w:val="0"/>
                <w:iCs w:val="0"/>
                <w:color w:val="000000"/>
                <w:kern w:val="21"/>
                <w:sz w:val="20"/>
                <w:szCs w:val="20"/>
                <w:u w:val="none"/>
              </w:rPr>
            </w:pPr>
          </w:p>
        </w:tc>
        <w:tc>
          <w:tcPr>
            <w:tcW w:w="551" w:type="dxa"/>
            <w:gridSpan w:val="2"/>
            <w:tcBorders>
              <w:top w:val="nil"/>
              <w:left w:val="nil"/>
              <w:bottom w:val="nil"/>
              <w:right w:val="nil"/>
            </w:tcBorders>
            <w:shd w:val="clear" w:color="auto" w:fill="FFFFFF" w:themeFill="background1"/>
            <w:noWrap/>
            <w:vAlign w:val="center"/>
          </w:tcPr>
          <w:p w14:paraId="658679ED">
            <w:pPr>
              <w:rPr>
                <w:rFonts w:hint="eastAsia" w:ascii="宋体" w:hAnsi="宋体" w:eastAsia="宋体" w:cs="宋体"/>
                <w:i w:val="0"/>
                <w:iCs w:val="0"/>
                <w:color w:val="000000"/>
                <w:kern w:val="21"/>
                <w:sz w:val="22"/>
                <w:szCs w:val="22"/>
                <w:u w:val="none"/>
              </w:rPr>
            </w:pPr>
          </w:p>
        </w:tc>
        <w:tc>
          <w:tcPr>
            <w:tcW w:w="497" w:type="dxa"/>
            <w:tcBorders>
              <w:top w:val="nil"/>
              <w:left w:val="nil"/>
              <w:bottom w:val="nil"/>
              <w:right w:val="nil"/>
            </w:tcBorders>
            <w:shd w:val="clear" w:color="auto" w:fill="FFFFFF" w:themeFill="background1"/>
            <w:noWrap/>
            <w:vAlign w:val="center"/>
          </w:tcPr>
          <w:p w14:paraId="452D260C">
            <w:pPr>
              <w:rPr>
                <w:rFonts w:hint="eastAsia" w:ascii="宋体" w:hAnsi="宋体" w:eastAsia="宋体" w:cs="宋体"/>
                <w:i w:val="0"/>
                <w:iCs w:val="0"/>
                <w:color w:val="000000"/>
                <w:kern w:val="21"/>
                <w:sz w:val="22"/>
                <w:szCs w:val="22"/>
                <w:u w:val="none"/>
              </w:rPr>
            </w:pPr>
          </w:p>
        </w:tc>
        <w:tc>
          <w:tcPr>
            <w:tcW w:w="2791" w:type="dxa"/>
            <w:gridSpan w:val="2"/>
            <w:tcBorders>
              <w:top w:val="nil"/>
              <w:left w:val="nil"/>
              <w:bottom w:val="nil"/>
              <w:right w:val="nil"/>
            </w:tcBorders>
            <w:shd w:val="clear" w:color="auto" w:fill="FFFFFF" w:themeFill="background1"/>
            <w:noWrap/>
            <w:vAlign w:val="center"/>
          </w:tcPr>
          <w:p w14:paraId="76A9C96B">
            <w:pPr>
              <w:rPr>
                <w:rFonts w:hint="eastAsia" w:ascii="宋体" w:hAnsi="宋体" w:eastAsia="宋体" w:cs="宋体"/>
                <w:i w:val="0"/>
                <w:iCs w:val="0"/>
                <w:color w:val="000000"/>
                <w:kern w:val="21"/>
                <w:sz w:val="22"/>
                <w:szCs w:val="22"/>
                <w:u w:val="none"/>
              </w:rPr>
            </w:pPr>
          </w:p>
        </w:tc>
      </w:tr>
      <w:tr w14:paraId="4BA13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904" w:hRule="atLeast"/>
        </w:trPr>
        <w:tc>
          <w:tcPr>
            <w:tcW w:w="13532" w:type="dxa"/>
            <w:gridSpan w:val="1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04E187">
            <w:pPr>
              <w:keepNext w:val="0"/>
              <w:keepLines w:val="0"/>
              <w:widowControl/>
              <w:suppressLineNumbers w:val="0"/>
              <w:jc w:val="center"/>
              <w:textAlignment w:val="center"/>
              <w:rPr>
                <w:rFonts w:ascii="黑体" w:hAnsi="宋体" w:eastAsia="黑体" w:cs="黑体"/>
                <w:b/>
                <w:bCs/>
                <w:i w:val="0"/>
                <w:iCs w:val="0"/>
                <w:color w:val="000000"/>
                <w:kern w:val="21"/>
                <w:sz w:val="30"/>
                <w:szCs w:val="30"/>
                <w:u w:val="none"/>
              </w:rPr>
            </w:pPr>
            <w:r>
              <w:rPr>
                <w:rFonts w:hint="eastAsia" w:ascii="黑体" w:hAnsi="宋体" w:eastAsia="黑体" w:cs="黑体"/>
                <w:b/>
                <w:bCs/>
                <w:i w:val="0"/>
                <w:iCs w:val="0"/>
                <w:color w:val="000000"/>
                <w:kern w:val="21"/>
                <w:sz w:val="30"/>
                <w:szCs w:val="30"/>
                <w:u w:val="none"/>
                <w:lang w:val="en-US" w:eastAsia="zh-CN" w:bidi="ar"/>
              </w:rPr>
              <w:t>部门预算项目支出绩效自评表（2023年度）</w:t>
            </w:r>
          </w:p>
        </w:tc>
      </w:tr>
      <w:tr w14:paraId="0D98C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244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4ED1AB">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项目名称</w:t>
            </w:r>
          </w:p>
        </w:tc>
        <w:tc>
          <w:tcPr>
            <w:tcW w:w="11091" w:type="dxa"/>
            <w:gridSpan w:val="1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B00E6B">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51322422T000006098975</w:t>
            </w:r>
            <w:r>
              <w:rPr>
                <w:rFonts w:hint="eastAsia" w:ascii="宋体" w:hAnsi="宋体" w:cs="宋体"/>
                <w:i w:val="0"/>
                <w:iCs w:val="0"/>
                <w:color w:val="000000"/>
                <w:kern w:val="21"/>
                <w:sz w:val="18"/>
                <w:szCs w:val="18"/>
                <w:u w:val="none"/>
                <w:lang w:val="en-US" w:eastAsia="zh-CN" w:bidi="ar"/>
              </w:rPr>
              <w:t>－</w:t>
            </w:r>
            <w:r>
              <w:rPr>
                <w:rFonts w:ascii="宋体" w:hAnsi="宋体" w:eastAsia="宋体" w:cs="宋体"/>
                <w:i w:val="0"/>
                <w:iCs w:val="0"/>
                <w:color w:val="000000"/>
                <w:kern w:val="21"/>
                <w:sz w:val="18"/>
                <w:szCs w:val="18"/>
                <w:u w:val="none"/>
                <w:lang w:val="en-US" w:eastAsia="zh-CN" w:bidi="ar"/>
              </w:rPr>
              <w:t>基层医疗卫生机构基本药物制度补助</w:t>
            </w:r>
          </w:p>
        </w:tc>
      </w:tr>
      <w:tr w14:paraId="19EC3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2" w:hRule="atLeast"/>
        </w:trPr>
        <w:tc>
          <w:tcPr>
            <w:tcW w:w="244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D1476C">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主管部门</w:t>
            </w: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0CE9EB">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松潘县卫生健康局本级</w:t>
            </w:r>
          </w:p>
        </w:tc>
        <w:tc>
          <w:tcPr>
            <w:tcW w:w="1107" w:type="dxa"/>
            <w:gridSpan w:val="2"/>
            <w:tcBorders>
              <w:top w:val="nil"/>
              <w:left w:val="nil"/>
              <w:bottom w:val="nil"/>
              <w:right w:val="nil"/>
            </w:tcBorders>
            <w:shd w:val="clear" w:color="auto" w:fill="FFFFFF" w:themeFill="background1"/>
            <w:vAlign w:val="center"/>
          </w:tcPr>
          <w:p w14:paraId="71F0485F">
            <w:pPr>
              <w:keepNext w:val="0"/>
              <w:keepLines w:val="0"/>
              <w:widowControl/>
              <w:suppressLineNumbers w:val="0"/>
              <w:jc w:val="left"/>
              <w:textAlignment w:val="center"/>
              <w:rPr>
                <w:rFonts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实施单位 （盖章）</w:t>
            </w:r>
          </w:p>
        </w:tc>
        <w:tc>
          <w:tcPr>
            <w:tcW w:w="3840"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F6BA5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松潘县岷江乡卫生院</w:t>
            </w:r>
          </w:p>
        </w:tc>
      </w:tr>
      <w:tr w14:paraId="3B780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26B9AE">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项目基本情况</w:t>
            </w: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74A045">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1.项目年度目标完成情况</w:t>
            </w: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53E69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项目年度目标</w:t>
            </w:r>
          </w:p>
        </w:tc>
        <w:tc>
          <w:tcPr>
            <w:tcW w:w="4947"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17B254">
            <w:pPr>
              <w:keepNext w:val="0"/>
              <w:keepLines w:val="0"/>
              <w:widowControl/>
              <w:suppressLineNumbers w:val="0"/>
              <w:jc w:val="center"/>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年度目标完成情况</w:t>
            </w:r>
          </w:p>
        </w:tc>
      </w:tr>
      <w:tr w14:paraId="48EFC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EAE620">
            <w:pP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F40F60">
            <w:pPr>
              <w:rPr>
                <w:rFonts w:hint="eastAsia" w:ascii="宋体" w:hAnsi="宋体" w:eastAsia="宋体" w:cs="宋体"/>
                <w:i w:val="0"/>
                <w:iCs w:val="0"/>
                <w:color w:val="000000"/>
                <w:kern w:val="21"/>
                <w:sz w:val="18"/>
                <w:szCs w:val="18"/>
                <w:u w:val="none"/>
              </w:rPr>
            </w:pP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2AB8DC">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保障我乡所有基层医疗机构实施国家基本药物制度，推进综合改革顺利进行</w:t>
            </w:r>
            <w:r>
              <w:rPr>
                <w:rFonts w:hint="eastAsia" w:ascii="宋体" w:hAnsi="宋体" w:cs="宋体"/>
                <w:i w:val="0"/>
                <w:iCs w:val="0"/>
                <w:color w:val="000000"/>
                <w:kern w:val="21"/>
                <w:sz w:val="18"/>
                <w:szCs w:val="18"/>
                <w:u w:val="none"/>
                <w:lang w:val="en-US" w:eastAsia="zh-CN" w:bidi="ar"/>
              </w:rPr>
              <w:t>：</w:t>
            </w:r>
          </w:p>
        </w:tc>
        <w:tc>
          <w:tcPr>
            <w:tcW w:w="4947"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56CAF6">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我院已完成了本年度的项目支出</w:t>
            </w:r>
          </w:p>
        </w:tc>
      </w:tr>
      <w:tr w14:paraId="5658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DCF8C9">
            <w:pP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94A007">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2.项目实施内容及过程概述</w:t>
            </w:r>
          </w:p>
        </w:tc>
        <w:tc>
          <w:tcPr>
            <w:tcW w:w="11091" w:type="dxa"/>
            <w:gridSpan w:val="1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AD23A7">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对实施国家基本药物制度的基层医疗机构给予补助，支持国家基本药物制度在基层医疗机构顺利实施</w:t>
            </w:r>
            <w:r>
              <w:rPr>
                <w:rFonts w:hint="eastAsia" w:ascii="宋体" w:hAnsi="宋体" w:cs="宋体"/>
                <w:i w:val="0"/>
                <w:iCs w:val="0"/>
                <w:color w:val="000000"/>
                <w:kern w:val="21"/>
                <w:sz w:val="18"/>
                <w:szCs w:val="18"/>
                <w:u w:val="none"/>
                <w:lang w:val="en-US" w:eastAsia="zh-CN" w:bidi="ar"/>
              </w:rPr>
              <w:t>；</w:t>
            </w:r>
          </w:p>
        </w:tc>
      </w:tr>
      <w:tr w14:paraId="0A175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BADB6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预算执行情况（10分）</w:t>
            </w: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09771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年度预算数（万元）</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0347C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年初预算</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B4FA2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调整后预算数</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E00AD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预算执行数</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99958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预算执行率</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1D0C5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权重</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49E39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得分</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EE352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原因</w:t>
            </w:r>
          </w:p>
        </w:tc>
      </w:tr>
      <w:tr w14:paraId="5DF07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0930FD">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C3D6C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总额</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47717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A202F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2.20</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83DB9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2.20</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B47A0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50B2C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3434F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7</w:t>
            </w:r>
          </w:p>
        </w:tc>
        <w:tc>
          <w:tcPr>
            <w:tcW w:w="279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21766A">
            <w:pPr>
              <w:keepNext w:val="0"/>
              <w:keepLines w:val="0"/>
              <w:widowControl/>
              <w:suppressLineNumbers w:val="0"/>
              <w:jc w:val="left"/>
              <w:textAlignment w:val="center"/>
              <w:rPr>
                <w:rFonts w:hint="eastAsia" w:ascii="黑体" w:hAnsi="黑体" w:eastAsia="黑体" w:cs="黑体"/>
                <w:i/>
                <w:iCs/>
                <w:color w:val="000000"/>
                <w:kern w:val="21"/>
                <w:sz w:val="18"/>
                <w:szCs w:val="18"/>
                <w:u w:val="none"/>
              </w:rPr>
            </w:pPr>
            <w:r>
              <w:rPr>
                <w:rFonts w:hint="eastAsia" w:ascii="黑体" w:hAnsi="黑体" w:eastAsia="黑体" w:cs="黑体"/>
                <w:i/>
                <w:iCs/>
                <w:color w:val="000000"/>
                <w:kern w:val="21"/>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597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8154C8">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6A542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其中：财政资金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8EFED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0FC1C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2.20</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70323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2.20</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F3D57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84B8D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E624B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44B02F">
            <w:pPr>
              <w:rPr>
                <w:rFonts w:hint="eastAsia" w:ascii="黑体" w:hAnsi="黑体" w:eastAsia="黑体" w:cs="黑体"/>
                <w:i/>
                <w:iCs/>
                <w:color w:val="000000"/>
                <w:kern w:val="21"/>
                <w:sz w:val="18"/>
                <w:szCs w:val="18"/>
                <w:u w:val="none"/>
              </w:rPr>
            </w:pPr>
          </w:p>
        </w:tc>
      </w:tr>
      <w:tr w14:paraId="5F4A1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2A80F3">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385BF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财政专户管理资金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FE5AC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0DF95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EDA89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C161D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1B687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A33EF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3BF0E7">
            <w:pPr>
              <w:rPr>
                <w:rFonts w:hint="eastAsia" w:ascii="黑体" w:hAnsi="黑体" w:eastAsia="黑体" w:cs="黑体"/>
                <w:i/>
                <w:iCs/>
                <w:color w:val="000000"/>
                <w:kern w:val="21"/>
                <w:sz w:val="18"/>
                <w:szCs w:val="18"/>
                <w:u w:val="none"/>
              </w:rPr>
            </w:pPr>
          </w:p>
        </w:tc>
      </w:tr>
      <w:tr w14:paraId="6B349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2C4AA3">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EBF87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单位资金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0C6A5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44CBE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CEE93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A6A3A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CF66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55EC8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2E98F9">
            <w:pPr>
              <w:rPr>
                <w:rFonts w:hint="eastAsia" w:ascii="黑体" w:hAnsi="黑体" w:eastAsia="黑体" w:cs="黑体"/>
                <w:i/>
                <w:iCs/>
                <w:color w:val="000000"/>
                <w:kern w:val="21"/>
                <w:sz w:val="18"/>
                <w:szCs w:val="18"/>
                <w:u w:val="none"/>
              </w:rPr>
            </w:pPr>
          </w:p>
        </w:tc>
      </w:tr>
      <w:tr w14:paraId="32BEC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C8AB42">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269D5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其他资金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A9D39B">
            <w:pPr>
              <w:jc w:val="center"/>
              <w:rPr>
                <w:rFonts w:hint="eastAsia" w:ascii="微软雅黑" w:hAnsi="微软雅黑" w:eastAsia="微软雅黑" w:cs="微软雅黑"/>
                <w:i/>
                <w:iCs/>
                <w:color w:val="000000"/>
                <w:kern w:val="21"/>
                <w:sz w:val="16"/>
                <w:szCs w:val="16"/>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12E509">
            <w:pPr>
              <w:jc w:val="center"/>
              <w:rPr>
                <w:rFonts w:hint="eastAsia" w:ascii="微软雅黑" w:hAnsi="微软雅黑" w:eastAsia="微软雅黑" w:cs="微软雅黑"/>
                <w:i/>
                <w:iCs/>
                <w:color w:val="000000"/>
                <w:kern w:val="21"/>
                <w:sz w:val="16"/>
                <w:szCs w:val="16"/>
                <w:u w:val="none"/>
              </w:rPr>
            </w:pP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9160E5">
            <w:pPr>
              <w:jc w:val="center"/>
              <w:rPr>
                <w:rFonts w:hint="eastAsia" w:ascii="微软雅黑" w:hAnsi="微软雅黑" w:eastAsia="微软雅黑" w:cs="微软雅黑"/>
                <w:i/>
                <w:iCs/>
                <w:color w:val="000000"/>
                <w:kern w:val="21"/>
                <w:sz w:val="16"/>
                <w:szCs w:val="16"/>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485B95">
            <w:pPr>
              <w:jc w:val="center"/>
              <w:rPr>
                <w:rFonts w:hint="eastAsia" w:ascii="微软雅黑" w:hAnsi="微软雅黑" w:eastAsia="微软雅黑" w:cs="微软雅黑"/>
                <w:i/>
                <w:iCs/>
                <w:color w:val="000000"/>
                <w:kern w:val="21"/>
                <w:sz w:val="16"/>
                <w:szCs w:val="16"/>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29754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96CE9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4861FB">
            <w:pPr>
              <w:rPr>
                <w:rFonts w:hint="eastAsia" w:ascii="黑体" w:hAnsi="黑体" w:eastAsia="黑体" w:cs="黑体"/>
                <w:i/>
                <w:iCs/>
                <w:color w:val="000000"/>
                <w:kern w:val="21"/>
                <w:sz w:val="18"/>
                <w:szCs w:val="18"/>
                <w:u w:val="none"/>
              </w:rPr>
            </w:pPr>
          </w:p>
        </w:tc>
      </w:tr>
      <w:tr w14:paraId="2C5B6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98D7B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绩效指标（90分）</w:t>
            </w: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08EF6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一级指标</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80219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二级指标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D993C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三级指标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EA415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指标性质</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07CDE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E935A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度量单位</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7B7B2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完成值</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E4AF8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权重</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04C1B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得分</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668E6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未完成原因分析</w:t>
            </w:r>
          </w:p>
        </w:tc>
      </w:tr>
      <w:tr w14:paraId="24B92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3DB1E9">
            <w:pPr>
              <w:jc w:val="center"/>
              <w:rPr>
                <w:rFonts w:hint="eastAsia" w:ascii="宋体" w:hAnsi="宋体" w:eastAsia="宋体" w:cs="宋体"/>
                <w:i w:val="0"/>
                <w:iCs w:val="0"/>
                <w:color w:val="000000"/>
                <w:kern w:val="21"/>
                <w:sz w:val="18"/>
                <w:szCs w:val="18"/>
                <w:u w:val="none"/>
              </w:rPr>
            </w:pP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E5DAE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产出指标</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3F124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数量指标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B3618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村卫生室实施国家基本药物制度覆盖率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36717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53C1C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CEEF4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C83F8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9BBE0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5C4B9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40</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589D9A">
            <w:pPr>
              <w:jc w:val="center"/>
              <w:rPr>
                <w:rFonts w:hint="eastAsia" w:ascii="宋体" w:hAnsi="宋体" w:eastAsia="宋体" w:cs="宋体"/>
                <w:i w:val="0"/>
                <w:iCs w:val="0"/>
                <w:color w:val="000000"/>
                <w:kern w:val="21"/>
                <w:sz w:val="18"/>
                <w:szCs w:val="18"/>
                <w:u w:val="none"/>
              </w:rPr>
            </w:pPr>
          </w:p>
        </w:tc>
      </w:tr>
      <w:tr w14:paraId="53632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CEDAB0">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0829F7">
            <w:pPr>
              <w:jc w:val="center"/>
              <w:rPr>
                <w:rFonts w:hint="eastAsia" w:ascii="宋体" w:hAnsi="宋体" w:eastAsia="宋体" w:cs="宋体"/>
                <w:i w:val="0"/>
                <w:iCs w:val="0"/>
                <w:color w:val="000000"/>
                <w:kern w:val="21"/>
                <w:sz w:val="18"/>
                <w:szCs w:val="18"/>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DE26E2">
            <w:pPr>
              <w:keepNext w:val="0"/>
              <w:keepLines w:val="0"/>
              <w:widowControl/>
              <w:suppressLineNumbers w:val="0"/>
              <w:jc w:val="center"/>
              <w:textAlignment w:val="center"/>
              <w:rPr>
                <w:rFonts w:hint="eastAsia" w:ascii="宋体" w:hAnsi="宋体" w:eastAsia="宋体" w:cs="宋体"/>
                <w:i w:val="0"/>
                <w:iCs w:val="0"/>
                <w:color w:val="000000"/>
                <w:kern w:val="21"/>
                <w:sz w:val="22"/>
                <w:szCs w:val="22"/>
                <w:u w:val="none"/>
              </w:rPr>
            </w:pPr>
            <w:r>
              <w:rPr>
                <w:rFonts w:hint="eastAsia" w:ascii="宋体" w:hAnsi="宋体" w:eastAsia="宋体" w:cs="宋体"/>
                <w:i w:val="0"/>
                <w:iCs w:val="0"/>
                <w:color w:val="000000"/>
                <w:kern w:val="21"/>
                <w:sz w:val="22"/>
                <w:szCs w:val="22"/>
                <w:u w:val="none"/>
                <w:lang w:val="en-US" w:eastAsia="zh-CN" w:bidi="ar"/>
              </w:rPr>
              <w:t>质量指标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4B525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基层医疗卫生机构“优质服务基层行”活动达到基本标准及以上的比例</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577EB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49E19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B760A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DAC25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65</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DAD33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64877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F645FB">
            <w:pPr>
              <w:jc w:val="center"/>
              <w:rPr>
                <w:rFonts w:hint="eastAsia" w:ascii="宋体" w:hAnsi="宋体" w:eastAsia="宋体" w:cs="宋体"/>
                <w:i w:val="0"/>
                <w:iCs w:val="0"/>
                <w:color w:val="000000"/>
                <w:kern w:val="21"/>
                <w:sz w:val="18"/>
                <w:szCs w:val="18"/>
                <w:u w:val="none"/>
              </w:rPr>
            </w:pPr>
          </w:p>
        </w:tc>
      </w:tr>
      <w:tr w14:paraId="159E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D70D74">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8B716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效益指标</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3779A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可持续影响指标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E360F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国家基本药物制度在基层持续实施</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FB9F7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定性</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F8ED2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中长期</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D9FF9E">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379816">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FD0EA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9B701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20</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CC3B8E">
            <w:pPr>
              <w:jc w:val="center"/>
              <w:rPr>
                <w:rFonts w:hint="eastAsia" w:ascii="宋体" w:hAnsi="宋体" w:eastAsia="宋体" w:cs="宋体"/>
                <w:i w:val="0"/>
                <w:iCs w:val="0"/>
                <w:color w:val="000000"/>
                <w:kern w:val="21"/>
                <w:sz w:val="18"/>
                <w:szCs w:val="18"/>
                <w:u w:val="none"/>
              </w:rPr>
            </w:pPr>
          </w:p>
        </w:tc>
      </w:tr>
      <w:tr w14:paraId="643C6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1699BC">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8BC76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效益指标</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0B908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社会效益指标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3D0D4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乡村医生收入</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F6156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定性</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A6E3B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保持稳定</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4170F9">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F9DABE">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11A6C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A62C1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20</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1A4245">
            <w:pPr>
              <w:jc w:val="center"/>
              <w:rPr>
                <w:rFonts w:hint="eastAsia" w:ascii="宋体" w:hAnsi="宋体" w:eastAsia="宋体" w:cs="宋体"/>
                <w:i w:val="0"/>
                <w:iCs w:val="0"/>
                <w:color w:val="000000"/>
                <w:kern w:val="21"/>
                <w:sz w:val="18"/>
                <w:szCs w:val="18"/>
                <w:u w:val="none"/>
              </w:rPr>
            </w:pPr>
          </w:p>
        </w:tc>
      </w:tr>
      <w:tr w14:paraId="5631B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5E89A7">
            <w:pPr>
              <w:jc w:val="center"/>
              <w:rPr>
                <w:rFonts w:hint="eastAsia" w:ascii="宋体" w:hAnsi="宋体" w:eastAsia="宋体" w:cs="宋体"/>
                <w:i w:val="0"/>
                <w:iCs w:val="0"/>
                <w:color w:val="000000"/>
                <w:kern w:val="21"/>
                <w:sz w:val="18"/>
                <w:szCs w:val="18"/>
                <w:u w:val="none"/>
              </w:rPr>
            </w:pP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53629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满意度指标</w:t>
            </w:r>
          </w:p>
        </w:tc>
        <w:tc>
          <w:tcPr>
            <w:tcW w:w="170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979BB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服务对象满意度指标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54BF2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医院医务人员满意度</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701AB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定性</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E5D88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较上一年提高</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C27E63">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3B0645">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5C4A6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4D64A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55CF27">
            <w:pPr>
              <w:jc w:val="center"/>
              <w:rPr>
                <w:rFonts w:hint="eastAsia" w:ascii="宋体" w:hAnsi="宋体" w:eastAsia="宋体" w:cs="宋体"/>
                <w:i w:val="0"/>
                <w:iCs w:val="0"/>
                <w:color w:val="000000"/>
                <w:kern w:val="21"/>
                <w:sz w:val="18"/>
                <w:szCs w:val="18"/>
                <w:u w:val="none"/>
              </w:rPr>
            </w:pPr>
          </w:p>
        </w:tc>
      </w:tr>
      <w:tr w14:paraId="6FF2D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08FD6D">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732979">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E28608">
            <w:pPr>
              <w:jc w:val="center"/>
              <w:rPr>
                <w:rFonts w:hint="eastAsia" w:ascii="宋体" w:hAnsi="宋体" w:eastAsia="宋体" w:cs="宋体"/>
                <w:i w:val="0"/>
                <w:iCs w:val="0"/>
                <w:color w:val="000000"/>
                <w:kern w:val="21"/>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A7D67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对基本药物制度补助满意度</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794DE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739A8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30D03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157110">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52445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969A8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0677AC">
            <w:pPr>
              <w:jc w:val="center"/>
              <w:rPr>
                <w:rFonts w:hint="eastAsia" w:ascii="微软雅黑" w:hAnsi="微软雅黑" w:eastAsia="微软雅黑" w:cs="微软雅黑"/>
                <w:i/>
                <w:iCs/>
                <w:color w:val="000000"/>
                <w:kern w:val="21"/>
                <w:sz w:val="16"/>
                <w:szCs w:val="16"/>
                <w:u w:val="none"/>
              </w:rPr>
            </w:pPr>
          </w:p>
        </w:tc>
      </w:tr>
      <w:tr w14:paraId="6088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2"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F0DA8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合计</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19B94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5338BE">
            <w:pPr>
              <w:keepNext w:val="0"/>
              <w:keepLines w:val="0"/>
              <w:widowControl/>
              <w:suppressLineNumbers w:val="0"/>
              <w:jc w:val="righ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81D962">
            <w:pPr>
              <w:rPr>
                <w:rFonts w:hint="eastAsia" w:ascii="宋体" w:hAnsi="宋体" w:eastAsia="宋体" w:cs="宋体"/>
                <w:i w:val="0"/>
                <w:iCs w:val="0"/>
                <w:color w:val="000000"/>
                <w:kern w:val="21"/>
                <w:sz w:val="18"/>
                <w:szCs w:val="18"/>
                <w:u w:val="none"/>
              </w:rPr>
            </w:pPr>
          </w:p>
        </w:tc>
      </w:tr>
      <w:tr w14:paraId="0B946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40F0C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评价结论</w:t>
            </w:r>
          </w:p>
        </w:tc>
        <w:tc>
          <w:tcPr>
            <w:tcW w:w="12824" w:type="dxa"/>
            <w:gridSpan w:val="1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059206">
            <w:pPr>
              <w:keepNext w:val="0"/>
              <w:keepLines w:val="0"/>
              <w:widowControl/>
              <w:suppressLineNumbers w:val="0"/>
              <w:jc w:val="left"/>
              <w:textAlignment w:val="center"/>
              <w:rPr>
                <w:rFonts w:hint="eastAsia" w:ascii="微软雅黑" w:hAnsi="微软雅黑" w:eastAsia="微软雅黑" w:cs="微软雅黑"/>
                <w:i/>
                <w:iCs/>
                <w:color w:val="000000"/>
                <w:kern w:val="21"/>
                <w:sz w:val="16"/>
                <w:szCs w:val="16"/>
                <w:u w:val="none"/>
              </w:rPr>
            </w:pPr>
            <w:r>
              <w:rPr>
                <w:rFonts w:hint="eastAsia" w:ascii="微软雅黑" w:hAnsi="微软雅黑" w:eastAsia="微软雅黑" w:cs="微软雅黑"/>
                <w:i/>
                <w:iCs/>
                <w:color w:val="000000"/>
                <w:kern w:val="21"/>
                <w:sz w:val="16"/>
                <w:szCs w:val="16"/>
                <w:u w:val="none"/>
                <w:lang w:val="en-US" w:eastAsia="zh-CN" w:bidi="ar"/>
              </w:rPr>
              <w:t>总分90分，较好地完成了本年度基本公共卫生服务补助资金的支出。</w:t>
            </w:r>
          </w:p>
        </w:tc>
      </w:tr>
      <w:tr w14:paraId="04E31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ABED2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存在问题</w:t>
            </w:r>
          </w:p>
        </w:tc>
        <w:tc>
          <w:tcPr>
            <w:tcW w:w="12824" w:type="dxa"/>
            <w:gridSpan w:val="1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0C3324">
            <w:pPr>
              <w:keepNext w:val="0"/>
              <w:keepLines w:val="0"/>
              <w:widowControl/>
              <w:suppressLineNumbers w:val="0"/>
              <w:jc w:val="left"/>
              <w:textAlignment w:val="center"/>
              <w:rPr>
                <w:rFonts w:hint="eastAsia" w:ascii="微软雅黑" w:hAnsi="微软雅黑" w:eastAsia="微软雅黑" w:cs="微软雅黑"/>
                <w:i/>
                <w:iCs/>
                <w:color w:val="000000"/>
                <w:kern w:val="21"/>
                <w:sz w:val="16"/>
                <w:szCs w:val="16"/>
                <w:u w:val="none"/>
              </w:rPr>
            </w:pPr>
            <w:r>
              <w:rPr>
                <w:rFonts w:hint="eastAsia" w:ascii="微软雅黑" w:hAnsi="微软雅黑" w:eastAsia="微软雅黑" w:cs="微软雅黑"/>
                <w:i/>
                <w:iCs/>
                <w:color w:val="000000"/>
                <w:kern w:val="21"/>
                <w:sz w:val="16"/>
                <w:szCs w:val="16"/>
                <w:u w:val="none"/>
                <w:lang w:val="en-US" w:eastAsia="zh-CN" w:bidi="ar"/>
              </w:rPr>
              <w:t>目前主要存在的问题是，分管人员支付进度较慢。</w:t>
            </w:r>
          </w:p>
        </w:tc>
      </w:tr>
      <w:tr w14:paraId="76193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599DD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改进措施</w:t>
            </w:r>
          </w:p>
        </w:tc>
        <w:tc>
          <w:tcPr>
            <w:tcW w:w="12824" w:type="dxa"/>
            <w:gridSpan w:val="1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5A6BA4">
            <w:pPr>
              <w:keepNext w:val="0"/>
              <w:keepLines w:val="0"/>
              <w:widowControl/>
              <w:suppressLineNumbers w:val="0"/>
              <w:jc w:val="left"/>
              <w:textAlignment w:val="center"/>
              <w:rPr>
                <w:rFonts w:hint="eastAsia" w:ascii="微软雅黑" w:hAnsi="微软雅黑" w:eastAsia="微软雅黑" w:cs="微软雅黑"/>
                <w:i/>
                <w:iCs/>
                <w:color w:val="000000"/>
                <w:kern w:val="21"/>
                <w:sz w:val="16"/>
                <w:szCs w:val="16"/>
                <w:u w:val="none"/>
              </w:rPr>
            </w:pPr>
            <w:r>
              <w:rPr>
                <w:rFonts w:hint="eastAsia" w:ascii="微软雅黑" w:hAnsi="微软雅黑" w:eastAsia="微软雅黑" w:cs="微软雅黑"/>
                <w:i/>
                <w:iCs/>
                <w:color w:val="000000"/>
                <w:kern w:val="21"/>
                <w:sz w:val="16"/>
                <w:szCs w:val="16"/>
                <w:u w:val="none"/>
                <w:lang w:val="en-US" w:eastAsia="zh-CN" w:bidi="ar"/>
              </w:rPr>
              <w:t>针对项目自评中发现的问题，提出下一步改进完善的意见及有关政策性建议。（200字以内）</w:t>
            </w:r>
          </w:p>
        </w:tc>
      </w:tr>
      <w:tr w14:paraId="00744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38"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76C7DE">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项目负责人：</w:t>
            </w:r>
          </w:p>
        </w:tc>
        <w:tc>
          <w:tcPr>
            <w:tcW w:w="6894"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DE26CE">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财务负责人：</w:t>
            </w:r>
          </w:p>
        </w:tc>
      </w:tr>
      <w:tr w14:paraId="1E401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708" w:type="dxa"/>
            <w:tcBorders>
              <w:top w:val="nil"/>
              <w:left w:val="nil"/>
              <w:bottom w:val="nil"/>
              <w:right w:val="nil"/>
            </w:tcBorders>
            <w:shd w:val="clear" w:color="auto" w:fill="FFFFFF" w:themeFill="background1"/>
            <w:vAlign w:val="center"/>
          </w:tcPr>
          <w:p w14:paraId="7737FF09">
            <w:pPr>
              <w:rPr>
                <w:rFonts w:hint="eastAsia" w:ascii="宋体" w:hAnsi="宋体" w:eastAsia="宋体" w:cs="宋体"/>
                <w:i w:val="0"/>
                <w:iCs w:val="0"/>
                <w:color w:val="000000"/>
                <w:kern w:val="21"/>
                <w:sz w:val="18"/>
                <w:szCs w:val="18"/>
                <w:u w:val="none"/>
              </w:rPr>
            </w:pPr>
          </w:p>
        </w:tc>
        <w:tc>
          <w:tcPr>
            <w:tcW w:w="1733" w:type="dxa"/>
            <w:tcBorders>
              <w:top w:val="nil"/>
              <w:left w:val="nil"/>
              <w:bottom w:val="nil"/>
              <w:right w:val="nil"/>
            </w:tcBorders>
            <w:shd w:val="clear" w:color="auto" w:fill="FFFFFF" w:themeFill="background1"/>
            <w:vAlign w:val="center"/>
          </w:tcPr>
          <w:p w14:paraId="04824039">
            <w:pPr>
              <w:rPr>
                <w:rFonts w:hint="eastAsia" w:ascii="宋体" w:hAnsi="宋体" w:eastAsia="宋体" w:cs="宋体"/>
                <w:i w:val="0"/>
                <w:iCs w:val="0"/>
                <w:color w:val="000000"/>
                <w:kern w:val="21"/>
                <w:sz w:val="18"/>
                <w:szCs w:val="18"/>
                <w:u w:val="none"/>
              </w:rPr>
            </w:pPr>
          </w:p>
        </w:tc>
        <w:tc>
          <w:tcPr>
            <w:tcW w:w="1705" w:type="dxa"/>
            <w:tcBorders>
              <w:top w:val="nil"/>
              <w:left w:val="nil"/>
              <w:bottom w:val="nil"/>
              <w:right w:val="nil"/>
            </w:tcBorders>
            <w:shd w:val="clear" w:color="auto" w:fill="FFFFFF" w:themeFill="background1"/>
            <w:vAlign w:val="center"/>
          </w:tcPr>
          <w:p w14:paraId="1F22A974">
            <w:pPr>
              <w:rPr>
                <w:rFonts w:hint="eastAsia" w:ascii="宋体" w:hAnsi="宋体" w:eastAsia="宋体" w:cs="宋体"/>
                <w:i w:val="0"/>
                <w:iCs w:val="0"/>
                <w:color w:val="000000"/>
                <w:kern w:val="21"/>
                <w:sz w:val="18"/>
                <w:szCs w:val="18"/>
                <w:u w:val="none"/>
              </w:rPr>
            </w:pPr>
          </w:p>
        </w:tc>
        <w:tc>
          <w:tcPr>
            <w:tcW w:w="1923" w:type="dxa"/>
            <w:tcBorders>
              <w:top w:val="nil"/>
              <w:left w:val="nil"/>
              <w:bottom w:val="nil"/>
              <w:right w:val="nil"/>
            </w:tcBorders>
            <w:shd w:val="clear" w:color="auto" w:fill="FFFFFF" w:themeFill="background1"/>
            <w:vAlign w:val="center"/>
          </w:tcPr>
          <w:p w14:paraId="2F3BDE20">
            <w:pPr>
              <w:rPr>
                <w:rFonts w:hint="eastAsia" w:ascii="宋体" w:hAnsi="宋体" w:eastAsia="宋体" w:cs="宋体"/>
                <w:i w:val="0"/>
                <w:iCs w:val="0"/>
                <w:color w:val="000000"/>
                <w:kern w:val="21"/>
                <w:sz w:val="18"/>
                <w:szCs w:val="18"/>
                <w:u w:val="none"/>
              </w:rPr>
            </w:pPr>
          </w:p>
        </w:tc>
        <w:tc>
          <w:tcPr>
            <w:tcW w:w="569" w:type="dxa"/>
            <w:tcBorders>
              <w:top w:val="nil"/>
              <w:left w:val="nil"/>
              <w:bottom w:val="nil"/>
              <w:right w:val="nil"/>
            </w:tcBorders>
            <w:shd w:val="clear" w:color="auto" w:fill="FFFFFF" w:themeFill="background1"/>
            <w:vAlign w:val="center"/>
          </w:tcPr>
          <w:p w14:paraId="2333715D">
            <w:pPr>
              <w:rPr>
                <w:rFonts w:hint="eastAsia" w:ascii="宋体" w:hAnsi="宋体" w:eastAsia="宋体" w:cs="宋体"/>
                <w:i w:val="0"/>
                <w:iCs w:val="0"/>
                <w:color w:val="000000"/>
                <w:kern w:val="21"/>
                <w:sz w:val="18"/>
                <w:szCs w:val="18"/>
                <w:u w:val="none"/>
              </w:rPr>
            </w:pPr>
          </w:p>
        </w:tc>
        <w:tc>
          <w:tcPr>
            <w:tcW w:w="1422" w:type="dxa"/>
            <w:tcBorders>
              <w:top w:val="nil"/>
              <w:left w:val="nil"/>
              <w:bottom w:val="nil"/>
              <w:right w:val="nil"/>
            </w:tcBorders>
            <w:shd w:val="clear" w:color="auto" w:fill="FFFFFF" w:themeFill="background1"/>
            <w:vAlign w:val="center"/>
          </w:tcPr>
          <w:p w14:paraId="4194A24F">
            <w:pPr>
              <w:rPr>
                <w:rFonts w:hint="eastAsia" w:ascii="宋体" w:hAnsi="宋体" w:eastAsia="宋体" w:cs="宋体"/>
                <w:i w:val="0"/>
                <w:iCs w:val="0"/>
                <w:color w:val="000000"/>
                <w:kern w:val="21"/>
                <w:sz w:val="18"/>
                <w:szCs w:val="18"/>
                <w:u w:val="none"/>
              </w:rPr>
            </w:pPr>
          </w:p>
        </w:tc>
        <w:tc>
          <w:tcPr>
            <w:tcW w:w="526" w:type="dxa"/>
            <w:gridSpan w:val="2"/>
            <w:tcBorders>
              <w:top w:val="nil"/>
              <w:left w:val="nil"/>
              <w:bottom w:val="nil"/>
              <w:right w:val="nil"/>
            </w:tcBorders>
            <w:shd w:val="clear" w:color="auto" w:fill="FFFFFF" w:themeFill="background1"/>
            <w:vAlign w:val="center"/>
          </w:tcPr>
          <w:p w14:paraId="599DBFED">
            <w:pPr>
              <w:rPr>
                <w:rFonts w:hint="eastAsia" w:ascii="宋体" w:hAnsi="宋体" w:eastAsia="宋体" w:cs="宋体"/>
                <w:i w:val="0"/>
                <w:iCs w:val="0"/>
                <w:color w:val="000000"/>
                <w:kern w:val="21"/>
                <w:sz w:val="18"/>
                <w:szCs w:val="18"/>
                <w:u w:val="none"/>
              </w:rPr>
            </w:pPr>
          </w:p>
        </w:tc>
        <w:tc>
          <w:tcPr>
            <w:tcW w:w="1107" w:type="dxa"/>
            <w:gridSpan w:val="2"/>
            <w:tcBorders>
              <w:top w:val="nil"/>
              <w:left w:val="nil"/>
              <w:bottom w:val="nil"/>
              <w:right w:val="nil"/>
            </w:tcBorders>
            <w:shd w:val="clear" w:color="auto" w:fill="FFFFFF" w:themeFill="background1"/>
            <w:vAlign w:val="center"/>
          </w:tcPr>
          <w:p w14:paraId="163BE297">
            <w:pPr>
              <w:rPr>
                <w:rFonts w:hint="eastAsia" w:ascii="宋体" w:hAnsi="宋体" w:eastAsia="宋体" w:cs="宋体"/>
                <w:i w:val="0"/>
                <w:iCs w:val="0"/>
                <w:color w:val="000000"/>
                <w:kern w:val="21"/>
                <w:sz w:val="18"/>
                <w:szCs w:val="18"/>
                <w:u w:val="none"/>
              </w:rPr>
            </w:pPr>
          </w:p>
        </w:tc>
        <w:tc>
          <w:tcPr>
            <w:tcW w:w="551" w:type="dxa"/>
            <w:gridSpan w:val="2"/>
            <w:tcBorders>
              <w:top w:val="nil"/>
              <w:left w:val="nil"/>
              <w:bottom w:val="nil"/>
              <w:right w:val="nil"/>
            </w:tcBorders>
            <w:shd w:val="clear" w:color="auto" w:fill="FFFFFF" w:themeFill="background1"/>
            <w:vAlign w:val="center"/>
          </w:tcPr>
          <w:p w14:paraId="1D418133">
            <w:pPr>
              <w:rPr>
                <w:rFonts w:hint="eastAsia" w:ascii="宋体" w:hAnsi="宋体" w:eastAsia="宋体" w:cs="宋体"/>
                <w:i w:val="0"/>
                <w:iCs w:val="0"/>
                <w:color w:val="000000"/>
                <w:kern w:val="21"/>
                <w:sz w:val="18"/>
                <w:szCs w:val="18"/>
                <w:u w:val="none"/>
              </w:rPr>
            </w:pPr>
          </w:p>
        </w:tc>
        <w:tc>
          <w:tcPr>
            <w:tcW w:w="498" w:type="dxa"/>
            <w:gridSpan w:val="2"/>
            <w:tcBorders>
              <w:top w:val="nil"/>
              <w:left w:val="nil"/>
              <w:bottom w:val="nil"/>
              <w:right w:val="nil"/>
            </w:tcBorders>
            <w:shd w:val="clear" w:color="auto" w:fill="FFFFFF" w:themeFill="background1"/>
            <w:vAlign w:val="center"/>
          </w:tcPr>
          <w:p w14:paraId="378D9D77">
            <w:pPr>
              <w:rPr>
                <w:rFonts w:hint="eastAsia" w:ascii="宋体" w:hAnsi="宋体" w:eastAsia="宋体" w:cs="宋体"/>
                <w:i w:val="0"/>
                <w:iCs w:val="0"/>
                <w:color w:val="000000"/>
                <w:kern w:val="21"/>
                <w:sz w:val="18"/>
                <w:szCs w:val="18"/>
                <w:u w:val="none"/>
              </w:rPr>
            </w:pPr>
          </w:p>
        </w:tc>
        <w:tc>
          <w:tcPr>
            <w:tcW w:w="2790" w:type="dxa"/>
            <w:tcBorders>
              <w:top w:val="nil"/>
              <w:left w:val="nil"/>
              <w:bottom w:val="nil"/>
              <w:right w:val="nil"/>
            </w:tcBorders>
            <w:shd w:val="clear" w:color="auto" w:fill="FFFFFF" w:themeFill="background1"/>
            <w:vAlign w:val="center"/>
          </w:tcPr>
          <w:p w14:paraId="3A99125F">
            <w:pPr>
              <w:rPr>
                <w:rFonts w:hint="eastAsia" w:ascii="宋体" w:hAnsi="宋体" w:eastAsia="宋体" w:cs="宋体"/>
                <w:i w:val="0"/>
                <w:iCs w:val="0"/>
                <w:color w:val="000000"/>
                <w:kern w:val="21"/>
                <w:sz w:val="18"/>
                <w:szCs w:val="18"/>
                <w:u w:val="none"/>
              </w:rPr>
            </w:pPr>
          </w:p>
        </w:tc>
      </w:tr>
      <w:tr w14:paraId="3F2F6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3532" w:type="dxa"/>
            <w:gridSpan w:val="1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018258">
            <w:pPr>
              <w:keepNext w:val="0"/>
              <w:keepLines w:val="0"/>
              <w:widowControl/>
              <w:suppressLineNumbers w:val="0"/>
              <w:jc w:val="center"/>
              <w:textAlignment w:val="center"/>
              <w:rPr>
                <w:rFonts w:hint="eastAsia" w:ascii="黑体" w:hAnsi="宋体" w:eastAsia="黑体" w:cs="黑体"/>
                <w:b/>
                <w:bCs/>
                <w:i w:val="0"/>
                <w:iCs w:val="0"/>
                <w:color w:val="000000"/>
                <w:kern w:val="21"/>
                <w:sz w:val="30"/>
                <w:szCs w:val="30"/>
                <w:u w:val="none"/>
              </w:rPr>
            </w:pPr>
            <w:r>
              <w:rPr>
                <w:rFonts w:hint="eastAsia" w:ascii="黑体" w:hAnsi="宋体" w:eastAsia="黑体" w:cs="黑体"/>
                <w:b/>
                <w:bCs/>
                <w:i w:val="0"/>
                <w:iCs w:val="0"/>
                <w:color w:val="000000"/>
                <w:kern w:val="21"/>
                <w:sz w:val="30"/>
                <w:szCs w:val="30"/>
                <w:u w:val="none"/>
                <w:lang w:val="en-US" w:eastAsia="zh-CN" w:bidi="ar"/>
              </w:rPr>
              <w:t>部门预算项目支出绩效自评表（2023年度）</w:t>
            </w:r>
          </w:p>
        </w:tc>
      </w:tr>
      <w:tr w14:paraId="4FC08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53EECB">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项目名称</w:t>
            </w:r>
          </w:p>
        </w:tc>
        <w:tc>
          <w:tcPr>
            <w:tcW w:w="11091" w:type="dxa"/>
            <w:gridSpan w:val="1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6EF9AB">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51322422T000006104104-12项基本公共卫生服务</w:t>
            </w:r>
          </w:p>
        </w:tc>
      </w:tr>
      <w:tr w14:paraId="18CBD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44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5E23F3">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主管部门</w:t>
            </w: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BBC796">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松潘县卫生健康局本级</w:t>
            </w:r>
          </w:p>
        </w:tc>
        <w:tc>
          <w:tcPr>
            <w:tcW w:w="1107" w:type="dxa"/>
            <w:gridSpan w:val="2"/>
            <w:tcBorders>
              <w:top w:val="nil"/>
              <w:left w:val="nil"/>
              <w:bottom w:val="nil"/>
              <w:right w:val="nil"/>
            </w:tcBorders>
            <w:shd w:val="clear" w:color="auto" w:fill="FFFFFF" w:themeFill="background1"/>
            <w:vAlign w:val="center"/>
          </w:tcPr>
          <w:p w14:paraId="39E5B4FF">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实施单位 （盖章）</w:t>
            </w:r>
          </w:p>
        </w:tc>
        <w:tc>
          <w:tcPr>
            <w:tcW w:w="3840"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48C37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松潘县岷江乡卫生院</w:t>
            </w:r>
          </w:p>
        </w:tc>
      </w:tr>
      <w:tr w14:paraId="42A10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A7CA75">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项目基本情况</w:t>
            </w: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37EB38">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1.项目年度目标完成情况</w:t>
            </w: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3DA5C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项目年度目标</w:t>
            </w:r>
          </w:p>
        </w:tc>
        <w:tc>
          <w:tcPr>
            <w:tcW w:w="4947"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9D7913">
            <w:pPr>
              <w:keepNext w:val="0"/>
              <w:keepLines w:val="0"/>
              <w:widowControl/>
              <w:suppressLineNumbers w:val="0"/>
              <w:jc w:val="center"/>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年度目标完成情况</w:t>
            </w:r>
          </w:p>
        </w:tc>
      </w:tr>
      <w:tr w14:paraId="685A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708"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74F234">
            <w:pP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A5F44C">
            <w:pPr>
              <w:rPr>
                <w:rFonts w:hint="eastAsia" w:ascii="宋体" w:hAnsi="宋体" w:eastAsia="宋体" w:cs="宋体"/>
                <w:i w:val="0"/>
                <w:iCs w:val="0"/>
                <w:color w:val="000000"/>
                <w:kern w:val="21"/>
                <w:sz w:val="18"/>
                <w:szCs w:val="18"/>
                <w:u w:val="none"/>
              </w:rPr>
            </w:pPr>
          </w:p>
        </w:tc>
        <w:tc>
          <w:tcPr>
            <w:tcW w:w="614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2534DB">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免费向城乡居民继续提供基本公共卫生服务，逐步提高基本公共卫生服务居 民满意度和知晓率，促进基本公共卫生服务均等化的机制基本完善，重大疾病和主要健康危害因素得到有效控制，人民健康水平得到进一步提高</w:t>
            </w:r>
          </w:p>
        </w:tc>
        <w:tc>
          <w:tcPr>
            <w:tcW w:w="4947"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E084E9">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我院已完成了本年度的项目支出</w:t>
            </w:r>
          </w:p>
        </w:tc>
      </w:tr>
      <w:tr w14:paraId="37E96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265610">
            <w:pP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780DB2">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2.项目实施内容及过程概述</w:t>
            </w:r>
          </w:p>
        </w:tc>
        <w:tc>
          <w:tcPr>
            <w:tcW w:w="11091" w:type="dxa"/>
            <w:gridSpan w:val="1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7485F0">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免费向城乡居民继续提供基本公共卫生服务，逐步提高基本公共卫生服务居 民满意度和知晓率，促进基本公共卫生服务均等化的机制基本完善，重大疾病和主要健康危害因素得到有效控制，人民健康水平得到进一步提高</w:t>
            </w:r>
          </w:p>
        </w:tc>
      </w:tr>
      <w:tr w14:paraId="4668E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AC8C9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预算执行情况（10分）</w:t>
            </w: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3CF57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年度预算数（万元）</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61C78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年初预算</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BB4F7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调整后预算数</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C79FC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预算执行数</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1ECC5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预算执行率</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1ADE0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权重</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2E1CA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得分</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E8C87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原因</w:t>
            </w:r>
          </w:p>
        </w:tc>
      </w:tr>
      <w:tr w14:paraId="534E3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6"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B898FE">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82174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总额</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874DE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D3A74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26.23</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D5C4F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26.23</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6985D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21792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F1D5C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w:t>
            </w:r>
          </w:p>
        </w:tc>
        <w:tc>
          <w:tcPr>
            <w:tcW w:w="279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7A9AB">
            <w:pPr>
              <w:keepNext w:val="0"/>
              <w:keepLines w:val="0"/>
              <w:widowControl/>
              <w:suppressLineNumbers w:val="0"/>
              <w:jc w:val="left"/>
              <w:textAlignment w:val="center"/>
              <w:rPr>
                <w:rFonts w:hint="eastAsia" w:ascii="黑体" w:hAnsi="黑体" w:eastAsia="黑体" w:cs="黑体"/>
                <w:i/>
                <w:iCs/>
                <w:color w:val="000000"/>
                <w:kern w:val="21"/>
                <w:sz w:val="18"/>
                <w:szCs w:val="18"/>
                <w:u w:val="none"/>
              </w:rPr>
            </w:pPr>
            <w:r>
              <w:rPr>
                <w:rFonts w:hint="eastAsia" w:ascii="黑体" w:hAnsi="黑体" w:eastAsia="黑体" w:cs="黑体"/>
                <w:i/>
                <w:iCs/>
                <w:color w:val="000000"/>
                <w:kern w:val="21"/>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FA70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7916BC">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26C15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其中：财政资金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AF489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31135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26.23</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18ABC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26.23</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A2035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EBC8F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A4D8B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1ABE66">
            <w:pPr>
              <w:rPr>
                <w:rFonts w:hint="eastAsia" w:ascii="黑体" w:hAnsi="黑体" w:eastAsia="黑体" w:cs="黑体"/>
                <w:i/>
                <w:iCs/>
                <w:color w:val="000000"/>
                <w:kern w:val="21"/>
                <w:sz w:val="18"/>
                <w:szCs w:val="18"/>
                <w:u w:val="none"/>
              </w:rPr>
            </w:pPr>
          </w:p>
        </w:tc>
      </w:tr>
      <w:tr w14:paraId="505AD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D8A84E">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E75AC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财政专户管理资金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0D4D7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2592B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22F27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228FB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F2CA6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38D8C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AAE9BF">
            <w:pPr>
              <w:rPr>
                <w:rFonts w:hint="eastAsia" w:ascii="黑体" w:hAnsi="黑体" w:eastAsia="黑体" w:cs="黑体"/>
                <w:i/>
                <w:iCs/>
                <w:color w:val="000000"/>
                <w:kern w:val="21"/>
                <w:sz w:val="18"/>
                <w:szCs w:val="18"/>
                <w:u w:val="none"/>
              </w:rPr>
            </w:pPr>
          </w:p>
        </w:tc>
      </w:tr>
      <w:tr w14:paraId="7262B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1CC2B3">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FCACC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单位资金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6BE6E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E3C3F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EFCD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470CD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3673B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94D73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D8C738">
            <w:pPr>
              <w:rPr>
                <w:rFonts w:hint="eastAsia" w:ascii="黑体" w:hAnsi="黑体" w:eastAsia="黑体" w:cs="黑体"/>
                <w:i/>
                <w:iCs/>
                <w:color w:val="000000"/>
                <w:kern w:val="21"/>
                <w:sz w:val="18"/>
                <w:szCs w:val="18"/>
                <w:u w:val="none"/>
              </w:rPr>
            </w:pPr>
          </w:p>
        </w:tc>
      </w:tr>
      <w:tr w14:paraId="7F6F1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1A8D78">
            <w:pPr>
              <w:jc w:val="center"/>
              <w:rPr>
                <w:rFonts w:hint="eastAsia" w:ascii="宋体" w:hAnsi="宋体" w:eastAsia="宋体" w:cs="宋体"/>
                <w:i w:val="0"/>
                <w:iCs w:val="0"/>
                <w:color w:val="000000"/>
                <w:kern w:val="21"/>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2906B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其他资金</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D29CA1">
            <w:pPr>
              <w:jc w:val="center"/>
              <w:rPr>
                <w:rFonts w:hint="eastAsia" w:ascii="微软雅黑" w:hAnsi="微软雅黑" w:eastAsia="微软雅黑" w:cs="微软雅黑"/>
                <w:i/>
                <w:iCs/>
                <w:color w:val="000000"/>
                <w:kern w:val="21"/>
                <w:sz w:val="16"/>
                <w:szCs w:val="16"/>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D15297">
            <w:pPr>
              <w:jc w:val="center"/>
              <w:rPr>
                <w:rFonts w:hint="eastAsia" w:ascii="微软雅黑" w:hAnsi="微软雅黑" w:eastAsia="微软雅黑" w:cs="微软雅黑"/>
                <w:i/>
                <w:iCs/>
                <w:color w:val="000000"/>
                <w:kern w:val="21"/>
                <w:sz w:val="16"/>
                <w:szCs w:val="16"/>
                <w:u w:val="none"/>
              </w:rPr>
            </w:pP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1E99DC">
            <w:pPr>
              <w:jc w:val="center"/>
              <w:rPr>
                <w:rFonts w:hint="eastAsia" w:ascii="微软雅黑" w:hAnsi="微软雅黑" w:eastAsia="微软雅黑" w:cs="微软雅黑"/>
                <w:i/>
                <w:iCs/>
                <w:color w:val="000000"/>
                <w:kern w:val="21"/>
                <w:sz w:val="16"/>
                <w:szCs w:val="16"/>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1657A5">
            <w:pPr>
              <w:jc w:val="center"/>
              <w:rPr>
                <w:rFonts w:hint="eastAsia" w:ascii="微软雅黑" w:hAnsi="微软雅黑" w:eastAsia="微软雅黑" w:cs="微软雅黑"/>
                <w:i/>
                <w:iCs/>
                <w:color w:val="000000"/>
                <w:kern w:val="21"/>
                <w:sz w:val="16"/>
                <w:szCs w:val="16"/>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0E6EE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1D109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279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3B376C">
            <w:pPr>
              <w:rPr>
                <w:rFonts w:hint="eastAsia" w:ascii="黑体" w:hAnsi="黑体" w:eastAsia="黑体" w:cs="黑体"/>
                <w:i/>
                <w:iCs/>
                <w:color w:val="000000"/>
                <w:kern w:val="21"/>
                <w:sz w:val="18"/>
                <w:szCs w:val="18"/>
                <w:u w:val="none"/>
              </w:rPr>
            </w:pPr>
          </w:p>
        </w:tc>
      </w:tr>
      <w:tr w14:paraId="221E6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267C9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绩效指标（90分）</w:t>
            </w: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F4D7A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一级指标</w:t>
            </w: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FE3D4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二级指标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85863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三级指标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61332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指标性质</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347D5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61096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度量单位</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44779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完成值</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2F04E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权重</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6752F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得分</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B4CE1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未完成原因分析</w:t>
            </w:r>
          </w:p>
        </w:tc>
      </w:tr>
      <w:tr w14:paraId="5A823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AE7955">
            <w:pPr>
              <w:jc w:val="center"/>
              <w:rPr>
                <w:rFonts w:hint="eastAsia" w:ascii="宋体" w:hAnsi="宋体" w:eastAsia="宋体" w:cs="宋体"/>
                <w:i w:val="0"/>
                <w:iCs w:val="0"/>
                <w:color w:val="000000"/>
                <w:kern w:val="21"/>
                <w:sz w:val="18"/>
                <w:szCs w:val="18"/>
                <w:u w:val="none"/>
              </w:rPr>
            </w:pP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E8EA8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产出指标</w:t>
            </w:r>
          </w:p>
        </w:tc>
        <w:tc>
          <w:tcPr>
            <w:tcW w:w="170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4437DB">
            <w:pPr>
              <w:keepNext w:val="0"/>
              <w:keepLines w:val="0"/>
              <w:widowControl/>
              <w:suppressLineNumbers w:val="0"/>
              <w:jc w:val="center"/>
              <w:textAlignment w:val="center"/>
              <w:rPr>
                <w:rFonts w:hint="eastAsia" w:ascii="宋体" w:hAnsi="宋体" w:eastAsia="宋体" w:cs="宋体"/>
                <w:i w:val="0"/>
                <w:iCs w:val="0"/>
                <w:color w:val="000000"/>
                <w:kern w:val="21"/>
                <w:sz w:val="20"/>
                <w:szCs w:val="20"/>
                <w:u w:val="none"/>
              </w:rPr>
            </w:pPr>
            <w:r>
              <w:rPr>
                <w:rFonts w:hint="eastAsia" w:ascii="宋体" w:hAnsi="宋体" w:eastAsia="宋体" w:cs="宋体"/>
                <w:i w:val="0"/>
                <w:iCs w:val="0"/>
                <w:color w:val="000000"/>
                <w:kern w:val="21"/>
                <w:sz w:val="20"/>
                <w:szCs w:val="20"/>
                <w:u w:val="none"/>
                <w:lang w:val="en-US" w:eastAsia="zh-CN" w:bidi="ar"/>
              </w:rPr>
              <w:t>数量指标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1244C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7岁以下儿童健康管理率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6D5ED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AC577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6D536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5C85C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D41FA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4CC8C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1BA37A">
            <w:pPr>
              <w:jc w:val="center"/>
              <w:rPr>
                <w:rFonts w:hint="eastAsia" w:ascii="宋体" w:hAnsi="宋体" w:eastAsia="宋体" w:cs="宋体"/>
                <w:i w:val="0"/>
                <w:iCs w:val="0"/>
                <w:color w:val="000000"/>
                <w:kern w:val="21"/>
                <w:sz w:val="18"/>
                <w:szCs w:val="18"/>
                <w:u w:val="none"/>
              </w:rPr>
            </w:pPr>
          </w:p>
        </w:tc>
      </w:tr>
      <w:tr w14:paraId="489A8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B67F4A">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C81CA0">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D235FD">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FF5AD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0-6岁儿童眼保健和视力检查覆盖率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CC69F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3298C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9101C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AF3B5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70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11D87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FD3F0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8BE66F">
            <w:pPr>
              <w:jc w:val="center"/>
              <w:rPr>
                <w:rFonts w:hint="eastAsia" w:ascii="宋体" w:hAnsi="宋体" w:eastAsia="宋体" w:cs="宋体"/>
                <w:i w:val="0"/>
                <w:iCs w:val="0"/>
                <w:color w:val="000000"/>
                <w:kern w:val="21"/>
                <w:sz w:val="18"/>
                <w:szCs w:val="18"/>
                <w:u w:val="none"/>
              </w:rPr>
            </w:pPr>
          </w:p>
        </w:tc>
      </w:tr>
      <w:tr w14:paraId="45075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DFB0FA">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AE1D11">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E0608A">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5231B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孕产妇系统管理率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8D846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C3F6E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3D90A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401E9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5A0F1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9296A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A69A0E">
            <w:pPr>
              <w:jc w:val="center"/>
              <w:rPr>
                <w:rFonts w:hint="eastAsia" w:ascii="宋体" w:hAnsi="宋体" w:eastAsia="宋体" w:cs="宋体"/>
                <w:i w:val="0"/>
                <w:iCs w:val="0"/>
                <w:color w:val="000000"/>
                <w:kern w:val="21"/>
                <w:sz w:val="18"/>
                <w:szCs w:val="18"/>
                <w:u w:val="none"/>
              </w:rPr>
            </w:pPr>
          </w:p>
        </w:tc>
      </w:tr>
      <w:tr w14:paraId="1F7D1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1AAF42">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C60DB2">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711B6A">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3521C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3岁以下儿童系统管理率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A6359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1AA80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3364B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1950A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3193D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AF9F7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A5D224">
            <w:pPr>
              <w:jc w:val="center"/>
              <w:rPr>
                <w:rFonts w:hint="eastAsia" w:ascii="宋体" w:hAnsi="宋体" w:eastAsia="宋体" w:cs="宋体"/>
                <w:i w:val="0"/>
                <w:iCs w:val="0"/>
                <w:color w:val="000000"/>
                <w:kern w:val="21"/>
                <w:sz w:val="18"/>
                <w:szCs w:val="18"/>
                <w:u w:val="none"/>
              </w:rPr>
            </w:pPr>
          </w:p>
        </w:tc>
      </w:tr>
      <w:tr w14:paraId="5B0DD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337432">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73CE87">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1B2E91">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76E20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高血压患者管理人数</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151D5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D8FCD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130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858E5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人</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1A137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125</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6CF58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222C7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515601">
            <w:pPr>
              <w:jc w:val="center"/>
              <w:rPr>
                <w:rFonts w:hint="eastAsia" w:ascii="宋体" w:hAnsi="宋体" w:eastAsia="宋体" w:cs="宋体"/>
                <w:i w:val="0"/>
                <w:iCs w:val="0"/>
                <w:color w:val="000000"/>
                <w:kern w:val="21"/>
                <w:sz w:val="18"/>
                <w:szCs w:val="18"/>
                <w:u w:val="none"/>
              </w:rPr>
            </w:pPr>
          </w:p>
        </w:tc>
      </w:tr>
      <w:tr w14:paraId="628D8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82FF7">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D8E71F">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18CF6F">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95687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2型糖尿病患者管理人数</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52812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A6FDC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2A6E9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人</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BBC72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15</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B301C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7F61C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585826">
            <w:pPr>
              <w:jc w:val="center"/>
              <w:rPr>
                <w:rFonts w:hint="eastAsia" w:ascii="宋体" w:hAnsi="宋体" w:eastAsia="宋体" w:cs="宋体"/>
                <w:i w:val="0"/>
                <w:iCs w:val="0"/>
                <w:color w:val="000000"/>
                <w:kern w:val="21"/>
                <w:sz w:val="18"/>
                <w:szCs w:val="18"/>
                <w:u w:val="none"/>
              </w:rPr>
            </w:pPr>
          </w:p>
        </w:tc>
      </w:tr>
      <w:tr w14:paraId="3C1C3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9A8333">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69CDE6">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EAC91C">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19A89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肺结核患者管理率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A73F2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C0B3A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FFD26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3BDCB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1EFAE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8B65E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74E7C1">
            <w:pPr>
              <w:jc w:val="center"/>
              <w:rPr>
                <w:rFonts w:hint="eastAsia" w:ascii="宋体" w:hAnsi="宋体" w:eastAsia="宋体" w:cs="宋体"/>
                <w:i w:val="0"/>
                <w:iCs w:val="0"/>
                <w:color w:val="000000"/>
                <w:kern w:val="21"/>
                <w:sz w:val="18"/>
                <w:szCs w:val="18"/>
                <w:u w:val="none"/>
              </w:rPr>
            </w:pPr>
          </w:p>
        </w:tc>
      </w:tr>
      <w:tr w14:paraId="54159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54986A">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DA442A">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3AF263">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81425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社区在册居家严重精神障碍患者健康管理率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444B9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80AFA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6E0DA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0BE63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40FA1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5CF3F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4A266A">
            <w:pPr>
              <w:jc w:val="center"/>
              <w:rPr>
                <w:rFonts w:hint="eastAsia" w:ascii="宋体" w:hAnsi="宋体" w:eastAsia="宋体" w:cs="宋体"/>
                <w:i w:val="0"/>
                <w:iCs w:val="0"/>
                <w:color w:val="000000"/>
                <w:kern w:val="21"/>
                <w:sz w:val="18"/>
                <w:szCs w:val="18"/>
                <w:u w:val="none"/>
              </w:rPr>
            </w:pPr>
          </w:p>
        </w:tc>
      </w:tr>
      <w:tr w14:paraId="62F2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FE3DF9">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54642D">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9B24C2">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F97EF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老年人中医药健康管理率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54B4C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D3807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7C6D1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C25E1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70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6C4A9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72C5C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65674A">
            <w:pPr>
              <w:jc w:val="center"/>
              <w:rPr>
                <w:rFonts w:hint="eastAsia" w:ascii="宋体" w:hAnsi="宋体" w:eastAsia="宋体" w:cs="宋体"/>
                <w:i w:val="0"/>
                <w:iCs w:val="0"/>
                <w:color w:val="000000"/>
                <w:kern w:val="21"/>
                <w:sz w:val="18"/>
                <w:szCs w:val="18"/>
                <w:u w:val="none"/>
              </w:rPr>
            </w:pPr>
          </w:p>
        </w:tc>
      </w:tr>
      <w:tr w14:paraId="15F86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11BCB1">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FCE0D5">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9F3F63">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8BF09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卫生监督协管各专业每年巡查</w:t>
            </w:r>
            <w:r>
              <w:rPr>
                <w:rFonts w:hint="eastAsia" w:ascii="宋体" w:hAnsi="宋体" w:cs="宋体"/>
                <w:i w:val="0"/>
                <w:iCs w:val="0"/>
                <w:color w:val="000000"/>
                <w:kern w:val="21"/>
                <w:sz w:val="18"/>
                <w:szCs w:val="18"/>
                <w:u w:val="none"/>
                <w:lang w:val="en-US" w:eastAsia="zh-CN" w:bidi="ar"/>
              </w:rPr>
              <w:t>（</w:t>
            </w:r>
            <w:r>
              <w:rPr>
                <w:rFonts w:ascii="宋体" w:hAnsi="宋体" w:eastAsia="宋体" w:cs="宋体"/>
                <w:i w:val="0"/>
                <w:iCs w:val="0"/>
                <w:color w:val="000000"/>
                <w:kern w:val="21"/>
                <w:sz w:val="18"/>
                <w:szCs w:val="18"/>
                <w:u w:val="none"/>
                <w:lang w:val="en-US" w:eastAsia="zh-CN" w:bidi="ar"/>
              </w:rPr>
              <w:t>访</w:t>
            </w:r>
            <w:r>
              <w:rPr>
                <w:rFonts w:hint="eastAsia" w:ascii="宋体" w:hAnsi="宋体" w:cs="宋体"/>
                <w:i w:val="0"/>
                <w:iCs w:val="0"/>
                <w:color w:val="000000"/>
                <w:kern w:val="21"/>
                <w:sz w:val="18"/>
                <w:szCs w:val="18"/>
                <w:u w:val="none"/>
                <w:lang w:val="en-US" w:eastAsia="zh-CN" w:bidi="ar"/>
              </w:rPr>
              <w:t>）</w:t>
            </w:r>
            <w:r>
              <w:rPr>
                <w:rFonts w:ascii="宋体" w:hAnsi="宋体" w:eastAsia="宋体" w:cs="宋体"/>
                <w:i w:val="0"/>
                <w:iCs w:val="0"/>
                <w:color w:val="000000"/>
                <w:kern w:val="21"/>
                <w:sz w:val="18"/>
                <w:szCs w:val="18"/>
                <w:u w:val="none"/>
                <w:lang w:val="en-US" w:eastAsia="zh-CN" w:bidi="ar"/>
              </w:rPr>
              <w:t>2次完成率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4F9B0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1437E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35D82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B0E73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67F93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40601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19EB8A">
            <w:pPr>
              <w:jc w:val="center"/>
              <w:rPr>
                <w:rFonts w:hint="eastAsia" w:ascii="宋体" w:hAnsi="宋体" w:eastAsia="宋体" w:cs="宋体"/>
                <w:i w:val="0"/>
                <w:iCs w:val="0"/>
                <w:color w:val="000000"/>
                <w:kern w:val="21"/>
                <w:sz w:val="18"/>
                <w:szCs w:val="18"/>
                <w:u w:val="none"/>
              </w:rPr>
            </w:pPr>
          </w:p>
        </w:tc>
      </w:tr>
      <w:tr w14:paraId="65F6D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D3240C">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C55C9">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AF710A">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30026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贫困地区儿童营养改善项目脱贫县覆盖率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79847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AE896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6D893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03EF8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5A5C3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F0815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D77A06">
            <w:pPr>
              <w:jc w:val="center"/>
              <w:rPr>
                <w:rFonts w:hint="eastAsia" w:ascii="宋体" w:hAnsi="宋体" w:eastAsia="宋体" w:cs="宋体"/>
                <w:i w:val="0"/>
                <w:iCs w:val="0"/>
                <w:color w:val="000000"/>
                <w:kern w:val="21"/>
                <w:sz w:val="18"/>
                <w:szCs w:val="18"/>
                <w:u w:val="none"/>
              </w:rPr>
            </w:pPr>
          </w:p>
        </w:tc>
      </w:tr>
      <w:tr w14:paraId="3A493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743F69">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E0B308">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1C5CEB">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48C36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目标人群叶酸服用率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3AD1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4962B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969C0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FA7C7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7425C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F9A2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C16B90">
            <w:pPr>
              <w:jc w:val="center"/>
              <w:rPr>
                <w:rFonts w:hint="eastAsia" w:ascii="宋体" w:hAnsi="宋体" w:eastAsia="宋体" w:cs="宋体"/>
                <w:i w:val="0"/>
                <w:iCs w:val="0"/>
                <w:color w:val="000000"/>
                <w:kern w:val="21"/>
                <w:sz w:val="18"/>
                <w:szCs w:val="18"/>
                <w:u w:val="none"/>
              </w:rPr>
            </w:pPr>
          </w:p>
        </w:tc>
      </w:tr>
      <w:tr w14:paraId="0F0C0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7991BB">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558B1A">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5319A0">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5D7BA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孕前优生健康检查目标人群覆盖率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90FE9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47616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E94CC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8EE7B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7E645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3F04B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3</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51EF9A">
            <w:pPr>
              <w:jc w:val="center"/>
              <w:rPr>
                <w:rFonts w:hint="eastAsia" w:ascii="宋体" w:hAnsi="宋体" w:eastAsia="宋体" w:cs="宋体"/>
                <w:i w:val="0"/>
                <w:iCs w:val="0"/>
                <w:color w:val="000000"/>
                <w:kern w:val="21"/>
                <w:sz w:val="18"/>
                <w:szCs w:val="18"/>
                <w:u w:val="none"/>
              </w:rPr>
            </w:pPr>
          </w:p>
        </w:tc>
      </w:tr>
      <w:tr w14:paraId="6336D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18A365">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8390EF">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8E49D4">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979DF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65岁及以上失能老年人健康服务目标任务完成率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A2E92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D371C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F9525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08CBE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4FB37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6E710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BFE369">
            <w:pPr>
              <w:jc w:val="center"/>
              <w:rPr>
                <w:rFonts w:hint="eastAsia" w:ascii="宋体" w:hAnsi="宋体" w:eastAsia="宋体" w:cs="宋体"/>
                <w:i w:val="0"/>
                <w:iCs w:val="0"/>
                <w:color w:val="000000"/>
                <w:kern w:val="21"/>
                <w:sz w:val="18"/>
                <w:szCs w:val="18"/>
                <w:u w:val="none"/>
              </w:rPr>
            </w:pPr>
          </w:p>
        </w:tc>
      </w:tr>
      <w:tr w14:paraId="0D2A3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0973DD">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D91174">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189004">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8084A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地方病监测完成率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31B10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BA4E6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13279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816C1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95</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35373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0D15E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7789F6">
            <w:pPr>
              <w:jc w:val="center"/>
              <w:rPr>
                <w:rFonts w:hint="eastAsia" w:ascii="宋体" w:hAnsi="宋体" w:eastAsia="宋体" w:cs="宋体"/>
                <w:i w:val="0"/>
                <w:iCs w:val="0"/>
                <w:color w:val="000000"/>
                <w:kern w:val="21"/>
                <w:sz w:val="18"/>
                <w:szCs w:val="18"/>
                <w:u w:val="none"/>
              </w:rPr>
            </w:pPr>
          </w:p>
        </w:tc>
      </w:tr>
      <w:tr w14:paraId="7E5AD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EBA5DC">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A2C4C1">
            <w:pPr>
              <w:jc w:val="center"/>
              <w:rPr>
                <w:rFonts w:hint="eastAsia" w:ascii="宋体" w:hAnsi="宋体" w:eastAsia="宋体" w:cs="宋体"/>
                <w:i w:val="0"/>
                <w:iCs w:val="0"/>
                <w:color w:val="000000"/>
                <w:kern w:val="21"/>
                <w:sz w:val="18"/>
                <w:szCs w:val="18"/>
                <w:u w:val="none"/>
              </w:rPr>
            </w:pPr>
          </w:p>
        </w:tc>
        <w:tc>
          <w:tcPr>
            <w:tcW w:w="170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2E2B72">
            <w:pPr>
              <w:keepNext w:val="0"/>
              <w:keepLines w:val="0"/>
              <w:widowControl/>
              <w:suppressLineNumbers w:val="0"/>
              <w:jc w:val="center"/>
              <w:textAlignment w:val="center"/>
              <w:rPr>
                <w:rFonts w:hint="eastAsia" w:ascii="宋体" w:hAnsi="宋体" w:eastAsia="宋体" w:cs="宋体"/>
                <w:i w:val="0"/>
                <w:iCs w:val="0"/>
                <w:color w:val="000000"/>
                <w:kern w:val="21"/>
                <w:sz w:val="20"/>
                <w:szCs w:val="20"/>
                <w:u w:val="none"/>
              </w:rPr>
            </w:pPr>
            <w:r>
              <w:rPr>
                <w:rFonts w:hint="eastAsia" w:ascii="宋体" w:hAnsi="宋体" w:eastAsia="宋体" w:cs="宋体"/>
                <w:i w:val="0"/>
                <w:iCs w:val="0"/>
                <w:color w:val="000000"/>
                <w:kern w:val="21"/>
                <w:sz w:val="20"/>
                <w:szCs w:val="20"/>
                <w:u w:val="none"/>
                <w:lang w:val="en-US" w:eastAsia="zh-CN" w:bidi="ar"/>
              </w:rPr>
              <w:t>质量指标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7AE89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居民规范化电子健康档案覆盖率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6B868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7380A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B1867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59A2C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3FD27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CFE35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058E17">
            <w:pPr>
              <w:jc w:val="center"/>
              <w:rPr>
                <w:rFonts w:hint="eastAsia" w:ascii="宋体" w:hAnsi="宋体" w:eastAsia="宋体" w:cs="宋体"/>
                <w:i w:val="0"/>
                <w:iCs w:val="0"/>
                <w:color w:val="000000"/>
                <w:kern w:val="21"/>
                <w:sz w:val="18"/>
                <w:szCs w:val="18"/>
                <w:u w:val="none"/>
              </w:rPr>
            </w:pPr>
          </w:p>
        </w:tc>
      </w:tr>
      <w:tr w14:paraId="1CAD5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E5AAD2">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D2AAF7">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B33751">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1B861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高血压患者基层规范管理服务率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17965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91E78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06AEB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F7E02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D343D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C2D79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4A27AF">
            <w:pPr>
              <w:jc w:val="center"/>
              <w:rPr>
                <w:rFonts w:hint="eastAsia" w:ascii="宋体" w:hAnsi="宋体" w:eastAsia="宋体" w:cs="宋体"/>
                <w:i w:val="0"/>
                <w:iCs w:val="0"/>
                <w:color w:val="000000"/>
                <w:kern w:val="21"/>
                <w:sz w:val="18"/>
                <w:szCs w:val="18"/>
                <w:u w:val="none"/>
              </w:rPr>
            </w:pPr>
          </w:p>
        </w:tc>
      </w:tr>
      <w:tr w14:paraId="0BB08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9B9A60">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E84F7A">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4B4115">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B58E5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2型糖尿病患者基层规范管理服务率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99FD9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FF618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E5C48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9D08B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3BBB5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7DA35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1F010E">
            <w:pPr>
              <w:jc w:val="center"/>
              <w:rPr>
                <w:rFonts w:hint="eastAsia" w:ascii="宋体" w:hAnsi="宋体" w:eastAsia="宋体" w:cs="宋体"/>
                <w:i w:val="0"/>
                <w:iCs w:val="0"/>
                <w:color w:val="000000"/>
                <w:kern w:val="21"/>
                <w:sz w:val="18"/>
                <w:szCs w:val="18"/>
                <w:u w:val="none"/>
              </w:rPr>
            </w:pPr>
          </w:p>
        </w:tc>
      </w:tr>
      <w:tr w14:paraId="13810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77C0AC">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45C815">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0B4B67">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57EB3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65岁及以上老年人城乡社区规范健康管理服务率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2453A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10C50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89465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F23FB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5BA3D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51118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4</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385009">
            <w:pPr>
              <w:jc w:val="center"/>
              <w:rPr>
                <w:rFonts w:hint="eastAsia" w:ascii="宋体" w:hAnsi="宋体" w:eastAsia="宋体" w:cs="宋体"/>
                <w:i w:val="0"/>
                <w:iCs w:val="0"/>
                <w:color w:val="000000"/>
                <w:kern w:val="21"/>
                <w:sz w:val="18"/>
                <w:szCs w:val="18"/>
                <w:u w:val="none"/>
              </w:rPr>
            </w:pPr>
          </w:p>
        </w:tc>
      </w:tr>
      <w:tr w14:paraId="714DF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CEE285">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4061A1">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82108D">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063AB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传染病和突发公共卫生事件报告率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CFC8B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89F85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EEB39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5857A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F8038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00655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9017E3">
            <w:pPr>
              <w:jc w:val="center"/>
              <w:rPr>
                <w:rFonts w:hint="eastAsia" w:ascii="宋体" w:hAnsi="宋体" w:eastAsia="宋体" w:cs="宋体"/>
                <w:i w:val="0"/>
                <w:iCs w:val="0"/>
                <w:color w:val="000000"/>
                <w:kern w:val="21"/>
                <w:sz w:val="18"/>
                <w:szCs w:val="18"/>
                <w:u w:val="none"/>
              </w:rPr>
            </w:pPr>
          </w:p>
        </w:tc>
      </w:tr>
      <w:tr w14:paraId="2359E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35EE50">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E45C71">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C1152F">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A5528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国家、省级卫生应急队伍培训演练合格率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CDA7FE">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4749D2">
            <w:pPr>
              <w:jc w:val="center"/>
              <w:rPr>
                <w:rFonts w:hint="eastAsia" w:ascii="宋体" w:hAnsi="宋体" w:eastAsia="宋体" w:cs="宋体"/>
                <w:i w:val="0"/>
                <w:iCs w:val="0"/>
                <w:color w:val="000000"/>
                <w:kern w:val="21"/>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F3D1A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次</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5DD6A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2C72E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52C94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EFC81F">
            <w:pPr>
              <w:jc w:val="center"/>
              <w:rPr>
                <w:rFonts w:hint="eastAsia" w:ascii="宋体" w:hAnsi="宋体" w:eastAsia="宋体" w:cs="宋体"/>
                <w:i w:val="0"/>
                <w:iCs w:val="0"/>
                <w:color w:val="000000"/>
                <w:kern w:val="21"/>
                <w:sz w:val="18"/>
                <w:szCs w:val="18"/>
                <w:u w:val="none"/>
              </w:rPr>
            </w:pPr>
          </w:p>
        </w:tc>
      </w:tr>
      <w:tr w14:paraId="063B4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757FCE">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3113B7">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3978E9">
            <w:pPr>
              <w:jc w:val="center"/>
              <w:rPr>
                <w:rFonts w:hint="eastAsia" w:ascii="宋体" w:hAnsi="宋体" w:eastAsia="宋体" w:cs="宋体"/>
                <w:i w:val="0"/>
                <w:iCs w:val="0"/>
                <w:color w:val="000000"/>
                <w:kern w:val="21"/>
                <w:sz w:val="20"/>
                <w:szCs w:val="20"/>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E78035">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地方病核心指标监测率</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566A64">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BE7F1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7CFBE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AC3F9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30EDA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887BE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E617DC">
            <w:pPr>
              <w:jc w:val="center"/>
              <w:rPr>
                <w:rFonts w:hint="eastAsia" w:ascii="宋体" w:hAnsi="宋体" w:eastAsia="宋体" w:cs="宋体"/>
                <w:i w:val="0"/>
                <w:iCs w:val="0"/>
                <w:color w:val="000000"/>
                <w:kern w:val="21"/>
                <w:sz w:val="18"/>
                <w:szCs w:val="18"/>
                <w:u w:val="none"/>
              </w:rPr>
            </w:pPr>
          </w:p>
        </w:tc>
      </w:tr>
      <w:tr w14:paraId="77356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37288E">
            <w:pPr>
              <w:jc w:val="center"/>
              <w:rPr>
                <w:rFonts w:hint="eastAsia" w:ascii="宋体" w:hAnsi="宋体" w:eastAsia="宋体" w:cs="宋体"/>
                <w:i w:val="0"/>
                <w:iCs w:val="0"/>
                <w:color w:val="000000"/>
                <w:kern w:val="21"/>
                <w:sz w:val="18"/>
                <w:szCs w:val="18"/>
                <w:u w:val="none"/>
              </w:rPr>
            </w:pP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1DEE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效益指标</w:t>
            </w:r>
          </w:p>
        </w:tc>
        <w:tc>
          <w:tcPr>
            <w:tcW w:w="170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5EF69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可持续影响指标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EFBAF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基本公共卫生服务水平</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71315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定性</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4546B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不断提高</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689709">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FC3637">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690B1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09640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6915AA">
            <w:pPr>
              <w:jc w:val="center"/>
              <w:rPr>
                <w:rFonts w:hint="eastAsia" w:ascii="宋体" w:hAnsi="宋体" w:eastAsia="宋体" w:cs="宋体"/>
                <w:i w:val="0"/>
                <w:iCs w:val="0"/>
                <w:color w:val="000000"/>
                <w:kern w:val="21"/>
                <w:sz w:val="18"/>
                <w:szCs w:val="18"/>
                <w:u w:val="none"/>
              </w:rPr>
            </w:pPr>
          </w:p>
        </w:tc>
      </w:tr>
      <w:tr w14:paraId="4D638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9BDDD7">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88D18F">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BE56EF">
            <w:pPr>
              <w:jc w:val="center"/>
              <w:rPr>
                <w:rFonts w:hint="eastAsia" w:ascii="宋体" w:hAnsi="宋体" w:eastAsia="宋体" w:cs="宋体"/>
                <w:i w:val="0"/>
                <w:iCs w:val="0"/>
                <w:color w:val="000000"/>
                <w:kern w:val="21"/>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8DC9C9">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城乡居民公共卫生差距</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07677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定性</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36384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不断缩小</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81507E">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827AC4">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CBC6B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D24B2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5</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48B2C8">
            <w:pPr>
              <w:jc w:val="center"/>
              <w:rPr>
                <w:rFonts w:hint="eastAsia" w:ascii="宋体" w:hAnsi="宋体" w:eastAsia="宋体" w:cs="宋体"/>
                <w:i w:val="0"/>
                <w:iCs w:val="0"/>
                <w:color w:val="000000"/>
                <w:kern w:val="21"/>
                <w:sz w:val="18"/>
                <w:szCs w:val="18"/>
                <w:u w:val="none"/>
              </w:rPr>
            </w:pPr>
          </w:p>
        </w:tc>
      </w:tr>
      <w:tr w14:paraId="42E98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57AD93">
            <w:pPr>
              <w:jc w:val="center"/>
              <w:rPr>
                <w:rFonts w:hint="eastAsia" w:ascii="宋体" w:hAnsi="宋体" w:eastAsia="宋体" w:cs="宋体"/>
                <w:i w:val="0"/>
                <w:iCs w:val="0"/>
                <w:color w:val="000000"/>
                <w:kern w:val="21"/>
                <w:sz w:val="18"/>
                <w:szCs w:val="18"/>
                <w:u w:val="none"/>
              </w:rPr>
            </w:pPr>
          </w:p>
        </w:tc>
        <w:tc>
          <w:tcPr>
            <w:tcW w:w="17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BEEAD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满意度</w:t>
            </w:r>
            <w:r>
              <w:rPr>
                <w:rFonts w:ascii="宋体" w:hAnsi="宋体" w:eastAsia="宋体" w:cs="宋体"/>
                <w:i w:val="0"/>
                <w:iCs w:val="0"/>
                <w:color w:val="000000"/>
                <w:kern w:val="21"/>
                <w:sz w:val="18"/>
                <w:szCs w:val="18"/>
                <w:u w:val="none"/>
                <w:lang w:val="en-US" w:eastAsia="zh-CN" w:bidi="ar"/>
              </w:rPr>
              <w:br w:type="textWrapping"/>
            </w:r>
            <w:r>
              <w:rPr>
                <w:rFonts w:ascii="宋体" w:hAnsi="宋体" w:eastAsia="宋体" w:cs="宋体"/>
                <w:i w:val="0"/>
                <w:iCs w:val="0"/>
                <w:color w:val="000000"/>
                <w:kern w:val="21"/>
                <w:sz w:val="18"/>
                <w:szCs w:val="18"/>
                <w:u w:val="none"/>
                <w:lang w:val="en-US" w:eastAsia="zh-CN" w:bidi="ar"/>
              </w:rPr>
              <w:t>指标</w:t>
            </w:r>
          </w:p>
        </w:tc>
        <w:tc>
          <w:tcPr>
            <w:tcW w:w="170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662C0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服务对象</w:t>
            </w:r>
            <w:r>
              <w:rPr>
                <w:rFonts w:ascii="宋体" w:hAnsi="宋体" w:eastAsia="宋体" w:cs="宋体"/>
                <w:i w:val="0"/>
                <w:iCs w:val="0"/>
                <w:color w:val="000000"/>
                <w:kern w:val="21"/>
                <w:sz w:val="18"/>
                <w:szCs w:val="18"/>
                <w:u w:val="none"/>
                <w:lang w:val="en-US" w:eastAsia="zh-CN" w:bidi="ar"/>
              </w:rPr>
              <w:br w:type="textWrapping"/>
            </w:r>
            <w:r>
              <w:rPr>
                <w:rFonts w:ascii="宋体" w:hAnsi="宋体" w:eastAsia="宋体" w:cs="宋体"/>
                <w:i w:val="0"/>
                <w:iCs w:val="0"/>
                <w:color w:val="000000"/>
                <w:kern w:val="21"/>
                <w:sz w:val="18"/>
                <w:szCs w:val="18"/>
                <w:u w:val="none"/>
                <w:lang w:val="en-US" w:eastAsia="zh-CN" w:bidi="ar"/>
              </w:rPr>
              <w:t>受益程度指标</w:t>
            </w: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6EB8B0">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服务对象满意度</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A6934C">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定性</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DCD177">
            <w:pPr>
              <w:keepNext w:val="0"/>
              <w:keepLines w:val="0"/>
              <w:widowControl/>
              <w:suppressLineNumbers w:val="0"/>
              <w:jc w:val="center"/>
              <w:textAlignment w:val="center"/>
              <w:rPr>
                <w:rFonts w:hint="eastAsia" w:ascii="宋体" w:hAnsi="宋体" w:eastAsia="宋体" w:cs="宋体"/>
                <w:i w:val="0"/>
                <w:iCs w:val="0"/>
                <w:color w:val="000000"/>
                <w:kern w:val="21"/>
                <w:sz w:val="20"/>
                <w:szCs w:val="20"/>
                <w:u w:val="none"/>
              </w:rPr>
            </w:pPr>
            <w:r>
              <w:rPr>
                <w:rFonts w:hint="eastAsia" w:ascii="宋体" w:hAnsi="宋体" w:eastAsia="宋体" w:cs="宋体"/>
                <w:i w:val="0"/>
                <w:iCs w:val="0"/>
                <w:color w:val="000000"/>
                <w:kern w:val="21"/>
                <w:sz w:val="20"/>
                <w:szCs w:val="20"/>
                <w:u w:val="none"/>
                <w:lang w:val="en-US" w:eastAsia="zh-CN" w:bidi="ar"/>
              </w:rPr>
              <w:t>较上年提高</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2D0B91">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2C1097">
            <w:pPr>
              <w:jc w:val="center"/>
              <w:rPr>
                <w:rFonts w:hint="eastAsia" w:ascii="微软雅黑" w:hAnsi="微软雅黑" w:eastAsia="微软雅黑" w:cs="微软雅黑"/>
                <w:i/>
                <w:iCs/>
                <w:color w:val="000000"/>
                <w:kern w:val="21"/>
                <w:sz w:val="16"/>
                <w:szCs w:val="16"/>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E3A60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DAEADB">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A4D5A8">
            <w:pPr>
              <w:jc w:val="center"/>
              <w:rPr>
                <w:rFonts w:hint="eastAsia" w:ascii="微软雅黑" w:hAnsi="微软雅黑" w:eastAsia="微软雅黑" w:cs="微软雅黑"/>
                <w:i/>
                <w:iCs/>
                <w:color w:val="000000"/>
                <w:kern w:val="21"/>
                <w:sz w:val="16"/>
                <w:szCs w:val="16"/>
                <w:u w:val="none"/>
              </w:rPr>
            </w:pPr>
          </w:p>
        </w:tc>
      </w:tr>
      <w:tr w14:paraId="402BC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E44727">
            <w:pPr>
              <w:jc w:val="center"/>
              <w:rPr>
                <w:rFonts w:hint="eastAsia" w:ascii="宋体" w:hAnsi="宋体" w:eastAsia="宋体" w:cs="宋体"/>
                <w:i w:val="0"/>
                <w:iCs w:val="0"/>
                <w:color w:val="000000"/>
                <w:kern w:val="21"/>
                <w:sz w:val="18"/>
                <w:szCs w:val="18"/>
                <w:u w:val="none"/>
              </w:rPr>
            </w:pPr>
          </w:p>
        </w:tc>
        <w:tc>
          <w:tcPr>
            <w:tcW w:w="17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6A099E">
            <w:pPr>
              <w:jc w:val="center"/>
              <w:rPr>
                <w:rFonts w:hint="eastAsia" w:ascii="宋体" w:hAnsi="宋体" w:eastAsia="宋体" w:cs="宋体"/>
                <w:i w:val="0"/>
                <w:iCs w:val="0"/>
                <w:color w:val="000000"/>
                <w:kern w:val="21"/>
                <w:sz w:val="18"/>
                <w:szCs w:val="18"/>
                <w:u w:val="none"/>
              </w:rPr>
            </w:pPr>
          </w:p>
        </w:tc>
        <w:tc>
          <w:tcPr>
            <w:tcW w:w="170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C3A78F">
            <w:pPr>
              <w:jc w:val="center"/>
              <w:rPr>
                <w:rFonts w:hint="eastAsia" w:ascii="宋体" w:hAnsi="宋体" w:eastAsia="宋体" w:cs="宋体"/>
                <w:i w:val="0"/>
                <w:iCs w:val="0"/>
                <w:color w:val="000000"/>
                <w:kern w:val="21"/>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F56BC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避孕药具发放满意度</w:t>
            </w: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A5AB3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59A672">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22BC16">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w:t>
            </w: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63EC3A">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FBAF2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5AE4AF">
            <w:pPr>
              <w:keepNext w:val="0"/>
              <w:keepLines w:val="0"/>
              <w:widowControl/>
              <w:suppressLineNumbers w:val="0"/>
              <w:jc w:val="righ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399FE8">
            <w:pPr>
              <w:rPr>
                <w:rFonts w:hint="eastAsia" w:ascii="宋体" w:hAnsi="宋体" w:eastAsia="宋体" w:cs="宋体"/>
                <w:i w:val="0"/>
                <w:iCs w:val="0"/>
                <w:color w:val="000000"/>
                <w:kern w:val="21"/>
                <w:sz w:val="18"/>
                <w:szCs w:val="18"/>
                <w:u w:val="none"/>
              </w:rPr>
            </w:pPr>
          </w:p>
        </w:tc>
      </w:tr>
      <w:tr w14:paraId="1E2E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C307C8">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合计</w:t>
            </w:r>
          </w:p>
        </w:tc>
        <w:tc>
          <w:tcPr>
            <w:tcW w:w="17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AE1108">
            <w:pPr>
              <w:jc w:val="center"/>
              <w:rPr>
                <w:rFonts w:hint="eastAsia" w:ascii="宋体" w:hAnsi="宋体" w:eastAsia="宋体" w:cs="宋体"/>
                <w:i w:val="0"/>
                <w:iCs w:val="0"/>
                <w:color w:val="000000"/>
                <w:kern w:val="21"/>
                <w:sz w:val="18"/>
                <w:szCs w:val="18"/>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4A4662">
            <w:pPr>
              <w:jc w:val="center"/>
              <w:rPr>
                <w:rFonts w:hint="eastAsia" w:ascii="宋体" w:hAnsi="宋体" w:eastAsia="宋体" w:cs="宋体"/>
                <w:i w:val="0"/>
                <w:iCs w:val="0"/>
                <w:color w:val="000000"/>
                <w:kern w:val="21"/>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F3D9FD">
            <w:pPr>
              <w:jc w:val="center"/>
              <w:rPr>
                <w:rFonts w:hint="eastAsia" w:ascii="宋体" w:hAnsi="宋体" w:eastAsia="宋体" w:cs="宋体"/>
                <w:i w:val="0"/>
                <w:iCs w:val="0"/>
                <w:color w:val="000000"/>
                <w:kern w:val="21"/>
                <w:sz w:val="18"/>
                <w:szCs w:val="18"/>
                <w:u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084FAD">
            <w:pPr>
              <w:jc w:val="center"/>
              <w:rPr>
                <w:rFonts w:hint="eastAsia" w:ascii="宋体" w:hAnsi="宋体" w:eastAsia="宋体" w:cs="宋体"/>
                <w:i w:val="0"/>
                <w:iCs w:val="0"/>
                <w:color w:val="000000"/>
                <w:kern w:val="21"/>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D9747C">
            <w:pPr>
              <w:jc w:val="center"/>
              <w:rPr>
                <w:rFonts w:hint="eastAsia" w:ascii="宋体" w:hAnsi="宋体" w:eastAsia="宋体" w:cs="宋体"/>
                <w:i w:val="0"/>
                <w:iCs w:val="0"/>
                <w:color w:val="000000"/>
                <w:kern w:val="21"/>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4D455C">
            <w:pPr>
              <w:jc w:val="center"/>
              <w:rPr>
                <w:rFonts w:hint="eastAsia" w:ascii="宋体" w:hAnsi="宋体" w:eastAsia="宋体" w:cs="宋体"/>
                <w:i w:val="0"/>
                <w:iCs w:val="0"/>
                <w:color w:val="000000"/>
                <w:kern w:val="21"/>
                <w:sz w:val="18"/>
                <w:szCs w:val="18"/>
                <w:u w:val="none"/>
              </w:rPr>
            </w:pPr>
          </w:p>
        </w:tc>
        <w:tc>
          <w:tcPr>
            <w:tcW w:w="110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91CFBA">
            <w:pPr>
              <w:jc w:val="center"/>
              <w:rPr>
                <w:rFonts w:hint="eastAsia" w:ascii="宋体" w:hAnsi="宋体" w:eastAsia="宋体" w:cs="宋体"/>
                <w:i w:val="0"/>
                <w:iCs w:val="0"/>
                <w:color w:val="000000"/>
                <w:kern w:val="21"/>
                <w:sz w:val="18"/>
                <w:szCs w:val="18"/>
                <w:u w:val="none"/>
              </w:rPr>
            </w:pP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5273B7">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31360F">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94</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E3D4A9">
            <w:pPr>
              <w:rPr>
                <w:rFonts w:hint="eastAsia" w:ascii="宋体" w:hAnsi="宋体" w:eastAsia="宋体" w:cs="宋体"/>
                <w:i w:val="0"/>
                <w:iCs w:val="0"/>
                <w:color w:val="000000"/>
                <w:kern w:val="21"/>
                <w:sz w:val="18"/>
                <w:szCs w:val="18"/>
                <w:u w:val="none"/>
              </w:rPr>
            </w:pPr>
          </w:p>
        </w:tc>
      </w:tr>
      <w:tr w14:paraId="0DD74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2"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DB644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合计</w:t>
            </w:r>
          </w:p>
        </w:tc>
        <w:tc>
          <w:tcPr>
            <w:tcW w:w="55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9FFC71">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100</w:t>
            </w:r>
          </w:p>
        </w:tc>
        <w:tc>
          <w:tcPr>
            <w:tcW w:w="498"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837AAC">
            <w:pPr>
              <w:keepNext w:val="0"/>
              <w:keepLines w:val="0"/>
              <w:widowControl/>
              <w:suppressLineNumbers w:val="0"/>
              <w:jc w:val="righ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94</w:t>
            </w:r>
          </w:p>
        </w:tc>
        <w:tc>
          <w:tcPr>
            <w:tcW w:w="2791"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180040">
            <w:pPr>
              <w:rPr>
                <w:rFonts w:hint="eastAsia" w:ascii="宋体" w:hAnsi="宋体" w:eastAsia="宋体" w:cs="宋体"/>
                <w:i w:val="0"/>
                <w:iCs w:val="0"/>
                <w:color w:val="000000"/>
                <w:kern w:val="21"/>
                <w:sz w:val="18"/>
                <w:szCs w:val="18"/>
                <w:u w:val="none"/>
              </w:rPr>
            </w:pPr>
          </w:p>
        </w:tc>
      </w:tr>
      <w:tr w14:paraId="2FC80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DF4AB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评价结论</w:t>
            </w:r>
          </w:p>
        </w:tc>
        <w:tc>
          <w:tcPr>
            <w:tcW w:w="12824" w:type="dxa"/>
            <w:gridSpan w:val="1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FC3215">
            <w:pPr>
              <w:keepNext w:val="0"/>
              <w:keepLines w:val="0"/>
              <w:widowControl/>
              <w:suppressLineNumbers w:val="0"/>
              <w:jc w:val="left"/>
              <w:textAlignment w:val="center"/>
              <w:rPr>
                <w:rFonts w:hint="eastAsia" w:ascii="微软雅黑" w:hAnsi="微软雅黑" w:eastAsia="微软雅黑" w:cs="微软雅黑"/>
                <w:i/>
                <w:iCs/>
                <w:color w:val="000000"/>
                <w:kern w:val="21"/>
                <w:sz w:val="16"/>
                <w:szCs w:val="16"/>
                <w:u w:val="none"/>
              </w:rPr>
            </w:pPr>
            <w:r>
              <w:rPr>
                <w:rFonts w:hint="eastAsia" w:ascii="微软雅黑" w:hAnsi="微软雅黑" w:eastAsia="微软雅黑" w:cs="微软雅黑"/>
                <w:i/>
                <w:iCs/>
                <w:color w:val="000000"/>
                <w:kern w:val="21"/>
                <w:sz w:val="16"/>
                <w:szCs w:val="16"/>
                <w:u w:val="none"/>
                <w:lang w:val="en-US" w:eastAsia="zh-CN" w:bidi="ar"/>
              </w:rPr>
              <w:t>总分94分，较好地完成了本年度基本公共卫生服务补助资金的支出。</w:t>
            </w:r>
          </w:p>
        </w:tc>
      </w:tr>
      <w:tr w14:paraId="0CA35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72"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9E3C83">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存在问题</w:t>
            </w:r>
          </w:p>
        </w:tc>
        <w:tc>
          <w:tcPr>
            <w:tcW w:w="12824" w:type="dxa"/>
            <w:gridSpan w:val="1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388909">
            <w:pPr>
              <w:keepNext w:val="0"/>
              <w:keepLines w:val="0"/>
              <w:widowControl/>
              <w:suppressLineNumbers w:val="0"/>
              <w:jc w:val="left"/>
              <w:textAlignment w:val="center"/>
              <w:rPr>
                <w:rFonts w:hint="eastAsia" w:ascii="微软雅黑" w:hAnsi="微软雅黑" w:eastAsia="微软雅黑" w:cs="微软雅黑"/>
                <w:i/>
                <w:iCs/>
                <w:color w:val="000000"/>
                <w:kern w:val="21"/>
                <w:sz w:val="16"/>
                <w:szCs w:val="16"/>
                <w:u w:val="none"/>
              </w:rPr>
            </w:pPr>
            <w:r>
              <w:rPr>
                <w:rFonts w:hint="eastAsia" w:ascii="微软雅黑" w:hAnsi="微软雅黑" w:eastAsia="微软雅黑" w:cs="微软雅黑"/>
                <w:i/>
                <w:iCs/>
                <w:color w:val="000000"/>
                <w:kern w:val="21"/>
                <w:sz w:val="16"/>
                <w:szCs w:val="16"/>
                <w:u w:val="none"/>
                <w:lang w:val="en-US" w:eastAsia="zh-CN" w:bidi="ar"/>
              </w:rPr>
              <w:t>目前主要存在的问题是，分管人员支付进度较慢。</w:t>
            </w:r>
          </w:p>
        </w:tc>
      </w:tr>
      <w:tr w14:paraId="47326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8A9DED">
            <w:pPr>
              <w:keepNext w:val="0"/>
              <w:keepLines w:val="0"/>
              <w:widowControl/>
              <w:suppressLineNumbers w:val="0"/>
              <w:jc w:val="center"/>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改进措施</w:t>
            </w:r>
          </w:p>
        </w:tc>
        <w:tc>
          <w:tcPr>
            <w:tcW w:w="12824" w:type="dxa"/>
            <w:gridSpan w:val="1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2E3D91">
            <w:pPr>
              <w:keepNext w:val="0"/>
              <w:keepLines w:val="0"/>
              <w:widowControl/>
              <w:suppressLineNumbers w:val="0"/>
              <w:jc w:val="left"/>
              <w:textAlignment w:val="center"/>
              <w:rPr>
                <w:rFonts w:hint="eastAsia" w:ascii="微软雅黑" w:hAnsi="微软雅黑" w:eastAsia="微软雅黑" w:cs="微软雅黑"/>
                <w:i/>
                <w:iCs/>
                <w:color w:val="000000"/>
                <w:kern w:val="21"/>
                <w:sz w:val="16"/>
                <w:szCs w:val="16"/>
                <w:u w:val="none"/>
              </w:rPr>
            </w:pPr>
            <w:r>
              <w:rPr>
                <w:rFonts w:hint="eastAsia" w:ascii="微软雅黑" w:hAnsi="微软雅黑" w:eastAsia="微软雅黑" w:cs="微软雅黑"/>
                <w:i/>
                <w:iCs/>
                <w:color w:val="000000"/>
                <w:kern w:val="21"/>
                <w:sz w:val="16"/>
                <w:szCs w:val="16"/>
                <w:u w:val="none"/>
                <w:lang w:val="en-US" w:eastAsia="zh-CN" w:bidi="ar"/>
              </w:rPr>
              <w:t>无</w:t>
            </w:r>
          </w:p>
        </w:tc>
      </w:tr>
      <w:tr w14:paraId="5AA7C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638"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9DD20B">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项目负责人：马年</w:t>
            </w:r>
          </w:p>
        </w:tc>
        <w:tc>
          <w:tcPr>
            <w:tcW w:w="6894"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7AADD1">
            <w:pPr>
              <w:keepNext w:val="0"/>
              <w:keepLines w:val="0"/>
              <w:widowControl/>
              <w:suppressLineNumbers w:val="0"/>
              <w:jc w:val="left"/>
              <w:textAlignment w:val="center"/>
              <w:rPr>
                <w:rFonts w:hint="eastAsia" w:ascii="黑体" w:hAnsi="黑体" w:eastAsia="黑体" w:cs="黑体"/>
                <w:i w:val="0"/>
                <w:iCs w:val="0"/>
                <w:color w:val="000000"/>
                <w:kern w:val="21"/>
                <w:sz w:val="18"/>
                <w:szCs w:val="18"/>
                <w:u w:val="none"/>
              </w:rPr>
            </w:pPr>
            <w:r>
              <w:rPr>
                <w:rFonts w:hint="eastAsia" w:ascii="黑体" w:hAnsi="黑体" w:eastAsia="黑体" w:cs="黑体"/>
                <w:i w:val="0"/>
                <w:iCs w:val="0"/>
                <w:color w:val="000000"/>
                <w:kern w:val="21"/>
                <w:sz w:val="18"/>
                <w:szCs w:val="18"/>
                <w:u w:val="none"/>
                <w:lang w:val="en-US" w:eastAsia="zh-CN" w:bidi="ar"/>
              </w:rPr>
              <w:t>财务负责人：吕永泉</w:t>
            </w:r>
          </w:p>
        </w:tc>
      </w:tr>
      <w:tr w14:paraId="78A82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8" w:type="dxa"/>
            <w:tcBorders>
              <w:top w:val="nil"/>
              <w:left w:val="nil"/>
              <w:bottom w:val="nil"/>
              <w:right w:val="nil"/>
            </w:tcBorders>
            <w:shd w:val="clear" w:color="auto" w:fill="FFFFFF" w:themeFill="background1"/>
            <w:vAlign w:val="center"/>
          </w:tcPr>
          <w:p w14:paraId="60371A69">
            <w:pPr>
              <w:rPr>
                <w:rFonts w:hint="eastAsia" w:ascii="宋体" w:hAnsi="宋体" w:eastAsia="宋体" w:cs="宋体"/>
                <w:i w:val="0"/>
                <w:iCs w:val="0"/>
                <w:color w:val="000000"/>
                <w:kern w:val="21"/>
                <w:sz w:val="18"/>
                <w:szCs w:val="18"/>
                <w:u w:val="none"/>
              </w:rPr>
            </w:pPr>
          </w:p>
        </w:tc>
        <w:tc>
          <w:tcPr>
            <w:tcW w:w="1733" w:type="dxa"/>
            <w:tcBorders>
              <w:top w:val="nil"/>
              <w:left w:val="nil"/>
              <w:bottom w:val="nil"/>
              <w:right w:val="nil"/>
            </w:tcBorders>
            <w:shd w:val="clear" w:color="auto" w:fill="FFFFFF" w:themeFill="background1"/>
            <w:vAlign w:val="center"/>
          </w:tcPr>
          <w:p w14:paraId="2B767CD6">
            <w:pPr>
              <w:rPr>
                <w:rFonts w:hint="eastAsia" w:ascii="宋体" w:hAnsi="宋体" w:eastAsia="宋体" w:cs="宋体"/>
                <w:i w:val="0"/>
                <w:iCs w:val="0"/>
                <w:color w:val="000000"/>
                <w:kern w:val="21"/>
                <w:sz w:val="18"/>
                <w:szCs w:val="18"/>
                <w:u w:val="none"/>
              </w:rPr>
            </w:pPr>
          </w:p>
        </w:tc>
        <w:tc>
          <w:tcPr>
            <w:tcW w:w="1705" w:type="dxa"/>
            <w:tcBorders>
              <w:top w:val="nil"/>
              <w:left w:val="nil"/>
              <w:bottom w:val="nil"/>
              <w:right w:val="nil"/>
            </w:tcBorders>
            <w:shd w:val="clear" w:color="auto" w:fill="FFFFFF" w:themeFill="background1"/>
            <w:vAlign w:val="center"/>
          </w:tcPr>
          <w:p w14:paraId="14D56334">
            <w:pPr>
              <w:rPr>
                <w:rFonts w:hint="eastAsia" w:ascii="宋体" w:hAnsi="宋体" w:eastAsia="宋体" w:cs="宋体"/>
                <w:i w:val="0"/>
                <w:iCs w:val="0"/>
                <w:color w:val="000000"/>
                <w:kern w:val="21"/>
                <w:sz w:val="18"/>
                <w:szCs w:val="18"/>
                <w:u w:val="none"/>
              </w:rPr>
            </w:pPr>
          </w:p>
        </w:tc>
        <w:tc>
          <w:tcPr>
            <w:tcW w:w="1923" w:type="dxa"/>
            <w:tcBorders>
              <w:top w:val="nil"/>
              <w:left w:val="nil"/>
              <w:bottom w:val="nil"/>
              <w:right w:val="nil"/>
            </w:tcBorders>
            <w:shd w:val="clear" w:color="auto" w:fill="FFFFFF" w:themeFill="background1"/>
            <w:vAlign w:val="center"/>
          </w:tcPr>
          <w:p w14:paraId="60567483">
            <w:pPr>
              <w:rPr>
                <w:rFonts w:hint="eastAsia" w:ascii="宋体" w:hAnsi="宋体" w:eastAsia="宋体" w:cs="宋体"/>
                <w:i w:val="0"/>
                <w:iCs w:val="0"/>
                <w:color w:val="000000"/>
                <w:kern w:val="21"/>
                <w:sz w:val="18"/>
                <w:szCs w:val="18"/>
                <w:u w:val="none"/>
              </w:rPr>
            </w:pPr>
          </w:p>
        </w:tc>
        <w:tc>
          <w:tcPr>
            <w:tcW w:w="569" w:type="dxa"/>
            <w:tcBorders>
              <w:top w:val="nil"/>
              <w:left w:val="nil"/>
              <w:bottom w:val="nil"/>
              <w:right w:val="nil"/>
            </w:tcBorders>
            <w:shd w:val="clear" w:color="auto" w:fill="FFFFFF" w:themeFill="background1"/>
            <w:vAlign w:val="center"/>
          </w:tcPr>
          <w:p w14:paraId="5D7C856B">
            <w:pPr>
              <w:rPr>
                <w:rFonts w:hint="eastAsia" w:ascii="宋体" w:hAnsi="宋体" w:eastAsia="宋体" w:cs="宋体"/>
                <w:i w:val="0"/>
                <w:iCs w:val="0"/>
                <w:color w:val="000000"/>
                <w:kern w:val="21"/>
                <w:sz w:val="18"/>
                <w:szCs w:val="18"/>
                <w:u w:val="none"/>
              </w:rPr>
            </w:pPr>
          </w:p>
        </w:tc>
        <w:tc>
          <w:tcPr>
            <w:tcW w:w="1422" w:type="dxa"/>
            <w:tcBorders>
              <w:top w:val="nil"/>
              <w:left w:val="nil"/>
              <w:bottom w:val="nil"/>
              <w:right w:val="nil"/>
            </w:tcBorders>
            <w:shd w:val="clear" w:color="auto" w:fill="FFFFFF" w:themeFill="background1"/>
            <w:vAlign w:val="center"/>
          </w:tcPr>
          <w:p w14:paraId="64E52602">
            <w:pPr>
              <w:rPr>
                <w:rFonts w:hint="eastAsia" w:ascii="宋体" w:hAnsi="宋体" w:eastAsia="宋体" w:cs="宋体"/>
                <w:i w:val="0"/>
                <w:iCs w:val="0"/>
                <w:color w:val="000000"/>
                <w:kern w:val="21"/>
                <w:sz w:val="18"/>
                <w:szCs w:val="18"/>
                <w:u w:val="none"/>
              </w:rPr>
            </w:pPr>
          </w:p>
        </w:tc>
        <w:tc>
          <w:tcPr>
            <w:tcW w:w="526" w:type="dxa"/>
            <w:gridSpan w:val="2"/>
            <w:tcBorders>
              <w:top w:val="nil"/>
              <w:left w:val="nil"/>
              <w:bottom w:val="nil"/>
              <w:right w:val="nil"/>
            </w:tcBorders>
            <w:shd w:val="clear" w:color="auto" w:fill="FFFFFF" w:themeFill="background1"/>
            <w:vAlign w:val="center"/>
          </w:tcPr>
          <w:p w14:paraId="15FC9706">
            <w:pPr>
              <w:rPr>
                <w:rFonts w:hint="eastAsia" w:ascii="宋体" w:hAnsi="宋体" w:eastAsia="宋体" w:cs="宋体"/>
                <w:i w:val="0"/>
                <w:iCs w:val="0"/>
                <w:color w:val="000000"/>
                <w:kern w:val="21"/>
                <w:sz w:val="18"/>
                <w:szCs w:val="18"/>
                <w:u w:val="none"/>
              </w:rPr>
            </w:pPr>
          </w:p>
        </w:tc>
        <w:tc>
          <w:tcPr>
            <w:tcW w:w="1107" w:type="dxa"/>
            <w:gridSpan w:val="2"/>
            <w:tcBorders>
              <w:top w:val="nil"/>
              <w:left w:val="nil"/>
              <w:bottom w:val="nil"/>
              <w:right w:val="nil"/>
            </w:tcBorders>
            <w:shd w:val="clear" w:color="auto" w:fill="FFFFFF" w:themeFill="background1"/>
            <w:vAlign w:val="center"/>
          </w:tcPr>
          <w:p w14:paraId="6E695356">
            <w:pPr>
              <w:rPr>
                <w:rFonts w:hint="eastAsia" w:ascii="宋体" w:hAnsi="宋体" w:eastAsia="宋体" w:cs="宋体"/>
                <w:i w:val="0"/>
                <w:iCs w:val="0"/>
                <w:color w:val="000000"/>
                <w:kern w:val="21"/>
                <w:sz w:val="18"/>
                <w:szCs w:val="18"/>
                <w:u w:val="none"/>
              </w:rPr>
            </w:pPr>
          </w:p>
        </w:tc>
        <w:tc>
          <w:tcPr>
            <w:tcW w:w="551" w:type="dxa"/>
            <w:gridSpan w:val="2"/>
            <w:tcBorders>
              <w:top w:val="nil"/>
              <w:left w:val="nil"/>
              <w:bottom w:val="nil"/>
              <w:right w:val="nil"/>
            </w:tcBorders>
            <w:shd w:val="clear" w:color="auto" w:fill="FFFFFF" w:themeFill="background1"/>
            <w:vAlign w:val="center"/>
          </w:tcPr>
          <w:p w14:paraId="6EB5DD84">
            <w:pPr>
              <w:rPr>
                <w:rFonts w:hint="eastAsia" w:ascii="宋体" w:hAnsi="宋体" w:eastAsia="宋体" w:cs="宋体"/>
                <w:i w:val="0"/>
                <w:iCs w:val="0"/>
                <w:color w:val="000000"/>
                <w:kern w:val="21"/>
                <w:sz w:val="18"/>
                <w:szCs w:val="18"/>
                <w:u w:val="none"/>
              </w:rPr>
            </w:pPr>
          </w:p>
        </w:tc>
        <w:tc>
          <w:tcPr>
            <w:tcW w:w="498" w:type="dxa"/>
            <w:gridSpan w:val="2"/>
            <w:tcBorders>
              <w:top w:val="nil"/>
              <w:left w:val="nil"/>
              <w:bottom w:val="nil"/>
              <w:right w:val="nil"/>
            </w:tcBorders>
            <w:shd w:val="clear" w:color="auto" w:fill="FFFFFF" w:themeFill="background1"/>
            <w:vAlign w:val="center"/>
          </w:tcPr>
          <w:p w14:paraId="7F0E54CE">
            <w:pPr>
              <w:rPr>
                <w:rFonts w:hint="eastAsia" w:ascii="宋体" w:hAnsi="宋体" w:eastAsia="宋体" w:cs="宋体"/>
                <w:i w:val="0"/>
                <w:iCs w:val="0"/>
                <w:color w:val="000000"/>
                <w:kern w:val="21"/>
                <w:sz w:val="18"/>
                <w:szCs w:val="18"/>
                <w:u w:val="none"/>
              </w:rPr>
            </w:pPr>
          </w:p>
        </w:tc>
        <w:tc>
          <w:tcPr>
            <w:tcW w:w="2790" w:type="dxa"/>
            <w:tcBorders>
              <w:top w:val="nil"/>
              <w:left w:val="nil"/>
              <w:bottom w:val="nil"/>
              <w:right w:val="nil"/>
            </w:tcBorders>
            <w:shd w:val="clear" w:color="auto" w:fill="FFFFFF" w:themeFill="background1"/>
            <w:vAlign w:val="center"/>
          </w:tcPr>
          <w:p w14:paraId="3789F9EA">
            <w:pPr>
              <w:rPr>
                <w:rFonts w:hint="eastAsia" w:ascii="宋体" w:hAnsi="宋体" w:eastAsia="宋体" w:cs="宋体"/>
                <w:i w:val="0"/>
                <w:iCs w:val="0"/>
                <w:color w:val="000000"/>
                <w:kern w:val="21"/>
                <w:sz w:val="18"/>
                <w:szCs w:val="18"/>
                <w:u w:val="none"/>
              </w:rPr>
            </w:pPr>
          </w:p>
        </w:tc>
      </w:tr>
      <w:tr w14:paraId="53F32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3532" w:type="dxa"/>
            <w:gridSpan w:val="15"/>
            <w:tcBorders>
              <w:top w:val="nil"/>
              <w:left w:val="nil"/>
              <w:bottom w:val="nil"/>
              <w:right w:val="nil"/>
            </w:tcBorders>
            <w:shd w:val="clear" w:color="auto" w:fill="FFFFFF" w:themeFill="background1"/>
            <w:vAlign w:val="center"/>
          </w:tcPr>
          <w:p w14:paraId="2AF11010">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1、报表说明</w:t>
            </w:r>
            <w:r>
              <w:rPr>
                <w:rFonts w:hint="eastAsia" w:ascii="宋体" w:hAnsi="宋体" w:cs="宋体"/>
                <w:i w:val="0"/>
                <w:iCs w:val="0"/>
                <w:color w:val="000000"/>
                <w:kern w:val="21"/>
                <w:sz w:val="18"/>
                <w:szCs w:val="18"/>
                <w:u w:val="none"/>
                <w:lang w:val="en-US" w:eastAsia="zh-CN" w:bidi="ar"/>
              </w:rPr>
              <w:t>：</w:t>
            </w:r>
            <w:r>
              <w:rPr>
                <w:rFonts w:ascii="宋体" w:hAnsi="宋体" w:eastAsia="宋体" w:cs="宋体"/>
                <w:i w:val="0"/>
                <w:iCs w:val="0"/>
                <w:color w:val="000000"/>
                <w:kern w:val="21"/>
                <w:sz w:val="18"/>
                <w:szCs w:val="18"/>
                <w:u w:val="none"/>
                <w:lang w:val="en-US" w:eastAsia="zh-CN" w:bidi="ar"/>
              </w:rPr>
              <w:t>该报表查询项目信息、绩效目标信息、预算及执行情况，用于预算单位查询导出开展项目自评。</w:t>
            </w:r>
          </w:p>
        </w:tc>
      </w:tr>
      <w:tr w14:paraId="5BF72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532" w:type="dxa"/>
            <w:gridSpan w:val="15"/>
            <w:tcBorders>
              <w:top w:val="nil"/>
              <w:left w:val="nil"/>
              <w:bottom w:val="nil"/>
              <w:right w:val="nil"/>
            </w:tcBorders>
            <w:shd w:val="clear" w:color="auto" w:fill="FFFFFF" w:themeFill="background1"/>
            <w:vAlign w:val="center"/>
          </w:tcPr>
          <w:p w14:paraId="1030F849">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2、取数口径：部门项目绩效目标表信息，包括年初预算、追加预算、结转预算和调整预算的绩效目标（以项目的最终绩效目标为准）。</w:t>
            </w:r>
          </w:p>
        </w:tc>
      </w:tr>
      <w:tr w14:paraId="65001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3532" w:type="dxa"/>
            <w:gridSpan w:val="15"/>
            <w:tcBorders>
              <w:top w:val="nil"/>
              <w:left w:val="nil"/>
              <w:bottom w:val="nil"/>
              <w:right w:val="nil"/>
            </w:tcBorders>
            <w:shd w:val="clear" w:color="auto" w:fill="FFFFFF" w:themeFill="background1"/>
            <w:vAlign w:val="center"/>
          </w:tcPr>
          <w:p w14:paraId="22F0067F">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适用地区：全省范围</w:t>
            </w:r>
          </w:p>
        </w:tc>
      </w:tr>
      <w:tr w14:paraId="7EB4B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532" w:type="dxa"/>
            <w:gridSpan w:val="15"/>
            <w:tcBorders>
              <w:top w:val="nil"/>
              <w:left w:val="nil"/>
              <w:bottom w:val="nil"/>
              <w:right w:val="nil"/>
            </w:tcBorders>
            <w:shd w:val="clear" w:color="auto" w:fill="FFFFFF" w:themeFill="background1"/>
            <w:vAlign w:val="center"/>
          </w:tcPr>
          <w:p w14:paraId="76115C15">
            <w:pPr>
              <w:keepNext w:val="0"/>
              <w:keepLines w:val="0"/>
              <w:widowControl/>
              <w:suppressLineNumbers w:val="0"/>
              <w:jc w:val="left"/>
              <w:textAlignment w:val="center"/>
              <w:rPr>
                <w:rFonts w:ascii="宋体" w:hAnsi="宋体" w:eastAsia="宋体" w:cs="宋体"/>
                <w:i w:val="0"/>
                <w:iCs w:val="0"/>
                <w:color w:val="000000"/>
                <w:kern w:val="21"/>
                <w:sz w:val="18"/>
                <w:szCs w:val="18"/>
                <w:u w:val="none"/>
              </w:rPr>
            </w:pPr>
            <w:r>
              <w:rPr>
                <w:rFonts w:ascii="宋体" w:hAnsi="宋体" w:eastAsia="宋体" w:cs="宋体"/>
                <w:i w:val="0"/>
                <w:iCs w:val="0"/>
                <w:color w:val="000000"/>
                <w:kern w:val="21"/>
                <w:sz w:val="18"/>
                <w:szCs w:val="18"/>
                <w:u w:val="none"/>
                <w:lang w:val="en-US" w:eastAsia="zh-CN" w:bidi="ar"/>
              </w:rPr>
              <w:t>适用用户：部门用户、单位用户</w:t>
            </w:r>
          </w:p>
        </w:tc>
      </w:tr>
    </w:tbl>
    <w:p w14:paraId="0A39FF76">
      <w:pPr>
        <w:pStyle w:val="6"/>
        <w:spacing w:before="93"/>
        <w:rPr>
          <w:rFonts w:hAnsi="Calibri" w:cs="仿宋"/>
          <w:kern w:val="21"/>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p>
    <w:p w14:paraId="593883B5">
      <w:pPr>
        <w:spacing w:line="600" w:lineRule="exact"/>
        <w:jc w:val="center"/>
        <w:outlineLvl w:val="0"/>
        <w:rPr>
          <w:rFonts w:ascii="仿宋" w:hAnsi="仿宋" w:eastAsia="仿宋"/>
          <w:kern w:val="21"/>
        </w:rPr>
      </w:pPr>
      <w:bookmarkStart w:id="82" w:name="_Toc21089"/>
      <w:r>
        <w:rPr>
          <w:rFonts w:hint="eastAsia" w:ascii="黑体" w:hAnsi="黑体" w:eastAsia="黑体"/>
          <w:kern w:val="21"/>
          <w:sz w:val="44"/>
          <w:szCs w:val="44"/>
        </w:rPr>
        <w:t>第</w:t>
      </w:r>
      <w:r>
        <w:rPr>
          <w:rStyle w:val="28"/>
          <w:rFonts w:hint="eastAsia" w:ascii="黑体" w:hAnsi="黑体" w:eastAsia="黑体"/>
          <w:b w:val="0"/>
          <w:kern w:val="21"/>
        </w:rPr>
        <w:t>五部分 附表</w:t>
      </w:r>
      <w:bookmarkEnd w:id="79"/>
      <w:bookmarkEnd w:id="81"/>
      <w:bookmarkEnd w:id="82"/>
      <w:bookmarkStart w:id="83" w:name="_Toc15396619"/>
    </w:p>
    <w:p w14:paraId="618125E5">
      <w:pPr>
        <w:pStyle w:val="4"/>
        <w:rPr>
          <w:rFonts w:ascii="仿宋" w:hAnsi="仿宋" w:eastAsia="仿宋"/>
          <w:kern w:val="21"/>
        </w:rPr>
      </w:pPr>
      <w:bookmarkStart w:id="84" w:name="_Toc4472"/>
      <w:r>
        <w:rPr>
          <w:rFonts w:hint="eastAsia" w:ascii="仿宋" w:hAnsi="仿宋" w:eastAsia="仿宋"/>
          <w:b w:val="0"/>
          <w:kern w:val="21"/>
        </w:rPr>
        <w:t>一、收</w:t>
      </w:r>
      <w:r>
        <w:rPr>
          <w:rStyle w:val="29"/>
          <w:rFonts w:hint="eastAsia" w:ascii="仿宋" w:hAnsi="仿宋" w:eastAsia="仿宋"/>
          <w:b w:val="0"/>
          <w:bCs w:val="0"/>
          <w:kern w:val="21"/>
        </w:rPr>
        <w:t>入支出决算总表</w:t>
      </w:r>
      <w:bookmarkEnd w:id="83"/>
      <w:bookmarkEnd w:id="84"/>
    </w:p>
    <w:p w14:paraId="470DAB41">
      <w:pPr>
        <w:pStyle w:val="4"/>
        <w:rPr>
          <w:rFonts w:ascii="仿宋" w:hAnsi="仿宋" w:eastAsia="仿宋"/>
          <w:kern w:val="21"/>
        </w:rPr>
      </w:pPr>
      <w:bookmarkStart w:id="85" w:name="_Toc27852"/>
      <w:bookmarkStart w:id="86" w:name="_Toc15396620"/>
      <w:r>
        <w:rPr>
          <w:rFonts w:hint="eastAsia" w:ascii="仿宋" w:hAnsi="仿宋" w:eastAsia="仿宋"/>
          <w:b w:val="0"/>
          <w:kern w:val="21"/>
        </w:rPr>
        <w:t>二、收</w:t>
      </w:r>
      <w:r>
        <w:rPr>
          <w:rStyle w:val="29"/>
          <w:rFonts w:hint="eastAsia" w:ascii="仿宋" w:hAnsi="仿宋" w:eastAsia="仿宋"/>
          <w:b w:val="0"/>
          <w:bCs w:val="0"/>
          <w:kern w:val="21"/>
        </w:rPr>
        <w:t>入决算表</w:t>
      </w:r>
      <w:bookmarkEnd w:id="85"/>
      <w:bookmarkEnd w:id="86"/>
    </w:p>
    <w:p w14:paraId="0FF62A74">
      <w:pPr>
        <w:pStyle w:val="4"/>
        <w:rPr>
          <w:rFonts w:ascii="仿宋" w:hAnsi="仿宋" w:eastAsia="仿宋"/>
          <w:kern w:val="21"/>
        </w:rPr>
      </w:pPr>
      <w:bookmarkStart w:id="87" w:name="_Toc2869"/>
      <w:bookmarkStart w:id="88" w:name="_Toc15396621"/>
      <w:r>
        <w:rPr>
          <w:rStyle w:val="29"/>
          <w:rFonts w:hint="eastAsia" w:ascii="仿宋" w:hAnsi="仿宋" w:eastAsia="仿宋"/>
          <w:b w:val="0"/>
          <w:bCs w:val="0"/>
          <w:kern w:val="21"/>
        </w:rPr>
        <w:t>三、</w:t>
      </w:r>
      <w:r>
        <w:rPr>
          <w:rFonts w:hint="eastAsia" w:ascii="仿宋" w:hAnsi="仿宋" w:eastAsia="仿宋"/>
          <w:b w:val="0"/>
          <w:kern w:val="21"/>
        </w:rPr>
        <w:t>支</w:t>
      </w:r>
      <w:r>
        <w:rPr>
          <w:rStyle w:val="29"/>
          <w:rFonts w:hint="eastAsia" w:ascii="仿宋" w:hAnsi="仿宋" w:eastAsia="仿宋"/>
          <w:b w:val="0"/>
          <w:bCs w:val="0"/>
          <w:kern w:val="21"/>
        </w:rPr>
        <w:t>出决算表</w:t>
      </w:r>
      <w:bookmarkEnd w:id="87"/>
      <w:bookmarkEnd w:id="88"/>
    </w:p>
    <w:p w14:paraId="7E65BD94">
      <w:pPr>
        <w:pStyle w:val="4"/>
        <w:rPr>
          <w:rFonts w:ascii="仿宋" w:hAnsi="仿宋" w:eastAsia="仿宋"/>
          <w:b w:val="0"/>
          <w:kern w:val="21"/>
        </w:rPr>
      </w:pPr>
      <w:bookmarkStart w:id="89" w:name="_Toc28730"/>
      <w:bookmarkStart w:id="90" w:name="_Toc15396622"/>
      <w:r>
        <w:rPr>
          <w:rStyle w:val="29"/>
          <w:rFonts w:hint="eastAsia" w:ascii="仿宋" w:hAnsi="仿宋" w:eastAsia="仿宋"/>
          <w:b w:val="0"/>
          <w:bCs w:val="0"/>
          <w:kern w:val="21"/>
        </w:rPr>
        <w:t>四、</w:t>
      </w:r>
      <w:r>
        <w:rPr>
          <w:rFonts w:hint="eastAsia" w:ascii="仿宋" w:hAnsi="仿宋" w:eastAsia="仿宋"/>
          <w:b w:val="0"/>
          <w:kern w:val="21"/>
        </w:rPr>
        <w:t>财</w:t>
      </w:r>
      <w:r>
        <w:rPr>
          <w:rStyle w:val="29"/>
          <w:rFonts w:hint="eastAsia" w:ascii="仿宋" w:hAnsi="仿宋" w:eastAsia="仿宋"/>
          <w:b w:val="0"/>
          <w:bCs w:val="0"/>
          <w:kern w:val="21"/>
        </w:rPr>
        <w:t>政拨款收入支出决算总表</w:t>
      </w:r>
      <w:bookmarkEnd w:id="89"/>
      <w:bookmarkEnd w:id="90"/>
    </w:p>
    <w:p w14:paraId="3F52BEEF">
      <w:pPr>
        <w:pStyle w:val="4"/>
        <w:rPr>
          <w:rStyle w:val="29"/>
          <w:rFonts w:ascii="仿宋" w:hAnsi="仿宋" w:eastAsia="仿宋"/>
          <w:b w:val="0"/>
          <w:bCs w:val="0"/>
          <w:kern w:val="21"/>
        </w:rPr>
      </w:pPr>
      <w:bookmarkStart w:id="91" w:name="_Toc19486"/>
      <w:bookmarkStart w:id="92" w:name="_Toc15396623"/>
      <w:r>
        <w:rPr>
          <w:rStyle w:val="29"/>
          <w:rFonts w:hint="eastAsia" w:ascii="仿宋" w:hAnsi="仿宋" w:eastAsia="仿宋"/>
          <w:b w:val="0"/>
          <w:bCs w:val="0"/>
          <w:kern w:val="21"/>
        </w:rPr>
        <w:t>五、</w:t>
      </w:r>
      <w:r>
        <w:rPr>
          <w:rFonts w:hint="eastAsia" w:ascii="仿宋" w:hAnsi="仿宋" w:eastAsia="仿宋"/>
          <w:b w:val="0"/>
          <w:kern w:val="21"/>
        </w:rPr>
        <w:t>财</w:t>
      </w:r>
      <w:r>
        <w:rPr>
          <w:rStyle w:val="29"/>
          <w:rFonts w:hint="eastAsia" w:ascii="仿宋" w:hAnsi="仿宋" w:eastAsia="仿宋"/>
          <w:b w:val="0"/>
          <w:bCs w:val="0"/>
          <w:kern w:val="21"/>
        </w:rPr>
        <w:t>政拨款支出决算明细表</w:t>
      </w:r>
      <w:bookmarkEnd w:id="91"/>
      <w:bookmarkEnd w:id="92"/>
      <w:bookmarkStart w:id="93" w:name="_Toc15396624"/>
    </w:p>
    <w:p w14:paraId="7C0F79B5">
      <w:pPr>
        <w:pStyle w:val="4"/>
        <w:rPr>
          <w:rFonts w:ascii="仿宋" w:hAnsi="仿宋" w:eastAsia="仿宋"/>
          <w:kern w:val="21"/>
        </w:rPr>
      </w:pPr>
      <w:bookmarkStart w:id="94" w:name="_Toc29834"/>
      <w:r>
        <w:rPr>
          <w:rStyle w:val="29"/>
          <w:rFonts w:hint="eastAsia" w:ascii="仿宋" w:hAnsi="仿宋" w:eastAsia="仿宋"/>
          <w:b w:val="0"/>
          <w:bCs w:val="0"/>
          <w:kern w:val="21"/>
        </w:rPr>
        <w:t>六、</w:t>
      </w:r>
      <w:r>
        <w:rPr>
          <w:rFonts w:hint="eastAsia" w:ascii="仿宋" w:hAnsi="仿宋" w:eastAsia="仿宋"/>
          <w:b w:val="0"/>
          <w:kern w:val="21"/>
        </w:rPr>
        <w:t>一</w:t>
      </w:r>
      <w:r>
        <w:rPr>
          <w:rStyle w:val="29"/>
          <w:rFonts w:hint="eastAsia" w:ascii="仿宋" w:hAnsi="仿宋" w:eastAsia="仿宋"/>
          <w:b w:val="0"/>
          <w:bCs w:val="0"/>
          <w:kern w:val="21"/>
        </w:rPr>
        <w:t>般公共预算财政拨款支出决算表</w:t>
      </w:r>
      <w:bookmarkEnd w:id="93"/>
      <w:bookmarkEnd w:id="94"/>
    </w:p>
    <w:p w14:paraId="5DF5C3CC">
      <w:pPr>
        <w:pStyle w:val="4"/>
        <w:rPr>
          <w:rFonts w:ascii="仿宋" w:hAnsi="仿宋" w:eastAsia="仿宋"/>
          <w:kern w:val="21"/>
        </w:rPr>
      </w:pPr>
      <w:bookmarkStart w:id="95" w:name="_Toc28717"/>
      <w:bookmarkStart w:id="96" w:name="_Toc15396625"/>
      <w:r>
        <w:rPr>
          <w:rStyle w:val="29"/>
          <w:rFonts w:hint="eastAsia" w:ascii="仿宋" w:hAnsi="仿宋" w:eastAsia="仿宋"/>
          <w:b w:val="0"/>
          <w:bCs w:val="0"/>
          <w:kern w:val="21"/>
        </w:rPr>
        <w:t>七、</w:t>
      </w:r>
      <w:r>
        <w:rPr>
          <w:rFonts w:hint="eastAsia" w:ascii="仿宋" w:hAnsi="仿宋" w:eastAsia="仿宋"/>
          <w:b w:val="0"/>
          <w:kern w:val="21"/>
        </w:rPr>
        <w:t>一</w:t>
      </w:r>
      <w:r>
        <w:rPr>
          <w:rStyle w:val="29"/>
          <w:rFonts w:hint="eastAsia" w:ascii="仿宋" w:hAnsi="仿宋" w:eastAsia="仿宋"/>
          <w:b w:val="0"/>
          <w:bCs w:val="0"/>
          <w:kern w:val="21"/>
        </w:rPr>
        <w:t>般公共预算财政拨款支出决算明细表</w:t>
      </w:r>
      <w:bookmarkEnd w:id="95"/>
      <w:bookmarkEnd w:id="96"/>
    </w:p>
    <w:p w14:paraId="3C31AFFE">
      <w:pPr>
        <w:pStyle w:val="4"/>
        <w:rPr>
          <w:rFonts w:ascii="仿宋" w:hAnsi="仿宋" w:eastAsia="仿宋"/>
          <w:kern w:val="21"/>
        </w:rPr>
      </w:pPr>
      <w:bookmarkStart w:id="97" w:name="_Toc25346"/>
      <w:bookmarkStart w:id="98" w:name="_Toc15396626"/>
      <w:r>
        <w:rPr>
          <w:rStyle w:val="29"/>
          <w:rFonts w:hint="eastAsia" w:ascii="仿宋" w:hAnsi="仿宋" w:eastAsia="仿宋"/>
          <w:b w:val="0"/>
          <w:bCs w:val="0"/>
          <w:kern w:val="21"/>
        </w:rPr>
        <w:t>八、</w:t>
      </w:r>
      <w:r>
        <w:rPr>
          <w:rFonts w:hint="eastAsia" w:ascii="仿宋" w:hAnsi="仿宋" w:eastAsia="仿宋"/>
          <w:b w:val="0"/>
          <w:kern w:val="21"/>
        </w:rPr>
        <w:t>一</w:t>
      </w:r>
      <w:r>
        <w:rPr>
          <w:rStyle w:val="29"/>
          <w:rFonts w:hint="eastAsia" w:ascii="仿宋" w:hAnsi="仿宋" w:eastAsia="仿宋"/>
          <w:b w:val="0"/>
          <w:bCs w:val="0"/>
          <w:kern w:val="21"/>
        </w:rPr>
        <w:t>般公共预算财政拨款基本支出决算表</w:t>
      </w:r>
      <w:bookmarkEnd w:id="97"/>
      <w:bookmarkEnd w:id="98"/>
    </w:p>
    <w:p w14:paraId="3B325CEE">
      <w:pPr>
        <w:pStyle w:val="4"/>
        <w:rPr>
          <w:rFonts w:ascii="仿宋" w:hAnsi="仿宋" w:eastAsia="仿宋"/>
          <w:kern w:val="21"/>
        </w:rPr>
      </w:pPr>
      <w:bookmarkStart w:id="99" w:name="_Toc19451"/>
      <w:bookmarkStart w:id="100" w:name="_Toc15396627"/>
      <w:r>
        <w:rPr>
          <w:rStyle w:val="29"/>
          <w:rFonts w:hint="eastAsia" w:ascii="仿宋" w:hAnsi="仿宋" w:eastAsia="仿宋"/>
          <w:b w:val="0"/>
          <w:bCs w:val="0"/>
          <w:kern w:val="21"/>
        </w:rPr>
        <w:t>九、</w:t>
      </w:r>
      <w:r>
        <w:rPr>
          <w:rFonts w:hint="eastAsia" w:ascii="仿宋" w:hAnsi="仿宋" w:eastAsia="仿宋"/>
          <w:b w:val="0"/>
          <w:kern w:val="21"/>
        </w:rPr>
        <w:t>一</w:t>
      </w:r>
      <w:r>
        <w:rPr>
          <w:rStyle w:val="29"/>
          <w:rFonts w:hint="eastAsia" w:ascii="仿宋" w:hAnsi="仿宋" w:eastAsia="仿宋"/>
          <w:b w:val="0"/>
          <w:bCs w:val="0"/>
          <w:kern w:val="21"/>
        </w:rPr>
        <w:t>般公共预算财政拨款项目支出决算表</w:t>
      </w:r>
      <w:bookmarkEnd w:id="99"/>
      <w:bookmarkEnd w:id="100"/>
    </w:p>
    <w:p w14:paraId="38A2CC96">
      <w:pPr>
        <w:pStyle w:val="4"/>
        <w:rPr>
          <w:rFonts w:ascii="仿宋" w:hAnsi="仿宋" w:eastAsia="仿宋"/>
          <w:kern w:val="21"/>
        </w:rPr>
      </w:pPr>
      <w:bookmarkStart w:id="101" w:name="_Toc15396628"/>
      <w:bookmarkStart w:id="102" w:name="_Toc13459"/>
      <w:r>
        <w:rPr>
          <w:rStyle w:val="29"/>
          <w:rFonts w:hint="eastAsia" w:ascii="仿宋" w:hAnsi="仿宋" w:eastAsia="仿宋"/>
          <w:b w:val="0"/>
          <w:bCs w:val="0"/>
          <w:kern w:val="21"/>
        </w:rPr>
        <w:t>十、</w:t>
      </w:r>
      <w:bookmarkEnd w:id="101"/>
      <w:r>
        <w:rPr>
          <w:rFonts w:hint="eastAsia" w:ascii="仿宋" w:hAnsi="仿宋" w:eastAsia="仿宋"/>
          <w:b w:val="0"/>
          <w:kern w:val="21"/>
        </w:rPr>
        <w:t>政</w:t>
      </w:r>
      <w:r>
        <w:rPr>
          <w:rStyle w:val="29"/>
          <w:rFonts w:hint="eastAsia" w:ascii="仿宋" w:hAnsi="仿宋" w:eastAsia="仿宋"/>
          <w:b w:val="0"/>
          <w:bCs w:val="0"/>
          <w:kern w:val="21"/>
        </w:rPr>
        <w:t>府性基金预算财政拨款收入支出决算表</w:t>
      </w:r>
      <w:bookmarkEnd w:id="102"/>
    </w:p>
    <w:p w14:paraId="32C7A412">
      <w:pPr>
        <w:pStyle w:val="4"/>
        <w:rPr>
          <w:rFonts w:ascii="仿宋" w:hAnsi="仿宋" w:eastAsia="仿宋"/>
          <w:kern w:val="21"/>
        </w:rPr>
      </w:pPr>
      <w:bookmarkStart w:id="103" w:name="_Toc15396629"/>
      <w:bookmarkStart w:id="104" w:name="_Toc6256"/>
      <w:r>
        <w:rPr>
          <w:rStyle w:val="29"/>
          <w:rFonts w:hint="eastAsia" w:ascii="仿宋" w:hAnsi="仿宋" w:eastAsia="仿宋"/>
          <w:b w:val="0"/>
          <w:bCs w:val="0"/>
          <w:kern w:val="21"/>
        </w:rPr>
        <w:t>十一、</w:t>
      </w:r>
      <w:bookmarkEnd w:id="103"/>
      <w:r>
        <w:rPr>
          <w:rFonts w:hint="eastAsia" w:ascii="仿宋" w:hAnsi="仿宋" w:eastAsia="仿宋"/>
          <w:b w:val="0"/>
          <w:kern w:val="21"/>
        </w:rPr>
        <w:t>国</w:t>
      </w:r>
      <w:r>
        <w:rPr>
          <w:rStyle w:val="29"/>
          <w:rFonts w:hint="eastAsia" w:ascii="仿宋" w:hAnsi="仿宋" w:eastAsia="仿宋"/>
          <w:b w:val="0"/>
          <w:bCs w:val="0"/>
          <w:kern w:val="21"/>
        </w:rPr>
        <w:t>有资本经营预算财政拨款收入支出决算表</w:t>
      </w:r>
      <w:bookmarkEnd w:id="104"/>
    </w:p>
    <w:p w14:paraId="410FC394">
      <w:pPr>
        <w:pStyle w:val="4"/>
        <w:rPr>
          <w:rFonts w:ascii="仿宋" w:hAnsi="仿宋" w:eastAsia="仿宋"/>
          <w:kern w:val="21"/>
        </w:rPr>
      </w:pPr>
      <w:bookmarkStart w:id="105" w:name="_Toc15396630"/>
      <w:bookmarkStart w:id="106" w:name="_Toc15200"/>
      <w:r>
        <w:rPr>
          <w:rStyle w:val="29"/>
          <w:rFonts w:hint="eastAsia" w:ascii="仿宋" w:hAnsi="仿宋" w:eastAsia="仿宋"/>
          <w:b w:val="0"/>
          <w:bCs w:val="0"/>
          <w:kern w:val="21"/>
        </w:rPr>
        <w:t>十二、</w:t>
      </w:r>
      <w:bookmarkEnd w:id="105"/>
      <w:r>
        <w:rPr>
          <w:rStyle w:val="29"/>
          <w:rFonts w:hint="eastAsia" w:ascii="仿宋" w:hAnsi="仿宋" w:eastAsia="仿宋"/>
          <w:b w:val="0"/>
          <w:bCs w:val="0"/>
          <w:kern w:val="21"/>
        </w:rPr>
        <w:t>国有资本经营预算财政拨款支出决算表</w:t>
      </w:r>
      <w:bookmarkEnd w:id="106"/>
    </w:p>
    <w:p w14:paraId="63EA5D83">
      <w:pPr>
        <w:pStyle w:val="4"/>
        <w:rPr>
          <w:rFonts w:eastAsia="仿宋"/>
          <w:kern w:val="21"/>
        </w:rPr>
      </w:pPr>
      <w:bookmarkStart w:id="107" w:name="_Toc15396631"/>
      <w:bookmarkStart w:id="108" w:name="_Toc12459"/>
      <w:r>
        <w:rPr>
          <w:rStyle w:val="29"/>
          <w:rFonts w:hint="eastAsia" w:ascii="仿宋" w:hAnsi="仿宋" w:eastAsia="仿宋"/>
          <w:b w:val="0"/>
          <w:bCs w:val="0"/>
          <w:kern w:val="21"/>
        </w:rPr>
        <w:t>十三、</w:t>
      </w:r>
      <w:bookmarkEnd w:id="107"/>
      <w:r>
        <w:rPr>
          <w:rStyle w:val="29"/>
          <w:rFonts w:hint="eastAsia" w:ascii="仿宋" w:hAnsi="仿宋" w:eastAsia="仿宋"/>
          <w:b w:val="0"/>
          <w:bCs w:val="0"/>
          <w:kern w:val="21"/>
        </w:rPr>
        <w:t>财政拨款“三公”经费支出决算表</w:t>
      </w:r>
      <w:bookmarkEnd w:id="108"/>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393DE1-228E-4654-AA70-6CBEB4E898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AD25135-C2D9-43B8-85B8-298A42E3AADA}"/>
  </w:font>
  <w:font w:name="Cambria">
    <w:panose1 w:val="02040503050406030204"/>
    <w:charset w:val="00"/>
    <w:family w:val="roman"/>
    <w:pitch w:val="default"/>
    <w:sig w:usb0="E00006FF" w:usb1="420024FF" w:usb2="02000000" w:usb3="00000000" w:csb0="2000019F" w:csb1="00000000"/>
    <w:embedRegular r:id="rId3" w:fontKey="{881BD209-68B2-4165-9CAF-543C46861711}"/>
  </w:font>
  <w:font w:name="仿宋_GB2312">
    <w:panose1 w:val="02010609030101010101"/>
    <w:charset w:val="86"/>
    <w:family w:val="auto"/>
    <w:pitch w:val="default"/>
    <w:sig w:usb0="00000001" w:usb1="080E0000" w:usb2="00000000" w:usb3="00000000" w:csb0="00040000" w:csb1="00000000"/>
    <w:embedRegular r:id="rId4" w:fontKey="{F0F29BB7-5BDD-4063-B67D-DE72306612BD}"/>
  </w:font>
  <w:font w:name="仿宋">
    <w:panose1 w:val="02010609060101010101"/>
    <w:charset w:val="86"/>
    <w:family w:val="modern"/>
    <w:pitch w:val="default"/>
    <w:sig w:usb0="800002BF" w:usb1="38CF7CFA" w:usb2="00000016" w:usb3="00000000" w:csb0="00040001" w:csb1="00000000"/>
    <w:embedRegular r:id="rId5" w:fontKey="{24DA5528-F8EC-4F06-B3C5-1B69E39CC252}"/>
  </w:font>
  <w:font w:name="方正小标宋简体">
    <w:panose1 w:val="02000000000000000000"/>
    <w:charset w:val="86"/>
    <w:family w:val="script"/>
    <w:pitch w:val="default"/>
    <w:sig w:usb0="00000001" w:usb1="08000000" w:usb2="00000000" w:usb3="00000000" w:csb0="00040000" w:csb1="00000000"/>
    <w:embedRegular r:id="rId6" w:fontKey="{7F37C4AD-2D0B-4D0E-AD6D-77C0567E3030}"/>
  </w:font>
  <w:font w:name="华文中宋">
    <w:altName w:val="宋体"/>
    <w:panose1 w:val="02010600040101010101"/>
    <w:charset w:val="86"/>
    <w:family w:val="auto"/>
    <w:pitch w:val="default"/>
    <w:sig w:usb0="00000000" w:usb1="00000000" w:usb2="00000010" w:usb3="00000000" w:csb0="0004009F" w:csb1="00000000"/>
    <w:embedRegular r:id="rId7" w:fontKey="{43021380-34E9-432A-A867-340647CF487D}"/>
  </w:font>
  <w:font w:name="微软雅黑">
    <w:panose1 w:val="020B0503020204020204"/>
    <w:charset w:val="86"/>
    <w:family w:val="auto"/>
    <w:pitch w:val="default"/>
    <w:sig w:usb0="80000287" w:usb1="2ACF3C50" w:usb2="00000016" w:usb3="00000000" w:csb0="0004001F" w:csb1="00000000"/>
    <w:embedRegular r:id="rId8" w:fontKey="{59F910C0-05BF-402A-B8BF-4862F13885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FD513">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99EB610">
                              <w:pPr>
                                <w:pStyle w:val="10"/>
                                <w:jc w:val="center"/>
                              </w:pPr>
                              <w:r>
                                <w:fldChar w:fldCharType="begin"/>
                              </w:r>
                              <w:r>
                                <w:instrText xml:space="preserve">PAGE   \* MERGEFORMAT</w:instrText>
                              </w:r>
                              <w:r>
                                <w:fldChar w:fldCharType="separate"/>
                              </w:r>
                              <w:r>
                                <w:rPr>
                                  <w:lang w:val="zh-CN"/>
                                </w:rPr>
                                <w:t>15</w:t>
                              </w:r>
                              <w:r>
                                <w:fldChar w:fldCharType="end"/>
                              </w:r>
                            </w:p>
                          </w:sdtContent>
                        </w:sdt>
                        <w:p w14:paraId="4F2CC743">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99EB610">
                        <w:pPr>
                          <w:pStyle w:val="10"/>
                          <w:jc w:val="center"/>
                        </w:pPr>
                        <w:r>
                          <w:fldChar w:fldCharType="begin"/>
                        </w:r>
                        <w:r>
                          <w:instrText xml:space="preserve">PAGE   \* MERGEFORMAT</w:instrText>
                        </w:r>
                        <w:r>
                          <w:fldChar w:fldCharType="separate"/>
                        </w:r>
                        <w:r>
                          <w:rPr>
                            <w:lang w:val="zh-CN"/>
                          </w:rPr>
                          <w:t>15</w:t>
                        </w:r>
                        <w:r>
                          <w:fldChar w:fldCharType="end"/>
                        </w:r>
                      </w:p>
                    </w:sdtContent>
                  </w:sdt>
                  <w:p w14:paraId="4F2CC743">
                    <w:pPr>
                      <w:pStyle w:val="2"/>
                    </w:pPr>
                  </w:p>
                </w:txbxContent>
              </v:textbox>
            </v:shape>
          </w:pict>
        </mc:Fallback>
      </mc:AlternateContent>
    </w:r>
  </w:p>
  <w:p w14:paraId="0EB2E3EA">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6FA4">
    <w:pPr>
      <w:pStyle w:val="10"/>
    </w:pPr>
  </w:p>
  <w:p w14:paraId="5BD48D95">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E79F7">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CBE79F7">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54A38">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MWNhN2ZmY2ZhZmY3ODhlYTg0MWU5OGMyY2Qw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0E1"/>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876B1B"/>
    <w:rsid w:val="03DC2831"/>
    <w:rsid w:val="059A7BE7"/>
    <w:rsid w:val="081B5E94"/>
    <w:rsid w:val="0A2032A3"/>
    <w:rsid w:val="0B706FBB"/>
    <w:rsid w:val="0B8A37D8"/>
    <w:rsid w:val="0BEE2AB9"/>
    <w:rsid w:val="0F5FFB2F"/>
    <w:rsid w:val="0FFFCF60"/>
    <w:rsid w:val="10C055FF"/>
    <w:rsid w:val="118107EC"/>
    <w:rsid w:val="11DD6519"/>
    <w:rsid w:val="12897E9C"/>
    <w:rsid w:val="16BB723D"/>
    <w:rsid w:val="18015F3F"/>
    <w:rsid w:val="1BE8440E"/>
    <w:rsid w:val="1D155CEE"/>
    <w:rsid w:val="1FDBBF84"/>
    <w:rsid w:val="20F57F95"/>
    <w:rsid w:val="240371BF"/>
    <w:rsid w:val="24EB11B4"/>
    <w:rsid w:val="25711CC6"/>
    <w:rsid w:val="25C741E6"/>
    <w:rsid w:val="276F80C0"/>
    <w:rsid w:val="27842671"/>
    <w:rsid w:val="29FD04D3"/>
    <w:rsid w:val="2ABE7A3E"/>
    <w:rsid w:val="2AFF09B6"/>
    <w:rsid w:val="2CA234A8"/>
    <w:rsid w:val="2EDA2FEE"/>
    <w:rsid w:val="2EFA178C"/>
    <w:rsid w:val="2EFDF86C"/>
    <w:rsid w:val="2F9D17E1"/>
    <w:rsid w:val="2FC57837"/>
    <w:rsid w:val="30B46D73"/>
    <w:rsid w:val="319F7F4E"/>
    <w:rsid w:val="356A28F1"/>
    <w:rsid w:val="357C035A"/>
    <w:rsid w:val="360B0ED2"/>
    <w:rsid w:val="368E000D"/>
    <w:rsid w:val="383D272C"/>
    <w:rsid w:val="39AE70AB"/>
    <w:rsid w:val="3A4DCE41"/>
    <w:rsid w:val="3BCB56FA"/>
    <w:rsid w:val="3C0C0783"/>
    <w:rsid w:val="3EE7C2F4"/>
    <w:rsid w:val="3F371B56"/>
    <w:rsid w:val="3F792ED8"/>
    <w:rsid w:val="3F9F3A96"/>
    <w:rsid w:val="3FECA4B2"/>
    <w:rsid w:val="3FF58C48"/>
    <w:rsid w:val="41BA13BC"/>
    <w:rsid w:val="42FF6694"/>
    <w:rsid w:val="48A24875"/>
    <w:rsid w:val="48BF60AB"/>
    <w:rsid w:val="493C27E9"/>
    <w:rsid w:val="496F39ED"/>
    <w:rsid w:val="49FF41D3"/>
    <w:rsid w:val="4BE068DB"/>
    <w:rsid w:val="4BF6002B"/>
    <w:rsid w:val="4BFFC6BE"/>
    <w:rsid w:val="4ECE2238"/>
    <w:rsid w:val="51DB4B86"/>
    <w:rsid w:val="51F64DB0"/>
    <w:rsid w:val="54FE4BE1"/>
    <w:rsid w:val="55333C3E"/>
    <w:rsid w:val="59B215EB"/>
    <w:rsid w:val="59B406A5"/>
    <w:rsid w:val="5F67802D"/>
    <w:rsid w:val="5F7DC4F2"/>
    <w:rsid w:val="5FB36814"/>
    <w:rsid w:val="5FBB8E56"/>
    <w:rsid w:val="5FFB5535"/>
    <w:rsid w:val="64CA39A1"/>
    <w:rsid w:val="69630ADE"/>
    <w:rsid w:val="69BD5F13"/>
    <w:rsid w:val="69FB0B4B"/>
    <w:rsid w:val="6BFFE1FB"/>
    <w:rsid w:val="6C4A05C8"/>
    <w:rsid w:val="6D1501EA"/>
    <w:rsid w:val="6D3B1A89"/>
    <w:rsid w:val="6DB7D8A3"/>
    <w:rsid w:val="6E5C2A4F"/>
    <w:rsid w:val="6EC78701"/>
    <w:rsid w:val="6F7A5481"/>
    <w:rsid w:val="6FFE07A9"/>
    <w:rsid w:val="71BF4EC2"/>
    <w:rsid w:val="72734D90"/>
    <w:rsid w:val="73E75B71"/>
    <w:rsid w:val="7412278C"/>
    <w:rsid w:val="75DDCDA9"/>
    <w:rsid w:val="75FF44B1"/>
    <w:rsid w:val="767120DF"/>
    <w:rsid w:val="77670518"/>
    <w:rsid w:val="777FA627"/>
    <w:rsid w:val="77DF1B5F"/>
    <w:rsid w:val="77EF2D9D"/>
    <w:rsid w:val="79E7B28D"/>
    <w:rsid w:val="7ACFF0C2"/>
    <w:rsid w:val="7AFB9108"/>
    <w:rsid w:val="7BD5340C"/>
    <w:rsid w:val="7BDE6617"/>
    <w:rsid w:val="7BFB19D2"/>
    <w:rsid w:val="7BFD1750"/>
    <w:rsid w:val="7BFDAA1B"/>
    <w:rsid w:val="7C725D31"/>
    <w:rsid w:val="7CDF9A82"/>
    <w:rsid w:val="7CFFA1BD"/>
    <w:rsid w:val="7D2E3F7A"/>
    <w:rsid w:val="7D6F514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字符"/>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7"/>
    <w:link w:val="3"/>
    <w:qFormat/>
    <w:uiPriority w:val="9"/>
    <w:rPr>
      <w:rFonts w:ascii="Times New Roman" w:hAnsi="Times New Roman"/>
      <w:b/>
      <w:bCs/>
      <w:kern w:val="44"/>
      <w:sz w:val="44"/>
      <w:szCs w:val="44"/>
    </w:rPr>
  </w:style>
  <w:style w:type="character" w:customStyle="1" w:styleId="29">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7"/>
    <w:link w:val="9"/>
    <w:semiHidden/>
    <w:qFormat/>
    <w:uiPriority w:val="99"/>
    <w:rPr>
      <w:rFonts w:ascii="Times New Roman" w:hAnsi="Times New Roman"/>
      <w:kern w:val="2"/>
      <w:sz w:val="18"/>
      <w:szCs w:val="18"/>
    </w:rPr>
  </w:style>
  <w:style w:type="character" w:customStyle="1" w:styleId="32">
    <w:name w:val="标题 3 字符"/>
    <w:basedOn w:val="17"/>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J:\&#20915;&#31639;&#20844;&#24320;\&#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J:\&#20915;&#31639;&#20844;&#24320;\&#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J:\&#20915;&#31639;&#20844;&#24320;\&#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J:\&#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J:\&#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J:\&#20915;&#31639;&#20844;&#24320;\&#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J:\&#20915;&#31639;&#20844;&#24320;\&#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岷江乡卫生院收、支决算总计变动表</c:v>
                  </c:pt>
                </c:lvl>
              </c:multiLvlStrCache>
            </c:multiLvlStrRef>
          </c:cat>
          <c:val>
            <c:numRef>
              <c:f>[表格.xlsx]Sheet1!$A$4:$D$4</c:f>
              <c:numCache>
                <c:formatCode>General</c:formatCode>
                <c:ptCount val="4"/>
                <c:pt idx="0">
                  <c:v>231.42</c:v>
                </c:pt>
                <c:pt idx="1">
                  <c:v>231.42</c:v>
                </c:pt>
                <c:pt idx="2">
                  <c:v>220.13</c:v>
                </c:pt>
                <c:pt idx="3">
                  <c:v>220.13</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岷江乡卫生院收入决算结构图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231.42（万元）</c:v>
                  </c:pt>
                  <c:pt idx="2">
                    <c:v>8.35（万元）</c:v>
                  </c:pt>
                </c:lvl>
                <c:lvl>
                  <c:pt idx="0">
                    <c:v>岷江乡卫生院收入决算结构图</c:v>
                  </c:pt>
                  <c:pt idx="1">
                    <c:v>一般公共预算财政拨款</c:v>
                  </c:pt>
                  <c:pt idx="2">
                    <c:v>事业收入</c:v>
                  </c:pt>
                </c:lvl>
              </c:multiLvlStrCache>
            </c:multiLvlStrRef>
          </c:cat>
          <c:val>
            <c:numRef>
              <c:f>[表格.xlsx]Sheet1!$K$1:$K$3</c:f>
              <c:numCache>
                <c:formatCode>General</c:formatCode>
                <c:ptCount val="3"/>
                <c:pt idx="1" c:formatCode="0.00%">
                  <c:v>0.9733</c:v>
                </c:pt>
                <c:pt idx="2" c:formatCode="0.00%">
                  <c:v>0.0266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岷江乡卫生院支出决算结构图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[表格.xlsx]Sheet1!$A$23:$B$25</c:f>
              <c:multiLvlStrCache>
                <c:ptCount val="3"/>
                <c:lvl>
                  <c:pt idx="1">
                    <c:v>231.42（万元）</c:v>
                  </c:pt>
                  <c:pt idx="2">
                    <c:v>202.99（万元）</c:v>
                  </c:pt>
                </c:lvl>
                <c:lvl>
                  <c:pt idx="0">
                    <c:v>岷江乡卫生院支出决算结构图</c:v>
                  </c:pt>
                  <c:pt idx="1">
                    <c:v>基本支出</c:v>
                  </c:pt>
                  <c:pt idx="2">
                    <c:v>项目支出</c:v>
                  </c:pt>
                </c:lvl>
              </c:multiLvlStrCache>
            </c:multiLvlStrRef>
          </c:cat>
          <c:val>
            <c:numRef>
              <c:f>[表格.xlsx]Sheet1!$C$23:$C$25</c:f>
              <c:numCache>
                <c:formatCode>General</c:formatCode>
                <c:ptCount val="3"/>
                <c:pt idx="1" c:formatCode="0.00%">
                  <c:v>0.9021</c:v>
                </c:pt>
                <c:pt idx="2" c:formatCode="0.00%">
                  <c:v>0.0979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[表格.xlsx]Sheet1!$A$46:$D$48</c:f>
              <c:multiLvlStrCache>
                <c:ptCount val="4"/>
                <c:lvl>
                  <c:pt idx="0">
                    <c:v>收入（万元）</c:v>
                  </c:pt>
                  <c:pt idx="1">
                    <c:v>支出（万元）</c:v>
                  </c:pt>
                  <c:pt idx="2">
                    <c:v>收入（万元）</c:v>
                  </c:pt>
                  <c:pt idx="3">
                    <c:v>支出（万元）</c:v>
                  </c:pt>
                </c:lvl>
                <c:lvl>
                  <c:pt idx="0">
                    <c:v>2023年</c:v>
                  </c:pt>
                  <c:pt idx="2">
                    <c:v>2022年</c:v>
                  </c:pt>
                </c:lvl>
                <c:lvl>
                  <c:pt idx="0">
                    <c:v>岷江乡卫生院财政拨款收、支决算总计变动情况</c:v>
                  </c:pt>
                </c:lvl>
              </c:multiLvlStrCache>
            </c:multiLvlStrRef>
          </c:cat>
          <c:val>
            <c:numRef>
              <c:f>[表格.xlsx]Sheet1!$A$49:$D$49</c:f>
              <c:numCache>
                <c:formatCode>General</c:formatCode>
                <c:ptCount val="4"/>
                <c:pt idx="0">
                  <c:v>223.07</c:v>
                </c:pt>
                <c:pt idx="1">
                  <c:v>223.07</c:v>
                </c:pt>
                <c:pt idx="2">
                  <c:v>220.13</c:v>
                </c:pt>
                <c:pt idx="3">
                  <c:v>220.13</c:v>
                </c:pt>
              </c:numCache>
            </c:numRef>
          </c:val>
        </c:ser>
        <c:dLbls>
          <c:showLegendKey val="0"/>
          <c:showVal val="0"/>
          <c:showCatName val="0"/>
          <c:showSerName val="0"/>
          <c:showPercent val="0"/>
          <c:showBubbleSize val="0"/>
        </c:dLbls>
        <c:gapWidth val="219"/>
        <c:overlap val="-27"/>
        <c:axId val="850762926"/>
        <c:axId val="641625878"/>
      </c:barChart>
      <c:catAx>
        <c:axId val="8507629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1625878"/>
        <c:crosses val="autoZero"/>
        <c:auto val="1"/>
        <c:lblAlgn val="ctr"/>
        <c:lblOffset val="100"/>
        <c:noMultiLvlLbl val="0"/>
      </c:catAx>
      <c:valAx>
        <c:axId val="64162587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76292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manualLayout>
          <c:xMode val="edge"/>
          <c:yMode val="edge"/>
          <c:x val="0.153194444444444"/>
          <c:y val="0.0277777777777778"/>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[表格.xlsx]Sheet1!$H$46:$I$48</c:f>
              <c:multiLvlStrCache>
                <c:ptCount val="2"/>
                <c:lvl>
                  <c:pt idx="0">
                    <c:v>一般公共预算财政拨款（万元）</c:v>
                  </c:pt>
                  <c:pt idx="1">
                    <c:v>一般公共预算财政拨款（万元）</c:v>
                  </c:pt>
                </c:lvl>
                <c:lvl>
                  <c:pt idx="0">
                    <c:v>2023年</c:v>
                  </c:pt>
                  <c:pt idx="1">
                    <c:v>2022年</c:v>
                  </c:pt>
                </c:lvl>
                <c:lvl>
                  <c:pt idx="0">
                    <c:v>一般公共预算财政拨款支出决算变动情况</c:v>
                  </c:pt>
                </c:lvl>
              </c:multiLvlStrCache>
            </c:multiLvlStrRef>
          </c:cat>
          <c:val>
            <c:numRef>
              <c:f>[表格.xlsx]Sheet1!$H$49:$I$49</c:f>
              <c:numCache>
                <c:formatCode>General</c:formatCode>
                <c:ptCount val="2"/>
                <c:pt idx="0">
                  <c:v>223.07</c:v>
                </c:pt>
                <c:pt idx="1">
                  <c:v>220.13</c:v>
                </c:pt>
              </c:numCache>
            </c:numRef>
          </c:val>
        </c:ser>
        <c:dLbls>
          <c:showLegendKey val="0"/>
          <c:showVal val="0"/>
          <c:showCatName val="0"/>
          <c:showSerName val="0"/>
          <c:showPercent val="0"/>
          <c:showBubbleSize val="0"/>
        </c:dLbls>
        <c:gapWidth val="219"/>
        <c:overlap val="-27"/>
        <c:axId val="496180730"/>
        <c:axId val="348265706"/>
      </c:barChart>
      <c:catAx>
        <c:axId val="496180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265706"/>
        <c:crosses val="autoZero"/>
        <c:auto val="1"/>
        <c:lblAlgn val="ctr"/>
        <c:lblOffset val="100"/>
        <c:noMultiLvlLbl val="0"/>
      </c:catAx>
      <c:valAx>
        <c:axId val="3482657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180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岷江乡卫生院一般公共预算财政拨款支出决算结构</a:t>
            </a:r>
          </a:p>
        </c:rich>
      </c:tx>
      <c:layout>
        <c:manualLayout>
          <c:xMode val="edge"/>
          <c:yMode val="edge"/>
          <c:x val="0.103333333333333"/>
          <c:y val="0.0243055555555556"/>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[表格.xlsx]Sheet1!$A$69:$B$72</c:f>
              <c:multiLvlStrCache>
                <c:ptCount val="4"/>
                <c:lvl>
                  <c:pt idx="1">
                    <c:v>26.13（万元）</c:v>
                  </c:pt>
                  <c:pt idx="2">
                    <c:v>181.56（万元）</c:v>
                  </c:pt>
                  <c:pt idx="3">
                    <c:v>15.38（万元）</c:v>
                  </c:pt>
                </c:lvl>
                <c:lvl>
                  <c:pt idx="0">
                    <c:v>岷江乡卫生院一般公共预算财政拨款支出决算结构</c:v>
                  </c:pt>
                  <c:pt idx="1">
                    <c:v>社会保障和就业支出</c:v>
                  </c:pt>
                  <c:pt idx="2">
                    <c:v>卫生健康支出</c:v>
                  </c:pt>
                  <c:pt idx="3">
                    <c:v>住房保障支出</c:v>
                  </c:pt>
                </c:lvl>
              </c:multiLvlStrCache>
            </c:multiLvlStrRef>
          </c:cat>
          <c:val>
            <c:numRef>
              <c:f>[表格.xlsx]Sheet1!$C$69:$C$72</c:f>
              <c:numCache>
                <c:formatCode>General</c:formatCode>
                <c:ptCount val="4"/>
                <c:pt idx="1" c:formatCode="0.00%">
                  <c:v>0.1171</c:v>
                </c:pt>
                <c:pt idx="2" c:formatCode="0.00%">
                  <c:v>0.8032</c:v>
                </c:pt>
                <c:pt idx="3" c:formatCode="0.00%">
                  <c:v>0.069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岷江乡卫生院“三公”经费财政拨款支出结构图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岷江乡卫生院“三公”经费财政拨款支出结构图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7523</Words>
  <Characters>8383</Characters>
  <Lines>54</Lines>
  <Paragraphs>15</Paragraphs>
  <TotalTime>4</TotalTime>
  <ScaleCrop>false</ScaleCrop>
  <LinksUpToDate>false</LinksUpToDate>
  <CharactersWithSpaces>8525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2024-09-19T09:19:00Z</cp:lastPrinted>
  <dcterms:modified xsi:type="dcterms:W3CDTF">2024-09-23T09:17:21Z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FB1B3F92D8B1460AA1C8D33157E9116F_13</vt:lpwstr>
  </property>
</Properties>
</file>