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9A331">
      <w:pPr>
        <w:spacing w:line="600" w:lineRule="exact"/>
        <w:jc w:val="left"/>
        <w:outlineLvl w:val="0"/>
        <w:rPr>
          <w:rFonts w:ascii="方正小标宋简体" w:hAnsi="宋体" w:eastAsia="方正小标宋简体"/>
          <w:szCs w:val="21"/>
        </w:rPr>
      </w:pPr>
      <w:bookmarkStart w:id="0" w:name="_Toc15306267"/>
    </w:p>
    <w:p w14:paraId="4ACDC4D2">
      <w:pPr>
        <w:pStyle w:val="5"/>
        <w:spacing w:before="93"/>
      </w:pPr>
    </w:p>
    <w:p w14:paraId="35B68FE0">
      <w:pPr>
        <w:spacing w:line="600" w:lineRule="exact"/>
        <w:jc w:val="center"/>
        <w:outlineLvl w:val="0"/>
        <w:rPr>
          <w:rFonts w:ascii="方正小标宋简体" w:hAnsi="宋体" w:eastAsia="方正小标宋简体"/>
          <w:sz w:val="72"/>
          <w:szCs w:val="72"/>
        </w:rPr>
      </w:pPr>
    </w:p>
    <w:p w14:paraId="6BD51385">
      <w:pPr>
        <w:spacing w:line="600" w:lineRule="exact"/>
        <w:jc w:val="center"/>
        <w:outlineLvl w:val="0"/>
        <w:rPr>
          <w:rFonts w:ascii="方正小标宋简体" w:hAnsi="宋体" w:eastAsia="方正小标宋简体"/>
          <w:sz w:val="72"/>
          <w:szCs w:val="72"/>
        </w:rPr>
      </w:pPr>
    </w:p>
    <w:p w14:paraId="0C0C762D">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425"/>
      <w:bookmarkStart w:id="2" w:name="_Toc15377193"/>
      <w:bookmarkStart w:id="3" w:name="_Toc6638"/>
      <w:bookmarkStart w:id="4" w:name="_Toc15378441"/>
      <w:bookmarkStart w:id="5" w:name="_Toc15396597"/>
      <w:bookmarkStart w:id="6" w:name="_Toc1539647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36B14B04">
      <w:pPr>
        <w:adjustRightInd w:val="0"/>
        <w:snapToGrid w:val="0"/>
        <w:spacing w:line="360" w:lineRule="auto"/>
        <w:jc w:val="center"/>
        <w:outlineLvl w:val="0"/>
        <w:rPr>
          <w:rFonts w:hint="eastAsia" w:ascii="方正小标宋简体" w:eastAsia="方正小标宋简体"/>
          <w:sz w:val="72"/>
          <w:szCs w:val="72"/>
        </w:rPr>
      </w:pPr>
      <w:bookmarkStart w:id="7" w:name="_Toc22561"/>
      <w:bookmarkStart w:id="8" w:name="_Toc15396598"/>
      <w:bookmarkStart w:id="9" w:name="_Toc15378442"/>
      <w:bookmarkStart w:id="10" w:name="_Toc15396476"/>
      <w:bookmarkStart w:id="11" w:name="_Toc15377194"/>
      <w:bookmarkStart w:id="12" w:name="_Toc15377426"/>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eastAsia="方正小标宋简体"/>
          <w:sz w:val="72"/>
          <w:szCs w:val="72"/>
        </w:rPr>
        <w:t>阿坝州松潘县</w:t>
      </w:r>
      <w:bookmarkEnd w:id="7"/>
    </w:p>
    <w:p w14:paraId="4714F142">
      <w:pPr>
        <w:adjustRightInd w:val="0"/>
        <w:snapToGrid w:val="0"/>
        <w:spacing w:line="360" w:lineRule="auto"/>
        <w:jc w:val="center"/>
        <w:outlineLvl w:val="0"/>
        <w:rPr>
          <w:rFonts w:hint="default" w:ascii="方正小标宋简体" w:hAnsi="方正小标宋简体" w:eastAsia="方正小标宋简体" w:cs="方正小标宋简体"/>
          <w:sz w:val="72"/>
          <w:szCs w:val="72"/>
          <w:lang w:val="en-US" w:eastAsia="zh-CN"/>
        </w:rPr>
      </w:pPr>
      <w:bookmarkStart w:id="14" w:name="_Toc30978"/>
      <w:r>
        <w:rPr>
          <w:rFonts w:hint="eastAsia" w:ascii="方正小标宋简体" w:eastAsia="方正小标宋简体"/>
          <w:sz w:val="72"/>
          <w:szCs w:val="72"/>
          <w:lang w:val="en-US" w:eastAsia="zh-CN"/>
        </w:rPr>
        <w:t>中藏医院</w:t>
      </w:r>
      <w:r>
        <w:rPr>
          <w:rFonts w:hint="eastAsia" w:ascii="方正小标宋简体" w:hAnsi="方正小标宋简体" w:eastAsia="方正小标宋简体" w:cs="方正小标宋简体"/>
          <w:sz w:val="72"/>
          <w:szCs w:val="72"/>
        </w:rPr>
        <w:t>决算</w:t>
      </w:r>
      <w:bookmarkEnd w:id="8"/>
      <w:bookmarkEnd w:id="9"/>
      <w:bookmarkEnd w:id="10"/>
      <w:bookmarkEnd w:id="11"/>
      <w:bookmarkEnd w:id="12"/>
      <w:bookmarkEnd w:id="13"/>
      <w:bookmarkEnd w:id="14"/>
      <w:r>
        <w:rPr>
          <w:rFonts w:hint="eastAsia" w:ascii="方正小标宋简体" w:hAnsi="方正小标宋简体" w:eastAsia="方正小标宋简体" w:cs="方正小标宋简体"/>
          <w:sz w:val="72"/>
          <w:szCs w:val="72"/>
          <w:lang w:val="en-US" w:eastAsia="zh-CN"/>
        </w:rPr>
        <w:t>公开</w:t>
      </w:r>
    </w:p>
    <w:p w14:paraId="1E6950EA">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13A9DDEE">
      <w:pPr>
        <w:widowControl/>
        <w:jc w:val="center"/>
        <w:rPr>
          <w:rFonts w:ascii="黑体" w:hAnsi="黑体" w:eastAsia="黑体" w:cstheme="minorBidi"/>
          <w:sz w:val="28"/>
          <w:szCs w:val="28"/>
        </w:rPr>
      </w:pPr>
    </w:p>
    <w:p w14:paraId="48F11385">
      <w:pPr>
        <w:pStyle w:val="11"/>
      </w:pPr>
      <w:r>
        <w:rPr>
          <w:rFonts w:hint="eastAsia"/>
        </w:rPr>
        <w:t>公开时间：</w:t>
      </w:r>
      <w:r>
        <w:rPr>
          <w:rFonts w:hint="eastAsia"/>
          <w:lang w:val="en-US" w:eastAsia="zh-CN"/>
        </w:rPr>
        <w:t xml:space="preserve">2024 </w:t>
      </w:r>
      <w:r>
        <w:rPr>
          <w:rFonts w:hint="eastAsia"/>
        </w:rPr>
        <w:t>年</w:t>
      </w:r>
      <w:r>
        <w:rPr>
          <w:rFonts w:hint="eastAsia"/>
          <w:lang w:val="en-US" w:eastAsia="zh-CN"/>
        </w:rPr>
        <w:t xml:space="preserve"> 9 </w:t>
      </w:r>
      <w:r>
        <w:rPr>
          <w:rFonts w:hint="eastAsia"/>
        </w:rPr>
        <w:t>月</w:t>
      </w:r>
      <w:r>
        <w:rPr>
          <w:rFonts w:hint="eastAsia"/>
          <w:lang w:val="en-US" w:eastAsia="zh-CN"/>
        </w:rPr>
        <w:t xml:space="preserve"> 19 </w:t>
      </w:r>
      <w:r>
        <w:rPr>
          <w:rFonts w:hint="eastAsia"/>
        </w:rPr>
        <w:t>日</w:t>
      </w:r>
    </w:p>
    <w:p w14:paraId="2759CCA1">
      <w:pPr>
        <w:pStyle w:val="11"/>
        <w:tabs>
          <w:tab w:val="right" w:leader="dot" w:pos="8306"/>
          <w:tab w:val="clear" w:pos="8296"/>
        </w:tabs>
        <w:jc w:val="both"/>
      </w:pPr>
      <w:r>
        <w:fldChar w:fldCharType="begin"/>
      </w:r>
      <w:r>
        <w:instrText xml:space="preserve">TOC \o "1-3" \h \u </w:instrText>
      </w:r>
      <w:r>
        <w:fldChar w:fldCharType="separate"/>
      </w:r>
    </w:p>
    <w:p w14:paraId="16E19964">
      <w:pPr>
        <w:pStyle w:val="11"/>
        <w:tabs>
          <w:tab w:val="right" w:leader="dot" w:pos="8306"/>
          <w:tab w:val="clear" w:pos="8296"/>
        </w:tabs>
        <w:jc w:val="both"/>
      </w:pPr>
      <w:r>
        <w:fldChar w:fldCharType="begin"/>
      </w:r>
      <w:r>
        <w:instrText xml:space="preserve"> HYPERLINK \l _Toc7584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_Toc7584 \h </w:instrText>
      </w:r>
      <w:r>
        <w:fldChar w:fldCharType="separate"/>
      </w:r>
      <w:r>
        <w:t>4</w:t>
      </w:r>
      <w:r>
        <w:fldChar w:fldCharType="end"/>
      </w:r>
      <w:r>
        <w:fldChar w:fldCharType="end"/>
      </w:r>
    </w:p>
    <w:p w14:paraId="743DB348">
      <w:pPr>
        <w:pStyle w:val="13"/>
        <w:tabs>
          <w:tab w:val="right" w:leader="dot" w:pos="8306"/>
          <w:tab w:val="clear" w:pos="8296"/>
        </w:tabs>
      </w:pPr>
      <w:r>
        <w:fldChar w:fldCharType="begin"/>
      </w:r>
      <w:r>
        <w:instrText xml:space="preserve"> HYPERLINK \l _Toc3317 </w:instrText>
      </w:r>
      <w:r>
        <w:fldChar w:fldCharType="separate"/>
      </w:r>
      <w:r>
        <w:rPr>
          <w:rFonts w:hint="eastAsia" w:ascii="黑体" w:hAnsi="黑体" w:eastAsia="黑体"/>
          <w:bCs w:val="0"/>
        </w:rPr>
        <w:t>一、 主要职责</w:t>
      </w:r>
      <w:r>
        <w:tab/>
      </w:r>
      <w:r>
        <w:fldChar w:fldCharType="begin"/>
      </w:r>
      <w:r>
        <w:instrText xml:space="preserve"> PAGEREF _Toc3317 \h </w:instrText>
      </w:r>
      <w:r>
        <w:fldChar w:fldCharType="separate"/>
      </w:r>
      <w:r>
        <w:t>4</w:t>
      </w:r>
      <w:r>
        <w:fldChar w:fldCharType="end"/>
      </w:r>
      <w:r>
        <w:fldChar w:fldCharType="end"/>
      </w:r>
    </w:p>
    <w:p w14:paraId="5331E45F">
      <w:pPr>
        <w:pStyle w:val="13"/>
        <w:tabs>
          <w:tab w:val="right" w:leader="dot" w:pos="8306"/>
          <w:tab w:val="clear" w:pos="8296"/>
        </w:tabs>
      </w:pPr>
      <w:r>
        <w:fldChar w:fldCharType="begin"/>
      </w:r>
      <w:r>
        <w:instrText xml:space="preserve"> HYPERLINK \l _Toc17745 </w:instrText>
      </w:r>
      <w:r>
        <w:fldChar w:fldCharType="separate"/>
      </w:r>
      <w:r>
        <w:rPr>
          <w:rFonts w:hint="eastAsia" w:ascii="黑体" w:hAnsi="黑体" w:eastAsia="黑体"/>
        </w:rPr>
        <w:t>二、机构设置</w:t>
      </w:r>
      <w:r>
        <w:tab/>
      </w:r>
      <w:r>
        <w:fldChar w:fldCharType="begin"/>
      </w:r>
      <w:r>
        <w:instrText xml:space="preserve"> PAGEREF _Toc17745 \h </w:instrText>
      </w:r>
      <w:r>
        <w:fldChar w:fldCharType="separate"/>
      </w:r>
      <w:r>
        <w:t>5</w:t>
      </w:r>
      <w:r>
        <w:fldChar w:fldCharType="end"/>
      </w:r>
      <w:r>
        <w:fldChar w:fldCharType="end"/>
      </w:r>
    </w:p>
    <w:p w14:paraId="3A6ED12D">
      <w:pPr>
        <w:pStyle w:val="11"/>
        <w:tabs>
          <w:tab w:val="right" w:leader="dot" w:pos="8306"/>
          <w:tab w:val="clear" w:pos="8296"/>
        </w:tabs>
      </w:pPr>
      <w:r>
        <w:fldChar w:fldCharType="begin"/>
      </w:r>
      <w:r>
        <w:instrText xml:space="preserve"> HYPERLINK \l _Toc10047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_Toc10047 \h </w:instrText>
      </w:r>
      <w:r>
        <w:fldChar w:fldCharType="separate"/>
      </w:r>
      <w:r>
        <w:t>6</w:t>
      </w:r>
      <w:r>
        <w:fldChar w:fldCharType="end"/>
      </w:r>
      <w:r>
        <w:fldChar w:fldCharType="end"/>
      </w:r>
    </w:p>
    <w:p w14:paraId="413FA4B9">
      <w:pPr>
        <w:pStyle w:val="13"/>
        <w:tabs>
          <w:tab w:val="right" w:leader="dot" w:pos="8306"/>
          <w:tab w:val="clear" w:pos="8296"/>
        </w:tabs>
      </w:pPr>
      <w:r>
        <w:fldChar w:fldCharType="begin"/>
      </w:r>
      <w:r>
        <w:instrText xml:space="preserve"> HYPERLINK \l _Toc9573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_Toc9573 \h </w:instrText>
      </w:r>
      <w:r>
        <w:fldChar w:fldCharType="separate"/>
      </w:r>
      <w:r>
        <w:t>6</w:t>
      </w:r>
      <w:r>
        <w:fldChar w:fldCharType="end"/>
      </w:r>
      <w:r>
        <w:fldChar w:fldCharType="end"/>
      </w:r>
    </w:p>
    <w:p w14:paraId="2E6EA05D">
      <w:pPr>
        <w:pStyle w:val="13"/>
        <w:tabs>
          <w:tab w:val="right" w:leader="dot" w:pos="8306"/>
          <w:tab w:val="clear" w:pos="8296"/>
        </w:tabs>
      </w:pPr>
      <w:r>
        <w:fldChar w:fldCharType="begin"/>
      </w:r>
      <w:r>
        <w:instrText xml:space="preserve"> HYPERLINK \l _Toc25229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_Toc25229 \h </w:instrText>
      </w:r>
      <w:r>
        <w:fldChar w:fldCharType="separate"/>
      </w:r>
      <w:r>
        <w:t>6</w:t>
      </w:r>
      <w:r>
        <w:fldChar w:fldCharType="end"/>
      </w:r>
      <w:r>
        <w:fldChar w:fldCharType="end"/>
      </w:r>
    </w:p>
    <w:p w14:paraId="251B8017">
      <w:pPr>
        <w:pStyle w:val="13"/>
        <w:tabs>
          <w:tab w:val="right" w:leader="dot" w:pos="8306"/>
          <w:tab w:val="clear" w:pos="8296"/>
        </w:tabs>
      </w:pPr>
      <w:r>
        <w:fldChar w:fldCharType="begin"/>
      </w:r>
      <w:r>
        <w:instrText xml:space="preserve"> HYPERLINK \l _Toc11847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_Toc11847 \h </w:instrText>
      </w:r>
      <w:r>
        <w:fldChar w:fldCharType="separate"/>
      </w:r>
      <w:r>
        <w:t>7</w:t>
      </w:r>
      <w:r>
        <w:fldChar w:fldCharType="end"/>
      </w:r>
      <w:r>
        <w:fldChar w:fldCharType="end"/>
      </w:r>
    </w:p>
    <w:p w14:paraId="1E0BFAED">
      <w:pPr>
        <w:pStyle w:val="13"/>
        <w:tabs>
          <w:tab w:val="right" w:leader="dot" w:pos="8306"/>
          <w:tab w:val="clear" w:pos="8296"/>
        </w:tabs>
      </w:pPr>
      <w:r>
        <w:fldChar w:fldCharType="begin"/>
      </w:r>
      <w:r>
        <w:instrText xml:space="preserve"> HYPERLINK \l _Toc6416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_Toc6416 \h </w:instrText>
      </w:r>
      <w:r>
        <w:fldChar w:fldCharType="separate"/>
      </w:r>
      <w:r>
        <w:t>8</w:t>
      </w:r>
      <w:r>
        <w:fldChar w:fldCharType="end"/>
      </w:r>
      <w:r>
        <w:fldChar w:fldCharType="end"/>
      </w:r>
    </w:p>
    <w:p w14:paraId="0988F50B">
      <w:pPr>
        <w:pStyle w:val="13"/>
        <w:tabs>
          <w:tab w:val="right" w:leader="dot" w:pos="8306"/>
          <w:tab w:val="clear" w:pos="8296"/>
        </w:tabs>
      </w:pPr>
      <w:r>
        <w:fldChar w:fldCharType="begin"/>
      </w:r>
      <w:r>
        <w:instrText xml:space="preserve"> HYPERLINK \l _Toc28862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_Toc28862 \h </w:instrText>
      </w:r>
      <w:r>
        <w:fldChar w:fldCharType="separate"/>
      </w:r>
      <w:r>
        <w:t>9</w:t>
      </w:r>
      <w:r>
        <w:fldChar w:fldCharType="end"/>
      </w:r>
      <w:r>
        <w:fldChar w:fldCharType="end"/>
      </w:r>
    </w:p>
    <w:p w14:paraId="707D1B73">
      <w:pPr>
        <w:pStyle w:val="7"/>
        <w:tabs>
          <w:tab w:val="right" w:leader="dot" w:pos="8306"/>
          <w:tab w:val="clear" w:pos="8296"/>
        </w:tabs>
      </w:pPr>
      <w:r>
        <w:fldChar w:fldCharType="begin"/>
      </w:r>
      <w:r>
        <w:instrText xml:space="preserve"> HYPERLINK \l _Toc11940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_Toc11940 \h </w:instrText>
      </w:r>
      <w:r>
        <w:fldChar w:fldCharType="separate"/>
      </w:r>
      <w:r>
        <w:t>9</w:t>
      </w:r>
      <w:r>
        <w:fldChar w:fldCharType="end"/>
      </w:r>
      <w:r>
        <w:fldChar w:fldCharType="end"/>
      </w:r>
    </w:p>
    <w:p w14:paraId="45C9E04E">
      <w:pPr>
        <w:pStyle w:val="7"/>
        <w:tabs>
          <w:tab w:val="right" w:leader="dot" w:pos="8306"/>
          <w:tab w:val="clear" w:pos="8296"/>
        </w:tabs>
      </w:pPr>
      <w:r>
        <w:fldChar w:fldCharType="begin"/>
      </w:r>
      <w:r>
        <w:instrText xml:space="preserve"> HYPERLINK \l _Toc14798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_Toc14798 \h </w:instrText>
      </w:r>
      <w:r>
        <w:fldChar w:fldCharType="separate"/>
      </w:r>
      <w:r>
        <w:t>10</w:t>
      </w:r>
      <w:r>
        <w:fldChar w:fldCharType="end"/>
      </w:r>
      <w:r>
        <w:fldChar w:fldCharType="end"/>
      </w:r>
    </w:p>
    <w:p w14:paraId="196E5DCF">
      <w:pPr>
        <w:pStyle w:val="7"/>
        <w:tabs>
          <w:tab w:val="right" w:leader="dot" w:pos="8306"/>
          <w:tab w:val="clear" w:pos="8296"/>
        </w:tabs>
      </w:pPr>
      <w:r>
        <w:fldChar w:fldCharType="begin"/>
      </w:r>
      <w:r>
        <w:instrText xml:space="preserve"> HYPERLINK \l _Toc20139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_Toc20139 \h </w:instrText>
      </w:r>
      <w:r>
        <w:fldChar w:fldCharType="separate"/>
      </w:r>
      <w:r>
        <w:t>11</w:t>
      </w:r>
      <w:r>
        <w:fldChar w:fldCharType="end"/>
      </w:r>
      <w:r>
        <w:fldChar w:fldCharType="end"/>
      </w:r>
    </w:p>
    <w:p w14:paraId="6340B117">
      <w:pPr>
        <w:pStyle w:val="13"/>
        <w:tabs>
          <w:tab w:val="right" w:leader="dot" w:pos="8306"/>
          <w:tab w:val="clear" w:pos="8296"/>
        </w:tabs>
      </w:pPr>
      <w:r>
        <w:fldChar w:fldCharType="begin"/>
      </w:r>
      <w:r>
        <w:instrText xml:space="preserve"> HYPERLINK \l _Toc12711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w:t>
      </w:r>
      <w:r>
        <w:rPr>
          <w:rFonts w:hint="eastAsia" w:ascii="黑体" w:hAnsi="黑体" w:eastAsia="黑体"/>
        </w:rPr>
        <w:t>公共预算财政拨款基本支出决算情况说明</w:t>
      </w:r>
      <w:r>
        <w:tab/>
      </w:r>
      <w:r>
        <w:fldChar w:fldCharType="begin"/>
      </w:r>
      <w:r>
        <w:instrText xml:space="preserve"> PAGEREF _Toc12711 \h </w:instrText>
      </w:r>
      <w:r>
        <w:fldChar w:fldCharType="separate"/>
      </w:r>
      <w:r>
        <w:t>12</w:t>
      </w:r>
      <w:r>
        <w:fldChar w:fldCharType="end"/>
      </w:r>
      <w:r>
        <w:fldChar w:fldCharType="end"/>
      </w:r>
    </w:p>
    <w:p w14:paraId="2E4B796B">
      <w:pPr>
        <w:pStyle w:val="13"/>
        <w:tabs>
          <w:tab w:val="right" w:leader="dot" w:pos="8306"/>
          <w:tab w:val="clear" w:pos="8296"/>
        </w:tabs>
      </w:pPr>
      <w:r>
        <w:fldChar w:fldCharType="begin"/>
      </w:r>
      <w:r>
        <w:instrText xml:space="preserve"> HYPERLINK \l _Toc11219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_Toc11219 \h </w:instrText>
      </w:r>
      <w:r>
        <w:fldChar w:fldCharType="separate"/>
      </w:r>
      <w:r>
        <w:t>13</w:t>
      </w:r>
      <w:r>
        <w:fldChar w:fldCharType="end"/>
      </w:r>
      <w:r>
        <w:fldChar w:fldCharType="end"/>
      </w:r>
    </w:p>
    <w:p w14:paraId="50D7C167">
      <w:pPr>
        <w:pStyle w:val="7"/>
        <w:tabs>
          <w:tab w:val="right" w:leader="dot" w:pos="8306"/>
          <w:tab w:val="clear" w:pos="8296"/>
        </w:tabs>
      </w:pPr>
      <w:r>
        <w:fldChar w:fldCharType="begin"/>
      </w:r>
      <w:r>
        <w:instrText xml:space="preserve"> HYPERLINK \l _Toc12214 </w:instrText>
      </w:r>
      <w:r>
        <w:fldChar w:fldCharType="separate"/>
      </w:r>
      <w:r>
        <w:rPr>
          <w:rFonts w:hint="eastAsia" w:ascii="仿宋" w:hAnsi="仿宋" w:eastAsia="仿宋"/>
          <w:szCs w:val="32"/>
        </w:rPr>
        <w:t>（一）“三公”经费财政拨款支出决算总体情况说明</w:t>
      </w:r>
      <w:r>
        <w:tab/>
      </w:r>
      <w:r>
        <w:fldChar w:fldCharType="begin"/>
      </w:r>
      <w:r>
        <w:instrText xml:space="preserve"> PAGEREF _Toc12214 \h </w:instrText>
      </w:r>
      <w:r>
        <w:fldChar w:fldCharType="separate"/>
      </w:r>
      <w:r>
        <w:t>13</w:t>
      </w:r>
      <w:r>
        <w:fldChar w:fldCharType="end"/>
      </w:r>
      <w:r>
        <w:fldChar w:fldCharType="end"/>
      </w:r>
    </w:p>
    <w:p w14:paraId="2C8A1E69">
      <w:pPr>
        <w:pStyle w:val="7"/>
        <w:tabs>
          <w:tab w:val="right" w:leader="dot" w:pos="8306"/>
          <w:tab w:val="clear" w:pos="8296"/>
        </w:tabs>
      </w:pPr>
      <w:r>
        <w:fldChar w:fldCharType="begin"/>
      </w:r>
      <w:r>
        <w:instrText xml:space="preserve"> HYPERLINK \l _Toc23819 </w:instrText>
      </w:r>
      <w:r>
        <w:fldChar w:fldCharType="separate"/>
      </w:r>
      <w:r>
        <w:rPr>
          <w:rFonts w:hint="eastAsia" w:ascii="仿宋" w:hAnsi="仿宋" w:eastAsia="仿宋"/>
          <w:szCs w:val="32"/>
        </w:rPr>
        <w:t>（二）“三公”经费财政拨款支出决算具体情况说明</w:t>
      </w:r>
      <w:r>
        <w:tab/>
      </w:r>
      <w:r>
        <w:fldChar w:fldCharType="begin"/>
      </w:r>
      <w:r>
        <w:instrText xml:space="preserve"> PAGEREF _Toc23819 \h </w:instrText>
      </w:r>
      <w:r>
        <w:fldChar w:fldCharType="separate"/>
      </w:r>
      <w:r>
        <w:t>13</w:t>
      </w:r>
      <w:r>
        <w:fldChar w:fldCharType="end"/>
      </w:r>
      <w:r>
        <w:fldChar w:fldCharType="end"/>
      </w:r>
    </w:p>
    <w:p w14:paraId="47612EE1">
      <w:pPr>
        <w:pStyle w:val="13"/>
        <w:tabs>
          <w:tab w:val="right" w:leader="dot" w:pos="8306"/>
          <w:tab w:val="clear" w:pos="8296"/>
        </w:tabs>
      </w:pPr>
      <w:r>
        <w:fldChar w:fldCharType="begin"/>
      </w:r>
      <w:r>
        <w:instrText xml:space="preserve"> HYPERLINK \l _Toc14723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_Toc14723 \h </w:instrText>
      </w:r>
      <w:r>
        <w:fldChar w:fldCharType="separate"/>
      </w:r>
      <w:r>
        <w:t>15</w:t>
      </w:r>
      <w:r>
        <w:fldChar w:fldCharType="end"/>
      </w:r>
      <w:r>
        <w:fldChar w:fldCharType="end"/>
      </w:r>
    </w:p>
    <w:p w14:paraId="108B3505">
      <w:pPr>
        <w:pStyle w:val="13"/>
        <w:tabs>
          <w:tab w:val="right" w:leader="dot" w:pos="8306"/>
          <w:tab w:val="clear" w:pos="8296"/>
        </w:tabs>
      </w:pPr>
      <w:r>
        <w:fldChar w:fldCharType="begin"/>
      </w:r>
      <w:r>
        <w:instrText xml:space="preserve"> HYPERLINK \l _Toc2145 </w:instrText>
      </w:r>
      <w:r>
        <w:fldChar w:fldCharType="separate"/>
      </w:r>
      <w:r>
        <w:rPr>
          <w:rFonts w:hint="eastAsia" w:ascii="黑体" w:hAnsi="黑体" w:eastAsia="黑体"/>
        </w:rPr>
        <w:t>九、 国有资本经营预算支出决算情况说明</w:t>
      </w:r>
      <w:r>
        <w:tab/>
      </w:r>
      <w:r>
        <w:fldChar w:fldCharType="begin"/>
      </w:r>
      <w:r>
        <w:instrText xml:space="preserve"> PAGEREF _Toc2145 \h </w:instrText>
      </w:r>
      <w:r>
        <w:fldChar w:fldCharType="separate"/>
      </w:r>
      <w:r>
        <w:t>15</w:t>
      </w:r>
      <w:r>
        <w:fldChar w:fldCharType="end"/>
      </w:r>
      <w:r>
        <w:fldChar w:fldCharType="end"/>
      </w:r>
    </w:p>
    <w:p w14:paraId="28274D5C">
      <w:pPr>
        <w:pStyle w:val="13"/>
        <w:tabs>
          <w:tab w:val="right" w:leader="dot" w:pos="8306"/>
          <w:tab w:val="clear" w:pos="8296"/>
        </w:tabs>
      </w:pPr>
      <w:r>
        <w:fldChar w:fldCharType="begin"/>
      </w:r>
      <w:r>
        <w:instrText xml:space="preserve"> HYPERLINK \l _Toc31205 </w:instrText>
      </w:r>
      <w:r>
        <w:fldChar w:fldCharType="separate"/>
      </w:r>
      <w:r>
        <w:rPr>
          <w:rFonts w:hint="eastAsia" w:ascii="黑体" w:hAnsi="黑体" w:eastAsia="黑体"/>
        </w:rPr>
        <w:t>十、 其他重要事项的情况说明</w:t>
      </w:r>
      <w:r>
        <w:tab/>
      </w:r>
      <w:r>
        <w:fldChar w:fldCharType="begin"/>
      </w:r>
      <w:r>
        <w:instrText xml:space="preserve"> PAGEREF _Toc31205 \h </w:instrText>
      </w:r>
      <w:r>
        <w:fldChar w:fldCharType="separate"/>
      </w:r>
      <w:r>
        <w:t>15</w:t>
      </w:r>
      <w:r>
        <w:fldChar w:fldCharType="end"/>
      </w:r>
      <w:r>
        <w:fldChar w:fldCharType="end"/>
      </w:r>
    </w:p>
    <w:p w14:paraId="267796AF">
      <w:pPr>
        <w:pStyle w:val="7"/>
        <w:tabs>
          <w:tab w:val="right" w:leader="dot" w:pos="8306"/>
          <w:tab w:val="clear" w:pos="8296"/>
        </w:tabs>
      </w:pPr>
      <w:r>
        <w:fldChar w:fldCharType="begin"/>
      </w:r>
      <w:r>
        <w:instrText xml:space="preserve"> HYPERLINK \l _Toc10799 </w:instrText>
      </w:r>
      <w:r>
        <w:fldChar w:fldCharType="separate"/>
      </w:r>
      <w:r>
        <w:rPr>
          <w:rFonts w:hint="eastAsia" w:ascii="仿宋" w:hAnsi="仿宋" w:eastAsia="仿宋"/>
          <w:szCs w:val="32"/>
        </w:rPr>
        <w:t>（一）机关运行经费支出情况</w:t>
      </w:r>
      <w:r>
        <w:tab/>
      </w:r>
      <w:r>
        <w:fldChar w:fldCharType="begin"/>
      </w:r>
      <w:r>
        <w:instrText xml:space="preserve"> PAGEREF _Toc10799 \h </w:instrText>
      </w:r>
      <w:r>
        <w:fldChar w:fldCharType="separate"/>
      </w:r>
      <w:r>
        <w:t>15</w:t>
      </w:r>
      <w:r>
        <w:fldChar w:fldCharType="end"/>
      </w:r>
      <w:r>
        <w:fldChar w:fldCharType="end"/>
      </w:r>
    </w:p>
    <w:p w14:paraId="24C8858F">
      <w:pPr>
        <w:pStyle w:val="7"/>
        <w:tabs>
          <w:tab w:val="right" w:leader="dot" w:pos="8306"/>
          <w:tab w:val="clear" w:pos="8296"/>
        </w:tabs>
      </w:pPr>
      <w:r>
        <w:fldChar w:fldCharType="begin"/>
      </w:r>
      <w:r>
        <w:instrText xml:space="preserve"> HYPERLINK \l _Toc27969 </w:instrText>
      </w:r>
      <w:r>
        <w:fldChar w:fldCharType="separate"/>
      </w:r>
      <w:r>
        <w:rPr>
          <w:rFonts w:hint="eastAsia" w:ascii="仿宋" w:hAnsi="仿宋" w:eastAsia="仿宋"/>
          <w:szCs w:val="32"/>
        </w:rPr>
        <w:t>（二）政府采购支出情况</w:t>
      </w:r>
      <w:r>
        <w:tab/>
      </w:r>
      <w:r>
        <w:fldChar w:fldCharType="begin"/>
      </w:r>
      <w:r>
        <w:instrText xml:space="preserve"> PAGEREF _Toc27969 \h </w:instrText>
      </w:r>
      <w:r>
        <w:fldChar w:fldCharType="separate"/>
      </w:r>
      <w:r>
        <w:t>16</w:t>
      </w:r>
      <w:r>
        <w:fldChar w:fldCharType="end"/>
      </w:r>
      <w:r>
        <w:fldChar w:fldCharType="end"/>
      </w:r>
    </w:p>
    <w:p w14:paraId="0938B5E0">
      <w:pPr>
        <w:pStyle w:val="7"/>
        <w:tabs>
          <w:tab w:val="right" w:leader="dot" w:pos="8306"/>
          <w:tab w:val="clear" w:pos="8296"/>
        </w:tabs>
      </w:pPr>
      <w:r>
        <w:fldChar w:fldCharType="begin"/>
      </w:r>
      <w:r>
        <w:instrText xml:space="preserve"> HYPERLINK \l _Toc16623 </w:instrText>
      </w:r>
      <w:r>
        <w:fldChar w:fldCharType="separate"/>
      </w:r>
      <w:r>
        <w:rPr>
          <w:rFonts w:hint="eastAsia" w:ascii="仿宋" w:hAnsi="仿宋" w:eastAsia="仿宋"/>
          <w:szCs w:val="32"/>
        </w:rPr>
        <w:t>（三）国有资产占有使用情况</w:t>
      </w:r>
      <w:r>
        <w:tab/>
      </w:r>
      <w:r>
        <w:fldChar w:fldCharType="begin"/>
      </w:r>
      <w:r>
        <w:instrText xml:space="preserve"> PAGEREF _Toc16623 \h </w:instrText>
      </w:r>
      <w:r>
        <w:fldChar w:fldCharType="separate"/>
      </w:r>
      <w:r>
        <w:t>16</w:t>
      </w:r>
      <w:r>
        <w:fldChar w:fldCharType="end"/>
      </w:r>
      <w:r>
        <w:fldChar w:fldCharType="end"/>
      </w:r>
    </w:p>
    <w:p w14:paraId="40AB4703">
      <w:pPr>
        <w:pStyle w:val="7"/>
        <w:tabs>
          <w:tab w:val="right" w:leader="dot" w:pos="8306"/>
          <w:tab w:val="clear" w:pos="8296"/>
        </w:tabs>
      </w:pPr>
      <w:r>
        <w:fldChar w:fldCharType="begin"/>
      </w:r>
      <w:r>
        <w:instrText xml:space="preserve"> HYPERLINK \l _Toc25894 </w:instrText>
      </w:r>
      <w:r>
        <w:fldChar w:fldCharType="separate"/>
      </w:r>
      <w:r>
        <w:rPr>
          <w:rFonts w:hint="eastAsia" w:ascii="仿宋" w:hAnsi="仿宋" w:eastAsia="仿宋"/>
          <w:szCs w:val="32"/>
        </w:rPr>
        <w:t>（四）预算绩效管理情况</w:t>
      </w:r>
      <w:r>
        <w:tab/>
      </w:r>
      <w:r>
        <w:fldChar w:fldCharType="begin"/>
      </w:r>
      <w:r>
        <w:instrText xml:space="preserve"> PAGEREF _Toc25894 \h </w:instrText>
      </w:r>
      <w:r>
        <w:fldChar w:fldCharType="separate"/>
      </w:r>
      <w:r>
        <w:t>16</w:t>
      </w:r>
      <w:r>
        <w:fldChar w:fldCharType="end"/>
      </w:r>
      <w:r>
        <w:fldChar w:fldCharType="end"/>
      </w:r>
    </w:p>
    <w:p w14:paraId="455D8BCB">
      <w:pPr>
        <w:pStyle w:val="11"/>
        <w:tabs>
          <w:tab w:val="right" w:leader="dot" w:pos="8306"/>
          <w:tab w:val="clear" w:pos="8296"/>
        </w:tabs>
      </w:pPr>
      <w:r>
        <w:fldChar w:fldCharType="begin"/>
      </w:r>
      <w:r>
        <w:instrText xml:space="preserve"> HYPERLINK \l _Toc30957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_Toc30957 \h </w:instrText>
      </w:r>
      <w:r>
        <w:fldChar w:fldCharType="separate"/>
      </w:r>
      <w:r>
        <w:t>18</w:t>
      </w:r>
      <w:r>
        <w:fldChar w:fldCharType="end"/>
      </w:r>
      <w:r>
        <w:fldChar w:fldCharType="end"/>
      </w:r>
    </w:p>
    <w:p w14:paraId="3D9156BA">
      <w:pPr>
        <w:pStyle w:val="11"/>
        <w:tabs>
          <w:tab w:val="right" w:leader="dot" w:pos="8306"/>
          <w:tab w:val="clear" w:pos="8296"/>
        </w:tabs>
      </w:pPr>
      <w:r>
        <w:fldChar w:fldCharType="begin"/>
      </w:r>
      <w:r>
        <w:instrText xml:space="preserve"> HYPERLINK \l _Toc25032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_Toc25032 \h </w:instrText>
      </w:r>
      <w:r>
        <w:fldChar w:fldCharType="separate"/>
      </w:r>
      <w:r>
        <w:t>21</w:t>
      </w:r>
      <w:r>
        <w:fldChar w:fldCharType="end"/>
      </w:r>
      <w:r>
        <w:fldChar w:fldCharType="end"/>
      </w:r>
    </w:p>
    <w:p w14:paraId="5EDC6031">
      <w:pPr>
        <w:pStyle w:val="11"/>
        <w:tabs>
          <w:tab w:val="right" w:leader="dot" w:pos="8306"/>
          <w:tab w:val="clear" w:pos="8296"/>
        </w:tabs>
      </w:pPr>
      <w:r>
        <w:fldChar w:fldCharType="begin"/>
      </w:r>
      <w:r>
        <w:instrText xml:space="preserve"> HYPERLINK \l _Toc14396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_Toc14396 \h </w:instrText>
      </w:r>
      <w:r>
        <w:fldChar w:fldCharType="separate"/>
      </w:r>
      <w:r>
        <w:t>30</w:t>
      </w:r>
      <w:r>
        <w:fldChar w:fldCharType="end"/>
      </w:r>
      <w:r>
        <w:fldChar w:fldCharType="end"/>
      </w:r>
    </w:p>
    <w:p w14:paraId="2817B68A">
      <w:pPr>
        <w:pStyle w:val="13"/>
        <w:tabs>
          <w:tab w:val="right" w:leader="dot" w:pos="8306"/>
          <w:tab w:val="clear" w:pos="8296"/>
        </w:tabs>
      </w:pPr>
      <w:r>
        <w:fldChar w:fldCharType="begin"/>
      </w:r>
      <w:r>
        <w:instrText xml:space="preserve"> HYPERLINK \l _Toc1287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_Toc1287 \h </w:instrText>
      </w:r>
      <w:r>
        <w:fldChar w:fldCharType="separate"/>
      </w:r>
      <w:r>
        <w:t>30</w:t>
      </w:r>
      <w:r>
        <w:fldChar w:fldCharType="end"/>
      </w:r>
      <w:r>
        <w:fldChar w:fldCharType="end"/>
      </w:r>
    </w:p>
    <w:p w14:paraId="7255E543">
      <w:pPr>
        <w:pStyle w:val="13"/>
        <w:tabs>
          <w:tab w:val="right" w:leader="dot" w:pos="8306"/>
          <w:tab w:val="clear" w:pos="8296"/>
        </w:tabs>
      </w:pPr>
      <w:r>
        <w:fldChar w:fldCharType="begin"/>
      </w:r>
      <w:r>
        <w:instrText xml:space="preserve"> HYPERLINK \l _Toc29603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_Toc29603 \h </w:instrText>
      </w:r>
      <w:r>
        <w:fldChar w:fldCharType="separate"/>
      </w:r>
      <w:r>
        <w:t>30</w:t>
      </w:r>
      <w:r>
        <w:fldChar w:fldCharType="end"/>
      </w:r>
      <w:r>
        <w:fldChar w:fldCharType="end"/>
      </w:r>
    </w:p>
    <w:p w14:paraId="4F9DB5F3">
      <w:pPr>
        <w:pStyle w:val="13"/>
        <w:tabs>
          <w:tab w:val="right" w:leader="dot" w:pos="8306"/>
          <w:tab w:val="clear" w:pos="8296"/>
        </w:tabs>
      </w:pPr>
      <w:r>
        <w:fldChar w:fldCharType="begin"/>
      </w:r>
      <w:r>
        <w:instrText xml:space="preserve"> HYPERLINK \l _Toc24454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_Toc24454 \h </w:instrText>
      </w:r>
      <w:r>
        <w:fldChar w:fldCharType="separate"/>
      </w:r>
      <w:r>
        <w:t>30</w:t>
      </w:r>
      <w:r>
        <w:fldChar w:fldCharType="end"/>
      </w:r>
      <w:r>
        <w:fldChar w:fldCharType="end"/>
      </w:r>
    </w:p>
    <w:p w14:paraId="08E02213">
      <w:pPr>
        <w:pStyle w:val="13"/>
        <w:tabs>
          <w:tab w:val="right" w:leader="dot" w:pos="8306"/>
          <w:tab w:val="clear" w:pos="8296"/>
        </w:tabs>
      </w:pPr>
      <w:r>
        <w:fldChar w:fldCharType="begin"/>
      </w:r>
      <w:r>
        <w:instrText xml:space="preserve"> HYPERLINK \l _Toc4265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_Toc4265 \h </w:instrText>
      </w:r>
      <w:r>
        <w:fldChar w:fldCharType="separate"/>
      </w:r>
      <w:r>
        <w:t>30</w:t>
      </w:r>
      <w:r>
        <w:fldChar w:fldCharType="end"/>
      </w:r>
      <w:r>
        <w:fldChar w:fldCharType="end"/>
      </w:r>
    </w:p>
    <w:p w14:paraId="24B2D5EF">
      <w:pPr>
        <w:pStyle w:val="13"/>
        <w:tabs>
          <w:tab w:val="right" w:leader="dot" w:pos="8306"/>
          <w:tab w:val="clear" w:pos="8296"/>
        </w:tabs>
      </w:pPr>
      <w:r>
        <w:fldChar w:fldCharType="begin"/>
      </w:r>
      <w:r>
        <w:instrText xml:space="preserve"> HYPERLINK \l _Toc2824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_Toc2824 \h </w:instrText>
      </w:r>
      <w:r>
        <w:fldChar w:fldCharType="separate"/>
      </w:r>
      <w:r>
        <w:t>30</w:t>
      </w:r>
      <w:r>
        <w:fldChar w:fldCharType="end"/>
      </w:r>
      <w:r>
        <w:fldChar w:fldCharType="end"/>
      </w:r>
    </w:p>
    <w:p w14:paraId="57B982DF">
      <w:pPr>
        <w:pStyle w:val="13"/>
        <w:tabs>
          <w:tab w:val="right" w:leader="dot" w:pos="8306"/>
          <w:tab w:val="clear" w:pos="8296"/>
        </w:tabs>
      </w:pPr>
      <w:r>
        <w:fldChar w:fldCharType="begin"/>
      </w:r>
      <w:r>
        <w:instrText xml:space="preserve"> HYPERLINK \l _Toc28164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_Toc28164 \h </w:instrText>
      </w:r>
      <w:r>
        <w:fldChar w:fldCharType="separate"/>
      </w:r>
      <w:r>
        <w:t>30</w:t>
      </w:r>
      <w:r>
        <w:fldChar w:fldCharType="end"/>
      </w:r>
      <w:r>
        <w:fldChar w:fldCharType="end"/>
      </w:r>
    </w:p>
    <w:p w14:paraId="3A185797">
      <w:pPr>
        <w:pStyle w:val="13"/>
        <w:tabs>
          <w:tab w:val="right" w:leader="dot" w:pos="8306"/>
          <w:tab w:val="clear" w:pos="8296"/>
        </w:tabs>
      </w:pPr>
      <w:r>
        <w:fldChar w:fldCharType="begin"/>
      </w:r>
      <w:r>
        <w:instrText xml:space="preserve"> HYPERLINK \l _Toc7288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_Toc7288 \h </w:instrText>
      </w:r>
      <w:r>
        <w:fldChar w:fldCharType="separate"/>
      </w:r>
      <w:r>
        <w:t>30</w:t>
      </w:r>
      <w:r>
        <w:fldChar w:fldCharType="end"/>
      </w:r>
      <w:r>
        <w:fldChar w:fldCharType="end"/>
      </w:r>
    </w:p>
    <w:p w14:paraId="0074AF0E">
      <w:pPr>
        <w:pStyle w:val="13"/>
        <w:tabs>
          <w:tab w:val="right" w:leader="dot" w:pos="8306"/>
          <w:tab w:val="clear" w:pos="8296"/>
        </w:tabs>
      </w:pPr>
      <w:r>
        <w:fldChar w:fldCharType="begin"/>
      </w:r>
      <w:r>
        <w:instrText xml:space="preserve"> HYPERLINK \l _Toc25042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_Toc25042 \h </w:instrText>
      </w:r>
      <w:r>
        <w:fldChar w:fldCharType="separate"/>
      </w:r>
      <w:r>
        <w:t>30</w:t>
      </w:r>
      <w:r>
        <w:fldChar w:fldCharType="end"/>
      </w:r>
      <w:r>
        <w:fldChar w:fldCharType="end"/>
      </w:r>
    </w:p>
    <w:p w14:paraId="25648A85">
      <w:pPr>
        <w:pStyle w:val="13"/>
        <w:tabs>
          <w:tab w:val="right" w:leader="dot" w:pos="8306"/>
          <w:tab w:val="clear" w:pos="8296"/>
        </w:tabs>
      </w:pPr>
      <w:r>
        <w:fldChar w:fldCharType="begin"/>
      </w:r>
      <w:r>
        <w:instrText xml:space="preserve"> HYPERLINK \l _Toc23253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_Toc23253 \h </w:instrText>
      </w:r>
      <w:r>
        <w:fldChar w:fldCharType="separate"/>
      </w:r>
      <w:r>
        <w:t>30</w:t>
      </w:r>
      <w:r>
        <w:fldChar w:fldCharType="end"/>
      </w:r>
      <w:r>
        <w:fldChar w:fldCharType="end"/>
      </w:r>
    </w:p>
    <w:p w14:paraId="7AE04436">
      <w:pPr>
        <w:pStyle w:val="13"/>
        <w:tabs>
          <w:tab w:val="right" w:leader="dot" w:pos="8306"/>
          <w:tab w:val="clear" w:pos="8296"/>
        </w:tabs>
      </w:pPr>
      <w:r>
        <w:fldChar w:fldCharType="begin"/>
      </w:r>
      <w:r>
        <w:instrText xml:space="preserve"> HYPERLINK \l _Toc8969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_Toc8969 \h </w:instrText>
      </w:r>
      <w:r>
        <w:fldChar w:fldCharType="separate"/>
      </w:r>
      <w:r>
        <w:t>30</w:t>
      </w:r>
      <w:r>
        <w:fldChar w:fldCharType="end"/>
      </w:r>
      <w:r>
        <w:fldChar w:fldCharType="end"/>
      </w:r>
    </w:p>
    <w:p w14:paraId="357C93DD">
      <w:pPr>
        <w:pStyle w:val="13"/>
        <w:tabs>
          <w:tab w:val="right" w:leader="dot" w:pos="8306"/>
          <w:tab w:val="clear" w:pos="8296"/>
        </w:tabs>
      </w:pPr>
      <w:r>
        <w:fldChar w:fldCharType="begin"/>
      </w:r>
      <w:r>
        <w:instrText xml:space="preserve"> HYPERLINK \l _Toc17764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_Toc17764 \h </w:instrText>
      </w:r>
      <w:r>
        <w:fldChar w:fldCharType="separate"/>
      </w:r>
      <w:r>
        <w:t>30</w:t>
      </w:r>
      <w:r>
        <w:fldChar w:fldCharType="end"/>
      </w:r>
      <w:r>
        <w:fldChar w:fldCharType="end"/>
      </w:r>
    </w:p>
    <w:p w14:paraId="5042C649">
      <w:pPr>
        <w:pStyle w:val="13"/>
        <w:tabs>
          <w:tab w:val="right" w:leader="dot" w:pos="8306"/>
          <w:tab w:val="clear" w:pos="8296"/>
        </w:tabs>
      </w:pPr>
      <w:r>
        <w:fldChar w:fldCharType="begin"/>
      </w:r>
      <w:r>
        <w:instrText xml:space="preserve"> HYPERLINK \l _Toc28510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_Toc28510 \h </w:instrText>
      </w:r>
      <w:r>
        <w:fldChar w:fldCharType="separate"/>
      </w:r>
      <w:r>
        <w:t>30</w:t>
      </w:r>
      <w:r>
        <w:fldChar w:fldCharType="end"/>
      </w:r>
      <w:r>
        <w:fldChar w:fldCharType="end"/>
      </w:r>
    </w:p>
    <w:p w14:paraId="744D3117">
      <w:pPr>
        <w:pStyle w:val="13"/>
        <w:tabs>
          <w:tab w:val="right" w:leader="dot" w:pos="8306"/>
          <w:tab w:val="clear" w:pos="8296"/>
        </w:tabs>
      </w:pPr>
      <w:r>
        <w:fldChar w:fldCharType="begin"/>
      </w:r>
      <w:r>
        <w:instrText xml:space="preserve"> HYPERLINK \l _Toc30853 </w:instrText>
      </w:r>
      <w:r>
        <w:fldChar w:fldCharType="separate"/>
      </w:r>
      <w:r>
        <w:rPr>
          <w:rFonts w:hint="eastAsia" w:ascii="仿宋" w:hAnsi="仿宋" w:eastAsia="仿宋"/>
          <w:bCs w:val="0"/>
        </w:rPr>
        <w:t>十三、财政拨款“三公”经费支出决算表</w:t>
      </w:r>
      <w:r>
        <w:tab/>
      </w:r>
      <w:r>
        <w:fldChar w:fldCharType="begin"/>
      </w:r>
      <w:r>
        <w:instrText xml:space="preserve"> PAGEREF _Toc30853 \h </w:instrText>
      </w:r>
      <w:r>
        <w:fldChar w:fldCharType="separate"/>
      </w:r>
      <w:r>
        <w:t>30</w:t>
      </w:r>
      <w:r>
        <w:fldChar w:fldCharType="end"/>
      </w:r>
      <w:r>
        <w:fldChar w:fldCharType="end"/>
      </w:r>
    </w:p>
    <w:p w14:paraId="27DCD815">
      <w:r>
        <w:fldChar w:fldCharType="end"/>
      </w:r>
    </w:p>
    <w:p w14:paraId="0F9836A2">
      <w:pPr>
        <w:pStyle w:val="2"/>
        <w:jc w:val="both"/>
        <w:rPr>
          <w:rFonts w:hint="eastAsia" w:ascii="黑体" w:hAnsi="黑体" w:eastAsia="黑体"/>
          <w:b w:val="0"/>
        </w:rPr>
      </w:pPr>
      <w:bookmarkStart w:id="15" w:name="_Toc15396599"/>
      <w:bookmarkStart w:id="16" w:name="_Toc15377196"/>
      <w:bookmarkStart w:id="17" w:name="_Toc7584"/>
    </w:p>
    <w:p w14:paraId="04E7DD30">
      <w:pPr>
        <w:rPr>
          <w:rFonts w:hint="eastAsia" w:ascii="黑体" w:hAnsi="黑体" w:eastAsia="黑体"/>
          <w:b w:val="0"/>
        </w:rPr>
      </w:pPr>
    </w:p>
    <w:p w14:paraId="31576026">
      <w:pPr>
        <w:pStyle w:val="12"/>
        <w:rPr>
          <w:rFonts w:hint="eastAsia" w:ascii="黑体" w:hAnsi="黑体" w:eastAsia="黑体"/>
          <w:b w:val="0"/>
        </w:rPr>
      </w:pPr>
    </w:p>
    <w:p w14:paraId="3AA5E268">
      <w:pPr>
        <w:rPr>
          <w:rFonts w:hint="eastAsia" w:ascii="黑体" w:hAnsi="黑体" w:eastAsia="黑体"/>
          <w:b w:val="0"/>
        </w:rPr>
      </w:pPr>
    </w:p>
    <w:p w14:paraId="6565B15D">
      <w:pPr>
        <w:pStyle w:val="12"/>
        <w:rPr>
          <w:rFonts w:hint="eastAsia" w:ascii="黑体" w:hAnsi="黑体" w:eastAsia="黑体"/>
          <w:b w:val="0"/>
        </w:rPr>
      </w:pPr>
    </w:p>
    <w:p w14:paraId="378164CF">
      <w:pPr>
        <w:rPr>
          <w:rFonts w:hint="eastAsia" w:ascii="黑体" w:hAnsi="黑体" w:eastAsia="黑体"/>
          <w:b w:val="0"/>
        </w:rPr>
      </w:pPr>
    </w:p>
    <w:p w14:paraId="5250A80E">
      <w:pPr>
        <w:pStyle w:val="12"/>
        <w:rPr>
          <w:rFonts w:hint="eastAsia" w:ascii="黑体" w:hAnsi="黑体" w:eastAsia="黑体"/>
          <w:b w:val="0"/>
        </w:rPr>
      </w:pPr>
    </w:p>
    <w:p w14:paraId="35FA7722">
      <w:pPr>
        <w:rPr>
          <w:rFonts w:hint="eastAsia" w:ascii="黑体" w:hAnsi="黑体" w:eastAsia="黑体"/>
          <w:b w:val="0"/>
        </w:rPr>
      </w:pPr>
    </w:p>
    <w:p w14:paraId="31AE92B5">
      <w:pPr>
        <w:pStyle w:val="12"/>
        <w:rPr>
          <w:rFonts w:hint="eastAsia" w:ascii="黑体" w:hAnsi="黑体" w:eastAsia="黑体"/>
          <w:b w:val="0"/>
        </w:rPr>
      </w:pPr>
    </w:p>
    <w:p w14:paraId="505B9270">
      <w:pPr>
        <w:rPr>
          <w:rFonts w:hint="eastAsia" w:ascii="黑体" w:hAnsi="黑体" w:eastAsia="黑体"/>
          <w:b w:val="0"/>
        </w:rPr>
      </w:pPr>
    </w:p>
    <w:p w14:paraId="7D09889F">
      <w:pPr>
        <w:pStyle w:val="12"/>
        <w:rPr>
          <w:rFonts w:hint="eastAsia" w:ascii="黑体" w:hAnsi="黑体" w:eastAsia="黑体"/>
          <w:b w:val="0"/>
        </w:rPr>
      </w:pPr>
    </w:p>
    <w:p w14:paraId="26924CEF">
      <w:pPr>
        <w:rPr>
          <w:rFonts w:hint="eastAsia" w:ascii="黑体" w:hAnsi="黑体" w:eastAsia="黑体"/>
          <w:b w:val="0"/>
        </w:rPr>
      </w:pPr>
    </w:p>
    <w:p w14:paraId="11166069">
      <w:pPr>
        <w:pStyle w:val="12"/>
        <w:rPr>
          <w:rFonts w:hint="eastAsia" w:ascii="黑体" w:hAnsi="黑体" w:eastAsia="黑体"/>
          <w:b w:val="0"/>
        </w:rPr>
      </w:pPr>
    </w:p>
    <w:p w14:paraId="39FCC3A4">
      <w:pPr>
        <w:rPr>
          <w:rFonts w:hint="eastAsia"/>
        </w:rPr>
      </w:pPr>
    </w:p>
    <w:p w14:paraId="2A8949CE">
      <w:pPr>
        <w:pStyle w:val="2"/>
        <w:jc w:val="center"/>
        <w:rPr>
          <w:rFonts w:hint="eastAsia" w:ascii="黑体" w:hAnsi="黑体" w:eastAsia="黑体"/>
          <w:b w:val="0"/>
        </w:rPr>
      </w:pPr>
    </w:p>
    <w:p w14:paraId="4F43BE8E">
      <w:pPr>
        <w:rPr>
          <w:rFonts w:hint="eastAsia" w:ascii="黑体" w:hAnsi="黑体" w:eastAsia="黑体"/>
          <w:b w:val="0"/>
        </w:rPr>
      </w:pPr>
    </w:p>
    <w:p w14:paraId="5759BA02">
      <w:pPr>
        <w:pStyle w:val="12"/>
        <w:rPr>
          <w:rFonts w:hint="eastAsia" w:ascii="黑体" w:hAnsi="黑体" w:eastAsia="黑体"/>
          <w:b w:val="0"/>
        </w:rPr>
      </w:pPr>
    </w:p>
    <w:p w14:paraId="52CEC9CB">
      <w:pPr>
        <w:rPr>
          <w:rFonts w:hint="eastAsia" w:ascii="黑体" w:hAnsi="黑体" w:eastAsia="黑体"/>
          <w:b w:val="0"/>
        </w:rPr>
      </w:pPr>
    </w:p>
    <w:p w14:paraId="03B519FB">
      <w:pPr>
        <w:pStyle w:val="12"/>
        <w:rPr>
          <w:rFonts w:hint="eastAsia" w:ascii="黑体" w:hAnsi="黑体" w:eastAsia="黑体"/>
          <w:b w:val="0"/>
        </w:rPr>
      </w:pPr>
    </w:p>
    <w:p w14:paraId="2F62101A">
      <w:pPr>
        <w:rPr>
          <w:rFonts w:hint="eastAsia" w:ascii="黑体" w:hAnsi="黑体" w:eastAsia="黑体"/>
          <w:b w:val="0"/>
        </w:rPr>
      </w:pPr>
    </w:p>
    <w:p w14:paraId="6BF3FC88">
      <w:pPr>
        <w:pStyle w:val="12"/>
        <w:rPr>
          <w:rFonts w:hint="eastAsia"/>
        </w:rPr>
      </w:pPr>
    </w:p>
    <w:p w14:paraId="60A0374A">
      <w:pPr>
        <w:pStyle w:val="2"/>
        <w:jc w:val="center"/>
        <w:rPr>
          <w:rStyle w:val="28"/>
          <w:rFonts w:ascii="黑体" w:hAnsi="黑体" w:eastAsia="黑体"/>
          <w:b/>
          <w:bCs w:val="0"/>
        </w:rPr>
      </w:pPr>
      <w:r>
        <w:rPr>
          <w:rFonts w:hint="eastAsia" w:ascii="黑体" w:hAnsi="黑体" w:eastAsia="黑体"/>
          <w:b w:val="0"/>
        </w:rPr>
        <w:t>第一部分 单位</w:t>
      </w:r>
      <w:r>
        <w:rPr>
          <w:rStyle w:val="28"/>
          <w:rFonts w:hint="eastAsia" w:ascii="黑体" w:hAnsi="黑体" w:eastAsia="黑体"/>
          <w:b w:val="0"/>
          <w:bCs w:val="0"/>
        </w:rPr>
        <w:t>概况</w:t>
      </w:r>
      <w:bookmarkEnd w:id="15"/>
      <w:bookmarkEnd w:id="16"/>
      <w:bookmarkEnd w:id="17"/>
    </w:p>
    <w:p w14:paraId="43DE5640">
      <w:pPr>
        <w:widowControl/>
        <w:jc w:val="left"/>
        <w:rPr>
          <w:rFonts w:ascii="黑体" w:eastAsia="黑体"/>
          <w:sz w:val="32"/>
          <w:szCs w:val="32"/>
        </w:rPr>
      </w:pPr>
    </w:p>
    <w:p w14:paraId="1A970FD3">
      <w:pPr>
        <w:pStyle w:val="3"/>
        <w:numPr>
          <w:ilvl w:val="0"/>
          <w:numId w:val="1"/>
        </w:numPr>
        <w:rPr>
          <w:rStyle w:val="29"/>
          <w:rFonts w:ascii="黑体" w:hAnsi="黑体" w:eastAsia="黑体"/>
          <w:b w:val="0"/>
          <w:bCs w:val="0"/>
        </w:rPr>
      </w:pPr>
      <w:bookmarkStart w:id="18" w:name="_Toc3317"/>
      <w:bookmarkStart w:id="19" w:name="_Toc15396600"/>
      <w:bookmarkStart w:id="20" w:name="_Toc15377197"/>
      <w:r>
        <w:rPr>
          <w:rStyle w:val="29"/>
          <w:rFonts w:hint="eastAsia" w:ascii="黑体" w:hAnsi="黑体" w:eastAsia="黑体"/>
          <w:b w:val="0"/>
          <w:bCs w:val="0"/>
        </w:rPr>
        <w:t>主要职责</w:t>
      </w:r>
      <w:bookmarkEnd w:id="18"/>
    </w:p>
    <w:p w14:paraId="4290FB4E">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1" w:name="_Toc3736"/>
      <w:r>
        <w:rPr>
          <w:rFonts w:hint="eastAsia" w:ascii="仿宋_GB2312" w:hAnsi="Times New Roman" w:eastAsia="仿宋_GB2312" w:cs="仿宋_GB2312"/>
          <w:color w:val="000000"/>
          <w:kern w:val="0"/>
          <w:sz w:val="32"/>
          <w:szCs w:val="32"/>
          <w:lang w:val="en-US" w:eastAsia="zh-CN" w:bidi="ar-SA"/>
        </w:rPr>
        <w:t>1、贯彻执行国家、省、州、县有关</w:t>
      </w:r>
      <w:r>
        <w:rPr>
          <w:rFonts w:hint="eastAsia" w:cs="仿宋_GB2312"/>
          <w:color w:val="000000"/>
          <w:kern w:val="0"/>
          <w:sz w:val="32"/>
          <w:szCs w:val="32"/>
          <w:lang w:val="en-US" w:eastAsia="zh-CN" w:bidi="ar-SA"/>
        </w:rPr>
        <w:t>法律法规</w:t>
      </w:r>
      <w:r>
        <w:rPr>
          <w:rFonts w:hint="eastAsia" w:ascii="仿宋_GB2312" w:hAnsi="Times New Roman" w:eastAsia="仿宋_GB2312" w:cs="仿宋_GB2312"/>
          <w:color w:val="000000"/>
          <w:kern w:val="0"/>
          <w:sz w:val="32"/>
          <w:szCs w:val="32"/>
          <w:lang w:val="en-US" w:eastAsia="zh-CN" w:bidi="ar-SA"/>
        </w:rPr>
        <w:t>和发展规划以及卫生行业标准、技术服务规范等，接受卫生健康行政主管部门的行业管理和业务指导。</w:t>
      </w:r>
      <w:bookmarkEnd w:id="21"/>
    </w:p>
    <w:p w14:paraId="79C7ED22">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2" w:name="_Toc9535"/>
      <w:r>
        <w:rPr>
          <w:rFonts w:hint="eastAsia" w:ascii="仿宋_GB2312" w:hAnsi="Times New Roman" w:eastAsia="仿宋_GB2312" w:cs="仿宋_GB2312"/>
          <w:color w:val="000000"/>
          <w:kern w:val="0"/>
          <w:sz w:val="32"/>
          <w:szCs w:val="32"/>
          <w:lang w:val="en-US" w:eastAsia="zh-CN" w:bidi="ar-SA"/>
        </w:rPr>
        <w:t>2、在卫生健康行政主管部门的领导下，负责并配合做好全县突发事件的医疗救援任务，承担辖区内预防、保健、医疗及急救任务。</w:t>
      </w:r>
      <w:bookmarkEnd w:id="22"/>
    </w:p>
    <w:p w14:paraId="024AE014">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3" w:name="_Toc12103"/>
      <w:r>
        <w:rPr>
          <w:rFonts w:hint="eastAsia" w:ascii="仿宋_GB2312" w:hAnsi="Times New Roman" w:eastAsia="仿宋_GB2312" w:cs="仿宋_GB2312"/>
          <w:color w:val="000000"/>
          <w:kern w:val="0"/>
          <w:sz w:val="32"/>
          <w:szCs w:val="32"/>
          <w:lang w:val="en-US" w:eastAsia="zh-CN" w:bidi="ar-SA"/>
        </w:rPr>
        <w:t>3、承担本地常见病、多发病和较疑难病症的诊治任务，接受下级医疗机构的转诊。</w:t>
      </w:r>
      <w:bookmarkEnd w:id="23"/>
    </w:p>
    <w:p w14:paraId="603E4A43">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4" w:name="_Toc1315"/>
      <w:r>
        <w:rPr>
          <w:rFonts w:hint="eastAsia" w:ascii="仿宋_GB2312" w:hAnsi="Times New Roman" w:eastAsia="仿宋_GB2312" w:cs="仿宋_GB2312"/>
          <w:color w:val="000000"/>
          <w:kern w:val="0"/>
          <w:sz w:val="32"/>
          <w:szCs w:val="32"/>
          <w:lang w:val="en-US" w:eastAsia="zh-CN" w:bidi="ar-SA"/>
        </w:rPr>
        <w:t>4、贯彻执行传染病预防和管理工作、并做好各种常见病和多发病的诊断治疗工作。</w:t>
      </w:r>
      <w:bookmarkEnd w:id="24"/>
    </w:p>
    <w:p w14:paraId="77E0C01C">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5" w:name="_Toc19940"/>
      <w:r>
        <w:rPr>
          <w:rFonts w:hint="eastAsia" w:ascii="仿宋_GB2312" w:hAnsi="Times New Roman" w:eastAsia="仿宋_GB2312" w:cs="仿宋_GB2312"/>
          <w:color w:val="000000"/>
          <w:kern w:val="0"/>
          <w:sz w:val="32"/>
          <w:szCs w:val="32"/>
          <w:lang w:val="en-US" w:eastAsia="zh-CN" w:bidi="ar-SA"/>
        </w:rPr>
        <w:t>5、做好各种传染病、流行病的预防、宣传、治疗、后期保健及网络直报工作。</w:t>
      </w:r>
      <w:bookmarkEnd w:id="25"/>
    </w:p>
    <w:p w14:paraId="2EB8A1A7">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6" w:name="_Toc25108"/>
      <w:r>
        <w:rPr>
          <w:rFonts w:hint="eastAsia" w:ascii="仿宋_GB2312" w:hAnsi="Times New Roman" w:eastAsia="仿宋_GB2312" w:cs="仿宋_GB2312"/>
          <w:color w:val="000000"/>
          <w:kern w:val="0"/>
          <w:sz w:val="32"/>
          <w:szCs w:val="32"/>
          <w:lang w:val="en-US" w:eastAsia="zh-CN" w:bidi="ar-SA"/>
        </w:rPr>
        <w:t>6、做好城镇职工医疗保险和城乡居民医疗保险患者的诊治工作。</w:t>
      </w:r>
      <w:bookmarkEnd w:id="26"/>
    </w:p>
    <w:p w14:paraId="03030EEA">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7" w:name="_Toc12765"/>
      <w:r>
        <w:rPr>
          <w:rFonts w:hint="eastAsia" w:ascii="仿宋_GB2312" w:hAnsi="Times New Roman" w:eastAsia="仿宋_GB2312" w:cs="仿宋_GB2312"/>
          <w:color w:val="000000"/>
          <w:kern w:val="0"/>
          <w:sz w:val="32"/>
          <w:szCs w:val="32"/>
          <w:lang w:val="en-US" w:eastAsia="zh-CN" w:bidi="ar-SA"/>
        </w:rPr>
        <w:t>7、承担全县乡镇医疗机构的技术帮带、技术支持、业务指导、技术骨干培养等任务。</w:t>
      </w:r>
      <w:bookmarkEnd w:id="27"/>
    </w:p>
    <w:p w14:paraId="149013F3">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8" w:name="_Toc22116"/>
      <w:r>
        <w:rPr>
          <w:rFonts w:hint="eastAsia" w:ascii="仿宋_GB2312" w:hAnsi="Times New Roman" w:eastAsia="仿宋_GB2312" w:cs="仿宋_GB2312"/>
          <w:color w:val="000000"/>
          <w:kern w:val="0"/>
          <w:sz w:val="32"/>
          <w:szCs w:val="32"/>
          <w:lang w:val="en-US" w:eastAsia="zh-CN" w:bidi="ar-SA"/>
        </w:rPr>
        <w:t>8、提供预防保健、基本医疗与护理、疑难重症转诊、院前急救和卫生专业技术人员继续医学教育，基层卫生院医务人员进修培训和医学院校实习生带教等综合性服务工作。</w:t>
      </w:r>
      <w:bookmarkEnd w:id="28"/>
    </w:p>
    <w:p w14:paraId="69C9BD58">
      <w:pPr>
        <w:pStyle w:val="5"/>
        <w:adjustRightInd w:val="0"/>
        <w:snapToGrid w:val="0"/>
        <w:spacing w:before="93" w:line="600" w:lineRule="exact"/>
        <w:ind w:firstLine="672" w:firstLineChars="210"/>
        <w:outlineLvl w:val="2"/>
        <w:rPr>
          <w:rFonts w:hint="eastAsia" w:ascii="仿宋_GB2312" w:hAnsi="Times New Roman" w:eastAsia="仿宋_GB2312" w:cs="仿宋_GB2312"/>
          <w:color w:val="000000"/>
          <w:kern w:val="0"/>
          <w:sz w:val="32"/>
          <w:szCs w:val="32"/>
          <w:lang w:val="en-US" w:eastAsia="zh-CN" w:bidi="ar-SA"/>
        </w:rPr>
      </w:pPr>
      <w:bookmarkStart w:id="29" w:name="_Toc16982"/>
      <w:r>
        <w:rPr>
          <w:rFonts w:hint="eastAsia" w:ascii="仿宋_GB2312" w:hAnsi="Times New Roman" w:eastAsia="仿宋_GB2312" w:cs="仿宋_GB2312"/>
          <w:color w:val="000000"/>
          <w:kern w:val="0"/>
          <w:sz w:val="32"/>
          <w:szCs w:val="32"/>
          <w:lang w:val="en-US" w:eastAsia="zh-CN" w:bidi="ar-SA"/>
        </w:rPr>
        <w:t>9、开展医学科学研究、技术开发与诊疗服务。</w:t>
      </w:r>
      <w:bookmarkEnd w:id="29"/>
    </w:p>
    <w:p w14:paraId="4A71324F">
      <w:pPr>
        <w:pStyle w:val="5"/>
        <w:adjustRightInd w:val="0"/>
        <w:snapToGrid w:val="0"/>
        <w:spacing w:before="93" w:line="600" w:lineRule="exact"/>
        <w:ind w:firstLine="672" w:firstLineChars="210"/>
        <w:outlineLvl w:val="2"/>
        <w:rPr>
          <w:rFonts w:hint="default" w:ascii="仿宋_GB2312" w:hAnsi="Times New Roman" w:eastAsia="仿宋_GB2312" w:cs="仿宋_GB2312"/>
          <w:color w:val="000000"/>
          <w:kern w:val="0"/>
          <w:sz w:val="32"/>
          <w:szCs w:val="32"/>
          <w:lang w:val="en-US" w:eastAsia="zh-CN" w:bidi="ar-SA"/>
        </w:rPr>
      </w:pPr>
      <w:bookmarkStart w:id="30" w:name="_Toc29280"/>
      <w:r>
        <w:rPr>
          <w:rFonts w:hint="eastAsia" w:ascii="仿宋_GB2312" w:hAnsi="Times New Roman" w:eastAsia="仿宋_GB2312" w:cs="仿宋_GB2312"/>
          <w:color w:val="000000"/>
          <w:kern w:val="0"/>
          <w:sz w:val="32"/>
          <w:szCs w:val="32"/>
          <w:lang w:val="en-US" w:eastAsia="zh-CN" w:bidi="ar-SA"/>
        </w:rPr>
        <w:t>10、承担县委、县政府和上级主管部门交办的其他任务。</w:t>
      </w:r>
      <w:bookmarkEnd w:id="30"/>
    </w:p>
    <w:p w14:paraId="4F0B81DA"/>
    <w:p w14:paraId="74C20ED0">
      <w:pPr>
        <w:pStyle w:val="3"/>
        <w:rPr>
          <w:rFonts w:ascii="黑体" w:hAnsi="黑体" w:eastAsia="黑体"/>
          <w:b w:val="0"/>
        </w:rPr>
      </w:pPr>
      <w:bookmarkStart w:id="31" w:name="_Toc17745"/>
      <w:r>
        <w:rPr>
          <w:rFonts w:hint="eastAsia" w:ascii="黑体" w:hAnsi="黑体" w:eastAsia="黑体"/>
          <w:b w:val="0"/>
        </w:rPr>
        <w:t>二、机构设置</w:t>
      </w:r>
      <w:bookmarkEnd w:id="31"/>
    </w:p>
    <w:bookmarkEnd w:id="19"/>
    <w:bookmarkEnd w:id="20"/>
    <w:p w14:paraId="6964CC76">
      <w:pPr>
        <w:ind w:firstLine="800" w:firstLineChars="250"/>
        <w:rPr>
          <w:rFonts w:hint="eastAsia" w:ascii="仿宋" w:hAnsi="仿宋" w:eastAsia="仿宋"/>
          <w:sz w:val="32"/>
          <w:szCs w:val="32"/>
          <w:lang w:eastAsia="zh-CN"/>
        </w:rPr>
      </w:pPr>
      <w:r>
        <w:rPr>
          <w:rFonts w:hint="eastAsia" w:ascii="仿宋" w:hAnsi="仿宋" w:eastAsia="仿宋"/>
          <w:sz w:val="32"/>
          <w:szCs w:val="32"/>
          <w:lang w:val="en-US" w:eastAsia="zh-CN"/>
        </w:rPr>
        <w:t>松潘县中藏医院下属二级单位0个，</w:t>
      </w:r>
      <w:r>
        <w:rPr>
          <w:rFonts w:hint="eastAsia" w:ascii="仿宋" w:hAnsi="仿宋" w:eastAsia="仿宋"/>
          <w:sz w:val="32"/>
          <w:szCs w:val="32"/>
        </w:rPr>
        <w:t>属其他事业单位</w:t>
      </w:r>
      <w:r>
        <w:rPr>
          <w:rFonts w:hint="eastAsia" w:ascii="仿宋" w:hAnsi="仿宋" w:eastAsia="仿宋"/>
          <w:sz w:val="32"/>
          <w:szCs w:val="32"/>
          <w:lang w:eastAsia="zh-CN"/>
        </w:rPr>
        <w:t>。</w:t>
      </w:r>
    </w:p>
    <w:p w14:paraId="06432498">
      <w:pPr>
        <w:widowControl/>
        <w:jc w:val="left"/>
        <w:rPr>
          <w:rFonts w:ascii="仿宋" w:hAnsi="仿宋" w:eastAsia="仿宋"/>
          <w:kern w:val="0"/>
          <w:sz w:val="32"/>
          <w:szCs w:val="32"/>
        </w:rPr>
      </w:pPr>
      <w:r>
        <w:rPr>
          <w:rFonts w:ascii="仿宋" w:hAnsi="仿宋" w:eastAsia="仿宋"/>
          <w:sz w:val="32"/>
          <w:szCs w:val="32"/>
        </w:rPr>
        <w:br w:type="page"/>
      </w:r>
    </w:p>
    <w:p w14:paraId="1013DE38">
      <w:pPr>
        <w:pStyle w:val="2"/>
        <w:ind w:right="440"/>
        <w:jc w:val="center"/>
        <w:rPr>
          <w:rStyle w:val="28"/>
          <w:rFonts w:ascii="黑体" w:hAnsi="黑体" w:eastAsia="黑体"/>
          <w:b w:val="0"/>
          <w:bCs/>
        </w:rPr>
      </w:pPr>
      <w:bookmarkStart w:id="32" w:name="_Toc15377204"/>
      <w:bookmarkStart w:id="33" w:name="_Toc10047"/>
      <w:bookmarkStart w:id="34" w:name="_Toc15396602"/>
      <w:r>
        <w:rPr>
          <w:rFonts w:hint="eastAsia" w:ascii="黑体" w:hAnsi="黑体" w:eastAsia="黑体"/>
          <w:b w:val="0"/>
        </w:rPr>
        <w:t>第二部分 2023年度</w:t>
      </w:r>
      <w:r>
        <w:rPr>
          <w:rStyle w:val="28"/>
          <w:rFonts w:hint="eastAsia" w:ascii="黑体" w:hAnsi="黑体" w:eastAsia="黑体"/>
          <w:b w:val="0"/>
          <w:bCs/>
        </w:rPr>
        <w:t>单位决算情况说明</w:t>
      </w:r>
      <w:bookmarkEnd w:id="32"/>
      <w:bookmarkEnd w:id="33"/>
      <w:bookmarkEnd w:id="34"/>
    </w:p>
    <w:p w14:paraId="51D4569A"/>
    <w:p w14:paraId="49C5856E">
      <w:pPr>
        <w:pStyle w:val="27"/>
        <w:numPr>
          <w:ilvl w:val="0"/>
          <w:numId w:val="2"/>
        </w:numPr>
        <w:spacing w:line="600" w:lineRule="exact"/>
        <w:ind w:firstLineChars="0"/>
        <w:outlineLvl w:val="1"/>
        <w:rPr>
          <w:rStyle w:val="29"/>
          <w:rFonts w:ascii="黑体" w:hAnsi="黑体" w:eastAsia="黑体"/>
          <w:b w:val="0"/>
        </w:rPr>
      </w:pPr>
      <w:bookmarkStart w:id="35" w:name="_Toc15377205"/>
      <w:bookmarkStart w:id="36" w:name="_Toc9573"/>
      <w:bookmarkStart w:id="37"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35"/>
      <w:bookmarkEnd w:id="36"/>
      <w:bookmarkEnd w:id="37"/>
    </w:p>
    <w:p w14:paraId="04055CE1">
      <w:pPr>
        <w:spacing w:line="600" w:lineRule="exact"/>
        <w:ind w:firstLine="640" w:firstLineChars="200"/>
        <w:rPr>
          <w:rFonts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2532.55</w:t>
      </w:r>
      <w:r>
        <w:rPr>
          <w:rFonts w:hint="eastAsia" w:ascii="仿宋" w:hAnsi="仿宋" w:eastAsia="仿宋"/>
          <w:sz w:val="32"/>
          <w:szCs w:val="32"/>
        </w:rPr>
        <w:t>万元。与2022年度相比，收、支总计各增加</w:t>
      </w:r>
      <w:r>
        <w:rPr>
          <w:rFonts w:hint="eastAsia" w:ascii="仿宋" w:hAnsi="仿宋" w:eastAsia="仿宋"/>
          <w:b/>
          <w:bCs/>
          <w:sz w:val="32"/>
          <w:szCs w:val="32"/>
          <w:lang w:val="en-US" w:eastAsia="zh-CN"/>
        </w:rPr>
        <w:t>400.28</w:t>
      </w:r>
      <w:r>
        <w:rPr>
          <w:rFonts w:hint="eastAsia" w:ascii="仿宋" w:hAnsi="仿宋" w:eastAsia="仿宋"/>
          <w:sz w:val="32"/>
          <w:szCs w:val="32"/>
        </w:rPr>
        <w:t>万元，增长</w:t>
      </w:r>
      <w:r>
        <w:rPr>
          <w:rFonts w:hint="eastAsia" w:ascii="仿宋" w:hAnsi="仿宋" w:eastAsia="仿宋"/>
          <w:b/>
          <w:bCs/>
          <w:sz w:val="32"/>
          <w:szCs w:val="32"/>
          <w:lang w:val="en-US" w:eastAsia="zh-CN"/>
        </w:rPr>
        <w:t>18.77</w:t>
      </w:r>
      <w:r>
        <w:rPr>
          <w:rFonts w:ascii="仿宋" w:hAnsi="仿宋" w:eastAsia="仿宋"/>
          <w:b/>
          <w:bCs/>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人员工资逐年增长</w:t>
      </w:r>
      <w:r>
        <w:rPr>
          <w:rFonts w:hint="eastAsia" w:ascii="仿宋" w:hAnsi="仿宋" w:eastAsia="仿宋"/>
          <w:sz w:val="32"/>
          <w:szCs w:val="32"/>
        </w:rPr>
        <w:t>。</w:t>
      </w:r>
    </w:p>
    <w:p w14:paraId="33E9F60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0822DDA6">
      <w:pPr>
        <w:pStyle w:val="12"/>
      </w:pPr>
      <w:r>
        <w:drawing>
          <wp:inline distT="0" distB="0" distL="114300" distR="114300">
            <wp:extent cx="4872990" cy="3639185"/>
            <wp:effectExtent l="4445" t="4445" r="18415" b="13970"/>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70889DE">
      <w:pPr>
        <w:spacing w:line="600" w:lineRule="exact"/>
        <w:ind w:firstLine="640" w:firstLineChars="200"/>
        <w:jc w:val="left"/>
        <w:rPr>
          <w:rFonts w:ascii="仿宋_GB2312" w:eastAsia="仿宋_GB2312"/>
          <w:sz w:val="32"/>
          <w:szCs w:val="32"/>
        </w:rPr>
      </w:pPr>
    </w:p>
    <w:p w14:paraId="6A5BE79E">
      <w:pPr>
        <w:pStyle w:val="27"/>
        <w:numPr>
          <w:ilvl w:val="0"/>
          <w:numId w:val="2"/>
        </w:numPr>
        <w:spacing w:line="600" w:lineRule="exact"/>
        <w:ind w:firstLineChars="0"/>
        <w:outlineLvl w:val="1"/>
        <w:rPr>
          <w:rStyle w:val="29"/>
          <w:rFonts w:ascii="黑体" w:hAnsi="黑体" w:eastAsia="黑体"/>
          <w:b w:val="0"/>
        </w:rPr>
      </w:pPr>
      <w:bookmarkStart w:id="38" w:name="_Toc15377206"/>
      <w:bookmarkStart w:id="39" w:name="_Toc25229"/>
      <w:bookmarkStart w:id="40" w:name="_Toc15396604"/>
      <w:r>
        <w:rPr>
          <w:rFonts w:hint="eastAsia" w:ascii="黑体" w:hAnsi="黑体" w:eastAsia="黑体"/>
          <w:sz w:val="32"/>
          <w:szCs w:val="32"/>
        </w:rPr>
        <w:t>收</w:t>
      </w:r>
      <w:r>
        <w:rPr>
          <w:rStyle w:val="29"/>
          <w:rFonts w:hint="eastAsia" w:ascii="黑体" w:hAnsi="黑体" w:eastAsia="黑体"/>
          <w:b w:val="0"/>
        </w:rPr>
        <w:t>入决算情况说明</w:t>
      </w:r>
      <w:bookmarkEnd w:id="38"/>
      <w:bookmarkEnd w:id="39"/>
      <w:bookmarkEnd w:id="40"/>
    </w:p>
    <w:p w14:paraId="30568E2C">
      <w:pPr>
        <w:spacing w:line="600" w:lineRule="exact"/>
        <w:ind w:firstLine="640" w:firstLineChars="200"/>
        <w:outlineLvl w:val="1"/>
        <w:rPr>
          <w:rFonts w:ascii="仿宋" w:hAnsi="仿宋" w:eastAsia="仿宋"/>
          <w:sz w:val="32"/>
          <w:szCs w:val="32"/>
        </w:rPr>
      </w:pPr>
      <w:bookmarkStart w:id="41" w:name="_Toc23032"/>
      <w:r>
        <w:rPr>
          <w:rFonts w:hint="eastAsia" w:ascii="仿宋" w:hAnsi="仿宋" w:eastAsia="仿宋"/>
          <w:sz w:val="32"/>
          <w:szCs w:val="32"/>
        </w:rPr>
        <w:t>2023年度本年收入合计</w:t>
      </w:r>
      <w:r>
        <w:rPr>
          <w:rFonts w:ascii="仿宋" w:hAnsi="仿宋" w:eastAsia="仿宋"/>
          <w:b/>
          <w:sz w:val="32"/>
          <w:szCs w:val="32"/>
        </w:rPr>
        <w:t>2443.4</w:t>
      </w:r>
      <w:r>
        <w:rPr>
          <w:rFonts w:hint="eastAsia" w:ascii="仿宋" w:hAnsi="仿宋" w:eastAsia="仿宋"/>
          <w:sz w:val="32"/>
          <w:szCs w:val="32"/>
        </w:rPr>
        <w:t>万元，其中：一般公共预算财政拨款收入</w:t>
      </w:r>
      <w:r>
        <w:rPr>
          <w:rFonts w:ascii="仿宋" w:hAnsi="仿宋" w:eastAsia="仿宋"/>
          <w:b/>
          <w:sz w:val="32"/>
          <w:szCs w:val="32"/>
        </w:rPr>
        <w:t>1709.27</w:t>
      </w:r>
      <w:r>
        <w:rPr>
          <w:rFonts w:hint="eastAsia" w:ascii="仿宋" w:hAnsi="仿宋" w:eastAsia="仿宋"/>
          <w:sz w:val="32"/>
          <w:szCs w:val="32"/>
        </w:rPr>
        <w:t>万元，占</w:t>
      </w:r>
      <w:r>
        <w:rPr>
          <w:rFonts w:ascii="仿宋" w:hAnsi="仿宋" w:eastAsia="仿宋"/>
          <w:b/>
          <w:sz w:val="32"/>
          <w:szCs w:val="32"/>
        </w:rPr>
        <w:t>69.95%</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734.13</w:t>
      </w:r>
      <w:r>
        <w:rPr>
          <w:rFonts w:hint="eastAsia" w:ascii="仿宋" w:hAnsi="仿宋" w:eastAsia="仿宋"/>
          <w:sz w:val="32"/>
          <w:szCs w:val="32"/>
        </w:rPr>
        <w:t>万元，占</w:t>
      </w:r>
      <w:r>
        <w:rPr>
          <w:rFonts w:ascii="仿宋" w:hAnsi="仿宋" w:eastAsia="仿宋"/>
          <w:b/>
          <w:sz w:val="32"/>
          <w:szCs w:val="32"/>
        </w:rPr>
        <w:t>30.04</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bookmarkEnd w:id="41"/>
    </w:p>
    <w:p w14:paraId="2C038452">
      <w:pPr>
        <w:spacing w:line="600" w:lineRule="exact"/>
        <w:ind w:firstLine="643" w:firstLineChars="200"/>
        <w:outlineLvl w:val="1"/>
        <w:rPr>
          <w:rFonts w:ascii="仿宋" w:hAnsi="仿宋" w:eastAsia="仿宋"/>
          <w:b/>
          <w:sz w:val="32"/>
          <w:szCs w:val="32"/>
        </w:rPr>
      </w:pPr>
      <w:bookmarkStart w:id="42" w:name="_Toc9726"/>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bookmarkEnd w:id="42"/>
    </w:p>
    <w:p w14:paraId="16543E62">
      <w:pPr>
        <w:spacing w:line="600" w:lineRule="exact"/>
        <w:ind w:firstLine="640" w:firstLineChars="200"/>
        <w:outlineLvl w:val="1"/>
        <w:rPr>
          <w:rFonts w:ascii="仿宋" w:hAnsi="仿宋" w:eastAsia="仿宋"/>
          <w:sz w:val="32"/>
          <w:szCs w:val="32"/>
        </w:rPr>
      </w:pPr>
    </w:p>
    <w:p w14:paraId="5B04BC5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（图2：收入决算结构图）（饼状图）</w:t>
      </w:r>
    </w:p>
    <w:p w14:paraId="11C2D62B">
      <w:pPr>
        <w:pStyle w:val="12"/>
      </w:pPr>
      <w:r>
        <w:drawing>
          <wp:inline distT="0" distB="0" distL="114300" distR="114300">
            <wp:extent cx="4910455" cy="3027045"/>
            <wp:effectExtent l="4445" t="4445" r="19050" b="1651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C9CA15">
      <w:pPr>
        <w:spacing w:line="600" w:lineRule="exact"/>
        <w:ind w:firstLine="640" w:firstLineChars="200"/>
        <w:rPr>
          <w:rFonts w:ascii="仿宋_GB2312" w:eastAsia="仿宋_GB2312"/>
          <w:sz w:val="32"/>
          <w:szCs w:val="32"/>
        </w:rPr>
      </w:pPr>
    </w:p>
    <w:p w14:paraId="2B28CA94">
      <w:pPr>
        <w:pStyle w:val="27"/>
        <w:numPr>
          <w:ilvl w:val="0"/>
          <w:numId w:val="2"/>
        </w:numPr>
        <w:spacing w:line="600" w:lineRule="exact"/>
        <w:ind w:firstLineChars="0"/>
        <w:outlineLvl w:val="1"/>
        <w:rPr>
          <w:rStyle w:val="29"/>
          <w:rFonts w:ascii="黑体" w:hAnsi="黑体" w:eastAsia="黑体"/>
          <w:b w:val="0"/>
        </w:rPr>
      </w:pPr>
      <w:bookmarkStart w:id="43" w:name="_Toc15377207"/>
      <w:bookmarkStart w:id="44" w:name="_Toc15396605"/>
      <w:bookmarkStart w:id="45" w:name="_Toc11847"/>
      <w:r>
        <w:rPr>
          <w:rFonts w:hint="eastAsia" w:ascii="黑体" w:hAnsi="黑体" w:eastAsia="黑体"/>
          <w:sz w:val="32"/>
          <w:szCs w:val="32"/>
        </w:rPr>
        <w:t>支</w:t>
      </w:r>
      <w:r>
        <w:rPr>
          <w:rStyle w:val="29"/>
          <w:rFonts w:hint="eastAsia" w:ascii="黑体" w:hAnsi="黑体" w:eastAsia="黑体"/>
          <w:b w:val="0"/>
        </w:rPr>
        <w:t>出决算情况说明</w:t>
      </w:r>
      <w:bookmarkEnd w:id="43"/>
      <w:bookmarkEnd w:id="44"/>
      <w:bookmarkEnd w:id="45"/>
    </w:p>
    <w:p w14:paraId="25EAD9F8">
      <w:pPr>
        <w:spacing w:line="600" w:lineRule="exact"/>
        <w:ind w:firstLine="640" w:firstLineChars="200"/>
        <w:outlineLvl w:val="1"/>
        <w:rPr>
          <w:rFonts w:ascii="仿宋" w:hAnsi="仿宋" w:eastAsia="仿宋"/>
          <w:sz w:val="32"/>
          <w:szCs w:val="32"/>
        </w:rPr>
      </w:pPr>
      <w:bookmarkStart w:id="46" w:name="_Toc1742"/>
      <w:r>
        <w:rPr>
          <w:rFonts w:hint="eastAsia" w:ascii="仿宋" w:hAnsi="仿宋" w:eastAsia="仿宋"/>
          <w:sz w:val="32"/>
          <w:szCs w:val="32"/>
        </w:rPr>
        <w:t>2023年度本年支出合计</w:t>
      </w:r>
      <w:r>
        <w:rPr>
          <w:rFonts w:ascii="仿宋" w:hAnsi="仿宋" w:eastAsia="仿宋"/>
          <w:b/>
          <w:sz w:val="32"/>
          <w:szCs w:val="32"/>
        </w:rPr>
        <w:t>2532.55</w:t>
      </w:r>
      <w:r>
        <w:rPr>
          <w:rFonts w:hint="eastAsia" w:ascii="仿宋" w:hAnsi="仿宋" w:eastAsia="仿宋"/>
          <w:sz w:val="32"/>
          <w:szCs w:val="32"/>
        </w:rPr>
        <w:t>万元，其中：基本支出</w:t>
      </w:r>
      <w:r>
        <w:rPr>
          <w:rFonts w:ascii="仿宋" w:hAnsi="仿宋" w:eastAsia="仿宋"/>
          <w:b/>
          <w:sz w:val="32"/>
          <w:szCs w:val="32"/>
        </w:rPr>
        <w:t>2182.74</w:t>
      </w:r>
      <w:r>
        <w:rPr>
          <w:rFonts w:hint="eastAsia" w:ascii="仿宋" w:hAnsi="仿宋" w:eastAsia="仿宋"/>
          <w:sz w:val="32"/>
          <w:szCs w:val="32"/>
        </w:rPr>
        <w:t>万元，占</w:t>
      </w:r>
      <w:r>
        <w:rPr>
          <w:rFonts w:ascii="仿宋" w:hAnsi="仿宋" w:eastAsia="仿宋"/>
          <w:b/>
          <w:sz w:val="32"/>
          <w:szCs w:val="32"/>
        </w:rPr>
        <w:t>86.18</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349.8</w:t>
      </w:r>
      <w:r>
        <w:rPr>
          <w:rFonts w:hint="eastAsia" w:ascii="仿宋" w:hAnsi="仿宋" w:eastAsia="仿宋"/>
          <w:sz w:val="32"/>
          <w:szCs w:val="32"/>
        </w:rPr>
        <w:t>万元，占</w:t>
      </w:r>
      <w:r>
        <w:rPr>
          <w:rFonts w:ascii="仿宋" w:hAnsi="仿宋" w:eastAsia="仿宋"/>
          <w:b/>
          <w:sz w:val="32"/>
          <w:szCs w:val="32"/>
        </w:rPr>
        <w:t>13.81</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46"/>
    </w:p>
    <w:p w14:paraId="00E546E3">
      <w:pPr>
        <w:spacing w:line="600" w:lineRule="exact"/>
        <w:ind w:firstLine="643" w:firstLineChars="200"/>
        <w:outlineLvl w:val="1"/>
        <w:rPr>
          <w:rFonts w:ascii="仿宋" w:hAnsi="仿宋" w:eastAsia="仿宋"/>
          <w:b/>
          <w:sz w:val="32"/>
          <w:szCs w:val="32"/>
        </w:rPr>
      </w:pPr>
      <w:bookmarkStart w:id="47" w:name="_Toc17866"/>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bookmarkEnd w:id="47"/>
    </w:p>
    <w:p w14:paraId="43618008">
      <w:pPr>
        <w:spacing w:line="600" w:lineRule="exact"/>
        <w:ind w:firstLine="640"/>
        <w:rPr>
          <w:rFonts w:ascii="仿宋" w:hAnsi="仿宋" w:eastAsia="仿宋"/>
          <w:sz w:val="32"/>
          <w:szCs w:val="32"/>
          <w:shd w:val="pct10" w:color="auto" w:fill="FFFFFF"/>
        </w:rPr>
      </w:pPr>
    </w:p>
    <w:p w14:paraId="7AB6B64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（图3：支出决算结构图）（饼状图）</w:t>
      </w:r>
    </w:p>
    <w:p w14:paraId="5F825FF7">
      <w:pPr>
        <w:pStyle w:val="12"/>
      </w:pPr>
      <w:r>
        <w:drawing>
          <wp:inline distT="0" distB="0" distL="114300" distR="114300">
            <wp:extent cx="4901565" cy="3268345"/>
            <wp:effectExtent l="4445" t="4445" r="8890" b="2286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D28EA47">
      <w:pPr>
        <w:spacing w:line="600" w:lineRule="exact"/>
        <w:ind w:firstLine="640" w:firstLineChars="200"/>
        <w:rPr>
          <w:rFonts w:ascii="仿宋_GB2312" w:eastAsia="仿宋_GB2312"/>
          <w:sz w:val="32"/>
          <w:szCs w:val="32"/>
        </w:rPr>
      </w:pPr>
    </w:p>
    <w:p w14:paraId="18830E6E">
      <w:pPr>
        <w:spacing w:line="600" w:lineRule="exact"/>
        <w:ind w:firstLine="640" w:firstLineChars="200"/>
        <w:outlineLvl w:val="1"/>
        <w:rPr>
          <w:rStyle w:val="29"/>
          <w:rFonts w:ascii="黑体" w:hAnsi="黑体" w:eastAsia="黑体"/>
          <w:b w:val="0"/>
        </w:rPr>
      </w:pPr>
      <w:bookmarkStart w:id="48" w:name="_Toc6416"/>
      <w:bookmarkStart w:id="49" w:name="_Toc15377208"/>
      <w:bookmarkStart w:id="50" w:name="_Toc15396606"/>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48"/>
      <w:bookmarkEnd w:id="49"/>
      <w:bookmarkEnd w:id="50"/>
    </w:p>
    <w:p w14:paraId="0218FABB">
      <w:pPr>
        <w:spacing w:line="600" w:lineRule="exact"/>
        <w:ind w:firstLine="640"/>
        <w:rPr>
          <w:rFonts w:hint="eastAsia" w:ascii="仿宋" w:hAnsi="仿宋" w:eastAsia="仿宋"/>
          <w:color w:val="000000"/>
          <w:sz w:val="32"/>
          <w:szCs w:val="32"/>
          <w:lang w:val="en-US" w:eastAsia="zh-CN"/>
        </w:rPr>
      </w:pPr>
      <w:r>
        <w:rPr>
          <w:rFonts w:hint="eastAsia" w:ascii="仿宋" w:hAnsi="仿宋" w:eastAsia="仿宋"/>
          <w:sz w:val="32"/>
          <w:szCs w:val="32"/>
        </w:rPr>
        <w:t>2023年度财政拨款收、支总计均为</w:t>
      </w:r>
      <w:r>
        <w:rPr>
          <w:rFonts w:ascii="仿宋" w:hAnsi="仿宋" w:eastAsia="仿宋"/>
          <w:b/>
          <w:sz w:val="32"/>
          <w:szCs w:val="32"/>
        </w:rPr>
        <w:t>1798.42</w:t>
      </w:r>
      <w:r>
        <w:rPr>
          <w:rFonts w:hint="eastAsia" w:ascii="仿宋" w:hAnsi="仿宋" w:eastAsia="仿宋"/>
          <w:sz w:val="32"/>
          <w:szCs w:val="32"/>
        </w:rPr>
        <w:t>万元。与2022年度相比，财政拨款收、支总计各增加</w:t>
      </w:r>
      <w:r>
        <w:rPr>
          <w:rFonts w:hint="eastAsia" w:ascii="仿宋" w:hAnsi="仿宋" w:eastAsia="仿宋"/>
          <w:b/>
          <w:bCs/>
          <w:sz w:val="32"/>
          <w:szCs w:val="32"/>
          <w:lang w:val="en-US" w:eastAsia="zh-CN"/>
        </w:rPr>
        <w:t>142.73</w:t>
      </w:r>
      <w:r>
        <w:rPr>
          <w:rFonts w:hint="eastAsia" w:ascii="仿宋" w:hAnsi="仿宋" w:eastAsia="仿宋"/>
          <w:sz w:val="32"/>
          <w:szCs w:val="32"/>
        </w:rPr>
        <w:t>万元，增长</w:t>
      </w:r>
      <w:r>
        <w:rPr>
          <w:rFonts w:hint="eastAsia" w:ascii="仿宋" w:hAnsi="仿宋" w:eastAsia="仿宋"/>
          <w:b/>
          <w:bCs/>
          <w:sz w:val="32"/>
          <w:szCs w:val="32"/>
          <w:lang w:val="en-US" w:eastAsia="zh-CN"/>
        </w:rPr>
        <w:t>8.62</w:t>
      </w:r>
      <w:r>
        <w:rPr>
          <w:rFonts w:ascii="仿宋" w:hAnsi="仿宋" w:eastAsia="仿宋"/>
          <w:b/>
          <w:bCs/>
          <w:sz w:val="32"/>
          <w:szCs w:val="32"/>
        </w:rPr>
        <w:t>%</w:t>
      </w:r>
      <w:r>
        <w:rPr>
          <w:rFonts w:hint="eastAsia" w:ascii="仿宋" w:hAnsi="仿宋" w:eastAsia="仿宋"/>
          <w:sz w:val="32"/>
          <w:szCs w:val="32"/>
        </w:rPr>
        <w:t>。主要变动原因是</w:t>
      </w:r>
      <w:r>
        <w:rPr>
          <w:rFonts w:hint="eastAsia" w:ascii="仿宋" w:hAnsi="仿宋" w:eastAsia="仿宋"/>
          <w:color w:val="000000"/>
          <w:sz w:val="32"/>
          <w:szCs w:val="32"/>
          <w:lang w:val="en-US" w:eastAsia="zh-CN"/>
        </w:rPr>
        <w:t>人员工资增加。</w:t>
      </w:r>
    </w:p>
    <w:p w14:paraId="586C5D77">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09A2BF9F">
      <w:pPr>
        <w:spacing w:line="600" w:lineRule="exact"/>
        <w:rPr>
          <w:rFonts w:ascii="仿宋" w:hAnsi="仿宋" w:eastAsia="仿宋"/>
          <w:sz w:val="32"/>
          <w:szCs w:val="32"/>
        </w:rPr>
      </w:pPr>
    </w:p>
    <w:p w14:paraId="178127C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（图4：财政拨款收、支决算总计变动情况）（柱状图）</w:t>
      </w:r>
    </w:p>
    <w:p w14:paraId="4D4C7FD7">
      <w:pPr>
        <w:pStyle w:val="12"/>
        <w:rPr>
          <w:rFonts w:hint="eastAsia"/>
        </w:rPr>
      </w:pPr>
      <w:r>
        <w:drawing>
          <wp:inline distT="0" distB="0" distL="114300" distR="114300">
            <wp:extent cx="4872990" cy="3639185"/>
            <wp:effectExtent l="4445" t="4445" r="18415" b="13970"/>
            <wp:docPr id="1"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42406B0">
      <w:pPr>
        <w:pStyle w:val="12"/>
      </w:pPr>
    </w:p>
    <w:p w14:paraId="2EAB95F9">
      <w:pPr>
        <w:spacing w:line="600" w:lineRule="exact"/>
        <w:ind w:firstLine="640"/>
        <w:rPr>
          <w:rFonts w:ascii="仿宋" w:hAnsi="仿宋" w:eastAsia="仿宋"/>
          <w:b/>
          <w:sz w:val="32"/>
          <w:szCs w:val="32"/>
        </w:rPr>
      </w:pPr>
    </w:p>
    <w:p w14:paraId="366F8FC2">
      <w:pPr>
        <w:spacing w:line="600" w:lineRule="exact"/>
        <w:ind w:firstLine="640" w:firstLineChars="200"/>
        <w:outlineLvl w:val="1"/>
        <w:rPr>
          <w:rStyle w:val="29"/>
          <w:rFonts w:ascii="黑体" w:hAnsi="黑体" w:eastAsia="黑体"/>
          <w:b w:val="0"/>
        </w:rPr>
      </w:pPr>
      <w:bookmarkStart w:id="51" w:name="_Toc15377209"/>
      <w:bookmarkStart w:id="52" w:name="_Toc28862"/>
      <w:bookmarkStart w:id="53" w:name="_Toc15396607"/>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51"/>
      <w:bookmarkEnd w:id="52"/>
      <w:bookmarkEnd w:id="53"/>
    </w:p>
    <w:p w14:paraId="17A3B936">
      <w:pPr>
        <w:spacing w:line="600" w:lineRule="exact"/>
        <w:ind w:firstLine="643" w:firstLineChars="200"/>
        <w:outlineLvl w:val="2"/>
        <w:rPr>
          <w:rFonts w:ascii="仿宋" w:hAnsi="仿宋" w:eastAsia="仿宋"/>
          <w:b/>
          <w:sz w:val="32"/>
          <w:szCs w:val="32"/>
        </w:rPr>
      </w:pPr>
      <w:bookmarkStart w:id="54" w:name="_Toc11940"/>
      <w:bookmarkStart w:id="55" w:name="_Toc15377210"/>
      <w:r>
        <w:rPr>
          <w:rFonts w:hint="eastAsia" w:ascii="仿宋" w:hAnsi="仿宋" w:eastAsia="仿宋"/>
          <w:b/>
          <w:sz w:val="32"/>
          <w:szCs w:val="32"/>
        </w:rPr>
        <w:t>（一）一般公共预算财政拨款支出决算总体情况</w:t>
      </w:r>
      <w:bookmarkEnd w:id="54"/>
      <w:bookmarkEnd w:id="55"/>
    </w:p>
    <w:p w14:paraId="16D77FC2">
      <w:pPr>
        <w:spacing w:line="600" w:lineRule="exact"/>
        <w:ind w:firstLine="640" w:firstLineChars="20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1798.42</w:t>
      </w:r>
      <w:r>
        <w:rPr>
          <w:rFonts w:hint="eastAsia" w:ascii="仿宋" w:hAnsi="仿宋" w:eastAsia="仿宋"/>
          <w:sz w:val="32"/>
          <w:szCs w:val="32"/>
        </w:rPr>
        <w:t>万元，占本年支出合计的</w:t>
      </w:r>
      <w:r>
        <w:rPr>
          <w:rFonts w:ascii="仿宋" w:hAnsi="仿宋" w:eastAsia="仿宋"/>
          <w:b/>
          <w:sz w:val="32"/>
          <w:szCs w:val="32"/>
        </w:rPr>
        <w:t>71.01</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b/>
          <w:bCs/>
          <w:sz w:val="32"/>
          <w:szCs w:val="32"/>
          <w:lang w:val="en-US" w:eastAsia="zh-CN"/>
        </w:rPr>
        <w:t>142.73</w:t>
      </w:r>
      <w:r>
        <w:rPr>
          <w:rFonts w:hint="eastAsia" w:ascii="仿宋" w:hAnsi="仿宋" w:eastAsia="仿宋"/>
          <w:sz w:val="32"/>
          <w:szCs w:val="32"/>
        </w:rPr>
        <w:t>万元，增长</w:t>
      </w:r>
      <w:r>
        <w:rPr>
          <w:rFonts w:hint="eastAsia" w:ascii="仿宋" w:hAnsi="仿宋" w:eastAsia="仿宋"/>
          <w:b/>
          <w:bCs/>
          <w:sz w:val="32"/>
          <w:szCs w:val="32"/>
          <w:lang w:val="en-US" w:eastAsia="zh-CN"/>
        </w:rPr>
        <w:t>8.62</w:t>
      </w:r>
      <w:r>
        <w:rPr>
          <w:rFonts w:ascii="仿宋" w:hAnsi="仿宋" w:eastAsia="仿宋"/>
          <w:b/>
          <w:bCs/>
          <w:sz w:val="32"/>
          <w:szCs w:val="32"/>
        </w:rPr>
        <w:t>%</w:t>
      </w:r>
      <w:r>
        <w:rPr>
          <w:rFonts w:hint="eastAsia" w:ascii="仿宋" w:hAnsi="仿宋" w:eastAsia="仿宋"/>
          <w:sz w:val="32"/>
          <w:szCs w:val="32"/>
        </w:rPr>
        <w:t>。主要变动原因是</w:t>
      </w:r>
      <w:r>
        <w:rPr>
          <w:rFonts w:hint="eastAsia" w:ascii="仿宋" w:hAnsi="仿宋" w:eastAsia="仿宋"/>
          <w:color w:val="000000"/>
          <w:sz w:val="32"/>
          <w:szCs w:val="32"/>
          <w:lang w:val="en-US" w:eastAsia="zh-CN"/>
        </w:rPr>
        <w:t>人员工资增加。</w:t>
      </w:r>
    </w:p>
    <w:p w14:paraId="202EF827">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（图5：一般公共预算财政拨款支出决算变动情况）（柱状图）</w:t>
      </w:r>
    </w:p>
    <w:p w14:paraId="78256C56">
      <w:pPr>
        <w:pStyle w:val="12"/>
      </w:pPr>
      <w:r>
        <w:drawing>
          <wp:inline distT="0" distB="0" distL="114300" distR="114300">
            <wp:extent cx="4881880" cy="3426460"/>
            <wp:effectExtent l="4445" t="4445" r="9525" b="17145"/>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F9D2C5B">
      <w:pPr>
        <w:spacing w:line="600" w:lineRule="exact"/>
        <w:ind w:firstLine="640" w:firstLineChars="200"/>
        <w:rPr>
          <w:rFonts w:ascii="仿宋" w:hAnsi="仿宋" w:eastAsia="仿宋"/>
          <w:sz w:val="32"/>
          <w:szCs w:val="32"/>
        </w:rPr>
      </w:pPr>
    </w:p>
    <w:p w14:paraId="6C29DCA5">
      <w:pPr>
        <w:spacing w:line="600" w:lineRule="exact"/>
        <w:ind w:firstLine="643" w:firstLineChars="200"/>
        <w:outlineLvl w:val="2"/>
        <w:rPr>
          <w:rFonts w:ascii="仿宋" w:hAnsi="仿宋" w:eastAsia="仿宋"/>
          <w:b/>
          <w:sz w:val="32"/>
          <w:szCs w:val="32"/>
        </w:rPr>
      </w:pPr>
      <w:bookmarkStart w:id="56" w:name="_Toc15377211"/>
      <w:bookmarkStart w:id="57" w:name="_Toc14798"/>
      <w:r>
        <w:rPr>
          <w:rFonts w:hint="eastAsia" w:ascii="仿宋" w:hAnsi="仿宋" w:eastAsia="仿宋"/>
          <w:b/>
          <w:sz w:val="32"/>
          <w:szCs w:val="32"/>
        </w:rPr>
        <w:t>（二）一般公共预算财政拨款支出决算结构情况</w:t>
      </w:r>
      <w:bookmarkEnd w:id="56"/>
      <w:bookmarkEnd w:id="57"/>
    </w:p>
    <w:p w14:paraId="7D205A9C">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1798.42</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197.10</w:t>
      </w:r>
      <w:r>
        <w:rPr>
          <w:rFonts w:hint="eastAsia" w:ascii="仿宋" w:hAnsi="仿宋" w:eastAsia="仿宋"/>
          <w:sz w:val="32"/>
          <w:szCs w:val="32"/>
        </w:rPr>
        <w:t>万元，占</w:t>
      </w:r>
      <w:r>
        <w:rPr>
          <w:rFonts w:hint="eastAsia" w:ascii="仿宋" w:hAnsi="仿宋" w:eastAsia="仿宋"/>
          <w:sz w:val="32"/>
          <w:szCs w:val="32"/>
          <w:lang w:val="en-US" w:eastAsia="zh-CN"/>
        </w:rPr>
        <w:t>10.96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1488.70</w:t>
      </w:r>
      <w:r>
        <w:rPr>
          <w:rFonts w:hint="eastAsia" w:ascii="仿宋" w:hAnsi="仿宋" w:eastAsia="仿宋"/>
          <w:sz w:val="32"/>
          <w:szCs w:val="32"/>
        </w:rPr>
        <w:t>万元，占</w:t>
      </w:r>
      <w:r>
        <w:rPr>
          <w:rFonts w:hint="eastAsia" w:ascii="仿宋" w:hAnsi="仿宋" w:eastAsia="仿宋"/>
          <w:sz w:val="32"/>
          <w:szCs w:val="32"/>
          <w:lang w:val="en-US" w:eastAsia="zh-CN"/>
        </w:rPr>
        <w:t>82.78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112.62</w:t>
      </w:r>
      <w:r>
        <w:rPr>
          <w:rFonts w:hint="eastAsia" w:ascii="仿宋" w:hAnsi="仿宋" w:eastAsia="仿宋"/>
          <w:sz w:val="32"/>
          <w:szCs w:val="32"/>
        </w:rPr>
        <w:t>万元，占</w:t>
      </w:r>
      <w:r>
        <w:rPr>
          <w:rFonts w:hint="eastAsia" w:ascii="仿宋" w:hAnsi="仿宋" w:eastAsia="仿宋"/>
          <w:sz w:val="32"/>
          <w:szCs w:val="32"/>
          <w:lang w:val="en-US" w:eastAsia="zh-CN"/>
        </w:rPr>
        <w:t>6.26</w:t>
      </w:r>
      <w:r>
        <w:rPr>
          <w:rFonts w:ascii="仿宋" w:hAnsi="仿宋" w:eastAsia="仿宋"/>
          <w:sz w:val="32"/>
          <w:szCs w:val="32"/>
        </w:rPr>
        <w:t>%</w:t>
      </w:r>
      <w:r>
        <w:rPr>
          <w:rFonts w:hint="eastAsia" w:ascii="仿宋" w:hAnsi="仿宋" w:eastAsia="仿宋"/>
          <w:sz w:val="32"/>
          <w:szCs w:val="32"/>
        </w:rPr>
        <w:t>。</w:t>
      </w:r>
    </w:p>
    <w:p w14:paraId="5FF356B3">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2B2975E8">
      <w:pPr>
        <w:spacing w:line="600" w:lineRule="exact"/>
        <w:ind w:firstLine="640"/>
        <w:rPr>
          <w:rFonts w:ascii="仿宋" w:hAnsi="仿宋" w:eastAsia="仿宋"/>
          <w:sz w:val="32"/>
          <w:szCs w:val="32"/>
        </w:rPr>
      </w:pPr>
    </w:p>
    <w:p w14:paraId="4D97547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（图6：一般公共预算财政拨款支出决算结构）（饼状图）</w:t>
      </w:r>
    </w:p>
    <w:p w14:paraId="41DCBDCD">
      <w:pPr>
        <w:pStyle w:val="12"/>
      </w:pPr>
      <w:r>
        <w:drawing>
          <wp:inline distT="0" distB="0" distL="114300" distR="114300">
            <wp:extent cx="4901565" cy="3258820"/>
            <wp:effectExtent l="4445" t="4445" r="8890" b="13335"/>
            <wp:docPr id="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87AEEDE">
      <w:pPr>
        <w:spacing w:line="600" w:lineRule="exact"/>
        <w:ind w:firstLine="640" w:firstLineChars="200"/>
        <w:rPr>
          <w:rFonts w:ascii="仿宋" w:hAnsi="仿宋" w:eastAsia="仿宋"/>
          <w:sz w:val="32"/>
          <w:szCs w:val="32"/>
        </w:rPr>
      </w:pPr>
    </w:p>
    <w:p w14:paraId="1446F8AB">
      <w:pPr>
        <w:spacing w:line="600" w:lineRule="exact"/>
        <w:ind w:firstLine="643" w:firstLineChars="200"/>
        <w:outlineLvl w:val="2"/>
        <w:rPr>
          <w:rFonts w:ascii="仿宋" w:hAnsi="仿宋" w:eastAsia="仿宋"/>
          <w:b/>
          <w:sz w:val="32"/>
          <w:szCs w:val="32"/>
        </w:rPr>
      </w:pPr>
      <w:bookmarkStart w:id="58" w:name="_Toc15377212"/>
      <w:bookmarkStart w:id="59" w:name="_Toc20139"/>
      <w:r>
        <w:rPr>
          <w:rFonts w:hint="eastAsia" w:ascii="仿宋" w:hAnsi="仿宋" w:eastAsia="仿宋"/>
          <w:b/>
          <w:sz w:val="32"/>
          <w:szCs w:val="32"/>
        </w:rPr>
        <w:t>（三）一般公共预算财政拨款支出决算具体情况</w:t>
      </w:r>
      <w:bookmarkEnd w:id="58"/>
      <w:bookmarkEnd w:id="59"/>
    </w:p>
    <w:p w14:paraId="7CE025A5">
      <w:pPr>
        <w:spacing w:line="600" w:lineRule="exact"/>
        <w:ind w:firstLine="643" w:firstLineChars="200"/>
        <w:outlineLvl w:val="2"/>
        <w:rPr>
          <w:rFonts w:ascii="仿宋" w:hAnsi="仿宋" w:eastAsia="仿宋"/>
          <w:sz w:val="32"/>
          <w:szCs w:val="32"/>
        </w:rPr>
      </w:pPr>
      <w:bookmarkStart w:id="60" w:name="_Toc15378460"/>
      <w:bookmarkStart w:id="61" w:name="_Toc15377444"/>
      <w:bookmarkStart w:id="62" w:name="_Toc15377213"/>
      <w:bookmarkStart w:id="63" w:name="_Toc7733"/>
      <w:r>
        <w:rPr>
          <w:rFonts w:hint="eastAsia" w:ascii="仿宋" w:hAnsi="仿宋" w:eastAsia="仿宋"/>
          <w:b/>
          <w:sz w:val="32"/>
          <w:szCs w:val="32"/>
        </w:rPr>
        <w:t>2023年度一般公共预算支出决算数为</w:t>
      </w:r>
      <w:r>
        <w:rPr>
          <w:rFonts w:ascii="仿宋" w:hAnsi="仿宋" w:eastAsia="仿宋"/>
          <w:b/>
          <w:sz w:val="32"/>
          <w:szCs w:val="32"/>
        </w:rPr>
        <w:t>1798.42</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60"/>
      <w:bookmarkEnd w:id="61"/>
      <w:bookmarkEnd w:id="62"/>
      <w:bookmarkEnd w:id="63"/>
    </w:p>
    <w:p w14:paraId="58224565">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社会保障和就业（208）行政事业单位养老支出（20805）机关事业单位养老保险费支出（2080505） 支出决算为132.51万元，完成预算100%。</w:t>
      </w:r>
    </w:p>
    <w:p w14:paraId="6902FFFB">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社会保障和就业（208）行政事业单位养老支出（20805）机关事业单位职业年金缴费支出（2080506）支出决算为64.59万元，完成预算100%。</w:t>
      </w:r>
    </w:p>
    <w:p w14:paraId="7DBAD059">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kern w:val="2"/>
          <w:sz w:val="32"/>
          <w:szCs w:val="32"/>
          <w:lang w:val="en-US" w:eastAsia="zh-CN" w:bidi="ar-SA"/>
        </w:rPr>
        <w:t>卫生健康支出（210）公立医院（21002）综合医院支出（2100202）</w:t>
      </w:r>
      <w:r>
        <w:rPr>
          <w:rFonts w:hint="eastAsia" w:ascii="仿宋" w:hAnsi="仿宋" w:eastAsia="仿宋" w:cs="Times New Roman"/>
          <w:color w:val="000000"/>
          <w:sz w:val="32"/>
          <w:szCs w:val="32"/>
          <w:lang w:val="en-US" w:eastAsia="zh-CN"/>
        </w:rPr>
        <w:t>支出决算为1153.57万元，完成预算100%。</w:t>
      </w:r>
    </w:p>
    <w:p w14:paraId="44AE95A1">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kern w:val="2"/>
          <w:sz w:val="32"/>
          <w:szCs w:val="32"/>
          <w:lang w:val="en-US" w:eastAsia="zh-CN" w:bidi="ar-SA"/>
        </w:rPr>
        <w:t>卫生健康支出（210）公立医院（21002）中医（民族）医院（2100299）</w:t>
      </w:r>
      <w:r>
        <w:rPr>
          <w:rFonts w:hint="eastAsia" w:ascii="仿宋" w:hAnsi="仿宋" w:eastAsia="仿宋" w:cs="Times New Roman"/>
          <w:color w:val="000000"/>
          <w:sz w:val="32"/>
          <w:szCs w:val="32"/>
          <w:lang w:val="en-US" w:eastAsia="zh-CN"/>
        </w:rPr>
        <w:t>支出决算为121.86万元，完成预算100%。</w:t>
      </w:r>
    </w:p>
    <w:p w14:paraId="6B5AFD94">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kern w:val="2"/>
          <w:sz w:val="32"/>
          <w:szCs w:val="32"/>
          <w:lang w:val="en-US" w:eastAsia="zh-CN" w:bidi="ar-SA"/>
        </w:rPr>
        <w:t>卫生健康支出（210）公共卫生（21004）基本公共卫生服务（2100408）</w:t>
      </w:r>
      <w:r>
        <w:rPr>
          <w:rFonts w:hint="eastAsia" w:ascii="仿宋" w:hAnsi="仿宋" w:eastAsia="仿宋" w:cs="Times New Roman"/>
          <w:color w:val="000000"/>
          <w:sz w:val="32"/>
          <w:szCs w:val="32"/>
          <w:lang w:val="en-US" w:eastAsia="zh-CN"/>
        </w:rPr>
        <w:t>支出决算为138.79万元，完成预算100%。</w:t>
      </w:r>
    </w:p>
    <w:p w14:paraId="11AB6D1C">
      <w:pPr>
        <w:pStyle w:val="34"/>
        <w:rPr>
          <w:rFonts w:hint="eastAsia"/>
          <w:lang w:val="en-US" w:eastAsia="zh-CN"/>
        </w:rPr>
      </w:pPr>
    </w:p>
    <w:p w14:paraId="05355260">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kern w:val="2"/>
          <w:sz w:val="32"/>
          <w:szCs w:val="32"/>
          <w:lang w:val="en-US" w:eastAsia="zh-CN" w:bidi="ar-SA"/>
        </w:rPr>
        <w:t>卫生健康支出（210）行政事业单位医疗（21011）事业单位医疗（2101102）</w:t>
      </w:r>
      <w:r>
        <w:rPr>
          <w:rFonts w:hint="eastAsia" w:ascii="仿宋" w:hAnsi="仿宋" w:eastAsia="仿宋" w:cs="Times New Roman"/>
          <w:color w:val="000000"/>
          <w:sz w:val="32"/>
          <w:szCs w:val="32"/>
          <w:lang w:val="en-US" w:eastAsia="zh-CN"/>
        </w:rPr>
        <w:t>支出决算为58.51万元，完成预算100%。</w:t>
      </w:r>
    </w:p>
    <w:p w14:paraId="12277144">
      <w:pPr>
        <w:numPr>
          <w:ilvl w:val="0"/>
          <w:numId w:val="3"/>
        </w:numPr>
        <w:spacing w:line="600" w:lineRule="exact"/>
        <w:ind w:left="-10" w:leftChars="0" w:firstLine="640" w:firstLineChars="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kern w:val="2"/>
          <w:sz w:val="32"/>
          <w:szCs w:val="32"/>
          <w:lang w:val="en-US" w:eastAsia="zh-CN" w:bidi="ar-SA"/>
        </w:rPr>
        <w:t>卫生健康支出（210）行政事业单位医疗（21011）事业单位医疗（2101199）</w:t>
      </w:r>
      <w:r>
        <w:rPr>
          <w:rFonts w:hint="eastAsia" w:ascii="仿宋" w:hAnsi="仿宋" w:eastAsia="仿宋" w:cs="Times New Roman"/>
          <w:color w:val="000000"/>
          <w:sz w:val="32"/>
          <w:szCs w:val="32"/>
          <w:lang w:val="en-US" w:eastAsia="zh-CN"/>
        </w:rPr>
        <w:t>支出决算为15.97万元，完成预算100%。</w:t>
      </w:r>
    </w:p>
    <w:p w14:paraId="451652CE">
      <w:pPr>
        <w:pStyle w:val="34"/>
        <w:rPr>
          <w:rFonts w:hint="default"/>
          <w:lang w:val="en-US" w:eastAsia="zh-CN"/>
        </w:rPr>
      </w:pPr>
    </w:p>
    <w:p w14:paraId="22BEAB63">
      <w:pPr>
        <w:pStyle w:val="35"/>
        <w:keepNext w:val="0"/>
        <w:keepLines w:val="0"/>
        <w:widowControl/>
        <w:numPr>
          <w:ilvl w:val="0"/>
          <w:numId w:val="3"/>
        </w:numPr>
        <w:suppressLineNumbers w:val="0"/>
        <w:spacing w:before="0" w:beforeAutospacing="0"/>
        <w:ind w:left="-10" w:leftChars="0" w:firstLine="640" w:firstLineChars="0"/>
        <w:jc w:val="left"/>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sz w:val="32"/>
          <w:szCs w:val="32"/>
          <w:lang w:val="en-US" w:eastAsia="zh-CN"/>
        </w:rPr>
        <w:t xml:space="preserve">住房保障支出（221）住房改革支出（22102）住房公积金（2210201）支出决算为112.62万元，完成预算100%。     </w:t>
      </w:r>
    </w:p>
    <w:p w14:paraId="4F3BD24A">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hint="eastAsia" w:ascii="仿宋" w:hAnsi="仿宋" w:eastAsia="仿宋"/>
          <w:b/>
          <w:sz w:val="32"/>
          <w:szCs w:val="32"/>
          <w:lang w:eastAsia="zh-CN"/>
        </w:rPr>
        <w:t>〈</w:t>
      </w:r>
      <w:r>
        <w:rPr>
          <w:rFonts w:hint="eastAsia" w:ascii="仿宋" w:hAnsi="仿宋" w:eastAsia="仿宋"/>
          <w:b/>
          <w:sz w:val="32"/>
          <w:szCs w:val="32"/>
        </w:rPr>
        <w:t>项级</w:t>
      </w:r>
      <w:r>
        <w:rPr>
          <w:rFonts w:hint="eastAsia" w:ascii="仿宋" w:hAnsi="仿宋" w:eastAsia="仿宋"/>
          <w:b/>
          <w:sz w:val="32"/>
          <w:szCs w:val="32"/>
          <w:lang w:eastAsia="zh-CN"/>
        </w:rPr>
        <w:t>〉</w:t>
      </w:r>
      <w:r>
        <w:rPr>
          <w:rFonts w:hint="eastAsia" w:ascii="仿宋" w:hAnsi="仿宋" w:eastAsia="仿宋"/>
          <w:b/>
          <w:sz w:val="32"/>
          <w:szCs w:val="32"/>
        </w:rPr>
        <w:t>和全年预算数</w:t>
      </w:r>
      <w:r>
        <w:rPr>
          <w:rFonts w:hint="eastAsia" w:ascii="仿宋" w:hAnsi="仿宋" w:eastAsia="仿宋"/>
          <w:b/>
          <w:sz w:val="32"/>
          <w:szCs w:val="32"/>
          <w:lang w:eastAsia="zh-CN"/>
        </w:rPr>
        <w:t>〈</w:t>
      </w:r>
      <w:r>
        <w:rPr>
          <w:rFonts w:hint="eastAsia" w:ascii="仿宋" w:hAnsi="仿宋" w:eastAsia="仿宋"/>
          <w:b/>
          <w:sz w:val="32"/>
          <w:szCs w:val="32"/>
        </w:rPr>
        <w:t>项级</w:t>
      </w:r>
      <w:r>
        <w:rPr>
          <w:rFonts w:hint="eastAsia" w:ascii="仿宋" w:hAnsi="仿宋" w:eastAsia="仿宋"/>
          <w:b/>
          <w:sz w:val="32"/>
          <w:szCs w:val="32"/>
          <w:lang w:eastAsia="zh-CN"/>
        </w:rPr>
        <w:t>〉</w:t>
      </w:r>
      <w:r>
        <w:rPr>
          <w:rFonts w:hint="eastAsia" w:ascii="仿宋" w:hAnsi="仿宋" w:eastAsia="仿宋"/>
          <w:b/>
          <w:sz w:val="32"/>
          <w:szCs w:val="32"/>
        </w:rPr>
        <w:t>比较，与预算数持平可以不写原因。）</w:t>
      </w:r>
    </w:p>
    <w:p w14:paraId="2781878E">
      <w:pPr>
        <w:spacing w:line="600" w:lineRule="exact"/>
        <w:ind w:firstLine="640"/>
        <w:rPr>
          <w:rFonts w:ascii="仿宋" w:hAnsi="仿宋" w:eastAsia="仿宋"/>
          <w:b/>
          <w:sz w:val="32"/>
          <w:szCs w:val="32"/>
        </w:rPr>
      </w:pPr>
    </w:p>
    <w:p w14:paraId="171C7499">
      <w:pPr>
        <w:tabs>
          <w:tab w:val="right" w:pos="8306"/>
        </w:tabs>
        <w:spacing w:line="600" w:lineRule="exact"/>
        <w:ind w:firstLine="640"/>
        <w:outlineLvl w:val="1"/>
        <w:rPr>
          <w:rStyle w:val="29"/>
        </w:rPr>
      </w:pPr>
      <w:bookmarkStart w:id="64" w:name="_Toc15396608"/>
      <w:bookmarkStart w:id="65" w:name="_Toc12711"/>
      <w:bookmarkStart w:id="66" w:name="_Toc15377214"/>
      <w:r>
        <w:rPr>
          <w:rFonts w:hint="eastAsia" w:ascii="黑体" w:eastAsia="黑体"/>
          <w:sz w:val="32"/>
          <w:szCs w:val="32"/>
          <w:highlight w:val="none"/>
        </w:rPr>
        <w:t>六</w:t>
      </w:r>
      <w:r>
        <w:rPr>
          <w:rFonts w:hint="eastAsia" w:ascii="黑体" w:eastAsia="黑体"/>
          <w:b/>
          <w:sz w:val="32"/>
          <w:szCs w:val="32"/>
          <w:highlight w:val="none"/>
        </w:rPr>
        <w:t>、</w:t>
      </w:r>
      <w:r>
        <w:rPr>
          <w:rFonts w:hint="eastAsia" w:ascii="黑体" w:hAnsi="黑体" w:eastAsia="黑体"/>
          <w:b/>
          <w:sz w:val="32"/>
          <w:szCs w:val="32"/>
          <w:highlight w:val="none"/>
        </w:rPr>
        <w:t>一</w:t>
      </w:r>
      <w:r>
        <w:rPr>
          <w:rStyle w:val="29"/>
          <w:rFonts w:hint="eastAsia" w:ascii="黑体" w:hAnsi="黑体" w:eastAsia="黑体"/>
          <w:b w:val="0"/>
          <w:highlight w:val="none"/>
        </w:rPr>
        <w:t>般</w:t>
      </w:r>
      <w:r>
        <w:rPr>
          <w:rStyle w:val="29"/>
          <w:rFonts w:hint="eastAsia" w:ascii="黑体" w:hAnsi="黑体" w:eastAsia="黑体"/>
          <w:b w:val="0"/>
        </w:rPr>
        <w:t>公共预算财政拨款基本支出决算情况说明</w:t>
      </w:r>
      <w:bookmarkEnd w:id="64"/>
      <w:bookmarkEnd w:id="65"/>
      <w:bookmarkEnd w:id="66"/>
      <w:r>
        <w:rPr>
          <w:rStyle w:val="29"/>
          <w:rFonts w:ascii="黑体" w:hAnsi="黑体" w:eastAsia="黑体"/>
          <w:b w:val="0"/>
        </w:rPr>
        <w:tab/>
      </w:r>
    </w:p>
    <w:p w14:paraId="3EA0F189">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1448.62</w:t>
      </w:r>
      <w:r>
        <w:rPr>
          <w:rFonts w:hint="eastAsia" w:ascii="仿宋" w:hAnsi="仿宋" w:eastAsia="仿宋"/>
          <w:sz w:val="32"/>
          <w:szCs w:val="32"/>
        </w:rPr>
        <w:t>万元，其中：</w:t>
      </w:r>
    </w:p>
    <w:p w14:paraId="71809FF5">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w:t>
      </w:r>
      <w:r>
        <w:rPr>
          <w:rFonts w:ascii="仿宋" w:hAnsi="仿宋" w:eastAsia="仿宋"/>
          <w:b/>
          <w:sz w:val="32"/>
          <w:szCs w:val="32"/>
        </w:rPr>
        <w:t>1435.37</w:t>
      </w:r>
      <w:r>
        <w:rPr>
          <w:rFonts w:hint="eastAsia" w:ascii="仿宋" w:hAnsi="仿宋" w:eastAsia="仿宋"/>
          <w:sz w:val="32"/>
          <w:szCs w:val="32"/>
        </w:rPr>
        <w:t>万元，主要包括：基本工资</w:t>
      </w:r>
      <w:r>
        <w:rPr>
          <w:rFonts w:hint="eastAsia" w:ascii="仿宋" w:hAnsi="仿宋" w:eastAsia="仿宋"/>
          <w:sz w:val="32"/>
          <w:szCs w:val="32"/>
          <w:lang w:val="en-US" w:eastAsia="zh-CN"/>
        </w:rPr>
        <w:t>259.51万元</w:t>
      </w:r>
      <w:r>
        <w:rPr>
          <w:rFonts w:hint="eastAsia" w:ascii="仿宋" w:hAnsi="仿宋" w:eastAsia="仿宋"/>
          <w:sz w:val="32"/>
          <w:szCs w:val="32"/>
        </w:rPr>
        <w:t>、津贴补贴</w:t>
      </w:r>
      <w:r>
        <w:rPr>
          <w:rFonts w:hint="eastAsia" w:ascii="仿宋" w:hAnsi="仿宋" w:eastAsia="仿宋"/>
          <w:sz w:val="32"/>
          <w:szCs w:val="32"/>
          <w:lang w:val="en-US" w:eastAsia="zh-CN"/>
        </w:rPr>
        <w:t>216.18万元</w:t>
      </w:r>
      <w:r>
        <w:rPr>
          <w:rFonts w:hint="eastAsia" w:ascii="仿宋" w:hAnsi="仿宋" w:eastAsia="仿宋"/>
          <w:sz w:val="32"/>
          <w:szCs w:val="32"/>
        </w:rPr>
        <w:t>、奖金</w:t>
      </w:r>
      <w:r>
        <w:rPr>
          <w:rFonts w:hint="eastAsia" w:ascii="仿宋" w:hAnsi="仿宋" w:eastAsia="仿宋"/>
          <w:sz w:val="32"/>
          <w:szCs w:val="32"/>
          <w:lang w:val="en-US" w:eastAsia="zh-CN"/>
        </w:rPr>
        <w:t>337.55万元</w:t>
      </w:r>
      <w:r>
        <w:rPr>
          <w:rFonts w:hint="eastAsia" w:ascii="仿宋" w:hAnsi="仿宋" w:eastAsia="仿宋"/>
          <w:sz w:val="32"/>
          <w:szCs w:val="32"/>
        </w:rPr>
        <w:t>、伙食补助费、绩效工资</w:t>
      </w:r>
      <w:r>
        <w:rPr>
          <w:rFonts w:hint="eastAsia" w:ascii="仿宋" w:hAnsi="仿宋" w:eastAsia="仿宋"/>
          <w:sz w:val="32"/>
          <w:szCs w:val="32"/>
          <w:lang w:val="en-US" w:eastAsia="zh-CN"/>
        </w:rPr>
        <w:t>229.14万元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132.51万元</w:t>
      </w:r>
      <w:r>
        <w:rPr>
          <w:rFonts w:hint="eastAsia" w:ascii="仿宋" w:hAnsi="仿宋" w:eastAsia="仿宋"/>
          <w:sz w:val="32"/>
          <w:szCs w:val="32"/>
        </w:rPr>
        <w:t>、职业年金缴费</w:t>
      </w:r>
      <w:r>
        <w:rPr>
          <w:rFonts w:hint="eastAsia" w:ascii="仿宋" w:hAnsi="仿宋" w:eastAsia="仿宋"/>
          <w:sz w:val="32"/>
          <w:szCs w:val="32"/>
          <w:lang w:val="en-US" w:eastAsia="zh-CN"/>
        </w:rPr>
        <w:t>64.59万元</w:t>
      </w:r>
      <w:r>
        <w:rPr>
          <w:rFonts w:hint="eastAsia" w:ascii="仿宋" w:hAnsi="仿宋" w:eastAsia="仿宋"/>
          <w:sz w:val="32"/>
          <w:szCs w:val="32"/>
        </w:rPr>
        <w:t>、其他社会保障缴费</w:t>
      </w:r>
      <w:r>
        <w:rPr>
          <w:rFonts w:hint="eastAsia" w:ascii="仿宋" w:hAnsi="仿宋" w:eastAsia="仿宋"/>
          <w:sz w:val="32"/>
          <w:szCs w:val="32"/>
          <w:lang w:val="en-US" w:eastAsia="zh-CN"/>
        </w:rPr>
        <w:t>82.31万元</w:t>
      </w:r>
      <w:r>
        <w:rPr>
          <w:rFonts w:hint="eastAsia" w:ascii="仿宋" w:hAnsi="仿宋" w:eastAsia="仿宋"/>
          <w:sz w:val="32"/>
          <w:szCs w:val="32"/>
        </w:rPr>
        <w:t>、其他工资福利支出、离休费、退休费、抚恤金、生活补助、医疗费补助、奖励金、住房公积金</w:t>
      </w:r>
      <w:r>
        <w:rPr>
          <w:rFonts w:hint="eastAsia" w:ascii="仿宋" w:hAnsi="仿宋" w:eastAsia="仿宋"/>
          <w:sz w:val="32"/>
          <w:szCs w:val="32"/>
          <w:lang w:val="en-US" w:eastAsia="zh-CN"/>
        </w:rPr>
        <w:t>112.62万元</w:t>
      </w:r>
      <w:r>
        <w:rPr>
          <w:rFonts w:hint="eastAsia" w:ascii="仿宋" w:hAnsi="仿宋" w:eastAsia="仿宋"/>
          <w:sz w:val="32"/>
          <w:szCs w:val="32"/>
        </w:rPr>
        <w:t>、其他对个人和家庭的补助支出等。</w:t>
      </w:r>
    </w:p>
    <w:p w14:paraId="42C64EE0">
      <w:pPr>
        <w:spacing w:line="600" w:lineRule="exact"/>
        <w:ind w:firstLine="320" w:firstLineChars="100"/>
        <w:rPr>
          <w:rFonts w:hint="eastAsia" w:ascii="仿宋" w:hAnsi="仿宋" w:eastAsia="仿宋"/>
          <w:sz w:val="32"/>
          <w:szCs w:val="32"/>
        </w:rPr>
      </w:pPr>
      <w:r>
        <w:rPr>
          <w:rFonts w:hint="eastAsia" w:ascii="仿宋" w:hAnsi="仿宋" w:eastAsia="仿宋"/>
          <w:sz w:val="32"/>
          <w:szCs w:val="32"/>
        </w:rPr>
        <w:t>　公用经费</w:t>
      </w:r>
      <w:r>
        <w:rPr>
          <w:rFonts w:ascii="仿宋" w:hAnsi="仿宋" w:eastAsia="仿宋"/>
          <w:b/>
          <w:sz w:val="32"/>
          <w:szCs w:val="32"/>
        </w:rPr>
        <w:t>13.24</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2AF2A476">
      <w:pPr>
        <w:pStyle w:val="12"/>
        <w:rPr>
          <w:rFonts w:hint="default" w:eastAsia="仿宋"/>
          <w:lang w:val="en-US" w:eastAsia="zh-CN"/>
        </w:rPr>
      </w:pPr>
      <w:r>
        <w:rPr>
          <w:rFonts w:hint="eastAsia" w:ascii="仿宋" w:hAnsi="仿宋" w:eastAsia="仿宋"/>
          <w:sz w:val="32"/>
          <w:szCs w:val="32"/>
          <w:lang w:val="en-US" w:eastAsia="zh-CN"/>
        </w:rPr>
        <w:t>对个人和家庭补助</w:t>
      </w:r>
      <w:r>
        <w:rPr>
          <w:rFonts w:hint="eastAsia" w:ascii="仿宋" w:hAnsi="仿宋" w:eastAsia="仿宋"/>
          <w:b/>
          <w:bCs/>
          <w:sz w:val="32"/>
          <w:szCs w:val="32"/>
          <w:lang w:val="en-US" w:eastAsia="zh-CN"/>
        </w:rPr>
        <w:t>9.58</w:t>
      </w:r>
      <w:r>
        <w:rPr>
          <w:rFonts w:hint="eastAsia" w:ascii="仿宋" w:hAnsi="仿宋" w:eastAsia="仿宋"/>
          <w:sz w:val="32"/>
          <w:szCs w:val="32"/>
          <w:lang w:val="en-US" w:eastAsia="zh-CN"/>
        </w:rPr>
        <w:t>万元。</w:t>
      </w:r>
    </w:p>
    <w:p w14:paraId="4209045E">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0AA9955D">
      <w:pPr>
        <w:spacing w:line="600" w:lineRule="exact"/>
        <w:ind w:firstLine="640"/>
        <w:outlineLvl w:val="1"/>
        <w:rPr>
          <w:rStyle w:val="29"/>
          <w:rFonts w:ascii="黑体" w:hAnsi="黑体" w:eastAsia="黑体"/>
          <w:b w:val="0"/>
        </w:rPr>
      </w:pPr>
      <w:bookmarkStart w:id="67" w:name="_Toc15396609"/>
      <w:bookmarkStart w:id="68" w:name="_Toc15377215"/>
      <w:bookmarkStart w:id="69" w:name="_Toc11219"/>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67"/>
      <w:bookmarkEnd w:id="68"/>
      <w:bookmarkEnd w:id="69"/>
    </w:p>
    <w:p w14:paraId="46FDC4E8">
      <w:pPr>
        <w:spacing w:line="600" w:lineRule="exact"/>
        <w:ind w:firstLine="640"/>
        <w:outlineLvl w:val="2"/>
        <w:rPr>
          <w:rFonts w:ascii="仿宋" w:hAnsi="仿宋" w:eastAsia="仿宋"/>
          <w:b/>
          <w:sz w:val="32"/>
          <w:szCs w:val="32"/>
        </w:rPr>
      </w:pPr>
      <w:bookmarkStart w:id="70" w:name="_Toc15377216"/>
      <w:bookmarkStart w:id="71" w:name="_Toc12214"/>
      <w:r>
        <w:rPr>
          <w:rFonts w:hint="eastAsia" w:ascii="仿宋" w:hAnsi="仿宋" w:eastAsia="仿宋"/>
          <w:b/>
          <w:sz w:val="32"/>
          <w:szCs w:val="32"/>
        </w:rPr>
        <w:t>（一）“三公”经费财政拨款支出决算总体情况说明</w:t>
      </w:r>
      <w:bookmarkEnd w:id="70"/>
      <w:bookmarkEnd w:id="71"/>
    </w:p>
    <w:p w14:paraId="62AE56E1">
      <w:pPr>
        <w:spacing w:line="600" w:lineRule="exact"/>
        <w:ind w:firstLine="640"/>
        <w:rPr>
          <w:rFonts w:ascii="仿宋" w:hAnsi="仿宋" w:eastAsia="仿宋"/>
          <w:b/>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b/>
          <w:sz w:val="32"/>
          <w:szCs w:val="32"/>
        </w:rPr>
        <w:t>（注：上述“预算”口径为全年预算数，包括一般公共预算和政府性基金预算财政拨款支出决算情况。）</w:t>
      </w:r>
    </w:p>
    <w:p w14:paraId="53BD41AD">
      <w:pPr>
        <w:spacing w:line="600" w:lineRule="exact"/>
        <w:ind w:firstLine="640"/>
        <w:outlineLvl w:val="2"/>
        <w:rPr>
          <w:rFonts w:ascii="仿宋" w:hAnsi="仿宋" w:eastAsia="仿宋"/>
          <w:b/>
          <w:sz w:val="32"/>
          <w:szCs w:val="32"/>
        </w:rPr>
      </w:pPr>
      <w:bookmarkStart w:id="72" w:name="_Toc23819"/>
      <w:bookmarkStart w:id="73" w:name="_Toc15377217"/>
      <w:r>
        <w:rPr>
          <w:rFonts w:hint="eastAsia" w:ascii="仿宋" w:hAnsi="仿宋" w:eastAsia="仿宋"/>
          <w:b/>
          <w:sz w:val="32"/>
          <w:szCs w:val="32"/>
        </w:rPr>
        <w:t>（二）“三公”经费财政拨款支出决算具体情况说明</w:t>
      </w:r>
      <w:bookmarkEnd w:id="72"/>
      <w:bookmarkEnd w:id="73"/>
    </w:p>
    <w:p w14:paraId="7400444B">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577A719F">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74D84765">
      <w:pPr>
        <w:pStyle w:val="12"/>
      </w:pPr>
      <w:r>
        <w:drawing>
          <wp:inline distT="0" distB="0" distL="114300" distR="114300">
            <wp:extent cx="4881880" cy="3255645"/>
            <wp:effectExtent l="4445" t="4445" r="9525" b="16510"/>
            <wp:docPr id="19"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71E9CD6">
      <w:pPr>
        <w:spacing w:line="600" w:lineRule="exact"/>
        <w:ind w:firstLine="640"/>
        <w:rPr>
          <w:rFonts w:ascii="仿宋_GB2312" w:eastAsia="仿宋_GB2312"/>
          <w:b/>
          <w:sz w:val="32"/>
          <w:szCs w:val="32"/>
        </w:rPr>
      </w:pPr>
      <w:bookmarkStart w:id="74" w:name="_Toc15396610"/>
      <w:bookmarkStart w:id="75"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2737B4F9">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5AE9619D">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101E840D">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（具体工作）等所需的公务用车燃料费、维修费、过路过桥费、保险费等支出。</w:t>
      </w:r>
    </w:p>
    <w:p w14:paraId="170F7BD3">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w:t>
      </w:r>
    </w:p>
    <w:p w14:paraId="048A1BF7">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w:t>
      </w:r>
      <w:r>
        <w:rPr>
          <w:rFonts w:hint="eastAsia" w:ascii="仿宋_GB2312" w:eastAsia="仿宋_GB2312"/>
          <w:sz w:val="32"/>
          <w:szCs w:val="32"/>
          <w:lang w:eastAsia="zh-CN"/>
        </w:rPr>
        <w:t>（</w:t>
      </w:r>
      <w:r>
        <w:rPr>
          <w:rFonts w:hint="eastAsia" w:ascii="仿宋_GB2312" w:eastAsia="仿宋_GB2312"/>
          <w:sz w:val="32"/>
          <w:szCs w:val="32"/>
        </w:rPr>
        <w:t>执行公务、开展业务活动开支的交通费、住宿费、用餐费等</w:t>
      </w:r>
      <w:r>
        <w:rPr>
          <w:rFonts w:hint="eastAsia" w:ascii="仿宋_GB2312" w:eastAsia="仿宋_GB2312"/>
          <w:sz w:val="32"/>
          <w:szCs w:val="32"/>
          <w:lang w:eastAsia="zh-CN"/>
        </w:rPr>
        <w:t>）</w:t>
      </w:r>
      <w:r>
        <w:rPr>
          <w:rFonts w:hint="eastAsia" w:ascii="仿宋_GB2312" w:eastAsia="仿宋_GB2312"/>
          <w:sz w:val="32"/>
          <w:szCs w:val="32"/>
        </w:rPr>
        <w:t>。国内公务接待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2190D05A">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03344E58">
      <w:pPr>
        <w:spacing w:line="600" w:lineRule="exact"/>
        <w:ind w:firstLine="640"/>
        <w:outlineLvl w:val="1"/>
        <w:rPr>
          <w:rFonts w:ascii="黑体" w:eastAsia="黑体"/>
          <w:sz w:val="32"/>
          <w:szCs w:val="32"/>
        </w:rPr>
      </w:pPr>
    </w:p>
    <w:p w14:paraId="1B2F7DDC">
      <w:pPr>
        <w:spacing w:line="600" w:lineRule="exact"/>
        <w:ind w:firstLine="640"/>
        <w:outlineLvl w:val="1"/>
        <w:rPr>
          <w:rStyle w:val="29"/>
          <w:rFonts w:ascii="黑体" w:hAnsi="黑体" w:eastAsia="黑体"/>
        </w:rPr>
      </w:pPr>
      <w:bookmarkStart w:id="76" w:name="_Toc14723"/>
      <w:r>
        <w:rPr>
          <w:rFonts w:hint="eastAsia" w:ascii="黑体" w:eastAsia="黑体"/>
          <w:sz w:val="32"/>
          <w:szCs w:val="32"/>
        </w:rPr>
        <w:t>八、</w:t>
      </w:r>
      <w:r>
        <w:rPr>
          <w:rStyle w:val="29"/>
          <w:rFonts w:hint="eastAsia" w:ascii="黑体" w:hAnsi="黑体" w:eastAsia="黑体"/>
          <w:b w:val="0"/>
        </w:rPr>
        <w:t>政府性基金预算支出决算情况说明</w:t>
      </w:r>
      <w:bookmarkEnd w:id="74"/>
      <w:bookmarkEnd w:id="75"/>
      <w:bookmarkEnd w:id="76"/>
    </w:p>
    <w:p w14:paraId="5090A2EA">
      <w:pPr>
        <w:spacing w:line="600" w:lineRule="exact"/>
        <w:ind w:firstLine="640"/>
        <w:rPr>
          <w:rFonts w:hint="eastAsia"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03E70BF2">
      <w:pPr>
        <w:pStyle w:val="12"/>
        <w:rPr>
          <w:rFonts w:hint="eastAsia" w:ascii="仿宋_GB2312" w:eastAsia="仿宋_GB2312"/>
          <w:sz w:val="32"/>
          <w:szCs w:val="32"/>
        </w:rPr>
      </w:pPr>
    </w:p>
    <w:p w14:paraId="2C1D2863"/>
    <w:p w14:paraId="47425AD9">
      <w:pPr>
        <w:pStyle w:val="12"/>
      </w:pPr>
    </w:p>
    <w:p w14:paraId="6FB79378"/>
    <w:p w14:paraId="5FC4475B">
      <w:pPr>
        <w:numPr>
          <w:ilvl w:val="0"/>
          <w:numId w:val="4"/>
        </w:numPr>
        <w:spacing w:line="600" w:lineRule="exact"/>
        <w:ind w:firstLine="640"/>
        <w:outlineLvl w:val="1"/>
        <w:rPr>
          <w:rStyle w:val="29"/>
          <w:rFonts w:ascii="黑体" w:hAnsi="黑体" w:eastAsia="黑体"/>
          <w:b w:val="0"/>
        </w:rPr>
      </w:pPr>
      <w:bookmarkStart w:id="77" w:name="_Toc15377219"/>
      <w:bookmarkStart w:id="78" w:name="_Toc15396611"/>
      <w:bookmarkStart w:id="79" w:name="_Toc2145"/>
      <w:r>
        <w:rPr>
          <w:rStyle w:val="29"/>
          <w:rFonts w:hint="eastAsia" w:ascii="黑体" w:hAnsi="黑体" w:eastAsia="黑体"/>
          <w:b w:val="0"/>
        </w:rPr>
        <w:t>国有资本经营预算支出决算情况说明</w:t>
      </w:r>
      <w:bookmarkEnd w:id="77"/>
      <w:bookmarkEnd w:id="78"/>
      <w:bookmarkEnd w:id="79"/>
    </w:p>
    <w:p w14:paraId="519D377D">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315D2F38">
      <w:pPr>
        <w:spacing w:line="580" w:lineRule="exact"/>
        <w:jc w:val="center"/>
        <w:rPr>
          <w:rFonts w:ascii="方正小标宋简体" w:hAnsi="方正小标宋简体" w:eastAsia="方正小标宋简体" w:cs="方正小标宋简体"/>
          <w:sz w:val="44"/>
          <w:szCs w:val="44"/>
        </w:rPr>
      </w:pPr>
    </w:p>
    <w:p w14:paraId="6753E9A2">
      <w:pPr>
        <w:numPr>
          <w:ilvl w:val="0"/>
          <w:numId w:val="4"/>
        </w:numPr>
        <w:spacing w:line="600" w:lineRule="exact"/>
        <w:ind w:firstLine="640"/>
        <w:outlineLvl w:val="1"/>
        <w:rPr>
          <w:rStyle w:val="29"/>
          <w:rFonts w:ascii="黑体" w:hAnsi="黑体" w:eastAsia="黑体"/>
          <w:b w:val="0"/>
        </w:rPr>
      </w:pPr>
      <w:bookmarkStart w:id="80" w:name="_Toc15377221"/>
      <w:bookmarkStart w:id="81" w:name="_Toc15396612"/>
      <w:bookmarkStart w:id="82" w:name="_Toc31205"/>
      <w:r>
        <w:rPr>
          <w:rStyle w:val="29"/>
          <w:rFonts w:hint="eastAsia" w:ascii="黑体" w:hAnsi="黑体" w:eastAsia="黑体"/>
          <w:b w:val="0"/>
        </w:rPr>
        <w:t>其他重要事项的情况说明</w:t>
      </w:r>
      <w:bookmarkEnd w:id="80"/>
      <w:bookmarkEnd w:id="81"/>
      <w:bookmarkEnd w:id="82"/>
    </w:p>
    <w:p w14:paraId="7C79ED26">
      <w:pPr>
        <w:spacing w:line="600" w:lineRule="exact"/>
        <w:ind w:firstLine="643" w:firstLineChars="200"/>
        <w:outlineLvl w:val="2"/>
        <w:rPr>
          <w:rFonts w:ascii="仿宋" w:hAnsi="仿宋" w:eastAsia="仿宋"/>
          <w:sz w:val="32"/>
          <w:szCs w:val="32"/>
        </w:rPr>
      </w:pPr>
      <w:bookmarkStart w:id="83" w:name="_Toc15377222"/>
      <w:bookmarkStart w:id="84" w:name="_Toc10799"/>
      <w:r>
        <w:rPr>
          <w:rFonts w:hint="eastAsia" w:ascii="仿宋" w:hAnsi="仿宋" w:eastAsia="仿宋"/>
          <w:b/>
          <w:sz w:val="32"/>
          <w:szCs w:val="32"/>
        </w:rPr>
        <w:t>（一）机关运行经费支出情况</w:t>
      </w:r>
      <w:bookmarkEnd w:id="83"/>
      <w:bookmarkEnd w:id="84"/>
    </w:p>
    <w:p w14:paraId="00D7BC10">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阿坝州松潘县中藏医院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（或与2022年度决算数持平）。</w:t>
      </w:r>
    </w:p>
    <w:p w14:paraId="380A7FDD">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7479B970">
      <w:pPr>
        <w:autoSpaceDE w:val="0"/>
        <w:autoSpaceDN w:val="0"/>
        <w:adjustRightInd w:val="0"/>
        <w:spacing w:line="600" w:lineRule="exact"/>
        <w:ind w:firstLine="643" w:firstLineChars="200"/>
        <w:jc w:val="left"/>
        <w:outlineLvl w:val="2"/>
        <w:rPr>
          <w:rFonts w:ascii="仿宋" w:hAnsi="仿宋" w:eastAsia="仿宋"/>
          <w:b/>
          <w:sz w:val="32"/>
          <w:szCs w:val="32"/>
        </w:rPr>
      </w:pPr>
      <w:bookmarkStart w:id="85" w:name="_Toc27969"/>
      <w:bookmarkStart w:id="86" w:name="_Toc15377223"/>
      <w:r>
        <w:rPr>
          <w:rFonts w:hint="eastAsia" w:ascii="仿宋" w:hAnsi="仿宋" w:eastAsia="仿宋"/>
          <w:b/>
          <w:sz w:val="32"/>
          <w:szCs w:val="32"/>
        </w:rPr>
        <w:t>（二）政府采购支出情况</w:t>
      </w:r>
      <w:bookmarkEnd w:id="85"/>
      <w:bookmarkEnd w:id="86"/>
    </w:p>
    <w:p w14:paraId="3A515984">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阿坝州松潘县中藏医院</w:t>
      </w:r>
      <w:r>
        <w:rPr>
          <w:rFonts w:hint="eastAsia" w:ascii="仿宋_GB2312" w:eastAsia="仿宋_GB2312"/>
          <w:sz w:val="32"/>
          <w:szCs w:val="32"/>
        </w:rPr>
        <w:t>政府采购支出总额</w:t>
      </w:r>
      <w:r>
        <w:rPr>
          <w:rFonts w:ascii="仿宋" w:hAnsi="仿宋" w:eastAsia="仿宋"/>
          <w:b/>
          <w:sz w:val="32"/>
          <w:szCs w:val="32"/>
        </w:rPr>
        <w:t>118</w:t>
      </w:r>
      <w:r>
        <w:rPr>
          <w:rFonts w:hint="eastAsia" w:ascii="仿宋_GB2312" w:eastAsia="仿宋_GB2312"/>
          <w:sz w:val="32"/>
          <w:szCs w:val="32"/>
        </w:rPr>
        <w:t>万元，其中：政府采购货物支出</w:t>
      </w:r>
      <w:r>
        <w:rPr>
          <w:rFonts w:ascii="仿宋" w:hAnsi="仿宋" w:eastAsia="仿宋"/>
          <w:b/>
          <w:sz w:val="32"/>
          <w:szCs w:val="32"/>
        </w:rPr>
        <w:t>118</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6EADE088">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CBC111A">
      <w:pPr>
        <w:autoSpaceDE w:val="0"/>
        <w:autoSpaceDN w:val="0"/>
        <w:adjustRightInd w:val="0"/>
        <w:spacing w:line="600" w:lineRule="exact"/>
        <w:ind w:firstLine="643" w:firstLineChars="200"/>
        <w:jc w:val="left"/>
        <w:outlineLvl w:val="2"/>
        <w:rPr>
          <w:rFonts w:ascii="仿宋" w:hAnsi="仿宋" w:eastAsia="仿宋"/>
          <w:b/>
          <w:sz w:val="32"/>
          <w:szCs w:val="32"/>
        </w:rPr>
      </w:pPr>
      <w:bookmarkStart w:id="87" w:name="_Toc16623"/>
      <w:bookmarkStart w:id="88" w:name="_Toc15377224"/>
      <w:r>
        <w:rPr>
          <w:rFonts w:hint="eastAsia" w:ascii="仿宋" w:hAnsi="仿宋" w:eastAsia="仿宋"/>
          <w:b/>
          <w:sz w:val="32"/>
          <w:szCs w:val="32"/>
        </w:rPr>
        <w:t>（三）国有资产占有使用情况</w:t>
      </w:r>
      <w:bookmarkEnd w:id="87"/>
      <w:bookmarkEnd w:id="88"/>
    </w:p>
    <w:p w14:paraId="27625D38">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阿坝州松潘县中藏医院</w:t>
      </w:r>
      <w:r>
        <w:rPr>
          <w:rFonts w:hint="eastAsia" w:ascii="仿宋_GB2312" w:eastAsia="仿宋_GB2312"/>
          <w:sz w:val="32"/>
          <w:szCs w:val="32"/>
        </w:rPr>
        <w:t>共有车辆</w:t>
      </w:r>
      <w:r>
        <w:rPr>
          <w:rFonts w:hint="eastAsia" w:ascii="仿宋_GB2312" w:eastAsia="仿宋_GB2312"/>
          <w:b/>
          <w:sz w:val="32"/>
          <w:szCs w:val="32"/>
        </w:rPr>
        <w:t>6</w:t>
      </w:r>
      <w:r>
        <w:rPr>
          <w:rFonts w:hint="eastAsia" w:ascii="仿宋_GB2312" w:eastAsia="仿宋_GB2312"/>
          <w:sz w:val="32"/>
          <w:szCs w:val="32"/>
        </w:rPr>
        <w:t>辆，其中：主要领导干部用车</w:t>
      </w:r>
      <w:r>
        <w:rPr>
          <w:rFonts w:hint="eastAsia" w:ascii="仿宋_GB2312" w:eastAsia="仿宋_GB2312"/>
          <w:sz w:val="32"/>
          <w:szCs w:val="32"/>
          <w:lang w:eastAsia="zh-CN"/>
        </w:rPr>
        <w:t>0</w:t>
      </w:r>
      <w:r>
        <w:rPr>
          <w:rFonts w:hint="eastAsia" w:ascii="仿宋_GB2312" w:eastAsia="仿宋_GB2312"/>
          <w:sz w:val="32"/>
          <w:szCs w:val="32"/>
        </w:rPr>
        <w:t>辆、机要通信用车</w:t>
      </w:r>
      <w:r>
        <w:rPr>
          <w:rFonts w:hint="eastAsia" w:ascii="仿宋_GB2312" w:eastAsia="仿宋_GB2312"/>
          <w:sz w:val="32"/>
          <w:szCs w:val="32"/>
          <w:lang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5</w:t>
      </w:r>
      <w:r>
        <w:rPr>
          <w:rFonts w:hint="eastAsia" w:ascii="仿宋_GB2312" w:eastAsia="仿宋_GB2312"/>
          <w:sz w:val="32"/>
          <w:szCs w:val="32"/>
        </w:rPr>
        <w:t>辆、其他用车</w:t>
      </w:r>
      <w:r>
        <w:rPr>
          <w:rFonts w:hint="eastAsia" w:ascii="仿宋_GB2312" w:eastAsia="仿宋_GB2312"/>
          <w:sz w:val="32"/>
          <w:szCs w:val="32"/>
          <w:lang w:val="en-US" w:eastAsia="zh-CN"/>
        </w:rPr>
        <w:t>1</w:t>
      </w:r>
      <w:r>
        <w:rPr>
          <w:rFonts w:hint="eastAsia" w:ascii="仿宋_GB2312" w:eastAsia="仿宋_GB2312"/>
          <w:sz w:val="32"/>
          <w:szCs w:val="32"/>
        </w:rPr>
        <w:t>辆，其他用车主要是用于</w:t>
      </w:r>
      <w:r>
        <w:rPr>
          <w:rFonts w:hint="eastAsia" w:ascii="仿宋_GB2312" w:eastAsia="仿宋_GB2312"/>
          <w:sz w:val="32"/>
          <w:szCs w:val="32"/>
          <w:lang w:val="en-US" w:eastAsia="zh-CN"/>
        </w:rPr>
        <w:t>老年人体检下乡</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54A3C908">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0F8E84DD">
      <w:pPr>
        <w:autoSpaceDE w:val="0"/>
        <w:autoSpaceDN w:val="0"/>
        <w:adjustRightInd w:val="0"/>
        <w:spacing w:line="600" w:lineRule="exact"/>
        <w:ind w:firstLine="643" w:firstLineChars="200"/>
        <w:jc w:val="left"/>
        <w:outlineLvl w:val="2"/>
        <w:rPr>
          <w:rFonts w:ascii="仿宋" w:hAnsi="仿宋" w:eastAsia="仿宋"/>
          <w:b/>
          <w:sz w:val="32"/>
          <w:szCs w:val="32"/>
        </w:rPr>
      </w:pPr>
      <w:bookmarkStart w:id="89" w:name="_Toc25894"/>
      <w:r>
        <w:rPr>
          <w:rFonts w:hint="eastAsia" w:ascii="仿宋" w:hAnsi="仿宋" w:eastAsia="仿宋"/>
          <w:b/>
          <w:sz w:val="32"/>
          <w:szCs w:val="32"/>
        </w:rPr>
        <w:t>（四）预算绩效管理情况</w:t>
      </w:r>
      <w:bookmarkEnd w:id="89"/>
    </w:p>
    <w:p w14:paraId="2A5C83B6">
      <w:pPr>
        <w:tabs>
          <w:tab w:val="left" w:pos="2520"/>
        </w:tabs>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hAnsi="Times New Roman" w:eastAsia="仿宋_GB2312" w:cs="Times New Roman"/>
          <w:color w:val="000000"/>
          <w:kern w:val="2"/>
          <w:sz w:val="32"/>
          <w:szCs w:val="32"/>
          <w:lang w:val="en-US" w:eastAsia="zh-CN" w:bidi="ar-SA"/>
        </w:rPr>
        <w:t>松潘县医疗服务与保障能力提升（公立医院改革）项目</w:t>
      </w:r>
      <w:r>
        <w:rPr>
          <w:rFonts w:hint="eastAsia" w:ascii="仿宋_GB2312" w:eastAsia="仿宋_GB2312" w:cs="Times New Roman"/>
          <w:color w:val="000000"/>
          <w:kern w:val="2"/>
          <w:sz w:val="32"/>
          <w:szCs w:val="32"/>
          <w:lang w:val="en-US" w:eastAsia="zh-CN" w:bidi="ar-SA"/>
        </w:rPr>
        <w:t>、基本公共卫生服务（其他并入公共卫生服务）、职工周转房装修、松潘县中藏医院彩超设备采购项目</w:t>
      </w:r>
      <w:r>
        <w:rPr>
          <w:rFonts w:hint="eastAsia" w:ascii="仿宋_GB2312" w:eastAsia="仿宋_GB2312"/>
          <w:sz w:val="32"/>
          <w:szCs w:val="32"/>
          <w:lang w:val="en-US" w:eastAsia="zh-CN"/>
        </w:rPr>
        <w:t>4</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4</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4</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4</w:t>
      </w:r>
      <w:r>
        <w:rPr>
          <w:rFonts w:hint="eastAsia" w:ascii="仿宋_GB2312" w:eastAsia="仿宋_GB2312"/>
          <w:sz w:val="32"/>
          <w:szCs w:val="32"/>
        </w:rPr>
        <w:t>个项目开展绩效自评，绩效自评表详见第四部分附件。</w:t>
      </w:r>
    </w:p>
    <w:p w14:paraId="5D5DFD45">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5B7FBB5E">
      <w:pPr>
        <w:numPr>
          <w:ilvl w:val="0"/>
          <w:numId w:val="5"/>
        </w:numPr>
        <w:spacing w:line="600" w:lineRule="exact"/>
        <w:ind w:firstLine="660" w:firstLineChars="150"/>
        <w:jc w:val="center"/>
        <w:outlineLvl w:val="0"/>
        <w:rPr>
          <w:rStyle w:val="28"/>
          <w:rFonts w:ascii="黑体" w:hAnsi="黑体" w:eastAsia="黑体"/>
          <w:b w:val="0"/>
        </w:rPr>
      </w:pPr>
      <w:bookmarkStart w:id="90" w:name="_Toc15377225"/>
      <w:bookmarkStart w:id="91" w:name="_Toc30957"/>
      <w:bookmarkStart w:id="92" w:name="_Toc15396613"/>
      <w:r>
        <w:rPr>
          <w:rFonts w:hint="eastAsia" w:ascii="黑体" w:hAnsi="黑体" w:eastAsia="黑体"/>
          <w:sz w:val="44"/>
          <w:szCs w:val="44"/>
        </w:rPr>
        <w:t>名</w:t>
      </w:r>
      <w:r>
        <w:rPr>
          <w:rStyle w:val="28"/>
          <w:rFonts w:hint="eastAsia" w:ascii="黑体" w:hAnsi="黑体" w:eastAsia="黑体"/>
          <w:b w:val="0"/>
        </w:rPr>
        <w:t>词解释</w:t>
      </w:r>
      <w:bookmarkEnd w:id="90"/>
      <w:bookmarkEnd w:id="91"/>
      <w:bookmarkEnd w:id="92"/>
    </w:p>
    <w:p w14:paraId="4076998B">
      <w:pPr>
        <w:spacing w:line="600" w:lineRule="exact"/>
        <w:jc w:val="left"/>
        <w:rPr>
          <w:rFonts w:ascii="宋体"/>
          <w:b/>
          <w:sz w:val="44"/>
          <w:szCs w:val="44"/>
        </w:rPr>
      </w:pPr>
    </w:p>
    <w:p w14:paraId="0B37E57A">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68CA7A55">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w:t>
      </w:r>
      <w:r>
        <w:rPr>
          <w:rFonts w:hint="eastAsia" w:ascii="仿宋_GB2312" w:eastAsia="仿宋_GB2312"/>
          <w:color w:val="auto"/>
          <w:sz w:val="32"/>
          <w:szCs w:val="32"/>
          <w:lang w:val="en-US" w:eastAsia="zh-CN"/>
        </w:rPr>
        <w:t>县级医疗机构及乡镇卫生院开展医疗服务收入</w:t>
      </w:r>
      <w:r>
        <w:rPr>
          <w:rFonts w:hint="eastAsia" w:ascii="仿宋_GB2312" w:eastAsia="仿宋_GB2312"/>
          <w:color w:val="auto"/>
          <w:sz w:val="32"/>
          <w:szCs w:val="32"/>
        </w:rPr>
        <w:t>等。</w:t>
      </w:r>
    </w:p>
    <w:p w14:paraId="6B86B6FF">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752B32C0">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14:paraId="3AB93747">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23A7C652">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40A1F3E6">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5DF48F95">
      <w:pPr>
        <w:pStyle w:val="26"/>
        <w:spacing w:line="560" w:lineRule="exact"/>
        <w:ind w:firstLine="640" w:firstLineChars="200"/>
        <w:rPr>
          <w:rFonts w:ascii="仿宋_GB2312" w:eastAsia="仿宋_GB2312"/>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4539ECD9">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9.社会保障和就业（208）行政事业单位养老支出（20805）机关事业单位养老保险费支出（2080505）： 反映机关事业单位实施养老保险制度由单位缴纳的基本养老保险费支出。3.社会保障和就业（208）行政事业单位养老支出（20805）机关事业单位职业年金缴费支出（2080506）：反映机关事业单位实施养老保险制度由单位实际缴纳的职业年金支出。</w:t>
      </w:r>
    </w:p>
    <w:p w14:paraId="21D46064">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10.卫生健康支出（210）公立医院（21002）中医（民族）医院支出（2100202）：指用于单位保障人员支出、对个人和家庭的补助支出，以及保障机构正常运行、开展日常工作的基本支出。</w:t>
      </w:r>
    </w:p>
    <w:p w14:paraId="1ECCB26A">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11.卫生健康支出（210）公立医院（21002）其他基层医疗卫生机构支出（2100399）：指专用材料费、专用设备购置支出。</w:t>
      </w:r>
    </w:p>
    <w:p w14:paraId="5921E949">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12.卫生健康支出（210）公共卫生（21004）基本公共卫生服务（2100408）：指基本公共卫生服务支出。</w:t>
      </w:r>
    </w:p>
    <w:p w14:paraId="247118B1">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13.卫生健康支出（210）行政事业单位医疗（21011）事业单位医疗（2101102）：反映财政部门安排的事业单位基本医疗保险缴费经费。</w:t>
      </w:r>
    </w:p>
    <w:p w14:paraId="4BA0377A">
      <w:pPr>
        <w:ind w:firstLine="640" w:firstLineChars="200"/>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14.卫生健康支出（210）行政事业单位医疗（21011）其他行政事业单位医疗（2101199）：</w:t>
      </w:r>
      <w:bookmarkStart w:id="93" w:name="OLE_LINK10"/>
      <w:r>
        <w:rPr>
          <w:rFonts w:hint="eastAsia" w:ascii="仿宋" w:hAnsi="仿宋" w:eastAsia="仿宋" w:cs="Times New Roman"/>
          <w:color w:val="000000"/>
          <w:sz w:val="32"/>
          <w:szCs w:val="32"/>
          <w:lang w:val="en-US" w:eastAsia="zh-CN"/>
        </w:rPr>
        <w:t>指单位为职工缴纳的公务员医疗补助经费。</w:t>
      </w:r>
    </w:p>
    <w:bookmarkEnd w:id="93"/>
    <w:p w14:paraId="6A86AB66">
      <w:pPr>
        <w:ind w:firstLine="640" w:firstLineChars="200"/>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15.住房保障支出（221）住房改革支出（22102）住房公积金（2210201）：指单位为职工缴纳的住房公积金单位部分。</w:t>
      </w:r>
    </w:p>
    <w:p w14:paraId="054B9499">
      <w:pPr>
        <w:ind w:firstLine="640" w:firstLineChars="200"/>
        <w:rPr>
          <w:rFonts w:ascii="仿宋_GB2312" w:eastAsia="仿宋_GB2312"/>
          <w:sz w:val="32"/>
          <w:szCs w:val="32"/>
        </w:rPr>
      </w:pPr>
      <w:r>
        <w:rPr>
          <w:rFonts w:hint="eastAsia" w:ascii="仿宋_GB2312" w:eastAsia="仿宋_GB2312"/>
          <w:sz w:val="32"/>
          <w:szCs w:val="32"/>
          <w:lang w:val="en-US" w:eastAsia="zh-CN"/>
        </w:rPr>
        <w:t>16</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14:paraId="554B1D3C">
      <w:pPr>
        <w:ind w:firstLine="640" w:firstLineChars="200"/>
        <w:rPr>
          <w:rFonts w:ascii="仿宋_GB2312" w:eastAsia="仿宋_GB2312"/>
          <w:sz w:val="32"/>
          <w:szCs w:val="32"/>
        </w:rPr>
      </w:pPr>
      <w:r>
        <w:rPr>
          <w:rFonts w:hint="eastAsia" w:ascii="仿宋_GB2312" w:eastAsia="仿宋_GB2312"/>
          <w:sz w:val="32"/>
          <w:szCs w:val="32"/>
          <w:lang w:val="en-US" w:eastAsia="zh-CN"/>
        </w:rPr>
        <w:t>17</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187B00B1">
      <w:pPr>
        <w:ind w:firstLine="640" w:firstLineChars="200"/>
        <w:rPr>
          <w:rFonts w:ascii="仿宋_GB2312" w:eastAsia="仿宋_GB2312"/>
          <w:sz w:val="32"/>
          <w:szCs w:val="32"/>
        </w:rPr>
      </w:pPr>
      <w:r>
        <w:rPr>
          <w:rFonts w:hint="eastAsia" w:ascii="仿宋_GB2312" w:eastAsia="仿宋_GB2312"/>
          <w:sz w:val="32"/>
          <w:szCs w:val="32"/>
          <w:lang w:val="en-US" w:eastAsia="zh-CN"/>
        </w:rPr>
        <w:t>18</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14:paraId="3B573A45">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19</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DFDDC35">
      <w:pPr>
        <w:pStyle w:val="26"/>
        <w:spacing w:line="560" w:lineRule="exact"/>
        <w:ind w:firstLine="640" w:firstLineChars="200"/>
        <w:rPr>
          <w:rFonts w:ascii="仿宋_GB2312" w:eastAsia="仿宋_GB2312" w:cs="黑体"/>
          <w:color w:val="auto"/>
          <w:sz w:val="32"/>
          <w:szCs w:val="32"/>
        </w:rPr>
      </w:pPr>
      <w:r>
        <w:rPr>
          <w:rFonts w:hint="eastAsia" w:ascii="仿宋_GB2312" w:eastAsia="仿宋_GB2312"/>
          <w:color w:val="auto"/>
          <w:sz w:val="32"/>
          <w:szCs w:val="32"/>
          <w:lang w:val="en-US" w:eastAsia="zh-CN"/>
        </w:rPr>
        <w:t>20</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35FDFD">
      <w:pPr>
        <w:spacing w:line="600" w:lineRule="exact"/>
        <w:ind w:firstLine="2640" w:firstLineChars="600"/>
        <w:jc w:val="both"/>
        <w:outlineLvl w:val="0"/>
        <w:rPr>
          <w:rFonts w:hint="eastAsia" w:ascii="黑体" w:hAnsi="黑体" w:eastAsia="黑体"/>
          <w:sz w:val="44"/>
          <w:szCs w:val="44"/>
        </w:rPr>
      </w:pPr>
      <w:bookmarkStart w:id="94" w:name="_Toc25032"/>
      <w:bookmarkStart w:id="95" w:name="_Toc15396614"/>
      <w:bookmarkStart w:id="96" w:name="_Toc15377226"/>
    </w:p>
    <w:p w14:paraId="3BEC1081">
      <w:pPr>
        <w:spacing w:line="600" w:lineRule="exact"/>
        <w:ind w:firstLine="2640" w:firstLineChars="600"/>
        <w:jc w:val="both"/>
        <w:outlineLvl w:val="0"/>
        <w:rPr>
          <w:rFonts w:hint="eastAsia" w:ascii="黑体" w:hAnsi="黑体" w:eastAsia="黑体"/>
          <w:sz w:val="44"/>
          <w:szCs w:val="44"/>
        </w:rPr>
      </w:pPr>
    </w:p>
    <w:p w14:paraId="519E022D">
      <w:pPr>
        <w:spacing w:line="600" w:lineRule="exact"/>
        <w:ind w:firstLine="2640" w:firstLineChars="600"/>
        <w:jc w:val="both"/>
        <w:outlineLvl w:val="0"/>
        <w:rPr>
          <w:rFonts w:hint="eastAsia" w:ascii="黑体" w:hAnsi="黑体" w:eastAsia="黑体"/>
          <w:sz w:val="44"/>
          <w:szCs w:val="44"/>
        </w:rPr>
      </w:pPr>
    </w:p>
    <w:p w14:paraId="2FA65B93">
      <w:pPr>
        <w:spacing w:line="600" w:lineRule="exact"/>
        <w:ind w:firstLine="2640" w:firstLineChars="600"/>
        <w:jc w:val="both"/>
        <w:outlineLvl w:val="0"/>
        <w:rPr>
          <w:rFonts w:hint="eastAsia" w:ascii="黑体" w:hAnsi="黑体" w:eastAsia="黑体"/>
          <w:sz w:val="44"/>
          <w:szCs w:val="44"/>
        </w:rPr>
      </w:pPr>
    </w:p>
    <w:p w14:paraId="723D3B8E">
      <w:pPr>
        <w:spacing w:line="600" w:lineRule="exact"/>
        <w:ind w:firstLine="2640" w:firstLineChars="600"/>
        <w:jc w:val="both"/>
        <w:outlineLvl w:val="0"/>
        <w:rPr>
          <w:rFonts w:hint="eastAsia" w:ascii="黑体" w:hAnsi="黑体" w:eastAsia="黑体"/>
          <w:sz w:val="44"/>
          <w:szCs w:val="44"/>
        </w:rPr>
      </w:pPr>
    </w:p>
    <w:p w14:paraId="0D4F7E4E">
      <w:pPr>
        <w:spacing w:line="600" w:lineRule="exact"/>
        <w:ind w:firstLine="2640" w:firstLineChars="600"/>
        <w:jc w:val="both"/>
        <w:outlineLvl w:val="0"/>
        <w:rPr>
          <w:rFonts w:hint="eastAsia" w:ascii="黑体" w:hAnsi="黑体" w:eastAsia="黑体"/>
          <w:sz w:val="44"/>
          <w:szCs w:val="44"/>
        </w:rPr>
      </w:pPr>
    </w:p>
    <w:p w14:paraId="4CD9C4E9">
      <w:pPr>
        <w:spacing w:line="600" w:lineRule="exact"/>
        <w:ind w:firstLine="2640" w:firstLineChars="600"/>
        <w:jc w:val="both"/>
        <w:outlineLvl w:val="0"/>
        <w:rPr>
          <w:rFonts w:hint="eastAsia" w:ascii="黑体" w:hAnsi="黑体" w:eastAsia="黑体"/>
          <w:sz w:val="44"/>
          <w:szCs w:val="44"/>
        </w:rPr>
      </w:pPr>
    </w:p>
    <w:p w14:paraId="78F32225">
      <w:pPr>
        <w:spacing w:line="600" w:lineRule="exact"/>
        <w:ind w:firstLine="2640" w:firstLineChars="600"/>
        <w:jc w:val="both"/>
        <w:outlineLvl w:val="0"/>
        <w:rPr>
          <w:rStyle w:val="28"/>
          <w:rFonts w:ascii="黑体" w:hAnsi="黑体" w:eastAsia="黑体"/>
          <w:b w:val="0"/>
        </w:rPr>
      </w:pPr>
      <w:r>
        <w:rPr>
          <w:rFonts w:hint="eastAsia" w:ascii="黑体" w:hAnsi="黑体" w:eastAsia="黑体"/>
          <w:sz w:val="44"/>
          <w:szCs w:val="44"/>
        </w:rPr>
        <w:t>第</w:t>
      </w:r>
      <w:r>
        <w:rPr>
          <w:rStyle w:val="28"/>
          <w:rFonts w:hint="eastAsia" w:ascii="黑体" w:hAnsi="黑体" w:eastAsia="黑体"/>
          <w:b w:val="0"/>
        </w:rPr>
        <w:t>四部分 附件</w:t>
      </w:r>
      <w:bookmarkEnd w:id="94"/>
      <w:bookmarkEnd w:id="95"/>
    </w:p>
    <w:p w14:paraId="61F7DC1B">
      <w:pPr>
        <w:spacing w:line="572" w:lineRule="exact"/>
        <w:jc w:val="left"/>
        <w:outlineLvl w:val="0"/>
        <w:rPr>
          <w:rFonts w:ascii="仿宋_GB2312" w:hAnsi="仿宋_GB2312" w:eastAsia="仿宋_GB2312" w:cs="仿宋_GB2312"/>
          <w:sz w:val="32"/>
          <w:szCs w:val="32"/>
        </w:rPr>
      </w:pPr>
    </w:p>
    <w:p w14:paraId="59B2997C">
      <w:pPr>
        <w:spacing w:line="600" w:lineRule="exact"/>
        <w:jc w:val="center"/>
        <w:outlineLvl w:val="0"/>
        <w:rPr>
          <w:rFonts w:ascii="黑体" w:hAnsi="黑体" w:eastAsia="黑体"/>
          <w:color w:val="FF0000"/>
          <w:sz w:val="44"/>
          <w:szCs w:val="44"/>
        </w:rPr>
      </w:pPr>
      <w:bookmarkStart w:id="97" w:name="_Toc2646"/>
      <w:bookmarkStart w:id="98" w:name="_Toc15396618"/>
      <w:r>
        <w:rPr>
          <w:rFonts w:hint="eastAsia"/>
          <w:sz w:val="32"/>
          <w:szCs w:val="32"/>
        </w:rPr>
        <w:t>部</w:t>
      </w:r>
      <w:bookmarkStart w:id="99" w:name="OLE_LINK2"/>
      <w:r>
        <w:rPr>
          <w:rFonts w:hint="eastAsia"/>
          <w:sz w:val="32"/>
          <w:szCs w:val="32"/>
        </w:rPr>
        <w:t>门预算项目支出绩效自评表（2023年度）</w:t>
      </w:r>
      <w:bookmarkEnd w:id="97"/>
    </w:p>
    <w:p w14:paraId="1B0E69C3">
      <w:pPr>
        <w:pStyle w:val="14"/>
        <w:spacing w:line="560" w:lineRule="exact"/>
        <w:ind w:left="0" w:leftChars="0" w:firstLine="640"/>
        <w:rPr>
          <w:sz w:val="32"/>
        </w:rPr>
      </w:pPr>
    </w:p>
    <w:p w14:paraId="58D01597">
      <w:pPr>
        <w:pStyle w:val="14"/>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（备注：按照绩效自评工作安排，各单位可在预算管理一体化系统—综合报表查询—预算绩效报表模块中下载本单位“部门预算项目支出绩效自评表（2023年度）”，该表格应作为附件予以公开。）</w:t>
      </w:r>
    </w:p>
    <w:bookmarkEnd w:id="99"/>
    <w:p w14:paraId="094E974A">
      <w:pPr>
        <w:pStyle w:val="5"/>
        <w:spacing w:before="93"/>
        <w:rPr>
          <w:rFonts w:hAnsi="Calibri" w:cs="仿宋"/>
          <w:sz w:val="32"/>
          <w:szCs w:val="32"/>
        </w:rPr>
      </w:pPr>
    </w:p>
    <w:tbl>
      <w:tblPr>
        <w:tblStyle w:val="1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9"/>
        <w:gridCol w:w="576"/>
        <w:gridCol w:w="576"/>
        <w:gridCol w:w="2197"/>
        <w:gridCol w:w="456"/>
        <w:gridCol w:w="816"/>
        <w:gridCol w:w="466"/>
        <w:gridCol w:w="866"/>
        <w:gridCol w:w="486"/>
        <w:gridCol w:w="486"/>
        <w:gridCol w:w="845"/>
      </w:tblGrid>
      <w:tr w14:paraId="59EC9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06" w:type="pct"/>
            <w:gridSpan w:val="4"/>
            <w:tcBorders>
              <w:top w:val="nil"/>
              <w:left w:val="nil"/>
              <w:bottom w:val="nil"/>
              <w:right w:val="nil"/>
            </w:tcBorders>
            <w:shd w:val="clear" w:color="auto" w:fill="auto"/>
            <w:vAlign w:val="center"/>
          </w:tcPr>
          <w:p w14:paraId="25693DA8">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268" w:type="pct"/>
            <w:tcBorders>
              <w:top w:val="nil"/>
              <w:left w:val="nil"/>
              <w:bottom w:val="nil"/>
              <w:right w:val="nil"/>
            </w:tcBorders>
            <w:shd w:val="clear" w:color="auto" w:fill="auto"/>
            <w:noWrap/>
            <w:vAlign w:val="center"/>
          </w:tcPr>
          <w:p w14:paraId="7D480938">
            <w:pPr>
              <w:rPr>
                <w:rFonts w:hint="eastAsia" w:ascii="宋体" w:hAnsi="宋体" w:eastAsia="宋体" w:cs="宋体"/>
                <w:i w:val="0"/>
                <w:iCs w:val="0"/>
                <w:color w:val="000000"/>
                <w:sz w:val="22"/>
                <w:szCs w:val="22"/>
                <w:u w:val="none"/>
              </w:rPr>
            </w:pPr>
          </w:p>
        </w:tc>
        <w:tc>
          <w:tcPr>
            <w:tcW w:w="1257" w:type="pct"/>
            <w:gridSpan w:val="3"/>
            <w:tcBorders>
              <w:top w:val="nil"/>
              <w:left w:val="nil"/>
              <w:bottom w:val="nil"/>
              <w:right w:val="nil"/>
            </w:tcBorders>
            <w:shd w:val="clear" w:color="auto" w:fill="auto"/>
            <w:vAlign w:val="center"/>
          </w:tcPr>
          <w:p w14:paraId="16FF5821">
            <w:pPr>
              <w:rPr>
                <w:rFonts w:hint="eastAsia" w:ascii="宋体" w:hAnsi="宋体" w:eastAsia="宋体" w:cs="宋体"/>
                <w:i w:val="0"/>
                <w:iCs w:val="0"/>
                <w:color w:val="000000"/>
                <w:sz w:val="20"/>
                <w:szCs w:val="20"/>
                <w:u w:val="none"/>
              </w:rPr>
            </w:pPr>
          </w:p>
        </w:tc>
        <w:tc>
          <w:tcPr>
            <w:tcW w:w="285" w:type="pct"/>
            <w:tcBorders>
              <w:top w:val="nil"/>
              <w:left w:val="nil"/>
              <w:bottom w:val="nil"/>
              <w:right w:val="nil"/>
            </w:tcBorders>
            <w:shd w:val="clear" w:color="auto" w:fill="auto"/>
            <w:noWrap/>
            <w:vAlign w:val="center"/>
          </w:tcPr>
          <w:p w14:paraId="5764F2F3">
            <w:pPr>
              <w:rPr>
                <w:rFonts w:hint="eastAsia" w:ascii="宋体" w:hAnsi="宋体" w:eastAsia="宋体" w:cs="宋体"/>
                <w:i w:val="0"/>
                <w:iCs w:val="0"/>
                <w:color w:val="000000"/>
                <w:sz w:val="22"/>
                <w:szCs w:val="22"/>
                <w:u w:val="none"/>
              </w:rPr>
            </w:pPr>
          </w:p>
        </w:tc>
        <w:tc>
          <w:tcPr>
            <w:tcW w:w="285" w:type="pct"/>
            <w:tcBorders>
              <w:top w:val="nil"/>
              <w:left w:val="nil"/>
              <w:bottom w:val="nil"/>
              <w:right w:val="nil"/>
            </w:tcBorders>
            <w:shd w:val="clear" w:color="auto" w:fill="auto"/>
            <w:noWrap/>
            <w:vAlign w:val="center"/>
          </w:tcPr>
          <w:p w14:paraId="109F96DC">
            <w:pPr>
              <w:rPr>
                <w:rFonts w:hint="eastAsia" w:ascii="宋体" w:hAnsi="宋体" w:eastAsia="宋体" w:cs="宋体"/>
                <w:i w:val="0"/>
                <w:iCs w:val="0"/>
                <w:color w:val="000000"/>
                <w:sz w:val="22"/>
                <w:szCs w:val="22"/>
                <w:u w:val="none"/>
              </w:rPr>
            </w:pPr>
          </w:p>
        </w:tc>
        <w:tc>
          <w:tcPr>
            <w:tcW w:w="497" w:type="pct"/>
            <w:tcBorders>
              <w:top w:val="nil"/>
              <w:left w:val="nil"/>
              <w:bottom w:val="nil"/>
              <w:right w:val="nil"/>
            </w:tcBorders>
            <w:shd w:val="clear" w:color="auto" w:fill="auto"/>
            <w:noWrap/>
            <w:vAlign w:val="center"/>
          </w:tcPr>
          <w:p w14:paraId="3873D5D3">
            <w:pPr>
              <w:rPr>
                <w:rFonts w:hint="eastAsia" w:ascii="宋体" w:hAnsi="宋体" w:eastAsia="宋体" w:cs="宋体"/>
                <w:i w:val="0"/>
                <w:iCs w:val="0"/>
                <w:color w:val="000000"/>
                <w:sz w:val="22"/>
                <w:szCs w:val="22"/>
                <w:u w:val="none"/>
              </w:rPr>
            </w:pPr>
          </w:p>
        </w:tc>
      </w:tr>
      <w:tr w14:paraId="44C2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476D40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5657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EE5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633E04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51322422T000006098485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医疗服务与保障能力提升（公立医院改革）</w:t>
            </w:r>
          </w:p>
        </w:tc>
      </w:tr>
      <w:tr w14:paraId="4E7A5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11FB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3C46C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05" w:type="pct"/>
            <w:tcBorders>
              <w:top w:val="nil"/>
              <w:left w:val="nil"/>
              <w:bottom w:val="nil"/>
              <w:right w:val="nil"/>
            </w:tcBorders>
            <w:shd w:val="clear" w:color="auto" w:fill="auto"/>
            <w:vAlign w:val="center"/>
          </w:tcPr>
          <w:p w14:paraId="6F33EA0E">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F208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松潘县中藏医院</w:t>
            </w:r>
          </w:p>
        </w:tc>
      </w:tr>
      <w:tr w14:paraId="5BD9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195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C63B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7D63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C6BBB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DF2F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32FA3">
            <w:pP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4D352">
            <w:pPr>
              <w:rPr>
                <w:rFonts w:hint="eastAsia" w:ascii="宋体" w:hAnsi="宋体" w:eastAsia="宋体" w:cs="宋体"/>
                <w:i w:val="0"/>
                <w:iCs w:val="0"/>
                <w:color w:val="000000"/>
                <w:sz w:val="18"/>
                <w:szCs w:val="18"/>
                <w:u w:val="none"/>
              </w:rPr>
            </w:pP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65042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主要为住院部二、三楼、公卫科提升改造及科室设备提升</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ADD58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主要为住院部二、三楼、公卫科提升改造及科室设备提升</w:t>
            </w:r>
          </w:p>
        </w:tc>
      </w:tr>
      <w:tr w14:paraId="26EA4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A482A">
            <w:pP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AF69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03F029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主要为住院部二、三楼、公卫科提升改造及科室设备提升</w:t>
            </w:r>
          </w:p>
        </w:tc>
      </w:tr>
      <w:tr w14:paraId="6ABDF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5F7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866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AE2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99B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ABE8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3EA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75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893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B5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F2CD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B031B">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0FB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E57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E50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121.86</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5A18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121.86</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F57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0A7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71D6B">
            <w:pPr>
              <w:jc w:val="center"/>
              <w:rPr>
                <w:rFonts w:hint="eastAsia" w:ascii="宋体" w:hAnsi="宋体" w:eastAsia="宋体" w:cs="宋体"/>
                <w:i w:val="0"/>
                <w:iCs w:val="0"/>
                <w:color w:val="000000"/>
                <w:sz w:val="18"/>
                <w:szCs w:val="18"/>
                <w:u w:val="none"/>
              </w:rPr>
            </w:pP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D5512E">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3C5B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7148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18C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DD3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71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121.86</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4B9B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121.86</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7F4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8CC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3F3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7BB12">
            <w:pPr>
              <w:rPr>
                <w:rFonts w:hint="eastAsia" w:ascii="黑体" w:hAnsi="黑体" w:eastAsia="黑体" w:cs="黑体"/>
                <w:i/>
                <w:iCs/>
                <w:color w:val="000000"/>
                <w:sz w:val="18"/>
                <w:szCs w:val="18"/>
                <w:u w:val="none"/>
              </w:rPr>
            </w:pPr>
          </w:p>
        </w:tc>
      </w:tr>
      <w:tr w14:paraId="27610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8C424">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2C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28E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AB6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7541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DED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E94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1B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A9CDD">
            <w:pPr>
              <w:rPr>
                <w:rFonts w:hint="eastAsia" w:ascii="黑体" w:hAnsi="黑体" w:eastAsia="黑体" w:cs="黑体"/>
                <w:i/>
                <w:iCs/>
                <w:color w:val="000000"/>
                <w:sz w:val="18"/>
                <w:szCs w:val="18"/>
                <w:u w:val="none"/>
              </w:rPr>
            </w:pPr>
          </w:p>
        </w:tc>
      </w:tr>
      <w:tr w14:paraId="30CAB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C033D">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AA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A8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7EF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2993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CDA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990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664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6F004">
            <w:pPr>
              <w:rPr>
                <w:rFonts w:hint="eastAsia" w:ascii="黑体" w:hAnsi="黑体" w:eastAsia="黑体" w:cs="黑体"/>
                <w:i/>
                <w:iCs/>
                <w:color w:val="000000"/>
                <w:sz w:val="18"/>
                <w:szCs w:val="18"/>
                <w:u w:val="none"/>
              </w:rPr>
            </w:pPr>
          </w:p>
        </w:tc>
      </w:tr>
      <w:tr w14:paraId="211C3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38EBB">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484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836FD">
            <w:pPr>
              <w:jc w:val="center"/>
              <w:rPr>
                <w:rFonts w:hint="eastAsia" w:ascii="微软雅黑" w:hAnsi="微软雅黑" w:eastAsia="微软雅黑" w:cs="微软雅黑"/>
                <w:i/>
                <w:iCs/>
                <w:color w:val="000000"/>
                <w:sz w:val="16"/>
                <w:szCs w:val="16"/>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66689">
            <w:pPr>
              <w:jc w:val="center"/>
              <w:rPr>
                <w:rFonts w:hint="eastAsia" w:ascii="微软雅黑" w:hAnsi="微软雅黑" w:eastAsia="微软雅黑" w:cs="微软雅黑"/>
                <w:i/>
                <w:iCs/>
                <w:color w:val="000000"/>
                <w:sz w:val="16"/>
                <w:szCs w:val="16"/>
                <w:u w:val="none"/>
              </w:rPr>
            </w:pP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45286A">
            <w:pPr>
              <w:jc w:val="center"/>
              <w:rPr>
                <w:rFonts w:hint="eastAsia" w:ascii="微软雅黑" w:hAnsi="微软雅黑" w:eastAsia="微软雅黑" w:cs="微软雅黑"/>
                <w:i/>
                <w:iCs/>
                <w:color w:val="000000"/>
                <w:sz w:val="16"/>
                <w:szCs w:val="16"/>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EF6DB">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7DE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28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62B26">
            <w:pPr>
              <w:rPr>
                <w:rFonts w:hint="eastAsia" w:ascii="黑体" w:hAnsi="黑体" w:eastAsia="黑体" w:cs="黑体"/>
                <w:i/>
                <w:iCs/>
                <w:color w:val="000000"/>
                <w:sz w:val="18"/>
                <w:szCs w:val="18"/>
                <w:u w:val="none"/>
              </w:rPr>
            </w:pPr>
          </w:p>
        </w:tc>
      </w:tr>
      <w:tr w14:paraId="613B3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F2E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D97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8" w:type="pct"/>
            <w:tcBorders>
              <w:top w:val="single" w:color="000000" w:sz="4" w:space="0"/>
              <w:left w:val="single" w:color="000000" w:sz="4" w:space="0"/>
              <w:bottom w:val="nil"/>
              <w:right w:val="single" w:color="000000" w:sz="4" w:space="0"/>
            </w:tcBorders>
            <w:shd w:val="clear" w:color="auto" w:fill="auto"/>
            <w:vAlign w:val="center"/>
          </w:tcPr>
          <w:p w14:paraId="06D1F6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55C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35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D0D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561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6F5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577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C9B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016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258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9F796">
            <w:pPr>
              <w:jc w:val="center"/>
              <w:rPr>
                <w:rFonts w:hint="eastAsia" w:ascii="宋体" w:hAnsi="宋体" w:eastAsia="宋体" w:cs="宋体"/>
                <w:i w:val="0"/>
                <w:iCs w:val="0"/>
                <w:color w:val="000000"/>
                <w:sz w:val="18"/>
                <w:szCs w:val="18"/>
                <w:u w:val="none"/>
              </w:rPr>
            </w:pPr>
          </w:p>
        </w:tc>
        <w:tc>
          <w:tcPr>
            <w:tcW w:w="338" w:type="pct"/>
            <w:vMerge w:val="restart"/>
            <w:tcBorders>
              <w:top w:val="single" w:color="000000" w:sz="4" w:space="0"/>
              <w:left w:val="single" w:color="000000" w:sz="4" w:space="0"/>
              <w:bottom w:val="nil"/>
              <w:right w:val="nil"/>
            </w:tcBorders>
            <w:shd w:val="clear" w:color="auto" w:fill="auto"/>
            <w:vAlign w:val="center"/>
          </w:tcPr>
          <w:p w14:paraId="2A812A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vMerge w:val="restart"/>
            <w:tcBorders>
              <w:top w:val="single" w:color="000000" w:sz="4" w:space="0"/>
              <w:left w:val="single" w:color="000000" w:sz="4" w:space="0"/>
              <w:bottom w:val="nil"/>
              <w:right w:val="single" w:color="000000" w:sz="4" w:space="0"/>
            </w:tcBorders>
            <w:shd w:val="clear" w:color="auto" w:fill="auto"/>
            <w:vAlign w:val="center"/>
          </w:tcPr>
          <w:p w14:paraId="673A0D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89" w:type="pct"/>
            <w:tcBorders>
              <w:top w:val="single" w:color="000000" w:sz="4" w:space="0"/>
              <w:left w:val="nil"/>
              <w:bottom w:val="nil"/>
              <w:right w:val="single" w:color="000000" w:sz="4" w:space="0"/>
            </w:tcBorders>
            <w:shd w:val="clear" w:color="auto" w:fill="auto"/>
            <w:vAlign w:val="center"/>
          </w:tcPr>
          <w:p w14:paraId="2B7C07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医疗服务收入</w:t>
            </w:r>
          </w:p>
        </w:tc>
        <w:tc>
          <w:tcPr>
            <w:tcW w:w="268" w:type="pct"/>
            <w:tcBorders>
              <w:top w:val="nil"/>
              <w:left w:val="single" w:color="000000" w:sz="4" w:space="0"/>
              <w:bottom w:val="nil"/>
              <w:right w:val="single" w:color="000000" w:sz="4" w:space="0"/>
            </w:tcBorders>
            <w:shd w:val="clear" w:color="auto" w:fill="auto"/>
            <w:vAlign w:val="center"/>
          </w:tcPr>
          <w:p w14:paraId="173724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nil"/>
              <w:right w:val="single" w:color="000000" w:sz="4" w:space="0"/>
            </w:tcBorders>
            <w:shd w:val="clear" w:color="auto" w:fill="auto"/>
            <w:vAlign w:val="center"/>
          </w:tcPr>
          <w:p w14:paraId="43C30B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较上年提高</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3D1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E5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246354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7C7B2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08DA8954">
            <w:pPr>
              <w:jc w:val="center"/>
              <w:rPr>
                <w:rFonts w:hint="eastAsia" w:ascii="宋体" w:hAnsi="宋体" w:eastAsia="宋体" w:cs="宋体"/>
                <w:i w:val="0"/>
                <w:iCs w:val="0"/>
                <w:color w:val="000000"/>
                <w:sz w:val="18"/>
                <w:szCs w:val="18"/>
                <w:u w:val="none"/>
              </w:rPr>
            </w:pPr>
          </w:p>
        </w:tc>
      </w:tr>
      <w:tr w14:paraId="1D314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B9CCD">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nil"/>
            </w:tcBorders>
            <w:shd w:val="clear" w:color="auto" w:fill="auto"/>
            <w:vAlign w:val="center"/>
          </w:tcPr>
          <w:p w14:paraId="6F8FD438">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single" w:color="000000" w:sz="4" w:space="0"/>
            </w:tcBorders>
            <w:shd w:val="clear" w:color="auto" w:fill="auto"/>
            <w:vAlign w:val="center"/>
          </w:tcPr>
          <w:p w14:paraId="75854719">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E74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按病种付费的住院参保人员占总住院参保人员的比例</w:t>
            </w:r>
          </w:p>
        </w:tc>
        <w:tc>
          <w:tcPr>
            <w:tcW w:w="268" w:type="pct"/>
            <w:tcBorders>
              <w:top w:val="nil"/>
              <w:left w:val="single" w:color="000000" w:sz="4" w:space="0"/>
              <w:bottom w:val="nil"/>
              <w:right w:val="single" w:color="000000" w:sz="4" w:space="0"/>
            </w:tcBorders>
            <w:shd w:val="clear" w:color="auto" w:fill="auto"/>
            <w:vAlign w:val="center"/>
          </w:tcPr>
          <w:p w14:paraId="76D53F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7B2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较上年提高</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ACB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DE4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8E8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DC0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2B8C2FEB">
            <w:pPr>
              <w:jc w:val="center"/>
              <w:rPr>
                <w:rFonts w:hint="eastAsia" w:ascii="宋体" w:hAnsi="宋体" w:eastAsia="宋体" w:cs="宋体"/>
                <w:i w:val="0"/>
                <w:iCs w:val="0"/>
                <w:color w:val="000000"/>
                <w:sz w:val="18"/>
                <w:szCs w:val="18"/>
                <w:u w:val="none"/>
              </w:rPr>
            </w:pPr>
          </w:p>
        </w:tc>
      </w:tr>
      <w:tr w14:paraId="32B0E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98B6D">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nil"/>
            </w:tcBorders>
            <w:shd w:val="clear" w:color="auto" w:fill="auto"/>
            <w:vAlign w:val="center"/>
          </w:tcPr>
          <w:p w14:paraId="1A609DA4">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nil"/>
              <w:right w:val="single" w:color="000000" w:sz="4" w:space="0"/>
            </w:tcBorders>
            <w:shd w:val="clear" w:color="auto" w:fill="auto"/>
            <w:vAlign w:val="center"/>
          </w:tcPr>
          <w:p w14:paraId="394427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EE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公立医院平均住院日</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026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E3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较上年降低</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860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8D3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2252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C74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6FB01D01">
            <w:pPr>
              <w:jc w:val="center"/>
              <w:rPr>
                <w:rFonts w:hint="eastAsia" w:ascii="宋体" w:hAnsi="宋体" w:eastAsia="宋体" w:cs="宋体"/>
                <w:i w:val="0"/>
                <w:iCs w:val="0"/>
                <w:color w:val="000000"/>
                <w:sz w:val="18"/>
                <w:szCs w:val="18"/>
                <w:u w:val="none"/>
              </w:rPr>
            </w:pPr>
          </w:p>
        </w:tc>
      </w:tr>
      <w:tr w14:paraId="6ABA5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36165">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nil"/>
            </w:tcBorders>
            <w:shd w:val="clear" w:color="auto" w:fill="auto"/>
            <w:vAlign w:val="center"/>
          </w:tcPr>
          <w:p w14:paraId="79CC3CBE">
            <w:pPr>
              <w:jc w:val="center"/>
              <w:rPr>
                <w:rFonts w:hint="eastAsia" w:ascii="宋体" w:hAnsi="宋体" w:eastAsia="宋体" w:cs="宋体"/>
                <w:i w:val="0"/>
                <w:iCs w:val="0"/>
                <w:color w:val="000000"/>
                <w:sz w:val="18"/>
                <w:szCs w:val="18"/>
                <w:u w:val="none"/>
              </w:rPr>
            </w:pPr>
          </w:p>
        </w:tc>
        <w:tc>
          <w:tcPr>
            <w:tcW w:w="338" w:type="pct"/>
            <w:vMerge w:val="restart"/>
            <w:tcBorders>
              <w:top w:val="single" w:color="000000" w:sz="4" w:space="0"/>
              <w:left w:val="single" w:color="000000" w:sz="4" w:space="0"/>
              <w:bottom w:val="nil"/>
              <w:right w:val="single" w:color="000000" w:sz="4" w:space="0"/>
            </w:tcBorders>
            <w:shd w:val="clear" w:color="auto" w:fill="auto"/>
            <w:vAlign w:val="center"/>
          </w:tcPr>
          <w:p w14:paraId="54603D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6C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公立医院资产负债率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2DF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A0E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较上年降低</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6A7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FB1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91D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AD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582E3670">
            <w:pPr>
              <w:jc w:val="center"/>
              <w:rPr>
                <w:rFonts w:hint="eastAsia" w:ascii="宋体" w:hAnsi="宋体" w:eastAsia="宋体" w:cs="宋体"/>
                <w:i w:val="0"/>
                <w:iCs w:val="0"/>
                <w:color w:val="000000"/>
                <w:sz w:val="18"/>
                <w:szCs w:val="18"/>
                <w:u w:val="none"/>
              </w:rPr>
            </w:pPr>
          </w:p>
        </w:tc>
      </w:tr>
      <w:tr w14:paraId="2822D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52608">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nil"/>
            </w:tcBorders>
            <w:shd w:val="clear" w:color="auto" w:fill="auto"/>
            <w:vAlign w:val="center"/>
          </w:tcPr>
          <w:p w14:paraId="5B9E0940">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single" w:color="000000" w:sz="4" w:space="0"/>
            </w:tcBorders>
            <w:shd w:val="clear" w:color="auto" w:fill="auto"/>
            <w:vAlign w:val="center"/>
          </w:tcPr>
          <w:p w14:paraId="02DB2646">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AEF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实现收支平衡的医院</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E1B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6E6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167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所</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463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BF9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B5B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23EB00B0">
            <w:pPr>
              <w:jc w:val="center"/>
              <w:rPr>
                <w:rFonts w:hint="eastAsia" w:ascii="宋体" w:hAnsi="宋体" w:eastAsia="宋体" w:cs="宋体"/>
                <w:i w:val="0"/>
                <w:iCs w:val="0"/>
                <w:color w:val="000000"/>
                <w:sz w:val="18"/>
                <w:szCs w:val="18"/>
                <w:u w:val="none"/>
              </w:rPr>
            </w:pPr>
          </w:p>
        </w:tc>
      </w:tr>
      <w:tr w14:paraId="116F3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EA2DE">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nil"/>
            </w:tcBorders>
            <w:shd w:val="clear" w:color="auto" w:fill="auto"/>
            <w:vAlign w:val="center"/>
          </w:tcPr>
          <w:p w14:paraId="7510466D">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nil"/>
              <w:right w:val="single" w:color="000000" w:sz="4" w:space="0"/>
            </w:tcBorders>
            <w:shd w:val="clear" w:color="auto" w:fill="auto"/>
            <w:vAlign w:val="center"/>
          </w:tcPr>
          <w:p w14:paraId="07735C14">
            <w:pPr>
              <w:jc w:val="center"/>
              <w:rPr>
                <w:rFonts w:hint="eastAsia" w:ascii="宋体" w:hAnsi="宋体" w:eastAsia="宋体" w:cs="宋体"/>
                <w:i w:val="0"/>
                <w:iCs w:val="0"/>
                <w:color w:val="000000"/>
                <w:sz w:val="18"/>
                <w:szCs w:val="18"/>
                <w:u w:val="none"/>
              </w:rPr>
            </w:pPr>
          </w:p>
        </w:tc>
        <w:tc>
          <w:tcPr>
            <w:tcW w:w="1289" w:type="pct"/>
            <w:tcBorders>
              <w:top w:val="nil"/>
              <w:left w:val="nil"/>
              <w:bottom w:val="nil"/>
              <w:right w:val="single" w:color="000000" w:sz="4" w:space="0"/>
            </w:tcBorders>
            <w:shd w:val="clear" w:color="auto" w:fill="auto"/>
            <w:vAlign w:val="center"/>
          </w:tcPr>
          <w:p w14:paraId="2446F7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为中藏医院二级复审顺利开展</w:t>
            </w:r>
          </w:p>
        </w:tc>
        <w:tc>
          <w:tcPr>
            <w:tcW w:w="268" w:type="pct"/>
            <w:tcBorders>
              <w:top w:val="nil"/>
              <w:left w:val="single" w:color="000000" w:sz="4" w:space="0"/>
              <w:bottom w:val="nil"/>
              <w:right w:val="single" w:color="000000" w:sz="4" w:space="0"/>
            </w:tcBorders>
            <w:shd w:val="clear" w:color="auto" w:fill="auto"/>
            <w:vAlign w:val="center"/>
          </w:tcPr>
          <w:p w14:paraId="07F63D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nil"/>
              <w:left w:val="single" w:color="000000" w:sz="4" w:space="0"/>
              <w:bottom w:val="nil"/>
              <w:right w:val="single" w:color="000000" w:sz="4" w:space="0"/>
            </w:tcBorders>
            <w:shd w:val="clear" w:color="auto" w:fill="auto"/>
            <w:vAlign w:val="center"/>
          </w:tcPr>
          <w:p w14:paraId="1C15D8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72" w:type="pct"/>
            <w:tcBorders>
              <w:top w:val="nil"/>
              <w:left w:val="single" w:color="000000" w:sz="4" w:space="0"/>
              <w:bottom w:val="nil"/>
              <w:right w:val="single" w:color="000000" w:sz="4" w:space="0"/>
            </w:tcBorders>
            <w:shd w:val="clear" w:color="auto" w:fill="auto"/>
            <w:vAlign w:val="center"/>
          </w:tcPr>
          <w:p w14:paraId="366492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nil"/>
              <w:left w:val="single" w:color="000000" w:sz="4" w:space="0"/>
              <w:bottom w:val="nil"/>
              <w:right w:val="single" w:color="000000" w:sz="4" w:space="0"/>
            </w:tcBorders>
            <w:shd w:val="clear" w:color="auto" w:fill="auto"/>
            <w:vAlign w:val="center"/>
          </w:tcPr>
          <w:p w14:paraId="36030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nil"/>
              <w:left w:val="single" w:color="000000" w:sz="4" w:space="0"/>
              <w:bottom w:val="nil"/>
              <w:right w:val="single" w:color="000000" w:sz="4" w:space="0"/>
            </w:tcBorders>
            <w:shd w:val="clear" w:color="auto" w:fill="auto"/>
            <w:vAlign w:val="center"/>
          </w:tcPr>
          <w:p w14:paraId="39D59A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nil"/>
              <w:left w:val="single" w:color="000000" w:sz="4" w:space="0"/>
              <w:bottom w:val="nil"/>
              <w:right w:val="single" w:color="000000" w:sz="4" w:space="0"/>
            </w:tcBorders>
            <w:shd w:val="clear" w:color="auto" w:fill="auto"/>
            <w:vAlign w:val="center"/>
          </w:tcPr>
          <w:p w14:paraId="313066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631DA3C9">
            <w:pPr>
              <w:jc w:val="center"/>
              <w:rPr>
                <w:rFonts w:hint="eastAsia" w:ascii="宋体" w:hAnsi="宋体" w:eastAsia="宋体" w:cs="宋体"/>
                <w:i w:val="0"/>
                <w:iCs w:val="0"/>
                <w:color w:val="000000"/>
                <w:sz w:val="18"/>
                <w:szCs w:val="18"/>
                <w:u w:val="none"/>
              </w:rPr>
            </w:pPr>
          </w:p>
        </w:tc>
      </w:tr>
      <w:tr w14:paraId="1984A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C380C">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26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8" w:type="pct"/>
            <w:tcBorders>
              <w:top w:val="single" w:color="000000" w:sz="4" w:space="0"/>
              <w:left w:val="single" w:color="000000" w:sz="4" w:space="0"/>
              <w:bottom w:val="nil"/>
              <w:right w:val="single" w:color="000000" w:sz="4" w:space="0"/>
            </w:tcBorders>
            <w:shd w:val="clear" w:color="auto" w:fill="auto"/>
            <w:vAlign w:val="center"/>
          </w:tcPr>
          <w:p w14:paraId="635486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89" w:type="pct"/>
            <w:tcBorders>
              <w:top w:val="single" w:color="000000" w:sz="4" w:space="0"/>
              <w:left w:val="nil"/>
              <w:bottom w:val="nil"/>
              <w:right w:val="single" w:color="000000" w:sz="4" w:space="0"/>
            </w:tcBorders>
            <w:shd w:val="clear" w:color="auto" w:fill="auto"/>
            <w:vAlign w:val="center"/>
          </w:tcPr>
          <w:p w14:paraId="4E5E66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基础医疗卫生机构诊疗量占总诊疗的比例</w:t>
            </w:r>
          </w:p>
        </w:tc>
        <w:tc>
          <w:tcPr>
            <w:tcW w:w="268" w:type="pct"/>
            <w:tcBorders>
              <w:top w:val="nil"/>
              <w:left w:val="single" w:color="000000" w:sz="4" w:space="0"/>
              <w:bottom w:val="nil"/>
              <w:right w:val="single" w:color="000000" w:sz="4" w:space="0"/>
            </w:tcBorders>
            <w:shd w:val="clear" w:color="auto" w:fill="auto"/>
            <w:vAlign w:val="center"/>
          </w:tcPr>
          <w:p w14:paraId="4590F9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nil"/>
              <w:right w:val="single" w:color="000000" w:sz="4" w:space="0"/>
            </w:tcBorders>
            <w:shd w:val="clear" w:color="auto" w:fill="auto"/>
            <w:vAlign w:val="center"/>
          </w:tcPr>
          <w:p w14:paraId="4A9A24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较上年提高</w:t>
            </w:r>
          </w:p>
        </w:tc>
        <w:tc>
          <w:tcPr>
            <w:tcW w:w="272" w:type="pct"/>
            <w:tcBorders>
              <w:top w:val="single" w:color="000000" w:sz="4" w:space="0"/>
              <w:left w:val="single" w:color="000000" w:sz="4" w:space="0"/>
              <w:bottom w:val="nil"/>
              <w:right w:val="single" w:color="000000" w:sz="4" w:space="0"/>
            </w:tcBorders>
            <w:shd w:val="clear" w:color="auto" w:fill="auto"/>
            <w:vAlign w:val="center"/>
          </w:tcPr>
          <w:p w14:paraId="623856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nil"/>
              <w:left w:val="single" w:color="000000" w:sz="4" w:space="0"/>
              <w:bottom w:val="nil"/>
              <w:right w:val="single" w:color="000000" w:sz="4" w:space="0"/>
            </w:tcBorders>
            <w:shd w:val="clear" w:color="auto" w:fill="auto"/>
            <w:vAlign w:val="center"/>
          </w:tcPr>
          <w:p w14:paraId="27FC4E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18F734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6F3F2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nil"/>
              <w:right w:val="single" w:color="000000" w:sz="4" w:space="0"/>
            </w:tcBorders>
            <w:shd w:val="clear" w:color="auto" w:fill="auto"/>
            <w:vAlign w:val="center"/>
          </w:tcPr>
          <w:p w14:paraId="06478198">
            <w:pPr>
              <w:jc w:val="center"/>
              <w:rPr>
                <w:rFonts w:hint="eastAsia" w:ascii="宋体" w:hAnsi="宋体" w:eastAsia="宋体" w:cs="宋体"/>
                <w:i w:val="0"/>
                <w:iCs w:val="0"/>
                <w:color w:val="000000"/>
                <w:sz w:val="18"/>
                <w:szCs w:val="18"/>
                <w:u w:val="none"/>
              </w:rPr>
            </w:pPr>
          </w:p>
        </w:tc>
      </w:tr>
      <w:tr w14:paraId="171A0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162A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E5F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119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服务对象受益程度指标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003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患者满意度</w:t>
            </w:r>
          </w:p>
        </w:tc>
        <w:tc>
          <w:tcPr>
            <w:tcW w:w="268" w:type="pct"/>
            <w:tcBorders>
              <w:top w:val="nil"/>
              <w:left w:val="single" w:color="000000" w:sz="8" w:space="0"/>
              <w:bottom w:val="single" w:color="000000" w:sz="8" w:space="0"/>
              <w:right w:val="single" w:color="000000" w:sz="8" w:space="0"/>
            </w:tcBorders>
            <w:shd w:val="clear" w:color="auto" w:fill="auto"/>
            <w:vAlign w:val="center"/>
          </w:tcPr>
          <w:p w14:paraId="17D83556">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2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064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F13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158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945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2746E">
            <w:pPr>
              <w:jc w:val="center"/>
              <w:rPr>
                <w:rFonts w:hint="eastAsia" w:ascii="宋体" w:hAnsi="宋体" w:eastAsia="宋体" w:cs="宋体"/>
                <w:i w:val="0"/>
                <w:iCs w:val="0"/>
                <w:color w:val="000000"/>
                <w:sz w:val="18"/>
                <w:szCs w:val="18"/>
                <w:u w:val="none"/>
              </w:rPr>
            </w:pPr>
          </w:p>
        </w:tc>
      </w:tr>
      <w:tr w14:paraId="6D791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4CBA3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96B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C4C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A2F09">
            <w:pPr>
              <w:rPr>
                <w:rFonts w:hint="eastAsia" w:ascii="宋体" w:hAnsi="宋体" w:eastAsia="宋体" w:cs="宋体"/>
                <w:i w:val="0"/>
                <w:iCs w:val="0"/>
                <w:color w:val="000000"/>
                <w:sz w:val="18"/>
                <w:szCs w:val="18"/>
                <w:u w:val="none"/>
              </w:rPr>
            </w:pPr>
          </w:p>
        </w:tc>
      </w:tr>
      <w:tr w14:paraId="5D6D1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B46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5775D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本项目完成住院部二、三楼、公卫科提升改造及各科室设备提升，更好地服务患者病人。</w:t>
            </w:r>
          </w:p>
        </w:tc>
      </w:tr>
      <w:tr w14:paraId="3BEE4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A62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65684D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单位项目总体情况分析和自查，发现存在以下问题：首先是绩效管理工作初步走向规范，相关人员对于绩效评价的认识不到位，部分对绩效不理解；其次项目推进速度较慢；最后是预算执行进度不均衡，因项目时间安排和资金下达多集中在下半年，故项目资金存在年底较集中的现象。因此要首先加强预算管理，确保项目的科学性。年度预算时，在进行调查研究的基础上，充分论证项目立项的必要性、投入经济性、绩效目标合理性、实施方案可行性，确保项目具有可操作性，项目实施达到预期效果，发挥最大效益。其次细化项目管理，确保项目按期实施，强化项目推进过程的管理，确保项目按计划推进。最后是定期开展内部检查，出现不可抗力因素，及时按程序进行必要的调整和变更，同时，做好各项目支出绩效目标执行中的控制管理，建好控制台账，确保资金对应绩效目标执行。</w:t>
            </w:r>
          </w:p>
        </w:tc>
      </w:tr>
      <w:tr w14:paraId="1FEC6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A86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0D8F05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一是加强医务人员设施设备的操作培训，二是组织人员进行外出培训，三是加强医务人员理论学习。</w:t>
            </w:r>
          </w:p>
        </w:tc>
      </w:tr>
      <w:tr w14:paraId="4A210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6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C0083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项目负责人：郝洛</w:t>
            </w:r>
          </w:p>
        </w:tc>
        <w:tc>
          <w:tcPr>
            <w:tcW w:w="23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6F2CB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财务负责人：宋颖</w:t>
            </w:r>
          </w:p>
        </w:tc>
      </w:tr>
      <w:tr w14:paraId="64409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nil"/>
              <w:left w:val="nil"/>
              <w:bottom w:val="nil"/>
              <w:right w:val="nil"/>
            </w:tcBorders>
            <w:shd w:val="clear" w:color="auto" w:fill="auto"/>
            <w:vAlign w:val="center"/>
          </w:tcPr>
          <w:p w14:paraId="0AFA08A6">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14:paraId="1AFAF851">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14:paraId="58185C01">
            <w:pPr>
              <w:rPr>
                <w:rFonts w:hint="eastAsia" w:ascii="宋体" w:hAnsi="宋体" w:eastAsia="宋体" w:cs="宋体"/>
                <w:i w:val="0"/>
                <w:iCs w:val="0"/>
                <w:color w:val="000000"/>
                <w:sz w:val="18"/>
                <w:szCs w:val="18"/>
                <w:u w:val="none"/>
              </w:rPr>
            </w:pPr>
          </w:p>
        </w:tc>
        <w:tc>
          <w:tcPr>
            <w:tcW w:w="1289" w:type="pct"/>
            <w:tcBorders>
              <w:top w:val="nil"/>
              <w:left w:val="nil"/>
              <w:bottom w:val="nil"/>
              <w:right w:val="nil"/>
            </w:tcBorders>
            <w:shd w:val="clear" w:color="auto" w:fill="auto"/>
            <w:vAlign w:val="center"/>
          </w:tcPr>
          <w:p w14:paraId="3142A71E">
            <w:pPr>
              <w:rPr>
                <w:rFonts w:hint="eastAsia" w:ascii="宋体" w:hAnsi="宋体" w:eastAsia="宋体" w:cs="宋体"/>
                <w:i w:val="0"/>
                <w:iCs w:val="0"/>
                <w:color w:val="000000"/>
                <w:sz w:val="18"/>
                <w:szCs w:val="18"/>
                <w:u w:val="none"/>
              </w:rPr>
            </w:pPr>
          </w:p>
        </w:tc>
        <w:tc>
          <w:tcPr>
            <w:tcW w:w="268" w:type="pct"/>
            <w:tcBorders>
              <w:top w:val="nil"/>
              <w:left w:val="nil"/>
              <w:bottom w:val="nil"/>
              <w:right w:val="nil"/>
            </w:tcBorders>
            <w:shd w:val="clear" w:color="auto" w:fill="auto"/>
            <w:vAlign w:val="center"/>
          </w:tcPr>
          <w:p w14:paraId="6EC493BC">
            <w:pPr>
              <w:rPr>
                <w:rFonts w:hint="eastAsia" w:ascii="宋体" w:hAnsi="宋体" w:eastAsia="宋体" w:cs="宋体"/>
                <w:i w:val="0"/>
                <w:iCs w:val="0"/>
                <w:color w:val="000000"/>
                <w:sz w:val="18"/>
                <w:szCs w:val="18"/>
                <w:u w:val="none"/>
              </w:rPr>
            </w:pPr>
          </w:p>
        </w:tc>
        <w:tc>
          <w:tcPr>
            <w:tcW w:w="478" w:type="pct"/>
            <w:tcBorders>
              <w:top w:val="nil"/>
              <w:left w:val="nil"/>
              <w:bottom w:val="nil"/>
              <w:right w:val="nil"/>
            </w:tcBorders>
            <w:shd w:val="clear" w:color="auto" w:fill="auto"/>
            <w:vAlign w:val="center"/>
          </w:tcPr>
          <w:p w14:paraId="7627DCCD">
            <w:pPr>
              <w:rPr>
                <w:rFonts w:hint="eastAsia" w:ascii="宋体" w:hAnsi="宋体" w:eastAsia="宋体" w:cs="宋体"/>
                <w:i w:val="0"/>
                <w:iCs w:val="0"/>
                <w:color w:val="000000"/>
                <w:sz w:val="18"/>
                <w:szCs w:val="18"/>
                <w:u w:val="none"/>
              </w:rPr>
            </w:pPr>
          </w:p>
        </w:tc>
        <w:tc>
          <w:tcPr>
            <w:tcW w:w="272" w:type="pct"/>
            <w:tcBorders>
              <w:top w:val="nil"/>
              <w:left w:val="nil"/>
              <w:bottom w:val="nil"/>
              <w:right w:val="nil"/>
            </w:tcBorders>
            <w:shd w:val="clear" w:color="auto" w:fill="auto"/>
            <w:vAlign w:val="center"/>
          </w:tcPr>
          <w:p w14:paraId="2F66E243">
            <w:pPr>
              <w:rPr>
                <w:rFonts w:hint="eastAsia" w:ascii="宋体" w:hAnsi="宋体" w:eastAsia="宋体" w:cs="宋体"/>
                <w:i w:val="0"/>
                <w:iCs w:val="0"/>
                <w:color w:val="000000"/>
                <w:sz w:val="18"/>
                <w:szCs w:val="18"/>
                <w:u w:val="none"/>
              </w:rPr>
            </w:pPr>
          </w:p>
        </w:tc>
        <w:tc>
          <w:tcPr>
            <w:tcW w:w="505" w:type="pct"/>
            <w:tcBorders>
              <w:top w:val="nil"/>
              <w:left w:val="nil"/>
              <w:bottom w:val="nil"/>
              <w:right w:val="nil"/>
            </w:tcBorders>
            <w:shd w:val="clear" w:color="auto" w:fill="auto"/>
            <w:vAlign w:val="center"/>
          </w:tcPr>
          <w:p w14:paraId="1D384F2D">
            <w:pPr>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14:paraId="5F396D2B">
            <w:pPr>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14:paraId="30C4A528">
            <w:pPr>
              <w:rPr>
                <w:rFonts w:hint="eastAsia" w:ascii="宋体" w:hAnsi="宋体" w:eastAsia="宋体" w:cs="宋体"/>
                <w:i w:val="0"/>
                <w:iCs w:val="0"/>
                <w:color w:val="000000"/>
                <w:sz w:val="18"/>
                <w:szCs w:val="18"/>
                <w:u w:val="none"/>
              </w:rPr>
            </w:pPr>
          </w:p>
        </w:tc>
        <w:tc>
          <w:tcPr>
            <w:tcW w:w="497" w:type="pct"/>
            <w:tcBorders>
              <w:top w:val="nil"/>
              <w:left w:val="nil"/>
              <w:bottom w:val="nil"/>
              <w:right w:val="nil"/>
            </w:tcBorders>
            <w:shd w:val="clear" w:color="auto" w:fill="auto"/>
            <w:vAlign w:val="center"/>
          </w:tcPr>
          <w:p w14:paraId="1134D714">
            <w:pPr>
              <w:rPr>
                <w:rFonts w:hint="eastAsia" w:ascii="宋体" w:hAnsi="宋体" w:eastAsia="宋体" w:cs="宋体"/>
                <w:i w:val="0"/>
                <w:iCs w:val="0"/>
                <w:color w:val="000000"/>
                <w:sz w:val="18"/>
                <w:szCs w:val="18"/>
                <w:u w:val="none"/>
              </w:rPr>
            </w:pPr>
          </w:p>
        </w:tc>
      </w:tr>
      <w:tr w14:paraId="1377B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7EF244B">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15C2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3330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A601E9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51322422T0000006104122-基本公共卫生服务（其他并入公共卫生服务）</w:t>
            </w:r>
          </w:p>
        </w:tc>
      </w:tr>
      <w:tr w14:paraId="202E4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7FCCE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11CEE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05" w:type="pct"/>
            <w:tcBorders>
              <w:top w:val="nil"/>
              <w:left w:val="nil"/>
              <w:bottom w:val="nil"/>
              <w:right w:val="nil"/>
            </w:tcBorders>
            <w:shd w:val="clear" w:color="auto" w:fill="auto"/>
            <w:vAlign w:val="center"/>
          </w:tcPr>
          <w:p w14:paraId="00A6791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5893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松潘县中藏医院</w:t>
            </w:r>
          </w:p>
        </w:tc>
      </w:tr>
      <w:tr w14:paraId="23F7F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78C9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D8AC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AEB1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632E1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0605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93EC2">
            <w:pP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0BD44">
            <w:pPr>
              <w:rPr>
                <w:rFonts w:hint="eastAsia" w:ascii="宋体" w:hAnsi="宋体" w:eastAsia="宋体" w:cs="宋体"/>
                <w:i w:val="0"/>
                <w:iCs w:val="0"/>
                <w:color w:val="000000"/>
                <w:sz w:val="18"/>
                <w:szCs w:val="18"/>
                <w:u w:val="none"/>
              </w:rPr>
            </w:pP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1139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完成全县氟骨症任务数2000人、大骨节病任务数700人药品采购及发放</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D8DF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完成全县氟骨症任务数2000人、大骨节病任务数700人药品采购及发放</w:t>
            </w:r>
          </w:p>
        </w:tc>
      </w:tr>
      <w:tr w14:paraId="3E06F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6D232">
            <w:pP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BA7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C0F3BF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完成全县氟骨症任务数2000人、大骨节病任务数700人药品采购及发放</w:t>
            </w:r>
          </w:p>
        </w:tc>
      </w:tr>
      <w:tr w14:paraId="70931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41E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4C5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C63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8B1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858D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985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25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D38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B79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A6A8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EEACF">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323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86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08C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138.79</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7DBB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138.79</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C6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89D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3C0B7">
            <w:pPr>
              <w:jc w:val="center"/>
              <w:rPr>
                <w:rFonts w:hint="eastAsia" w:ascii="宋体" w:hAnsi="宋体" w:eastAsia="宋体" w:cs="宋体"/>
                <w:i w:val="0"/>
                <w:iCs w:val="0"/>
                <w:color w:val="000000"/>
                <w:sz w:val="18"/>
                <w:szCs w:val="18"/>
                <w:u w:val="none"/>
              </w:rPr>
            </w:pP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DE378">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58F4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382D2">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1B8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4DD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A02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138.79</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8755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138.79</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AD7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3A0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907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2523F">
            <w:pPr>
              <w:rPr>
                <w:rFonts w:hint="eastAsia" w:ascii="黑体" w:hAnsi="黑体" w:eastAsia="黑体" w:cs="黑体"/>
                <w:i/>
                <w:iCs/>
                <w:color w:val="000000"/>
                <w:sz w:val="18"/>
                <w:szCs w:val="18"/>
                <w:u w:val="none"/>
              </w:rPr>
            </w:pPr>
          </w:p>
        </w:tc>
      </w:tr>
      <w:tr w14:paraId="08945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3A807">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C2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69B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629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1487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28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FF2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397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15EE2">
            <w:pPr>
              <w:rPr>
                <w:rFonts w:hint="eastAsia" w:ascii="黑体" w:hAnsi="黑体" w:eastAsia="黑体" w:cs="黑体"/>
                <w:i/>
                <w:iCs/>
                <w:color w:val="000000"/>
                <w:sz w:val="18"/>
                <w:szCs w:val="18"/>
                <w:u w:val="none"/>
              </w:rPr>
            </w:pPr>
          </w:p>
        </w:tc>
      </w:tr>
      <w:tr w14:paraId="679B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EB757">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583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FF4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7B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D4F5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E4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321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2A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74714">
            <w:pPr>
              <w:rPr>
                <w:rFonts w:hint="eastAsia" w:ascii="黑体" w:hAnsi="黑体" w:eastAsia="黑体" w:cs="黑体"/>
                <w:i/>
                <w:iCs/>
                <w:color w:val="000000"/>
                <w:sz w:val="18"/>
                <w:szCs w:val="18"/>
                <w:u w:val="none"/>
              </w:rPr>
            </w:pPr>
          </w:p>
        </w:tc>
      </w:tr>
      <w:tr w14:paraId="11AC9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24A6C">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nil"/>
              <w:right w:val="single" w:color="000000" w:sz="4" w:space="0"/>
            </w:tcBorders>
            <w:shd w:val="clear" w:color="auto" w:fill="auto"/>
            <w:vAlign w:val="center"/>
          </w:tcPr>
          <w:p w14:paraId="7F90B5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8" w:type="pct"/>
            <w:tcBorders>
              <w:top w:val="single" w:color="000000" w:sz="4" w:space="0"/>
              <w:left w:val="single" w:color="000000" w:sz="4" w:space="0"/>
              <w:bottom w:val="nil"/>
              <w:right w:val="single" w:color="000000" w:sz="4" w:space="0"/>
            </w:tcBorders>
            <w:shd w:val="clear" w:color="auto" w:fill="auto"/>
            <w:vAlign w:val="center"/>
          </w:tcPr>
          <w:p w14:paraId="006A5950">
            <w:pPr>
              <w:jc w:val="center"/>
              <w:rPr>
                <w:rFonts w:hint="eastAsia" w:ascii="微软雅黑" w:hAnsi="微软雅黑" w:eastAsia="微软雅黑" w:cs="微软雅黑"/>
                <w:i/>
                <w:iCs/>
                <w:color w:val="000000"/>
                <w:sz w:val="16"/>
                <w:szCs w:val="16"/>
                <w:u w:val="none"/>
              </w:rPr>
            </w:pPr>
          </w:p>
        </w:tc>
        <w:tc>
          <w:tcPr>
            <w:tcW w:w="1289" w:type="pct"/>
            <w:tcBorders>
              <w:top w:val="single" w:color="000000" w:sz="4" w:space="0"/>
              <w:left w:val="single" w:color="000000" w:sz="4" w:space="0"/>
              <w:bottom w:val="nil"/>
              <w:right w:val="single" w:color="000000" w:sz="4" w:space="0"/>
            </w:tcBorders>
            <w:shd w:val="clear" w:color="auto" w:fill="auto"/>
            <w:vAlign w:val="center"/>
          </w:tcPr>
          <w:p w14:paraId="5ADA7EC5">
            <w:pPr>
              <w:jc w:val="center"/>
              <w:rPr>
                <w:rFonts w:hint="eastAsia" w:ascii="微软雅黑" w:hAnsi="微软雅黑" w:eastAsia="微软雅黑" w:cs="微软雅黑"/>
                <w:i/>
                <w:iCs/>
                <w:color w:val="000000"/>
                <w:sz w:val="16"/>
                <w:szCs w:val="16"/>
                <w:u w:val="none"/>
              </w:rPr>
            </w:pPr>
          </w:p>
        </w:tc>
        <w:tc>
          <w:tcPr>
            <w:tcW w:w="1020" w:type="pct"/>
            <w:gridSpan w:val="3"/>
            <w:tcBorders>
              <w:top w:val="single" w:color="000000" w:sz="4" w:space="0"/>
              <w:left w:val="single" w:color="000000" w:sz="4" w:space="0"/>
              <w:bottom w:val="nil"/>
              <w:right w:val="single" w:color="000000" w:sz="4" w:space="0"/>
            </w:tcBorders>
            <w:shd w:val="clear" w:color="auto" w:fill="auto"/>
            <w:vAlign w:val="center"/>
          </w:tcPr>
          <w:p w14:paraId="4F354BF5">
            <w:pPr>
              <w:jc w:val="center"/>
              <w:rPr>
                <w:rFonts w:hint="eastAsia" w:ascii="微软雅黑" w:hAnsi="微软雅黑" w:eastAsia="微软雅黑" w:cs="微软雅黑"/>
                <w:i/>
                <w:iCs/>
                <w:color w:val="000000"/>
                <w:sz w:val="16"/>
                <w:szCs w:val="16"/>
                <w:u w:val="none"/>
              </w:rPr>
            </w:pPr>
          </w:p>
        </w:tc>
        <w:tc>
          <w:tcPr>
            <w:tcW w:w="505" w:type="pct"/>
            <w:tcBorders>
              <w:top w:val="single" w:color="000000" w:sz="4" w:space="0"/>
              <w:left w:val="single" w:color="000000" w:sz="4" w:space="0"/>
              <w:bottom w:val="nil"/>
              <w:right w:val="single" w:color="000000" w:sz="4" w:space="0"/>
            </w:tcBorders>
            <w:shd w:val="clear" w:color="auto" w:fill="auto"/>
            <w:vAlign w:val="center"/>
          </w:tcPr>
          <w:p w14:paraId="73D3FEAA">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50F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EC4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2F21E">
            <w:pPr>
              <w:rPr>
                <w:rFonts w:hint="eastAsia" w:ascii="黑体" w:hAnsi="黑体" w:eastAsia="黑体" w:cs="黑体"/>
                <w:i/>
                <w:iCs/>
                <w:color w:val="000000"/>
                <w:sz w:val="18"/>
                <w:szCs w:val="18"/>
                <w:u w:val="none"/>
              </w:rPr>
            </w:pPr>
          </w:p>
        </w:tc>
      </w:tr>
      <w:tr w14:paraId="2B83A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731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322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171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7A6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E94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AE1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73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8D5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F3B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366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C65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9DB2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D1307">
            <w:pPr>
              <w:jc w:val="center"/>
              <w:rPr>
                <w:rFonts w:hint="eastAsia" w:ascii="宋体" w:hAnsi="宋体" w:eastAsia="宋体" w:cs="宋体"/>
                <w:i w:val="0"/>
                <w:iCs w:val="0"/>
                <w:color w:val="000000"/>
                <w:sz w:val="18"/>
                <w:szCs w:val="18"/>
                <w:u w:val="none"/>
              </w:rPr>
            </w:pP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1AC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059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8B3BE">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氟骨症任务数2000人</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A3F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759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78E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B20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A7A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BE9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718FA">
            <w:pPr>
              <w:jc w:val="center"/>
              <w:rPr>
                <w:rFonts w:hint="eastAsia" w:ascii="宋体" w:hAnsi="宋体" w:eastAsia="宋体" w:cs="宋体"/>
                <w:i w:val="0"/>
                <w:iCs w:val="0"/>
                <w:color w:val="000000"/>
                <w:sz w:val="18"/>
                <w:szCs w:val="18"/>
                <w:u w:val="none"/>
              </w:rPr>
            </w:pPr>
          </w:p>
        </w:tc>
      </w:tr>
      <w:tr w14:paraId="2BFED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5D81">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2E0CF">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F36FB">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4FDB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大骨节病任务数700人</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2FF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664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BDB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49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54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16D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86F99">
            <w:pPr>
              <w:jc w:val="center"/>
              <w:rPr>
                <w:rFonts w:hint="eastAsia" w:ascii="宋体" w:hAnsi="宋体" w:eastAsia="宋体" w:cs="宋体"/>
                <w:i w:val="0"/>
                <w:iCs w:val="0"/>
                <w:color w:val="000000"/>
                <w:sz w:val="18"/>
                <w:szCs w:val="18"/>
                <w:u w:val="none"/>
              </w:rPr>
            </w:pPr>
          </w:p>
        </w:tc>
      </w:tr>
      <w:tr w14:paraId="3D121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47FC6">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5018E">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7FA82">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D34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地方病监测完成率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A50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96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6AE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人</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864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A7A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D34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51C48">
            <w:pPr>
              <w:jc w:val="center"/>
              <w:rPr>
                <w:rFonts w:hint="eastAsia" w:ascii="宋体" w:hAnsi="宋体" w:eastAsia="宋体" w:cs="宋体"/>
                <w:i w:val="0"/>
                <w:iCs w:val="0"/>
                <w:color w:val="000000"/>
                <w:sz w:val="18"/>
                <w:szCs w:val="18"/>
                <w:u w:val="none"/>
              </w:rPr>
            </w:pPr>
          </w:p>
        </w:tc>
      </w:tr>
      <w:tr w14:paraId="31D47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DF64">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3A4B1">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96E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A38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地方病核心指标监测率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CF9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1A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E9B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EC4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BCD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0C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1A5F2">
            <w:pPr>
              <w:jc w:val="center"/>
              <w:rPr>
                <w:rFonts w:hint="eastAsia" w:ascii="宋体" w:hAnsi="宋体" w:eastAsia="宋体" w:cs="宋体"/>
                <w:i w:val="0"/>
                <w:iCs w:val="0"/>
                <w:color w:val="000000"/>
                <w:sz w:val="18"/>
                <w:szCs w:val="18"/>
                <w:u w:val="none"/>
              </w:rPr>
            </w:pPr>
          </w:p>
        </w:tc>
      </w:tr>
      <w:tr w14:paraId="4C4F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9DD22">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316DF">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49A4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可持续性影响指标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121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基本公共卫生服务水平</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BF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216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3A1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52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DD3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1C6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94F28">
            <w:pPr>
              <w:jc w:val="center"/>
              <w:rPr>
                <w:rFonts w:hint="eastAsia" w:ascii="宋体" w:hAnsi="宋体" w:eastAsia="宋体" w:cs="宋体"/>
                <w:i w:val="0"/>
                <w:iCs w:val="0"/>
                <w:color w:val="000000"/>
                <w:sz w:val="18"/>
                <w:szCs w:val="18"/>
                <w:u w:val="none"/>
              </w:rPr>
            </w:pPr>
          </w:p>
        </w:tc>
      </w:tr>
      <w:tr w14:paraId="234DC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5758B">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BC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986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733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免费发放药品覆盖率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68E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DEF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≥80%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6C5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default" w:ascii="仿宋_GB2312" w:hAnsi="宋体" w:eastAsia="仿宋_GB2312" w:cs="仿宋_GB2312"/>
                <w:i w:val="0"/>
                <w:iCs w:val="0"/>
                <w:color w:val="000000"/>
                <w:kern w:val="0"/>
                <w:sz w:val="24"/>
                <w:szCs w:val="24"/>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40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5B6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30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83F6">
            <w:pPr>
              <w:jc w:val="center"/>
              <w:rPr>
                <w:rFonts w:hint="eastAsia" w:ascii="宋体" w:hAnsi="宋体" w:eastAsia="宋体" w:cs="宋体"/>
                <w:i w:val="0"/>
                <w:iCs w:val="0"/>
                <w:color w:val="000000"/>
                <w:sz w:val="18"/>
                <w:szCs w:val="18"/>
                <w:u w:val="none"/>
              </w:rPr>
            </w:pPr>
          </w:p>
        </w:tc>
      </w:tr>
      <w:tr w14:paraId="73565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C400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A23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3F2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服务对象受益程度指标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630F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服务对象满意度</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B0E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Arial" w:hAnsi="Arial" w:eastAsia="宋体" w:cs="Arial"/>
                <w:i w:val="0"/>
                <w:iCs w:val="0"/>
                <w:color w:val="000000"/>
                <w:kern w:val="0"/>
                <w:sz w:val="24"/>
                <w:szCs w:val="24"/>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119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较上年提高</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449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40"/>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6D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7C1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8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0123E">
            <w:pPr>
              <w:jc w:val="center"/>
              <w:rPr>
                <w:rFonts w:hint="eastAsia" w:ascii="宋体" w:hAnsi="宋体" w:eastAsia="宋体" w:cs="宋体"/>
                <w:i w:val="0"/>
                <w:iCs w:val="0"/>
                <w:color w:val="000000"/>
                <w:sz w:val="18"/>
                <w:szCs w:val="18"/>
                <w:u w:val="none"/>
              </w:rPr>
            </w:pPr>
          </w:p>
        </w:tc>
      </w:tr>
      <w:tr w14:paraId="6C1E3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AA3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1DA4F">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933C0">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E17B7">
            <w:pPr>
              <w:jc w:val="center"/>
              <w:rPr>
                <w:rFonts w:hint="eastAsia" w:ascii="宋体" w:hAnsi="宋体" w:eastAsia="宋体" w:cs="宋体"/>
                <w:i w:val="0"/>
                <w:iCs w:val="0"/>
                <w:color w:val="000000"/>
                <w:sz w:val="18"/>
                <w:szCs w:val="18"/>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DC4CC">
            <w:pPr>
              <w:jc w:val="center"/>
              <w:rPr>
                <w:rFonts w:hint="eastAsia" w:ascii="宋体" w:hAnsi="宋体" w:eastAsia="宋体" w:cs="宋体"/>
                <w:i w:val="0"/>
                <w:iCs w:val="0"/>
                <w:color w:val="000000"/>
                <w:sz w:val="18"/>
                <w:szCs w:val="18"/>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F406E">
            <w:pPr>
              <w:jc w:val="center"/>
              <w:rPr>
                <w:rFonts w:hint="eastAsia" w:ascii="宋体" w:hAnsi="宋体" w:eastAsia="宋体" w:cs="宋体"/>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C050D">
            <w:pPr>
              <w:jc w:val="center"/>
              <w:rPr>
                <w:rFonts w:hint="eastAsia" w:ascii="宋体" w:hAnsi="宋体" w:eastAsia="宋体" w:cs="宋体"/>
                <w:i w:val="0"/>
                <w:iCs w:val="0"/>
                <w:color w:val="000000"/>
                <w:sz w:val="18"/>
                <w:szCs w:val="18"/>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B6D46">
            <w:pPr>
              <w:jc w:val="center"/>
              <w:rPr>
                <w:rFonts w:hint="eastAsia" w:ascii="宋体" w:hAnsi="宋体" w:eastAsia="宋体" w:cs="宋体"/>
                <w:i w:val="0"/>
                <w:iCs w:val="0"/>
                <w:color w:val="000000"/>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66A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10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CE0BF">
            <w:pPr>
              <w:jc w:val="center"/>
              <w:rPr>
                <w:rFonts w:hint="eastAsia" w:ascii="宋体" w:hAnsi="宋体" w:eastAsia="宋体" w:cs="宋体"/>
                <w:i w:val="0"/>
                <w:iCs w:val="0"/>
                <w:color w:val="000000"/>
                <w:sz w:val="18"/>
                <w:szCs w:val="18"/>
                <w:u w:val="none"/>
              </w:rPr>
            </w:pPr>
          </w:p>
        </w:tc>
      </w:tr>
      <w:tr w14:paraId="5EB1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nil"/>
              <w:left w:val="single" w:color="000000" w:sz="4" w:space="0"/>
              <w:bottom w:val="single" w:color="000000" w:sz="4" w:space="0"/>
              <w:right w:val="single" w:color="000000" w:sz="4" w:space="0"/>
            </w:tcBorders>
            <w:shd w:val="clear" w:color="auto" w:fill="auto"/>
            <w:vAlign w:val="center"/>
          </w:tcPr>
          <w:p w14:paraId="326FE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59" w:type="pct"/>
            <w:gridSpan w:val="10"/>
            <w:tcBorders>
              <w:top w:val="nil"/>
              <w:left w:val="single" w:color="000000" w:sz="4" w:space="0"/>
              <w:bottom w:val="single" w:color="000000" w:sz="4" w:space="0"/>
              <w:right w:val="single" w:color="000000" w:sz="4" w:space="0"/>
            </w:tcBorders>
            <w:shd w:val="clear" w:color="auto" w:fill="auto"/>
            <w:vAlign w:val="center"/>
          </w:tcPr>
          <w:p w14:paraId="2A12C9B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2023年实际完成免费发放大骨节病700人、氟骨症2000人药物治疗，完成率100%。项目各项指标已全部完成，项目工作质量较高，社会满意度良好，资金管理规范。</w:t>
            </w:r>
          </w:p>
        </w:tc>
      </w:tr>
      <w:tr w14:paraId="67EC1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35F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EF9D2F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虽然大骨节病、氟骨症患者人数每年在进行药物治疗，但是只能缓解病情，患者新增人员在逐渐减少</w:t>
            </w:r>
          </w:p>
        </w:tc>
      </w:tr>
      <w:tr w14:paraId="0613E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B1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23B86E5">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1.加强疾病预防及宣传</w:t>
            </w:r>
          </w:p>
          <w:p w14:paraId="5A2B8C2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2.加强物理治疗与药物治疗同时开展</w:t>
            </w:r>
          </w:p>
        </w:tc>
      </w:tr>
      <w:tr w14:paraId="35B12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6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33A11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项目负责人：郝洛</w:t>
            </w:r>
          </w:p>
        </w:tc>
        <w:tc>
          <w:tcPr>
            <w:tcW w:w="23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B4833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财务负责人：宋颖</w:t>
            </w:r>
          </w:p>
        </w:tc>
      </w:tr>
      <w:tr w14:paraId="6D4E8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nil"/>
              <w:left w:val="nil"/>
              <w:bottom w:val="nil"/>
              <w:right w:val="nil"/>
            </w:tcBorders>
            <w:shd w:val="clear" w:color="auto" w:fill="auto"/>
            <w:vAlign w:val="center"/>
          </w:tcPr>
          <w:p w14:paraId="0F055FE6">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14:paraId="29177534">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14:paraId="337405DA">
            <w:pPr>
              <w:rPr>
                <w:rFonts w:hint="eastAsia" w:ascii="宋体" w:hAnsi="宋体" w:eastAsia="宋体" w:cs="宋体"/>
                <w:i w:val="0"/>
                <w:iCs w:val="0"/>
                <w:color w:val="000000"/>
                <w:sz w:val="18"/>
                <w:szCs w:val="18"/>
                <w:u w:val="none"/>
              </w:rPr>
            </w:pPr>
          </w:p>
        </w:tc>
        <w:tc>
          <w:tcPr>
            <w:tcW w:w="1289" w:type="pct"/>
            <w:tcBorders>
              <w:top w:val="nil"/>
              <w:left w:val="nil"/>
              <w:bottom w:val="nil"/>
              <w:right w:val="nil"/>
            </w:tcBorders>
            <w:shd w:val="clear" w:color="auto" w:fill="auto"/>
            <w:vAlign w:val="center"/>
          </w:tcPr>
          <w:p w14:paraId="5A7EBFE5">
            <w:pPr>
              <w:rPr>
                <w:rFonts w:hint="eastAsia" w:ascii="宋体" w:hAnsi="宋体" w:eastAsia="宋体" w:cs="宋体"/>
                <w:i w:val="0"/>
                <w:iCs w:val="0"/>
                <w:color w:val="000000"/>
                <w:sz w:val="18"/>
                <w:szCs w:val="18"/>
                <w:u w:val="none"/>
              </w:rPr>
            </w:pPr>
          </w:p>
        </w:tc>
        <w:tc>
          <w:tcPr>
            <w:tcW w:w="268" w:type="pct"/>
            <w:tcBorders>
              <w:top w:val="nil"/>
              <w:left w:val="nil"/>
              <w:bottom w:val="nil"/>
              <w:right w:val="nil"/>
            </w:tcBorders>
            <w:shd w:val="clear" w:color="auto" w:fill="auto"/>
            <w:vAlign w:val="center"/>
          </w:tcPr>
          <w:p w14:paraId="06E8ED78">
            <w:pPr>
              <w:rPr>
                <w:rFonts w:hint="eastAsia" w:ascii="宋体" w:hAnsi="宋体" w:eastAsia="宋体" w:cs="宋体"/>
                <w:i w:val="0"/>
                <w:iCs w:val="0"/>
                <w:color w:val="000000"/>
                <w:sz w:val="18"/>
                <w:szCs w:val="18"/>
                <w:u w:val="none"/>
              </w:rPr>
            </w:pPr>
          </w:p>
        </w:tc>
        <w:tc>
          <w:tcPr>
            <w:tcW w:w="478" w:type="pct"/>
            <w:tcBorders>
              <w:top w:val="nil"/>
              <w:left w:val="nil"/>
              <w:bottom w:val="nil"/>
              <w:right w:val="nil"/>
            </w:tcBorders>
            <w:shd w:val="clear" w:color="auto" w:fill="auto"/>
            <w:vAlign w:val="center"/>
          </w:tcPr>
          <w:p w14:paraId="53612AAA">
            <w:pPr>
              <w:rPr>
                <w:rFonts w:hint="eastAsia" w:ascii="宋体" w:hAnsi="宋体" w:eastAsia="宋体" w:cs="宋体"/>
                <w:i w:val="0"/>
                <w:iCs w:val="0"/>
                <w:color w:val="000000"/>
                <w:sz w:val="18"/>
                <w:szCs w:val="18"/>
                <w:u w:val="none"/>
              </w:rPr>
            </w:pPr>
          </w:p>
        </w:tc>
        <w:tc>
          <w:tcPr>
            <w:tcW w:w="272" w:type="pct"/>
            <w:tcBorders>
              <w:top w:val="nil"/>
              <w:left w:val="nil"/>
              <w:bottom w:val="nil"/>
              <w:right w:val="nil"/>
            </w:tcBorders>
            <w:shd w:val="clear" w:color="auto" w:fill="auto"/>
            <w:vAlign w:val="center"/>
          </w:tcPr>
          <w:p w14:paraId="3A87CB1A">
            <w:pPr>
              <w:rPr>
                <w:rFonts w:hint="eastAsia" w:ascii="宋体" w:hAnsi="宋体" w:eastAsia="宋体" w:cs="宋体"/>
                <w:i w:val="0"/>
                <w:iCs w:val="0"/>
                <w:color w:val="000000"/>
                <w:sz w:val="18"/>
                <w:szCs w:val="18"/>
                <w:u w:val="none"/>
              </w:rPr>
            </w:pPr>
          </w:p>
        </w:tc>
        <w:tc>
          <w:tcPr>
            <w:tcW w:w="505" w:type="pct"/>
            <w:tcBorders>
              <w:top w:val="nil"/>
              <w:left w:val="nil"/>
              <w:bottom w:val="nil"/>
              <w:right w:val="nil"/>
            </w:tcBorders>
            <w:shd w:val="clear" w:color="auto" w:fill="auto"/>
            <w:vAlign w:val="center"/>
          </w:tcPr>
          <w:p w14:paraId="6FFFA447">
            <w:pPr>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14:paraId="59E15A78">
            <w:pPr>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14:paraId="547C2F6A">
            <w:pPr>
              <w:rPr>
                <w:rFonts w:hint="eastAsia" w:ascii="宋体" w:hAnsi="宋体" w:eastAsia="宋体" w:cs="宋体"/>
                <w:i w:val="0"/>
                <w:iCs w:val="0"/>
                <w:color w:val="000000"/>
                <w:sz w:val="18"/>
                <w:szCs w:val="18"/>
                <w:u w:val="none"/>
              </w:rPr>
            </w:pPr>
          </w:p>
        </w:tc>
        <w:tc>
          <w:tcPr>
            <w:tcW w:w="497" w:type="pct"/>
            <w:tcBorders>
              <w:top w:val="nil"/>
              <w:left w:val="nil"/>
              <w:bottom w:val="nil"/>
              <w:right w:val="nil"/>
            </w:tcBorders>
            <w:shd w:val="clear" w:color="auto" w:fill="auto"/>
            <w:vAlign w:val="center"/>
          </w:tcPr>
          <w:p w14:paraId="012EA576">
            <w:pPr>
              <w:rPr>
                <w:rFonts w:hint="eastAsia" w:ascii="宋体" w:hAnsi="宋体" w:eastAsia="宋体" w:cs="宋体"/>
                <w:i w:val="0"/>
                <w:iCs w:val="0"/>
                <w:color w:val="000000"/>
                <w:sz w:val="18"/>
                <w:szCs w:val="18"/>
                <w:u w:val="none"/>
              </w:rPr>
            </w:pPr>
          </w:p>
        </w:tc>
      </w:tr>
      <w:tr w14:paraId="48F1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B8AD69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E8E9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AF3D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A08027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51322422T000007448401</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职工周转房装修</w:t>
            </w:r>
          </w:p>
        </w:tc>
      </w:tr>
      <w:tr w14:paraId="27805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56FD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C42B1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05" w:type="pct"/>
            <w:tcBorders>
              <w:top w:val="nil"/>
              <w:left w:val="nil"/>
              <w:bottom w:val="nil"/>
              <w:right w:val="nil"/>
            </w:tcBorders>
            <w:shd w:val="clear" w:color="auto" w:fill="auto"/>
            <w:vAlign w:val="center"/>
          </w:tcPr>
          <w:p w14:paraId="0564A7A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1C16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松潘县中藏医院</w:t>
            </w:r>
          </w:p>
        </w:tc>
      </w:tr>
      <w:tr w14:paraId="47D7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607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8A47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975F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504FB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24B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098C6">
            <w:pP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211D4">
            <w:pPr>
              <w:rPr>
                <w:rFonts w:hint="eastAsia" w:ascii="宋体" w:hAnsi="宋体" w:eastAsia="宋体" w:cs="宋体"/>
                <w:i w:val="0"/>
                <w:iCs w:val="0"/>
                <w:color w:val="000000"/>
                <w:sz w:val="18"/>
                <w:szCs w:val="18"/>
                <w:u w:val="none"/>
              </w:rPr>
            </w:pP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7A5B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装修职工周转房，提升职工住宿质量。</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EE029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装修职工周转房，提升职工住宿质量。</w:t>
            </w:r>
          </w:p>
        </w:tc>
      </w:tr>
      <w:tr w14:paraId="76827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AFECE">
            <w:pP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BAF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4D6B4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完成阳光小区职工周转房装修20套，水管改造维修</w:t>
            </w:r>
          </w:p>
        </w:tc>
      </w:tr>
      <w:tr w14:paraId="79F7C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EEB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E41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F48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D26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4054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594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E8A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C32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ECC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260A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E9F8A">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E29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4F6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113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309C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A6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1A6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A5C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3B196">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364A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86688">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2BB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EA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41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04DC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DD5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36A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AAC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04967">
            <w:pPr>
              <w:rPr>
                <w:rFonts w:hint="eastAsia" w:ascii="黑体" w:hAnsi="黑体" w:eastAsia="黑体" w:cs="黑体"/>
                <w:i/>
                <w:iCs/>
                <w:color w:val="000000"/>
                <w:sz w:val="18"/>
                <w:szCs w:val="18"/>
                <w:u w:val="none"/>
              </w:rPr>
            </w:pPr>
          </w:p>
        </w:tc>
      </w:tr>
      <w:tr w14:paraId="3104B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CC49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109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86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A3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29B6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B08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455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9C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4B5B3">
            <w:pPr>
              <w:rPr>
                <w:rFonts w:hint="eastAsia" w:ascii="黑体" w:hAnsi="黑体" w:eastAsia="黑体" w:cs="黑体"/>
                <w:i/>
                <w:iCs/>
                <w:color w:val="000000"/>
                <w:sz w:val="18"/>
                <w:szCs w:val="18"/>
                <w:u w:val="none"/>
              </w:rPr>
            </w:pPr>
          </w:p>
        </w:tc>
      </w:tr>
      <w:tr w14:paraId="70853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F9EE2">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A26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84B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939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D5E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560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1BE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2F7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49ACF">
            <w:pPr>
              <w:rPr>
                <w:rFonts w:hint="eastAsia" w:ascii="黑体" w:hAnsi="黑体" w:eastAsia="黑体" w:cs="黑体"/>
                <w:i/>
                <w:iCs/>
                <w:color w:val="000000"/>
                <w:sz w:val="18"/>
                <w:szCs w:val="18"/>
                <w:u w:val="none"/>
              </w:rPr>
            </w:pPr>
          </w:p>
        </w:tc>
      </w:tr>
      <w:tr w14:paraId="06E9B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E599C">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D43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066E">
            <w:pPr>
              <w:jc w:val="center"/>
              <w:rPr>
                <w:rFonts w:hint="eastAsia" w:ascii="微软雅黑" w:hAnsi="微软雅黑" w:eastAsia="微软雅黑" w:cs="微软雅黑"/>
                <w:i/>
                <w:iCs/>
                <w:color w:val="000000"/>
                <w:sz w:val="16"/>
                <w:szCs w:val="16"/>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B711">
            <w:pPr>
              <w:jc w:val="center"/>
              <w:rPr>
                <w:rFonts w:hint="eastAsia" w:ascii="微软雅黑" w:hAnsi="微软雅黑" w:eastAsia="微软雅黑" w:cs="微软雅黑"/>
                <w:i/>
                <w:iCs/>
                <w:color w:val="000000"/>
                <w:sz w:val="16"/>
                <w:szCs w:val="16"/>
                <w:u w:val="none"/>
              </w:rPr>
            </w:pP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4C8D5C">
            <w:pPr>
              <w:jc w:val="center"/>
              <w:rPr>
                <w:rFonts w:hint="eastAsia" w:ascii="微软雅黑" w:hAnsi="微软雅黑" w:eastAsia="微软雅黑" w:cs="微软雅黑"/>
                <w:i/>
                <w:iCs/>
                <w:color w:val="000000"/>
                <w:sz w:val="16"/>
                <w:szCs w:val="16"/>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95B75">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389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348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49309">
            <w:pPr>
              <w:rPr>
                <w:rFonts w:hint="eastAsia" w:ascii="黑体" w:hAnsi="黑体" w:eastAsia="黑体" w:cs="黑体"/>
                <w:i/>
                <w:iCs/>
                <w:color w:val="000000"/>
                <w:sz w:val="18"/>
                <w:szCs w:val="18"/>
                <w:u w:val="none"/>
              </w:rPr>
            </w:pPr>
          </w:p>
        </w:tc>
      </w:tr>
      <w:tr w14:paraId="11C6A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E87E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76E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1B9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80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E9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363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F34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898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C9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8BC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F34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6DDB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C624D">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nil"/>
              <w:right w:val="nil"/>
            </w:tcBorders>
            <w:shd w:val="clear" w:color="auto" w:fill="auto"/>
            <w:vAlign w:val="center"/>
          </w:tcPr>
          <w:p w14:paraId="570CE4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8" w:type="pct"/>
            <w:tcBorders>
              <w:top w:val="single" w:color="000000" w:sz="4" w:space="0"/>
              <w:left w:val="single" w:color="000000" w:sz="4" w:space="0"/>
              <w:bottom w:val="nil"/>
              <w:right w:val="single" w:color="000000" w:sz="4" w:space="0"/>
            </w:tcBorders>
            <w:shd w:val="clear" w:color="auto" w:fill="auto"/>
            <w:vAlign w:val="center"/>
          </w:tcPr>
          <w:p w14:paraId="6A74D0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可持续性影响指标</w:t>
            </w:r>
          </w:p>
        </w:tc>
        <w:tc>
          <w:tcPr>
            <w:tcW w:w="1289" w:type="pct"/>
            <w:tcBorders>
              <w:top w:val="single" w:color="000000" w:sz="4" w:space="0"/>
              <w:left w:val="nil"/>
              <w:bottom w:val="nil"/>
              <w:right w:val="single" w:color="000000" w:sz="4" w:space="0"/>
            </w:tcBorders>
            <w:shd w:val="clear" w:color="auto" w:fill="auto"/>
            <w:vAlign w:val="center"/>
          </w:tcPr>
          <w:p w14:paraId="219334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职工住宿条件提升</w:t>
            </w:r>
          </w:p>
        </w:tc>
        <w:tc>
          <w:tcPr>
            <w:tcW w:w="268" w:type="pct"/>
            <w:tcBorders>
              <w:top w:val="single" w:color="000000" w:sz="4" w:space="0"/>
              <w:left w:val="single" w:color="000000" w:sz="4" w:space="0"/>
              <w:bottom w:val="nil"/>
              <w:right w:val="single" w:color="000000" w:sz="4" w:space="0"/>
            </w:tcBorders>
            <w:shd w:val="clear" w:color="auto" w:fill="auto"/>
            <w:vAlign w:val="center"/>
          </w:tcPr>
          <w:p w14:paraId="460371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较上年提高</w:t>
            </w:r>
          </w:p>
        </w:tc>
        <w:tc>
          <w:tcPr>
            <w:tcW w:w="478" w:type="pct"/>
            <w:tcBorders>
              <w:top w:val="single" w:color="000000" w:sz="4" w:space="0"/>
              <w:left w:val="single" w:color="000000" w:sz="4" w:space="0"/>
              <w:bottom w:val="nil"/>
              <w:right w:val="single" w:color="000000" w:sz="4" w:space="0"/>
            </w:tcBorders>
            <w:shd w:val="clear" w:color="auto" w:fill="auto"/>
            <w:vAlign w:val="center"/>
          </w:tcPr>
          <w:p w14:paraId="5020CC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较上年提高</w:t>
            </w:r>
          </w:p>
        </w:tc>
        <w:tc>
          <w:tcPr>
            <w:tcW w:w="272" w:type="pct"/>
            <w:tcBorders>
              <w:top w:val="single" w:color="000000" w:sz="4" w:space="0"/>
              <w:left w:val="single" w:color="000000" w:sz="4" w:space="0"/>
              <w:bottom w:val="nil"/>
              <w:right w:val="single" w:color="000000" w:sz="4" w:space="0"/>
            </w:tcBorders>
            <w:shd w:val="clear" w:color="auto" w:fill="auto"/>
            <w:vAlign w:val="center"/>
          </w:tcPr>
          <w:p w14:paraId="3EA637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37300E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2C79E1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2E99BA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E65D8">
            <w:pPr>
              <w:jc w:val="center"/>
              <w:rPr>
                <w:rFonts w:hint="eastAsia" w:ascii="宋体" w:hAnsi="宋体" w:eastAsia="宋体" w:cs="宋体"/>
                <w:i w:val="0"/>
                <w:iCs w:val="0"/>
                <w:color w:val="000000"/>
                <w:sz w:val="18"/>
                <w:szCs w:val="18"/>
                <w:u w:val="none"/>
              </w:rPr>
            </w:pPr>
          </w:p>
        </w:tc>
      </w:tr>
      <w:tr w14:paraId="2EA3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34725">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nil"/>
              <w:right w:val="nil"/>
            </w:tcBorders>
            <w:shd w:val="clear" w:color="auto" w:fill="auto"/>
            <w:vAlign w:val="center"/>
          </w:tcPr>
          <w:p w14:paraId="39B767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nil"/>
              <w:right w:val="single" w:color="000000" w:sz="4" w:space="0"/>
            </w:tcBorders>
            <w:shd w:val="clear" w:color="auto" w:fill="auto"/>
            <w:vAlign w:val="center"/>
          </w:tcPr>
          <w:p w14:paraId="72EF52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89" w:type="pct"/>
            <w:tcBorders>
              <w:top w:val="single" w:color="000000" w:sz="4" w:space="0"/>
              <w:left w:val="single" w:color="000000" w:sz="4" w:space="0"/>
              <w:bottom w:val="nil"/>
              <w:right w:val="single" w:color="000000" w:sz="4" w:space="0"/>
            </w:tcBorders>
            <w:shd w:val="clear" w:color="auto" w:fill="auto"/>
            <w:vAlign w:val="center"/>
          </w:tcPr>
          <w:p w14:paraId="1A08A0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完成年限</w:t>
            </w:r>
          </w:p>
        </w:tc>
        <w:tc>
          <w:tcPr>
            <w:tcW w:w="268" w:type="pct"/>
            <w:tcBorders>
              <w:top w:val="single" w:color="000000" w:sz="4" w:space="0"/>
              <w:left w:val="single" w:color="000000" w:sz="4" w:space="0"/>
              <w:bottom w:val="nil"/>
              <w:right w:val="single" w:color="000000" w:sz="4" w:space="0"/>
            </w:tcBorders>
            <w:shd w:val="clear" w:color="auto" w:fill="auto"/>
            <w:vAlign w:val="center"/>
          </w:tcPr>
          <w:p w14:paraId="3E4EF0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nil"/>
              <w:right w:val="single" w:color="000000" w:sz="4" w:space="0"/>
            </w:tcBorders>
            <w:shd w:val="clear" w:color="auto" w:fill="auto"/>
            <w:vAlign w:val="center"/>
          </w:tcPr>
          <w:p w14:paraId="13FE69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72" w:type="pct"/>
            <w:tcBorders>
              <w:top w:val="single" w:color="000000" w:sz="4" w:space="0"/>
              <w:left w:val="single" w:color="000000" w:sz="4" w:space="0"/>
              <w:bottom w:val="nil"/>
              <w:right w:val="single" w:color="000000" w:sz="4" w:space="0"/>
            </w:tcBorders>
            <w:shd w:val="clear" w:color="auto" w:fill="auto"/>
            <w:vAlign w:val="center"/>
          </w:tcPr>
          <w:p w14:paraId="6D46EC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65764E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1年</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106E6B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nil"/>
              <w:right w:val="single" w:color="000000" w:sz="4" w:space="0"/>
            </w:tcBorders>
            <w:shd w:val="clear" w:color="auto" w:fill="auto"/>
            <w:vAlign w:val="center"/>
          </w:tcPr>
          <w:p w14:paraId="3E167D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6284">
            <w:pPr>
              <w:jc w:val="center"/>
              <w:rPr>
                <w:rFonts w:hint="eastAsia" w:ascii="宋体" w:hAnsi="宋体" w:eastAsia="宋体" w:cs="宋体"/>
                <w:i w:val="0"/>
                <w:iCs w:val="0"/>
                <w:color w:val="000000"/>
                <w:sz w:val="18"/>
                <w:szCs w:val="18"/>
                <w:u w:val="none"/>
              </w:rPr>
            </w:pPr>
          </w:p>
        </w:tc>
      </w:tr>
      <w:tr w14:paraId="37934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3A63F">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nil"/>
              <w:right w:val="nil"/>
            </w:tcBorders>
            <w:shd w:val="clear" w:color="auto" w:fill="auto"/>
            <w:vAlign w:val="center"/>
          </w:tcPr>
          <w:p w14:paraId="3063FF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873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727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建设项目合格率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D6F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nil"/>
              <w:right w:val="single" w:color="000000" w:sz="4" w:space="0"/>
            </w:tcBorders>
            <w:shd w:val="clear" w:color="auto" w:fill="auto"/>
            <w:vAlign w:val="center"/>
          </w:tcPr>
          <w:p w14:paraId="2AB5DD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2" w:type="pct"/>
            <w:tcBorders>
              <w:top w:val="single" w:color="000000" w:sz="4" w:space="0"/>
              <w:left w:val="single" w:color="000000" w:sz="4" w:space="0"/>
              <w:bottom w:val="nil"/>
              <w:right w:val="single" w:color="000000" w:sz="4" w:space="0"/>
            </w:tcBorders>
            <w:shd w:val="clear" w:color="auto" w:fill="auto"/>
            <w:vAlign w:val="center"/>
          </w:tcPr>
          <w:p w14:paraId="238E23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716A2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B9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1F6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B68F8">
            <w:pPr>
              <w:jc w:val="center"/>
              <w:rPr>
                <w:rFonts w:hint="eastAsia" w:ascii="宋体" w:hAnsi="宋体" w:eastAsia="宋体" w:cs="宋体"/>
                <w:i w:val="0"/>
                <w:iCs w:val="0"/>
                <w:color w:val="000000"/>
                <w:sz w:val="18"/>
                <w:szCs w:val="18"/>
                <w:u w:val="none"/>
              </w:rPr>
            </w:pPr>
          </w:p>
        </w:tc>
      </w:tr>
      <w:tr w14:paraId="647E8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6ABAA">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F37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91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8EF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装修职工周转房20套</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9E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844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8E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954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1FB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138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2A607">
            <w:pPr>
              <w:jc w:val="center"/>
              <w:rPr>
                <w:rFonts w:hint="eastAsia" w:ascii="宋体" w:hAnsi="宋体" w:eastAsia="宋体" w:cs="宋体"/>
                <w:i w:val="0"/>
                <w:iCs w:val="0"/>
                <w:color w:val="000000"/>
                <w:sz w:val="18"/>
                <w:szCs w:val="18"/>
                <w:u w:val="none"/>
              </w:rPr>
            </w:pPr>
          </w:p>
        </w:tc>
      </w:tr>
      <w:tr w14:paraId="5D53B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950F8">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CAA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C44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CF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周转房20套</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649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D78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F63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0B4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D17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FFB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0F5D">
            <w:pPr>
              <w:jc w:val="center"/>
              <w:rPr>
                <w:rFonts w:hint="eastAsia" w:ascii="宋体" w:hAnsi="宋体" w:eastAsia="宋体" w:cs="宋体"/>
                <w:i w:val="0"/>
                <w:iCs w:val="0"/>
                <w:color w:val="000000"/>
                <w:sz w:val="18"/>
                <w:szCs w:val="18"/>
                <w:u w:val="none"/>
              </w:rPr>
            </w:pPr>
          </w:p>
        </w:tc>
      </w:tr>
      <w:tr w14:paraId="7D84F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6D825">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1ED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6E9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E3F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职工满意度</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06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D49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1AF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BB44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C78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2B9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6C930">
            <w:pPr>
              <w:jc w:val="center"/>
              <w:rPr>
                <w:rFonts w:hint="eastAsia" w:ascii="微软雅黑" w:hAnsi="微软雅黑" w:eastAsia="微软雅黑" w:cs="微软雅黑"/>
                <w:i/>
                <w:iCs/>
                <w:color w:val="000000"/>
                <w:sz w:val="16"/>
                <w:szCs w:val="16"/>
                <w:u w:val="none"/>
              </w:rPr>
            </w:pPr>
          </w:p>
        </w:tc>
      </w:tr>
      <w:tr w14:paraId="713CF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175BB">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A8E67">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53791">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FB3F5">
            <w:pPr>
              <w:jc w:val="center"/>
              <w:rPr>
                <w:rFonts w:hint="eastAsia" w:ascii="宋体" w:hAnsi="宋体" w:eastAsia="宋体" w:cs="宋体"/>
                <w:i w:val="0"/>
                <w:iCs w:val="0"/>
                <w:color w:val="000000"/>
                <w:sz w:val="18"/>
                <w:szCs w:val="18"/>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F258">
            <w:pPr>
              <w:jc w:val="center"/>
              <w:rPr>
                <w:rFonts w:hint="eastAsia" w:ascii="宋体" w:hAnsi="宋体" w:eastAsia="宋体" w:cs="宋体"/>
                <w:i w:val="0"/>
                <w:iCs w:val="0"/>
                <w:color w:val="000000"/>
                <w:sz w:val="18"/>
                <w:szCs w:val="18"/>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E695C">
            <w:pPr>
              <w:jc w:val="center"/>
              <w:rPr>
                <w:rFonts w:hint="eastAsia" w:ascii="宋体" w:hAnsi="宋体" w:eastAsia="宋体" w:cs="宋体"/>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B52FA">
            <w:pPr>
              <w:jc w:val="center"/>
              <w:rPr>
                <w:rFonts w:hint="eastAsia" w:ascii="宋体" w:hAnsi="宋体" w:eastAsia="宋体" w:cs="宋体"/>
                <w:i w:val="0"/>
                <w:iCs w:val="0"/>
                <w:color w:val="000000"/>
                <w:sz w:val="18"/>
                <w:szCs w:val="18"/>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4B900">
            <w:pPr>
              <w:jc w:val="center"/>
              <w:rPr>
                <w:rFonts w:hint="eastAsia" w:ascii="宋体" w:hAnsi="宋体" w:eastAsia="宋体" w:cs="宋体"/>
                <w:i w:val="0"/>
                <w:iCs w:val="0"/>
                <w:color w:val="000000"/>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DA6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A21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4152C">
            <w:pPr>
              <w:rPr>
                <w:rFonts w:hint="eastAsia" w:ascii="宋体" w:hAnsi="宋体" w:eastAsia="宋体" w:cs="宋体"/>
                <w:i w:val="0"/>
                <w:iCs w:val="0"/>
                <w:color w:val="000000"/>
                <w:sz w:val="18"/>
                <w:szCs w:val="18"/>
                <w:u w:val="none"/>
              </w:rPr>
            </w:pPr>
          </w:p>
        </w:tc>
      </w:tr>
      <w:tr w14:paraId="1AF5D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B2A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D664BE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本项目解决我院（阳光小区）职工用水难的问题</w:t>
            </w:r>
          </w:p>
        </w:tc>
      </w:tr>
      <w:tr w14:paraId="25221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BE6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A0CEAE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单位项目总体情况分析和自查，发现存在以下问题：首先是推进速度较慢；最后是预算执行进度不均衡。年度预算时，在进行调查研究的基础上，充分论证项目立项的必要性、投入经济性、绩效目标合理性、实施方案可行性，确保项目具有可操作性，项目实施达到预期效果，发挥最大效益。</w:t>
            </w:r>
          </w:p>
        </w:tc>
      </w:tr>
      <w:tr w14:paraId="4E340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DA4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D8564E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一是对水管进行改造维护，</w:t>
            </w:r>
          </w:p>
        </w:tc>
      </w:tr>
      <w:tr w14:paraId="19491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6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A66CC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项目负责人：郝洛</w:t>
            </w:r>
          </w:p>
        </w:tc>
        <w:tc>
          <w:tcPr>
            <w:tcW w:w="23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2E422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财务负责人：宋颖</w:t>
            </w:r>
          </w:p>
        </w:tc>
      </w:tr>
      <w:tr w14:paraId="742E5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nil"/>
              <w:left w:val="nil"/>
              <w:bottom w:val="nil"/>
              <w:right w:val="nil"/>
            </w:tcBorders>
            <w:shd w:val="clear" w:color="auto" w:fill="auto"/>
            <w:vAlign w:val="center"/>
          </w:tcPr>
          <w:p w14:paraId="4410B01D">
            <w:pP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BFEB7">
            <w:pPr>
              <w:jc w:val="center"/>
              <w:rPr>
                <w:rFonts w:hint="eastAsia" w:ascii="黑体" w:hAnsi="宋体" w:eastAsia="黑体" w:cs="黑体"/>
                <w:b/>
                <w:bCs/>
                <w:i w:val="0"/>
                <w:iCs w:val="0"/>
                <w:color w:val="000000"/>
                <w:sz w:val="30"/>
                <w:szCs w:val="30"/>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43E26">
            <w:pPr>
              <w:jc w:val="center"/>
              <w:rPr>
                <w:rFonts w:hint="eastAsia" w:ascii="黑体" w:hAnsi="宋体" w:eastAsia="黑体" w:cs="黑体"/>
                <w:b/>
                <w:bCs/>
                <w:i w:val="0"/>
                <w:iCs w:val="0"/>
                <w:color w:val="000000"/>
                <w:sz w:val="30"/>
                <w:szCs w:val="30"/>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65214">
            <w:pPr>
              <w:jc w:val="center"/>
              <w:rPr>
                <w:rFonts w:hint="eastAsia" w:ascii="黑体" w:hAnsi="宋体" w:eastAsia="黑体" w:cs="黑体"/>
                <w:b/>
                <w:bCs/>
                <w:i w:val="0"/>
                <w:iCs w:val="0"/>
                <w:color w:val="000000"/>
                <w:sz w:val="30"/>
                <w:szCs w:val="30"/>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032D7">
            <w:pPr>
              <w:jc w:val="center"/>
              <w:rPr>
                <w:rFonts w:hint="eastAsia" w:ascii="黑体" w:hAnsi="宋体" w:eastAsia="黑体" w:cs="黑体"/>
                <w:b/>
                <w:bCs/>
                <w:i w:val="0"/>
                <w:iCs w:val="0"/>
                <w:color w:val="000000"/>
                <w:sz w:val="30"/>
                <w:szCs w:val="30"/>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1E542">
            <w:pPr>
              <w:jc w:val="center"/>
              <w:rPr>
                <w:rFonts w:hint="eastAsia" w:ascii="黑体" w:hAnsi="宋体" w:eastAsia="黑体" w:cs="黑体"/>
                <w:b/>
                <w:bCs/>
                <w:i w:val="0"/>
                <w:iCs w:val="0"/>
                <w:color w:val="000000"/>
                <w:sz w:val="30"/>
                <w:szCs w:val="30"/>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C9472">
            <w:pPr>
              <w:jc w:val="center"/>
              <w:rPr>
                <w:rFonts w:hint="eastAsia" w:ascii="黑体" w:hAnsi="宋体" w:eastAsia="黑体" w:cs="黑体"/>
                <w:b/>
                <w:bCs/>
                <w:i w:val="0"/>
                <w:iCs w:val="0"/>
                <w:color w:val="000000"/>
                <w:sz w:val="30"/>
                <w:szCs w:val="30"/>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450D6">
            <w:pPr>
              <w:jc w:val="center"/>
              <w:rPr>
                <w:rFonts w:hint="eastAsia" w:ascii="黑体" w:hAnsi="宋体" w:eastAsia="黑体" w:cs="黑体"/>
                <w:b/>
                <w:bCs/>
                <w:i w:val="0"/>
                <w:iCs w:val="0"/>
                <w:color w:val="000000"/>
                <w:sz w:val="30"/>
                <w:szCs w:val="3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A8EEF">
            <w:pPr>
              <w:jc w:val="center"/>
              <w:rPr>
                <w:rFonts w:hint="eastAsia" w:ascii="黑体" w:hAnsi="宋体" w:eastAsia="黑体" w:cs="黑体"/>
                <w:b/>
                <w:bCs/>
                <w:i w:val="0"/>
                <w:iCs w:val="0"/>
                <w:color w:val="000000"/>
                <w:sz w:val="30"/>
                <w:szCs w:val="3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8D737">
            <w:pPr>
              <w:jc w:val="center"/>
              <w:rPr>
                <w:rFonts w:hint="eastAsia" w:ascii="黑体" w:hAnsi="宋体" w:eastAsia="黑体" w:cs="黑体"/>
                <w:b/>
                <w:bCs/>
                <w:i w:val="0"/>
                <w:iCs w:val="0"/>
                <w:color w:val="000000"/>
                <w:sz w:val="30"/>
                <w:szCs w:val="3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A5E95">
            <w:pPr>
              <w:jc w:val="center"/>
              <w:rPr>
                <w:rFonts w:hint="eastAsia" w:ascii="黑体" w:hAnsi="宋体" w:eastAsia="黑体" w:cs="黑体"/>
                <w:b/>
                <w:bCs/>
                <w:i w:val="0"/>
                <w:iCs w:val="0"/>
                <w:color w:val="000000"/>
                <w:sz w:val="30"/>
                <w:szCs w:val="30"/>
                <w:u w:val="none"/>
              </w:rPr>
            </w:pPr>
          </w:p>
        </w:tc>
      </w:tr>
      <w:tr w14:paraId="5E015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DEB8572">
            <w:pPr>
              <w:keepNext w:val="0"/>
              <w:keepLines w:val="0"/>
              <w:widowControl/>
              <w:suppressLineNumbers w:val="0"/>
              <w:jc w:val="center"/>
              <w:textAlignment w:val="center"/>
              <w:rPr>
                <w:rFonts w:hint="eastAsia"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部门预算项目支出绩效自评表（2023年度）</w:t>
            </w:r>
          </w:p>
        </w:tc>
      </w:tr>
      <w:tr w14:paraId="4B21C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90AA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07557">
            <w:pPr>
              <w:rPr>
                <w:rFonts w:hint="eastAsia" w:ascii="宋体" w:hAnsi="宋体" w:eastAsia="宋体" w:cs="宋体"/>
                <w:i w:val="0"/>
                <w:iCs w:val="0"/>
                <w:color w:val="000000"/>
                <w:sz w:val="18"/>
                <w:szCs w:val="18"/>
                <w:u w:val="none"/>
              </w:rPr>
            </w:pP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AE4C89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51322423T000009678023</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松潘县中藏医院彩超设备采购项目</w:t>
            </w:r>
          </w:p>
        </w:tc>
      </w:tr>
      <w:tr w14:paraId="08A9A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B2D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20CDE">
            <w:pPr>
              <w:rPr>
                <w:rFonts w:hint="eastAsia" w:ascii="宋体" w:hAnsi="宋体" w:eastAsia="宋体" w:cs="宋体"/>
                <w:i w:val="0"/>
                <w:iCs w:val="0"/>
                <w:color w:val="000000"/>
                <w:sz w:val="18"/>
                <w:szCs w:val="18"/>
                <w:u w:val="none"/>
              </w:rPr>
            </w:pP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B17F0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05" w:type="pct"/>
            <w:tcBorders>
              <w:top w:val="nil"/>
              <w:left w:val="nil"/>
              <w:bottom w:val="nil"/>
              <w:right w:val="nil"/>
            </w:tcBorders>
            <w:shd w:val="clear" w:color="auto" w:fill="auto"/>
            <w:vAlign w:val="center"/>
          </w:tcPr>
          <w:p w14:paraId="045ADE5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F8D9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松潘县中藏医院</w:t>
            </w:r>
          </w:p>
        </w:tc>
      </w:tr>
      <w:tr w14:paraId="5660F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0082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EBC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3D0D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A31F5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D97C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1E108">
            <w:pP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564F8">
            <w:pPr>
              <w:rPr>
                <w:rFonts w:hint="eastAsia" w:ascii="宋体" w:hAnsi="宋体" w:eastAsia="宋体" w:cs="宋体"/>
                <w:i w:val="0"/>
                <w:iCs w:val="0"/>
                <w:color w:val="000000"/>
                <w:sz w:val="18"/>
                <w:szCs w:val="18"/>
                <w:u w:val="none"/>
              </w:rPr>
            </w:pPr>
          </w:p>
        </w:tc>
        <w:tc>
          <w:tcPr>
            <w:tcW w:w="26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AEE36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加强医院软件建设，提升医院服务能力</w:t>
            </w:r>
          </w:p>
        </w:tc>
        <w:tc>
          <w:tcPr>
            <w:tcW w:w="15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027BE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加强医院软件建设，提升医院服务能力</w:t>
            </w:r>
          </w:p>
        </w:tc>
      </w:tr>
      <w:tr w14:paraId="435E5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038F4">
            <w:pP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1B13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2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7D588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今年以来，随着旅游的复苏游客数量激增，心血管疾病病例增多，特别</w:t>
            </w:r>
            <w:r>
              <w:rPr>
                <w:rFonts w:hint="eastAsia" w:ascii="宋体" w:hAnsi="宋体" w:cs="宋体"/>
                <w:i w:val="0"/>
                <w:iCs w:val="0"/>
                <w:color w:val="000000"/>
                <w:kern w:val="0"/>
                <w:sz w:val="18"/>
                <w:szCs w:val="18"/>
                <w:u w:val="none"/>
                <w:lang w:val="en-US" w:eastAsia="zh-CN" w:bidi="ar"/>
              </w:rPr>
              <w:t>是</w:t>
            </w:r>
            <w:r>
              <w:rPr>
                <w:rFonts w:ascii="宋体" w:hAnsi="宋体" w:eastAsia="宋体" w:cs="宋体"/>
                <w:i w:val="0"/>
                <w:iCs w:val="0"/>
                <w:color w:val="000000"/>
                <w:kern w:val="0"/>
                <w:sz w:val="18"/>
                <w:szCs w:val="18"/>
                <w:u w:val="none"/>
                <w:lang w:val="en-US" w:eastAsia="zh-CN" w:bidi="ar"/>
              </w:rPr>
              <w:t>黄龙景区的返回的游客发病率更高</w:t>
            </w:r>
          </w:p>
        </w:tc>
      </w:tr>
      <w:tr w14:paraId="20F5D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245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B84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112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5AD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433F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A2E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871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0E5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668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672C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9D21E">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240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05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DC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87.93</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24F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87.93</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7A2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E57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EBB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57F0B">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CC8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4853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D3A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DE6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0ED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87.93</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337B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87.93</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A90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9E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BBF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54A29">
            <w:pPr>
              <w:rPr>
                <w:rFonts w:hint="eastAsia" w:ascii="黑体" w:hAnsi="黑体" w:eastAsia="黑体" w:cs="黑体"/>
                <w:i/>
                <w:iCs/>
                <w:color w:val="000000"/>
                <w:sz w:val="18"/>
                <w:szCs w:val="18"/>
                <w:u w:val="none"/>
              </w:rPr>
            </w:pPr>
          </w:p>
        </w:tc>
      </w:tr>
      <w:tr w14:paraId="69F59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5D29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ACC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444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D7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F7F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6EF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832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8B3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8A311">
            <w:pPr>
              <w:rPr>
                <w:rFonts w:hint="eastAsia" w:ascii="黑体" w:hAnsi="黑体" w:eastAsia="黑体" w:cs="黑体"/>
                <w:i/>
                <w:iCs/>
                <w:color w:val="000000"/>
                <w:sz w:val="18"/>
                <w:szCs w:val="18"/>
                <w:u w:val="none"/>
              </w:rPr>
            </w:pPr>
          </w:p>
        </w:tc>
      </w:tr>
      <w:tr w14:paraId="15575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FFD82">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0DB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126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653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4ACD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E4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F9C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726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B1E4F">
            <w:pPr>
              <w:rPr>
                <w:rFonts w:hint="eastAsia" w:ascii="黑体" w:hAnsi="黑体" w:eastAsia="黑体" w:cs="黑体"/>
                <w:i/>
                <w:iCs/>
                <w:color w:val="000000"/>
                <w:sz w:val="18"/>
                <w:szCs w:val="18"/>
                <w:u w:val="none"/>
              </w:rPr>
            </w:pPr>
          </w:p>
        </w:tc>
      </w:tr>
      <w:tr w14:paraId="55250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9D8B8">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BD2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F04F9">
            <w:pPr>
              <w:jc w:val="center"/>
              <w:rPr>
                <w:rFonts w:hint="eastAsia" w:ascii="微软雅黑" w:hAnsi="微软雅黑" w:eastAsia="微软雅黑" w:cs="微软雅黑"/>
                <w:i/>
                <w:iCs/>
                <w:color w:val="000000"/>
                <w:sz w:val="16"/>
                <w:szCs w:val="16"/>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48584">
            <w:pPr>
              <w:jc w:val="center"/>
              <w:rPr>
                <w:rFonts w:hint="eastAsia" w:ascii="微软雅黑" w:hAnsi="微软雅黑" w:eastAsia="微软雅黑" w:cs="微软雅黑"/>
                <w:i/>
                <w:iCs/>
                <w:color w:val="000000"/>
                <w:sz w:val="16"/>
                <w:szCs w:val="16"/>
                <w:u w:val="none"/>
              </w:rPr>
            </w:pPr>
          </w:p>
        </w:tc>
        <w:tc>
          <w:tcPr>
            <w:tcW w:w="10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07300A">
            <w:pPr>
              <w:jc w:val="center"/>
              <w:rPr>
                <w:rFonts w:hint="eastAsia" w:ascii="微软雅黑" w:hAnsi="微软雅黑" w:eastAsia="微软雅黑" w:cs="微软雅黑"/>
                <w:i/>
                <w:iCs/>
                <w:color w:val="000000"/>
                <w:sz w:val="16"/>
                <w:szCs w:val="16"/>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14639">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08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70A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F48F1">
            <w:pPr>
              <w:rPr>
                <w:rFonts w:hint="eastAsia" w:ascii="黑体" w:hAnsi="黑体" w:eastAsia="黑体" w:cs="黑体"/>
                <w:i/>
                <w:iCs/>
                <w:color w:val="000000"/>
                <w:sz w:val="18"/>
                <w:szCs w:val="18"/>
                <w:u w:val="none"/>
              </w:rPr>
            </w:pPr>
          </w:p>
        </w:tc>
      </w:tr>
      <w:tr w14:paraId="540B7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CA8A1">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AA8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EE8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250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810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8F6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1D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C52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88C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88B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24E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106E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830D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65E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25A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1D9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设备采购数量</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5C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B3E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214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04D94F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F03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29E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2A032">
            <w:pPr>
              <w:jc w:val="center"/>
              <w:rPr>
                <w:rFonts w:hint="eastAsia" w:ascii="宋体" w:hAnsi="宋体" w:eastAsia="宋体" w:cs="宋体"/>
                <w:i w:val="0"/>
                <w:iCs w:val="0"/>
                <w:color w:val="000000"/>
                <w:sz w:val="18"/>
                <w:szCs w:val="18"/>
                <w:u w:val="none"/>
              </w:rPr>
            </w:pPr>
          </w:p>
        </w:tc>
      </w:tr>
      <w:tr w14:paraId="69BFD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9223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C2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093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B9E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政府采购率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788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A75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42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007AD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C82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92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89AE">
            <w:pPr>
              <w:jc w:val="center"/>
              <w:rPr>
                <w:rFonts w:hint="eastAsia" w:ascii="微软雅黑" w:hAnsi="微软雅黑" w:eastAsia="微软雅黑" w:cs="微软雅黑"/>
                <w:i/>
                <w:iCs/>
                <w:color w:val="000000"/>
                <w:sz w:val="16"/>
                <w:szCs w:val="16"/>
                <w:u w:val="none"/>
              </w:rPr>
            </w:pPr>
          </w:p>
        </w:tc>
      </w:tr>
      <w:tr w14:paraId="71D97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01E7E">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AFE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5A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182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设备产出合格率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992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C29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35A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063D7A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E98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FCD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7AA81">
            <w:pPr>
              <w:rPr>
                <w:rFonts w:hint="eastAsia" w:ascii="宋体" w:hAnsi="宋体" w:eastAsia="宋体" w:cs="宋体"/>
                <w:i w:val="0"/>
                <w:iCs w:val="0"/>
                <w:color w:val="000000"/>
                <w:sz w:val="18"/>
                <w:szCs w:val="18"/>
                <w:u w:val="none"/>
              </w:rPr>
            </w:pPr>
          </w:p>
        </w:tc>
      </w:tr>
      <w:tr w14:paraId="2443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26A33">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2F5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6B3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B17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安装工程验收合格率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711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CD8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62A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78F9E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BB9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A94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D99BD">
            <w:pPr>
              <w:rPr>
                <w:rFonts w:hint="eastAsia" w:ascii="宋体" w:hAnsi="宋体" w:eastAsia="宋体" w:cs="宋体"/>
                <w:i w:val="0"/>
                <w:iCs w:val="0"/>
                <w:color w:val="000000"/>
                <w:sz w:val="18"/>
                <w:szCs w:val="18"/>
                <w:u w:val="none"/>
              </w:rPr>
            </w:pPr>
          </w:p>
        </w:tc>
      </w:tr>
      <w:tr w14:paraId="2E65F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25645">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191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916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A46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设备利用率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F98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A76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F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6DCC83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E9D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F9F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F30C6">
            <w:pPr>
              <w:rPr>
                <w:rFonts w:hint="eastAsia" w:ascii="宋体" w:hAnsi="宋体" w:eastAsia="宋体" w:cs="宋体"/>
                <w:i w:val="0"/>
                <w:iCs w:val="0"/>
                <w:color w:val="000000"/>
                <w:sz w:val="18"/>
                <w:szCs w:val="18"/>
                <w:u w:val="none"/>
              </w:rPr>
            </w:pPr>
          </w:p>
        </w:tc>
      </w:tr>
      <w:tr w14:paraId="25805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CBEB">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B8D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5B6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19B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使用对象满意度</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E3B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77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09D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5" w:type="pct"/>
            <w:tcBorders>
              <w:top w:val="single" w:color="000000" w:sz="4" w:space="0"/>
              <w:left w:val="single" w:color="000000" w:sz="4" w:space="0"/>
              <w:bottom w:val="nil"/>
              <w:right w:val="single" w:color="000000" w:sz="4" w:space="0"/>
            </w:tcBorders>
            <w:shd w:val="clear" w:color="auto" w:fill="auto"/>
            <w:vAlign w:val="center"/>
          </w:tcPr>
          <w:p w14:paraId="18AF9F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632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14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AA1D4">
            <w:pPr>
              <w:rPr>
                <w:rFonts w:hint="eastAsia" w:ascii="宋体" w:hAnsi="宋体" w:eastAsia="宋体" w:cs="宋体"/>
                <w:i w:val="0"/>
                <w:iCs w:val="0"/>
                <w:color w:val="000000"/>
                <w:sz w:val="18"/>
                <w:szCs w:val="18"/>
                <w:u w:val="none"/>
              </w:rPr>
            </w:pPr>
          </w:p>
        </w:tc>
      </w:tr>
      <w:tr w14:paraId="4CB58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7F6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CD377">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697E0">
            <w:pPr>
              <w:jc w:val="center"/>
              <w:rPr>
                <w:rFonts w:hint="eastAsia" w:ascii="宋体" w:hAnsi="宋体" w:eastAsia="宋体" w:cs="宋体"/>
                <w:i w:val="0"/>
                <w:iCs w:val="0"/>
                <w:color w:val="000000"/>
                <w:sz w:val="18"/>
                <w:szCs w:val="18"/>
                <w:u w:val="none"/>
              </w:rPr>
            </w:pPr>
          </w:p>
        </w:tc>
        <w:tc>
          <w:tcPr>
            <w:tcW w:w="1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EC00D">
            <w:pPr>
              <w:jc w:val="center"/>
              <w:rPr>
                <w:rFonts w:hint="eastAsia" w:ascii="宋体" w:hAnsi="宋体" w:eastAsia="宋体" w:cs="宋体"/>
                <w:i w:val="0"/>
                <w:iCs w:val="0"/>
                <w:color w:val="000000"/>
                <w:sz w:val="18"/>
                <w:szCs w:val="18"/>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2C708">
            <w:pPr>
              <w:jc w:val="center"/>
              <w:rPr>
                <w:rFonts w:hint="eastAsia" w:ascii="宋体" w:hAnsi="宋体" w:eastAsia="宋体" w:cs="宋体"/>
                <w:i w:val="0"/>
                <w:iCs w:val="0"/>
                <w:color w:val="000000"/>
                <w:sz w:val="18"/>
                <w:szCs w:val="18"/>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3C439">
            <w:pPr>
              <w:jc w:val="center"/>
              <w:rPr>
                <w:rFonts w:hint="eastAsia" w:ascii="宋体" w:hAnsi="宋体" w:eastAsia="宋体" w:cs="宋体"/>
                <w:i w:val="0"/>
                <w:iCs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087EF">
            <w:pPr>
              <w:jc w:val="center"/>
              <w:rPr>
                <w:rFonts w:hint="eastAsia" w:ascii="宋体" w:hAnsi="宋体" w:eastAsia="宋体" w:cs="宋体"/>
                <w:i w:val="0"/>
                <w:iCs w:val="0"/>
                <w:color w:val="000000"/>
                <w:sz w:val="18"/>
                <w:szCs w:val="18"/>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244CA">
            <w:pPr>
              <w:jc w:val="center"/>
              <w:rPr>
                <w:rFonts w:hint="eastAsia" w:ascii="宋体" w:hAnsi="宋体" w:eastAsia="宋体" w:cs="宋体"/>
                <w:i w:val="0"/>
                <w:iCs w:val="0"/>
                <w:color w:val="000000"/>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EB1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1B7D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97CC0">
            <w:pPr>
              <w:rPr>
                <w:rFonts w:hint="eastAsia" w:ascii="宋体" w:hAnsi="宋体" w:eastAsia="宋体" w:cs="宋体"/>
                <w:i w:val="0"/>
                <w:iCs w:val="0"/>
                <w:color w:val="000000"/>
                <w:sz w:val="18"/>
                <w:szCs w:val="18"/>
                <w:u w:val="none"/>
              </w:rPr>
            </w:pPr>
          </w:p>
        </w:tc>
      </w:tr>
      <w:tr w14:paraId="44AB8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E8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09C4BB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今年以来，随着旅游的复苏游客数量激增，心血管疾病病例增多，特别是</w:t>
            </w:r>
            <w:bookmarkStart w:id="127" w:name="_GoBack"/>
            <w:bookmarkEnd w:id="127"/>
            <w:r>
              <w:rPr>
                <w:rFonts w:hint="eastAsia" w:ascii="微软雅黑" w:hAnsi="微软雅黑" w:eastAsia="微软雅黑" w:cs="微软雅黑"/>
                <w:i/>
                <w:iCs/>
                <w:color w:val="000000"/>
                <w:kern w:val="0"/>
                <w:sz w:val="16"/>
                <w:szCs w:val="16"/>
                <w:u w:val="none"/>
                <w:lang w:val="en-US" w:eastAsia="zh-CN" w:bidi="ar"/>
              </w:rPr>
              <w:t>黄龙景区的返回的游客发病率更高。</w:t>
            </w:r>
          </w:p>
        </w:tc>
      </w:tr>
      <w:tr w14:paraId="01BD8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A06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056B31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设备人员培训不足，医疗设备的操作和维护需要专业人员进行操作，但医院的医疗人员有限，导致设备的维护难以保障。</w:t>
            </w:r>
          </w:p>
        </w:tc>
      </w:tr>
      <w:tr w14:paraId="66649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5ED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16FA5B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一是加强医务人员设施设备的操作培训，二是组织人员进行外出培训，三是加强医务人员理论学习。</w:t>
            </w:r>
          </w:p>
        </w:tc>
      </w:tr>
      <w:tr w14:paraId="731B6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06"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5ED7E38F">
            <w:pPr>
              <w:keepNext w:val="0"/>
              <w:keepLines w:val="0"/>
              <w:widowControl/>
              <w:suppressLineNumbers w:val="0"/>
              <w:jc w:val="left"/>
              <w:textAlignment w:val="top"/>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项目负责人：郝洛</w:t>
            </w:r>
          </w:p>
        </w:tc>
        <w:tc>
          <w:tcPr>
            <w:tcW w:w="259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38FA79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财务负责人：宋颖</w:t>
            </w:r>
          </w:p>
        </w:tc>
      </w:tr>
      <w:tr w14:paraId="4AD0D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0" w:type="pct"/>
            <w:tcBorders>
              <w:top w:val="nil"/>
              <w:left w:val="nil"/>
              <w:bottom w:val="nil"/>
              <w:right w:val="nil"/>
            </w:tcBorders>
            <w:shd w:val="clear" w:color="auto" w:fill="auto"/>
            <w:vAlign w:val="center"/>
          </w:tcPr>
          <w:p w14:paraId="28ADCB89">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14:paraId="0165F9BF">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14:paraId="4F1C6A66">
            <w:pPr>
              <w:rPr>
                <w:rFonts w:hint="eastAsia" w:ascii="宋体" w:hAnsi="宋体" w:eastAsia="宋体" w:cs="宋体"/>
                <w:i w:val="0"/>
                <w:iCs w:val="0"/>
                <w:color w:val="000000"/>
                <w:sz w:val="18"/>
                <w:szCs w:val="18"/>
                <w:u w:val="none"/>
              </w:rPr>
            </w:pPr>
          </w:p>
        </w:tc>
        <w:tc>
          <w:tcPr>
            <w:tcW w:w="1289" w:type="pct"/>
            <w:tcBorders>
              <w:top w:val="nil"/>
              <w:left w:val="nil"/>
              <w:bottom w:val="nil"/>
              <w:right w:val="nil"/>
            </w:tcBorders>
            <w:shd w:val="clear" w:color="auto" w:fill="auto"/>
            <w:vAlign w:val="center"/>
          </w:tcPr>
          <w:p w14:paraId="00AA46E7">
            <w:pPr>
              <w:rPr>
                <w:rFonts w:hint="eastAsia" w:ascii="宋体" w:hAnsi="宋体" w:eastAsia="宋体" w:cs="宋体"/>
                <w:i w:val="0"/>
                <w:iCs w:val="0"/>
                <w:color w:val="000000"/>
                <w:sz w:val="18"/>
                <w:szCs w:val="18"/>
                <w:u w:val="none"/>
              </w:rPr>
            </w:pPr>
          </w:p>
        </w:tc>
        <w:tc>
          <w:tcPr>
            <w:tcW w:w="268" w:type="pct"/>
            <w:tcBorders>
              <w:top w:val="nil"/>
              <w:left w:val="nil"/>
              <w:bottom w:val="nil"/>
              <w:right w:val="nil"/>
            </w:tcBorders>
            <w:shd w:val="clear" w:color="auto" w:fill="auto"/>
            <w:vAlign w:val="center"/>
          </w:tcPr>
          <w:p w14:paraId="30A56431">
            <w:pPr>
              <w:rPr>
                <w:rFonts w:hint="eastAsia" w:ascii="宋体" w:hAnsi="宋体" w:eastAsia="宋体" w:cs="宋体"/>
                <w:i w:val="0"/>
                <w:iCs w:val="0"/>
                <w:color w:val="000000"/>
                <w:sz w:val="18"/>
                <w:szCs w:val="18"/>
                <w:u w:val="none"/>
              </w:rPr>
            </w:pPr>
          </w:p>
        </w:tc>
        <w:tc>
          <w:tcPr>
            <w:tcW w:w="478" w:type="pct"/>
            <w:tcBorders>
              <w:top w:val="nil"/>
              <w:left w:val="nil"/>
              <w:bottom w:val="nil"/>
              <w:right w:val="nil"/>
            </w:tcBorders>
            <w:shd w:val="clear" w:color="auto" w:fill="auto"/>
            <w:vAlign w:val="center"/>
          </w:tcPr>
          <w:p w14:paraId="6DF77F8C">
            <w:pPr>
              <w:rPr>
                <w:rFonts w:hint="eastAsia" w:ascii="宋体" w:hAnsi="宋体" w:eastAsia="宋体" w:cs="宋体"/>
                <w:i w:val="0"/>
                <w:iCs w:val="0"/>
                <w:color w:val="000000"/>
                <w:sz w:val="18"/>
                <w:szCs w:val="18"/>
                <w:u w:val="none"/>
              </w:rPr>
            </w:pPr>
          </w:p>
        </w:tc>
        <w:tc>
          <w:tcPr>
            <w:tcW w:w="272" w:type="pct"/>
            <w:tcBorders>
              <w:top w:val="nil"/>
              <w:left w:val="nil"/>
              <w:bottom w:val="nil"/>
              <w:right w:val="nil"/>
            </w:tcBorders>
            <w:shd w:val="clear" w:color="auto" w:fill="auto"/>
            <w:vAlign w:val="center"/>
          </w:tcPr>
          <w:p w14:paraId="1BFAC717">
            <w:pPr>
              <w:rPr>
                <w:rFonts w:hint="eastAsia" w:ascii="宋体" w:hAnsi="宋体" w:eastAsia="宋体" w:cs="宋体"/>
                <w:i w:val="0"/>
                <w:iCs w:val="0"/>
                <w:color w:val="000000"/>
                <w:sz w:val="18"/>
                <w:szCs w:val="18"/>
                <w:u w:val="none"/>
              </w:rPr>
            </w:pPr>
          </w:p>
        </w:tc>
        <w:tc>
          <w:tcPr>
            <w:tcW w:w="505" w:type="pct"/>
            <w:tcBorders>
              <w:top w:val="nil"/>
              <w:left w:val="nil"/>
              <w:bottom w:val="nil"/>
              <w:right w:val="nil"/>
            </w:tcBorders>
            <w:shd w:val="clear" w:color="auto" w:fill="auto"/>
            <w:vAlign w:val="center"/>
          </w:tcPr>
          <w:p w14:paraId="6D83A23E">
            <w:pPr>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14:paraId="12D125C6">
            <w:pPr>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14:paraId="3546726C">
            <w:pPr>
              <w:rPr>
                <w:rFonts w:hint="eastAsia" w:ascii="宋体" w:hAnsi="宋体" w:eastAsia="宋体" w:cs="宋体"/>
                <w:i w:val="0"/>
                <w:iCs w:val="0"/>
                <w:color w:val="000000"/>
                <w:sz w:val="18"/>
                <w:szCs w:val="18"/>
                <w:u w:val="none"/>
              </w:rPr>
            </w:pPr>
          </w:p>
        </w:tc>
        <w:tc>
          <w:tcPr>
            <w:tcW w:w="497" w:type="pct"/>
            <w:tcBorders>
              <w:top w:val="nil"/>
              <w:left w:val="nil"/>
              <w:bottom w:val="nil"/>
              <w:right w:val="nil"/>
            </w:tcBorders>
            <w:shd w:val="clear" w:color="auto" w:fill="auto"/>
            <w:vAlign w:val="center"/>
          </w:tcPr>
          <w:p w14:paraId="7956B089">
            <w:pPr>
              <w:rPr>
                <w:rFonts w:hint="eastAsia" w:ascii="宋体" w:hAnsi="宋体" w:eastAsia="宋体" w:cs="宋体"/>
                <w:i w:val="0"/>
                <w:iCs w:val="0"/>
                <w:color w:val="000000"/>
                <w:sz w:val="18"/>
                <w:szCs w:val="18"/>
                <w:u w:val="none"/>
              </w:rPr>
            </w:pPr>
          </w:p>
        </w:tc>
      </w:tr>
    </w:tbl>
    <w:p w14:paraId="7FC6FFDA">
      <w:pPr>
        <w:pStyle w:val="5"/>
        <w:spacing w:before="93"/>
        <w:rPr>
          <w:rFonts w:hAnsi="Calibri" w:cs="仿宋"/>
          <w:sz w:val="32"/>
          <w:szCs w:val="32"/>
        </w:rPr>
      </w:pPr>
    </w:p>
    <w:p w14:paraId="58B284F5">
      <w:pPr>
        <w:pStyle w:val="5"/>
        <w:spacing w:before="93"/>
        <w:rPr>
          <w:rFonts w:hAnsi="Calibri" w:cs="仿宋"/>
          <w:sz w:val="32"/>
          <w:szCs w:val="32"/>
        </w:rPr>
      </w:pPr>
    </w:p>
    <w:p w14:paraId="5EF5DC3E">
      <w:pPr>
        <w:pStyle w:val="5"/>
        <w:spacing w:before="93"/>
        <w:rPr>
          <w:rFonts w:hAnsi="Calibri" w:cs="仿宋"/>
          <w:sz w:val="32"/>
          <w:szCs w:val="32"/>
        </w:rPr>
      </w:pPr>
    </w:p>
    <w:p w14:paraId="0C6D5BFD">
      <w:pPr>
        <w:pStyle w:val="5"/>
        <w:spacing w:before="93"/>
        <w:rPr>
          <w:rFonts w:hAnsi="Calibri" w:cs="仿宋"/>
          <w:sz w:val="32"/>
          <w:szCs w:val="32"/>
        </w:rPr>
      </w:pPr>
    </w:p>
    <w:p w14:paraId="26770A8E">
      <w:pPr>
        <w:pStyle w:val="5"/>
        <w:spacing w:before="93"/>
        <w:rPr>
          <w:rFonts w:hAnsi="Calibri" w:cs="仿宋"/>
          <w:sz w:val="32"/>
          <w:szCs w:val="32"/>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14:paraId="0DB8FF05">
      <w:pPr>
        <w:spacing w:line="600" w:lineRule="exact"/>
        <w:ind w:firstLine="2640" w:firstLineChars="600"/>
        <w:jc w:val="both"/>
        <w:outlineLvl w:val="0"/>
        <w:rPr>
          <w:rStyle w:val="28"/>
          <w:rFonts w:hint="eastAsia" w:ascii="黑体" w:hAnsi="黑体" w:eastAsia="黑体"/>
          <w:b w:val="0"/>
        </w:rPr>
      </w:pPr>
      <w:bookmarkStart w:id="100" w:name="_Toc14396"/>
      <w:r>
        <w:rPr>
          <w:rFonts w:hint="eastAsia" w:ascii="黑体" w:hAnsi="黑体" w:eastAsia="黑体"/>
          <w:sz w:val="44"/>
          <w:szCs w:val="44"/>
        </w:rPr>
        <w:t>第</w:t>
      </w:r>
      <w:r>
        <w:rPr>
          <w:rStyle w:val="28"/>
          <w:rFonts w:hint="eastAsia" w:ascii="黑体" w:hAnsi="黑体" w:eastAsia="黑体"/>
          <w:b w:val="0"/>
        </w:rPr>
        <w:t>五部分 附表</w:t>
      </w:r>
      <w:bookmarkEnd w:id="96"/>
      <w:bookmarkEnd w:id="98"/>
      <w:bookmarkEnd w:id="100"/>
      <w:bookmarkStart w:id="101" w:name="_Toc15396619"/>
    </w:p>
    <w:p w14:paraId="7E11A646">
      <w:pPr>
        <w:pStyle w:val="12"/>
      </w:pPr>
    </w:p>
    <w:p w14:paraId="43F49C32">
      <w:pPr>
        <w:pStyle w:val="3"/>
        <w:rPr>
          <w:rFonts w:ascii="仿宋" w:hAnsi="仿宋" w:eastAsia="仿宋"/>
        </w:rPr>
      </w:pPr>
      <w:bookmarkStart w:id="102" w:name="_Toc1287"/>
      <w:r>
        <w:rPr>
          <w:rFonts w:hint="eastAsia" w:ascii="仿宋" w:hAnsi="仿宋" w:eastAsia="仿宋"/>
          <w:b w:val="0"/>
        </w:rPr>
        <w:t>一、收</w:t>
      </w:r>
      <w:r>
        <w:rPr>
          <w:rStyle w:val="29"/>
          <w:rFonts w:hint="eastAsia" w:ascii="仿宋" w:hAnsi="仿宋" w:eastAsia="仿宋"/>
          <w:b w:val="0"/>
          <w:bCs w:val="0"/>
        </w:rPr>
        <w:t>入支出决算总表</w:t>
      </w:r>
      <w:bookmarkEnd w:id="101"/>
      <w:bookmarkEnd w:id="102"/>
    </w:p>
    <w:p w14:paraId="2D31A9B2">
      <w:pPr>
        <w:pStyle w:val="3"/>
        <w:rPr>
          <w:rFonts w:ascii="仿宋" w:hAnsi="仿宋" w:eastAsia="仿宋"/>
        </w:rPr>
      </w:pPr>
      <w:bookmarkStart w:id="103" w:name="_Toc15396620"/>
      <w:bookmarkStart w:id="104" w:name="_Toc29603"/>
      <w:r>
        <w:rPr>
          <w:rFonts w:hint="eastAsia" w:ascii="仿宋" w:hAnsi="仿宋" w:eastAsia="仿宋"/>
          <w:b w:val="0"/>
        </w:rPr>
        <w:t>二、收</w:t>
      </w:r>
      <w:r>
        <w:rPr>
          <w:rStyle w:val="29"/>
          <w:rFonts w:hint="eastAsia" w:ascii="仿宋" w:hAnsi="仿宋" w:eastAsia="仿宋"/>
          <w:b w:val="0"/>
          <w:bCs w:val="0"/>
        </w:rPr>
        <w:t>入决算表</w:t>
      </w:r>
      <w:bookmarkEnd w:id="103"/>
      <w:bookmarkEnd w:id="104"/>
    </w:p>
    <w:p w14:paraId="6C671389">
      <w:pPr>
        <w:pStyle w:val="3"/>
        <w:rPr>
          <w:rFonts w:ascii="仿宋" w:hAnsi="仿宋" w:eastAsia="仿宋"/>
        </w:rPr>
      </w:pPr>
      <w:bookmarkStart w:id="105" w:name="_Toc24454"/>
      <w:bookmarkStart w:id="106"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105"/>
      <w:bookmarkEnd w:id="106"/>
    </w:p>
    <w:p w14:paraId="5BBA82D0">
      <w:pPr>
        <w:pStyle w:val="3"/>
        <w:rPr>
          <w:rFonts w:ascii="仿宋" w:hAnsi="仿宋" w:eastAsia="仿宋"/>
          <w:b w:val="0"/>
        </w:rPr>
      </w:pPr>
      <w:bookmarkStart w:id="107" w:name="_Toc4265"/>
      <w:bookmarkStart w:id="108" w:name="_Toc15396622"/>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107"/>
      <w:bookmarkEnd w:id="108"/>
    </w:p>
    <w:p w14:paraId="79761391">
      <w:pPr>
        <w:pStyle w:val="3"/>
        <w:rPr>
          <w:rStyle w:val="29"/>
          <w:rFonts w:ascii="仿宋" w:hAnsi="仿宋" w:eastAsia="仿宋"/>
          <w:b w:val="0"/>
          <w:bCs w:val="0"/>
        </w:rPr>
      </w:pPr>
      <w:bookmarkStart w:id="109" w:name="_Toc2824"/>
      <w:bookmarkStart w:id="110"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109"/>
      <w:bookmarkEnd w:id="110"/>
      <w:bookmarkStart w:id="111" w:name="_Toc15396624"/>
    </w:p>
    <w:p w14:paraId="76CDAE1E">
      <w:pPr>
        <w:pStyle w:val="3"/>
        <w:rPr>
          <w:rFonts w:ascii="仿宋" w:hAnsi="仿宋" w:eastAsia="仿宋"/>
        </w:rPr>
      </w:pPr>
      <w:bookmarkStart w:id="112" w:name="_Toc28164"/>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111"/>
      <w:bookmarkEnd w:id="112"/>
    </w:p>
    <w:p w14:paraId="7C4A1D2C">
      <w:pPr>
        <w:pStyle w:val="3"/>
        <w:rPr>
          <w:rFonts w:ascii="仿宋" w:hAnsi="仿宋" w:eastAsia="仿宋"/>
        </w:rPr>
      </w:pPr>
      <w:bookmarkStart w:id="113" w:name="_Toc15396625"/>
      <w:bookmarkStart w:id="114" w:name="_Toc7288"/>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113"/>
      <w:bookmarkEnd w:id="114"/>
    </w:p>
    <w:p w14:paraId="57884C71">
      <w:pPr>
        <w:pStyle w:val="3"/>
        <w:rPr>
          <w:rFonts w:ascii="仿宋" w:hAnsi="仿宋" w:eastAsia="仿宋"/>
        </w:rPr>
      </w:pPr>
      <w:bookmarkStart w:id="115" w:name="_Toc25042"/>
      <w:bookmarkStart w:id="116"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15"/>
      <w:bookmarkEnd w:id="116"/>
    </w:p>
    <w:p w14:paraId="5612A800">
      <w:pPr>
        <w:pStyle w:val="3"/>
        <w:rPr>
          <w:rFonts w:ascii="仿宋" w:hAnsi="仿宋" w:eastAsia="仿宋"/>
        </w:rPr>
      </w:pPr>
      <w:bookmarkStart w:id="117" w:name="_Toc15396627"/>
      <w:bookmarkStart w:id="118" w:name="_Toc23253"/>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17"/>
      <w:bookmarkEnd w:id="118"/>
    </w:p>
    <w:p w14:paraId="591D1605">
      <w:pPr>
        <w:pStyle w:val="3"/>
        <w:rPr>
          <w:rFonts w:ascii="仿宋" w:hAnsi="仿宋" w:eastAsia="仿宋"/>
        </w:rPr>
      </w:pPr>
      <w:bookmarkStart w:id="119" w:name="_Toc15396628"/>
      <w:bookmarkStart w:id="120" w:name="_Toc8969"/>
      <w:r>
        <w:rPr>
          <w:rStyle w:val="29"/>
          <w:rFonts w:hint="eastAsia" w:ascii="仿宋" w:hAnsi="仿宋" w:eastAsia="仿宋"/>
          <w:b w:val="0"/>
          <w:bCs w:val="0"/>
        </w:rPr>
        <w:t>十、</w:t>
      </w:r>
      <w:bookmarkEnd w:id="119"/>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20"/>
    </w:p>
    <w:p w14:paraId="4798ABCD">
      <w:pPr>
        <w:pStyle w:val="3"/>
        <w:rPr>
          <w:rFonts w:ascii="仿宋" w:hAnsi="仿宋" w:eastAsia="仿宋"/>
        </w:rPr>
      </w:pPr>
      <w:bookmarkStart w:id="121" w:name="_Toc15396629"/>
      <w:bookmarkStart w:id="122" w:name="_Toc17764"/>
      <w:r>
        <w:rPr>
          <w:rStyle w:val="29"/>
          <w:rFonts w:hint="eastAsia" w:ascii="仿宋" w:hAnsi="仿宋" w:eastAsia="仿宋"/>
          <w:b w:val="0"/>
          <w:bCs w:val="0"/>
        </w:rPr>
        <w:t>十一、</w:t>
      </w:r>
      <w:bookmarkEnd w:id="121"/>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22"/>
    </w:p>
    <w:p w14:paraId="585EA30F">
      <w:pPr>
        <w:pStyle w:val="3"/>
        <w:rPr>
          <w:rFonts w:ascii="仿宋" w:hAnsi="仿宋" w:eastAsia="仿宋"/>
        </w:rPr>
      </w:pPr>
      <w:bookmarkStart w:id="123" w:name="_Toc15396630"/>
      <w:bookmarkStart w:id="124" w:name="_Toc28510"/>
      <w:r>
        <w:rPr>
          <w:rStyle w:val="29"/>
          <w:rFonts w:hint="eastAsia" w:ascii="仿宋" w:hAnsi="仿宋" w:eastAsia="仿宋"/>
          <w:b w:val="0"/>
          <w:bCs w:val="0"/>
        </w:rPr>
        <w:t>十二、</w:t>
      </w:r>
      <w:bookmarkEnd w:id="123"/>
      <w:r>
        <w:rPr>
          <w:rStyle w:val="29"/>
          <w:rFonts w:hint="eastAsia" w:ascii="仿宋" w:hAnsi="仿宋" w:eastAsia="仿宋"/>
          <w:b w:val="0"/>
          <w:bCs w:val="0"/>
        </w:rPr>
        <w:t>国有资本经营预算财政拨款支出决算表</w:t>
      </w:r>
      <w:bookmarkEnd w:id="124"/>
    </w:p>
    <w:p w14:paraId="3B5F40C1">
      <w:pPr>
        <w:pStyle w:val="3"/>
        <w:rPr>
          <w:rFonts w:eastAsia="仿宋"/>
        </w:rPr>
      </w:pPr>
      <w:bookmarkStart w:id="125" w:name="_Toc15396631"/>
      <w:bookmarkStart w:id="126" w:name="_Toc30853"/>
      <w:r>
        <w:rPr>
          <w:rStyle w:val="29"/>
          <w:rFonts w:hint="eastAsia" w:ascii="仿宋" w:hAnsi="仿宋" w:eastAsia="仿宋"/>
          <w:b w:val="0"/>
          <w:bCs w:val="0"/>
        </w:rPr>
        <w:t>十三、</w:t>
      </w:r>
      <w:bookmarkEnd w:id="125"/>
      <w:r>
        <w:rPr>
          <w:rStyle w:val="29"/>
          <w:rFonts w:hint="eastAsia" w:ascii="仿宋" w:hAnsi="仿宋" w:eastAsia="仿宋"/>
          <w:b w:val="0"/>
          <w:bCs w:val="0"/>
        </w:rPr>
        <w:t>财政拨款“三公”经费支出决算表</w:t>
      </w:r>
      <w:bookmarkEnd w:id="126"/>
    </w:p>
    <w:sectPr>
      <w:footerReference r:id="rId7" w:type="first"/>
      <w:footerReference r:id="rId6" w:type="default"/>
      <w:pgSz w:w="11906" w:h="16838"/>
      <w:pgMar w:top="1440" w:right="1800" w:bottom="1440" w:left="1800" w:header="851" w:footer="992" w:gutter="0"/>
      <w:pgNumType w:fmt="decimal" w:start="3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A1245">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731"/>
                          </w:sdtPr>
                          <w:sdtContent>
                            <w:p w14:paraId="310A60E0">
                              <w:pPr>
                                <w:pStyle w:val="9"/>
                                <w:jc w:val="center"/>
                              </w:pPr>
                              <w:r>
                                <w:fldChar w:fldCharType="begin"/>
                              </w:r>
                              <w:r>
                                <w:instrText xml:space="preserve">PAGE   \* MERGEFORMAT</w:instrText>
                              </w:r>
                              <w:r>
                                <w:fldChar w:fldCharType="separate"/>
                              </w:r>
                              <w:r>
                                <w:rPr>
                                  <w:lang w:val="zh-CN"/>
                                </w:rPr>
                                <w:t>15</w:t>
                              </w:r>
                              <w:r>
                                <w:fldChar w:fldCharType="end"/>
                              </w:r>
                            </w:p>
                          </w:sdtContent>
                        </w:sdt>
                        <w:p w14:paraId="74904EF7">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47459731"/>
                    </w:sdtPr>
                    <w:sdtContent>
                      <w:p w14:paraId="310A60E0">
                        <w:pPr>
                          <w:pStyle w:val="9"/>
                          <w:jc w:val="center"/>
                        </w:pPr>
                        <w:r>
                          <w:fldChar w:fldCharType="begin"/>
                        </w:r>
                        <w:r>
                          <w:instrText xml:space="preserve">PAGE   \* MERGEFORMAT</w:instrText>
                        </w:r>
                        <w:r>
                          <w:fldChar w:fldCharType="separate"/>
                        </w:r>
                        <w:r>
                          <w:rPr>
                            <w:lang w:val="zh-CN"/>
                          </w:rPr>
                          <w:t>15</w:t>
                        </w:r>
                        <w:r>
                          <w:fldChar w:fldCharType="end"/>
                        </w:r>
                      </w:p>
                    </w:sdtContent>
                  </w:sdt>
                  <w:p w14:paraId="74904EF7">
                    <w:pPr>
                      <w:pStyle w:val="12"/>
                    </w:pPr>
                  </w:p>
                </w:txbxContent>
              </v:textbox>
            </v:shape>
          </w:pict>
        </mc:Fallback>
      </mc:AlternateContent>
    </w:r>
  </w:p>
  <w:p w14:paraId="03DF3DC0">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4D78D">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4A0FD">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074A0FD">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0AF5A">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656"/>
                          </w:sdtPr>
                          <w:sdtContent>
                            <w:p w14:paraId="2BBC9903">
                              <w:pPr>
                                <w:pStyle w:val="9"/>
                                <w:jc w:val="center"/>
                              </w:pPr>
                              <w:r>
                                <w:fldChar w:fldCharType="begin"/>
                              </w:r>
                              <w:r>
                                <w:instrText xml:space="preserve">PAGE   \* MERGEFORMAT</w:instrText>
                              </w:r>
                              <w:r>
                                <w:fldChar w:fldCharType="separate"/>
                              </w:r>
                              <w:r>
                                <w:rPr>
                                  <w:lang w:val="zh-CN"/>
                                </w:rPr>
                                <w:t>15</w:t>
                              </w:r>
                              <w:r>
                                <w:fldChar w:fldCharType="end"/>
                              </w:r>
                            </w:p>
                          </w:sdtContent>
                        </w:sdt>
                        <w:p w14:paraId="7BBA784E">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sdt>
                    <w:sdtPr>
                      <w:id w:val="147459656"/>
                    </w:sdtPr>
                    <w:sdtContent>
                      <w:p w14:paraId="2BBC9903">
                        <w:pPr>
                          <w:pStyle w:val="9"/>
                          <w:jc w:val="center"/>
                        </w:pPr>
                        <w:r>
                          <w:fldChar w:fldCharType="begin"/>
                        </w:r>
                        <w:r>
                          <w:instrText xml:space="preserve">PAGE   \* MERGEFORMAT</w:instrText>
                        </w:r>
                        <w:r>
                          <w:fldChar w:fldCharType="separate"/>
                        </w:r>
                        <w:r>
                          <w:rPr>
                            <w:lang w:val="zh-CN"/>
                          </w:rPr>
                          <w:t>15</w:t>
                        </w:r>
                        <w:r>
                          <w:fldChar w:fldCharType="end"/>
                        </w:r>
                      </w:p>
                    </w:sdtContent>
                  </w:sdt>
                  <w:p w14:paraId="7BBA784E">
                    <w:pPr>
                      <w:pStyle w:val="12"/>
                    </w:pPr>
                  </w:p>
                </w:txbxContent>
              </v:textbox>
            </v:shape>
          </w:pict>
        </mc:Fallback>
      </mc:AlternateContent>
    </w:r>
  </w:p>
  <w:p w14:paraId="56E983E9">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CB76">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7574B5">
                          <w:pPr>
                            <w:pStyle w:val="9"/>
                            <w:rPr>
                              <w:rFonts w:hint="default" w:eastAsia="宋体"/>
                              <w:lang w:val="en-US" w:eastAsia="zh-CN"/>
                            </w:rPr>
                          </w:pPr>
                          <w:r>
                            <w:rPr>
                              <w:rFonts w:hint="eastAsia"/>
                              <w:lang w:val="en-US" w:eastAsia="zh-CN"/>
                            </w:rPr>
                            <w:t>30</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17574B5">
                    <w:pPr>
                      <w:pStyle w:val="9"/>
                      <w:rPr>
                        <w:rFonts w:hint="default" w:eastAsia="宋体"/>
                        <w:lang w:val="en-US" w:eastAsia="zh-CN"/>
                      </w:rPr>
                    </w:pPr>
                    <w:r>
                      <w:rPr>
                        <w:rFonts w:hint="eastAsia"/>
                        <w:lang w:val="en-US" w:eastAsia="zh-CN"/>
                      </w:rPr>
                      <w:t>30</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FEEAE">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41831"/>
    <w:multiLevelType w:val="singleLevel"/>
    <w:tmpl w:val="90A41831"/>
    <w:lvl w:ilvl="0" w:tentative="0">
      <w:start w:val="1"/>
      <w:numFmt w:val="decimal"/>
      <w:suff w:val="nothing"/>
      <w:lvlText w:val="%1、"/>
      <w:lvlJc w:val="left"/>
      <w:pPr>
        <w:ind w:left="-10"/>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xYmIxOGQyMmFkYzIxMGJmYTcyYWQyNzc5MmRhZ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BC61765"/>
    <w:rsid w:val="0DF50265"/>
    <w:rsid w:val="0EE0350C"/>
    <w:rsid w:val="0F5FFB2F"/>
    <w:rsid w:val="0F8932E2"/>
    <w:rsid w:val="0FFFCF60"/>
    <w:rsid w:val="10C055FF"/>
    <w:rsid w:val="118107EC"/>
    <w:rsid w:val="11DD6519"/>
    <w:rsid w:val="16BB723D"/>
    <w:rsid w:val="170610F8"/>
    <w:rsid w:val="18015F3F"/>
    <w:rsid w:val="187C1F7E"/>
    <w:rsid w:val="1BE8440E"/>
    <w:rsid w:val="1D155CEE"/>
    <w:rsid w:val="1FDBBF84"/>
    <w:rsid w:val="200A3937"/>
    <w:rsid w:val="202D7FC0"/>
    <w:rsid w:val="20E62C08"/>
    <w:rsid w:val="20F57F95"/>
    <w:rsid w:val="22896E39"/>
    <w:rsid w:val="240371BF"/>
    <w:rsid w:val="25711CC6"/>
    <w:rsid w:val="25C741E6"/>
    <w:rsid w:val="276F80C0"/>
    <w:rsid w:val="27842671"/>
    <w:rsid w:val="29FD04D3"/>
    <w:rsid w:val="2ABE7A3E"/>
    <w:rsid w:val="2AFF09B6"/>
    <w:rsid w:val="2CA234A8"/>
    <w:rsid w:val="2DF929D2"/>
    <w:rsid w:val="2EFA178C"/>
    <w:rsid w:val="2EFDF86C"/>
    <w:rsid w:val="2F9D17E1"/>
    <w:rsid w:val="30B46D73"/>
    <w:rsid w:val="319F7F4E"/>
    <w:rsid w:val="32236E31"/>
    <w:rsid w:val="356A28F1"/>
    <w:rsid w:val="357C035A"/>
    <w:rsid w:val="368E000D"/>
    <w:rsid w:val="383D272C"/>
    <w:rsid w:val="39AE70AB"/>
    <w:rsid w:val="3A4DCE41"/>
    <w:rsid w:val="3BCB56FA"/>
    <w:rsid w:val="3C0C0783"/>
    <w:rsid w:val="3EE7C2F4"/>
    <w:rsid w:val="3F371B56"/>
    <w:rsid w:val="3F792ED8"/>
    <w:rsid w:val="3F9F3A96"/>
    <w:rsid w:val="3FECA4B2"/>
    <w:rsid w:val="3FF58C48"/>
    <w:rsid w:val="406F68CD"/>
    <w:rsid w:val="42FF6694"/>
    <w:rsid w:val="48BF60AB"/>
    <w:rsid w:val="493C27E9"/>
    <w:rsid w:val="496F39ED"/>
    <w:rsid w:val="49FF41D3"/>
    <w:rsid w:val="4BE068DB"/>
    <w:rsid w:val="4BF6002B"/>
    <w:rsid w:val="4BFFC6BE"/>
    <w:rsid w:val="4ECE2238"/>
    <w:rsid w:val="51857369"/>
    <w:rsid w:val="51DB4B86"/>
    <w:rsid w:val="51F64DB0"/>
    <w:rsid w:val="55333C3E"/>
    <w:rsid w:val="559F037F"/>
    <w:rsid w:val="57ED3F92"/>
    <w:rsid w:val="5BF44F90"/>
    <w:rsid w:val="5E595416"/>
    <w:rsid w:val="5F67802D"/>
    <w:rsid w:val="5F7DC4F2"/>
    <w:rsid w:val="5FB36814"/>
    <w:rsid w:val="5FBB8E56"/>
    <w:rsid w:val="5FFB5535"/>
    <w:rsid w:val="605E65A2"/>
    <w:rsid w:val="62D52620"/>
    <w:rsid w:val="64CA39A1"/>
    <w:rsid w:val="68002BE6"/>
    <w:rsid w:val="68E665DF"/>
    <w:rsid w:val="69630ADE"/>
    <w:rsid w:val="69BD5F13"/>
    <w:rsid w:val="69FB0B4B"/>
    <w:rsid w:val="6BFFE1FB"/>
    <w:rsid w:val="6C4A05C8"/>
    <w:rsid w:val="6D3B1A89"/>
    <w:rsid w:val="6DB7D8A3"/>
    <w:rsid w:val="6EC78701"/>
    <w:rsid w:val="6F7A5481"/>
    <w:rsid w:val="6FFE07A9"/>
    <w:rsid w:val="71BF4EC2"/>
    <w:rsid w:val="72466E50"/>
    <w:rsid w:val="72734D90"/>
    <w:rsid w:val="73E75B71"/>
    <w:rsid w:val="7412278C"/>
    <w:rsid w:val="744C3FC6"/>
    <w:rsid w:val="75DDCDA9"/>
    <w:rsid w:val="75FF44B1"/>
    <w:rsid w:val="77670518"/>
    <w:rsid w:val="777FA627"/>
    <w:rsid w:val="77DF1B5F"/>
    <w:rsid w:val="77EF2D9D"/>
    <w:rsid w:val="79C37EFD"/>
    <w:rsid w:val="79E7B28D"/>
    <w:rsid w:val="7ACFF0C2"/>
    <w:rsid w:val="7AFB9108"/>
    <w:rsid w:val="7BC84585"/>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able of figures"/>
    <w:basedOn w:val="1"/>
    <w:next w:val="1"/>
    <w:qFormat/>
    <w:uiPriority w:val="0"/>
    <w:pPr>
      <w:ind w:leftChars="200" w:hanging="200" w:hangingChars="200"/>
    </w:p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6"/>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0"/>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9"/>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8"/>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称呼1"/>
    <w:basedOn w:val="1"/>
    <w:next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35">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36">
    <w:name w:val="font71"/>
    <w:basedOn w:val="16"/>
    <w:qFormat/>
    <w:uiPriority w:val="0"/>
    <w:rPr>
      <w:rFonts w:hint="default" w:ascii="仿宋_GB2312" w:eastAsia="仿宋_GB2312" w:cs="仿宋_GB2312"/>
      <w:color w:val="000000"/>
      <w:sz w:val="24"/>
      <w:szCs w:val="24"/>
      <w:u w:val="none"/>
    </w:rPr>
  </w:style>
  <w:style w:type="character" w:customStyle="1" w:styleId="37">
    <w:name w:val="font81"/>
    <w:basedOn w:val="16"/>
    <w:qFormat/>
    <w:uiPriority w:val="0"/>
    <w:rPr>
      <w:rFonts w:hint="default" w:ascii="仿宋_GB2312" w:eastAsia="仿宋_GB2312" w:cs="仿宋_GB2312"/>
      <w:color w:val="000000"/>
      <w:sz w:val="24"/>
      <w:szCs w:val="24"/>
      <w:u w:val="none"/>
    </w:rPr>
  </w:style>
  <w:style w:type="character" w:customStyle="1" w:styleId="38">
    <w:name w:val="font121"/>
    <w:basedOn w:val="16"/>
    <w:qFormat/>
    <w:uiPriority w:val="0"/>
    <w:rPr>
      <w:rFonts w:ascii="Arial" w:hAnsi="Arial" w:cs="Arial"/>
      <w:color w:val="000000"/>
      <w:sz w:val="24"/>
      <w:szCs w:val="24"/>
      <w:u w:val="none"/>
    </w:rPr>
  </w:style>
  <w:style w:type="character" w:customStyle="1" w:styleId="39">
    <w:name w:val="font131"/>
    <w:basedOn w:val="16"/>
    <w:qFormat/>
    <w:uiPriority w:val="0"/>
    <w:rPr>
      <w:rFonts w:hint="eastAsia" w:ascii="宋体" w:hAnsi="宋体" w:eastAsia="宋体" w:cs="宋体"/>
      <w:color w:val="000000"/>
      <w:sz w:val="24"/>
      <w:szCs w:val="24"/>
      <w:u w:val="none"/>
    </w:rPr>
  </w:style>
  <w:style w:type="character" w:customStyle="1" w:styleId="40">
    <w:name w:val="font14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hp\Desktop\&#20915;&#31639;&#22270;&#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hp\Desktop\&#20915;&#31639;&#22270;&#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hp\Desktop\&#20915;&#31639;&#22270;&#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hp\Desktop\&#20915;&#31639;&#22270;&#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hp\Desktop\&#20915;&#31639;&#22270;&#3492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hp\Desktop\&#20915;&#31639;&#22270;&#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hp\Desktop\&#20915;&#31639;&#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收、支决算总计变动情况</a:t>
            </a:r>
          </a:p>
        </c:rich>
      </c:tx>
      <c:layout>
        <c:manualLayout>
          <c:xMode val="edge"/>
          <c:yMode val="edge"/>
          <c:x val="0.241980321484153"/>
          <c:y val="0.0347222222222222"/>
        </c:manualLayout>
      </c:layout>
      <c:overlay val="0"/>
      <c:spPr>
        <a:noFill/>
        <a:ln>
          <a:noFill/>
        </a:ln>
        <a:effectLst/>
      </c:spPr>
    </c:title>
    <c:autoTitleDeleted val="0"/>
    <c:plotArea>
      <c:layout/>
      <c:barChart>
        <c:barDir val="col"/>
        <c:grouping val="clustered"/>
        <c:varyColors val="0"/>
        <c:ser>
          <c:idx val="0"/>
          <c:order val="0"/>
          <c:tx>
            <c:strRef>
              <c:f>[决算图表.xlsx]Sheet1!$A$79</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[决算图表.xlsx]Sheet1!$B$79:$C$79</c:f>
              <c:numCache>
                <c:formatCode>#,##0.00</c:formatCode>
                <c:ptCount val="2"/>
                <c:pt idx="0">
                  <c:v>2132.27</c:v>
                </c:pt>
                <c:pt idx="1" c:formatCode="General">
                  <c:v>2532.55</c:v>
                </c:pt>
              </c:numCache>
            </c:numRef>
          </c:val>
        </c:ser>
        <c:ser>
          <c:idx val="1"/>
          <c:order val="1"/>
          <c:tx>
            <c:strRef>
              <c:f>[决算图表.xlsx]Sheet1!$A$80</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[决算图表.xlsx]Sheet1!$B$80:$C$80</c:f>
              <c:numCache>
                <c:formatCode>#,##0.00</c:formatCode>
                <c:ptCount val="2"/>
                <c:pt idx="0">
                  <c:v>2132.27</c:v>
                </c:pt>
                <c:pt idx="1" c:formatCode="General">
                  <c:v>2532.55</c:v>
                </c:pt>
              </c:numCache>
            </c:numRef>
          </c:val>
        </c:ser>
        <c:dLbls>
          <c:showLegendKey val="0"/>
          <c:showVal val="1"/>
          <c:showCatName val="0"/>
          <c:showSerName val="0"/>
          <c:showPercent val="0"/>
          <c:showBubbleSize val="0"/>
        </c:dLbls>
        <c:gapWidth val="246"/>
        <c:overlap val="-28"/>
        <c:axId val="442978941"/>
        <c:axId val="313891353"/>
      </c:barChart>
      <c:catAx>
        <c:axId val="4429789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3891353"/>
        <c:crosses val="autoZero"/>
        <c:auto val="1"/>
        <c:lblAlgn val="ctr"/>
        <c:lblOffset val="100"/>
        <c:noMultiLvlLbl val="0"/>
      </c:catAx>
      <c:valAx>
        <c:axId val="313891353"/>
        <c:scaling>
          <c:orientation val="minMax"/>
        </c:scaling>
        <c:delete val="0"/>
        <c:axPos val="l"/>
        <c:majorGridlines>
          <c:spPr>
            <a:ln w="9525" cap="flat" cmpd="sng" algn="ctr">
              <a:solidFill>
                <a:schemeClr val="bg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978941"/>
        <c:crosses val="autoZero"/>
        <c:crossBetween val="between"/>
      </c:valAx>
      <c:spPr>
        <a:noFill/>
        <a:ln>
          <a:noFill/>
        </a:ln>
        <a:effectLst/>
      </c:spPr>
    </c:plotArea>
    <c:legend>
      <c:legendPos val="b"/>
      <c:layout>
        <c:manualLayout>
          <c:xMode val="edge"/>
          <c:yMode val="edge"/>
          <c:x val="0.897881300171075"/>
          <c:y val="0.405092592592593"/>
          <c:w val="0.0809317015396763"/>
          <c:h val="0.24652777777777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Lbls>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69.95</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2"/>
              <c:delete val="1"/>
            </c:dLbl>
            <c:dLbl>
              <c:idx val="3"/>
              <c:delete val="1"/>
            </c:dLbl>
            <c:dLbl>
              <c:idx val="4"/>
              <c:delete val="1"/>
            </c:dLbl>
            <c:dLbl>
              <c:idx val="5"/>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30.04</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6"/>
              <c:delete val="1"/>
            </c:dLbl>
            <c:dLbl>
              <c:idx val="7"/>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[决算图表.xlsx]Sheet1!$A$23:$A$31</c:f>
              <c:strCache>
                <c:ptCount val="9"/>
                <c:pt idx="0">
                  <c:v>收入决算结构图</c:v>
                </c:pt>
                <c:pt idx="1">
                  <c:v>一般公共预算财政拨款收入</c:v>
                </c:pt>
                <c:pt idx="2">
                  <c:v>政府性基金预算财政拨款收入</c:v>
                </c:pt>
                <c:pt idx="3">
                  <c:v>国有资本经营预算财政拨款收入</c:v>
                </c:pt>
                <c:pt idx="4">
                  <c:v>上级补助收入</c:v>
                </c:pt>
                <c:pt idx="5">
                  <c:v>事业收入</c:v>
                </c:pt>
                <c:pt idx="6">
                  <c:v>经营收入</c:v>
                </c:pt>
                <c:pt idx="7">
                  <c:v>附属单位上缴收入</c:v>
                </c:pt>
                <c:pt idx="8">
                  <c:v>其他收入</c:v>
                </c:pt>
              </c:strCache>
            </c:strRef>
          </c:cat>
          <c:val>
            <c:numRef>
              <c:f>[决算图表.xlsx]Sheet1!$B$23:$B$31</c:f>
              <c:numCache>
                <c:formatCode>General</c:formatCode>
                <c:ptCount val="9"/>
                <c:pt idx="1">
                  <c:v>17092713.47</c:v>
                </c:pt>
                <c:pt idx="2">
                  <c:v>0</c:v>
                </c:pt>
                <c:pt idx="3">
                  <c:v>0</c:v>
                </c:pt>
                <c:pt idx="4">
                  <c:v>0</c:v>
                </c:pt>
                <c:pt idx="5">
                  <c:v>7341276</c:v>
                </c:pt>
                <c:pt idx="6">
                  <c:v>0</c:v>
                </c:pt>
                <c:pt idx="7">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65263157894737"/>
          <c:y val="0.14085648148148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86.18</a:t>
                    </a:r>
                    <a:r>
                      <a:t>%</a:t>
                    </a:r>
                  </a:p>
                </c:rich>
              </c:tx>
              <c:dLblPos val="inEnd"/>
              <c:showLegendKey val="0"/>
              <c:showVal val="1"/>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a:t>
                    </a:r>
                    <a:r>
                      <a:rPr lang="en-US" altLang="zh-CN"/>
                      <a:t>3.81</a:t>
                    </a:r>
                    <a:r>
                      <a:t>%</a:t>
                    </a:r>
                  </a:p>
                </c:rich>
              </c:tx>
              <c:dLblPos val="inEnd"/>
              <c:showLegendKey val="0"/>
              <c:showVal val="1"/>
              <c:showCatName val="0"/>
              <c:showSerName val="0"/>
              <c:showPercent val="1"/>
              <c:showBubbleSize val="0"/>
              <c:extLst>
                <c:ext xmlns:c15="http://schemas.microsoft.com/office/drawing/2012/chart" uri="{CE6537A1-D6FC-4f65-9D91-7224C49458BB}"/>
              </c:extLst>
            </c:dLbl>
            <c:dLbl>
              <c:idx val="3"/>
              <c:layout/>
              <c:dLblPos val="inEnd"/>
              <c:showLegendKey val="0"/>
              <c:showVal val="0"/>
              <c:showCatName val="0"/>
              <c:showSerName val="0"/>
              <c:showPercent val="1"/>
              <c:showBubbleSize val="0"/>
              <c:extLst>
                <c:ext xmlns:c15="http://schemas.microsoft.com/office/drawing/2012/chart" uri="{CE6537A1-D6FC-4f65-9D91-7224C49458BB}"/>
              </c:extLst>
            </c:dLbl>
            <c:dLbl>
              <c:idx val="4"/>
              <c:layout/>
              <c:dLblPos val="inEnd"/>
              <c:showLegendKey val="0"/>
              <c:showVal val="0"/>
              <c:showCatName val="0"/>
              <c:showSerName val="0"/>
              <c:showPercent val="1"/>
              <c:showBubbleSize val="0"/>
              <c:extLst>
                <c:ext xmlns:c15="http://schemas.microsoft.com/office/drawing/2012/chart" uri="{CE6537A1-D6FC-4f65-9D91-7224C49458BB}"/>
              </c:extLst>
            </c:dLbl>
            <c:dLbl>
              <c:idx val="5"/>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[决算图表.xlsx]Sheet1!$A$51:$A$56</c:f>
              <c:strCache>
                <c:ptCount val="6"/>
                <c:pt idx="0">
                  <c:v>支出决算结构图</c:v>
                </c:pt>
                <c:pt idx="1">
                  <c:v>基本支出</c:v>
                </c:pt>
                <c:pt idx="2">
                  <c:v>项目支出</c:v>
                </c:pt>
                <c:pt idx="3">
                  <c:v>上缴上级支出</c:v>
                </c:pt>
                <c:pt idx="4">
                  <c:v>经营支出</c:v>
                </c:pt>
                <c:pt idx="5">
                  <c:v>对附属单位补助支出</c:v>
                </c:pt>
              </c:strCache>
            </c:strRef>
          </c:cat>
          <c:val>
            <c:numRef>
              <c:f>[决算图表.xlsx]Sheet1!$B$51:$B$56</c:f>
              <c:numCache>
                <c:formatCode>General</c:formatCode>
                <c:ptCount val="6"/>
                <c:pt idx="1">
                  <c:v>2182.74</c:v>
                </c:pt>
                <c:pt idx="2">
                  <c:v>349.8</c:v>
                </c:pt>
                <c:pt idx="3">
                  <c:v>0</c:v>
                </c:pt>
                <c:pt idx="4">
                  <c:v>0</c:v>
                </c:pt>
                <c:pt idx="5">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699973635644608"/>
          <c:y val="0.272084048027444"/>
          <c:w val="0.268916424993409"/>
          <c:h val="0.695754716981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财政拨款收、支决算总计变动情况</a:t>
            </a:r>
          </a:p>
        </c:rich>
      </c:tx>
      <c:layout>
        <c:manualLayout>
          <c:xMode val="edge"/>
          <c:yMode val="edge"/>
          <c:x val="0.241980321484153"/>
          <c:y val="0.0347222222222222"/>
        </c:manualLayout>
      </c:layout>
      <c:overlay val="0"/>
      <c:spPr>
        <a:noFill/>
        <a:ln>
          <a:noFill/>
        </a:ln>
        <a:effectLst/>
      </c:spPr>
    </c:title>
    <c:autoTitleDeleted val="0"/>
    <c:plotArea>
      <c:layout/>
      <c:barChart>
        <c:barDir val="col"/>
        <c:grouping val="clustered"/>
        <c:varyColors val="0"/>
        <c:ser>
          <c:idx val="0"/>
          <c:order val="0"/>
          <c:tx>
            <c:strRef>
              <c:f>[决算图表.xlsx]Sheet1!$A$79</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[决算图表.xlsx]Sheet1!$B$79:$C$79</c:f>
              <c:numCache>
                <c:formatCode>#,##0.00</c:formatCode>
                <c:ptCount val="2"/>
                <c:pt idx="0">
                  <c:v>1655.69</c:v>
                </c:pt>
                <c:pt idx="1" c:formatCode="General">
                  <c:v>1798.42</c:v>
                </c:pt>
              </c:numCache>
            </c:numRef>
          </c:val>
        </c:ser>
        <c:ser>
          <c:idx val="1"/>
          <c:order val="1"/>
          <c:tx>
            <c:strRef>
              <c:f>[决算图表.xlsx]Sheet1!$A$80</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[决算图表.xlsx]Sheet1!$B$80:$C$80</c:f>
              <c:numCache>
                <c:formatCode>#,##0.00</c:formatCode>
                <c:ptCount val="2"/>
                <c:pt idx="0">
                  <c:v>1655.69</c:v>
                </c:pt>
                <c:pt idx="1" c:formatCode="General">
                  <c:v>1798.42</c:v>
                </c:pt>
              </c:numCache>
            </c:numRef>
          </c:val>
        </c:ser>
        <c:dLbls>
          <c:showLegendKey val="0"/>
          <c:showVal val="1"/>
          <c:showCatName val="0"/>
          <c:showSerName val="0"/>
          <c:showPercent val="0"/>
          <c:showBubbleSize val="0"/>
        </c:dLbls>
        <c:gapWidth val="246"/>
        <c:overlap val="-28"/>
        <c:axId val="442978941"/>
        <c:axId val="313891353"/>
      </c:barChart>
      <c:catAx>
        <c:axId val="4429789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3891353"/>
        <c:crosses val="autoZero"/>
        <c:auto val="1"/>
        <c:lblAlgn val="ctr"/>
        <c:lblOffset val="100"/>
        <c:noMultiLvlLbl val="0"/>
      </c:catAx>
      <c:valAx>
        <c:axId val="313891353"/>
        <c:scaling>
          <c:orientation val="minMax"/>
        </c:scaling>
        <c:delete val="0"/>
        <c:axPos val="l"/>
        <c:majorGridlines>
          <c:spPr>
            <a:ln w="9525" cap="flat" cmpd="sng" algn="ctr">
              <a:solidFill>
                <a:schemeClr val="bg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978941"/>
        <c:crosses val="autoZero"/>
        <c:crossBetween val="between"/>
      </c:valAx>
      <c:spPr>
        <a:noFill/>
        <a:ln>
          <a:noFill/>
        </a:ln>
        <a:effectLst/>
      </c:spPr>
    </c:plotArea>
    <c:legend>
      <c:legendPos val="b"/>
      <c:layout>
        <c:manualLayout>
          <c:xMode val="edge"/>
          <c:yMode val="edge"/>
          <c:x val="0.897881300171075"/>
          <c:y val="0.405092592592593"/>
          <c:w val="0.0809317015396763"/>
          <c:h val="0.24652777777777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solidFill>
                <a:schemeClr val="bg1"/>
              </a:solidFill>
            </a:ln>
            <a:effectLst/>
          </c:spPr>
          <c:invertIfNegative val="0"/>
          <c:dPt>
            <c:idx val="0"/>
            <c:invertIfNegative val="0"/>
            <c:bubble3D val="0"/>
            <c:spPr>
              <a:solidFill>
                <a:schemeClr val="accent1"/>
              </a:solidFill>
              <a:ln>
                <a:solidFill>
                  <a:schemeClr val="bg1"/>
                </a:solidFill>
              </a:ln>
              <a:effectLst/>
            </c:spPr>
          </c:dPt>
          <c:dPt>
            <c:idx val="1"/>
            <c:invertIfNegative val="0"/>
            <c:bubble3D val="0"/>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[决算图表.xlsx]Sheet1!$A$104:$A$105</c:f>
              <c:strCache>
                <c:ptCount val="2"/>
                <c:pt idx="0">
                  <c:v>2022年</c:v>
                </c:pt>
                <c:pt idx="1">
                  <c:v>2023年</c:v>
                </c:pt>
              </c:strCache>
            </c:strRef>
          </c:cat>
          <c:val>
            <c:numRef>
              <c:f>[决算图表.xlsx]Sheet1!$B$104:$B$105</c:f>
              <c:numCache>
                <c:formatCode>#,##0.00</c:formatCode>
                <c:ptCount val="2"/>
                <c:pt idx="0">
                  <c:v>1655.69</c:v>
                </c:pt>
                <c:pt idx="1" c:formatCode="General">
                  <c:v>1798.42</c:v>
                </c:pt>
              </c:numCache>
            </c:numRef>
          </c:val>
        </c:ser>
        <c:dLbls>
          <c:showLegendKey val="0"/>
          <c:showVal val="1"/>
          <c:showCatName val="0"/>
          <c:showSerName val="0"/>
          <c:showPercent val="0"/>
          <c:showBubbleSize val="0"/>
        </c:dLbls>
        <c:gapWidth val="150"/>
        <c:overlap val="0"/>
        <c:axId val="878327329"/>
        <c:axId val="451389932"/>
      </c:barChart>
      <c:catAx>
        <c:axId val="878327329"/>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389932"/>
        <c:crosses val="autoZero"/>
        <c:auto val="1"/>
        <c:lblAlgn val="ctr"/>
        <c:lblOffset val="100"/>
        <c:noMultiLvlLbl val="0"/>
      </c:catAx>
      <c:valAx>
        <c:axId val="451389932"/>
        <c:scaling>
          <c:orientation val="minMax"/>
        </c:scaling>
        <c:delete val="0"/>
        <c:axPos val="l"/>
        <c:majorGridlines>
          <c:spPr>
            <a:ln w="9525" cap="flat" cmpd="sng" algn="ctr">
              <a:solidFill>
                <a:schemeClr val="bg1">
                  <a:lumMod val="90200"/>
                </a:schemeClr>
              </a:solidFill>
              <a:round/>
            </a:ln>
            <a:effectLst/>
          </c:spPr>
        </c:majorGridlines>
        <c:numFmt formatCode="#,##0.00"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8327329"/>
        <c:crosses val="autoZero"/>
        <c:crossBetween val="between"/>
      </c:valAx>
      <c:spPr>
        <a:noFill/>
        <a:ln>
          <a:noFill/>
        </a:ln>
        <a:effectLst/>
      </c:spPr>
    </c:plotArea>
    <c:legend>
      <c:legendPos val="t"/>
      <c:layout>
        <c:manualLayout>
          <c:xMode val="edge"/>
          <c:yMode val="edge"/>
          <c:x val="0.844584813791288"/>
          <c:y val="0.486111111111111"/>
          <c:w val="0.100671140939597"/>
          <c:h val="0.3333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10.96</a:t>
                    </a:r>
                    <a:r>
                      <a:t>%</a:t>
                    </a:r>
                  </a:p>
                </c:rich>
              </c:tx>
              <c:dLblPos val="inEnd"/>
              <c:showLegendKey val="0"/>
              <c:showVal val="1"/>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82.78</a:t>
                    </a:r>
                    <a:r>
                      <a:t>%</a:t>
                    </a:r>
                  </a:p>
                </c:rich>
              </c:tx>
              <c:dLblPos val="inEnd"/>
              <c:showLegendKey val="0"/>
              <c:showVal val="1"/>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6.26</a:t>
                    </a:r>
                    <a:r>
                      <a:t>%</a:t>
                    </a:r>
                  </a:p>
                </c:rich>
              </c:tx>
              <c:dLblPos val="inEnd"/>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[决算图表.xlsx]Sheet1!$A$52:$A$54</c:f>
              <c:strCache>
                <c:ptCount val="3"/>
                <c:pt idx="0">
                  <c:v>社会保障和就业支出</c:v>
                </c:pt>
                <c:pt idx="1">
                  <c:v>卫生健康支出</c:v>
                </c:pt>
                <c:pt idx="2">
                  <c:v>住房保障支出</c:v>
                </c:pt>
              </c:strCache>
            </c:strRef>
          </c:cat>
          <c:val>
            <c:numRef>
              <c:f>[决算图表.xlsx]Sheet1!$B$52:$B$54</c:f>
              <c:numCache>
                <c:formatCode>General</c:formatCode>
                <c:ptCount val="3"/>
                <c:pt idx="0">
                  <c:v>197.1</c:v>
                </c:pt>
                <c:pt idx="1">
                  <c:v>1488.7</c:v>
                </c:pt>
                <c:pt idx="2">
                  <c:v>112.62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699973635644608"/>
          <c:y val="0.272084048027444"/>
          <c:w val="0.268916424993409"/>
          <c:h val="0.695754716981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a:t>
            </a:r>
            <a:r>
              <a:rPr altLang="en-US"/>
              <a:t>三公</a:t>
            </a:r>
            <a:r>
              <a:rPr lang="en-US" altLang="zh-CN"/>
              <a:t>”</a:t>
            </a:r>
            <a:r>
              <a:rPr altLang="en-US"/>
              <a:t>经费</a:t>
            </a:r>
            <a:endParaRPr altLang="en-US"/>
          </a:p>
        </c:rich>
      </c:tx>
      <c:layout>
        <c:manualLayout>
          <c:xMode val="edge"/>
          <c:yMode val="edge"/>
          <c:x val="0.416184210526316"/>
          <c:y val="0.0659722222222222"/>
        </c:manualLayout>
      </c:layout>
      <c:overlay val="0"/>
      <c:spPr>
        <a:noFill/>
        <a:ln>
          <a:noFill/>
        </a:ln>
        <a:effectLst/>
      </c:spPr>
    </c:title>
    <c:autoTitleDeleted val="0"/>
    <c:plotArea>
      <c:layout>
        <c:manualLayout>
          <c:layoutTarget val="inner"/>
          <c:xMode val="edge"/>
          <c:yMode val="edge"/>
          <c:x val="0.356907894736842"/>
          <c:y val="0.44212962962963"/>
          <c:w val="0.286184210526316"/>
          <c:h val="0.503472222222222"/>
        </c:manualLayout>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elete val="1"/>
          </c:dLbls>
          <c:cat>
            <c:strRef>
              <c:f>[决算图表.xlsx]Sheet1!$A$127:$A$130</c:f>
              <c:strCache>
                <c:ptCount val="4"/>
                <c:pt idx="0">
                  <c:v>“三公”经费财政拨款支出</c:v>
                </c:pt>
                <c:pt idx="1">
                  <c:v>因公出国（境）费支出</c:v>
                </c:pt>
                <c:pt idx="2">
                  <c:v>公务用车购置及运行维护费支出</c:v>
                </c:pt>
                <c:pt idx="3">
                  <c:v>公务接待费支出</c:v>
                </c:pt>
              </c:strCache>
            </c:strRef>
          </c:cat>
          <c:val>
            <c:numRef>
              <c:f>[决算图表.xlsx]Sheet1!$B$127:$B$130</c:f>
              <c:numCache>
                <c:formatCode>General</c:formatCode>
                <c:ptCount val="4"/>
                <c:pt idx="1">
                  <c:v>0</c:v>
                </c:pt>
                <c:pt idx="2">
                  <c:v>0</c:v>
                </c:pt>
                <c:pt idx="3">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6625"/>
          <c:y val="0.24537037037037"/>
          <c:w val="0.311842105263158"/>
          <c:h val="0.666666666666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30</Pages>
  <Words>9186</Words>
  <Characters>10464</Characters>
  <Lines>54</Lines>
  <Paragraphs>15</Paragraphs>
  <TotalTime>43</TotalTime>
  <ScaleCrop>false</ScaleCrop>
  <LinksUpToDate>false</LinksUpToDate>
  <CharactersWithSpaces>10540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2024-09-09T01:11:00Z</cp:lastPrinted>
  <dcterms:modified xsi:type="dcterms:W3CDTF">2024-09-23T08:45:31Z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E6A11A829C344276B1F595860CB6BD20_13</vt:lpwstr>
  </property>
</Properties>
</file>