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7F5F34">
      <w:pPr>
        <w:spacing w:line="600" w:lineRule="exact"/>
        <w:jc w:val="left"/>
        <w:outlineLvl w:val="0"/>
        <w:rPr>
          <w:rFonts w:ascii="方正小标宋简体" w:hAnsi="宋体" w:eastAsia="方正小标宋简体"/>
          <w:szCs w:val="21"/>
        </w:rPr>
      </w:pPr>
      <w:bookmarkStart w:id="0" w:name="_Toc15306267"/>
    </w:p>
    <w:p w14:paraId="6ABD9AAB">
      <w:pPr>
        <w:pStyle w:val="8"/>
        <w:spacing w:before="93"/>
      </w:pPr>
    </w:p>
    <w:p w14:paraId="69AED77B">
      <w:pPr>
        <w:spacing w:line="600" w:lineRule="exact"/>
        <w:jc w:val="center"/>
        <w:outlineLvl w:val="0"/>
        <w:rPr>
          <w:rFonts w:ascii="方正小标宋简体" w:hAnsi="宋体" w:eastAsia="方正小标宋简体"/>
          <w:sz w:val="72"/>
          <w:szCs w:val="72"/>
        </w:rPr>
      </w:pPr>
    </w:p>
    <w:p w14:paraId="489CBB5D">
      <w:pPr>
        <w:spacing w:line="600" w:lineRule="exact"/>
        <w:jc w:val="center"/>
        <w:outlineLvl w:val="0"/>
        <w:rPr>
          <w:rFonts w:ascii="方正小标宋简体" w:hAnsi="宋体" w:eastAsia="方正小标宋简体"/>
          <w:sz w:val="72"/>
          <w:szCs w:val="72"/>
        </w:rPr>
      </w:pPr>
    </w:p>
    <w:p w14:paraId="16C0A312">
      <w:pPr>
        <w:adjustRightInd w:val="0"/>
        <w:snapToGrid w:val="0"/>
        <w:spacing w:line="360" w:lineRule="auto"/>
        <w:jc w:val="center"/>
        <w:outlineLvl w:val="0"/>
        <w:rPr>
          <w:rFonts w:ascii="方正小标宋简体" w:hAnsi="方正小标宋简体" w:eastAsia="方正小标宋简体" w:cs="方正小标宋简体"/>
          <w:sz w:val="72"/>
          <w:szCs w:val="72"/>
        </w:rPr>
      </w:pPr>
      <w:bookmarkStart w:id="1" w:name="_Toc69"/>
      <w:bookmarkStart w:id="2" w:name="_Toc15396475"/>
      <w:bookmarkStart w:id="3" w:name="_Toc15378441"/>
      <w:bookmarkStart w:id="4" w:name="_Toc15396597"/>
      <w:bookmarkStart w:id="5" w:name="_Toc15377193"/>
      <w:bookmarkStart w:id="6" w:name="_Toc15377425"/>
      <w:r>
        <w:rPr>
          <w:rFonts w:hint="eastAsia" w:ascii="方正小标宋简体" w:hAnsi="方正小标宋简体" w:eastAsia="方正小标宋简体" w:cs="方正小标宋简体"/>
          <w:sz w:val="72"/>
          <w:szCs w:val="72"/>
        </w:rPr>
        <w:t>2023年度</w:t>
      </w:r>
      <w:bookmarkEnd w:id="1"/>
      <w:bookmarkEnd w:id="2"/>
      <w:bookmarkEnd w:id="3"/>
      <w:bookmarkEnd w:id="4"/>
      <w:bookmarkEnd w:id="5"/>
      <w:bookmarkEnd w:id="6"/>
    </w:p>
    <w:p w14:paraId="288CF897">
      <w:pPr>
        <w:adjustRightInd w:val="0"/>
        <w:snapToGrid w:val="0"/>
        <w:spacing w:line="360" w:lineRule="auto"/>
        <w:jc w:val="center"/>
        <w:outlineLvl w:val="0"/>
        <w:rPr>
          <w:rFonts w:ascii="方正小标宋简体" w:hAnsi="方正小标宋简体" w:eastAsia="方正小标宋简体" w:cs="方正小标宋简体"/>
          <w:sz w:val="72"/>
          <w:szCs w:val="72"/>
        </w:rPr>
      </w:pPr>
      <w:bookmarkStart w:id="7" w:name="_Toc15396476"/>
      <w:bookmarkStart w:id="8" w:name="_Toc15396598"/>
      <w:bookmarkStart w:id="9" w:name="_Toc15378442"/>
      <w:bookmarkStart w:id="10" w:name="_Toc15377194"/>
      <w:bookmarkStart w:id="11" w:name="_Toc21154"/>
      <w:bookmarkStart w:id="12" w:name="_Toc15377426"/>
      <w:r>
        <w:rPr>
          <w:rFonts w:hint="eastAsia" w:ascii="方正小标宋简体" w:hAnsi="方正小标宋简体" w:eastAsia="方正小标宋简体" w:cs="方正小标宋简体"/>
          <w:sz w:val="72"/>
          <w:szCs w:val="72"/>
        </w:rPr>
        <w:t>四川省</w:t>
      </w:r>
      <w:bookmarkEnd w:id="0"/>
      <w:bookmarkStart w:id="13" w:name="_Toc15306268"/>
      <w:r>
        <w:rPr>
          <w:rFonts w:hint="eastAsia" w:ascii="方正小标宋简体" w:hAnsi="方正小标宋简体" w:eastAsia="方正小标宋简体" w:cs="方正小标宋简体"/>
          <w:sz w:val="72"/>
          <w:szCs w:val="72"/>
          <w:lang w:eastAsia="zh-CN"/>
        </w:rPr>
        <w:t>松潘县下八寨乡卫生院</w:t>
      </w:r>
      <w:r>
        <w:rPr>
          <w:rFonts w:hint="eastAsia" w:ascii="方正小标宋简体" w:hAnsi="方正小标宋简体" w:eastAsia="方正小标宋简体" w:cs="方正小标宋简体"/>
          <w:sz w:val="72"/>
          <w:szCs w:val="72"/>
        </w:rPr>
        <w:t>决算</w:t>
      </w:r>
      <w:bookmarkEnd w:id="7"/>
      <w:bookmarkEnd w:id="8"/>
      <w:bookmarkEnd w:id="9"/>
      <w:bookmarkEnd w:id="10"/>
      <w:bookmarkEnd w:id="11"/>
      <w:bookmarkEnd w:id="12"/>
      <w:bookmarkEnd w:id="13"/>
    </w:p>
    <w:p w14:paraId="0E685083">
      <w:pPr>
        <w:widowControl/>
        <w:spacing w:line="440" w:lineRule="exact"/>
        <w:jc w:val="left"/>
        <w:rPr>
          <w:rFonts w:ascii="仿宋" w:hAnsi="仿宋" w:eastAsia="仿宋"/>
          <w:bCs/>
          <w:kern w:val="44"/>
          <w:sz w:val="24"/>
        </w:rPr>
      </w:pPr>
      <w:r>
        <w:rPr>
          <w:rFonts w:ascii="方正小标宋简体" w:hAnsi="宋体" w:eastAsia="方正小标宋简体"/>
          <w:sz w:val="36"/>
          <w:szCs w:val="36"/>
        </w:rPr>
        <w:br w:type="page"/>
      </w:r>
    </w:p>
    <w:sdt>
      <w:sdtPr>
        <w:rPr>
          <w:rFonts w:ascii="宋体" w:hAnsi="宋体" w:eastAsia="宋体" w:cs="Times New Roman"/>
          <w:kern w:val="2"/>
          <w:sz w:val="21"/>
          <w:szCs w:val="24"/>
          <w:lang w:val="en-US" w:eastAsia="zh-CN" w:bidi="ar-SA"/>
        </w:rPr>
        <w:id w:val="147460901"/>
        <w15:color w:val="DBDBDB"/>
        <w:docPartObj>
          <w:docPartGallery w:val="Table of Contents"/>
          <w:docPartUnique/>
        </w:docPartObj>
      </w:sdtPr>
      <w:sdtEndPr>
        <w:rPr>
          <w:rFonts w:ascii="Times New Roman" w:hAnsi="Times New Roman" w:eastAsia="宋体" w:cs="Times New Roman"/>
          <w:kern w:val="2"/>
          <w:sz w:val="20"/>
          <w:szCs w:val="20"/>
          <w:lang w:val="en-US" w:eastAsia="zh-CN" w:bidi="ar-SA"/>
        </w:rPr>
      </w:sdtEndPr>
      <w:sdtContent>
        <w:p w14:paraId="5F2B134A">
          <w:pPr>
            <w:spacing w:before="0" w:beforeLines="0" w:after="0" w:afterLines="0" w:line="240" w:lineRule="auto"/>
            <w:ind w:left="0" w:leftChars="0" w:right="0" w:rightChars="0" w:firstLine="0" w:firstLineChars="0"/>
            <w:jc w:val="center"/>
            <w:rPr>
              <w:rFonts w:ascii="宋体" w:hAnsi="宋体" w:eastAsia="宋体"/>
              <w:sz w:val="21"/>
            </w:rPr>
          </w:pPr>
          <w:r>
            <w:rPr>
              <w:rFonts w:ascii="宋体" w:hAnsi="宋体" w:eastAsia="宋体"/>
              <w:sz w:val="21"/>
            </w:rPr>
            <w:t>目录</w:t>
          </w:r>
        </w:p>
        <w:p w14:paraId="0BDDF9A8">
          <w:pPr>
            <w:pStyle w:val="2"/>
            <w:jc w:val="center"/>
            <w:rPr>
              <w:rFonts w:hint="default" w:eastAsia="宋体"/>
              <w:lang w:val="en-US" w:eastAsia="zh-CN"/>
            </w:rPr>
          </w:pPr>
          <w:r>
            <w:rPr>
              <w:rFonts w:hint="eastAsia" w:ascii="宋体" w:hAnsi="宋体" w:eastAsia="宋体"/>
              <w:sz w:val="21"/>
              <w:lang w:val="en-US" w:eastAsia="zh-CN"/>
            </w:rPr>
            <w:t>公开时间：2024年9月1</w:t>
          </w:r>
          <w:r>
            <w:rPr>
              <w:rFonts w:hint="eastAsia" w:ascii="宋体" w:hAnsi="宋体"/>
              <w:sz w:val="21"/>
              <w:lang w:val="en-US" w:eastAsia="zh-CN"/>
            </w:rPr>
            <w:t>9</w:t>
          </w:r>
          <w:r>
            <w:rPr>
              <w:rFonts w:hint="eastAsia" w:ascii="宋体" w:hAnsi="宋体" w:eastAsia="宋体"/>
              <w:sz w:val="21"/>
              <w:lang w:val="en-US" w:eastAsia="zh-CN"/>
            </w:rPr>
            <w:t>日</w:t>
          </w:r>
        </w:p>
        <w:p w14:paraId="0684356A">
          <w:pPr>
            <w:pStyle w:val="13"/>
            <w:tabs>
              <w:tab w:val="right" w:leader="dot" w:pos="8306"/>
              <w:tab w:val="clear" w:pos="8296"/>
            </w:tabs>
          </w:pPr>
          <w:r>
            <w:rPr>
              <w:sz w:val="20"/>
              <w:szCs w:val="20"/>
            </w:rPr>
            <w:fldChar w:fldCharType="begin"/>
          </w:r>
          <w:r>
            <w:rPr>
              <w:sz w:val="20"/>
              <w:szCs w:val="20"/>
            </w:rPr>
            <w:instrText xml:space="preserve">TOC \o "1-3" \h \u </w:instrText>
          </w:r>
          <w:r>
            <w:rPr>
              <w:sz w:val="20"/>
              <w:szCs w:val="20"/>
            </w:rPr>
            <w:fldChar w:fldCharType="separate"/>
          </w:r>
          <w:r>
            <w:rPr>
              <w:szCs w:val="20"/>
            </w:rPr>
            <w:fldChar w:fldCharType="begin"/>
          </w:r>
          <w:r>
            <w:rPr>
              <w:szCs w:val="20"/>
            </w:rPr>
            <w:instrText xml:space="preserve"> HYPERLINK \l _Toc27117 </w:instrText>
          </w:r>
          <w:r>
            <w:rPr>
              <w:szCs w:val="20"/>
            </w:rPr>
            <w:fldChar w:fldCharType="separate"/>
          </w:r>
          <w:r>
            <w:rPr>
              <w:rFonts w:hint="eastAsia" w:ascii="黑体" w:hAnsi="黑体" w:eastAsia="黑体"/>
            </w:rPr>
            <w:t>第一部分 单位</w:t>
          </w:r>
          <w:r>
            <w:rPr>
              <w:rFonts w:hint="eastAsia" w:ascii="黑体" w:hAnsi="黑体" w:eastAsia="黑体"/>
              <w:bCs w:val="0"/>
            </w:rPr>
            <w:t>概况</w:t>
          </w:r>
          <w:r>
            <w:tab/>
          </w:r>
          <w:r>
            <w:fldChar w:fldCharType="begin"/>
          </w:r>
          <w:r>
            <w:instrText xml:space="preserve"> PAGEREF _Toc27117 \h </w:instrText>
          </w:r>
          <w:r>
            <w:fldChar w:fldCharType="separate"/>
          </w:r>
          <w:r>
            <w:t>4</w:t>
          </w:r>
          <w:r>
            <w:fldChar w:fldCharType="end"/>
          </w:r>
          <w:r>
            <w:rPr>
              <w:szCs w:val="20"/>
            </w:rPr>
            <w:fldChar w:fldCharType="end"/>
          </w:r>
        </w:p>
        <w:p w14:paraId="3AA39F7B">
          <w:pPr>
            <w:pStyle w:val="14"/>
            <w:tabs>
              <w:tab w:val="right" w:leader="dot" w:pos="8306"/>
              <w:tab w:val="clear" w:pos="8296"/>
            </w:tabs>
          </w:pPr>
          <w:r>
            <w:rPr>
              <w:szCs w:val="20"/>
            </w:rPr>
            <w:fldChar w:fldCharType="begin"/>
          </w:r>
          <w:r>
            <w:rPr>
              <w:szCs w:val="20"/>
            </w:rPr>
            <w:instrText xml:space="preserve"> HYPERLINK \l _Toc28311 </w:instrText>
          </w:r>
          <w:r>
            <w:rPr>
              <w:szCs w:val="20"/>
            </w:rPr>
            <w:fldChar w:fldCharType="separate"/>
          </w:r>
          <w:r>
            <w:rPr>
              <w:rFonts w:hint="eastAsia" w:ascii="黑体" w:hAnsi="黑体" w:eastAsia="黑体"/>
              <w:bCs w:val="0"/>
              <w:lang w:eastAsia="zh-CN"/>
            </w:rPr>
            <w:t>一、</w:t>
          </w:r>
          <w:r>
            <w:rPr>
              <w:rFonts w:hint="eastAsia" w:ascii="黑体" w:hAnsi="黑体" w:eastAsia="黑体"/>
              <w:bCs w:val="0"/>
            </w:rPr>
            <w:t xml:space="preserve">主要职责 </w:t>
          </w:r>
          <w:r>
            <w:rPr>
              <w:rFonts w:hint="eastAsia" w:ascii="黑体" w:hAnsi="黑体" w:eastAsia="黑体"/>
              <w:bCs w:val="0"/>
              <w:lang w:val="en-US" w:eastAsia="zh-CN"/>
            </w:rPr>
            <w:t xml:space="preserve">    </w:t>
          </w:r>
          <w:r>
            <w:tab/>
          </w:r>
          <w:r>
            <w:fldChar w:fldCharType="begin"/>
          </w:r>
          <w:r>
            <w:instrText xml:space="preserve"> PAGEREF _Toc28311 \h </w:instrText>
          </w:r>
          <w:r>
            <w:fldChar w:fldCharType="separate"/>
          </w:r>
          <w:r>
            <w:t>4</w:t>
          </w:r>
          <w:r>
            <w:fldChar w:fldCharType="end"/>
          </w:r>
          <w:r>
            <w:rPr>
              <w:szCs w:val="20"/>
            </w:rPr>
            <w:fldChar w:fldCharType="end"/>
          </w:r>
        </w:p>
        <w:p w14:paraId="558F54D3">
          <w:pPr>
            <w:pStyle w:val="14"/>
            <w:tabs>
              <w:tab w:val="right" w:leader="dot" w:pos="8306"/>
              <w:tab w:val="clear" w:pos="8296"/>
            </w:tabs>
          </w:pPr>
          <w:r>
            <w:rPr>
              <w:szCs w:val="20"/>
            </w:rPr>
            <w:fldChar w:fldCharType="begin"/>
          </w:r>
          <w:r>
            <w:rPr>
              <w:szCs w:val="20"/>
            </w:rPr>
            <w:instrText xml:space="preserve"> HYPERLINK \l _Toc24551 </w:instrText>
          </w:r>
          <w:r>
            <w:rPr>
              <w:szCs w:val="20"/>
            </w:rPr>
            <w:fldChar w:fldCharType="separate"/>
          </w:r>
          <w:r>
            <w:rPr>
              <w:rFonts w:hint="eastAsia" w:ascii="黑体" w:hAnsi="黑体" w:eastAsia="黑体"/>
            </w:rPr>
            <w:t>二、机构设置</w:t>
          </w:r>
          <w:r>
            <w:tab/>
          </w:r>
          <w:r>
            <w:fldChar w:fldCharType="begin"/>
          </w:r>
          <w:r>
            <w:instrText xml:space="preserve"> PAGEREF _Toc24551 \h </w:instrText>
          </w:r>
          <w:r>
            <w:fldChar w:fldCharType="separate"/>
          </w:r>
          <w:r>
            <w:t>4</w:t>
          </w:r>
          <w:r>
            <w:fldChar w:fldCharType="end"/>
          </w:r>
          <w:r>
            <w:rPr>
              <w:szCs w:val="20"/>
            </w:rPr>
            <w:fldChar w:fldCharType="end"/>
          </w:r>
        </w:p>
        <w:p w14:paraId="7BDFE0A7">
          <w:pPr>
            <w:pStyle w:val="13"/>
            <w:tabs>
              <w:tab w:val="right" w:leader="dot" w:pos="8306"/>
              <w:tab w:val="clear" w:pos="8296"/>
            </w:tabs>
          </w:pPr>
          <w:r>
            <w:rPr>
              <w:szCs w:val="20"/>
            </w:rPr>
            <w:fldChar w:fldCharType="begin"/>
          </w:r>
          <w:r>
            <w:rPr>
              <w:szCs w:val="20"/>
            </w:rPr>
            <w:instrText xml:space="preserve"> HYPERLINK \l _Toc12604 </w:instrText>
          </w:r>
          <w:r>
            <w:rPr>
              <w:szCs w:val="20"/>
            </w:rPr>
            <w:fldChar w:fldCharType="separate"/>
          </w:r>
          <w:r>
            <w:rPr>
              <w:rFonts w:hint="eastAsia" w:ascii="黑体" w:hAnsi="黑体" w:eastAsia="黑体" w:cs="Times New Roman"/>
              <w:bCs/>
            </w:rPr>
            <w:t>第二部分 2023年度单位决算情况说明</w:t>
          </w:r>
          <w:r>
            <w:tab/>
          </w:r>
          <w:r>
            <w:fldChar w:fldCharType="begin"/>
          </w:r>
          <w:r>
            <w:instrText xml:space="preserve"> PAGEREF _Toc12604 \h </w:instrText>
          </w:r>
          <w:r>
            <w:fldChar w:fldCharType="separate"/>
          </w:r>
          <w:r>
            <w:t>5</w:t>
          </w:r>
          <w:r>
            <w:fldChar w:fldCharType="end"/>
          </w:r>
          <w:r>
            <w:rPr>
              <w:szCs w:val="20"/>
            </w:rPr>
            <w:fldChar w:fldCharType="end"/>
          </w:r>
        </w:p>
        <w:p w14:paraId="77A02D09">
          <w:pPr>
            <w:pStyle w:val="14"/>
            <w:tabs>
              <w:tab w:val="right" w:leader="dot" w:pos="8306"/>
              <w:tab w:val="clear" w:pos="8296"/>
            </w:tabs>
          </w:pPr>
          <w:r>
            <w:rPr>
              <w:szCs w:val="20"/>
            </w:rPr>
            <w:fldChar w:fldCharType="begin"/>
          </w:r>
          <w:r>
            <w:rPr>
              <w:szCs w:val="20"/>
            </w:rPr>
            <w:instrText xml:space="preserve"> HYPERLINK \l _Toc9189 </w:instrText>
          </w:r>
          <w:r>
            <w:rPr>
              <w:szCs w:val="20"/>
            </w:rPr>
            <w:fldChar w:fldCharType="separate"/>
          </w:r>
          <w:r>
            <w:rPr>
              <w:rFonts w:hint="default" w:ascii="黑体" w:hAnsi="黑体" w:eastAsia="黑体"/>
            </w:rPr>
            <w:t xml:space="preserve">一、 </w:t>
          </w:r>
          <w:r>
            <w:rPr>
              <w:rFonts w:hint="eastAsia" w:ascii="黑体" w:hAnsi="黑体" w:eastAsia="黑体"/>
              <w:szCs w:val="32"/>
            </w:rPr>
            <w:t>收</w:t>
          </w:r>
          <w:r>
            <w:rPr>
              <w:rFonts w:hint="eastAsia" w:ascii="黑体" w:hAnsi="黑体" w:eastAsia="黑体"/>
            </w:rPr>
            <w:t>入支出决算总体情况说明</w:t>
          </w:r>
          <w:r>
            <w:tab/>
          </w:r>
          <w:r>
            <w:fldChar w:fldCharType="begin"/>
          </w:r>
          <w:r>
            <w:instrText xml:space="preserve"> PAGEREF _Toc9189 \h </w:instrText>
          </w:r>
          <w:r>
            <w:fldChar w:fldCharType="separate"/>
          </w:r>
          <w:r>
            <w:t>5</w:t>
          </w:r>
          <w:r>
            <w:fldChar w:fldCharType="end"/>
          </w:r>
          <w:r>
            <w:rPr>
              <w:szCs w:val="20"/>
            </w:rPr>
            <w:fldChar w:fldCharType="end"/>
          </w:r>
        </w:p>
        <w:p w14:paraId="20805995">
          <w:pPr>
            <w:pStyle w:val="14"/>
            <w:tabs>
              <w:tab w:val="right" w:leader="dot" w:pos="8306"/>
              <w:tab w:val="clear" w:pos="8296"/>
            </w:tabs>
          </w:pPr>
          <w:r>
            <w:rPr>
              <w:szCs w:val="20"/>
            </w:rPr>
            <w:fldChar w:fldCharType="begin"/>
          </w:r>
          <w:r>
            <w:rPr>
              <w:szCs w:val="20"/>
            </w:rPr>
            <w:instrText xml:space="preserve"> HYPERLINK \l _Toc21667 </w:instrText>
          </w:r>
          <w:r>
            <w:rPr>
              <w:szCs w:val="20"/>
            </w:rPr>
            <w:fldChar w:fldCharType="separate"/>
          </w:r>
          <w:r>
            <w:rPr>
              <w:rFonts w:hint="default" w:ascii="黑体" w:hAnsi="黑体" w:eastAsia="黑体"/>
            </w:rPr>
            <w:t xml:space="preserve">二、 </w:t>
          </w:r>
          <w:r>
            <w:rPr>
              <w:rFonts w:hint="eastAsia" w:ascii="黑体" w:hAnsi="黑体" w:eastAsia="黑体"/>
              <w:szCs w:val="32"/>
            </w:rPr>
            <w:t>收</w:t>
          </w:r>
          <w:r>
            <w:rPr>
              <w:rFonts w:hint="eastAsia" w:ascii="黑体" w:hAnsi="黑体" w:eastAsia="黑体"/>
            </w:rPr>
            <w:t>入决算情况说明</w:t>
          </w:r>
          <w:r>
            <w:tab/>
          </w:r>
          <w:r>
            <w:fldChar w:fldCharType="begin"/>
          </w:r>
          <w:r>
            <w:instrText xml:space="preserve"> PAGEREF _Toc21667 \h </w:instrText>
          </w:r>
          <w:r>
            <w:fldChar w:fldCharType="separate"/>
          </w:r>
          <w:r>
            <w:t>5</w:t>
          </w:r>
          <w:r>
            <w:fldChar w:fldCharType="end"/>
          </w:r>
          <w:r>
            <w:rPr>
              <w:szCs w:val="20"/>
            </w:rPr>
            <w:fldChar w:fldCharType="end"/>
          </w:r>
        </w:p>
        <w:p w14:paraId="1CCF667C">
          <w:pPr>
            <w:pStyle w:val="14"/>
            <w:tabs>
              <w:tab w:val="right" w:leader="dot" w:pos="8306"/>
              <w:tab w:val="clear" w:pos="8296"/>
            </w:tabs>
          </w:pPr>
          <w:r>
            <w:rPr>
              <w:szCs w:val="20"/>
            </w:rPr>
            <w:fldChar w:fldCharType="begin"/>
          </w:r>
          <w:r>
            <w:rPr>
              <w:szCs w:val="20"/>
            </w:rPr>
            <w:instrText xml:space="preserve"> HYPERLINK \l _Toc27773 </w:instrText>
          </w:r>
          <w:r>
            <w:rPr>
              <w:szCs w:val="20"/>
            </w:rPr>
            <w:fldChar w:fldCharType="separate"/>
          </w:r>
          <w:r>
            <w:rPr>
              <w:rFonts w:hint="default" w:ascii="黑体" w:hAnsi="黑体" w:eastAsia="黑体"/>
            </w:rPr>
            <w:t xml:space="preserve">三、 </w:t>
          </w:r>
          <w:r>
            <w:rPr>
              <w:rFonts w:hint="eastAsia" w:ascii="黑体" w:hAnsi="黑体" w:eastAsia="黑体"/>
              <w:szCs w:val="32"/>
            </w:rPr>
            <w:t>支</w:t>
          </w:r>
          <w:r>
            <w:rPr>
              <w:rFonts w:hint="eastAsia" w:ascii="黑体" w:hAnsi="黑体" w:eastAsia="黑体"/>
            </w:rPr>
            <w:t>出决算情况说明</w:t>
          </w:r>
          <w:r>
            <w:tab/>
          </w:r>
          <w:r>
            <w:fldChar w:fldCharType="begin"/>
          </w:r>
          <w:r>
            <w:instrText xml:space="preserve"> PAGEREF _Toc27773 \h </w:instrText>
          </w:r>
          <w:r>
            <w:fldChar w:fldCharType="separate"/>
          </w:r>
          <w:r>
            <w:t>6</w:t>
          </w:r>
          <w:r>
            <w:fldChar w:fldCharType="end"/>
          </w:r>
          <w:r>
            <w:rPr>
              <w:szCs w:val="20"/>
            </w:rPr>
            <w:fldChar w:fldCharType="end"/>
          </w:r>
        </w:p>
        <w:p w14:paraId="0D1BC1F2">
          <w:pPr>
            <w:pStyle w:val="14"/>
            <w:tabs>
              <w:tab w:val="right" w:leader="dot" w:pos="8306"/>
              <w:tab w:val="clear" w:pos="8296"/>
            </w:tabs>
          </w:pPr>
          <w:r>
            <w:rPr>
              <w:szCs w:val="20"/>
            </w:rPr>
            <w:fldChar w:fldCharType="begin"/>
          </w:r>
          <w:r>
            <w:rPr>
              <w:szCs w:val="20"/>
            </w:rPr>
            <w:instrText xml:space="preserve"> HYPERLINK \l _Toc6783 </w:instrText>
          </w:r>
          <w:r>
            <w:rPr>
              <w:szCs w:val="20"/>
            </w:rPr>
            <w:fldChar w:fldCharType="separate"/>
          </w:r>
          <w:r>
            <w:rPr>
              <w:rFonts w:hint="eastAsia" w:ascii="黑体" w:hAnsi="黑体" w:eastAsia="黑体"/>
              <w:szCs w:val="32"/>
            </w:rPr>
            <w:t>四、财</w:t>
          </w:r>
          <w:r>
            <w:rPr>
              <w:rFonts w:hint="eastAsia" w:ascii="黑体" w:hAnsi="黑体" w:eastAsia="黑体"/>
            </w:rPr>
            <w:t>政拨款收入支出决算总体情况说明</w:t>
          </w:r>
          <w:r>
            <w:tab/>
          </w:r>
          <w:r>
            <w:fldChar w:fldCharType="begin"/>
          </w:r>
          <w:r>
            <w:instrText xml:space="preserve"> PAGEREF _Toc6783 \h </w:instrText>
          </w:r>
          <w:r>
            <w:fldChar w:fldCharType="separate"/>
          </w:r>
          <w:r>
            <w:t>7</w:t>
          </w:r>
          <w:r>
            <w:fldChar w:fldCharType="end"/>
          </w:r>
          <w:r>
            <w:rPr>
              <w:szCs w:val="20"/>
            </w:rPr>
            <w:fldChar w:fldCharType="end"/>
          </w:r>
        </w:p>
        <w:p w14:paraId="2E2BCECD">
          <w:pPr>
            <w:pStyle w:val="14"/>
            <w:tabs>
              <w:tab w:val="right" w:leader="dot" w:pos="8306"/>
              <w:tab w:val="clear" w:pos="8296"/>
            </w:tabs>
          </w:pPr>
          <w:r>
            <w:rPr>
              <w:szCs w:val="20"/>
            </w:rPr>
            <w:fldChar w:fldCharType="begin"/>
          </w:r>
          <w:r>
            <w:rPr>
              <w:szCs w:val="20"/>
            </w:rPr>
            <w:instrText xml:space="preserve"> HYPERLINK \l _Toc5663 </w:instrText>
          </w:r>
          <w:r>
            <w:rPr>
              <w:szCs w:val="20"/>
            </w:rPr>
            <w:fldChar w:fldCharType="separate"/>
          </w:r>
          <w:r>
            <w:rPr>
              <w:rFonts w:hint="eastAsia" w:ascii="黑体" w:hAnsi="黑体" w:eastAsia="黑体"/>
              <w:szCs w:val="32"/>
            </w:rPr>
            <w:t>五、一</w:t>
          </w:r>
          <w:r>
            <w:rPr>
              <w:rFonts w:hint="eastAsia" w:ascii="黑体" w:hAnsi="黑体" w:eastAsia="黑体"/>
            </w:rPr>
            <w:t>般公共预算财政拨款支出决算情况说明</w:t>
          </w:r>
          <w:r>
            <w:tab/>
          </w:r>
          <w:r>
            <w:fldChar w:fldCharType="begin"/>
          </w:r>
          <w:r>
            <w:instrText xml:space="preserve"> PAGEREF _Toc5663 \h </w:instrText>
          </w:r>
          <w:r>
            <w:fldChar w:fldCharType="separate"/>
          </w:r>
          <w:r>
            <w:t>7</w:t>
          </w:r>
          <w:r>
            <w:fldChar w:fldCharType="end"/>
          </w:r>
          <w:r>
            <w:rPr>
              <w:szCs w:val="20"/>
            </w:rPr>
            <w:fldChar w:fldCharType="end"/>
          </w:r>
        </w:p>
        <w:p w14:paraId="4B2E3E58">
          <w:pPr>
            <w:pStyle w:val="9"/>
            <w:tabs>
              <w:tab w:val="right" w:leader="dot" w:pos="8306"/>
              <w:tab w:val="clear" w:pos="8296"/>
            </w:tabs>
          </w:pPr>
          <w:r>
            <w:rPr>
              <w:szCs w:val="20"/>
            </w:rPr>
            <w:fldChar w:fldCharType="begin"/>
          </w:r>
          <w:r>
            <w:rPr>
              <w:szCs w:val="20"/>
            </w:rPr>
            <w:instrText xml:space="preserve"> HYPERLINK \l _Toc9031 </w:instrText>
          </w:r>
          <w:r>
            <w:rPr>
              <w:szCs w:val="20"/>
            </w:rPr>
            <w:fldChar w:fldCharType="separate"/>
          </w:r>
          <w:r>
            <w:rPr>
              <w:rFonts w:hint="eastAsia" w:ascii="仿宋" w:hAnsi="仿宋" w:eastAsia="仿宋"/>
              <w:szCs w:val="32"/>
            </w:rPr>
            <w:t>（一）一般公共预算财政拨款支出决算总体情况</w:t>
          </w:r>
          <w:r>
            <w:tab/>
          </w:r>
          <w:r>
            <w:fldChar w:fldCharType="begin"/>
          </w:r>
          <w:r>
            <w:instrText xml:space="preserve"> PAGEREF _Toc9031 \h </w:instrText>
          </w:r>
          <w:r>
            <w:fldChar w:fldCharType="separate"/>
          </w:r>
          <w:r>
            <w:t>7</w:t>
          </w:r>
          <w:r>
            <w:fldChar w:fldCharType="end"/>
          </w:r>
          <w:r>
            <w:rPr>
              <w:szCs w:val="20"/>
            </w:rPr>
            <w:fldChar w:fldCharType="end"/>
          </w:r>
        </w:p>
        <w:p w14:paraId="50A653E3">
          <w:pPr>
            <w:pStyle w:val="9"/>
            <w:tabs>
              <w:tab w:val="right" w:leader="dot" w:pos="8306"/>
              <w:tab w:val="clear" w:pos="8296"/>
            </w:tabs>
          </w:pPr>
          <w:r>
            <w:rPr>
              <w:szCs w:val="20"/>
            </w:rPr>
            <w:fldChar w:fldCharType="begin"/>
          </w:r>
          <w:r>
            <w:rPr>
              <w:szCs w:val="20"/>
            </w:rPr>
            <w:instrText xml:space="preserve"> HYPERLINK \l _Toc18471 </w:instrText>
          </w:r>
          <w:r>
            <w:rPr>
              <w:szCs w:val="20"/>
            </w:rPr>
            <w:fldChar w:fldCharType="separate"/>
          </w:r>
          <w:r>
            <w:rPr>
              <w:rFonts w:hint="eastAsia" w:ascii="仿宋" w:hAnsi="仿宋" w:eastAsia="仿宋"/>
              <w:szCs w:val="32"/>
            </w:rPr>
            <w:t>（二）一般公共预算财政拨款支出决算结构情况</w:t>
          </w:r>
          <w:r>
            <w:tab/>
          </w:r>
          <w:r>
            <w:fldChar w:fldCharType="begin"/>
          </w:r>
          <w:r>
            <w:instrText xml:space="preserve"> PAGEREF _Toc18471 \h </w:instrText>
          </w:r>
          <w:r>
            <w:fldChar w:fldCharType="separate"/>
          </w:r>
          <w:r>
            <w:t>8</w:t>
          </w:r>
          <w:r>
            <w:fldChar w:fldCharType="end"/>
          </w:r>
          <w:r>
            <w:rPr>
              <w:szCs w:val="20"/>
            </w:rPr>
            <w:fldChar w:fldCharType="end"/>
          </w:r>
        </w:p>
        <w:p w14:paraId="62D15F03">
          <w:pPr>
            <w:pStyle w:val="9"/>
            <w:tabs>
              <w:tab w:val="right" w:leader="dot" w:pos="8306"/>
              <w:tab w:val="clear" w:pos="8296"/>
            </w:tabs>
          </w:pPr>
          <w:r>
            <w:rPr>
              <w:szCs w:val="20"/>
            </w:rPr>
            <w:fldChar w:fldCharType="begin"/>
          </w:r>
          <w:r>
            <w:rPr>
              <w:szCs w:val="20"/>
            </w:rPr>
            <w:instrText xml:space="preserve"> HYPERLINK \l _Toc20273 </w:instrText>
          </w:r>
          <w:r>
            <w:rPr>
              <w:szCs w:val="20"/>
            </w:rPr>
            <w:fldChar w:fldCharType="separate"/>
          </w:r>
          <w:r>
            <w:rPr>
              <w:rFonts w:hint="eastAsia" w:ascii="仿宋" w:hAnsi="仿宋" w:eastAsia="仿宋"/>
              <w:szCs w:val="32"/>
            </w:rPr>
            <w:t>（三）一般公共预算财政拨款支出决算具体情况</w:t>
          </w:r>
          <w:r>
            <w:tab/>
          </w:r>
          <w:r>
            <w:fldChar w:fldCharType="begin"/>
          </w:r>
          <w:r>
            <w:instrText xml:space="preserve"> PAGEREF _Toc20273 \h </w:instrText>
          </w:r>
          <w:r>
            <w:fldChar w:fldCharType="separate"/>
          </w:r>
          <w:r>
            <w:t>9</w:t>
          </w:r>
          <w:r>
            <w:fldChar w:fldCharType="end"/>
          </w:r>
          <w:r>
            <w:rPr>
              <w:szCs w:val="20"/>
            </w:rPr>
            <w:fldChar w:fldCharType="end"/>
          </w:r>
        </w:p>
        <w:p w14:paraId="2A088FDC">
          <w:pPr>
            <w:pStyle w:val="14"/>
            <w:tabs>
              <w:tab w:val="right" w:leader="dot" w:pos="8306"/>
              <w:tab w:val="clear" w:pos="8296"/>
            </w:tabs>
          </w:pPr>
          <w:r>
            <w:rPr>
              <w:szCs w:val="20"/>
            </w:rPr>
            <w:fldChar w:fldCharType="begin"/>
          </w:r>
          <w:r>
            <w:rPr>
              <w:szCs w:val="20"/>
            </w:rPr>
            <w:instrText xml:space="preserve"> HYPERLINK \l _Toc16997 </w:instrText>
          </w:r>
          <w:r>
            <w:rPr>
              <w:szCs w:val="20"/>
            </w:rPr>
            <w:fldChar w:fldCharType="separate"/>
          </w:r>
          <w:r>
            <w:rPr>
              <w:rFonts w:hint="eastAsia" w:ascii="黑体" w:eastAsia="黑体"/>
              <w:szCs w:val="32"/>
            </w:rPr>
            <w:t>六、</w:t>
          </w:r>
          <w:r>
            <w:rPr>
              <w:rFonts w:hint="eastAsia" w:ascii="黑体" w:hAnsi="黑体" w:eastAsia="黑体"/>
              <w:szCs w:val="32"/>
            </w:rPr>
            <w:t>一</w:t>
          </w:r>
          <w:r>
            <w:rPr>
              <w:rFonts w:hint="eastAsia" w:ascii="黑体" w:hAnsi="黑体" w:eastAsia="黑体"/>
            </w:rPr>
            <w:t>般公共预算财政拨款基本支出决算情况说明</w:t>
          </w:r>
          <w:r>
            <w:tab/>
          </w:r>
          <w:r>
            <w:fldChar w:fldCharType="begin"/>
          </w:r>
          <w:r>
            <w:instrText xml:space="preserve"> PAGEREF _Toc16997 \h </w:instrText>
          </w:r>
          <w:r>
            <w:fldChar w:fldCharType="separate"/>
          </w:r>
          <w:r>
            <w:t>10</w:t>
          </w:r>
          <w:r>
            <w:fldChar w:fldCharType="end"/>
          </w:r>
          <w:r>
            <w:rPr>
              <w:szCs w:val="20"/>
            </w:rPr>
            <w:fldChar w:fldCharType="end"/>
          </w:r>
        </w:p>
        <w:p w14:paraId="1AAF0EBB">
          <w:pPr>
            <w:pStyle w:val="14"/>
            <w:tabs>
              <w:tab w:val="right" w:leader="dot" w:pos="8306"/>
              <w:tab w:val="clear" w:pos="8296"/>
            </w:tabs>
          </w:pPr>
          <w:r>
            <w:rPr>
              <w:szCs w:val="20"/>
            </w:rPr>
            <w:fldChar w:fldCharType="begin"/>
          </w:r>
          <w:r>
            <w:rPr>
              <w:szCs w:val="20"/>
            </w:rPr>
            <w:instrText xml:space="preserve"> HYPERLINK \l _Toc23033 </w:instrText>
          </w:r>
          <w:r>
            <w:rPr>
              <w:szCs w:val="20"/>
            </w:rPr>
            <w:fldChar w:fldCharType="separate"/>
          </w:r>
          <w:r>
            <w:rPr>
              <w:rFonts w:hint="eastAsia" w:ascii="黑体" w:eastAsia="黑体"/>
              <w:szCs w:val="32"/>
            </w:rPr>
            <w:t>七、</w:t>
          </w:r>
          <w:r>
            <w:rPr>
              <w:rFonts w:hint="eastAsia" w:ascii="黑体" w:hAnsi="黑体" w:eastAsia="黑体"/>
            </w:rPr>
            <w:t>财政拨款“三公”经费支出决算情况说明</w:t>
          </w:r>
          <w:r>
            <w:tab/>
          </w:r>
          <w:r>
            <w:fldChar w:fldCharType="begin"/>
          </w:r>
          <w:r>
            <w:instrText xml:space="preserve"> PAGEREF _Toc23033 \h </w:instrText>
          </w:r>
          <w:r>
            <w:fldChar w:fldCharType="separate"/>
          </w:r>
          <w:r>
            <w:t>11</w:t>
          </w:r>
          <w:r>
            <w:fldChar w:fldCharType="end"/>
          </w:r>
          <w:r>
            <w:rPr>
              <w:szCs w:val="20"/>
            </w:rPr>
            <w:fldChar w:fldCharType="end"/>
          </w:r>
        </w:p>
        <w:p w14:paraId="6E2DB0B0">
          <w:pPr>
            <w:pStyle w:val="9"/>
            <w:tabs>
              <w:tab w:val="right" w:leader="dot" w:pos="8306"/>
              <w:tab w:val="clear" w:pos="8296"/>
            </w:tabs>
          </w:pPr>
          <w:r>
            <w:rPr>
              <w:szCs w:val="20"/>
            </w:rPr>
            <w:fldChar w:fldCharType="begin"/>
          </w:r>
          <w:r>
            <w:rPr>
              <w:szCs w:val="20"/>
            </w:rPr>
            <w:instrText xml:space="preserve"> HYPERLINK \l _Toc14435 </w:instrText>
          </w:r>
          <w:r>
            <w:rPr>
              <w:szCs w:val="20"/>
            </w:rPr>
            <w:fldChar w:fldCharType="separate"/>
          </w:r>
          <w:r>
            <w:rPr>
              <w:rFonts w:hint="eastAsia" w:ascii="仿宋" w:hAnsi="仿宋" w:eastAsia="仿宋"/>
              <w:szCs w:val="32"/>
            </w:rPr>
            <w:t>（一）“三公”经费财政拨款支出决算总体情况说明</w:t>
          </w:r>
          <w:r>
            <w:tab/>
          </w:r>
          <w:r>
            <w:fldChar w:fldCharType="begin"/>
          </w:r>
          <w:r>
            <w:instrText xml:space="preserve"> PAGEREF _Toc14435 \h </w:instrText>
          </w:r>
          <w:r>
            <w:fldChar w:fldCharType="separate"/>
          </w:r>
          <w:r>
            <w:t>11</w:t>
          </w:r>
          <w:r>
            <w:fldChar w:fldCharType="end"/>
          </w:r>
          <w:r>
            <w:rPr>
              <w:szCs w:val="20"/>
            </w:rPr>
            <w:fldChar w:fldCharType="end"/>
          </w:r>
        </w:p>
        <w:p w14:paraId="6063501F">
          <w:pPr>
            <w:pStyle w:val="9"/>
            <w:tabs>
              <w:tab w:val="right" w:leader="dot" w:pos="8306"/>
              <w:tab w:val="clear" w:pos="8296"/>
            </w:tabs>
          </w:pPr>
          <w:r>
            <w:rPr>
              <w:szCs w:val="20"/>
            </w:rPr>
            <w:fldChar w:fldCharType="begin"/>
          </w:r>
          <w:r>
            <w:rPr>
              <w:szCs w:val="20"/>
            </w:rPr>
            <w:instrText xml:space="preserve"> HYPERLINK \l _Toc27876 </w:instrText>
          </w:r>
          <w:r>
            <w:rPr>
              <w:szCs w:val="20"/>
            </w:rPr>
            <w:fldChar w:fldCharType="separate"/>
          </w:r>
          <w:r>
            <w:rPr>
              <w:rFonts w:hint="eastAsia" w:ascii="仿宋" w:hAnsi="仿宋" w:eastAsia="仿宋"/>
              <w:szCs w:val="32"/>
            </w:rPr>
            <w:t>（二）“三公”经费财政拨款支出决算具体情况说明</w:t>
          </w:r>
          <w:r>
            <w:tab/>
          </w:r>
          <w:r>
            <w:fldChar w:fldCharType="begin"/>
          </w:r>
          <w:r>
            <w:instrText xml:space="preserve"> PAGEREF _Toc27876 \h </w:instrText>
          </w:r>
          <w:r>
            <w:fldChar w:fldCharType="separate"/>
          </w:r>
          <w:r>
            <w:t>11</w:t>
          </w:r>
          <w:r>
            <w:fldChar w:fldCharType="end"/>
          </w:r>
          <w:r>
            <w:rPr>
              <w:szCs w:val="20"/>
            </w:rPr>
            <w:fldChar w:fldCharType="end"/>
          </w:r>
        </w:p>
        <w:p w14:paraId="177CAA29">
          <w:pPr>
            <w:pStyle w:val="14"/>
            <w:tabs>
              <w:tab w:val="right" w:leader="dot" w:pos="8306"/>
              <w:tab w:val="clear" w:pos="8296"/>
            </w:tabs>
          </w:pPr>
          <w:r>
            <w:rPr>
              <w:szCs w:val="20"/>
            </w:rPr>
            <w:fldChar w:fldCharType="begin"/>
          </w:r>
          <w:r>
            <w:rPr>
              <w:szCs w:val="20"/>
            </w:rPr>
            <w:instrText xml:space="preserve"> HYPERLINK \l _Toc25240 </w:instrText>
          </w:r>
          <w:r>
            <w:rPr>
              <w:szCs w:val="20"/>
            </w:rPr>
            <w:fldChar w:fldCharType="separate"/>
          </w:r>
          <w:r>
            <w:rPr>
              <w:rFonts w:hint="eastAsia" w:ascii="黑体" w:eastAsia="黑体"/>
              <w:szCs w:val="32"/>
            </w:rPr>
            <w:t>八、</w:t>
          </w:r>
          <w:r>
            <w:rPr>
              <w:rFonts w:hint="eastAsia" w:ascii="黑体" w:hAnsi="黑体" w:eastAsia="黑体"/>
            </w:rPr>
            <w:t>政府性基金预算支出决算情况说明</w:t>
          </w:r>
          <w:r>
            <w:tab/>
          </w:r>
          <w:r>
            <w:fldChar w:fldCharType="begin"/>
          </w:r>
          <w:r>
            <w:instrText xml:space="preserve"> PAGEREF _Toc25240 \h </w:instrText>
          </w:r>
          <w:r>
            <w:fldChar w:fldCharType="separate"/>
          </w:r>
          <w:r>
            <w:t>12</w:t>
          </w:r>
          <w:r>
            <w:fldChar w:fldCharType="end"/>
          </w:r>
          <w:r>
            <w:rPr>
              <w:szCs w:val="20"/>
            </w:rPr>
            <w:fldChar w:fldCharType="end"/>
          </w:r>
        </w:p>
        <w:p w14:paraId="13A6B332">
          <w:pPr>
            <w:pStyle w:val="14"/>
            <w:tabs>
              <w:tab w:val="right" w:leader="dot" w:pos="8306"/>
              <w:tab w:val="clear" w:pos="8296"/>
            </w:tabs>
          </w:pPr>
          <w:r>
            <w:rPr>
              <w:szCs w:val="20"/>
            </w:rPr>
            <w:fldChar w:fldCharType="begin"/>
          </w:r>
          <w:r>
            <w:rPr>
              <w:szCs w:val="20"/>
            </w:rPr>
            <w:instrText xml:space="preserve"> HYPERLINK \l _Toc135 </w:instrText>
          </w:r>
          <w:r>
            <w:rPr>
              <w:szCs w:val="20"/>
            </w:rPr>
            <w:fldChar w:fldCharType="separate"/>
          </w:r>
          <w:r>
            <w:rPr>
              <w:rFonts w:hint="eastAsia" w:ascii="黑体" w:hAnsi="黑体" w:eastAsia="黑体"/>
            </w:rPr>
            <w:t>九、 国有资本经营预算支出决算情况说明</w:t>
          </w:r>
          <w:r>
            <w:tab/>
          </w:r>
          <w:r>
            <w:fldChar w:fldCharType="begin"/>
          </w:r>
          <w:r>
            <w:instrText xml:space="preserve"> PAGEREF _Toc135 \h </w:instrText>
          </w:r>
          <w:r>
            <w:fldChar w:fldCharType="separate"/>
          </w:r>
          <w:r>
            <w:t>12</w:t>
          </w:r>
          <w:r>
            <w:fldChar w:fldCharType="end"/>
          </w:r>
          <w:r>
            <w:rPr>
              <w:szCs w:val="20"/>
            </w:rPr>
            <w:fldChar w:fldCharType="end"/>
          </w:r>
        </w:p>
        <w:p w14:paraId="7EBB4727">
          <w:pPr>
            <w:pStyle w:val="14"/>
            <w:tabs>
              <w:tab w:val="right" w:leader="dot" w:pos="8306"/>
              <w:tab w:val="clear" w:pos="8296"/>
            </w:tabs>
          </w:pPr>
          <w:r>
            <w:rPr>
              <w:szCs w:val="20"/>
            </w:rPr>
            <w:fldChar w:fldCharType="begin"/>
          </w:r>
          <w:r>
            <w:rPr>
              <w:szCs w:val="20"/>
            </w:rPr>
            <w:instrText xml:space="preserve"> HYPERLINK \l _Toc16259 </w:instrText>
          </w:r>
          <w:r>
            <w:rPr>
              <w:szCs w:val="20"/>
            </w:rPr>
            <w:fldChar w:fldCharType="separate"/>
          </w:r>
          <w:r>
            <w:rPr>
              <w:rFonts w:hint="eastAsia" w:ascii="黑体" w:hAnsi="黑体" w:eastAsia="黑体"/>
            </w:rPr>
            <w:t>十、 其他重要事项的情况说明</w:t>
          </w:r>
          <w:r>
            <w:tab/>
          </w:r>
          <w:r>
            <w:fldChar w:fldCharType="begin"/>
          </w:r>
          <w:r>
            <w:instrText xml:space="preserve"> PAGEREF _Toc16259 \h </w:instrText>
          </w:r>
          <w:r>
            <w:fldChar w:fldCharType="separate"/>
          </w:r>
          <w:r>
            <w:t>12</w:t>
          </w:r>
          <w:r>
            <w:fldChar w:fldCharType="end"/>
          </w:r>
          <w:r>
            <w:rPr>
              <w:szCs w:val="20"/>
            </w:rPr>
            <w:fldChar w:fldCharType="end"/>
          </w:r>
        </w:p>
        <w:p w14:paraId="5AD76F25">
          <w:pPr>
            <w:pStyle w:val="9"/>
            <w:tabs>
              <w:tab w:val="right" w:leader="dot" w:pos="8306"/>
              <w:tab w:val="clear" w:pos="8296"/>
            </w:tabs>
          </w:pPr>
          <w:r>
            <w:rPr>
              <w:szCs w:val="20"/>
            </w:rPr>
            <w:fldChar w:fldCharType="begin"/>
          </w:r>
          <w:r>
            <w:rPr>
              <w:szCs w:val="20"/>
            </w:rPr>
            <w:instrText xml:space="preserve"> HYPERLINK \l _Toc13921 </w:instrText>
          </w:r>
          <w:r>
            <w:rPr>
              <w:szCs w:val="20"/>
            </w:rPr>
            <w:fldChar w:fldCharType="separate"/>
          </w:r>
          <w:r>
            <w:rPr>
              <w:rFonts w:hint="eastAsia" w:ascii="仿宋" w:hAnsi="仿宋" w:eastAsia="仿宋"/>
              <w:szCs w:val="32"/>
            </w:rPr>
            <w:t>（一）机关运行经费支出情况</w:t>
          </w:r>
          <w:r>
            <w:tab/>
          </w:r>
          <w:r>
            <w:fldChar w:fldCharType="begin"/>
          </w:r>
          <w:r>
            <w:instrText xml:space="preserve"> PAGEREF _Toc13921 \h </w:instrText>
          </w:r>
          <w:r>
            <w:fldChar w:fldCharType="separate"/>
          </w:r>
          <w:r>
            <w:t>13</w:t>
          </w:r>
          <w:r>
            <w:fldChar w:fldCharType="end"/>
          </w:r>
          <w:r>
            <w:rPr>
              <w:szCs w:val="20"/>
            </w:rPr>
            <w:fldChar w:fldCharType="end"/>
          </w:r>
        </w:p>
        <w:p w14:paraId="147F06C1">
          <w:pPr>
            <w:pStyle w:val="9"/>
            <w:tabs>
              <w:tab w:val="right" w:leader="dot" w:pos="8306"/>
              <w:tab w:val="clear" w:pos="8296"/>
            </w:tabs>
          </w:pPr>
          <w:r>
            <w:rPr>
              <w:szCs w:val="20"/>
            </w:rPr>
            <w:fldChar w:fldCharType="begin"/>
          </w:r>
          <w:r>
            <w:rPr>
              <w:szCs w:val="20"/>
            </w:rPr>
            <w:instrText xml:space="preserve"> HYPERLINK \l _Toc31680 </w:instrText>
          </w:r>
          <w:r>
            <w:rPr>
              <w:szCs w:val="20"/>
            </w:rPr>
            <w:fldChar w:fldCharType="separate"/>
          </w:r>
          <w:r>
            <w:rPr>
              <w:rFonts w:hint="eastAsia" w:ascii="仿宋" w:hAnsi="仿宋" w:eastAsia="仿宋"/>
              <w:szCs w:val="32"/>
            </w:rPr>
            <w:t>（二）政府采购支出情况</w:t>
          </w:r>
          <w:r>
            <w:tab/>
          </w:r>
          <w:r>
            <w:fldChar w:fldCharType="begin"/>
          </w:r>
          <w:r>
            <w:instrText xml:space="preserve"> PAGEREF _Toc31680 \h </w:instrText>
          </w:r>
          <w:r>
            <w:fldChar w:fldCharType="separate"/>
          </w:r>
          <w:r>
            <w:t>13</w:t>
          </w:r>
          <w:r>
            <w:fldChar w:fldCharType="end"/>
          </w:r>
          <w:r>
            <w:rPr>
              <w:szCs w:val="20"/>
            </w:rPr>
            <w:fldChar w:fldCharType="end"/>
          </w:r>
        </w:p>
        <w:p w14:paraId="4F8FAC10">
          <w:pPr>
            <w:pStyle w:val="9"/>
            <w:tabs>
              <w:tab w:val="right" w:leader="dot" w:pos="8306"/>
              <w:tab w:val="clear" w:pos="8296"/>
            </w:tabs>
          </w:pPr>
          <w:r>
            <w:rPr>
              <w:szCs w:val="20"/>
            </w:rPr>
            <w:fldChar w:fldCharType="begin"/>
          </w:r>
          <w:r>
            <w:rPr>
              <w:szCs w:val="20"/>
            </w:rPr>
            <w:instrText xml:space="preserve"> HYPERLINK \l _Toc7532 </w:instrText>
          </w:r>
          <w:r>
            <w:rPr>
              <w:szCs w:val="20"/>
            </w:rPr>
            <w:fldChar w:fldCharType="separate"/>
          </w:r>
          <w:r>
            <w:rPr>
              <w:rFonts w:hint="eastAsia" w:ascii="仿宋" w:hAnsi="仿宋" w:eastAsia="仿宋"/>
              <w:szCs w:val="32"/>
            </w:rPr>
            <w:t>（三）国有资产占有使用情况</w:t>
          </w:r>
          <w:r>
            <w:tab/>
          </w:r>
          <w:r>
            <w:fldChar w:fldCharType="begin"/>
          </w:r>
          <w:r>
            <w:instrText xml:space="preserve"> PAGEREF _Toc7532 \h </w:instrText>
          </w:r>
          <w:r>
            <w:fldChar w:fldCharType="separate"/>
          </w:r>
          <w:r>
            <w:t>13</w:t>
          </w:r>
          <w:r>
            <w:fldChar w:fldCharType="end"/>
          </w:r>
          <w:r>
            <w:rPr>
              <w:szCs w:val="20"/>
            </w:rPr>
            <w:fldChar w:fldCharType="end"/>
          </w:r>
        </w:p>
        <w:p w14:paraId="0CDFBC0A">
          <w:pPr>
            <w:pStyle w:val="9"/>
            <w:tabs>
              <w:tab w:val="right" w:leader="dot" w:pos="8306"/>
              <w:tab w:val="clear" w:pos="8296"/>
            </w:tabs>
          </w:pPr>
          <w:r>
            <w:rPr>
              <w:szCs w:val="20"/>
            </w:rPr>
            <w:fldChar w:fldCharType="begin"/>
          </w:r>
          <w:r>
            <w:rPr>
              <w:szCs w:val="20"/>
            </w:rPr>
            <w:instrText xml:space="preserve"> HYPERLINK \l _Toc21505 </w:instrText>
          </w:r>
          <w:r>
            <w:rPr>
              <w:szCs w:val="20"/>
            </w:rPr>
            <w:fldChar w:fldCharType="separate"/>
          </w:r>
          <w:r>
            <w:rPr>
              <w:rFonts w:hint="eastAsia" w:ascii="仿宋" w:hAnsi="仿宋" w:eastAsia="仿宋"/>
              <w:szCs w:val="32"/>
            </w:rPr>
            <w:t>（四）预算绩效管理情况</w:t>
          </w:r>
          <w:r>
            <w:tab/>
          </w:r>
          <w:r>
            <w:fldChar w:fldCharType="begin"/>
          </w:r>
          <w:r>
            <w:instrText xml:space="preserve"> PAGEREF _Toc21505 \h </w:instrText>
          </w:r>
          <w:r>
            <w:fldChar w:fldCharType="separate"/>
          </w:r>
          <w:r>
            <w:t>13</w:t>
          </w:r>
          <w:r>
            <w:fldChar w:fldCharType="end"/>
          </w:r>
          <w:r>
            <w:rPr>
              <w:szCs w:val="20"/>
            </w:rPr>
            <w:fldChar w:fldCharType="end"/>
          </w:r>
        </w:p>
        <w:p w14:paraId="14787E7D">
          <w:pPr>
            <w:pStyle w:val="13"/>
            <w:tabs>
              <w:tab w:val="right" w:leader="dot" w:pos="8306"/>
              <w:tab w:val="clear" w:pos="8296"/>
            </w:tabs>
          </w:pPr>
          <w:r>
            <w:rPr>
              <w:szCs w:val="20"/>
            </w:rPr>
            <w:fldChar w:fldCharType="begin"/>
          </w:r>
          <w:r>
            <w:rPr>
              <w:szCs w:val="20"/>
            </w:rPr>
            <w:instrText xml:space="preserve"> HYPERLINK \l _Toc19109 </w:instrText>
          </w:r>
          <w:r>
            <w:rPr>
              <w:szCs w:val="20"/>
            </w:rPr>
            <w:fldChar w:fldCharType="separate"/>
          </w:r>
          <w:r>
            <w:rPr>
              <w:rFonts w:hint="eastAsia" w:ascii="黑体" w:hAnsi="黑体" w:eastAsia="黑体" w:cs="黑体"/>
              <w:szCs w:val="44"/>
            </w:rPr>
            <w:t xml:space="preserve">第三部分 </w:t>
          </w:r>
          <w:r>
            <w:rPr>
              <w:rFonts w:hint="eastAsia" w:ascii="黑体" w:hAnsi="黑体" w:eastAsia="黑体"/>
              <w:szCs w:val="44"/>
            </w:rPr>
            <w:t>名</w:t>
          </w:r>
          <w:r>
            <w:rPr>
              <w:rFonts w:hint="eastAsia" w:ascii="黑体" w:hAnsi="黑体" w:eastAsia="黑体"/>
            </w:rPr>
            <w:t>词解释</w:t>
          </w:r>
          <w:r>
            <w:tab/>
          </w:r>
          <w:r>
            <w:fldChar w:fldCharType="begin"/>
          </w:r>
          <w:r>
            <w:instrText xml:space="preserve"> PAGEREF _Toc19109 \h </w:instrText>
          </w:r>
          <w:r>
            <w:fldChar w:fldCharType="separate"/>
          </w:r>
          <w:r>
            <w:t>15</w:t>
          </w:r>
          <w:r>
            <w:fldChar w:fldCharType="end"/>
          </w:r>
          <w:r>
            <w:rPr>
              <w:szCs w:val="20"/>
            </w:rPr>
            <w:fldChar w:fldCharType="end"/>
          </w:r>
        </w:p>
        <w:p w14:paraId="132EFC69">
          <w:pPr>
            <w:pStyle w:val="13"/>
            <w:tabs>
              <w:tab w:val="right" w:leader="dot" w:pos="8306"/>
              <w:tab w:val="clear" w:pos="8296"/>
            </w:tabs>
          </w:pPr>
          <w:r>
            <w:rPr>
              <w:szCs w:val="20"/>
            </w:rPr>
            <w:fldChar w:fldCharType="begin"/>
          </w:r>
          <w:r>
            <w:rPr>
              <w:szCs w:val="20"/>
            </w:rPr>
            <w:instrText xml:space="preserve"> HYPERLINK \l _Toc4095 </w:instrText>
          </w:r>
          <w:r>
            <w:rPr>
              <w:szCs w:val="20"/>
            </w:rPr>
            <w:fldChar w:fldCharType="separate"/>
          </w:r>
          <w:r>
            <w:rPr>
              <w:rFonts w:hint="eastAsia" w:ascii="黑体" w:hAnsi="黑体" w:eastAsia="黑体"/>
              <w:szCs w:val="44"/>
            </w:rPr>
            <w:t>第</w:t>
          </w:r>
          <w:r>
            <w:rPr>
              <w:rFonts w:hint="eastAsia" w:ascii="黑体" w:hAnsi="黑体" w:eastAsia="黑体"/>
            </w:rPr>
            <w:t>四部分 附件</w:t>
          </w:r>
          <w:r>
            <w:tab/>
          </w:r>
          <w:r>
            <w:fldChar w:fldCharType="begin"/>
          </w:r>
          <w:r>
            <w:instrText xml:space="preserve"> PAGEREF _Toc4095 \h </w:instrText>
          </w:r>
          <w:r>
            <w:fldChar w:fldCharType="separate"/>
          </w:r>
          <w:r>
            <w:t>18</w:t>
          </w:r>
          <w:r>
            <w:fldChar w:fldCharType="end"/>
          </w:r>
          <w:r>
            <w:rPr>
              <w:szCs w:val="20"/>
            </w:rPr>
            <w:fldChar w:fldCharType="end"/>
          </w:r>
        </w:p>
        <w:p w14:paraId="048DA8AC">
          <w:pPr>
            <w:pStyle w:val="13"/>
            <w:tabs>
              <w:tab w:val="right" w:leader="dot" w:pos="8306"/>
              <w:tab w:val="clear" w:pos="8296"/>
            </w:tabs>
          </w:pPr>
          <w:r>
            <w:rPr>
              <w:szCs w:val="20"/>
            </w:rPr>
            <w:fldChar w:fldCharType="begin"/>
          </w:r>
          <w:r>
            <w:rPr>
              <w:szCs w:val="20"/>
            </w:rPr>
            <w:instrText xml:space="preserve"> HYPERLINK \l _Toc9654 </w:instrText>
          </w:r>
          <w:r>
            <w:rPr>
              <w:szCs w:val="20"/>
            </w:rPr>
            <w:fldChar w:fldCharType="separate"/>
          </w:r>
          <w:r>
            <w:rPr>
              <w:rFonts w:hint="eastAsia" w:ascii="黑体" w:hAnsi="黑体" w:eastAsia="黑体"/>
              <w:szCs w:val="44"/>
            </w:rPr>
            <w:t>第</w:t>
          </w:r>
          <w:r>
            <w:rPr>
              <w:rFonts w:hint="eastAsia" w:ascii="黑体" w:hAnsi="黑体" w:eastAsia="黑体"/>
            </w:rPr>
            <w:t>五部分 附表</w:t>
          </w:r>
          <w:r>
            <w:tab/>
          </w:r>
          <w:r>
            <w:fldChar w:fldCharType="begin"/>
          </w:r>
          <w:r>
            <w:instrText xml:space="preserve"> PAGEREF _Toc9654 \h </w:instrText>
          </w:r>
          <w:r>
            <w:fldChar w:fldCharType="separate"/>
          </w:r>
          <w:r>
            <w:t>25</w:t>
          </w:r>
          <w:r>
            <w:fldChar w:fldCharType="end"/>
          </w:r>
          <w:r>
            <w:rPr>
              <w:szCs w:val="20"/>
            </w:rPr>
            <w:fldChar w:fldCharType="end"/>
          </w:r>
        </w:p>
        <w:p w14:paraId="0831EBDD">
          <w:pPr>
            <w:pStyle w:val="14"/>
            <w:tabs>
              <w:tab w:val="right" w:leader="dot" w:pos="8306"/>
              <w:tab w:val="clear" w:pos="8296"/>
            </w:tabs>
          </w:pPr>
          <w:r>
            <w:rPr>
              <w:szCs w:val="20"/>
            </w:rPr>
            <w:fldChar w:fldCharType="begin"/>
          </w:r>
          <w:r>
            <w:rPr>
              <w:szCs w:val="20"/>
            </w:rPr>
            <w:instrText xml:space="preserve"> HYPERLINK \l _Toc3888 </w:instrText>
          </w:r>
          <w:r>
            <w:rPr>
              <w:szCs w:val="20"/>
            </w:rPr>
            <w:fldChar w:fldCharType="separate"/>
          </w:r>
          <w:r>
            <w:rPr>
              <w:rFonts w:hint="eastAsia" w:ascii="仿宋" w:hAnsi="仿宋" w:eastAsia="仿宋"/>
            </w:rPr>
            <w:t>一、收</w:t>
          </w:r>
          <w:r>
            <w:rPr>
              <w:rFonts w:hint="eastAsia" w:ascii="仿宋" w:hAnsi="仿宋" w:eastAsia="仿宋"/>
              <w:bCs w:val="0"/>
            </w:rPr>
            <w:t>入支出决算总表</w:t>
          </w:r>
          <w:r>
            <w:tab/>
          </w:r>
          <w:r>
            <w:fldChar w:fldCharType="begin"/>
          </w:r>
          <w:r>
            <w:instrText xml:space="preserve"> PAGEREF _Toc3888 \h </w:instrText>
          </w:r>
          <w:r>
            <w:fldChar w:fldCharType="separate"/>
          </w:r>
          <w:r>
            <w:t>25</w:t>
          </w:r>
          <w:r>
            <w:fldChar w:fldCharType="end"/>
          </w:r>
          <w:r>
            <w:rPr>
              <w:szCs w:val="20"/>
            </w:rPr>
            <w:fldChar w:fldCharType="end"/>
          </w:r>
        </w:p>
        <w:p w14:paraId="0F06B84C">
          <w:pPr>
            <w:pStyle w:val="14"/>
            <w:tabs>
              <w:tab w:val="right" w:leader="dot" w:pos="8306"/>
              <w:tab w:val="clear" w:pos="8296"/>
            </w:tabs>
          </w:pPr>
          <w:r>
            <w:rPr>
              <w:szCs w:val="20"/>
            </w:rPr>
            <w:fldChar w:fldCharType="begin"/>
          </w:r>
          <w:r>
            <w:rPr>
              <w:szCs w:val="20"/>
            </w:rPr>
            <w:instrText xml:space="preserve"> HYPERLINK \l _Toc20385 </w:instrText>
          </w:r>
          <w:r>
            <w:rPr>
              <w:szCs w:val="20"/>
            </w:rPr>
            <w:fldChar w:fldCharType="separate"/>
          </w:r>
          <w:r>
            <w:rPr>
              <w:rFonts w:hint="eastAsia" w:ascii="仿宋" w:hAnsi="仿宋" w:eastAsia="仿宋"/>
            </w:rPr>
            <w:t>二、收</w:t>
          </w:r>
          <w:r>
            <w:rPr>
              <w:rFonts w:hint="eastAsia" w:ascii="仿宋" w:hAnsi="仿宋" w:eastAsia="仿宋"/>
              <w:bCs w:val="0"/>
            </w:rPr>
            <w:t>入决算表</w:t>
          </w:r>
          <w:r>
            <w:tab/>
          </w:r>
          <w:r>
            <w:fldChar w:fldCharType="begin"/>
          </w:r>
          <w:r>
            <w:instrText xml:space="preserve"> PAGEREF _Toc20385 \h </w:instrText>
          </w:r>
          <w:r>
            <w:fldChar w:fldCharType="separate"/>
          </w:r>
          <w:r>
            <w:t>25</w:t>
          </w:r>
          <w:r>
            <w:fldChar w:fldCharType="end"/>
          </w:r>
          <w:r>
            <w:rPr>
              <w:szCs w:val="20"/>
            </w:rPr>
            <w:fldChar w:fldCharType="end"/>
          </w:r>
        </w:p>
        <w:p w14:paraId="566493E5">
          <w:pPr>
            <w:pStyle w:val="14"/>
            <w:tabs>
              <w:tab w:val="right" w:leader="dot" w:pos="8306"/>
              <w:tab w:val="clear" w:pos="8296"/>
            </w:tabs>
          </w:pPr>
          <w:r>
            <w:rPr>
              <w:szCs w:val="20"/>
            </w:rPr>
            <w:fldChar w:fldCharType="begin"/>
          </w:r>
          <w:r>
            <w:rPr>
              <w:szCs w:val="20"/>
            </w:rPr>
            <w:instrText xml:space="preserve"> HYPERLINK \l _Toc1377 </w:instrText>
          </w:r>
          <w:r>
            <w:rPr>
              <w:szCs w:val="20"/>
            </w:rPr>
            <w:fldChar w:fldCharType="separate"/>
          </w:r>
          <w:r>
            <w:rPr>
              <w:rFonts w:hint="eastAsia" w:ascii="仿宋" w:hAnsi="仿宋" w:eastAsia="仿宋"/>
              <w:bCs w:val="0"/>
            </w:rPr>
            <w:t>三、</w:t>
          </w:r>
          <w:r>
            <w:rPr>
              <w:rFonts w:hint="eastAsia" w:ascii="仿宋" w:hAnsi="仿宋" w:eastAsia="仿宋"/>
            </w:rPr>
            <w:t>支</w:t>
          </w:r>
          <w:r>
            <w:rPr>
              <w:rFonts w:hint="eastAsia" w:ascii="仿宋" w:hAnsi="仿宋" w:eastAsia="仿宋"/>
              <w:bCs w:val="0"/>
            </w:rPr>
            <w:t>出决算表</w:t>
          </w:r>
          <w:r>
            <w:tab/>
          </w:r>
          <w:r>
            <w:fldChar w:fldCharType="begin"/>
          </w:r>
          <w:r>
            <w:instrText xml:space="preserve"> PAGEREF _Toc1377 \h </w:instrText>
          </w:r>
          <w:r>
            <w:fldChar w:fldCharType="separate"/>
          </w:r>
          <w:r>
            <w:t>25</w:t>
          </w:r>
          <w:r>
            <w:fldChar w:fldCharType="end"/>
          </w:r>
          <w:r>
            <w:rPr>
              <w:szCs w:val="20"/>
            </w:rPr>
            <w:fldChar w:fldCharType="end"/>
          </w:r>
        </w:p>
        <w:p w14:paraId="1D827699">
          <w:pPr>
            <w:pStyle w:val="14"/>
            <w:tabs>
              <w:tab w:val="right" w:leader="dot" w:pos="8306"/>
              <w:tab w:val="clear" w:pos="8296"/>
            </w:tabs>
          </w:pPr>
          <w:r>
            <w:rPr>
              <w:szCs w:val="20"/>
            </w:rPr>
            <w:fldChar w:fldCharType="begin"/>
          </w:r>
          <w:r>
            <w:rPr>
              <w:szCs w:val="20"/>
            </w:rPr>
            <w:instrText xml:space="preserve"> HYPERLINK \l _Toc30173 </w:instrText>
          </w:r>
          <w:r>
            <w:rPr>
              <w:szCs w:val="20"/>
            </w:rPr>
            <w:fldChar w:fldCharType="separate"/>
          </w:r>
          <w:r>
            <w:rPr>
              <w:rFonts w:hint="eastAsia" w:ascii="仿宋" w:hAnsi="仿宋" w:eastAsia="仿宋"/>
              <w:bCs w:val="0"/>
            </w:rPr>
            <w:t>四、</w:t>
          </w:r>
          <w:r>
            <w:rPr>
              <w:rFonts w:hint="eastAsia" w:ascii="仿宋" w:hAnsi="仿宋" w:eastAsia="仿宋"/>
            </w:rPr>
            <w:t>财</w:t>
          </w:r>
          <w:r>
            <w:rPr>
              <w:rFonts w:hint="eastAsia" w:ascii="仿宋" w:hAnsi="仿宋" w:eastAsia="仿宋"/>
              <w:bCs w:val="0"/>
            </w:rPr>
            <w:t>政拨款收入支出决算总表</w:t>
          </w:r>
          <w:r>
            <w:tab/>
          </w:r>
          <w:r>
            <w:fldChar w:fldCharType="begin"/>
          </w:r>
          <w:r>
            <w:instrText xml:space="preserve"> PAGEREF _Toc30173 \h </w:instrText>
          </w:r>
          <w:r>
            <w:fldChar w:fldCharType="separate"/>
          </w:r>
          <w:r>
            <w:t>25</w:t>
          </w:r>
          <w:r>
            <w:fldChar w:fldCharType="end"/>
          </w:r>
          <w:r>
            <w:rPr>
              <w:szCs w:val="20"/>
            </w:rPr>
            <w:fldChar w:fldCharType="end"/>
          </w:r>
        </w:p>
        <w:p w14:paraId="7698DA41">
          <w:pPr>
            <w:pStyle w:val="14"/>
            <w:tabs>
              <w:tab w:val="right" w:leader="dot" w:pos="8306"/>
              <w:tab w:val="clear" w:pos="8296"/>
            </w:tabs>
          </w:pPr>
          <w:r>
            <w:rPr>
              <w:szCs w:val="20"/>
            </w:rPr>
            <w:fldChar w:fldCharType="begin"/>
          </w:r>
          <w:r>
            <w:rPr>
              <w:szCs w:val="20"/>
            </w:rPr>
            <w:instrText xml:space="preserve"> HYPERLINK \l _Toc19042 </w:instrText>
          </w:r>
          <w:r>
            <w:rPr>
              <w:szCs w:val="20"/>
            </w:rPr>
            <w:fldChar w:fldCharType="separate"/>
          </w:r>
          <w:r>
            <w:rPr>
              <w:rFonts w:hint="eastAsia" w:ascii="仿宋" w:hAnsi="仿宋" w:eastAsia="仿宋"/>
              <w:bCs w:val="0"/>
            </w:rPr>
            <w:t>五、</w:t>
          </w:r>
          <w:r>
            <w:rPr>
              <w:rFonts w:hint="eastAsia" w:ascii="仿宋" w:hAnsi="仿宋" w:eastAsia="仿宋"/>
            </w:rPr>
            <w:t>财</w:t>
          </w:r>
          <w:r>
            <w:rPr>
              <w:rFonts w:hint="eastAsia" w:ascii="仿宋" w:hAnsi="仿宋" w:eastAsia="仿宋"/>
              <w:bCs w:val="0"/>
            </w:rPr>
            <w:t>政拨款支出决算明细表</w:t>
          </w:r>
          <w:r>
            <w:tab/>
          </w:r>
          <w:r>
            <w:fldChar w:fldCharType="begin"/>
          </w:r>
          <w:r>
            <w:instrText xml:space="preserve"> PAGEREF _Toc19042 \h </w:instrText>
          </w:r>
          <w:r>
            <w:fldChar w:fldCharType="separate"/>
          </w:r>
          <w:r>
            <w:t>25</w:t>
          </w:r>
          <w:r>
            <w:fldChar w:fldCharType="end"/>
          </w:r>
          <w:r>
            <w:rPr>
              <w:szCs w:val="20"/>
            </w:rPr>
            <w:fldChar w:fldCharType="end"/>
          </w:r>
        </w:p>
        <w:p w14:paraId="6647910D">
          <w:pPr>
            <w:pStyle w:val="14"/>
            <w:tabs>
              <w:tab w:val="right" w:leader="dot" w:pos="8306"/>
              <w:tab w:val="clear" w:pos="8296"/>
            </w:tabs>
          </w:pPr>
          <w:r>
            <w:rPr>
              <w:szCs w:val="20"/>
            </w:rPr>
            <w:fldChar w:fldCharType="begin"/>
          </w:r>
          <w:r>
            <w:rPr>
              <w:szCs w:val="20"/>
            </w:rPr>
            <w:instrText xml:space="preserve"> HYPERLINK \l _Toc2393 </w:instrText>
          </w:r>
          <w:r>
            <w:rPr>
              <w:szCs w:val="20"/>
            </w:rPr>
            <w:fldChar w:fldCharType="separate"/>
          </w:r>
          <w:r>
            <w:rPr>
              <w:rFonts w:hint="eastAsia" w:ascii="仿宋" w:hAnsi="仿宋" w:eastAsia="仿宋"/>
              <w:bCs w:val="0"/>
            </w:rPr>
            <w:t>六、</w:t>
          </w:r>
          <w:r>
            <w:rPr>
              <w:rFonts w:hint="eastAsia" w:ascii="仿宋" w:hAnsi="仿宋" w:eastAsia="仿宋"/>
            </w:rPr>
            <w:t>一</w:t>
          </w:r>
          <w:r>
            <w:rPr>
              <w:rFonts w:hint="eastAsia" w:ascii="仿宋" w:hAnsi="仿宋" w:eastAsia="仿宋"/>
              <w:bCs w:val="0"/>
            </w:rPr>
            <w:t>般公共预算财政拨款支出决算表</w:t>
          </w:r>
          <w:r>
            <w:tab/>
          </w:r>
          <w:r>
            <w:fldChar w:fldCharType="begin"/>
          </w:r>
          <w:r>
            <w:instrText xml:space="preserve"> PAGEREF _Toc2393 \h </w:instrText>
          </w:r>
          <w:r>
            <w:fldChar w:fldCharType="separate"/>
          </w:r>
          <w:r>
            <w:t>25</w:t>
          </w:r>
          <w:r>
            <w:fldChar w:fldCharType="end"/>
          </w:r>
          <w:r>
            <w:rPr>
              <w:szCs w:val="20"/>
            </w:rPr>
            <w:fldChar w:fldCharType="end"/>
          </w:r>
        </w:p>
        <w:p w14:paraId="06ACB82A">
          <w:pPr>
            <w:pStyle w:val="14"/>
            <w:tabs>
              <w:tab w:val="right" w:leader="dot" w:pos="8306"/>
              <w:tab w:val="clear" w:pos="8296"/>
            </w:tabs>
          </w:pPr>
          <w:r>
            <w:rPr>
              <w:szCs w:val="20"/>
            </w:rPr>
            <w:fldChar w:fldCharType="begin"/>
          </w:r>
          <w:r>
            <w:rPr>
              <w:szCs w:val="20"/>
            </w:rPr>
            <w:instrText xml:space="preserve"> HYPERLINK \l _Toc19347 </w:instrText>
          </w:r>
          <w:r>
            <w:rPr>
              <w:szCs w:val="20"/>
            </w:rPr>
            <w:fldChar w:fldCharType="separate"/>
          </w:r>
          <w:r>
            <w:rPr>
              <w:rFonts w:hint="eastAsia" w:ascii="仿宋" w:hAnsi="仿宋" w:eastAsia="仿宋"/>
              <w:bCs w:val="0"/>
            </w:rPr>
            <w:t>七、</w:t>
          </w:r>
          <w:r>
            <w:rPr>
              <w:rFonts w:hint="eastAsia" w:ascii="仿宋" w:hAnsi="仿宋" w:eastAsia="仿宋"/>
            </w:rPr>
            <w:t>一</w:t>
          </w:r>
          <w:r>
            <w:rPr>
              <w:rFonts w:hint="eastAsia" w:ascii="仿宋" w:hAnsi="仿宋" w:eastAsia="仿宋"/>
              <w:bCs w:val="0"/>
            </w:rPr>
            <w:t>般公共预算财政拨款支出决算明细表</w:t>
          </w:r>
          <w:r>
            <w:tab/>
          </w:r>
          <w:r>
            <w:fldChar w:fldCharType="begin"/>
          </w:r>
          <w:r>
            <w:instrText xml:space="preserve"> PAGEREF _Toc19347 \h </w:instrText>
          </w:r>
          <w:r>
            <w:fldChar w:fldCharType="separate"/>
          </w:r>
          <w:r>
            <w:t>25</w:t>
          </w:r>
          <w:r>
            <w:fldChar w:fldCharType="end"/>
          </w:r>
          <w:r>
            <w:rPr>
              <w:szCs w:val="20"/>
            </w:rPr>
            <w:fldChar w:fldCharType="end"/>
          </w:r>
        </w:p>
        <w:p w14:paraId="27CEB9F6">
          <w:pPr>
            <w:pStyle w:val="14"/>
            <w:tabs>
              <w:tab w:val="right" w:leader="dot" w:pos="8306"/>
              <w:tab w:val="clear" w:pos="8296"/>
            </w:tabs>
          </w:pPr>
          <w:r>
            <w:rPr>
              <w:szCs w:val="20"/>
            </w:rPr>
            <w:fldChar w:fldCharType="begin"/>
          </w:r>
          <w:r>
            <w:rPr>
              <w:szCs w:val="20"/>
            </w:rPr>
            <w:instrText xml:space="preserve"> HYPERLINK \l _Toc10615 </w:instrText>
          </w:r>
          <w:r>
            <w:rPr>
              <w:szCs w:val="20"/>
            </w:rPr>
            <w:fldChar w:fldCharType="separate"/>
          </w:r>
          <w:r>
            <w:rPr>
              <w:rFonts w:hint="eastAsia" w:ascii="仿宋" w:hAnsi="仿宋" w:eastAsia="仿宋"/>
              <w:bCs w:val="0"/>
            </w:rPr>
            <w:t>八、</w:t>
          </w:r>
          <w:r>
            <w:rPr>
              <w:rFonts w:hint="eastAsia" w:ascii="仿宋" w:hAnsi="仿宋" w:eastAsia="仿宋"/>
            </w:rPr>
            <w:t>一</w:t>
          </w:r>
          <w:r>
            <w:rPr>
              <w:rFonts w:hint="eastAsia" w:ascii="仿宋" w:hAnsi="仿宋" w:eastAsia="仿宋"/>
              <w:bCs w:val="0"/>
            </w:rPr>
            <w:t>般公共预算财政拨款基本支出决算表</w:t>
          </w:r>
          <w:r>
            <w:tab/>
          </w:r>
          <w:r>
            <w:fldChar w:fldCharType="begin"/>
          </w:r>
          <w:r>
            <w:instrText xml:space="preserve"> PAGEREF _Toc10615 \h </w:instrText>
          </w:r>
          <w:r>
            <w:fldChar w:fldCharType="separate"/>
          </w:r>
          <w:r>
            <w:t>25</w:t>
          </w:r>
          <w:r>
            <w:fldChar w:fldCharType="end"/>
          </w:r>
          <w:r>
            <w:rPr>
              <w:szCs w:val="20"/>
            </w:rPr>
            <w:fldChar w:fldCharType="end"/>
          </w:r>
        </w:p>
        <w:p w14:paraId="255EF827">
          <w:pPr>
            <w:pStyle w:val="14"/>
            <w:tabs>
              <w:tab w:val="right" w:leader="dot" w:pos="8306"/>
              <w:tab w:val="clear" w:pos="8296"/>
            </w:tabs>
          </w:pPr>
          <w:r>
            <w:rPr>
              <w:szCs w:val="20"/>
            </w:rPr>
            <w:fldChar w:fldCharType="begin"/>
          </w:r>
          <w:r>
            <w:rPr>
              <w:szCs w:val="20"/>
            </w:rPr>
            <w:instrText xml:space="preserve"> HYPERLINK \l _Toc31815 </w:instrText>
          </w:r>
          <w:r>
            <w:rPr>
              <w:szCs w:val="20"/>
            </w:rPr>
            <w:fldChar w:fldCharType="separate"/>
          </w:r>
          <w:r>
            <w:rPr>
              <w:rFonts w:hint="eastAsia" w:ascii="仿宋" w:hAnsi="仿宋" w:eastAsia="仿宋"/>
              <w:bCs w:val="0"/>
            </w:rPr>
            <w:t>九、</w:t>
          </w:r>
          <w:r>
            <w:rPr>
              <w:rFonts w:hint="eastAsia" w:ascii="仿宋" w:hAnsi="仿宋" w:eastAsia="仿宋"/>
            </w:rPr>
            <w:t>一</w:t>
          </w:r>
          <w:r>
            <w:rPr>
              <w:rFonts w:hint="eastAsia" w:ascii="仿宋" w:hAnsi="仿宋" w:eastAsia="仿宋"/>
              <w:bCs w:val="0"/>
            </w:rPr>
            <w:t>般公共预算财政拨款项目支出决算表</w:t>
          </w:r>
          <w:r>
            <w:tab/>
          </w:r>
          <w:r>
            <w:fldChar w:fldCharType="begin"/>
          </w:r>
          <w:r>
            <w:instrText xml:space="preserve"> PAGEREF _Toc31815 \h </w:instrText>
          </w:r>
          <w:r>
            <w:fldChar w:fldCharType="separate"/>
          </w:r>
          <w:r>
            <w:t>25</w:t>
          </w:r>
          <w:r>
            <w:fldChar w:fldCharType="end"/>
          </w:r>
          <w:r>
            <w:rPr>
              <w:szCs w:val="20"/>
            </w:rPr>
            <w:fldChar w:fldCharType="end"/>
          </w:r>
        </w:p>
        <w:p w14:paraId="0EF6D2D2">
          <w:pPr>
            <w:pStyle w:val="14"/>
            <w:tabs>
              <w:tab w:val="right" w:leader="dot" w:pos="8306"/>
              <w:tab w:val="clear" w:pos="8296"/>
            </w:tabs>
          </w:pPr>
          <w:r>
            <w:rPr>
              <w:szCs w:val="20"/>
            </w:rPr>
            <w:fldChar w:fldCharType="begin"/>
          </w:r>
          <w:r>
            <w:rPr>
              <w:szCs w:val="20"/>
            </w:rPr>
            <w:instrText xml:space="preserve"> HYPERLINK \l _Toc28621 </w:instrText>
          </w:r>
          <w:r>
            <w:rPr>
              <w:szCs w:val="20"/>
            </w:rPr>
            <w:fldChar w:fldCharType="separate"/>
          </w:r>
          <w:r>
            <w:rPr>
              <w:rFonts w:hint="eastAsia" w:ascii="仿宋" w:hAnsi="仿宋" w:eastAsia="仿宋"/>
              <w:bCs w:val="0"/>
            </w:rPr>
            <w:t>十、</w:t>
          </w:r>
          <w:r>
            <w:rPr>
              <w:rFonts w:hint="eastAsia" w:ascii="仿宋" w:hAnsi="仿宋" w:eastAsia="仿宋"/>
            </w:rPr>
            <w:t>政</w:t>
          </w:r>
          <w:r>
            <w:rPr>
              <w:rFonts w:hint="eastAsia" w:ascii="仿宋" w:hAnsi="仿宋" w:eastAsia="仿宋"/>
              <w:bCs w:val="0"/>
            </w:rPr>
            <w:t>府性基金预算财政拨款收入支出决算表</w:t>
          </w:r>
          <w:r>
            <w:tab/>
          </w:r>
          <w:r>
            <w:fldChar w:fldCharType="begin"/>
          </w:r>
          <w:r>
            <w:instrText xml:space="preserve"> PAGEREF _Toc28621 \h </w:instrText>
          </w:r>
          <w:r>
            <w:fldChar w:fldCharType="separate"/>
          </w:r>
          <w:r>
            <w:t>25</w:t>
          </w:r>
          <w:r>
            <w:fldChar w:fldCharType="end"/>
          </w:r>
          <w:r>
            <w:rPr>
              <w:szCs w:val="20"/>
            </w:rPr>
            <w:fldChar w:fldCharType="end"/>
          </w:r>
        </w:p>
        <w:p w14:paraId="5D4DA120">
          <w:pPr>
            <w:pStyle w:val="14"/>
            <w:tabs>
              <w:tab w:val="right" w:leader="dot" w:pos="8306"/>
              <w:tab w:val="clear" w:pos="8296"/>
            </w:tabs>
          </w:pPr>
          <w:r>
            <w:rPr>
              <w:szCs w:val="20"/>
            </w:rPr>
            <w:fldChar w:fldCharType="begin"/>
          </w:r>
          <w:r>
            <w:rPr>
              <w:szCs w:val="20"/>
            </w:rPr>
            <w:instrText xml:space="preserve"> HYPERLINK \l _Toc32006 </w:instrText>
          </w:r>
          <w:r>
            <w:rPr>
              <w:szCs w:val="20"/>
            </w:rPr>
            <w:fldChar w:fldCharType="separate"/>
          </w:r>
          <w:r>
            <w:rPr>
              <w:rFonts w:hint="eastAsia" w:ascii="仿宋" w:hAnsi="仿宋" w:eastAsia="仿宋"/>
              <w:bCs w:val="0"/>
            </w:rPr>
            <w:t>十一、</w:t>
          </w:r>
          <w:r>
            <w:rPr>
              <w:rFonts w:hint="eastAsia" w:ascii="仿宋" w:hAnsi="仿宋" w:eastAsia="仿宋"/>
            </w:rPr>
            <w:t>国</w:t>
          </w:r>
          <w:r>
            <w:rPr>
              <w:rFonts w:hint="eastAsia" w:ascii="仿宋" w:hAnsi="仿宋" w:eastAsia="仿宋"/>
              <w:bCs w:val="0"/>
            </w:rPr>
            <w:t>有资本经营预算财政拨款收入支出决算表</w:t>
          </w:r>
          <w:r>
            <w:tab/>
          </w:r>
          <w:r>
            <w:fldChar w:fldCharType="begin"/>
          </w:r>
          <w:r>
            <w:instrText xml:space="preserve"> PAGEREF _Toc32006 \h </w:instrText>
          </w:r>
          <w:r>
            <w:fldChar w:fldCharType="separate"/>
          </w:r>
          <w:r>
            <w:t>25</w:t>
          </w:r>
          <w:r>
            <w:fldChar w:fldCharType="end"/>
          </w:r>
          <w:r>
            <w:rPr>
              <w:szCs w:val="20"/>
            </w:rPr>
            <w:fldChar w:fldCharType="end"/>
          </w:r>
        </w:p>
        <w:p w14:paraId="3D8522DD">
          <w:pPr>
            <w:pStyle w:val="14"/>
            <w:tabs>
              <w:tab w:val="right" w:leader="dot" w:pos="8306"/>
              <w:tab w:val="clear" w:pos="8296"/>
            </w:tabs>
          </w:pPr>
          <w:r>
            <w:rPr>
              <w:szCs w:val="20"/>
            </w:rPr>
            <w:fldChar w:fldCharType="begin"/>
          </w:r>
          <w:r>
            <w:rPr>
              <w:szCs w:val="20"/>
            </w:rPr>
            <w:instrText xml:space="preserve"> HYPERLINK \l _Toc23278 </w:instrText>
          </w:r>
          <w:r>
            <w:rPr>
              <w:szCs w:val="20"/>
            </w:rPr>
            <w:fldChar w:fldCharType="separate"/>
          </w:r>
          <w:r>
            <w:rPr>
              <w:rFonts w:hint="eastAsia" w:ascii="仿宋" w:hAnsi="仿宋" w:eastAsia="仿宋"/>
              <w:bCs w:val="0"/>
            </w:rPr>
            <w:t>十二、国有资本经营预算财政拨款支出决算表</w:t>
          </w:r>
          <w:r>
            <w:tab/>
          </w:r>
          <w:r>
            <w:fldChar w:fldCharType="begin"/>
          </w:r>
          <w:r>
            <w:instrText xml:space="preserve"> PAGEREF _Toc23278 \h </w:instrText>
          </w:r>
          <w:r>
            <w:fldChar w:fldCharType="separate"/>
          </w:r>
          <w:r>
            <w:t>25</w:t>
          </w:r>
          <w:r>
            <w:fldChar w:fldCharType="end"/>
          </w:r>
          <w:r>
            <w:rPr>
              <w:szCs w:val="20"/>
            </w:rPr>
            <w:fldChar w:fldCharType="end"/>
          </w:r>
        </w:p>
        <w:p w14:paraId="7463BCEC">
          <w:pPr>
            <w:pStyle w:val="14"/>
            <w:tabs>
              <w:tab w:val="right" w:leader="dot" w:pos="8306"/>
              <w:tab w:val="clear" w:pos="8296"/>
            </w:tabs>
          </w:pPr>
          <w:r>
            <w:rPr>
              <w:szCs w:val="20"/>
            </w:rPr>
            <w:fldChar w:fldCharType="begin"/>
          </w:r>
          <w:r>
            <w:rPr>
              <w:szCs w:val="20"/>
            </w:rPr>
            <w:instrText xml:space="preserve"> HYPERLINK \l _Toc14772 </w:instrText>
          </w:r>
          <w:r>
            <w:rPr>
              <w:szCs w:val="20"/>
            </w:rPr>
            <w:fldChar w:fldCharType="separate"/>
          </w:r>
          <w:r>
            <w:rPr>
              <w:rFonts w:hint="eastAsia" w:ascii="仿宋" w:hAnsi="仿宋" w:eastAsia="仿宋"/>
              <w:bCs w:val="0"/>
            </w:rPr>
            <w:t>十三、财政拨款“三公”经费支出决算表</w:t>
          </w:r>
          <w:r>
            <w:tab/>
          </w:r>
          <w:r>
            <w:fldChar w:fldCharType="begin"/>
          </w:r>
          <w:r>
            <w:instrText xml:space="preserve"> PAGEREF _Toc14772 \h </w:instrText>
          </w:r>
          <w:r>
            <w:fldChar w:fldCharType="separate"/>
          </w:r>
          <w:r>
            <w:t>25</w:t>
          </w:r>
          <w:r>
            <w:fldChar w:fldCharType="end"/>
          </w:r>
          <w:r>
            <w:rPr>
              <w:szCs w:val="20"/>
            </w:rPr>
            <w:fldChar w:fldCharType="end"/>
          </w:r>
        </w:p>
        <w:p w14:paraId="438BC440">
          <w:pPr>
            <w:pStyle w:val="35"/>
            <w:tabs>
              <w:tab w:val="right" w:leader="dot" w:pos="8306"/>
            </w:tabs>
            <w:rPr>
              <w:rFonts w:ascii="Times New Roman" w:hAnsi="Times New Roman" w:eastAsia="宋体" w:cs="Times New Roman"/>
              <w:sz w:val="20"/>
              <w:szCs w:val="20"/>
            </w:rPr>
          </w:pPr>
          <w:r>
            <w:rPr>
              <w:szCs w:val="20"/>
            </w:rPr>
            <w:fldChar w:fldCharType="end"/>
          </w:r>
        </w:p>
      </w:sdtContent>
    </w:sdt>
    <w:p w14:paraId="558FA84B">
      <w:pPr>
        <w:pStyle w:val="35"/>
        <w:tabs>
          <w:tab w:val="right" w:leader="dot" w:pos="8306"/>
        </w:tabs>
        <w:rPr>
          <w:rFonts w:ascii="Times New Roman" w:hAnsi="Times New Roman" w:eastAsia="宋体" w:cs="Times New Roman"/>
          <w:sz w:val="20"/>
          <w:szCs w:val="20"/>
        </w:rPr>
      </w:pPr>
    </w:p>
    <w:p w14:paraId="3BF45E99">
      <w:pPr>
        <w:pStyle w:val="35"/>
        <w:tabs>
          <w:tab w:val="right" w:leader="dot" w:pos="8306"/>
        </w:tabs>
        <w:rPr>
          <w:sz w:val="20"/>
          <w:szCs w:val="20"/>
        </w:rPr>
      </w:pPr>
    </w:p>
    <w:p w14:paraId="1C85F6FC">
      <w:pPr>
        <w:pStyle w:val="35"/>
        <w:tabs>
          <w:tab w:val="right" w:leader="dot" w:pos="8306"/>
        </w:tabs>
        <w:rPr>
          <w:sz w:val="20"/>
          <w:szCs w:val="20"/>
        </w:rPr>
      </w:pPr>
    </w:p>
    <w:p w14:paraId="2B205479">
      <w:pPr>
        <w:pStyle w:val="35"/>
        <w:tabs>
          <w:tab w:val="right" w:leader="dot" w:pos="8306"/>
        </w:tabs>
        <w:rPr>
          <w:sz w:val="20"/>
          <w:szCs w:val="20"/>
        </w:rPr>
      </w:pPr>
    </w:p>
    <w:p w14:paraId="1AA22BCC">
      <w:pPr>
        <w:pStyle w:val="35"/>
        <w:tabs>
          <w:tab w:val="right" w:leader="dot" w:pos="8306"/>
        </w:tabs>
        <w:rPr>
          <w:sz w:val="20"/>
          <w:szCs w:val="20"/>
        </w:rPr>
      </w:pPr>
    </w:p>
    <w:p w14:paraId="63514506">
      <w:pPr>
        <w:pStyle w:val="35"/>
        <w:tabs>
          <w:tab w:val="right" w:leader="dot" w:pos="8306"/>
        </w:tabs>
        <w:rPr>
          <w:sz w:val="20"/>
          <w:szCs w:val="20"/>
        </w:rPr>
      </w:pPr>
    </w:p>
    <w:p w14:paraId="582A05E5">
      <w:pPr>
        <w:pStyle w:val="35"/>
        <w:tabs>
          <w:tab w:val="right" w:leader="dot" w:pos="8306"/>
        </w:tabs>
        <w:rPr>
          <w:sz w:val="20"/>
          <w:szCs w:val="20"/>
        </w:rPr>
      </w:pPr>
    </w:p>
    <w:p w14:paraId="16F5C06F">
      <w:pPr>
        <w:pStyle w:val="35"/>
        <w:tabs>
          <w:tab w:val="right" w:leader="dot" w:pos="8306"/>
        </w:tabs>
        <w:rPr>
          <w:sz w:val="20"/>
          <w:szCs w:val="20"/>
        </w:rPr>
      </w:pPr>
    </w:p>
    <w:p w14:paraId="5C893014">
      <w:pPr>
        <w:pStyle w:val="35"/>
        <w:tabs>
          <w:tab w:val="right" w:leader="dot" w:pos="8306"/>
        </w:tabs>
        <w:rPr>
          <w:sz w:val="20"/>
          <w:szCs w:val="20"/>
        </w:rPr>
      </w:pPr>
    </w:p>
    <w:p w14:paraId="0C886B3A">
      <w:pPr>
        <w:pStyle w:val="35"/>
        <w:tabs>
          <w:tab w:val="right" w:leader="dot" w:pos="8306"/>
        </w:tabs>
        <w:rPr>
          <w:sz w:val="20"/>
          <w:szCs w:val="20"/>
        </w:rPr>
      </w:pPr>
    </w:p>
    <w:p w14:paraId="4EF65EE8">
      <w:pPr>
        <w:pStyle w:val="35"/>
        <w:tabs>
          <w:tab w:val="right" w:leader="dot" w:pos="8306"/>
        </w:tabs>
        <w:rPr>
          <w:sz w:val="20"/>
          <w:szCs w:val="20"/>
        </w:rPr>
      </w:pPr>
    </w:p>
    <w:p w14:paraId="0A8AA16F">
      <w:pPr>
        <w:pStyle w:val="35"/>
        <w:tabs>
          <w:tab w:val="right" w:leader="dot" w:pos="8306"/>
        </w:tabs>
        <w:rPr>
          <w:sz w:val="20"/>
          <w:szCs w:val="20"/>
        </w:rPr>
      </w:pPr>
    </w:p>
    <w:p w14:paraId="6AC26976">
      <w:pPr>
        <w:pStyle w:val="35"/>
        <w:tabs>
          <w:tab w:val="right" w:leader="dot" w:pos="8306"/>
        </w:tabs>
        <w:rPr>
          <w:sz w:val="20"/>
          <w:szCs w:val="20"/>
        </w:rPr>
      </w:pPr>
    </w:p>
    <w:p w14:paraId="4064A926">
      <w:pPr>
        <w:pStyle w:val="35"/>
        <w:tabs>
          <w:tab w:val="right" w:leader="dot" w:pos="8306"/>
        </w:tabs>
        <w:rPr>
          <w:sz w:val="20"/>
          <w:szCs w:val="20"/>
        </w:rPr>
      </w:pPr>
    </w:p>
    <w:p w14:paraId="29A50C21">
      <w:pPr>
        <w:pStyle w:val="35"/>
        <w:tabs>
          <w:tab w:val="right" w:leader="dot" w:pos="8306"/>
        </w:tabs>
        <w:rPr>
          <w:sz w:val="20"/>
          <w:szCs w:val="20"/>
        </w:rPr>
      </w:pPr>
    </w:p>
    <w:p w14:paraId="083CE2F8">
      <w:pPr>
        <w:pStyle w:val="35"/>
        <w:tabs>
          <w:tab w:val="right" w:leader="dot" w:pos="8306"/>
        </w:tabs>
        <w:rPr>
          <w:sz w:val="20"/>
          <w:szCs w:val="20"/>
        </w:rPr>
      </w:pPr>
    </w:p>
    <w:p w14:paraId="484E4709">
      <w:pPr>
        <w:pStyle w:val="35"/>
        <w:tabs>
          <w:tab w:val="right" w:leader="dot" w:pos="8306"/>
        </w:tabs>
        <w:rPr>
          <w:sz w:val="20"/>
          <w:szCs w:val="20"/>
        </w:rPr>
      </w:pPr>
    </w:p>
    <w:p w14:paraId="7BC808AB">
      <w:pPr>
        <w:pStyle w:val="35"/>
        <w:tabs>
          <w:tab w:val="right" w:leader="dot" w:pos="8306"/>
        </w:tabs>
        <w:rPr>
          <w:sz w:val="20"/>
          <w:szCs w:val="20"/>
        </w:rPr>
      </w:pPr>
    </w:p>
    <w:p w14:paraId="5B0C135E">
      <w:pPr>
        <w:pStyle w:val="35"/>
        <w:tabs>
          <w:tab w:val="right" w:leader="dot" w:pos="8306"/>
        </w:tabs>
        <w:rPr>
          <w:sz w:val="20"/>
          <w:szCs w:val="20"/>
        </w:rPr>
      </w:pPr>
    </w:p>
    <w:p w14:paraId="32D36DB4">
      <w:pPr>
        <w:pStyle w:val="35"/>
        <w:tabs>
          <w:tab w:val="right" w:leader="dot" w:pos="8306"/>
        </w:tabs>
        <w:rPr>
          <w:sz w:val="20"/>
          <w:szCs w:val="20"/>
        </w:rPr>
      </w:pPr>
    </w:p>
    <w:p w14:paraId="1E2969AE">
      <w:pPr>
        <w:pStyle w:val="35"/>
        <w:tabs>
          <w:tab w:val="right" w:leader="dot" w:pos="8306"/>
        </w:tabs>
        <w:rPr>
          <w:sz w:val="20"/>
          <w:szCs w:val="20"/>
        </w:rPr>
      </w:pPr>
    </w:p>
    <w:p w14:paraId="368C7903">
      <w:pPr>
        <w:pStyle w:val="35"/>
        <w:tabs>
          <w:tab w:val="right" w:leader="dot" w:pos="8306"/>
        </w:tabs>
        <w:rPr>
          <w:sz w:val="20"/>
          <w:szCs w:val="20"/>
        </w:rPr>
      </w:pPr>
    </w:p>
    <w:p w14:paraId="65C90644">
      <w:pPr>
        <w:pStyle w:val="35"/>
        <w:tabs>
          <w:tab w:val="right" w:leader="dot" w:pos="8306"/>
        </w:tabs>
        <w:rPr>
          <w:sz w:val="20"/>
          <w:szCs w:val="20"/>
        </w:rPr>
      </w:pPr>
    </w:p>
    <w:p w14:paraId="7E9DB953">
      <w:pPr>
        <w:pStyle w:val="35"/>
        <w:tabs>
          <w:tab w:val="right" w:leader="dot" w:pos="8306"/>
        </w:tabs>
        <w:rPr>
          <w:sz w:val="20"/>
          <w:szCs w:val="20"/>
        </w:rPr>
      </w:pPr>
    </w:p>
    <w:p w14:paraId="22DEEF2E">
      <w:pPr>
        <w:pStyle w:val="35"/>
        <w:tabs>
          <w:tab w:val="right" w:leader="dot" w:pos="8306"/>
        </w:tabs>
        <w:rPr>
          <w:sz w:val="20"/>
          <w:szCs w:val="20"/>
        </w:rPr>
      </w:pPr>
    </w:p>
    <w:p w14:paraId="41AADCDC">
      <w:pPr>
        <w:pStyle w:val="35"/>
        <w:tabs>
          <w:tab w:val="right" w:leader="dot" w:pos="8306"/>
        </w:tabs>
        <w:rPr>
          <w:sz w:val="20"/>
          <w:szCs w:val="20"/>
        </w:rPr>
      </w:pPr>
    </w:p>
    <w:p w14:paraId="432BBA69">
      <w:pPr>
        <w:pStyle w:val="35"/>
        <w:tabs>
          <w:tab w:val="right" w:leader="dot" w:pos="8306"/>
        </w:tabs>
        <w:rPr>
          <w:sz w:val="20"/>
          <w:szCs w:val="20"/>
        </w:rPr>
      </w:pPr>
    </w:p>
    <w:p w14:paraId="0EBEEC61">
      <w:pPr>
        <w:pStyle w:val="35"/>
        <w:tabs>
          <w:tab w:val="right" w:leader="dot" w:pos="8306"/>
        </w:tabs>
        <w:rPr>
          <w:sz w:val="20"/>
          <w:szCs w:val="20"/>
        </w:rPr>
      </w:pPr>
    </w:p>
    <w:p w14:paraId="05BAC19A">
      <w:pPr>
        <w:pStyle w:val="35"/>
        <w:tabs>
          <w:tab w:val="right" w:leader="dot" w:pos="8306"/>
        </w:tabs>
        <w:rPr>
          <w:sz w:val="20"/>
          <w:szCs w:val="20"/>
        </w:rPr>
      </w:pPr>
    </w:p>
    <w:p w14:paraId="06C53A56">
      <w:pPr>
        <w:pStyle w:val="35"/>
        <w:tabs>
          <w:tab w:val="right" w:leader="dot" w:pos="8306"/>
        </w:tabs>
        <w:rPr>
          <w:sz w:val="20"/>
          <w:szCs w:val="20"/>
        </w:rPr>
      </w:pPr>
    </w:p>
    <w:p w14:paraId="78BD8634">
      <w:pPr>
        <w:pStyle w:val="35"/>
        <w:tabs>
          <w:tab w:val="right" w:leader="dot" w:pos="8306"/>
        </w:tabs>
        <w:rPr>
          <w:sz w:val="20"/>
          <w:szCs w:val="20"/>
        </w:rPr>
      </w:pPr>
    </w:p>
    <w:p w14:paraId="60F84A6B">
      <w:pPr>
        <w:pStyle w:val="35"/>
        <w:tabs>
          <w:tab w:val="right" w:leader="dot" w:pos="8306"/>
        </w:tabs>
        <w:rPr>
          <w:sz w:val="20"/>
          <w:szCs w:val="20"/>
        </w:rPr>
      </w:pPr>
    </w:p>
    <w:p w14:paraId="709091A0">
      <w:pPr>
        <w:pStyle w:val="35"/>
        <w:tabs>
          <w:tab w:val="right" w:leader="dot" w:pos="8306"/>
        </w:tabs>
        <w:rPr>
          <w:sz w:val="20"/>
          <w:szCs w:val="20"/>
        </w:rPr>
      </w:pPr>
    </w:p>
    <w:p w14:paraId="53F7BFE3">
      <w:pPr>
        <w:pStyle w:val="35"/>
        <w:tabs>
          <w:tab w:val="right" w:leader="dot" w:pos="8306"/>
        </w:tabs>
        <w:rPr>
          <w:sz w:val="20"/>
          <w:szCs w:val="20"/>
        </w:rPr>
      </w:pPr>
    </w:p>
    <w:p w14:paraId="4E23DDA7">
      <w:pPr>
        <w:pStyle w:val="35"/>
        <w:tabs>
          <w:tab w:val="right" w:leader="dot" w:pos="8306"/>
        </w:tabs>
        <w:rPr>
          <w:sz w:val="20"/>
          <w:szCs w:val="20"/>
        </w:rPr>
      </w:pPr>
    </w:p>
    <w:p w14:paraId="5C9C8638">
      <w:pPr>
        <w:pStyle w:val="35"/>
        <w:tabs>
          <w:tab w:val="right" w:leader="dot" w:pos="8306"/>
        </w:tabs>
        <w:rPr>
          <w:sz w:val="20"/>
          <w:szCs w:val="20"/>
        </w:rPr>
      </w:pPr>
    </w:p>
    <w:p w14:paraId="44BA1A7C">
      <w:pPr>
        <w:pStyle w:val="35"/>
        <w:tabs>
          <w:tab w:val="right" w:leader="dot" w:pos="8306"/>
        </w:tabs>
        <w:rPr>
          <w:sz w:val="20"/>
          <w:szCs w:val="20"/>
        </w:rPr>
      </w:pPr>
    </w:p>
    <w:p w14:paraId="3CF71BAC">
      <w:pPr>
        <w:pStyle w:val="35"/>
        <w:tabs>
          <w:tab w:val="right" w:leader="dot" w:pos="8306"/>
        </w:tabs>
        <w:rPr>
          <w:sz w:val="20"/>
          <w:szCs w:val="20"/>
        </w:rPr>
      </w:pPr>
    </w:p>
    <w:p w14:paraId="406D2C22">
      <w:pPr>
        <w:pStyle w:val="35"/>
        <w:tabs>
          <w:tab w:val="right" w:leader="dot" w:pos="8306"/>
        </w:tabs>
        <w:rPr>
          <w:rFonts w:hint="eastAsia"/>
          <w:sz w:val="20"/>
          <w:szCs w:val="20"/>
        </w:rPr>
      </w:pPr>
    </w:p>
    <w:p w14:paraId="6BFD290E">
      <w:pPr>
        <w:pStyle w:val="5"/>
        <w:jc w:val="center"/>
        <w:rPr>
          <w:rFonts w:ascii="黑体" w:eastAsia="黑体"/>
          <w:sz w:val="32"/>
          <w:szCs w:val="32"/>
        </w:rPr>
      </w:pPr>
      <w:bookmarkStart w:id="14" w:name="_Toc27117"/>
      <w:r>
        <w:rPr>
          <w:rFonts w:hint="eastAsia" w:ascii="黑体" w:hAnsi="黑体" w:eastAsia="黑体"/>
          <w:b w:val="0"/>
        </w:rPr>
        <w:t>第一部分 单位</w:t>
      </w:r>
      <w:r>
        <w:rPr>
          <w:rStyle w:val="28"/>
          <w:rFonts w:hint="eastAsia" w:ascii="黑体" w:hAnsi="黑体" w:eastAsia="黑体"/>
          <w:b w:val="0"/>
          <w:bCs w:val="0"/>
        </w:rPr>
        <w:t>概况</w:t>
      </w:r>
      <w:bookmarkEnd w:id="14"/>
    </w:p>
    <w:p w14:paraId="42828A47">
      <w:pPr>
        <w:rPr>
          <w:rStyle w:val="29"/>
          <w:rFonts w:ascii="黑体" w:hAnsi="黑体" w:eastAsia="黑体"/>
          <w:b w:val="0"/>
          <w:bCs w:val="0"/>
        </w:rPr>
      </w:pPr>
      <w:bookmarkStart w:id="15" w:name="_Toc28311"/>
      <w:bookmarkStart w:id="16" w:name="_Toc15377197"/>
      <w:bookmarkStart w:id="17" w:name="_Toc15396600"/>
      <w:r>
        <w:rPr>
          <w:rStyle w:val="29"/>
          <w:rFonts w:hint="eastAsia" w:ascii="黑体" w:hAnsi="黑体" w:eastAsia="黑体"/>
          <w:b w:val="0"/>
          <w:bCs w:val="0"/>
          <w:lang w:eastAsia="zh-CN"/>
        </w:rPr>
        <w:t>一、</w:t>
      </w:r>
      <w:r>
        <w:rPr>
          <w:rStyle w:val="29"/>
          <w:rFonts w:hint="eastAsia" w:ascii="黑体" w:hAnsi="黑体" w:eastAsia="黑体"/>
          <w:b w:val="0"/>
          <w:bCs w:val="0"/>
        </w:rPr>
        <w:t>主要职责</w:t>
      </w:r>
      <w:r>
        <w:rPr>
          <w:rStyle w:val="29"/>
          <w:rFonts w:hint="eastAsia" w:ascii="黑体" w:hAnsi="黑体" w:eastAsia="黑体"/>
          <w:b w:val="0"/>
          <w:bCs w:val="0"/>
        </w:rPr>
        <w:br w:type="textWrapping"/>
      </w:r>
      <w:r>
        <w:rPr>
          <w:rStyle w:val="29"/>
          <w:rFonts w:hint="eastAsia" w:ascii="黑体" w:hAnsi="黑体" w:eastAsia="黑体"/>
          <w:b w:val="0"/>
          <w:bCs w:val="0"/>
          <w:lang w:val="en-US" w:eastAsia="zh-CN"/>
        </w:rPr>
        <w:t xml:space="preserve">    </w:t>
      </w:r>
      <w:bookmarkEnd w:id="15"/>
      <w:r>
        <w:rPr>
          <w:rFonts w:hint="eastAsia"/>
          <w:sz w:val="30"/>
          <w:szCs w:val="30"/>
        </w:rPr>
        <w:t>提供常见疾病、多发病的诊断与治疗服务，包括内科、外科、儿科、妇产科等各科门诊。进行门诊病历的书写与管理，执行医疗操作规范，确保医疗安全。制定并执行预防接种工作计划，建立预防接种档案。负责传染病的监测、报告、防控工作。针对不同人群开展个性化的健康教育活动，提高居民的健康素养等。</w:t>
      </w:r>
    </w:p>
    <w:p w14:paraId="41A3514C">
      <w:pPr>
        <w:pStyle w:val="6"/>
        <w:rPr>
          <w:rFonts w:ascii="黑体" w:hAnsi="黑体" w:eastAsia="黑体"/>
          <w:b w:val="0"/>
        </w:rPr>
      </w:pPr>
      <w:bookmarkStart w:id="18" w:name="_Toc24551"/>
      <w:r>
        <w:rPr>
          <w:rFonts w:hint="eastAsia" w:ascii="黑体" w:hAnsi="黑体" w:eastAsia="黑体"/>
          <w:b w:val="0"/>
        </w:rPr>
        <w:t>二、机构设置</w:t>
      </w:r>
      <w:bookmarkEnd w:id="18"/>
    </w:p>
    <w:bookmarkEnd w:id="16"/>
    <w:bookmarkEnd w:id="17"/>
    <w:p w14:paraId="042D1118">
      <w:pPr>
        <w:widowControl/>
        <w:ind w:firstLine="640" w:firstLineChars="200"/>
        <w:jc w:val="left"/>
        <w:rPr>
          <w:rFonts w:hint="eastAsia" w:ascii="仿宋_GB2312" w:hAnsi="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松潘县</w:t>
      </w:r>
      <w:r>
        <w:rPr>
          <w:rFonts w:hint="eastAsia" w:ascii="仿宋_GB2312" w:hAnsi="仿宋_GB2312" w:cs="仿宋_GB2312"/>
          <w:b w:val="0"/>
          <w:kern w:val="2"/>
          <w:sz w:val="32"/>
          <w:szCs w:val="32"/>
          <w:lang w:val="en-US" w:eastAsia="zh-CN" w:bidi="ar-SA"/>
        </w:rPr>
        <w:t>下八寨乡卫生院</w:t>
      </w:r>
      <w:r>
        <w:rPr>
          <w:rFonts w:hint="eastAsia" w:ascii="仿宋_GB2312" w:hAnsi="仿宋_GB2312" w:eastAsia="仿宋_GB2312" w:cs="仿宋_GB2312"/>
          <w:b w:val="0"/>
          <w:kern w:val="2"/>
          <w:sz w:val="32"/>
          <w:szCs w:val="32"/>
          <w:lang w:val="en-US" w:eastAsia="zh-CN" w:bidi="ar-SA"/>
        </w:rPr>
        <w:t>内设</w:t>
      </w:r>
      <w:r>
        <w:rPr>
          <w:rFonts w:hint="default" w:ascii="仿宋_GB2312" w:hAnsi="仿宋_GB2312" w:eastAsia="仿宋_GB2312" w:cs="仿宋_GB2312"/>
          <w:b w:val="0"/>
          <w:kern w:val="2"/>
          <w:sz w:val="32"/>
          <w:szCs w:val="32"/>
          <w:lang w:val="en-US" w:eastAsia="zh-CN" w:bidi="ar-SA"/>
        </w:rPr>
        <w:t>处室</w:t>
      </w:r>
      <w:r>
        <w:rPr>
          <w:rFonts w:hint="eastAsia" w:ascii="仿宋_GB2312" w:hAnsi="仿宋_GB2312" w:eastAsia="仿宋_GB2312" w:cs="仿宋_GB2312"/>
          <w:b w:val="0"/>
          <w:kern w:val="2"/>
          <w:sz w:val="32"/>
          <w:szCs w:val="32"/>
          <w:lang w:val="en-US" w:eastAsia="zh-CN" w:bidi="ar-SA"/>
        </w:rPr>
        <w:t>情况：（1）办公室。（2）</w:t>
      </w:r>
      <w:r>
        <w:rPr>
          <w:rFonts w:hint="eastAsia" w:ascii="仿宋_GB2312" w:hAnsi="仿宋_GB2312" w:cs="仿宋_GB2312"/>
          <w:b w:val="0"/>
          <w:kern w:val="2"/>
          <w:sz w:val="32"/>
          <w:szCs w:val="32"/>
          <w:lang w:val="en-US" w:eastAsia="zh-CN" w:bidi="ar-SA"/>
        </w:rPr>
        <w:t>药房</w:t>
      </w:r>
      <w:r>
        <w:rPr>
          <w:rFonts w:hint="eastAsia" w:ascii="仿宋_GB2312" w:hAnsi="仿宋_GB2312" w:eastAsia="仿宋_GB2312" w:cs="仿宋_GB2312"/>
          <w:b w:val="0"/>
          <w:kern w:val="2"/>
          <w:sz w:val="32"/>
          <w:szCs w:val="32"/>
          <w:lang w:val="en-US" w:eastAsia="zh-CN" w:bidi="ar-SA"/>
        </w:rPr>
        <w:t>。（3）</w:t>
      </w:r>
      <w:r>
        <w:rPr>
          <w:rFonts w:hint="eastAsia" w:ascii="仿宋_GB2312" w:hAnsi="仿宋_GB2312" w:cs="仿宋_GB2312"/>
          <w:b w:val="0"/>
          <w:kern w:val="2"/>
          <w:sz w:val="32"/>
          <w:szCs w:val="32"/>
          <w:lang w:val="en-US" w:eastAsia="zh-CN" w:bidi="ar-SA"/>
        </w:rPr>
        <w:t>中医康复科</w:t>
      </w:r>
      <w:r>
        <w:rPr>
          <w:rFonts w:hint="eastAsia" w:ascii="仿宋_GB2312" w:hAnsi="仿宋_GB2312" w:eastAsia="仿宋_GB2312" w:cs="仿宋_GB2312"/>
          <w:b w:val="0"/>
          <w:kern w:val="2"/>
          <w:sz w:val="32"/>
          <w:szCs w:val="32"/>
          <w:lang w:val="en-US" w:eastAsia="zh-CN" w:bidi="ar-SA"/>
        </w:rPr>
        <w:t>。（</w:t>
      </w:r>
      <w:r>
        <w:rPr>
          <w:rFonts w:hint="eastAsia" w:ascii="仿宋_GB2312" w:hAnsi="仿宋_GB2312" w:cs="仿宋_GB2312"/>
          <w:b w:val="0"/>
          <w:kern w:val="2"/>
          <w:sz w:val="32"/>
          <w:szCs w:val="32"/>
          <w:lang w:val="en-US" w:eastAsia="zh-CN" w:bidi="ar-SA"/>
        </w:rPr>
        <w:t>4</w:t>
      </w:r>
      <w:r>
        <w:rPr>
          <w:rFonts w:hint="eastAsia" w:ascii="仿宋_GB2312" w:hAnsi="仿宋_GB2312" w:eastAsia="仿宋_GB2312" w:cs="仿宋_GB2312"/>
          <w:b w:val="0"/>
          <w:kern w:val="2"/>
          <w:sz w:val="32"/>
          <w:szCs w:val="32"/>
          <w:lang w:val="en-US" w:eastAsia="zh-CN" w:bidi="ar-SA"/>
        </w:rPr>
        <w:t>）</w:t>
      </w:r>
      <w:r>
        <w:rPr>
          <w:rFonts w:hint="eastAsia" w:ascii="仿宋_GB2312" w:hAnsi="仿宋_GB2312" w:cs="仿宋_GB2312"/>
          <w:b w:val="0"/>
          <w:kern w:val="2"/>
          <w:sz w:val="32"/>
          <w:szCs w:val="32"/>
          <w:lang w:val="en-US" w:eastAsia="zh-CN" w:bidi="ar-SA"/>
        </w:rPr>
        <w:t>计免室。</w:t>
      </w:r>
      <w:r>
        <w:rPr>
          <w:rFonts w:hint="eastAsia" w:ascii="仿宋_GB2312" w:hAnsi="仿宋_GB2312" w:eastAsia="仿宋_GB2312" w:cs="仿宋_GB2312"/>
          <w:b w:val="0"/>
          <w:kern w:val="2"/>
          <w:sz w:val="32"/>
          <w:szCs w:val="32"/>
          <w:lang w:val="en-US" w:eastAsia="zh-CN" w:bidi="ar-SA"/>
        </w:rPr>
        <w:t>（</w:t>
      </w:r>
      <w:r>
        <w:rPr>
          <w:rFonts w:hint="eastAsia" w:ascii="仿宋_GB2312" w:hAnsi="仿宋_GB2312" w:cs="仿宋_GB2312"/>
          <w:b w:val="0"/>
          <w:kern w:val="2"/>
          <w:sz w:val="32"/>
          <w:szCs w:val="32"/>
          <w:lang w:val="en-US" w:eastAsia="zh-CN" w:bidi="ar-SA"/>
        </w:rPr>
        <w:t>5</w:t>
      </w:r>
      <w:r>
        <w:rPr>
          <w:rFonts w:hint="eastAsia" w:ascii="仿宋_GB2312" w:hAnsi="仿宋_GB2312" w:eastAsia="仿宋_GB2312" w:cs="仿宋_GB2312"/>
          <w:b w:val="0"/>
          <w:kern w:val="2"/>
          <w:sz w:val="32"/>
          <w:szCs w:val="32"/>
          <w:lang w:val="en-US" w:eastAsia="zh-CN" w:bidi="ar-SA"/>
        </w:rPr>
        <w:t>）</w:t>
      </w:r>
      <w:r>
        <w:rPr>
          <w:rFonts w:hint="eastAsia" w:ascii="仿宋_GB2312" w:hAnsi="仿宋_GB2312" w:cs="仿宋_GB2312"/>
          <w:b w:val="0"/>
          <w:kern w:val="2"/>
          <w:sz w:val="32"/>
          <w:szCs w:val="32"/>
          <w:lang w:val="en-US" w:eastAsia="zh-CN" w:bidi="ar-SA"/>
        </w:rPr>
        <w:t>公共卫生科。</w:t>
      </w:r>
      <w:r>
        <w:rPr>
          <w:rFonts w:hint="eastAsia" w:ascii="仿宋_GB2312" w:hAnsi="仿宋_GB2312" w:eastAsia="仿宋_GB2312" w:cs="仿宋_GB2312"/>
          <w:b w:val="0"/>
          <w:kern w:val="2"/>
          <w:sz w:val="32"/>
          <w:szCs w:val="32"/>
          <w:lang w:val="en-US" w:eastAsia="zh-CN" w:bidi="ar-SA"/>
        </w:rPr>
        <w:t>（</w:t>
      </w:r>
      <w:r>
        <w:rPr>
          <w:rFonts w:hint="eastAsia" w:ascii="仿宋_GB2312" w:hAnsi="仿宋_GB2312" w:cs="仿宋_GB2312"/>
          <w:b w:val="0"/>
          <w:kern w:val="2"/>
          <w:sz w:val="32"/>
          <w:szCs w:val="32"/>
          <w:lang w:val="en-US" w:eastAsia="zh-CN" w:bidi="ar-SA"/>
        </w:rPr>
        <w:t>6</w:t>
      </w:r>
      <w:r>
        <w:rPr>
          <w:rFonts w:hint="eastAsia" w:ascii="仿宋_GB2312" w:hAnsi="仿宋_GB2312" w:eastAsia="仿宋_GB2312" w:cs="仿宋_GB2312"/>
          <w:b w:val="0"/>
          <w:kern w:val="2"/>
          <w:sz w:val="32"/>
          <w:szCs w:val="32"/>
          <w:lang w:val="en-US" w:eastAsia="zh-CN" w:bidi="ar-SA"/>
        </w:rPr>
        <w:t>）</w:t>
      </w:r>
      <w:r>
        <w:rPr>
          <w:rFonts w:hint="eastAsia" w:ascii="仿宋_GB2312" w:hAnsi="仿宋_GB2312" w:cs="仿宋_GB2312"/>
          <w:b w:val="0"/>
          <w:kern w:val="2"/>
          <w:sz w:val="32"/>
          <w:szCs w:val="32"/>
          <w:lang w:val="en-US" w:eastAsia="zh-CN" w:bidi="ar-SA"/>
        </w:rPr>
        <w:t>抢救室。</w:t>
      </w:r>
      <w:r>
        <w:rPr>
          <w:rFonts w:hint="eastAsia" w:ascii="仿宋_GB2312" w:hAnsi="仿宋_GB2312" w:eastAsia="仿宋_GB2312" w:cs="仿宋_GB2312"/>
          <w:b w:val="0"/>
          <w:kern w:val="2"/>
          <w:sz w:val="32"/>
          <w:szCs w:val="32"/>
          <w:lang w:val="en-US" w:eastAsia="zh-CN" w:bidi="ar-SA"/>
        </w:rPr>
        <w:t>（</w:t>
      </w:r>
      <w:r>
        <w:rPr>
          <w:rFonts w:hint="eastAsia" w:ascii="仿宋_GB2312" w:hAnsi="仿宋_GB2312" w:cs="仿宋_GB2312"/>
          <w:b w:val="0"/>
          <w:kern w:val="2"/>
          <w:sz w:val="32"/>
          <w:szCs w:val="32"/>
          <w:lang w:val="en-US" w:eastAsia="zh-CN" w:bidi="ar-SA"/>
        </w:rPr>
        <w:t>7</w:t>
      </w:r>
      <w:r>
        <w:rPr>
          <w:rFonts w:hint="eastAsia" w:ascii="仿宋_GB2312" w:hAnsi="仿宋_GB2312" w:eastAsia="仿宋_GB2312" w:cs="仿宋_GB2312"/>
          <w:b w:val="0"/>
          <w:kern w:val="2"/>
          <w:sz w:val="32"/>
          <w:szCs w:val="32"/>
          <w:lang w:val="en-US" w:eastAsia="zh-CN" w:bidi="ar-SA"/>
        </w:rPr>
        <w:t>）</w:t>
      </w:r>
      <w:r>
        <w:rPr>
          <w:rFonts w:hint="eastAsia" w:ascii="仿宋_GB2312" w:hAnsi="仿宋_GB2312" w:cs="仿宋_GB2312"/>
          <w:b w:val="0"/>
          <w:kern w:val="2"/>
          <w:sz w:val="32"/>
          <w:szCs w:val="32"/>
          <w:lang w:val="en-US" w:eastAsia="zh-CN" w:bidi="ar-SA"/>
        </w:rPr>
        <w:t>妇幼保健室。</w:t>
      </w:r>
    </w:p>
    <w:p w14:paraId="347AD5BA">
      <w:pPr>
        <w:pStyle w:val="2"/>
        <w:rPr>
          <w:rFonts w:hint="eastAsia" w:ascii="仿宋_GB2312" w:hAnsi="仿宋_GB2312" w:cs="仿宋_GB2312"/>
          <w:b w:val="0"/>
          <w:kern w:val="2"/>
          <w:sz w:val="32"/>
          <w:szCs w:val="32"/>
          <w:lang w:val="en-US" w:eastAsia="zh-CN" w:bidi="ar-SA"/>
        </w:rPr>
      </w:pPr>
    </w:p>
    <w:p w14:paraId="66DDB74E">
      <w:pPr>
        <w:pStyle w:val="3"/>
        <w:rPr>
          <w:rFonts w:hint="eastAsia" w:ascii="仿宋_GB2312" w:hAnsi="仿宋_GB2312" w:cs="仿宋_GB2312"/>
          <w:b w:val="0"/>
          <w:kern w:val="2"/>
          <w:sz w:val="32"/>
          <w:szCs w:val="32"/>
          <w:lang w:val="en-US" w:eastAsia="zh-CN" w:bidi="ar-SA"/>
        </w:rPr>
      </w:pPr>
    </w:p>
    <w:p w14:paraId="658339AA">
      <w:pPr>
        <w:pStyle w:val="3"/>
        <w:rPr>
          <w:rFonts w:hint="eastAsia" w:ascii="仿宋_GB2312" w:hAnsi="仿宋_GB2312" w:cs="仿宋_GB2312"/>
          <w:b w:val="0"/>
          <w:kern w:val="2"/>
          <w:sz w:val="32"/>
          <w:szCs w:val="32"/>
          <w:lang w:val="en-US" w:eastAsia="zh-CN" w:bidi="ar-SA"/>
        </w:rPr>
      </w:pPr>
    </w:p>
    <w:p w14:paraId="59857041">
      <w:pPr>
        <w:pStyle w:val="3"/>
        <w:rPr>
          <w:rFonts w:hint="eastAsia" w:ascii="仿宋_GB2312" w:hAnsi="仿宋_GB2312" w:cs="仿宋_GB2312"/>
          <w:b w:val="0"/>
          <w:kern w:val="2"/>
          <w:sz w:val="32"/>
          <w:szCs w:val="32"/>
          <w:lang w:val="en-US" w:eastAsia="zh-CN" w:bidi="ar-SA"/>
        </w:rPr>
      </w:pPr>
    </w:p>
    <w:p w14:paraId="6F086342">
      <w:pPr>
        <w:pStyle w:val="3"/>
        <w:rPr>
          <w:rFonts w:hint="eastAsia" w:ascii="仿宋_GB2312" w:hAnsi="仿宋_GB2312" w:cs="仿宋_GB2312"/>
          <w:b w:val="0"/>
          <w:kern w:val="2"/>
          <w:sz w:val="32"/>
          <w:szCs w:val="32"/>
          <w:lang w:val="en-US" w:eastAsia="zh-CN" w:bidi="ar-SA"/>
        </w:rPr>
      </w:pPr>
    </w:p>
    <w:p w14:paraId="149DF0FF">
      <w:pPr>
        <w:pStyle w:val="3"/>
        <w:rPr>
          <w:rFonts w:hint="eastAsia" w:ascii="仿宋_GB2312" w:hAnsi="仿宋_GB2312" w:cs="仿宋_GB2312"/>
          <w:b w:val="0"/>
          <w:kern w:val="2"/>
          <w:sz w:val="32"/>
          <w:szCs w:val="32"/>
          <w:lang w:val="en-US" w:eastAsia="zh-CN" w:bidi="ar-SA"/>
        </w:rPr>
      </w:pPr>
    </w:p>
    <w:p w14:paraId="1B50BF5D">
      <w:pPr>
        <w:pStyle w:val="3"/>
        <w:rPr>
          <w:rFonts w:hint="eastAsia" w:ascii="仿宋_GB2312" w:hAnsi="仿宋_GB2312" w:cs="仿宋_GB2312"/>
          <w:b w:val="0"/>
          <w:kern w:val="2"/>
          <w:sz w:val="32"/>
          <w:szCs w:val="32"/>
          <w:lang w:val="en-US" w:eastAsia="zh-CN" w:bidi="ar-SA"/>
        </w:rPr>
      </w:pPr>
    </w:p>
    <w:p w14:paraId="307304EC">
      <w:pPr>
        <w:pStyle w:val="3"/>
        <w:rPr>
          <w:rFonts w:hint="eastAsia" w:ascii="仿宋_GB2312" w:hAnsi="仿宋_GB2312" w:cs="仿宋_GB2312"/>
          <w:b w:val="0"/>
          <w:kern w:val="2"/>
          <w:sz w:val="32"/>
          <w:szCs w:val="32"/>
          <w:lang w:val="en-US" w:eastAsia="zh-CN" w:bidi="ar-SA"/>
        </w:rPr>
      </w:pPr>
    </w:p>
    <w:p w14:paraId="74C2F5AF">
      <w:pPr>
        <w:widowControl/>
        <w:jc w:val="center"/>
        <w:rPr>
          <w:rStyle w:val="28"/>
          <w:rFonts w:hint="eastAsia" w:ascii="黑体" w:hAnsi="黑体" w:eastAsia="黑体" w:cs="Times New Roman"/>
          <w:b w:val="0"/>
          <w:bCs/>
        </w:rPr>
      </w:pPr>
      <w:bookmarkStart w:id="19" w:name="_Toc15396602"/>
      <w:bookmarkStart w:id="20" w:name="_Toc15377204"/>
      <w:bookmarkStart w:id="21" w:name="_Toc12604"/>
      <w:r>
        <w:rPr>
          <w:rStyle w:val="28"/>
          <w:rFonts w:hint="eastAsia" w:ascii="黑体" w:hAnsi="黑体" w:eastAsia="黑体" w:cs="Times New Roman"/>
          <w:b w:val="0"/>
          <w:bCs/>
        </w:rPr>
        <w:t>第二部分 2023年度单位决算情况说明</w:t>
      </w:r>
      <w:bookmarkEnd w:id="19"/>
      <w:bookmarkEnd w:id="20"/>
    </w:p>
    <w:bookmarkEnd w:id="21"/>
    <w:p w14:paraId="6F23E69C">
      <w:pPr>
        <w:widowControl/>
        <w:jc w:val="left"/>
        <w:rPr>
          <w:rStyle w:val="28"/>
          <w:rFonts w:hint="eastAsia" w:ascii="黑体" w:hAnsi="黑体" w:eastAsia="黑体" w:cs="Times New Roman"/>
          <w:b w:val="0"/>
          <w:bCs/>
        </w:rPr>
      </w:pPr>
    </w:p>
    <w:p w14:paraId="08B18A79">
      <w:pPr>
        <w:pStyle w:val="27"/>
        <w:numPr>
          <w:ilvl w:val="0"/>
          <w:numId w:val="1"/>
        </w:numPr>
        <w:spacing w:line="600" w:lineRule="exact"/>
        <w:ind w:firstLineChars="0"/>
        <w:outlineLvl w:val="1"/>
        <w:rPr>
          <w:rStyle w:val="29"/>
          <w:rFonts w:ascii="黑体" w:hAnsi="黑体" w:eastAsia="黑体"/>
          <w:b w:val="0"/>
        </w:rPr>
      </w:pPr>
      <w:bookmarkStart w:id="22" w:name="_Toc15377205"/>
      <w:bookmarkStart w:id="23" w:name="_Toc9189"/>
      <w:bookmarkStart w:id="24" w:name="_Toc15396603"/>
      <w:r>
        <w:rPr>
          <w:rFonts w:hint="eastAsia" w:ascii="黑体" w:hAnsi="黑体" w:eastAsia="黑体"/>
          <w:sz w:val="32"/>
          <w:szCs w:val="32"/>
        </w:rPr>
        <w:t>收</w:t>
      </w:r>
      <w:r>
        <w:rPr>
          <w:rStyle w:val="29"/>
          <w:rFonts w:hint="eastAsia" w:ascii="黑体" w:hAnsi="黑体" w:eastAsia="黑体"/>
          <w:b w:val="0"/>
        </w:rPr>
        <w:t>入支出决算总体情况说明</w:t>
      </w:r>
      <w:bookmarkEnd w:id="22"/>
      <w:bookmarkEnd w:id="23"/>
      <w:bookmarkEnd w:id="24"/>
    </w:p>
    <w:p w14:paraId="76EFCD84">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2023年度收、支总计均为</w:t>
      </w:r>
      <w:r>
        <w:rPr>
          <w:rFonts w:hint="eastAsia" w:ascii="仿宋" w:hAnsi="仿宋" w:eastAsia="仿宋"/>
          <w:b/>
          <w:sz w:val="32"/>
          <w:szCs w:val="32"/>
        </w:rPr>
        <w:t>174.27</w:t>
      </w:r>
      <w:r>
        <w:rPr>
          <w:rFonts w:hint="eastAsia" w:ascii="仿宋" w:hAnsi="仿宋" w:eastAsia="仿宋"/>
          <w:sz w:val="32"/>
          <w:szCs w:val="32"/>
        </w:rPr>
        <w:t>万元。与2022年度相比，收、支总计各增加</w:t>
      </w:r>
      <w:r>
        <w:rPr>
          <w:rFonts w:hint="eastAsia" w:ascii="仿宋" w:hAnsi="仿宋" w:eastAsia="仿宋"/>
          <w:sz w:val="32"/>
          <w:szCs w:val="32"/>
          <w:lang w:val="en-US" w:eastAsia="zh-CN"/>
        </w:rPr>
        <w:t>6.59</w:t>
      </w:r>
      <w:r>
        <w:rPr>
          <w:rFonts w:hint="eastAsia" w:ascii="仿宋" w:hAnsi="仿宋" w:eastAsia="仿宋"/>
          <w:sz w:val="32"/>
          <w:szCs w:val="32"/>
        </w:rPr>
        <w:t>万元，增长</w:t>
      </w:r>
      <w:r>
        <w:rPr>
          <w:rFonts w:hint="eastAsia" w:ascii="仿宋" w:hAnsi="仿宋" w:eastAsia="仿宋"/>
          <w:sz w:val="32"/>
          <w:szCs w:val="32"/>
          <w:lang w:val="en-US" w:eastAsia="zh-CN"/>
        </w:rPr>
        <w:t>3.93</w:t>
      </w:r>
      <w:r>
        <w:rPr>
          <w:rFonts w:ascii="仿宋" w:hAnsi="仿宋" w:eastAsia="仿宋"/>
          <w:sz w:val="32"/>
          <w:szCs w:val="32"/>
        </w:rPr>
        <w:t>%</w:t>
      </w:r>
      <w:r>
        <w:rPr>
          <w:rFonts w:hint="eastAsia" w:ascii="仿宋" w:hAnsi="仿宋" w:eastAsia="仿宋"/>
          <w:sz w:val="32"/>
          <w:szCs w:val="32"/>
        </w:rPr>
        <w:t>。主要变动原因是</w:t>
      </w:r>
      <w:r>
        <w:rPr>
          <w:rFonts w:hint="eastAsia" w:ascii="仿宋" w:hAnsi="仿宋" w:eastAsia="仿宋"/>
          <w:sz w:val="32"/>
          <w:szCs w:val="32"/>
          <w:lang w:eastAsia="zh-CN"/>
        </w:rPr>
        <w:t>单位人员增加，财政拨款收入增加</w:t>
      </w:r>
      <w:r>
        <w:rPr>
          <w:rFonts w:hint="eastAsia" w:ascii="仿宋" w:hAnsi="仿宋" w:eastAsia="仿宋"/>
          <w:sz w:val="32"/>
          <w:szCs w:val="32"/>
        </w:rPr>
        <w:t>。</w:t>
      </w:r>
    </w:p>
    <w:p w14:paraId="4E39C57B">
      <w:pPr>
        <w:pStyle w:val="2"/>
      </w:pPr>
    </w:p>
    <w:p w14:paraId="3E844685">
      <w:pPr>
        <w:spacing w:line="240" w:lineRule="auto"/>
        <w:ind w:firstLine="420" w:firstLineChars="200"/>
        <w:jc w:val="center"/>
        <w:rPr>
          <w:rFonts w:hint="eastAsia" w:ascii="仿宋" w:hAnsi="仿宋" w:eastAsia="仿宋"/>
          <w:sz w:val="32"/>
          <w:szCs w:val="32"/>
          <w:lang w:eastAsia="zh-CN"/>
        </w:rPr>
      </w:pPr>
      <w:r>
        <w:drawing>
          <wp:inline distT="0" distB="0" distL="114300" distR="114300">
            <wp:extent cx="4572000" cy="2743200"/>
            <wp:effectExtent l="4445" t="4445" r="14605" b="14605"/>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14:paraId="7753A935">
      <w:pPr>
        <w:spacing w:line="600" w:lineRule="exact"/>
        <w:ind w:firstLine="640" w:firstLineChars="200"/>
        <w:rPr>
          <w:rFonts w:ascii="仿宋" w:hAnsi="仿宋" w:eastAsia="仿宋"/>
          <w:sz w:val="32"/>
          <w:szCs w:val="32"/>
        </w:rPr>
      </w:pPr>
      <w:r>
        <w:rPr>
          <w:rFonts w:hint="eastAsia" w:ascii="仿宋" w:hAnsi="仿宋" w:eastAsia="仿宋"/>
          <w:sz w:val="32"/>
          <w:szCs w:val="32"/>
        </w:rPr>
        <w:t>（图</w:t>
      </w:r>
      <w:r>
        <w:rPr>
          <w:rFonts w:ascii="仿宋" w:hAnsi="仿宋" w:eastAsia="仿宋"/>
          <w:sz w:val="32"/>
          <w:szCs w:val="32"/>
        </w:rPr>
        <w:t>1</w:t>
      </w:r>
      <w:r>
        <w:rPr>
          <w:rFonts w:hint="eastAsia" w:ascii="仿宋" w:hAnsi="仿宋" w:eastAsia="仿宋"/>
          <w:sz w:val="32"/>
          <w:szCs w:val="32"/>
        </w:rPr>
        <w:t>：收、支决算总计变动情况图）（柱状图）</w:t>
      </w:r>
    </w:p>
    <w:p w14:paraId="1332CADC">
      <w:pPr>
        <w:spacing w:line="600" w:lineRule="exact"/>
        <w:ind w:firstLine="640" w:firstLineChars="200"/>
        <w:jc w:val="left"/>
        <w:rPr>
          <w:rFonts w:ascii="仿宋_GB2312" w:eastAsia="仿宋_GB2312"/>
          <w:sz w:val="32"/>
          <w:szCs w:val="32"/>
        </w:rPr>
      </w:pPr>
    </w:p>
    <w:p w14:paraId="133C06A9">
      <w:pPr>
        <w:pStyle w:val="27"/>
        <w:numPr>
          <w:ilvl w:val="0"/>
          <w:numId w:val="1"/>
        </w:numPr>
        <w:spacing w:line="600" w:lineRule="exact"/>
        <w:ind w:firstLineChars="0"/>
        <w:outlineLvl w:val="1"/>
        <w:rPr>
          <w:rStyle w:val="29"/>
          <w:rFonts w:ascii="黑体" w:hAnsi="黑体" w:eastAsia="黑体"/>
          <w:b w:val="0"/>
        </w:rPr>
      </w:pPr>
      <w:bookmarkStart w:id="25" w:name="_Toc21667"/>
      <w:bookmarkStart w:id="26" w:name="_Toc15377206"/>
      <w:bookmarkStart w:id="27" w:name="_Toc15396604"/>
      <w:r>
        <w:rPr>
          <w:rFonts w:hint="eastAsia" w:ascii="黑体" w:hAnsi="黑体" w:eastAsia="黑体"/>
          <w:sz w:val="32"/>
          <w:szCs w:val="32"/>
        </w:rPr>
        <w:t>收</w:t>
      </w:r>
      <w:r>
        <w:rPr>
          <w:rStyle w:val="29"/>
          <w:rFonts w:hint="eastAsia" w:ascii="黑体" w:hAnsi="黑体" w:eastAsia="黑体"/>
          <w:b w:val="0"/>
        </w:rPr>
        <w:t>入决算情况说明</w:t>
      </w:r>
      <w:bookmarkEnd w:id="25"/>
      <w:bookmarkEnd w:id="26"/>
      <w:bookmarkEnd w:id="27"/>
    </w:p>
    <w:p w14:paraId="7C36A697">
      <w:pPr>
        <w:spacing w:line="600" w:lineRule="exact"/>
        <w:ind w:firstLine="640" w:firstLineChars="200"/>
        <w:outlineLvl w:val="1"/>
        <w:rPr>
          <w:rFonts w:hint="eastAsia" w:ascii="仿宋" w:hAnsi="仿宋" w:eastAsia="仿宋"/>
          <w:sz w:val="32"/>
          <w:szCs w:val="32"/>
          <w:lang w:eastAsia="zh-CN"/>
        </w:rPr>
      </w:pPr>
      <w:bookmarkStart w:id="28" w:name="_Toc12842"/>
      <w:r>
        <w:rPr>
          <w:rFonts w:hint="eastAsia" w:ascii="仿宋" w:hAnsi="仿宋" w:eastAsia="仿宋"/>
          <w:sz w:val="32"/>
          <w:szCs w:val="32"/>
        </w:rPr>
        <w:t>2023年度本年收入合计</w:t>
      </w:r>
      <w:r>
        <w:rPr>
          <w:rFonts w:ascii="仿宋" w:hAnsi="仿宋" w:eastAsia="仿宋"/>
          <w:b/>
          <w:sz w:val="32"/>
          <w:szCs w:val="32"/>
        </w:rPr>
        <w:t>174.27</w:t>
      </w:r>
      <w:r>
        <w:rPr>
          <w:rFonts w:hint="eastAsia" w:ascii="仿宋" w:hAnsi="仿宋" w:eastAsia="仿宋"/>
          <w:sz w:val="32"/>
          <w:szCs w:val="32"/>
        </w:rPr>
        <w:t>万元，其中：一般公共预算财政拨款收入</w:t>
      </w:r>
      <w:r>
        <w:rPr>
          <w:rFonts w:ascii="仿宋" w:hAnsi="仿宋" w:eastAsia="仿宋"/>
          <w:b/>
          <w:sz w:val="32"/>
          <w:szCs w:val="32"/>
        </w:rPr>
        <w:t>171.48</w:t>
      </w:r>
      <w:r>
        <w:rPr>
          <w:rFonts w:hint="eastAsia" w:ascii="仿宋" w:hAnsi="仿宋" w:eastAsia="仿宋"/>
          <w:sz w:val="32"/>
          <w:szCs w:val="32"/>
        </w:rPr>
        <w:t>万元，占</w:t>
      </w:r>
      <w:r>
        <w:rPr>
          <w:rFonts w:ascii="仿宋" w:hAnsi="仿宋" w:eastAsia="仿宋"/>
          <w:b/>
          <w:sz w:val="32"/>
          <w:szCs w:val="32"/>
        </w:rPr>
        <w:t>98.</w:t>
      </w:r>
      <w:r>
        <w:rPr>
          <w:rFonts w:hint="eastAsia" w:ascii="仿宋" w:hAnsi="仿宋" w:eastAsia="仿宋"/>
          <w:b/>
          <w:sz w:val="32"/>
          <w:szCs w:val="32"/>
          <w:lang w:val="en-US" w:eastAsia="zh-CN"/>
        </w:rPr>
        <w:t>40</w:t>
      </w:r>
      <w:r>
        <w:rPr>
          <w:rFonts w:ascii="仿宋" w:hAnsi="仿宋" w:eastAsia="仿宋"/>
          <w:b/>
          <w:sz w:val="32"/>
          <w:szCs w:val="32"/>
        </w:rPr>
        <w:t>%</w:t>
      </w:r>
      <w:r>
        <w:rPr>
          <w:rFonts w:hint="eastAsia" w:ascii="仿宋" w:hAnsi="仿宋" w:eastAsia="仿宋"/>
          <w:sz w:val="32"/>
          <w:szCs w:val="32"/>
        </w:rPr>
        <w:t>；政府性基金预算财政拨款收入</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；国有资本经营预算财政拨款收入</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；上级补助收入</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sz w:val="32"/>
          <w:szCs w:val="32"/>
        </w:rPr>
        <w:t>0%</w:t>
      </w:r>
      <w:r>
        <w:rPr>
          <w:rFonts w:hint="eastAsia" w:ascii="仿宋" w:hAnsi="仿宋" w:eastAsia="仿宋"/>
          <w:sz w:val="32"/>
          <w:szCs w:val="32"/>
        </w:rPr>
        <w:t>；事业收入</w:t>
      </w:r>
      <w:r>
        <w:rPr>
          <w:rFonts w:ascii="仿宋" w:hAnsi="仿宋" w:eastAsia="仿宋"/>
          <w:b/>
          <w:sz w:val="32"/>
          <w:szCs w:val="32"/>
        </w:rPr>
        <w:t>2.79</w:t>
      </w:r>
      <w:r>
        <w:rPr>
          <w:rFonts w:hint="eastAsia" w:ascii="仿宋" w:hAnsi="仿宋" w:eastAsia="仿宋"/>
          <w:sz w:val="32"/>
          <w:szCs w:val="32"/>
        </w:rPr>
        <w:t>万元，占</w:t>
      </w:r>
      <w:r>
        <w:rPr>
          <w:rFonts w:ascii="仿宋" w:hAnsi="仿宋" w:eastAsia="仿宋"/>
          <w:b/>
          <w:sz w:val="32"/>
          <w:szCs w:val="32"/>
        </w:rPr>
        <w:t>1.6</w:t>
      </w:r>
      <w:r>
        <w:rPr>
          <w:rFonts w:ascii="仿宋" w:hAnsi="仿宋" w:eastAsia="仿宋"/>
          <w:sz w:val="32"/>
          <w:szCs w:val="32"/>
        </w:rPr>
        <w:t>%</w:t>
      </w:r>
      <w:r>
        <w:rPr>
          <w:rFonts w:hint="eastAsia" w:ascii="仿宋" w:hAnsi="仿宋" w:eastAsia="仿宋"/>
          <w:sz w:val="32"/>
          <w:szCs w:val="32"/>
        </w:rPr>
        <w:t>；经营收入</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；附属单位上缴收入</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；其他收入</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lang w:eastAsia="zh-CN"/>
        </w:rPr>
        <w:t>。</w:t>
      </w:r>
      <w:bookmarkEnd w:id="28"/>
    </w:p>
    <w:p w14:paraId="3C71DD9C">
      <w:pPr>
        <w:spacing w:line="240" w:lineRule="auto"/>
        <w:ind w:firstLine="420" w:firstLineChars="200"/>
        <w:jc w:val="center"/>
        <w:rPr>
          <w:rFonts w:hint="eastAsia" w:ascii="仿宋" w:hAnsi="仿宋" w:eastAsia="仿宋"/>
          <w:sz w:val="32"/>
          <w:szCs w:val="32"/>
          <w:lang w:eastAsia="zh-CN"/>
        </w:rPr>
      </w:pPr>
      <w:r>
        <w:drawing>
          <wp:inline distT="0" distB="0" distL="114300" distR="114300">
            <wp:extent cx="4572000" cy="2743200"/>
            <wp:effectExtent l="4445" t="4445" r="14605" b="14605"/>
            <wp:docPr id="10"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5A9D5A8C">
      <w:pPr>
        <w:spacing w:line="600" w:lineRule="exact"/>
        <w:ind w:firstLine="640" w:firstLineChars="200"/>
        <w:jc w:val="center"/>
        <w:rPr>
          <w:rFonts w:ascii="仿宋" w:hAnsi="仿宋" w:eastAsia="仿宋"/>
          <w:sz w:val="32"/>
          <w:szCs w:val="32"/>
        </w:rPr>
      </w:pPr>
      <w:r>
        <w:rPr>
          <w:rFonts w:hint="eastAsia" w:ascii="仿宋" w:hAnsi="仿宋" w:eastAsia="仿宋"/>
          <w:sz w:val="32"/>
          <w:szCs w:val="32"/>
        </w:rPr>
        <w:t>（图2：收入决算结构图）（饼状图）</w:t>
      </w:r>
    </w:p>
    <w:p w14:paraId="1D4014AF">
      <w:pPr>
        <w:spacing w:line="600" w:lineRule="exact"/>
        <w:ind w:firstLine="640" w:firstLineChars="200"/>
        <w:rPr>
          <w:rFonts w:ascii="仿宋_GB2312" w:eastAsia="仿宋_GB2312"/>
          <w:sz w:val="32"/>
          <w:szCs w:val="32"/>
        </w:rPr>
      </w:pPr>
    </w:p>
    <w:p w14:paraId="3E1CA225">
      <w:pPr>
        <w:pStyle w:val="27"/>
        <w:numPr>
          <w:ilvl w:val="0"/>
          <w:numId w:val="1"/>
        </w:numPr>
        <w:spacing w:line="600" w:lineRule="exact"/>
        <w:ind w:firstLineChars="0"/>
        <w:outlineLvl w:val="1"/>
        <w:rPr>
          <w:rStyle w:val="29"/>
          <w:rFonts w:ascii="黑体" w:hAnsi="黑体" w:eastAsia="黑体"/>
          <w:b w:val="0"/>
        </w:rPr>
      </w:pPr>
      <w:bookmarkStart w:id="29" w:name="_Toc27773"/>
      <w:bookmarkStart w:id="30" w:name="_Toc15396605"/>
      <w:bookmarkStart w:id="31" w:name="_Toc15377207"/>
      <w:r>
        <w:rPr>
          <w:rFonts w:hint="eastAsia" w:ascii="黑体" w:hAnsi="黑体" w:eastAsia="黑体"/>
          <w:sz w:val="32"/>
          <w:szCs w:val="32"/>
        </w:rPr>
        <w:t>支</w:t>
      </w:r>
      <w:r>
        <w:rPr>
          <w:rStyle w:val="29"/>
          <w:rFonts w:hint="eastAsia" w:ascii="黑体" w:hAnsi="黑体" w:eastAsia="黑体"/>
          <w:b w:val="0"/>
        </w:rPr>
        <w:t>出决算情况说明</w:t>
      </w:r>
      <w:bookmarkEnd w:id="29"/>
      <w:bookmarkEnd w:id="30"/>
      <w:bookmarkEnd w:id="31"/>
    </w:p>
    <w:p w14:paraId="6FACA0CE">
      <w:pPr>
        <w:spacing w:line="600" w:lineRule="exact"/>
        <w:ind w:firstLine="640" w:firstLineChars="200"/>
        <w:outlineLvl w:val="1"/>
        <w:rPr>
          <w:rFonts w:hint="eastAsia" w:ascii="仿宋" w:hAnsi="仿宋" w:eastAsia="仿宋"/>
          <w:sz w:val="32"/>
          <w:szCs w:val="32"/>
        </w:rPr>
      </w:pPr>
      <w:bookmarkStart w:id="32" w:name="_Toc7742"/>
      <w:r>
        <w:rPr>
          <w:rFonts w:hint="eastAsia" w:ascii="仿宋" w:hAnsi="仿宋" w:eastAsia="仿宋"/>
          <w:sz w:val="32"/>
          <w:szCs w:val="32"/>
        </w:rPr>
        <w:t>2023年度本年支出合计</w:t>
      </w:r>
      <w:r>
        <w:rPr>
          <w:rFonts w:ascii="仿宋" w:hAnsi="仿宋" w:eastAsia="仿宋"/>
          <w:b/>
          <w:sz w:val="32"/>
          <w:szCs w:val="32"/>
        </w:rPr>
        <w:t>174.27</w:t>
      </w:r>
      <w:r>
        <w:rPr>
          <w:rFonts w:hint="eastAsia" w:ascii="仿宋" w:hAnsi="仿宋" w:eastAsia="仿宋"/>
          <w:sz w:val="32"/>
          <w:szCs w:val="32"/>
        </w:rPr>
        <w:t>万元，其中：基本支出</w:t>
      </w:r>
      <w:r>
        <w:rPr>
          <w:rFonts w:ascii="仿宋" w:hAnsi="仿宋" w:eastAsia="仿宋"/>
          <w:b/>
          <w:sz w:val="32"/>
          <w:szCs w:val="32"/>
        </w:rPr>
        <w:t>151.04</w:t>
      </w:r>
      <w:r>
        <w:rPr>
          <w:rFonts w:hint="eastAsia" w:ascii="仿宋" w:hAnsi="仿宋" w:eastAsia="仿宋"/>
          <w:sz w:val="32"/>
          <w:szCs w:val="32"/>
        </w:rPr>
        <w:t>万元，占</w:t>
      </w:r>
      <w:r>
        <w:rPr>
          <w:rFonts w:ascii="仿宋" w:hAnsi="仿宋" w:eastAsia="仿宋"/>
          <w:b/>
          <w:sz w:val="32"/>
          <w:szCs w:val="32"/>
        </w:rPr>
        <w:t>86.67</w:t>
      </w:r>
      <w:r>
        <w:rPr>
          <w:rFonts w:ascii="仿宋" w:hAnsi="仿宋" w:eastAsia="仿宋"/>
          <w:sz w:val="32"/>
          <w:szCs w:val="32"/>
        </w:rPr>
        <w:t>%</w:t>
      </w:r>
      <w:r>
        <w:rPr>
          <w:rFonts w:hint="eastAsia" w:ascii="仿宋" w:hAnsi="仿宋" w:eastAsia="仿宋"/>
          <w:sz w:val="32"/>
          <w:szCs w:val="32"/>
        </w:rPr>
        <w:t>；项目支出</w:t>
      </w:r>
      <w:r>
        <w:rPr>
          <w:rFonts w:ascii="仿宋" w:hAnsi="仿宋" w:eastAsia="仿宋"/>
          <w:b/>
          <w:sz w:val="32"/>
          <w:szCs w:val="32"/>
        </w:rPr>
        <w:t>23.23</w:t>
      </w:r>
      <w:r>
        <w:rPr>
          <w:rFonts w:hint="eastAsia" w:ascii="仿宋" w:hAnsi="仿宋" w:eastAsia="仿宋"/>
          <w:sz w:val="32"/>
          <w:szCs w:val="32"/>
        </w:rPr>
        <w:t>万元，占</w:t>
      </w:r>
      <w:r>
        <w:rPr>
          <w:rFonts w:ascii="仿宋" w:hAnsi="仿宋" w:eastAsia="仿宋"/>
          <w:b/>
          <w:sz w:val="32"/>
          <w:szCs w:val="32"/>
        </w:rPr>
        <w:t>13.3</w:t>
      </w:r>
      <w:r>
        <w:rPr>
          <w:rFonts w:hint="eastAsia" w:ascii="仿宋" w:hAnsi="仿宋" w:eastAsia="仿宋"/>
          <w:b/>
          <w:sz w:val="32"/>
          <w:szCs w:val="32"/>
          <w:lang w:val="en-US" w:eastAsia="zh-CN"/>
        </w:rPr>
        <w:t>3</w:t>
      </w:r>
      <w:r>
        <w:rPr>
          <w:rFonts w:ascii="仿宋" w:hAnsi="仿宋" w:eastAsia="仿宋"/>
          <w:sz w:val="32"/>
          <w:szCs w:val="32"/>
        </w:rPr>
        <w:t>%</w:t>
      </w:r>
      <w:r>
        <w:rPr>
          <w:rFonts w:hint="eastAsia" w:ascii="仿宋" w:hAnsi="仿宋" w:eastAsia="仿宋"/>
          <w:sz w:val="32"/>
          <w:szCs w:val="32"/>
        </w:rPr>
        <w:t>；上缴上级支出</w:t>
      </w:r>
      <w:r>
        <w:rPr>
          <w:rFonts w:ascii="仿宋" w:hAnsi="仿宋" w:eastAsia="仿宋"/>
          <w:b/>
          <w:sz w:val="32"/>
          <w:szCs w:val="32"/>
        </w:rPr>
        <w:t>0</w:t>
      </w:r>
      <w:r>
        <w:rPr>
          <w:rFonts w:hint="eastAsia" w:ascii="仿宋" w:hAnsi="仿宋" w:eastAsia="仿宋"/>
          <w:sz w:val="32"/>
          <w:szCs w:val="32"/>
        </w:rPr>
        <w:t>万元，占</w:t>
      </w:r>
      <w:r>
        <w:rPr>
          <w:rFonts w:hint="eastAsia"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；经营支出</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；对附属单位补助支出</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w:t>
      </w:r>
      <w:bookmarkEnd w:id="32"/>
    </w:p>
    <w:p w14:paraId="6362E980">
      <w:pPr>
        <w:pStyle w:val="2"/>
        <w:rPr>
          <w:rFonts w:hint="eastAsia"/>
        </w:rPr>
      </w:pPr>
    </w:p>
    <w:p w14:paraId="512C0068">
      <w:pPr>
        <w:pStyle w:val="2"/>
        <w:jc w:val="center"/>
        <w:rPr>
          <w:rFonts w:hint="eastAsia" w:eastAsia="宋体"/>
          <w:lang w:eastAsia="zh-CN"/>
        </w:rPr>
      </w:pPr>
      <w:r>
        <w:drawing>
          <wp:inline distT="0" distB="0" distL="114300" distR="114300">
            <wp:extent cx="4572000" cy="2743200"/>
            <wp:effectExtent l="4445" t="4445" r="14605" b="14605"/>
            <wp:docPr id="9"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771F868C">
      <w:pPr>
        <w:spacing w:line="600" w:lineRule="exact"/>
        <w:ind w:firstLine="640" w:firstLineChars="200"/>
        <w:jc w:val="center"/>
        <w:rPr>
          <w:rFonts w:ascii="仿宋" w:hAnsi="仿宋" w:eastAsia="仿宋"/>
          <w:sz w:val="32"/>
          <w:szCs w:val="32"/>
        </w:rPr>
      </w:pPr>
      <w:r>
        <w:rPr>
          <w:rFonts w:hint="eastAsia" w:ascii="仿宋" w:hAnsi="仿宋" w:eastAsia="仿宋"/>
          <w:sz w:val="32"/>
          <w:szCs w:val="32"/>
        </w:rPr>
        <w:t>（图3：支出决算结构图）（饼状图）</w:t>
      </w:r>
    </w:p>
    <w:p w14:paraId="523F28FD">
      <w:pPr>
        <w:spacing w:line="600" w:lineRule="exact"/>
        <w:ind w:firstLine="640" w:firstLineChars="200"/>
        <w:rPr>
          <w:rFonts w:ascii="仿宋_GB2312" w:eastAsia="仿宋_GB2312"/>
          <w:sz w:val="32"/>
          <w:szCs w:val="32"/>
        </w:rPr>
      </w:pPr>
    </w:p>
    <w:p w14:paraId="5DE2A8B4">
      <w:pPr>
        <w:spacing w:line="600" w:lineRule="exact"/>
        <w:ind w:firstLine="640" w:firstLineChars="200"/>
        <w:outlineLvl w:val="1"/>
        <w:rPr>
          <w:rStyle w:val="29"/>
          <w:rFonts w:ascii="黑体" w:hAnsi="黑体" w:eastAsia="黑体"/>
          <w:b w:val="0"/>
        </w:rPr>
      </w:pPr>
      <w:bookmarkStart w:id="33" w:name="_Toc15396606"/>
      <w:bookmarkStart w:id="34" w:name="_Toc6783"/>
      <w:bookmarkStart w:id="35" w:name="_Toc15377208"/>
      <w:r>
        <w:rPr>
          <w:rFonts w:hint="eastAsia" w:ascii="黑体" w:hAnsi="黑体" w:eastAsia="黑体"/>
          <w:sz w:val="32"/>
          <w:szCs w:val="32"/>
        </w:rPr>
        <w:t>四、财</w:t>
      </w:r>
      <w:r>
        <w:rPr>
          <w:rStyle w:val="29"/>
          <w:rFonts w:hint="eastAsia" w:ascii="黑体" w:hAnsi="黑体" w:eastAsia="黑体"/>
          <w:b w:val="0"/>
        </w:rPr>
        <w:t>政拨款收入支出决算总体情况说明</w:t>
      </w:r>
      <w:bookmarkEnd w:id="33"/>
      <w:bookmarkEnd w:id="34"/>
      <w:bookmarkEnd w:id="35"/>
    </w:p>
    <w:p w14:paraId="37C0B132">
      <w:pPr>
        <w:spacing w:line="600" w:lineRule="exact"/>
        <w:ind w:firstLine="640"/>
        <w:rPr>
          <w:rFonts w:hint="eastAsia" w:ascii="仿宋" w:hAnsi="仿宋" w:eastAsia="仿宋"/>
          <w:sz w:val="32"/>
          <w:szCs w:val="32"/>
          <w:lang w:eastAsia="zh-CN"/>
        </w:rPr>
      </w:pPr>
      <w:r>
        <w:rPr>
          <w:rFonts w:hint="eastAsia" w:ascii="仿宋" w:hAnsi="仿宋" w:eastAsia="仿宋"/>
          <w:sz w:val="32"/>
          <w:szCs w:val="32"/>
        </w:rPr>
        <w:t>2023年度财政拨款收、支总计均为</w:t>
      </w:r>
      <w:r>
        <w:rPr>
          <w:rFonts w:ascii="仿宋" w:hAnsi="仿宋" w:eastAsia="仿宋"/>
          <w:b/>
          <w:sz w:val="32"/>
          <w:szCs w:val="32"/>
        </w:rPr>
        <w:t>171.48</w:t>
      </w:r>
      <w:r>
        <w:rPr>
          <w:rFonts w:hint="eastAsia" w:ascii="仿宋" w:hAnsi="仿宋" w:eastAsia="仿宋"/>
          <w:sz w:val="32"/>
          <w:szCs w:val="32"/>
        </w:rPr>
        <w:t>万元。与2022年度相比，财政拨款收、支总计各增加</w:t>
      </w:r>
      <w:r>
        <w:rPr>
          <w:rFonts w:hint="eastAsia" w:ascii="仿宋" w:hAnsi="仿宋" w:eastAsia="仿宋"/>
          <w:sz w:val="32"/>
          <w:szCs w:val="32"/>
          <w:lang w:val="en-US" w:eastAsia="zh-CN"/>
        </w:rPr>
        <w:t>3.80</w:t>
      </w:r>
      <w:r>
        <w:rPr>
          <w:rFonts w:hint="eastAsia" w:ascii="仿宋" w:hAnsi="仿宋" w:eastAsia="仿宋"/>
          <w:sz w:val="32"/>
          <w:szCs w:val="32"/>
        </w:rPr>
        <w:t>万元，增长</w:t>
      </w:r>
      <w:r>
        <w:rPr>
          <w:rFonts w:hint="eastAsia" w:ascii="仿宋" w:hAnsi="仿宋" w:eastAsia="仿宋"/>
          <w:sz w:val="32"/>
          <w:szCs w:val="32"/>
          <w:lang w:val="en-US" w:eastAsia="zh-CN"/>
        </w:rPr>
        <w:t>2.27</w:t>
      </w:r>
      <w:r>
        <w:rPr>
          <w:rFonts w:ascii="仿宋" w:hAnsi="仿宋" w:eastAsia="仿宋"/>
          <w:sz w:val="32"/>
          <w:szCs w:val="32"/>
        </w:rPr>
        <w:t>%</w:t>
      </w:r>
      <w:r>
        <w:rPr>
          <w:rFonts w:hint="eastAsia" w:ascii="仿宋" w:hAnsi="仿宋" w:eastAsia="仿宋"/>
          <w:sz w:val="32"/>
          <w:szCs w:val="32"/>
        </w:rPr>
        <w:t>。主要变动原因是</w:t>
      </w:r>
      <w:r>
        <w:rPr>
          <w:rFonts w:hint="eastAsia" w:ascii="仿宋" w:hAnsi="仿宋" w:eastAsia="仿宋"/>
          <w:sz w:val="32"/>
          <w:szCs w:val="32"/>
          <w:lang w:eastAsia="zh-CN"/>
        </w:rPr>
        <w:t>人员增加，单位人员经费支出增加。</w:t>
      </w:r>
    </w:p>
    <w:p w14:paraId="3FB4E08E">
      <w:pPr>
        <w:pStyle w:val="2"/>
        <w:rPr>
          <w:rFonts w:hint="eastAsia"/>
          <w:lang w:eastAsia="zh-CN"/>
        </w:rPr>
      </w:pPr>
    </w:p>
    <w:p w14:paraId="79C2A260">
      <w:pPr>
        <w:pStyle w:val="2"/>
        <w:tabs>
          <w:tab w:val="left" w:pos="4777"/>
        </w:tabs>
        <w:jc w:val="center"/>
      </w:pPr>
      <w:r>
        <w:drawing>
          <wp:inline distT="0" distB="0" distL="114300" distR="114300">
            <wp:extent cx="4572000" cy="2743200"/>
            <wp:effectExtent l="4445" t="4445" r="14605" b="14605"/>
            <wp:docPr id="7"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359B72AF">
      <w:pPr>
        <w:spacing w:line="600" w:lineRule="exact"/>
        <w:ind w:firstLine="640" w:firstLineChars="200"/>
        <w:rPr>
          <w:rFonts w:ascii="仿宋" w:hAnsi="仿宋" w:eastAsia="仿宋"/>
          <w:b/>
          <w:sz w:val="32"/>
          <w:szCs w:val="32"/>
        </w:rPr>
      </w:pPr>
      <w:r>
        <w:rPr>
          <w:rFonts w:hint="eastAsia" w:ascii="仿宋" w:hAnsi="仿宋" w:eastAsia="仿宋"/>
          <w:sz w:val="32"/>
          <w:szCs w:val="32"/>
        </w:rPr>
        <w:t>（图4：财政拨款收、支决算总计变动情况）（柱状图）</w:t>
      </w:r>
    </w:p>
    <w:p w14:paraId="6FE8EDF2">
      <w:pPr>
        <w:spacing w:line="600" w:lineRule="exact"/>
        <w:ind w:firstLine="640" w:firstLineChars="200"/>
        <w:outlineLvl w:val="1"/>
        <w:rPr>
          <w:rStyle w:val="29"/>
          <w:rFonts w:ascii="黑体" w:hAnsi="黑体" w:eastAsia="黑体"/>
          <w:b w:val="0"/>
        </w:rPr>
      </w:pPr>
      <w:bookmarkStart w:id="36" w:name="_Toc15396607"/>
      <w:bookmarkStart w:id="37" w:name="_Toc5663"/>
      <w:bookmarkStart w:id="38" w:name="_Toc15377209"/>
      <w:r>
        <w:rPr>
          <w:rFonts w:hint="eastAsia" w:ascii="黑体" w:hAnsi="黑体" w:eastAsia="黑体"/>
          <w:sz w:val="32"/>
          <w:szCs w:val="32"/>
        </w:rPr>
        <w:t>五、</w:t>
      </w:r>
      <w:r>
        <w:rPr>
          <w:rFonts w:hint="eastAsia" w:ascii="黑体" w:hAnsi="黑体" w:eastAsia="黑体"/>
          <w:b/>
          <w:sz w:val="32"/>
          <w:szCs w:val="32"/>
        </w:rPr>
        <w:t>一</w:t>
      </w:r>
      <w:r>
        <w:rPr>
          <w:rStyle w:val="29"/>
          <w:rFonts w:hint="eastAsia" w:ascii="黑体" w:hAnsi="黑体" w:eastAsia="黑体"/>
          <w:b w:val="0"/>
        </w:rPr>
        <w:t>般公共预算财政拨款支出决算情况说明</w:t>
      </w:r>
      <w:bookmarkEnd w:id="36"/>
      <w:bookmarkEnd w:id="37"/>
      <w:bookmarkEnd w:id="38"/>
    </w:p>
    <w:p w14:paraId="60595FC4">
      <w:pPr>
        <w:spacing w:line="600" w:lineRule="exact"/>
        <w:ind w:firstLine="643" w:firstLineChars="200"/>
        <w:outlineLvl w:val="2"/>
        <w:rPr>
          <w:rFonts w:ascii="仿宋" w:hAnsi="仿宋" w:eastAsia="仿宋"/>
          <w:b/>
          <w:sz w:val="32"/>
          <w:szCs w:val="32"/>
        </w:rPr>
      </w:pPr>
      <w:bookmarkStart w:id="39" w:name="_Toc15377210"/>
      <w:bookmarkStart w:id="40" w:name="_Toc9031"/>
      <w:r>
        <w:rPr>
          <w:rFonts w:hint="eastAsia" w:ascii="仿宋" w:hAnsi="仿宋" w:eastAsia="仿宋"/>
          <w:b/>
          <w:sz w:val="32"/>
          <w:szCs w:val="32"/>
        </w:rPr>
        <w:t>（一）一般公共预算财政拨款支出决算总体情况</w:t>
      </w:r>
      <w:bookmarkEnd w:id="39"/>
      <w:bookmarkEnd w:id="40"/>
    </w:p>
    <w:p w14:paraId="49AC6A20">
      <w:pPr>
        <w:spacing w:line="600" w:lineRule="exact"/>
        <w:ind w:firstLine="640" w:firstLineChars="200"/>
        <w:rPr>
          <w:rFonts w:hint="eastAsia" w:ascii="仿宋" w:hAnsi="仿宋" w:eastAsia="仿宋"/>
          <w:sz w:val="32"/>
          <w:szCs w:val="32"/>
          <w:lang w:eastAsia="zh-CN"/>
        </w:rPr>
      </w:pPr>
      <w:r>
        <w:rPr>
          <w:rFonts w:hint="eastAsia" w:ascii="仿宋" w:hAnsi="仿宋" w:eastAsia="仿宋"/>
          <w:sz w:val="32"/>
          <w:szCs w:val="32"/>
        </w:rPr>
        <w:t>2023年度一般公共预算财政拨款支出</w:t>
      </w:r>
      <w:r>
        <w:rPr>
          <w:rFonts w:ascii="仿宋" w:hAnsi="仿宋" w:eastAsia="仿宋"/>
          <w:b/>
          <w:sz w:val="32"/>
          <w:szCs w:val="32"/>
        </w:rPr>
        <w:t>171.48</w:t>
      </w:r>
      <w:r>
        <w:rPr>
          <w:rFonts w:hint="eastAsia" w:ascii="仿宋" w:hAnsi="仿宋" w:eastAsia="仿宋"/>
          <w:sz w:val="32"/>
          <w:szCs w:val="32"/>
        </w:rPr>
        <w:t>万元，占本年支出合计的</w:t>
      </w:r>
      <w:r>
        <w:rPr>
          <w:rFonts w:hint="eastAsia" w:ascii="仿宋" w:hAnsi="仿宋" w:eastAsia="仿宋"/>
          <w:b/>
          <w:sz w:val="32"/>
          <w:szCs w:val="32"/>
          <w:lang w:val="en-US" w:eastAsia="zh-CN"/>
        </w:rPr>
        <w:t>100</w:t>
      </w:r>
      <w:r>
        <w:rPr>
          <w:rFonts w:ascii="仿宋" w:hAnsi="仿宋" w:eastAsia="仿宋"/>
          <w:sz w:val="32"/>
          <w:szCs w:val="32"/>
        </w:rPr>
        <w:t>%</w:t>
      </w:r>
      <w:r>
        <w:rPr>
          <w:rFonts w:hint="eastAsia" w:ascii="仿宋" w:hAnsi="仿宋" w:eastAsia="仿宋"/>
          <w:sz w:val="32"/>
          <w:szCs w:val="32"/>
        </w:rPr>
        <w:t>。与2022年度相比，一般公共预算财政拨款支出增加</w:t>
      </w:r>
      <w:r>
        <w:rPr>
          <w:rFonts w:hint="eastAsia" w:ascii="仿宋" w:hAnsi="仿宋" w:eastAsia="仿宋"/>
          <w:sz w:val="32"/>
          <w:szCs w:val="32"/>
          <w:lang w:val="en-US" w:eastAsia="zh-CN"/>
        </w:rPr>
        <w:t>3.80</w:t>
      </w:r>
      <w:r>
        <w:rPr>
          <w:rFonts w:hint="eastAsia" w:ascii="仿宋" w:hAnsi="仿宋" w:eastAsia="仿宋"/>
          <w:sz w:val="32"/>
          <w:szCs w:val="32"/>
        </w:rPr>
        <w:t>万元，增长</w:t>
      </w:r>
      <w:r>
        <w:rPr>
          <w:rFonts w:hint="eastAsia" w:ascii="仿宋" w:hAnsi="仿宋" w:eastAsia="仿宋"/>
          <w:sz w:val="32"/>
          <w:szCs w:val="32"/>
          <w:lang w:val="en-US" w:eastAsia="zh-CN"/>
        </w:rPr>
        <w:t>2.27</w:t>
      </w:r>
      <w:r>
        <w:rPr>
          <w:rFonts w:ascii="仿宋" w:hAnsi="仿宋" w:eastAsia="仿宋"/>
          <w:sz w:val="32"/>
          <w:szCs w:val="32"/>
        </w:rPr>
        <w:t>%</w:t>
      </w:r>
      <w:r>
        <w:rPr>
          <w:rFonts w:hint="eastAsia" w:ascii="仿宋" w:hAnsi="仿宋" w:eastAsia="仿宋"/>
          <w:sz w:val="32"/>
          <w:szCs w:val="32"/>
        </w:rPr>
        <w:t>。主要变动原因是</w:t>
      </w:r>
      <w:r>
        <w:rPr>
          <w:rFonts w:hint="eastAsia" w:ascii="仿宋" w:hAnsi="仿宋" w:eastAsia="仿宋"/>
          <w:sz w:val="32"/>
          <w:szCs w:val="32"/>
          <w:lang w:eastAsia="zh-CN"/>
        </w:rPr>
        <w:t>人员增加，单位人员经费支出增加。</w:t>
      </w:r>
    </w:p>
    <w:p w14:paraId="78F964F9">
      <w:pPr>
        <w:pStyle w:val="2"/>
        <w:rPr>
          <w:rFonts w:hint="eastAsia"/>
          <w:lang w:eastAsia="zh-CN"/>
        </w:rPr>
      </w:pPr>
    </w:p>
    <w:p w14:paraId="0EB79DA7">
      <w:pPr>
        <w:pStyle w:val="2"/>
        <w:jc w:val="center"/>
      </w:pPr>
      <w:r>
        <w:drawing>
          <wp:inline distT="0" distB="0" distL="114300" distR="114300">
            <wp:extent cx="4572000" cy="2743200"/>
            <wp:effectExtent l="4445" t="4445" r="14605" b="14605"/>
            <wp:docPr id="6"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4D3714D5">
      <w:pPr>
        <w:spacing w:line="600" w:lineRule="exact"/>
        <w:ind w:firstLine="640" w:firstLineChars="200"/>
        <w:jc w:val="center"/>
        <w:rPr>
          <w:rFonts w:ascii="仿宋" w:hAnsi="仿宋" w:eastAsia="仿宋"/>
          <w:sz w:val="32"/>
          <w:szCs w:val="32"/>
        </w:rPr>
      </w:pPr>
      <w:r>
        <w:rPr>
          <w:rFonts w:hint="eastAsia" w:ascii="仿宋" w:hAnsi="仿宋" w:eastAsia="仿宋"/>
          <w:sz w:val="32"/>
          <w:szCs w:val="32"/>
        </w:rPr>
        <w:t>（图5：一般公共预算财政拨款支出决算变动情况）（柱状图）</w:t>
      </w:r>
    </w:p>
    <w:p w14:paraId="16DE179C">
      <w:pPr>
        <w:spacing w:line="600" w:lineRule="exact"/>
        <w:ind w:firstLine="640" w:firstLineChars="200"/>
        <w:rPr>
          <w:rFonts w:ascii="仿宋" w:hAnsi="仿宋" w:eastAsia="仿宋"/>
          <w:sz w:val="32"/>
          <w:szCs w:val="32"/>
        </w:rPr>
      </w:pPr>
    </w:p>
    <w:p w14:paraId="53E0CD55">
      <w:pPr>
        <w:spacing w:line="600" w:lineRule="exact"/>
        <w:ind w:firstLine="643" w:firstLineChars="200"/>
        <w:outlineLvl w:val="2"/>
        <w:rPr>
          <w:rFonts w:ascii="仿宋" w:hAnsi="仿宋" w:eastAsia="仿宋"/>
          <w:b/>
          <w:sz w:val="32"/>
          <w:szCs w:val="32"/>
        </w:rPr>
      </w:pPr>
      <w:bookmarkStart w:id="41" w:name="_Toc18471"/>
      <w:bookmarkStart w:id="42" w:name="_Toc15377211"/>
      <w:r>
        <w:rPr>
          <w:rFonts w:hint="eastAsia" w:ascii="仿宋" w:hAnsi="仿宋" w:eastAsia="仿宋"/>
          <w:b/>
          <w:sz w:val="32"/>
          <w:szCs w:val="32"/>
        </w:rPr>
        <w:t>（二）一般公共预算财政拨款支出决算结构情况</w:t>
      </w:r>
      <w:bookmarkEnd w:id="41"/>
      <w:bookmarkEnd w:id="42"/>
    </w:p>
    <w:p w14:paraId="0899B1AD">
      <w:pPr>
        <w:spacing w:line="600" w:lineRule="exact"/>
        <w:ind w:firstLine="640"/>
        <w:rPr>
          <w:rFonts w:hint="eastAsia" w:ascii="仿宋" w:hAnsi="仿宋" w:eastAsia="仿宋" w:cs="Times New Roman"/>
          <w:sz w:val="32"/>
          <w:szCs w:val="32"/>
        </w:rPr>
      </w:pPr>
      <w:r>
        <w:rPr>
          <w:rFonts w:hint="eastAsia" w:ascii="仿宋" w:hAnsi="仿宋" w:eastAsia="仿宋" w:cs="Times New Roman"/>
          <w:sz w:val="32"/>
          <w:szCs w:val="32"/>
        </w:rPr>
        <w:t>2023年度一般公共预算财政拨款支出171.48万元，主要用于以下方面:一般公共服务支出</w:t>
      </w:r>
      <w:r>
        <w:rPr>
          <w:rFonts w:hint="eastAsia" w:ascii="仿宋" w:hAnsi="仿宋" w:eastAsia="仿宋" w:cs="Times New Roman"/>
          <w:sz w:val="32"/>
          <w:szCs w:val="32"/>
          <w:lang w:val="en-US" w:eastAsia="zh-CN"/>
        </w:rPr>
        <w:t>0</w:t>
      </w:r>
      <w:r>
        <w:rPr>
          <w:rFonts w:hint="eastAsia" w:ascii="仿宋" w:hAnsi="仿宋" w:eastAsia="仿宋" w:cs="Times New Roman"/>
          <w:sz w:val="32"/>
          <w:szCs w:val="32"/>
        </w:rPr>
        <w:t>万元，占</w:t>
      </w:r>
      <w:r>
        <w:rPr>
          <w:rFonts w:hint="eastAsia" w:ascii="仿宋" w:hAnsi="仿宋" w:eastAsia="仿宋" w:cs="Times New Roman"/>
          <w:sz w:val="32"/>
          <w:szCs w:val="32"/>
          <w:lang w:val="en-US" w:eastAsia="zh-CN"/>
        </w:rPr>
        <w:t>0</w:t>
      </w:r>
      <w:r>
        <w:rPr>
          <w:rFonts w:hint="eastAsia" w:ascii="仿宋" w:hAnsi="仿宋" w:eastAsia="仿宋" w:cs="Times New Roman"/>
          <w:sz w:val="32"/>
          <w:szCs w:val="32"/>
        </w:rPr>
        <w:t>%；教育支出</w:t>
      </w:r>
      <w:r>
        <w:rPr>
          <w:rFonts w:hint="eastAsia" w:ascii="仿宋" w:hAnsi="仿宋" w:eastAsia="仿宋" w:cs="Times New Roman"/>
          <w:sz w:val="32"/>
          <w:szCs w:val="32"/>
          <w:lang w:val="en-US" w:eastAsia="zh-CN"/>
        </w:rPr>
        <w:t>0</w:t>
      </w:r>
      <w:r>
        <w:rPr>
          <w:rFonts w:hint="eastAsia" w:ascii="仿宋" w:hAnsi="仿宋" w:eastAsia="仿宋" w:cs="Times New Roman"/>
          <w:sz w:val="32"/>
          <w:szCs w:val="32"/>
        </w:rPr>
        <w:t>万元，占</w:t>
      </w:r>
      <w:r>
        <w:rPr>
          <w:rFonts w:hint="eastAsia" w:ascii="仿宋" w:hAnsi="仿宋" w:eastAsia="仿宋" w:cs="Times New Roman"/>
          <w:sz w:val="32"/>
          <w:szCs w:val="32"/>
          <w:lang w:val="en-US" w:eastAsia="zh-CN"/>
        </w:rPr>
        <w:t>0</w:t>
      </w:r>
      <w:r>
        <w:rPr>
          <w:rFonts w:hint="eastAsia" w:ascii="仿宋" w:hAnsi="仿宋" w:eastAsia="仿宋" w:cs="Times New Roman"/>
          <w:sz w:val="32"/>
          <w:szCs w:val="32"/>
        </w:rPr>
        <w:t>%；科学技术支出</w:t>
      </w:r>
      <w:r>
        <w:rPr>
          <w:rFonts w:hint="eastAsia" w:ascii="仿宋" w:hAnsi="仿宋" w:eastAsia="仿宋" w:cs="Times New Roman"/>
          <w:sz w:val="32"/>
          <w:szCs w:val="32"/>
          <w:lang w:val="en-US" w:eastAsia="zh-CN"/>
        </w:rPr>
        <w:t>0</w:t>
      </w:r>
      <w:r>
        <w:rPr>
          <w:rFonts w:hint="eastAsia" w:ascii="仿宋" w:hAnsi="仿宋" w:eastAsia="仿宋" w:cs="Times New Roman"/>
          <w:sz w:val="32"/>
          <w:szCs w:val="32"/>
        </w:rPr>
        <w:t>万元，占</w:t>
      </w:r>
      <w:r>
        <w:rPr>
          <w:rFonts w:hint="eastAsia" w:ascii="仿宋" w:hAnsi="仿宋" w:eastAsia="仿宋" w:cs="Times New Roman"/>
          <w:sz w:val="32"/>
          <w:szCs w:val="32"/>
          <w:lang w:val="en-US" w:eastAsia="zh-CN"/>
        </w:rPr>
        <w:t>0</w:t>
      </w:r>
      <w:r>
        <w:rPr>
          <w:rFonts w:hint="eastAsia" w:ascii="仿宋" w:hAnsi="仿宋" w:eastAsia="仿宋" w:cs="Times New Roman"/>
          <w:sz w:val="32"/>
          <w:szCs w:val="32"/>
        </w:rPr>
        <w:t>%；文化旅游体育与传媒支出</w:t>
      </w:r>
      <w:r>
        <w:rPr>
          <w:rFonts w:hint="eastAsia" w:ascii="仿宋" w:hAnsi="仿宋" w:eastAsia="仿宋" w:cs="Times New Roman"/>
          <w:sz w:val="32"/>
          <w:szCs w:val="32"/>
          <w:lang w:val="en-US" w:eastAsia="zh-CN"/>
        </w:rPr>
        <w:t>0</w:t>
      </w:r>
      <w:r>
        <w:rPr>
          <w:rFonts w:hint="eastAsia" w:ascii="仿宋" w:hAnsi="仿宋" w:eastAsia="仿宋" w:cs="Times New Roman"/>
          <w:sz w:val="32"/>
          <w:szCs w:val="32"/>
        </w:rPr>
        <w:t>万元，占</w:t>
      </w:r>
      <w:r>
        <w:rPr>
          <w:rFonts w:hint="eastAsia" w:ascii="仿宋" w:hAnsi="仿宋" w:eastAsia="仿宋" w:cs="Times New Roman"/>
          <w:sz w:val="32"/>
          <w:szCs w:val="32"/>
          <w:lang w:val="en-US" w:eastAsia="zh-CN"/>
        </w:rPr>
        <w:t>0</w:t>
      </w:r>
      <w:r>
        <w:rPr>
          <w:rFonts w:hint="eastAsia" w:ascii="仿宋" w:hAnsi="仿宋" w:eastAsia="仿宋" w:cs="Times New Roman"/>
          <w:sz w:val="32"/>
          <w:szCs w:val="32"/>
        </w:rPr>
        <w:t>%；社会保障和就业支出</w:t>
      </w:r>
      <w:r>
        <w:rPr>
          <w:rFonts w:hint="eastAsia" w:ascii="仿宋" w:hAnsi="仿宋" w:eastAsia="仿宋" w:cs="Times New Roman"/>
          <w:sz w:val="32"/>
          <w:szCs w:val="32"/>
          <w:lang w:val="en-US" w:eastAsia="zh-CN"/>
        </w:rPr>
        <w:t>23.09</w:t>
      </w:r>
      <w:r>
        <w:rPr>
          <w:rFonts w:hint="eastAsia" w:ascii="仿宋" w:hAnsi="仿宋" w:eastAsia="仿宋" w:cs="Times New Roman"/>
          <w:sz w:val="32"/>
          <w:szCs w:val="32"/>
        </w:rPr>
        <w:t>万元，占</w:t>
      </w:r>
      <w:r>
        <w:rPr>
          <w:rFonts w:hint="eastAsia" w:ascii="仿宋" w:hAnsi="仿宋" w:eastAsia="仿宋" w:cs="Times New Roman"/>
          <w:sz w:val="32"/>
          <w:szCs w:val="32"/>
          <w:lang w:val="en-US" w:eastAsia="zh-CN"/>
        </w:rPr>
        <w:t>13.47</w:t>
      </w:r>
      <w:r>
        <w:rPr>
          <w:rFonts w:hint="eastAsia" w:ascii="仿宋" w:hAnsi="仿宋" w:eastAsia="仿宋" w:cs="Times New Roman"/>
          <w:sz w:val="32"/>
          <w:szCs w:val="32"/>
        </w:rPr>
        <w:t>%；卫生健康支出</w:t>
      </w:r>
      <w:r>
        <w:rPr>
          <w:rFonts w:hint="eastAsia" w:ascii="仿宋" w:hAnsi="仿宋" w:eastAsia="仿宋" w:cs="Times New Roman"/>
          <w:sz w:val="32"/>
          <w:szCs w:val="32"/>
          <w:lang w:val="en-US" w:eastAsia="zh-CN"/>
        </w:rPr>
        <w:t>136.67</w:t>
      </w:r>
      <w:r>
        <w:rPr>
          <w:rFonts w:hint="eastAsia" w:ascii="仿宋" w:hAnsi="仿宋" w:eastAsia="仿宋" w:cs="Times New Roman"/>
          <w:sz w:val="32"/>
          <w:szCs w:val="32"/>
        </w:rPr>
        <w:t>万元，占</w:t>
      </w:r>
      <w:r>
        <w:rPr>
          <w:rFonts w:hint="eastAsia" w:ascii="仿宋" w:hAnsi="仿宋" w:eastAsia="仿宋" w:cs="Times New Roman"/>
          <w:sz w:val="32"/>
          <w:szCs w:val="32"/>
          <w:lang w:val="en-US" w:eastAsia="zh-CN"/>
        </w:rPr>
        <w:t>79.70</w:t>
      </w:r>
      <w:r>
        <w:rPr>
          <w:rFonts w:hint="eastAsia" w:ascii="仿宋" w:hAnsi="仿宋" w:eastAsia="仿宋" w:cs="Times New Roman"/>
          <w:sz w:val="32"/>
          <w:szCs w:val="32"/>
        </w:rPr>
        <w:t>%；住房保障支出</w:t>
      </w:r>
      <w:r>
        <w:rPr>
          <w:rFonts w:hint="eastAsia" w:ascii="仿宋" w:hAnsi="仿宋" w:eastAsia="仿宋" w:cs="Times New Roman"/>
          <w:sz w:val="32"/>
          <w:szCs w:val="32"/>
          <w:lang w:val="en-US" w:eastAsia="zh-CN"/>
        </w:rPr>
        <w:t>11.71</w:t>
      </w:r>
      <w:r>
        <w:rPr>
          <w:rFonts w:hint="eastAsia" w:ascii="仿宋" w:hAnsi="仿宋" w:eastAsia="仿宋" w:cs="Times New Roman"/>
          <w:sz w:val="32"/>
          <w:szCs w:val="32"/>
        </w:rPr>
        <w:t>万元，占</w:t>
      </w:r>
      <w:r>
        <w:rPr>
          <w:rFonts w:hint="eastAsia" w:ascii="仿宋" w:hAnsi="仿宋" w:eastAsia="仿宋" w:cs="Times New Roman"/>
          <w:sz w:val="32"/>
          <w:szCs w:val="32"/>
          <w:lang w:val="en-US" w:eastAsia="zh-CN"/>
        </w:rPr>
        <w:t>6.83</w:t>
      </w:r>
      <w:r>
        <w:rPr>
          <w:rFonts w:hint="eastAsia" w:ascii="仿宋" w:hAnsi="仿宋" w:eastAsia="仿宋" w:cs="Times New Roman"/>
          <w:sz w:val="32"/>
          <w:szCs w:val="32"/>
        </w:rPr>
        <w:t>%。</w:t>
      </w:r>
    </w:p>
    <w:p w14:paraId="39E10CC8">
      <w:pPr>
        <w:pStyle w:val="2"/>
        <w:rPr>
          <w:rFonts w:hint="eastAsia"/>
        </w:rPr>
      </w:pPr>
    </w:p>
    <w:p w14:paraId="6AE97AC0">
      <w:pPr>
        <w:pStyle w:val="2"/>
        <w:jc w:val="center"/>
        <w:rPr>
          <w:rFonts w:hint="eastAsia" w:eastAsia="仿宋"/>
          <w:lang w:eastAsia="zh-CN"/>
        </w:rPr>
      </w:pPr>
      <w:r>
        <w:drawing>
          <wp:inline distT="0" distB="0" distL="114300" distR="114300">
            <wp:extent cx="4572000" cy="2743200"/>
            <wp:effectExtent l="4445" t="4445" r="14605" b="14605"/>
            <wp:docPr id="2"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3D1A2615">
      <w:pPr>
        <w:spacing w:line="600" w:lineRule="exact"/>
        <w:ind w:firstLine="640" w:firstLineChars="200"/>
        <w:rPr>
          <w:rFonts w:ascii="仿宋" w:hAnsi="仿宋" w:eastAsia="仿宋"/>
          <w:sz w:val="32"/>
          <w:szCs w:val="32"/>
        </w:rPr>
      </w:pPr>
      <w:r>
        <w:rPr>
          <w:rFonts w:hint="eastAsia" w:ascii="仿宋" w:hAnsi="仿宋" w:eastAsia="仿宋"/>
          <w:sz w:val="32"/>
          <w:szCs w:val="32"/>
        </w:rPr>
        <w:t>（图6：一般公共预算财政拨款支出决算结构）（饼状图）</w:t>
      </w:r>
    </w:p>
    <w:p w14:paraId="741C74D6">
      <w:pPr>
        <w:spacing w:line="600" w:lineRule="exact"/>
        <w:ind w:firstLine="640" w:firstLineChars="200"/>
        <w:rPr>
          <w:rFonts w:ascii="仿宋" w:hAnsi="仿宋" w:eastAsia="仿宋"/>
          <w:sz w:val="32"/>
          <w:szCs w:val="32"/>
        </w:rPr>
      </w:pPr>
    </w:p>
    <w:p w14:paraId="27D845FF">
      <w:pPr>
        <w:spacing w:line="600" w:lineRule="exact"/>
        <w:ind w:firstLine="643" w:firstLineChars="200"/>
        <w:outlineLvl w:val="2"/>
        <w:rPr>
          <w:rFonts w:ascii="仿宋" w:hAnsi="仿宋" w:eastAsia="仿宋"/>
          <w:b/>
          <w:sz w:val="32"/>
          <w:szCs w:val="32"/>
        </w:rPr>
      </w:pPr>
      <w:bookmarkStart w:id="43" w:name="_Toc20273"/>
      <w:bookmarkStart w:id="44" w:name="_Toc15377212"/>
      <w:r>
        <w:rPr>
          <w:rFonts w:hint="eastAsia" w:ascii="仿宋" w:hAnsi="仿宋" w:eastAsia="仿宋"/>
          <w:b/>
          <w:sz w:val="32"/>
          <w:szCs w:val="32"/>
        </w:rPr>
        <w:t>（三）一般公共预算财政拨款支出决算具体情况</w:t>
      </w:r>
      <w:bookmarkEnd w:id="43"/>
      <w:bookmarkEnd w:id="44"/>
    </w:p>
    <w:p w14:paraId="44593775">
      <w:pPr>
        <w:spacing w:line="600" w:lineRule="exact"/>
        <w:ind w:firstLine="643" w:firstLineChars="200"/>
        <w:outlineLvl w:val="2"/>
        <w:rPr>
          <w:rFonts w:ascii="仿宋" w:hAnsi="仿宋" w:eastAsia="仿宋"/>
          <w:sz w:val="32"/>
          <w:szCs w:val="32"/>
        </w:rPr>
      </w:pPr>
      <w:bookmarkStart w:id="45" w:name="_Toc2307"/>
      <w:bookmarkStart w:id="46" w:name="_Toc15378460"/>
      <w:bookmarkStart w:id="47" w:name="_Toc15377444"/>
      <w:bookmarkStart w:id="48" w:name="_Toc15377213"/>
      <w:r>
        <w:rPr>
          <w:rFonts w:hint="eastAsia" w:ascii="仿宋" w:hAnsi="仿宋" w:eastAsia="仿宋"/>
          <w:b/>
          <w:sz w:val="32"/>
          <w:szCs w:val="32"/>
        </w:rPr>
        <w:t>2023年度一般公共预算支出决算数为</w:t>
      </w:r>
      <w:r>
        <w:rPr>
          <w:rFonts w:ascii="仿宋" w:hAnsi="仿宋" w:eastAsia="仿宋"/>
          <w:b/>
          <w:sz w:val="32"/>
          <w:szCs w:val="32"/>
        </w:rPr>
        <w:t>171.48</w:t>
      </w:r>
      <w:r>
        <w:rPr>
          <w:rFonts w:hint="eastAsia" w:ascii="仿宋" w:hAnsi="仿宋" w:eastAsia="仿宋"/>
          <w:sz w:val="32"/>
          <w:szCs w:val="32"/>
        </w:rPr>
        <w:t>，</w:t>
      </w:r>
      <w:r>
        <w:rPr>
          <w:rStyle w:val="17"/>
          <w:rFonts w:hint="eastAsia" w:ascii="仿宋" w:hAnsi="仿宋" w:eastAsia="仿宋"/>
          <w:bCs/>
          <w:sz w:val="32"/>
          <w:szCs w:val="32"/>
        </w:rPr>
        <w:t>完成预算</w:t>
      </w:r>
      <w:r>
        <w:rPr>
          <w:rStyle w:val="17"/>
          <w:rFonts w:hint="eastAsia" w:ascii="仿宋" w:hAnsi="仿宋" w:eastAsia="仿宋"/>
          <w:bCs/>
          <w:sz w:val="32"/>
          <w:szCs w:val="32"/>
          <w:lang w:val="en-US" w:eastAsia="zh-CN"/>
        </w:rPr>
        <w:t>100</w:t>
      </w:r>
      <w:r>
        <w:rPr>
          <w:rStyle w:val="17"/>
          <w:rFonts w:ascii="仿宋" w:hAnsi="仿宋" w:eastAsia="仿宋"/>
          <w:bCs/>
          <w:sz w:val="32"/>
          <w:szCs w:val="32"/>
        </w:rPr>
        <w:t>%</w:t>
      </w:r>
      <w:r>
        <w:rPr>
          <w:rStyle w:val="17"/>
          <w:rFonts w:hint="eastAsia" w:ascii="仿宋" w:hAnsi="仿宋" w:eastAsia="仿宋"/>
          <w:bCs/>
          <w:sz w:val="32"/>
          <w:szCs w:val="32"/>
        </w:rPr>
        <w:t>。其中：</w:t>
      </w:r>
      <w:bookmarkEnd w:id="45"/>
      <w:bookmarkEnd w:id="46"/>
      <w:bookmarkEnd w:id="47"/>
      <w:bookmarkEnd w:id="48"/>
    </w:p>
    <w:p w14:paraId="1AB4D59C">
      <w:pPr>
        <w:numPr>
          <w:ilvl w:val="0"/>
          <w:numId w:val="2"/>
        </w:numPr>
        <w:spacing w:line="600" w:lineRule="exact"/>
        <w:ind w:firstLine="640" w:firstLineChars="200"/>
        <w:rPr>
          <w:rStyle w:val="17"/>
          <w:rFonts w:hint="eastAsia" w:ascii="仿宋" w:hAnsi="仿宋" w:eastAsia="仿宋" w:cs="Times New Roman"/>
          <w:b w:val="0"/>
          <w:bCs/>
          <w:kern w:val="2"/>
          <w:sz w:val="32"/>
          <w:szCs w:val="32"/>
          <w:lang w:val="en-US" w:eastAsia="zh-CN" w:bidi="ar-SA"/>
        </w:rPr>
      </w:pPr>
      <w:bookmarkStart w:id="49" w:name="_Toc15396608"/>
      <w:bookmarkStart w:id="50" w:name="_Toc15377214"/>
      <w:r>
        <w:rPr>
          <w:rStyle w:val="17"/>
          <w:rFonts w:hint="eastAsia" w:ascii="仿宋" w:hAnsi="仿宋" w:eastAsia="仿宋" w:cs="Times New Roman"/>
          <w:b w:val="0"/>
          <w:bCs/>
          <w:kern w:val="2"/>
          <w:sz w:val="32"/>
          <w:szCs w:val="32"/>
          <w:lang w:val="en-US" w:eastAsia="zh-CN" w:bidi="ar-SA"/>
        </w:rPr>
        <w:t>社会保障和就业（208）人力资源和社会保障管理事务（20801）其他人力资源和社会保障管理事务支出（2080199）：支出决算为3.30万元，完成预算100%。</w:t>
      </w:r>
    </w:p>
    <w:p w14:paraId="3745597C">
      <w:pPr>
        <w:numPr>
          <w:ilvl w:val="0"/>
          <w:numId w:val="2"/>
        </w:numPr>
        <w:spacing w:line="600" w:lineRule="exact"/>
        <w:ind w:left="0" w:leftChars="0" w:firstLine="640" w:firstLineChars="200"/>
        <w:rPr>
          <w:rStyle w:val="17"/>
          <w:rFonts w:hint="eastAsia" w:ascii="仿宋" w:hAnsi="仿宋" w:eastAsia="仿宋" w:cs="Times New Roman"/>
          <w:b w:val="0"/>
          <w:bCs/>
          <w:kern w:val="2"/>
          <w:sz w:val="32"/>
          <w:szCs w:val="32"/>
          <w:lang w:val="en-US" w:eastAsia="zh-CN" w:bidi="ar-SA"/>
        </w:rPr>
      </w:pPr>
      <w:r>
        <w:rPr>
          <w:rStyle w:val="17"/>
          <w:rFonts w:hint="eastAsia" w:ascii="仿宋" w:hAnsi="仿宋" w:eastAsia="仿宋" w:cs="Times New Roman"/>
          <w:b w:val="0"/>
          <w:bCs/>
          <w:kern w:val="2"/>
          <w:sz w:val="32"/>
          <w:szCs w:val="32"/>
          <w:lang w:val="en-US" w:eastAsia="zh-CN" w:bidi="ar-SA"/>
        </w:rPr>
        <w:t>社会保障和就业（208）行政事业单位养老支出（20805）机关事业单位基本养老保险缴费支出（2080505）：支出决算为13.79万元，完成预算100%。</w:t>
      </w:r>
    </w:p>
    <w:p w14:paraId="43DB7CF8">
      <w:pPr>
        <w:numPr>
          <w:ilvl w:val="0"/>
          <w:numId w:val="2"/>
        </w:numPr>
        <w:spacing w:line="600" w:lineRule="exact"/>
        <w:ind w:left="0" w:leftChars="0" w:firstLine="640" w:firstLineChars="200"/>
        <w:rPr>
          <w:rStyle w:val="17"/>
          <w:rFonts w:hint="eastAsia" w:ascii="仿宋" w:hAnsi="仿宋" w:eastAsia="仿宋" w:cs="Times New Roman"/>
          <w:b w:val="0"/>
          <w:bCs/>
          <w:kern w:val="2"/>
          <w:sz w:val="32"/>
          <w:szCs w:val="32"/>
          <w:lang w:val="en-US" w:eastAsia="zh-CN" w:bidi="ar-SA"/>
        </w:rPr>
      </w:pPr>
      <w:r>
        <w:rPr>
          <w:rStyle w:val="17"/>
          <w:rFonts w:hint="eastAsia" w:ascii="仿宋" w:hAnsi="仿宋" w:eastAsia="仿宋" w:cs="Times New Roman"/>
          <w:b w:val="0"/>
          <w:bCs/>
          <w:kern w:val="2"/>
          <w:sz w:val="32"/>
          <w:szCs w:val="32"/>
          <w:lang w:val="en-US" w:eastAsia="zh-CN" w:bidi="ar-SA"/>
        </w:rPr>
        <w:t>社会保障和就业（208）行政事业单位养老支出（20805）机关事业单位基本职业年金缴费支出（2080506）</w:t>
      </w:r>
      <w:bookmarkStart w:id="111" w:name="_GoBack"/>
      <w:bookmarkEnd w:id="111"/>
      <w:r>
        <w:rPr>
          <w:rStyle w:val="17"/>
          <w:rFonts w:hint="eastAsia" w:ascii="仿宋" w:hAnsi="仿宋" w:eastAsia="仿宋" w:cs="Times New Roman"/>
          <w:b w:val="0"/>
          <w:bCs/>
          <w:kern w:val="2"/>
          <w:sz w:val="32"/>
          <w:szCs w:val="32"/>
          <w:lang w:val="en-US" w:eastAsia="zh-CN" w:bidi="ar-SA"/>
        </w:rPr>
        <w:t>：支出决算为6.00万元，完成预算100%。</w:t>
      </w:r>
    </w:p>
    <w:p w14:paraId="466CB869">
      <w:pPr>
        <w:numPr>
          <w:ilvl w:val="0"/>
          <w:numId w:val="2"/>
        </w:numPr>
        <w:spacing w:line="600" w:lineRule="exact"/>
        <w:ind w:left="0" w:leftChars="0" w:firstLine="640" w:firstLineChars="200"/>
        <w:rPr>
          <w:rStyle w:val="17"/>
          <w:rFonts w:hint="eastAsia" w:ascii="仿宋" w:hAnsi="仿宋" w:eastAsia="仿宋" w:cs="Times New Roman"/>
          <w:b w:val="0"/>
          <w:bCs/>
          <w:kern w:val="2"/>
          <w:sz w:val="32"/>
          <w:szCs w:val="32"/>
          <w:lang w:val="en-US" w:eastAsia="zh-CN" w:bidi="ar-SA"/>
        </w:rPr>
      </w:pPr>
      <w:r>
        <w:rPr>
          <w:rStyle w:val="17"/>
          <w:rFonts w:hint="eastAsia" w:ascii="仿宋" w:hAnsi="仿宋" w:eastAsia="仿宋" w:cs="Times New Roman"/>
          <w:b w:val="0"/>
          <w:bCs/>
          <w:kern w:val="2"/>
          <w:sz w:val="32"/>
          <w:szCs w:val="32"/>
          <w:lang w:val="en-US" w:eastAsia="zh-CN" w:bidi="ar-SA"/>
        </w:rPr>
        <w:t>卫生健康（210）基层医疗卫生机构（21003）乡镇卫生院（2100302）:支出决算为109.30万元，完成预算100%。5.卫生健康（210）基层医疗卫生机构（21003）其他基层医疗卫生机构支出（2100399）:支出决算为2.25万元，完成预算100%。</w:t>
      </w:r>
    </w:p>
    <w:p w14:paraId="552438F5">
      <w:pPr>
        <w:numPr>
          <w:ilvl w:val="0"/>
          <w:numId w:val="2"/>
        </w:numPr>
        <w:spacing w:line="600" w:lineRule="exact"/>
        <w:ind w:left="0" w:leftChars="0" w:firstLine="640" w:firstLineChars="200"/>
        <w:rPr>
          <w:rStyle w:val="17"/>
          <w:rFonts w:hint="eastAsia" w:ascii="仿宋" w:hAnsi="仿宋" w:eastAsia="仿宋" w:cs="Times New Roman"/>
          <w:b w:val="0"/>
          <w:bCs/>
          <w:kern w:val="2"/>
          <w:sz w:val="32"/>
          <w:szCs w:val="32"/>
          <w:lang w:val="en-US" w:eastAsia="zh-CN" w:bidi="ar-SA"/>
        </w:rPr>
      </w:pPr>
      <w:r>
        <w:rPr>
          <w:rStyle w:val="17"/>
          <w:rFonts w:hint="eastAsia" w:ascii="仿宋" w:hAnsi="仿宋" w:eastAsia="仿宋" w:cs="Times New Roman"/>
          <w:b w:val="0"/>
          <w:bCs/>
          <w:kern w:val="2"/>
          <w:sz w:val="32"/>
          <w:szCs w:val="32"/>
          <w:lang w:val="en-US" w:eastAsia="zh-CN" w:bidi="ar-SA"/>
        </w:rPr>
        <w:t>卫生健康（210）公共卫生（21004）基本公共卫生服务（2100408）:支出决算为17.68万元，完成预算100%。</w:t>
      </w:r>
    </w:p>
    <w:p w14:paraId="5D1AA8F9">
      <w:pPr>
        <w:numPr>
          <w:ilvl w:val="0"/>
          <w:numId w:val="0"/>
        </w:numPr>
        <w:spacing w:line="600" w:lineRule="exact"/>
        <w:ind w:firstLine="640" w:firstLineChars="200"/>
        <w:rPr>
          <w:rStyle w:val="17"/>
          <w:rFonts w:hint="eastAsia" w:ascii="仿宋" w:hAnsi="仿宋" w:eastAsia="仿宋" w:cs="Times New Roman"/>
          <w:b w:val="0"/>
          <w:bCs/>
          <w:kern w:val="2"/>
          <w:sz w:val="32"/>
          <w:szCs w:val="32"/>
          <w:lang w:val="en-US" w:eastAsia="zh-CN" w:bidi="ar-SA"/>
        </w:rPr>
      </w:pPr>
      <w:r>
        <w:rPr>
          <w:rStyle w:val="17"/>
          <w:rFonts w:hint="eastAsia" w:ascii="仿宋" w:hAnsi="仿宋" w:eastAsia="仿宋" w:cs="Times New Roman"/>
          <w:b w:val="0"/>
          <w:bCs/>
          <w:kern w:val="2"/>
          <w:sz w:val="32"/>
          <w:szCs w:val="32"/>
          <w:lang w:val="en-US" w:eastAsia="zh-CN" w:bidi="ar-SA"/>
        </w:rPr>
        <w:t>7.卫生健康（210）行政事业单位医疗（21011）事业单位医疗（2101102）:支出决算为6.00万元，完成预算100%。</w:t>
      </w:r>
    </w:p>
    <w:p w14:paraId="068D30BB">
      <w:pPr>
        <w:pStyle w:val="19"/>
        <w:numPr>
          <w:ilvl w:val="0"/>
          <w:numId w:val="0"/>
        </w:numPr>
        <w:ind w:firstLine="640" w:firstLineChars="200"/>
        <w:rPr>
          <w:rFonts w:hint="eastAsia"/>
          <w:lang w:eastAsia="zh-CN"/>
        </w:rPr>
      </w:pPr>
      <w:r>
        <w:rPr>
          <w:rStyle w:val="17"/>
          <w:rFonts w:hint="eastAsia" w:ascii="仿宋" w:hAnsi="仿宋" w:eastAsia="仿宋" w:cs="Times New Roman"/>
          <w:b w:val="0"/>
          <w:bCs/>
          <w:kern w:val="2"/>
          <w:sz w:val="32"/>
          <w:szCs w:val="32"/>
          <w:lang w:val="en-US" w:eastAsia="zh-CN" w:bidi="ar-SA"/>
        </w:rPr>
        <w:t>8.卫生健康（210）行政事业单位医疗（21011）其他事业单位医疗支出（2101199）:支出决算为1.44万元，完成预算100%。</w:t>
      </w:r>
    </w:p>
    <w:p w14:paraId="27B08807">
      <w:pPr>
        <w:tabs>
          <w:tab w:val="right" w:pos="8306"/>
        </w:tabs>
        <w:spacing w:line="600" w:lineRule="exact"/>
        <w:ind w:firstLine="640"/>
        <w:outlineLvl w:val="1"/>
        <w:rPr>
          <w:rStyle w:val="17"/>
          <w:rFonts w:hint="eastAsia" w:ascii="仿宋" w:hAnsi="仿宋" w:eastAsia="仿宋" w:cs="Times New Roman"/>
          <w:b w:val="0"/>
          <w:bCs/>
          <w:kern w:val="2"/>
          <w:sz w:val="32"/>
          <w:szCs w:val="32"/>
          <w:lang w:val="en-US" w:eastAsia="zh-CN" w:bidi="ar-SA"/>
        </w:rPr>
      </w:pPr>
      <w:bookmarkStart w:id="51" w:name="_Toc7922"/>
      <w:r>
        <w:rPr>
          <w:rStyle w:val="17"/>
          <w:rFonts w:hint="eastAsia" w:ascii="仿宋" w:hAnsi="仿宋" w:eastAsia="仿宋" w:cs="Times New Roman"/>
          <w:b w:val="0"/>
          <w:bCs/>
          <w:kern w:val="2"/>
          <w:sz w:val="32"/>
          <w:szCs w:val="32"/>
          <w:lang w:val="en-US" w:eastAsia="zh-CN" w:bidi="ar-SA"/>
        </w:rPr>
        <w:t>9.住房保障支出（221）住房改革支出（22102）住房公积金（2210201）: 支出决算为11.71万元，完成预算100%。</w:t>
      </w:r>
      <w:bookmarkEnd w:id="51"/>
    </w:p>
    <w:p w14:paraId="3B1050C1">
      <w:pPr>
        <w:tabs>
          <w:tab w:val="right" w:pos="8306"/>
        </w:tabs>
        <w:spacing w:line="600" w:lineRule="exact"/>
        <w:ind w:firstLine="640"/>
        <w:outlineLvl w:val="1"/>
        <w:rPr>
          <w:rFonts w:hint="eastAsia" w:ascii="黑体" w:eastAsia="黑体"/>
          <w:sz w:val="32"/>
          <w:szCs w:val="32"/>
        </w:rPr>
      </w:pPr>
    </w:p>
    <w:p w14:paraId="5DC08901">
      <w:pPr>
        <w:tabs>
          <w:tab w:val="right" w:pos="8306"/>
        </w:tabs>
        <w:spacing w:line="600" w:lineRule="exact"/>
        <w:ind w:firstLine="640"/>
        <w:outlineLvl w:val="1"/>
        <w:rPr>
          <w:rStyle w:val="29"/>
        </w:rPr>
      </w:pPr>
      <w:bookmarkStart w:id="52" w:name="_Toc16997"/>
      <w:r>
        <w:rPr>
          <w:rFonts w:hint="eastAsia" w:ascii="黑体" w:eastAsia="黑体"/>
          <w:sz w:val="32"/>
          <w:szCs w:val="32"/>
        </w:rPr>
        <w:t>六</w:t>
      </w:r>
      <w:r>
        <w:rPr>
          <w:rFonts w:hint="eastAsia" w:ascii="黑体" w:eastAsia="黑体"/>
          <w:b/>
          <w:sz w:val="32"/>
          <w:szCs w:val="32"/>
        </w:rPr>
        <w:t>、</w:t>
      </w:r>
      <w:r>
        <w:rPr>
          <w:rFonts w:hint="eastAsia" w:ascii="黑体" w:hAnsi="黑体" w:eastAsia="黑体"/>
          <w:b/>
          <w:sz w:val="32"/>
          <w:szCs w:val="32"/>
        </w:rPr>
        <w:t>一</w:t>
      </w:r>
      <w:r>
        <w:rPr>
          <w:rStyle w:val="29"/>
          <w:rFonts w:hint="eastAsia" w:ascii="黑体" w:hAnsi="黑体" w:eastAsia="黑体"/>
          <w:b w:val="0"/>
        </w:rPr>
        <w:t>般公共预算财政拨款基本支出决算情况说明</w:t>
      </w:r>
      <w:bookmarkEnd w:id="49"/>
      <w:bookmarkEnd w:id="50"/>
      <w:bookmarkEnd w:id="52"/>
      <w:r>
        <w:rPr>
          <w:rStyle w:val="29"/>
          <w:rFonts w:ascii="黑体" w:hAnsi="黑体" w:eastAsia="黑体"/>
          <w:b w:val="0"/>
        </w:rPr>
        <w:tab/>
      </w:r>
    </w:p>
    <w:p w14:paraId="5F033395">
      <w:pPr>
        <w:spacing w:line="600" w:lineRule="exact"/>
        <w:ind w:firstLine="645"/>
        <w:rPr>
          <w:rFonts w:ascii="仿宋" w:hAnsi="仿宋" w:eastAsia="仿宋"/>
          <w:sz w:val="32"/>
          <w:szCs w:val="32"/>
        </w:rPr>
      </w:pPr>
      <w:r>
        <w:rPr>
          <w:rFonts w:hint="eastAsia" w:ascii="仿宋" w:hAnsi="仿宋" w:eastAsia="仿宋"/>
          <w:sz w:val="32"/>
          <w:szCs w:val="32"/>
        </w:rPr>
        <w:t>2023年度一般公共预算财政拨款基本支出</w:t>
      </w:r>
      <w:r>
        <w:rPr>
          <w:rFonts w:ascii="仿宋" w:hAnsi="仿宋" w:eastAsia="仿宋"/>
          <w:b/>
          <w:sz w:val="32"/>
          <w:szCs w:val="32"/>
        </w:rPr>
        <w:t>148.25</w:t>
      </w:r>
      <w:r>
        <w:rPr>
          <w:rFonts w:hint="eastAsia" w:ascii="仿宋" w:hAnsi="仿宋" w:eastAsia="仿宋"/>
          <w:sz w:val="32"/>
          <w:szCs w:val="32"/>
        </w:rPr>
        <w:t>万元，其中：</w:t>
      </w:r>
    </w:p>
    <w:p w14:paraId="2EA81355">
      <w:pPr>
        <w:spacing w:line="600" w:lineRule="exact"/>
        <w:ind w:firstLine="645"/>
        <w:rPr>
          <w:rFonts w:hint="eastAsia" w:ascii="仿宋" w:hAnsi="仿宋" w:eastAsia="仿宋"/>
          <w:sz w:val="32"/>
          <w:szCs w:val="32"/>
          <w:lang w:val="en-US" w:eastAsia="zh-CN"/>
        </w:rPr>
      </w:pPr>
      <w:r>
        <w:rPr>
          <w:rFonts w:hint="eastAsia" w:ascii="仿宋" w:hAnsi="仿宋" w:eastAsia="仿宋"/>
          <w:sz w:val="32"/>
          <w:szCs w:val="32"/>
        </w:rPr>
        <w:t>人员经费</w:t>
      </w:r>
      <w:r>
        <w:rPr>
          <w:rFonts w:ascii="仿宋" w:hAnsi="仿宋" w:eastAsia="仿宋"/>
          <w:b/>
          <w:sz w:val="32"/>
          <w:szCs w:val="32"/>
        </w:rPr>
        <w:t>147.7</w:t>
      </w:r>
      <w:r>
        <w:rPr>
          <w:rFonts w:hint="eastAsia" w:ascii="仿宋" w:hAnsi="仿宋" w:eastAsia="仿宋"/>
          <w:sz w:val="32"/>
          <w:szCs w:val="32"/>
        </w:rPr>
        <w:t>万元，主要包括：基本工资</w:t>
      </w:r>
      <w:r>
        <w:rPr>
          <w:rFonts w:hint="eastAsia" w:ascii="仿宋" w:hAnsi="仿宋" w:eastAsia="仿宋"/>
          <w:sz w:val="32"/>
          <w:szCs w:val="32"/>
          <w:lang w:val="en-US" w:eastAsia="zh-CN"/>
        </w:rPr>
        <w:t>26.72万元</w:t>
      </w:r>
      <w:r>
        <w:rPr>
          <w:rFonts w:hint="eastAsia" w:ascii="仿宋" w:hAnsi="仿宋" w:eastAsia="仿宋"/>
          <w:sz w:val="32"/>
          <w:szCs w:val="32"/>
        </w:rPr>
        <w:t>、津贴补贴</w:t>
      </w:r>
      <w:r>
        <w:rPr>
          <w:rFonts w:hint="eastAsia" w:ascii="仿宋" w:hAnsi="仿宋" w:eastAsia="仿宋"/>
          <w:sz w:val="32"/>
          <w:szCs w:val="32"/>
          <w:lang w:val="en-US" w:eastAsia="zh-CN"/>
        </w:rPr>
        <w:t>22.76万元</w:t>
      </w:r>
      <w:r>
        <w:rPr>
          <w:rFonts w:hint="eastAsia" w:ascii="仿宋" w:hAnsi="仿宋" w:eastAsia="仿宋"/>
          <w:sz w:val="32"/>
          <w:szCs w:val="32"/>
        </w:rPr>
        <w:t>、奖金</w:t>
      </w:r>
      <w:r>
        <w:rPr>
          <w:rFonts w:hint="eastAsia" w:ascii="仿宋" w:hAnsi="仿宋" w:eastAsia="仿宋"/>
          <w:sz w:val="32"/>
          <w:szCs w:val="32"/>
          <w:lang w:val="en-US" w:eastAsia="zh-CN"/>
        </w:rPr>
        <w:t>32.67万元</w:t>
      </w:r>
      <w:r>
        <w:rPr>
          <w:rFonts w:hint="eastAsia" w:ascii="仿宋" w:hAnsi="仿宋" w:eastAsia="仿宋"/>
          <w:sz w:val="32"/>
          <w:szCs w:val="32"/>
        </w:rPr>
        <w:t>、绩效工资</w:t>
      </w:r>
      <w:r>
        <w:rPr>
          <w:rFonts w:hint="eastAsia" w:ascii="仿宋" w:hAnsi="仿宋" w:eastAsia="仿宋"/>
          <w:sz w:val="32"/>
          <w:szCs w:val="32"/>
          <w:lang w:val="en-US" w:eastAsia="zh-CN"/>
        </w:rPr>
        <w:t>25.75万元</w:t>
      </w:r>
      <w:r>
        <w:rPr>
          <w:rFonts w:hint="eastAsia" w:ascii="仿宋" w:hAnsi="仿宋" w:eastAsia="仿宋"/>
          <w:sz w:val="32"/>
          <w:szCs w:val="32"/>
        </w:rPr>
        <w:t>、机关事业单位基本养老保险缴费</w:t>
      </w:r>
      <w:r>
        <w:rPr>
          <w:rFonts w:hint="eastAsia" w:ascii="仿宋" w:hAnsi="仿宋" w:eastAsia="仿宋"/>
          <w:sz w:val="32"/>
          <w:szCs w:val="32"/>
          <w:lang w:val="en-US" w:eastAsia="zh-CN"/>
        </w:rPr>
        <w:t>13.79万元</w:t>
      </w:r>
      <w:r>
        <w:rPr>
          <w:rFonts w:hint="eastAsia" w:ascii="仿宋" w:hAnsi="仿宋" w:eastAsia="仿宋"/>
          <w:sz w:val="32"/>
          <w:szCs w:val="32"/>
        </w:rPr>
        <w:t>、职业年金缴费</w:t>
      </w:r>
      <w:r>
        <w:rPr>
          <w:rFonts w:hint="eastAsia" w:ascii="仿宋" w:hAnsi="仿宋" w:eastAsia="仿宋"/>
          <w:sz w:val="32"/>
          <w:szCs w:val="32"/>
          <w:lang w:val="en-US" w:eastAsia="zh-CN"/>
        </w:rPr>
        <w:t>6.00万元</w:t>
      </w:r>
      <w:r>
        <w:rPr>
          <w:rFonts w:hint="eastAsia" w:ascii="仿宋" w:hAnsi="仿宋" w:eastAsia="仿宋"/>
          <w:sz w:val="32"/>
          <w:szCs w:val="32"/>
        </w:rPr>
        <w:t>、</w:t>
      </w:r>
      <w:r>
        <w:rPr>
          <w:rFonts w:hint="eastAsia" w:ascii="仿宋" w:hAnsi="仿宋" w:eastAsia="仿宋"/>
          <w:sz w:val="32"/>
          <w:szCs w:val="32"/>
          <w:lang w:eastAsia="zh-CN"/>
        </w:rPr>
        <w:t>医疗保险缴费</w:t>
      </w:r>
      <w:r>
        <w:rPr>
          <w:rFonts w:hint="eastAsia" w:ascii="仿宋" w:hAnsi="仿宋" w:eastAsia="仿宋"/>
          <w:sz w:val="32"/>
          <w:szCs w:val="32"/>
          <w:lang w:val="en-US" w:eastAsia="zh-CN"/>
        </w:rPr>
        <w:t>6.00万元、公务员医疗补助经费1.44万元、</w:t>
      </w:r>
      <w:r>
        <w:rPr>
          <w:rFonts w:hint="eastAsia" w:ascii="仿宋" w:hAnsi="仿宋" w:eastAsia="仿宋"/>
          <w:sz w:val="32"/>
          <w:szCs w:val="32"/>
        </w:rPr>
        <w:t>其他社会保障缴费</w:t>
      </w:r>
      <w:r>
        <w:rPr>
          <w:rFonts w:hint="eastAsia" w:ascii="仿宋" w:hAnsi="仿宋" w:eastAsia="仿宋"/>
          <w:sz w:val="32"/>
          <w:szCs w:val="32"/>
          <w:lang w:val="en-US" w:eastAsia="zh-CN"/>
        </w:rPr>
        <w:t>0.84万元</w:t>
      </w:r>
      <w:r>
        <w:rPr>
          <w:rFonts w:hint="eastAsia" w:ascii="仿宋" w:hAnsi="仿宋" w:eastAsia="仿宋"/>
          <w:sz w:val="32"/>
          <w:szCs w:val="32"/>
        </w:rPr>
        <w:t>、住房公积金</w:t>
      </w:r>
      <w:r>
        <w:rPr>
          <w:rFonts w:hint="eastAsia" w:ascii="仿宋" w:hAnsi="仿宋" w:eastAsia="仿宋"/>
          <w:sz w:val="32"/>
          <w:szCs w:val="32"/>
          <w:lang w:val="en-US" w:eastAsia="zh-CN"/>
        </w:rPr>
        <w:t>11.70万元。</w:t>
      </w:r>
    </w:p>
    <w:p w14:paraId="2A25402B">
      <w:pPr>
        <w:spacing w:line="600" w:lineRule="exact"/>
        <w:ind w:firstLine="645"/>
        <w:rPr>
          <w:rFonts w:ascii="仿宋" w:hAnsi="仿宋" w:eastAsia="仿宋"/>
          <w:b/>
          <w:sz w:val="32"/>
          <w:szCs w:val="32"/>
        </w:rPr>
      </w:pPr>
      <w:r>
        <w:rPr>
          <w:rFonts w:hint="eastAsia" w:ascii="仿宋" w:hAnsi="仿宋" w:eastAsia="仿宋"/>
          <w:sz w:val="32"/>
          <w:szCs w:val="32"/>
        </w:rPr>
        <w:t>　　公用经费</w:t>
      </w:r>
      <w:r>
        <w:rPr>
          <w:rFonts w:ascii="仿宋" w:hAnsi="仿宋" w:eastAsia="仿宋"/>
          <w:b/>
          <w:sz w:val="32"/>
          <w:szCs w:val="32"/>
        </w:rPr>
        <w:t>0.55</w:t>
      </w:r>
      <w:r>
        <w:rPr>
          <w:rFonts w:hint="eastAsia" w:ascii="仿宋" w:hAnsi="仿宋" w:eastAsia="仿宋"/>
          <w:sz w:val="32"/>
          <w:szCs w:val="32"/>
        </w:rPr>
        <w:t>万元，主要包括：工会经费</w:t>
      </w:r>
      <w:r>
        <w:rPr>
          <w:rFonts w:hint="eastAsia" w:ascii="仿宋" w:hAnsi="仿宋" w:eastAsia="仿宋"/>
          <w:sz w:val="32"/>
          <w:szCs w:val="32"/>
          <w:lang w:val="en-US" w:eastAsia="zh-CN"/>
        </w:rPr>
        <w:t>0.55万元</w:t>
      </w:r>
      <w:r>
        <w:rPr>
          <w:rFonts w:hint="eastAsia" w:ascii="仿宋" w:hAnsi="仿宋" w:eastAsia="仿宋"/>
          <w:sz w:val="32"/>
          <w:szCs w:val="32"/>
        </w:rPr>
        <w:t>。</w:t>
      </w:r>
    </w:p>
    <w:p w14:paraId="5C1C0C08">
      <w:pPr>
        <w:spacing w:line="600" w:lineRule="exact"/>
        <w:ind w:firstLine="640"/>
        <w:outlineLvl w:val="1"/>
        <w:rPr>
          <w:rFonts w:hint="eastAsia" w:ascii="黑体" w:eastAsia="黑体"/>
          <w:sz w:val="32"/>
          <w:szCs w:val="32"/>
        </w:rPr>
      </w:pPr>
      <w:bookmarkStart w:id="53" w:name="_Toc15396609"/>
      <w:bookmarkStart w:id="54" w:name="_Toc15377215"/>
    </w:p>
    <w:p w14:paraId="0F3163ED">
      <w:pPr>
        <w:spacing w:line="600" w:lineRule="exact"/>
        <w:ind w:firstLine="640"/>
        <w:outlineLvl w:val="1"/>
        <w:rPr>
          <w:rStyle w:val="29"/>
          <w:rFonts w:ascii="黑体" w:hAnsi="黑体" w:eastAsia="黑体"/>
          <w:b w:val="0"/>
        </w:rPr>
      </w:pPr>
      <w:bookmarkStart w:id="55" w:name="_Toc23033"/>
      <w:r>
        <w:rPr>
          <w:rFonts w:hint="eastAsia" w:ascii="黑体" w:eastAsia="黑体"/>
          <w:sz w:val="32"/>
          <w:szCs w:val="32"/>
        </w:rPr>
        <w:t>七、</w:t>
      </w:r>
      <w:r>
        <w:rPr>
          <w:rStyle w:val="29"/>
          <w:rFonts w:hint="eastAsia" w:ascii="黑体" w:hAnsi="黑体" w:eastAsia="黑体"/>
          <w:b w:val="0"/>
        </w:rPr>
        <w:t>财政拨款</w:t>
      </w:r>
      <w:r>
        <w:rPr>
          <w:rStyle w:val="29"/>
          <w:rFonts w:hint="eastAsia" w:ascii="黑体" w:hAnsi="黑体" w:eastAsia="黑体"/>
        </w:rPr>
        <w:t>“</w:t>
      </w:r>
      <w:r>
        <w:rPr>
          <w:rStyle w:val="29"/>
          <w:rFonts w:hint="eastAsia" w:ascii="黑体" w:hAnsi="黑体" w:eastAsia="黑体"/>
          <w:b w:val="0"/>
        </w:rPr>
        <w:t>三公”经费支出决算情况说明</w:t>
      </w:r>
      <w:bookmarkEnd w:id="53"/>
      <w:bookmarkEnd w:id="54"/>
      <w:bookmarkEnd w:id="55"/>
    </w:p>
    <w:p w14:paraId="50338835">
      <w:pPr>
        <w:spacing w:line="600" w:lineRule="exact"/>
        <w:ind w:firstLine="640"/>
        <w:outlineLvl w:val="2"/>
        <w:rPr>
          <w:rFonts w:ascii="仿宋" w:hAnsi="仿宋" w:eastAsia="仿宋"/>
          <w:b/>
          <w:sz w:val="32"/>
          <w:szCs w:val="32"/>
        </w:rPr>
      </w:pPr>
      <w:bookmarkStart w:id="56" w:name="_Toc15377216"/>
      <w:bookmarkStart w:id="57" w:name="_Toc14435"/>
      <w:r>
        <w:rPr>
          <w:rFonts w:hint="eastAsia" w:ascii="仿宋" w:hAnsi="仿宋" w:eastAsia="仿宋"/>
          <w:b/>
          <w:sz w:val="32"/>
          <w:szCs w:val="32"/>
        </w:rPr>
        <w:t>（一）“三公”经费财政拨款支出决算总体情况说明</w:t>
      </w:r>
      <w:bookmarkEnd w:id="56"/>
      <w:bookmarkEnd w:id="57"/>
    </w:p>
    <w:p w14:paraId="4BF3CB14">
      <w:pPr>
        <w:spacing w:line="600" w:lineRule="exact"/>
        <w:ind w:firstLine="640"/>
        <w:rPr>
          <w:rFonts w:ascii="仿宋" w:hAnsi="仿宋" w:eastAsia="仿宋"/>
          <w:b/>
          <w:sz w:val="32"/>
          <w:szCs w:val="32"/>
        </w:rPr>
      </w:pPr>
      <w:r>
        <w:rPr>
          <w:rFonts w:hint="eastAsia" w:ascii="仿宋" w:hAnsi="仿宋" w:eastAsia="仿宋"/>
          <w:sz w:val="32"/>
          <w:szCs w:val="32"/>
        </w:rPr>
        <w:t>2023年度“三公”经费财政拨款支出决算为</w:t>
      </w:r>
      <w:r>
        <w:rPr>
          <w:rFonts w:ascii="仿宋" w:hAnsi="仿宋" w:eastAsia="仿宋"/>
          <w:b/>
          <w:sz w:val="32"/>
          <w:szCs w:val="32"/>
        </w:rPr>
        <w:t>0</w:t>
      </w:r>
      <w:r>
        <w:rPr>
          <w:rFonts w:hint="eastAsia" w:ascii="仿宋" w:hAnsi="仿宋" w:eastAsia="仿宋"/>
          <w:sz w:val="32"/>
          <w:szCs w:val="32"/>
        </w:rPr>
        <w:t>万元，完成预算</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，较上年度增加/减少</w:t>
      </w:r>
      <w:r>
        <w:rPr>
          <w:rFonts w:hint="eastAsia" w:ascii="仿宋" w:hAnsi="仿宋" w:eastAsia="仿宋"/>
          <w:sz w:val="32"/>
          <w:szCs w:val="32"/>
          <w:lang w:val="en-US" w:eastAsia="zh-CN"/>
        </w:rPr>
        <w:t>0</w:t>
      </w:r>
      <w:r>
        <w:rPr>
          <w:rFonts w:hint="eastAsia" w:ascii="仿宋" w:hAnsi="仿宋" w:eastAsia="仿宋"/>
          <w:sz w:val="32"/>
          <w:szCs w:val="32"/>
        </w:rPr>
        <w:t>万元，增长/下降</w:t>
      </w:r>
      <w:r>
        <w:rPr>
          <w:rFonts w:hint="eastAsia" w:ascii="仿宋" w:hAnsi="仿宋" w:eastAsia="仿宋"/>
          <w:sz w:val="32"/>
          <w:szCs w:val="32"/>
          <w:lang w:val="en-US" w:eastAsia="zh-CN"/>
        </w:rPr>
        <w:t>0</w:t>
      </w:r>
      <w:r>
        <w:rPr>
          <w:rFonts w:hint="eastAsia" w:ascii="仿宋" w:hAnsi="仿宋" w:eastAsia="仿宋"/>
          <w:sz w:val="32"/>
          <w:szCs w:val="32"/>
        </w:rPr>
        <w:t>%。主要原因是</w:t>
      </w:r>
      <w:r>
        <w:rPr>
          <w:rFonts w:hint="eastAsia" w:ascii="仿宋" w:hAnsi="仿宋" w:eastAsia="仿宋"/>
          <w:sz w:val="32"/>
          <w:szCs w:val="32"/>
          <w:lang w:eastAsia="zh-CN"/>
        </w:rPr>
        <w:t>单位不涉及三公经费支出</w:t>
      </w:r>
      <w:r>
        <w:rPr>
          <w:rFonts w:hint="eastAsia" w:ascii="仿宋" w:hAnsi="仿宋" w:eastAsia="仿宋"/>
          <w:sz w:val="32"/>
          <w:szCs w:val="32"/>
        </w:rPr>
        <w:t>。</w:t>
      </w:r>
    </w:p>
    <w:p w14:paraId="241F818A">
      <w:pPr>
        <w:spacing w:line="600" w:lineRule="exact"/>
        <w:ind w:firstLine="640"/>
        <w:outlineLvl w:val="2"/>
        <w:rPr>
          <w:rFonts w:ascii="仿宋" w:hAnsi="仿宋" w:eastAsia="仿宋"/>
          <w:b/>
          <w:sz w:val="32"/>
          <w:szCs w:val="32"/>
        </w:rPr>
      </w:pPr>
      <w:bookmarkStart w:id="58" w:name="_Toc27876"/>
      <w:bookmarkStart w:id="59" w:name="_Toc15377217"/>
      <w:r>
        <w:rPr>
          <w:rFonts w:hint="eastAsia" w:ascii="仿宋" w:hAnsi="仿宋" w:eastAsia="仿宋"/>
          <w:b/>
          <w:sz w:val="32"/>
          <w:szCs w:val="32"/>
        </w:rPr>
        <w:t>（二）“三公”经费财政拨款支出决算具体情况说明</w:t>
      </w:r>
      <w:bookmarkEnd w:id="58"/>
      <w:bookmarkEnd w:id="59"/>
    </w:p>
    <w:p w14:paraId="3EA8D829">
      <w:pPr>
        <w:spacing w:line="600" w:lineRule="exact"/>
        <w:ind w:firstLine="640"/>
        <w:rPr>
          <w:rFonts w:hint="eastAsia" w:ascii="仿宋" w:hAnsi="仿宋" w:eastAsia="仿宋"/>
          <w:sz w:val="32"/>
          <w:szCs w:val="32"/>
        </w:rPr>
      </w:pPr>
      <w:r>
        <w:rPr>
          <w:rFonts w:hint="eastAsia" w:ascii="仿宋" w:hAnsi="仿宋" w:eastAsia="仿宋"/>
          <w:sz w:val="32"/>
          <w:szCs w:val="32"/>
        </w:rPr>
        <w:t>2023年度“三公”经费财政拨款支出决算中，因公出国（境）费支出决算</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；公务用车购置及运行维护费支出决算</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；公务接待费支出决算</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。具体情况如下：</w:t>
      </w:r>
    </w:p>
    <w:p w14:paraId="734E3F57">
      <w:pPr>
        <w:pStyle w:val="2"/>
        <w:rPr>
          <w:rFonts w:hint="eastAsia"/>
        </w:rPr>
      </w:pPr>
    </w:p>
    <w:p w14:paraId="6C07ED74">
      <w:pPr>
        <w:pStyle w:val="2"/>
        <w:jc w:val="center"/>
        <w:rPr>
          <w:rFonts w:hint="eastAsia" w:ascii="仿宋" w:hAnsi="仿宋" w:eastAsia="仿宋"/>
          <w:sz w:val="32"/>
          <w:szCs w:val="32"/>
        </w:rPr>
      </w:pPr>
      <w:r>
        <w:drawing>
          <wp:inline distT="0" distB="0" distL="114300" distR="114300">
            <wp:extent cx="4572000" cy="2152015"/>
            <wp:effectExtent l="4445" t="4445" r="14605" b="15240"/>
            <wp:docPr id="8"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2A585514">
      <w:pPr>
        <w:spacing w:line="600" w:lineRule="exact"/>
        <w:ind w:firstLine="640"/>
        <w:rPr>
          <w:rFonts w:ascii="仿宋" w:hAnsi="仿宋" w:eastAsia="仿宋"/>
          <w:sz w:val="32"/>
          <w:szCs w:val="32"/>
        </w:rPr>
      </w:pPr>
      <w:r>
        <w:rPr>
          <w:rFonts w:hint="eastAsia" w:ascii="仿宋" w:hAnsi="仿宋" w:eastAsia="仿宋"/>
          <w:sz w:val="32"/>
          <w:szCs w:val="32"/>
        </w:rPr>
        <w:t>（图7：“三公”经费财政拨款支出结构）（饼状图）</w:t>
      </w:r>
    </w:p>
    <w:p w14:paraId="1926DF04">
      <w:pPr>
        <w:numPr>
          <w:ilvl w:val="0"/>
          <w:numId w:val="3"/>
        </w:numPr>
        <w:spacing w:line="600" w:lineRule="exact"/>
        <w:ind w:firstLine="640"/>
        <w:rPr>
          <w:rFonts w:hint="eastAsia" w:ascii="仿宋" w:hAnsi="仿宋" w:eastAsia="仿宋"/>
          <w:sz w:val="32"/>
          <w:szCs w:val="32"/>
        </w:rPr>
      </w:pPr>
      <w:bookmarkStart w:id="60" w:name="_Toc15377218"/>
      <w:bookmarkStart w:id="61" w:name="_Toc15396610"/>
      <w:r>
        <w:rPr>
          <w:rFonts w:hint="eastAsia" w:ascii="仿宋_GB2312" w:eastAsia="仿宋_GB2312"/>
          <w:b/>
          <w:sz w:val="32"/>
          <w:szCs w:val="32"/>
        </w:rPr>
        <w:t>因公出国（境）经费支出</w:t>
      </w:r>
      <w:r>
        <w:rPr>
          <w:rFonts w:ascii="仿宋" w:hAnsi="仿宋" w:eastAsia="仿宋"/>
          <w:b/>
          <w:sz w:val="32"/>
          <w:szCs w:val="32"/>
        </w:rPr>
        <w:t>0</w:t>
      </w:r>
      <w:r>
        <w:rPr>
          <w:rFonts w:hint="eastAsia" w:ascii="仿宋_GB2312" w:eastAsia="仿宋_GB2312"/>
          <w:sz w:val="32"/>
          <w:szCs w:val="32"/>
        </w:rPr>
        <w:t>万元，</w:t>
      </w:r>
      <w:r>
        <w:rPr>
          <w:rStyle w:val="17"/>
          <w:rFonts w:hint="eastAsia" w:ascii="仿宋" w:hAnsi="仿宋" w:eastAsia="仿宋"/>
          <w:b w:val="0"/>
          <w:bCs/>
          <w:sz w:val="32"/>
          <w:szCs w:val="32"/>
        </w:rPr>
        <w:t>完成预算</w:t>
      </w:r>
      <w:r>
        <w:rPr>
          <w:rStyle w:val="17"/>
          <w:rFonts w:ascii="仿宋" w:hAnsi="仿宋" w:eastAsia="仿宋"/>
          <w:bCs/>
          <w:sz w:val="32"/>
          <w:szCs w:val="32"/>
        </w:rPr>
        <w:t>0</w:t>
      </w:r>
      <w:r>
        <w:rPr>
          <w:rStyle w:val="17"/>
          <w:rFonts w:ascii="仿宋" w:hAnsi="仿宋" w:eastAsia="仿宋"/>
          <w:b w:val="0"/>
          <w:bCs/>
          <w:sz w:val="32"/>
          <w:szCs w:val="32"/>
        </w:rPr>
        <w:t>%</w:t>
      </w:r>
      <w:r>
        <w:rPr>
          <w:rStyle w:val="17"/>
          <w:rFonts w:hint="eastAsia" w:ascii="仿宋" w:hAnsi="仿宋" w:eastAsia="仿宋"/>
          <w:b w:val="0"/>
          <w:bCs/>
          <w:sz w:val="32"/>
          <w:szCs w:val="32"/>
        </w:rPr>
        <w:t>。</w:t>
      </w:r>
      <w:r>
        <w:rPr>
          <w:rFonts w:hint="eastAsia" w:ascii="仿宋_GB2312" w:eastAsia="仿宋_GB2312"/>
          <w:sz w:val="32"/>
          <w:szCs w:val="32"/>
        </w:rPr>
        <w:t>全年安排因公出国（境）团组</w:t>
      </w:r>
      <w:r>
        <w:rPr>
          <w:rFonts w:ascii="仿宋_GB2312" w:eastAsia="仿宋_GB2312"/>
          <w:b/>
          <w:sz w:val="32"/>
          <w:szCs w:val="32"/>
        </w:rPr>
        <w:t>0</w:t>
      </w:r>
      <w:r>
        <w:rPr>
          <w:rFonts w:hint="eastAsia" w:ascii="仿宋_GB2312" w:eastAsia="仿宋_GB2312"/>
          <w:sz w:val="32"/>
          <w:szCs w:val="32"/>
        </w:rPr>
        <w:t>次，出国（境）</w:t>
      </w:r>
      <w:r>
        <w:rPr>
          <w:rFonts w:ascii="仿宋_GB2312" w:eastAsia="仿宋_GB2312"/>
          <w:b/>
          <w:sz w:val="32"/>
          <w:szCs w:val="32"/>
        </w:rPr>
        <w:t>0</w:t>
      </w:r>
      <w:r>
        <w:rPr>
          <w:rFonts w:hint="eastAsia" w:ascii="仿宋_GB2312" w:eastAsia="仿宋_GB2312"/>
          <w:sz w:val="32"/>
          <w:szCs w:val="32"/>
        </w:rPr>
        <w:t>人。因公出国（境）支出决算比2022年增加</w:t>
      </w:r>
      <w:r>
        <w:rPr>
          <w:rFonts w:ascii="仿宋_GB2312" w:eastAsia="仿宋_GB2312"/>
          <w:sz w:val="32"/>
          <w:szCs w:val="32"/>
        </w:rPr>
        <w:t>/</w:t>
      </w:r>
      <w:r>
        <w:rPr>
          <w:rFonts w:hint="eastAsia" w:ascii="仿宋_GB2312" w:eastAsia="仿宋_GB2312"/>
          <w:sz w:val="32"/>
          <w:szCs w:val="32"/>
        </w:rPr>
        <w:t>减少</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ascii="仿宋_GB2312" w:eastAsia="仿宋_GB2312"/>
          <w:sz w:val="32"/>
          <w:szCs w:val="32"/>
        </w:rPr>
        <w:t>/</w:t>
      </w:r>
      <w:r>
        <w:rPr>
          <w:rFonts w:hint="eastAsia" w:ascii="仿宋_GB2312" w:eastAsia="仿宋_GB2312"/>
          <w:sz w:val="32"/>
          <w:szCs w:val="32"/>
        </w:rPr>
        <w:t>下降</w:t>
      </w:r>
      <w:r>
        <w:rPr>
          <w:rFonts w:hint="eastAsia" w:ascii="仿宋_GB2312" w:eastAsia="仿宋_GB2312"/>
          <w:sz w:val="32"/>
          <w:szCs w:val="32"/>
          <w:lang w:val="en-US" w:eastAsia="zh-CN"/>
        </w:rPr>
        <w:t>0</w:t>
      </w:r>
      <w:r>
        <w:rPr>
          <w:rFonts w:ascii="仿宋_GB2312" w:eastAsia="仿宋_GB2312"/>
          <w:sz w:val="32"/>
          <w:szCs w:val="32"/>
        </w:rPr>
        <w:t>%</w:t>
      </w:r>
      <w:r>
        <w:rPr>
          <w:rFonts w:hint="eastAsia" w:ascii="仿宋_GB2312" w:eastAsia="仿宋_GB2312"/>
          <w:sz w:val="32"/>
          <w:szCs w:val="32"/>
        </w:rPr>
        <w:t>。主要原因是</w:t>
      </w:r>
      <w:r>
        <w:rPr>
          <w:rFonts w:hint="eastAsia" w:ascii="仿宋" w:hAnsi="仿宋" w:eastAsia="仿宋"/>
          <w:sz w:val="32"/>
          <w:szCs w:val="32"/>
          <w:lang w:eastAsia="zh-CN"/>
        </w:rPr>
        <w:t>单位不涉及三公经费支出</w:t>
      </w:r>
      <w:r>
        <w:rPr>
          <w:rFonts w:hint="eastAsia" w:ascii="仿宋" w:hAnsi="仿宋" w:eastAsia="仿宋"/>
          <w:sz w:val="32"/>
          <w:szCs w:val="32"/>
        </w:rPr>
        <w:t>。</w:t>
      </w:r>
    </w:p>
    <w:p w14:paraId="13E88A9B">
      <w:pPr>
        <w:numPr>
          <w:ilvl w:val="0"/>
          <w:numId w:val="0"/>
        </w:numPr>
        <w:spacing w:line="600" w:lineRule="exact"/>
        <w:ind w:firstLine="643" w:firstLineChars="200"/>
        <w:rPr>
          <w:rFonts w:ascii="仿宋_GB2312" w:eastAsia="仿宋_GB2312"/>
          <w:b/>
          <w:sz w:val="32"/>
          <w:szCs w:val="32"/>
        </w:rPr>
      </w:pPr>
      <w:r>
        <w:rPr>
          <w:rFonts w:ascii="仿宋_GB2312" w:eastAsia="仿宋_GB2312"/>
          <w:b/>
          <w:sz w:val="32"/>
          <w:szCs w:val="32"/>
        </w:rPr>
        <w:t>2.</w:t>
      </w:r>
      <w:r>
        <w:rPr>
          <w:rFonts w:hint="eastAsia" w:ascii="仿宋_GB2312" w:eastAsia="仿宋_GB2312"/>
          <w:b/>
          <w:sz w:val="32"/>
          <w:szCs w:val="32"/>
        </w:rPr>
        <w:t>公务用车购置及运行维护费支出</w:t>
      </w:r>
      <w:r>
        <w:rPr>
          <w:rFonts w:ascii="仿宋" w:hAnsi="仿宋" w:eastAsia="仿宋"/>
          <w:b/>
          <w:sz w:val="32"/>
          <w:szCs w:val="32"/>
        </w:rPr>
        <w:t>0</w:t>
      </w:r>
      <w:r>
        <w:rPr>
          <w:rFonts w:hint="eastAsia" w:ascii="仿宋_GB2312" w:eastAsia="仿宋_GB2312"/>
          <w:sz w:val="32"/>
          <w:szCs w:val="32"/>
        </w:rPr>
        <w:t>万元</w:t>
      </w:r>
      <w:r>
        <w:rPr>
          <w:rFonts w:hint="eastAsia" w:ascii="仿宋_GB2312" w:eastAsia="仿宋_GB2312"/>
          <w:sz w:val="32"/>
          <w:szCs w:val="32"/>
          <w:lang w:eastAsia="zh-CN"/>
        </w:rPr>
        <w:t>，</w:t>
      </w:r>
      <w:r>
        <w:rPr>
          <w:rStyle w:val="17"/>
          <w:rFonts w:hint="eastAsia" w:ascii="仿宋" w:hAnsi="仿宋" w:eastAsia="仿宋"/>
          <w:b w:val="0"/>
          <w:bCs/>
          <w:sz w:val="32"/>
          <w:szCs w:val="32"/>
        </w:rPr>
        <w:t>完成预算</w:t>
      </w:r>
      <w:r>
        <w:rPr>
          <w:rStyle w:val="17"/>
          <w:rFonts w:ascii="仿宋" w:hAnsi="仿宋" w:eastAsia="仿宋"/>
          <w:bCs/>
          <w:sz w:val="32"/>
          <w:szCs w:val="32"/>
        </w:rPr>
        <w:t>0</w:t>
      </w:r>
      <w:r>
        <w:rPr>
          <w:rStyle w:val="17"/>
          <w:rFonts w:ascii="仿宋" w:hAnsi="仿宋" w:eastAsia="仿宋"/>
          <w:b w:val="0"/>
          <w:bCs/>
          <w:sz w:val="32"/>
          <w:szCs w:val="32"/>
        </w:rPr>
        <w:t>%</w:t>
      </w:r>
      <w:r>
        <w:rPr>
          <w:rStyle w:val="17"/>
          <w:rFonts w:hint="eastAsia" w:ascii="仿宋" w:hAnsi="仿宋" w:eastAsia="仿宋"/>
          <w:b w:val="0"/>
          <w:bCs/>
          <w:sz w:val="32"/>
          <w:szCs w:val="32"/>
        </w:rPr>
        <w:t>。</w:t>
      </w:r>
      <w:r>
        <w:rPr>
          <w:rFonts w:hint="eastAsia" w:ascii="仿宋_GB2312" w:eastAsia="仿宋_GB2312"/>
          <w:sz w:val="32"/>
          <w:szCs w:val="32"/>
        </w:rPr>
        <w:t>公务用车购置及运行维护费支出决算比2022年度增加</w:t>
      </w:r>
      <w:r>
        <w:rPr>
          <w:rFonts w:ascii="仿宋_GB2312" w:eastAsia="仿宋_GB2312"/>
          <w:sz w:val="32"/>
          <w:szCs w:val="32"/>
        </w:rPr>
        <w:t>/</w:t>
      </w:r>
      <w:r>
        <w:rPr>
          <w:rFonts w:hint="eastAsia" w:ascii="仿宋_GB2312" w:eastAsia="仿宋_GB2312"/>
          <w:sz w:val="32"/>
          <w:szCs w:val="32"/>
        </w:rPr>
        <w:t>减少</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ascii="仿宋_GB2312" w:eastAsia="仿宋_GB2312"/>
          <w:sz w:val="32"/>
          <w:szCs w:val="32"/>
        </w:rPr>
        <w:t>/</w:t>
      </w:r>
      <w:r>
        <w:rPr>
          <w:rFonts w:hint="eastAsia" w:ascii="仿宋_GB2312" w:eastAsia="仿宋_GB2312"/>
          <w:sz w:val="32"/>
          <w:szCs w:val="32"/>
        </w:rPr>
        <w:t>下降</w:t>
      </w:r>
      <w:r>
        <w:rPr>
          <w:rFonts w:hint="eastAsia" w:ascii="仿宋_GB2312" w:eastAsia="仿宋_GB2312"/>
          <w:sz w:val="32"/>
          <w:szCs w:val="32"/>
          <w:lang w:val="en-US" w:eastAsia="zh-CN"/>
        </w:rPr>
        <w:t>0</w:t>
      </w:r>
      <w:r>
        <w:rPr>
          <w:rFonts w:ascii="仿宋_GB2312" w:eastAsia="仿宋_GB2312"/>
          <w:sz w:val="32"/>
          <w:szCs w:val="32"/>
        </w:rPr>
        <w:t>%</w:t>
      </w:r>
      <w:r>
        <w:rPr>
          <w:rFonts w:hint="eastAsia" w:ascii="仿宋_GB2312" w:eastAsia="仿宋_GB2312"/>
          <w:sz w:val="32"/>
          <w:szCs w:val="32"/>
        </w:rPr>
        <w:t>。主要原因是</w:t>
      </w:r>
      <w:r>
        <w:rPr>
          <w:rFonts w:hint="eastAsia" w:ascii="仿宋" w:hAnsi="仿宋" w:eastAsia="仿宋"/>
          <w:sz w:val="32"/>
          <w:szCs w:val="32"/>
          <w:lang w:eastAsia="zh-CN"/>
        </w:rPr>
        <w:t>单位不涉及三公经费支出</w:t>
      </w:r>
      <w:r>
        <w:rPr>
          <w:rFonts w:hint="eastAsia" w:ascii="仿宋" w:hAnsi="仿宋" w:eastAsia="仿宋"/>
          <w:sz w:val="32"/>
          <w:szCs w:val="32"/>
        </w:rPr>
        <w:t>。</w:t>
      </w:r>
    </w:p>
    <w:p w14:paraId="460D9136">
      <w:pPr>
        <w:spacing w:line="600" w:lineRule="exact"/>
        <w:ind w:firstLine="640" w:firstLineChars="200"/>
        <w:rPr>
          <w:rFonts w:ascii="仿宋_GB2312" w:eastAsia="仿宋_GB2312"/>
          <w:b/>
          <w:sz w:val="32"/>
          <w:szCs w:val="32"/>
        </w:rPr>
      </w:pPr>
      <w:r>
        <w:rPr>
          <w:rFonts w:hint="eastAsia" w:ascii="仿宋_GB2312" w:eastAsia="仿宋_GB2312"/>
          <w:sz w:val="32"/>
          <w:szCs w:val="32"/>
        </w:rPr>
        <w:t>其中：</w:t>
      </w:r>
      <w:r>
        <w:rPr>
          <w:rFonts w:hint="eastAsia" w:ascii="仿宋_GB2312" w:eastAsia="仿宋_GB2312"/>
          <w:b/>
          <w:sz w:val="32"/>
          <w:szCs w:val="32"/>
        </w:rPr>
        <w:t>公务用车购置支出</w:t>
      </w:r>
      <w:r>
        <w:rPr>
          <w:rFonts w:ascii="仿宋" w:hAnsi="仿宋" w:eastAsia="仿宋"/>
          <w:b/>
          <w:sz w:val="32"/>
          <w:szCs w:val="32"/>
        </w:rPr>
        <w:t>0</w:t>
      </w:r>
      <w:r>
        <w:rPr>
          <w:rFonts w:hint="eastAsia" w:ascii="仿宋_GB2312" w:eastAsia="仿宋_GB2312"/>
          <w:sz w:val="32"/>
          <w:szCs w:val="32"/>
        </w:rPr>
        <w:t>万元。全年按规定更新购置公务用车</w:t>
      </w:r>
      <w:r>
        <w:rPr>
          <w:rFonts w:hint="eastAsia" w:ascii="仿宋_GB2312" w:eastAsia="仿宋_GB2312"/>
          <w:sz w:val="32"/>
          <w:szCs w:val="32"/>
          <w:lang w:val="en-US" w:eastAsia="zh-CN"/>
        </w:rPr>
        <w:t>0</w:t>
      </w:r>
      <w:r>
        <w:rPr>
          <w:rFonts w:hint="eastAsia" w:ascii="仿宋_GB2312" w:eastAsia="仿宋_GB2312"/>
          <w:sz w:val="32"/>
          <w:szCs w:val="32"/>
        </w:rPr>
        <w:t>辆，其中：轿车</w:t>
      </w:r>
      <w:r>
        <w:rPr>
          <w:rFonts w:hint="eastAsia" w:ascii="仿宋_GB2312" w:eastAsia="仿宋_GB2312"/>
          <w:sz w:val="32"/>
          <w:szCs w:val="32"/>
          <w:lang w:val="en-US" w:eastAsia="zh-CN"/>
        </w:rPr>
        <w:t>0</w:t>
      </w:r>
      <w:r>
        <w:rPr>
          <w:rFonts w:hint="eastAsia" w:ascii="仿宋_GB2312" w:eastAsia="仿宋_GB2312"/>
          <w:sz w:val="32"/>
          <w:szCs w:val="32"/>
        </w:rPr>
        <w:t>辆、金额</w:t>
      </w:r>
      <w:r>
        <w:rPr>
          <w:rFonts w:hint="eastAsia" w:ascii="仿宋_GB2312" w:eastAsia="仿宋_GB2312"/>
          <w:sz w:val="32"/>
          <w:szCs w:val="32"/>
          <w:lang w:val="en-US" w:eastAsia="zh-CN"/>
        </w:rPr>
        <w:t>0</w:t>
      </w:r>
      <w:r>
        <w:rPr>
          <w:rFonts w:hint="eastAsia" w:ascii="仿宋_GB2312" w:eastAsia="仿宋_GB2312"/>
          <w:sz w:val="32"/>
          <w:szCs w:val="32"/>
        </w:rPr>
        <w:t>万元，越野车</w:t>
      </w:r>
      <w:r>
        <w:rPr>
          <w:rFonts w:hint="eastAsia" w:ascii="仿宋_GB2312" w:eastAsia="仿宋_GB2312"/>
          <w:sz w:val="32"/>
          <w:szCs w:val="32"/>
          <w:lang w:val="en-US" w:eastAsia="zh-CN"/>
        </w:rPr>
        <w:t>0</w:t>
      </w:r>
      <w:r>
        <w:rPr>
          <w:rFonts w:hint="eastAsia" w:ascii="仿宋_GB2312" w:eastAsia="仿宋_GB2312"/>
          <w:sz w:val="32"/>
          <w:szCs w:val="32"/>
        </w:rPr>
        <w:t>辆、金额</w:t>
      </w:r>
      <w:r>
        <w:rPr>
          <w:rFonts w:hint="eastAsia" w:ascii="仿宋_GB2312" w:eastAsia="仿宋_GB2312"/>
          <w:sz w:val="32"/>
          <w:szCs w:val="32"/>
          <w:lang w:val="en-US" w:eastAsia="zh-CN"/>
        </w:rPr>
        <w:t>0</w:t>
      </w:r>
      <w:r>
        <w:rPr>
          <w:rFonts w:hint="eastAsia" w:ascii="仿宋_GB2312" w:eastAsia="仿宋_GB2312"/>
          <w:sz w:val="32"/>
          <w:szCs w:val="32"/>
        </w:rPr>
        <w:t>万元，载客汽车</w:t>
      </w:r>
      <w:r>
        <w:rPr>
          <w:rFonts w:hint="eastAsia" w:ascii="仿宋_GB2312" w:eastAsia="仿宋_GB2312"/>
          <w:sz w:val="32"/>
          <w:szCs w:val="32"/>
          <w:lang w:val="en-US" w:eastAsia="zh-CN"/>
        </w:rPr>
        <w:t>0</w:t>
      </w:r>
      <w:r>
        <w:rPr>
          <w:rFonts w:hint="eastAsia" w:ascii="仿宋_GB2312" w:eastAsia="仿宋_GB2312"/>
          <w:sz w:val="32"/>
          <w:szCs w:val="32"/>
        </w:rPr>
        <w:t>辆、金额</w:t>
      </w:r>
      <w:r>
        <w:rPr>
          <w:rFonts w:hint="eastAsia" w:ascii="仿宋_GB2312" w:eastAsia="仿宋_GB2312"/>
          <w:sz w:val="32"/>
          <w:szCs w:val="32"/>
          <w:lang w:val="en-US" w:eastAsia="zh-CN"/>
        </w:rPr>
        <w:t>0</w:t>
      </w:r>
      <w:r>
        <w:rPr>
          <w:rFonts w:hint="eastAsia" w:ascii="仿宋_GB2312" w:eastAsia="仿宋_GB2312"/>
          <w:sz w:val="32"/>
          <w:szCs w:val="32"/>
        </w:rPr>
        <w:t>万元。截至2023年</w:t>
      </w:r>
      <w:r>
        <w:rPr>
          <w:rFonts w:ascii="仿宋_GB2312" w:eastAsia="仿宋_GB2312"/>
          <w:sz w:val="32"/>
          <w:szCs w:val="32"/>
        </w:rPr>
        <w:t>12</w:t>
      </w:r>
      <w:r>
        <w:rPr>
          <w:rFonts w:hint="eastAsia" w:ascii="仿宋_GB2312" w:eastAsia="仿宋_GB2312"/>
          <w:sz w:val="32"/>
          <w:szCs w:val="32"/>
        </w:rPr>
        <w:t>月31日，单位共有公务用车</w:t>
      </w:r>
      <w:r>
        <w:rPr>
          <w:rFonts w:hint="eastAsia" w:ascii="仿宋_GB2312" w:eastAsia="仿宋_GB2312"/>
          <w:sz w:val="32"/>
          <w:szCs w:val="32"/>
          <w:lang w:val="en-US" w:eastAsia="zh-CN"/>
        </w:rPr>
        <w:t>0</w:t>
      </w:r>
      <w:r>
        <w:rPr>
          <w:rFonts w:hint="eastAsia" w:ascii="仿宋_GB2312" w:eastAsia="仿宋_GB2312"/>
          <w:sz w:val="32"/>
          <w:szCs w:val="32"/>
        </w:rPr>
        <w:t>辆，其中：轿车</w:t>
      </w:r>
      <w:r>
        <w:rPr>
          <w:rFonts w:hint="eastAsia" w:ascii="仿宋_GB2312" w:eastAsia="仿宋_GB2312"/>
          <w:sz w:val="32"/>
          <w:szCs w:val="32"/>
          <w:lang w:val="en-US" w:eastAsia="zh-CN"/>
        </w:rPr>
        <w:t>0</w:t>
      </w:r>
      <w:r>
        <w:rPr>
          <w:rFonts w:hint="eastAsia" w:ascii="仿宋_GB2312" w:eastAsia="仿宋_GB2312"/>
          <w:sz w:val="32"/>
          <w:szCs w:val="32"/>
        </w:rPr>
        <w:t>辆、越野车</w:t>
      </w:r>
      <w:r>
        <w:rPr>
          <w:rFonts w:hint="eastAsia" w:ascii="仿宋_GB2312" w:eastAsia="仿宋_GB2312"/>
          <w:sz w:val="32"/>
          <w:szCs w:val="32"/>
          <w:lang w:val="en-US" w:eastAsia="zh-CN"/>
        </w:rPr>
        <w:t>0</w:t>
      </w:r>
      <w:r>
        <w:rPr>
          <w:rFonts w:hint="eastAsia" w:ascii="仿宋_GB2312" w:eastAsia="仿宋_GB2312"/>
          <w:sz w:val="32"/>
          <w:szCs w:val="32"/>
        </w:rPr>
        <w:t>辆、载客汽车</w:t>
      </w:r>
      <w:r>
        <w:rPr>
          <w:rFonts w:hint="eastAsia" w:ascii="仿宋_GB2312" w:eastAsia="仿宋_GB2312"/>
          <w:sz w:val="32"/>
          <w:szCs w:val="32"/>
          <w:lang w:val="en-US" w:eastAsia="zh-CN"/>
        </w:rPr>
        <w:t>0</w:t>
      </w:r>
      <w:r>
        <w:rPr>
          <w:rFonts w:hint="eastAsia" w:ascii="仿宋_GB2312" w:eastAsia="仿宋_GB2312"/>
          <w:sz w:val="32"/>
          <w:szCs w:val="32"/>
        </w:rPr>
        <w:t>辆。</w:t>
      </w:r>
    </w:p>
    <w:p w14:paraId="32421AA8">
      <w:pPr>
        <w:spacing w:line="600" w:lineRule="exact"/>
        <w:ind w:firstLine="640"/>
        <w:rPr>
          <w:rFonts w:hint="eastAsia" w:ascii="仿宋_GB2312" w:eastAsia="仿宋_GB2312"/>
          <w:sz w:val="32"/>
          <w:szCs w:val="32"/>
        </w:rPr>
      </w:pPr>
      <w:r>
        <w:rPr>
          <w:rFonts w:hint="eastAsia" w:ascii="仿宋_GB2312" w:eastAsia="仿宋_GB2312"/>
          <w:b/>
          <w:sz w:val="32"/>
          <w:szCs w:val="32"/>
        </w:rPr>
        <w:t>公务用车运行维护费支出</w:t>
      </w:r>
      <w:r>
        <w:rPr>
          <w:rFonts w:ascii="仿宋" w:hAnsi="仿宋" w:eastAsia="仿宋"/>
          <w:b/>
          <w:sz w:val="32"/>
          <w:szCs w:val="32"/>
        </w:rPr>
        <w:t>0</w:t>
      </w:r>
      <w:r>
        <w:rPr>
          <w:rFonts w:hint="eastAsia" w:ascii="仿宋_GB2312" w:eastAsia="仿宋_GB2312"/>
          <w:sz w:val="32"/>
          <w:szCs w:val="32"/>
        </w:rPr>
        <w:t>万元。</w:t>
      </w:r>
    </w:p>
    <w:p w14:paraId="4DBA3AB3">
      <w:pPr>
        <w:spacing w:line="600" w:lineRule="exact"/>
        <w:ind w:firstLine="640"/>
        <w:rPr>
          <w:rFonts w:ascii="仿宋_GB2312" w:eastAsia="仿宋_GB2312"/>
          <w:sz w:val="32"/>
          <w:szCs w:val="32"/>
        </w:rPr>
      </w:pPr>
      <w:r>
        <w:rPr>
          <w:rFonts w:ascii="仿宋_GB2312" w:eastAsia="仿宋_GB2312"/>
          <w:b/>
          <w:sz w:val="32"/>
          <w:szCs w:val="32"/>
        </w:rPr>
        <w:t>3.</w:t>
      </w:r>
      <w:r>
        <w:rPr>
          <w:rFonts w:hint="eastAsia" w:ascii="仿宋_GB2312" w:eastAsia="仿宋_GB2312"/>
          <w:b/>
          <w:sz w:val="32"/>
          <w:szCs w:val="32"/>
        </w:rPr>
        <w:t>公务接待费支出</w:t>
      </w:r>
      <w:r>
        <w:rPr>
          <w:rFonts w:ascii="仿宋" w:hAnsi="仿宋" w:eastAsia="仿宋"/>
          <w:b/>
          <w:sz w:val="32"/>
          <w:szCs w:val="32"/>
        </w:rPr>
        <w:t>0</w:t>
      </w:r>
      <w:r>
        <w:rPr>
          <w:rFonts w:hint="eastAsia" w:ascii="仿宋_GB2312" w:eastAsia="仿宋_GB2312"/>
          <w:sz w:val="32"/>
          <w:szCs w:val="32"/>
        </w:rPr>
        <w:t>万元，</w:t>
      </w:r>
      <w:r>
        <w:rPr>
          <w:rStyle w:val="17"/>
          <w:rFonts w:hint="eastAsia" w:ascii="仿宋" w:hAnsi="仿宋" w:eastAsia="仿宋"/>
          <w:b w:val="0"/>
          <w:bCs/>
          <w:sz w:val="32"/>
          <w:szCs w:val="32"/>
        </w:rPr>
        <w:t>完成预算</w:t>
      </w:r>
      <w:r>
        <w:rPr>
          <w:rStyle w:val="17"/>
          <w:rFonts w:ascii="仿宋" w:hAnsi="仿宋" w:eastAsia="仿宋"/>
          <w:b w:val="0"/>
          <w:bCs/>
          <w:sz w:val="32"/>
          <w:szCs w:val="32"/>
        </w:rPr>
        <w:t>0%</w:t>
      </w:r>
      <w:r>
        <w:rPr>
          <w:rStyle w:val="17"/>
          <w:rFonts w:hint="eastAsia" w:ascii="仿宋" w:hAnsi="仿宋" w:eastAsia="仿宋"/>
          <w:b w:val="0"/>
          <w:bCs/>
          <w:sz w:val="32"/>
          <w:szCs w:val="32"/>
        </w:rPr>
        <w:t>。</w:t>
      </w:r>
      <w:r>
        <w:rPr>
          <w:rFonts w:hint="eastAsia" w:ascii="仿宋_GB2312" w:eastAsia="仿宋_GB2312"/>
          <w:sz w:val="32"/>
          <w:szCs w:val="32"/>
        </w:rPr>
        <w:t>公务接待费支出决算比2022年度增加</w:t>
      </w:r>
      <w:r>
        <w:rPr>
          <w:rFonts w:ascii="仿宋_GB2312" w:eastAsia="仿宋_GB2312"/>
          <w:sz w:val="32"/>
          <w:szCs w:val="32"/>
        </w:rPr>
        <w:t>/</w:t>
      </w:r>
      <w:r>
        <w:rPr>
          <w:rFonts w:hint="eastAsia" w:ascii="仿宋_GB2312" w:eastAsia="仿宋_GB2312"/>
          <w:sz w:val="32"/>
          <w:szCs w:val="32"/>
        </w:rPr>
        <w:t>减少</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ascii="仿宋_GB2312" w:eastAsia="仿宋_GB2312"/>
          <w:sz w:val="32"/>
          <w:szCs w:val="32"/>
        </w:rPr>
        <w:t>/</w:t>
      </w:r>
      <w:r>
        <w:rPr>
          <w:rFonts w:hint="eastAsia" w:ascii="仿宋_GB2312" w:eastAsia="仿宋_GB2312"/>
          <w:sz w:val="32"/>
          <w:szCs w:val="32"/>
        </w:rPr>
        <w:t>下降</w:t>
      </w:r>
      <w:r>
        <w:rPr>
          <w:rFonts w:hint="eastAsia" w:ascii="仿宋_GB2312" w:eastAsia="仿宋_GB2312"/>
          <w:sz w:val="32"/>
          <w:szCs w:val="32"/>
          <w:lang w:val="en-US" w:eastAsia="zh-CN"/>
        </w:rPr>
        <w:t>0</w:t>
      </w:r>
      <w:r>
        <w:rPr>
          <w:rFonts w:ascii="仿宋_GB2312" w:eastAsia="仿宋_GB2312"/>
          <w:sz w:val="32"/>
          <w:szCs w:val="32"/>
        </w:rPr>
        <w:t>%</w:t>
      </w:r>
      <w:r>
        <w:rPr>
          <w:rFonts w:hint="eastAsia" w:ascii="仿宋_GB2312" w:eastAsia="仿宋_GB2312"/>
          <w:sz w:val="32"/>
          <w:szCs w:val="32"/>
        </w:rPr>
        <w:t>。主要原因是</w:t>
      </w:r>
      <w:r>
        <w:rPr>
          <w:rFonts w:hint="eastAsia" w:ascii="仿宋" w:hAnsi="仿宋" w:eastAsia="仿宋"/>
          <w:sz w:val="32"/>
          <w:szCs w:val="32"/>
          <w:lang w:eastAsia="zh-CN"/>
        </w:rPr>
        <w:t>单位不涉及三公经费支出</w:t>
      </w:r>
      <w:r>
        <w:rPr>
          <w:rFonts w:hint="eastAsia" w:ascii="仿宋" w:hAnsi="仿宋" w:eastAsia="仿宋"/>
          <w:sz w:val="32"/>
          <w:szCs w:val="32"/>
        </w:rPr>
        <w:t>。</w:t>
      </w:r>
    </w:p>
    <w:p w14:paraId="59644155">
      <w:pPr>
        <w:spacing w:line="600" w:lineRule="exact"/>
        <w:ind w:firstLine="640"/>
        <w:outlineLvl w:val="1"/>
        <w:rPr>
          <w:rFonts w:ascii="黑体" w:eastAsia="黑体"/>
          <w:sz w:val="32"/>
          <w:szCs w:val="32"/>
        </w:rPr>
      </w:pPr>
    </w:p>
    <w:p w14:paraId="0B5DC0C9">
      <w:pPr>
        <w:spacing w:line="600" w:lineRule="exact"/>
        <w:ind w:firstLine="640"/>
        <w:outlineLvl w:val="1"/>
        <w:rPr>
          <w:rStyle w:val="29"/>
          <w:rFonts w:ascii="黑体" w:hAnsi="黑体" w:eastAsia="黑体"/>
        </w:rPr>
      </w:pPr>
      <w:bookmarkStart w:id="62" w:name="_Toc25240"/>
      <w:r>
        <w:rPr>
          <w:rFonts w:hint="eastAsia" w:ascii="黑体" w:eastAsia="黑体"/>
          <w:sz w:val="32"/>
          <w:szCs w:val="32"/>
        </w:rPr>
        <w:t>八、</w:t>
      </w:r>
      <w:r>
        <w:rPr>
          <w:rStyle w:val="29"/>
          <w:rFonts w:hint="eastAsia" w:ascii="黑体" w:hAnsi="黑体" w:eastAsia="黑体"/>
          <w:b w:val="0"/>
        </w:rPr>
        <w:t>政府性基金预算支出决算情况说明</w:t>
      </w:r>
      <w:bookmarkEnd w:id="60"/>
      <w:bookmarkEnd w:id="61"/>
      <w:bookmarkEnd w:id="62"/>
    </w:p>
    <w:p w14:paraId="1760E340">
      <w:pPr>
        <w:spacing w:line="600" w:lineRule="exact"/>
        <w:ind w:firstLine="640"/>
        <w:rPr>
          <w:rFonts w:ascii="仿宋_GB2312" w:eastAsia="仿宋_GB2312"/>
          <w:sz w:val="32"/>
          <w:szCs w:val="32"/>
        </w:rPr>
      </w:pPr>
      <w:r>
        <w:rPr>
          <w:rFonts w:hint="eastAsia" w:ascii="仿宋_GB2312" w:eastAsia="仿宋_GB2312"/>
          <w:sz w:val="32"/>
          <w:szCs w:val="32"/>
        </w:rPr>
        <w:t>2023年度政府性基金预算财政拨款支出</w:t>
      </w:r>
      <w:r>
        <w:rPr>
          <w:rFonts w:ascii="仿宋" w:hAnsi="仿宋" w:eastAsia="仿宋"/>
          <w:b/>
          <w:sz w:val="32"/>
          <w:szCs w:val="32"/>
        </w:rPr>
        <w:t>0</w:t>
      </w:r>
      <w:r>
        <w:rPr>
          <w:rFonts w:hint="eastAsia" w:ascii="仿宋_GB2312" w:eastAsia="仿宋_GB2312"/>
          <w:sz w:val="32"/>
          <w:szCs w:val="32"/>
        </w:rPr>
        <w:t>万元。</w:t>
      </w:r>
    </w:p>
    <w:p w14:paraId="4F0E67C0">
      <w:pPr>
        <w:spacing w:line="600" w:lineRule="exact"/>
        <w:ind w:firstLine="640"/>
        <w:rPr>
          <w:rFonts w:ascii="仿宋_GB2312" w:eastAsia="仿宋_GB2312"/>
          <w:sz w:val="32"/>
          <w:szCs w:val="32"/>
        </w:rPr>
      </w:pPr>
    </w:p>
    <w:p w14:paraId="278CC49F">
      <w:pPr>
        <w:numPr>
          <w:ilvl w:val="0"/>
          <w:numId w:val="4"/>
        </w:numPr>
        <w:spacing w:line="600" w:lineRule="exact"/>
        <w:ind w:firstLine="640"/>
        <w:outlineLvl w:val="1"/>
        <w:rPr>
          <w:rStyle w:val="29"/>
          <w:rFonts w:ascii="黑体" w:hAnsi="黑体" w:eastAsia="黑体"/>
          <w:b w:val="0"/>
        </w:rPr>
      </w:pPr>
      <w:bookmarkStart w:id="63" w:name="_Toc15377219"/>
      <w:bookmarkStart w:id="64" w:name="_Toc135"/>
      <w:bookmarkStart w:id="65" w:name="_Toc15396611"/>
      <w:r>
        <w:rPr>
          <w:rStyle w:val="29"/>
          <w:rFonts w:hint="eastAsia" w:ascii="黑体" w:hAnsi="黑体" w:eastAsia="黑体"/>
          <w:b w:val="0"/>
        </w:rPr>
        <w:t>国有资本经营预算支出决算情况说明</w:t>
      </w:r>
      <w:bookmarkEnd w:id="63"/>
      <w:bookmarkEnd w:id="64"/>
      <w:bookmarkEnd w:id="65"/>
    </w:p>
    <w:p w14:paraId="352F04BF">
      <w:pPr>
        <w:spacing w:line="600" w:lineRule="exact"/>
        <w:ind w:firstLine="640"/>
        <w:rPr>
          <w:rFonts w:ascii="仿宋_GB2312" w:eastAsia="仿宋_GB2312"/>
          <w:sz w:val="32"/>
          <w:szCs w:val="32"/>
        </w:rPr>
      </w:pPr>
      <w:r>
        <w:rPr>
          <w:rFonts w:hint="eastAsia" w:ascii="仿宋_GB2312" w:eastAsia="仿宋_GB2312"/>
          <w:sz w:val="32"/>
          <w:szCs w:val="32"/>
        </w:rPr>
        <w:t>2023年度国有资本经营预算财政拨款支出</w:t>
      </w:r>
      <w:r>
        <w:rPr>
          <w:rFonts w:ascii="仿宋" w:hAnsi="仿宋" w:eastAsia="仿宋"/>
          <w:b/>
          <w:sz w:val="32"/>
          <w:szCs w:val="32"/>
        </w:rPr>
        <w:t>0</w:t>
      </w:r>
      <w:r>
        <w:rPr>
          <w:rFonts w:hint="eastAsia" w:ascii="仿宋_GB2312" w:eastAsia="仿宋_GB2312"/>
          <w:sz w:val="32"/>
          <w:szCs w:val="32"/>
        </w:rPr>
        <w:t>万元。</w:t>
      </w:r>
    </w:p>
    <w:p w14:paraId="2DC10E1A">
      <w:pPr>
        <w:spacing w:line="580" w:lineRule="exact"/>
        <w:jc w:val="center"/>
        <w:rPr>
          <w:rFonts w:ascii="方正小标宋简体" w:hAnsi="方正小标宋简体" w:eastAsia="方正小标宋简体" w:cs="方正小标宋简体"/>
          <w:sz w:val="44"/>
          <w:szCs w:val="44"/>
        </w:rPr>
      </w:pPr>
    </w:p>
    <w:p w14:paraId="77534890">
      <w:pPr>
        <w:numPr>
          <w:ilvl w:val="0"/>
          <w:numId w:val="4"/>
        </w:numPr>
        <w:spacing w:line="600" w:lineRule="exact"/>
        <w:ind w:firstLine="640"/>
        <w:outlineLvl w:val="1"/>
        <w:rPr>
          <w:rStyle w:val="29"/>
          <w:rFonts w:ascii="黑体" w:hAnsi="黑体" w:eastAsia="黑体"/>
          <w:b w:val="0"/>
        </w:rPr>
      </w:pPr>
      <w:bookmarkStart w:id="66" w:name="_Toc15377221"/>
      <w:bookmarkStart w:id="67" w:name="_Toc15396612"/>
      <w:bookmarkStart w:id="68" w:name="_Toc16259"/>
      <w:r>
        <w:rPr>
          <w:rStyle w:val="29"/>
          <w:rFonts w:hint="eastAsia" w:ascii="黑体" w:hAnsi="黑体" w:eastAsia="黑体"/>
          <w:b w:val="0"/>
        </w:rPr>
        <w:t>其他重要事项的情况说明</w:t>
      </w:r>
      <w:bookmarkEnd w:id="66"/>
      <w:bookmarkEnd w:id="67"/>
      <w:bookmarkEnd w:id="68"/>
    </w:p>
    <w:p w14:paraId="44861CF9">
      <w:pPr>
        <w:spacing w:line="600" w:lineRule="exact"/>
        <w:ind w:firstLine="643" w:firstLineChars="200"/>
        <w:outlineLvl w:val="2"/>
        <w:rPr>
          <w:rFonts w:ascii="仿宋" w:hAnsi="仿宋" w:eastAsia="仿宋"/>
          <w:sz w:val="32"/>
          <w:szCs w:val="32"/>
        </w:rPr>
      </w:pPr>
      <w:bookmarkStart w:id="69" w:name="_Toc13921"/>
      <w:bookmarkStart w:id="70" w:name="_Toc15377222"/>
      <w:r>
        <w:rPr>
          <w:rFonts w:hint="eastAsia" w:ascii="仿宋" w:hAnsi="仿宋" w:eastAsia="仿宋"/>
          <w:b/>
          <w:sz w:val="32"/>
          <w:szCs w:val="32"/>
        </w:rPr>
        <w:t>（一）机关运行经费支出情况</w:t>
      </w:r>
      <w:bookmarkEnd w:id="69"/>
      <w:bookmarkEnd w:id="70"/>
    </w:p>
    <w:p w14:paraId="450D828A">
      <w:pPr>
        <w:spacing w:line="600" w:lineRule="exact"/>
        <w:ind w:firstLine="640" w:firstLineChars="200"/>
        <w:rPr>
          <w:rFonts w:ascii="仿宋_GB2312" w:eastAsia="仿宋_GB2312"/>
          <w:sz w:val="32"/>
          <w:szCs w:val="32"/>
        </w:rPr>
      </w:pPr>
      <w:r>
        <w:rPr>
          <w:rFonts w:hint="eastAsia" w:ascii="仿宋_GB2312" w:eastAsia="仿宋_GB2312"/>
          <w:sz w:val="32"/>
          <w:szCs w:val="32"/>
        </w:rPr>
        <w:t>2023年度，</w:t>
      </w:r>
      <w:r>
        <w:rPr>
          <w:rFonts w:ascii="仿宋_GB2312" w:eastAsia="仿宋_GB2312"/>
          <w:b/>
          <w:sz w:val="32"/>
          <w:szCs w:val="32"/>
        </w:rPr>
        <w:t>阿坝州松潘县下八寨乡卫生院</w:t>
      </w:r>
      <w:r>
        <w:rPr>
          <w:rFonts w:hint="eastAsia" w:ascii="仿宋_GB2312" w:eastAsia="仿宋_GB2312"/>
          <w:sz w:val="32"/>
          <w:szCs w:val="32"/>
        </w:rPr>
        <w:t>机关运行经费支出</w:t>
      </w:r>
      <w:r>
        <w:rPr>
          <w:rFonts w:ascii="仿宋" w:hAnsi="仿宋" w:eastAsia="仿宋"/>
          <w:b/>
          <w:sz w:val="32"/>
          <w:szCs w:val="32"/>
        </w:rPr>
        <w:t>0</w:t>
      </w:r>
      <w:r>
        <w:rPr>
          <w:rFonts w:hint="eastAsia" w:ascii="仿宋_GB2312" w:eastAsia="仿宋_GB2312"/>
          <w:sz w:val="32"/>
          <w:szCs w:val="32"/>
        </w:rPr>
        <w:t>万元，比2022年度增加</w:t>
      </w:r>
      <w:r>
        <w:rPr>
          <w:rFonts w:ascii="仿宋_GB2312" w:eastAsia="仿宋_GB2312"/>
          <w:sz w:val="32"/>
          <w:szCs w:val="32"/>
        </w:rPr>
        <w:t>/</w:t>
      </w:r>
      <w:r>
        <w:rPr>
          <w:rFonts w:hint="eastAsia" w:ascii="仿宋_GB2312" w:eastAsia="仿宋_GB2312"/>
          <w:sz w:val="32"/>
          <w:szCs w:val="32"/>
        </w:rPr>
        <w:t>减少</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ascii="仿宋_GB2312" w:eastAsia="仿宋_GB2312"/>
          <w:sz w:val="32"/>
          <w:szCs w:val="32"/>
        </w:rPr>
        <w:t>/</w:t>
      </w:r>
      <w:r>
        <w:rPr>
          <w:rFonts w:hint="eastAsia" w:ascii="仿宋_GB2312" w:eastAsia="仿宋_GB2312"/>
          <w:sz w:val="32"/>
          <w:szCs w:val="32"/>
        </w:rPr>
        <w:t>下降</w:t>
      </w:r>
      <w:r>
        <w:rPr>
          <w:rFonts w:hint="eastAsia" w:ascii="仿宋_GB2312" w:eastAsia="仿宋_GB2312"/>
          <w:sz w:val="32"/>
          <w:szCs w:val="32"/>
          <w:lang w:val="en-US" w:eastAsia="zh-CN"/>
        </w:rPr>
        <w:t>0</w:t>
      </w:r>
      <w:r>
        <w:rPr>
          <w:rFonts w:ascii="仿宋_GB2312" w:eastAsia="仿宋_GB2312"/>
          <w:sz w:val="32"/>
          <w:szCs w:val="32"/>
        </w:rPr>
        <w:t>%</w:t>
      </w:r>
      <w:r>
        <w:rPr>
          <w:rFonts w:hint="eastAsia" w:ascii="仿宋_GB2312" w:eastAsia="仿宋_GB2312"/>
          <w:sz w:val="32"/>
          <w:szCs w:val="32"/>
        </w:rPr>
        <w:t>。主要原因是</w:t>
      </w:r>
      <w:r>
        <w:rPr>
          <w:rFonts w:hint="eastAsia" w:ascii="仿宋_GB2312" w:eastAsia="仿宋_GB2312"/>
          <w:sz w:val="32"/>
          <w:szCs w:val="32"/>
          <w:lang w:eastAsia="zh-CN"/>
        </w:rPr>
        <w:t>单位不涉及机关运行经费支出</w:t>
      </w:r>
      <w:r>
        <w:rPr>
          <w:rFonts w:hint="eastAsia" w:ascii="仿宋_GB2312" w:eastAsia="仿宋_GB2312"/>
          <w:sz w:val="32"/>
          <w:szCs w:val="32"/>
        </w:rPr>
        <w:t>。</w:t>
      </w:r>
    </w:p>
    <w:p w14:paraId="057E4076">
      <w:pPr>
        <w:autoSpaceDE w:val="0"/>
        <w:autoSpaceDN w:val="0"/>
        <w:adjustRightInd w:val="0"/>
        <w:spacing w:line="600" w:lineRule="exact"/>
        <w:ind w:firstLine="643" w:firstLineChars="200"/>
        <w:jc w:val="left"/>
        <w:outlineLvl w:val="2"/>
        <w:rPr>
          <w:rFonts w:ascii="仿宋" w:hAnsi="仿宋" w:eastAsia="仿宋"/>
          <w:b/>
          <w:sz w:val="32"/>
          <w:szCs w:val="32"/>
        </w:rPr>
      </w:pPr>
      <w:bookmarkStart w:id="71" w:name="_Toc15377223"/>
      <w:bookmarkStart w:id="72" w:name="_Toc31680"/>
      <w:r>
        <w:rPr>
          <w:rFonts w:hint="eastAsia" w:ascii="仿宋" w:hAnsi="仿宋" w:eastAsia="仿宋"/>
          <w:b/>
          <w:sz w:val="32"/>
          <w:szCs w:val="32"/>
        </w:rPr>
        <w:t>（二）政府采购支出情况</w:t>
      </w:r>
      <w:bookmarkEnd w:id="71"/>
      <w:bookmarkEnd w:id="72"/>
    </w:p>
    <w:p w14:paraId="223A675D">
      <w:pPr>
        <w:spacing w:line="600" w:lineRule="exact"/>
        <w:ind w:firstLine="640" w:firstLineChars="200"/>
        <w:rPr>
          <w:rFonts w:ascii="仿宋_GB2312" w:eastAsia="仿宋_GB2312"/>
          <w:sz w:val="32"/>
          <w:szCs w:val="32"/>
        </w:rPr>
      </w:pPr>
      <w:r>
        <w:rPr>
          <w:rFonts w:hint="eastAsia" w:ascii="仿宋_GB2312" w:eastAsia="仿宋_GB2312"/>
          <w:sz w:val="32"/>
          <w:szCs w:val="32"/>
        </w:rPr>
        <w:t>2023年度，</w:t>
      </w:r>
      <w:r>
        <w:rPr>
          <w:rFonts w:ascii="仿宋_GB2312" w:eastAsia="仿宋_GB2312"/>
          <w:b/>
          <w:sz w:val="32"/>
          <w:szCs w:val="32"/>
        </w:rPr>
        <w:t>阿坝州松潘县下八寨乡卫生院</w:t>
      </w:r>
      <w:r>
        <w:rPr>
          <w:rFonts w:hint="eastAsia" w:ascii="仿宋_GB2312" w:eastAsia="仿宋_GB2312"/>
          <w:sz w:val="32"/>
          <w:szCs w:val="32"/>
        </w:rPr>
        <w:t>政府采购支出总额</w:t>
      </w:r>
      <w:r>
        <w:rPr>
          <w:rFonts w:ascii="仿宋" w:hAnsi="仿宋" w:eastAsia="仿宋"/>
          <w:b/>
          <w:sz w:val="32"/>
          <w:szCs w:val="32"/>
        </w:rPr>
        <w:t>0</w:t>
      </w:r>
      <w:r>
        <w:rPr>
          <w:rFonts w:hint="eastAsia" w:ascii="仿宋_GB2312" w:eastAsia="仿宋_GB2312"/>
          <w:sz w:val="32"/>
          <w:szCs w:val="32"/>
        </w:rPr>
        <w:t>万元，其中：政府采购货物支出</w:t>
      </w:r>
      <w:r>
        <w:rPr>
          <w:rFonts w:ascii="仿宋" w:hAnsi="仿宋" w:eastAsia="仿宋"/>
          <w:b/>
          <w:sz w:val="32"/>
          <w:szCs w:val="32"/>
        </w:rPr>
        <w:t>0</w:t>
      </w:r>
      <w:r>
        <w:rPr>
          <w:rFonts w:hint="eastAsia" w:ascii="仿宋_GB2312" w:eastAsia="仿宋_GB2312"/>
          <w:sz w:val="32"/>
          <w:szCs w:val="32"/>
        </w:rPr>
        <w:t>万元、政府采购工程支出</w:t>
      </w:r>
      <w:r>
        <w:rPr>
          <w:rFonts w:ascii="仿宋" w:hAnsi="仿宋" w:eastAsia="仿宋"/>
          <w:b/>
          <w:sz w:val="32"/>
          <w:szCs w:val="32"/>
        </w:rPr>
        <w:t>0</w:t>
      </w:r>
      <w:r>
        <w:rPr>
          <w:rFonts w:hint="eastAsia" w:ascii="仿宋_GB2312" w:eastAsia="仿宋_GB2312"/>
          <w:sz w:val="32"/>
          <w:szCs w:val="32"/>
        </w:rPr>
        <w:t>万元、政府采购服务支出</w:t>
      </w:r>
      <w:r>
        <w:rPr>
          <w:rFonts w:ascii="仿宋" w:hAnsi="仿宋" w:eastAsia="仿宋"/>
          <w:b/>
          <w:sz w:val="32"/>
          <w:szCs w:val="32"/>
        </w:rPr>
        <w:t>0</w:t>
      </w:r>
      <w:r>
        <w:rPr>
          <w:rFonts w:hint="eastAsia" w:ascii="仿宋_GB2312" w:eastAsia="仿宋_GB2312"/>
          <w:sz w:val="32"/>
          <w:szCs w:val="32"/>
        </w:rPr>
        <w:t>万元。授予中小企业合同金额</w:t>
      </w:r>
      <w:r>
        <w:rPr>
          <w:rFonts w:ascii="仿宋" w:hAnsi="仿宋" w:eastAsia="仿宋"/>
          <w:b/>
          <w:sz w:val="32"/>
          <w:szCs w:val="32"/>
        </w:rPr>
        <w:t>0</w:t>
      </w:r>
      <w:r>
        <w:rPr>
          <w:rFonts w:hint="eastAsia" w:ascii="仿宋_GB2312" w:eastAsia="仿宋_GB2312"/>
          <w:sz w:val="32"/>
          <w:szCs w:val="32"/>
        </w:rPr>
        <w:t>万元，占政府采购支出总额的</w:t>
      </w:r>
      <w:r>
        <w:rPr>
          <w:rFonts w:ascii="仿宋_GB2312" w:eastAsia="仿宋_GB2312"/>
          <w:sz w:val="32"/>
          <w:szCs w:val="32"/>
        </w:rPr>
        <w:t>0%</w:t>
      </w:r>
      <w:r>
        <w:rPr>
          <w:rFonts w:hint="eastAsia" w:ascii="仿宋_GB2312" w:eastAsia="仿宋_GB2312"/>
          <w:sz w:val="32"/>
          <w:szCs w:val="32"/>
        </w:rPr>
        <w:t>，其中：授予小微企业合同金额</w:t>
      </w:r>
      <w:r>
        <w:rPr>
          <w:rFonts w:ascii="仿宋" w:hAnsi="仿宋" w:eastAsia="仿宋"/>
          <w:b/>
          <w:sz w:val="32"/>
          <w:szCs w:val="32"/>
        </w:rPr>
        <w:t>0</w:t>
      </w:r>
      <w:r>
        <w:rPr>
          <w:rFonts w:hint="eastAsia" w:ascii="仿宋_GB2312" w:eastAsia="仿宋_GB2312"/>
          <w:sz w:val="32"/>
          <w:szCs w:val="32"/>
        </w:rPr>
        <w:t>万元，占政府采购支出总额的</w:t>
      </w:r>
      <w:r>
        <w:rPr>
          <w:rFonts w:ascii="仿宋_GB2312" w:eastAsia="仿宋_GB2312"/>
          <w:b/>
          <w:sz w:val="32"/>
          <w:szCs w:val="32"/>
        </w:rPr>
        <w:t>0</w:t>
      </w:r>
      <w:r>
        <w:rPr>
          <w:rFonts w:ascii="仿宋_GB2312" w:eastAsia="仿宋_GB2312"/>
          <w:sz w:val="32"/>
          <w:szCs w:val="32"/>
        </w:rPr>
        <w:t>%</w:t>
      </w:r>
      <w:r>
        <w:rPr>
          <w:rFonts w:hint="eastAsia" w:ascii="仿宋_GB2312" w:eastAsia="仿宋_GB2312"/>
          <w:sz w:val="32"/>
          <w:szCs w:val="32"/>
        </w:rPr>
        <w:t>。</w:t>
      </w:r>
    </w:p>
    <w:p w14:paraId="537004F0">
      <w:pPr>
        <w:autoSpaceDE w:val="0"/>
        <w:autoSpaceDN w:val="0"/>
        <w:adjustRightInd w:val="0"/>
        <w:spacing w:line="600" w:lineRule="exact"/>
        <w:ind w:firstLine="643" w:firstLineChars="200"/>
        <w:jc w:val="left"/>
        <w:outlineLvl w:val="2"/>
        <w:rPr>
          <w:rFonts w:ascii="仿宋" w:hAnsi="仿宋" w:eastAsia="仿宋"/>
          <w:b/>
          <w:sz w:val="32"/>
          <w:szCs w:val="32"/>
        </w:rPr>
      </w:pPr>
      <w:bookmarkStart w:id="73" w:name="_Toc7532"/>
      <w:bookmarkStart w:id="74" w:name="_Toc15377224"/>
      <w:r>
        <w:rPr>
          <w:rFonts w:hint="eastAsia" w:ascii="仿宋" w:hAnsi="仿宋" w:eastAsia="仿宋"/>
          <w:b/>
          <w:sz w:val="32"/>
          <w:szCs w:val="32"/>
        </w:rPr>
        <w:t>（三）国有资产占有使用情况</w:t>
      </w:r>
      <w:bookmarkEnd w:id="73"/>
      <w:bookmarkEnd w:id="74"/>
    </w:p>
    <w:p w14:paraId="22D7BDF3">
      <w:pPr>
        <w:autoSpaceDE w:val="0"/>
        <w:autoSpaceDN w:val="0"/>
        <w:adjustRightInd w:val="0"/>
        <w:spacing w:line="600" w:lineRule="exact"/>
        <w:ind w:firstLine="640" w:firstLineChars="200"/>
        <w:jc w:val="left"/>
        <w:rPr>
          <w:rFonts w:ascii="仿宋_GB2312" w:eastAsia="仿宋_GB2312"/>
          <w:sz w:val="32"/>
          <w:szCs w:val="32"/>
        </w:rPr>
      </w:pPr>
      <w:r>
        <w:rPr>
          <w:rFonts w:hint="eastAsia" w:ascii="仿宋_GB2312" w:eastAsia="仿宋_GB2312"/>
          <w:sz w:val="32"/>
          <w:szCs w:val="32"/>
        </w:rPr>
        <w:t>截至2023年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w:t>
      </w:r>
      <w:r>
        <w:rPr>
          <w:rFonts w:ascii="仿宋_GB2312" w:eastAsia="仿宋_GB2312"/>
          <w:b/>
          <w:sz w:val="32"/>
          <w:szCs w:val="32"/>
        </w:rPr>
        <w:t>阿坝州松潘县下八寨乡卫生院</w:t>
      </w:r>
      <w:r>
        <w:rPr>
          <w:rFonts w:hint="eastAsia" w:ascii="仿宋_GB2312" w:eastAsia="仿宋_GB2312"/>
          <w:sz w:val="32"/>
          <w:szCs w:val="32"/>
        </w:rPr>
        <w:t>共有车辆</w:t>
      </w:r>
      <w:r>
        <w:rPr>
          <w:rFonts w:hint="eastAsia" w:ascii="仿宋_GB2312" w:eastAsia="仿宋_GB2312"/>
          <w:b/>
          <w:sz w:val="32"/>
          <w:szCs w:val="32"/>
          <w:lang w:val="en-US" w:eastAsia="zh-CN"/>
        </w:rPr>
        <w:t>0</w:t>
      </w:r>
      <w:r>
        <w:rPr>
          <w:rFonts w:hint="eastAsia" w:ascii="仿宋_GB2312" w:eastAsia="仿宋_GB2312"/>
          <w:sz w:val="32"/>
          <w:szCs w:val="32"/>
        </w:rPr>
        <w:t>辆，其中：主要领导干部用车</w:t>
      </w:r>
      <w:r>
        <w:rPr>
          <w:rFonts w:hint="eastAsia" w:ascii="仿宋_GB2312" w:eastAsia="仿宋_GB2312"/>
          <w:sz w:val="32"/>
          <w:szCs w:val="32"/>
          <w:lang w:val="en-US" w:eastAsia="zh-CN"/>
        </w:rPr>
        <w:t>0</w:t>
      </w:r>
      <w:r>
        <w:rPr>
          <w:rFonts w:hint="eastAsia" w:ascii="仿宋_GB2312" w:eastAsia="仿宋_GB2312"/>
          <w:sz w:val="32"/>
          <w:szCs w:val="32"/>
        </w:rPr>
        <w:t>辆、机要通信用车</w:t>
      </w:r>
      <w:r>
        <w:rPr>
          <w:rFonts w:hint="eastAsia" w:ascii="仿宋_GB2312" w:eastAsia="仿宋_GB2312"/>
          <w:sz w:val="32"/>
          <w:szCs w:val="32"/>
          <w:lang w:val="en-US" w:eastAsia="zh-CN"/>
        </w:rPr>
        <w:t>0</w:t>
      </w:r>
      <w:r>
        <w:rPr>
          <w:rFonts w:hint="eastAsia" w:ascii="仿宋_GB2312" w:eastAsia="仿宋_GB2312"/>
          <w:sz w:val="32"/>
          <w:szCs w:val="32"/>
        </w:rPr>
        <w:t>辆、应急保障用车</w:t>
      </w:r>
      <w:r>
        <w:rPr>
          <w:rFonts w:hint="eastAsia" w:ascii="仿宋_GB2312" w:eastAsia="仿宋_GB2312"/>
          <w:sz w:val="32"/>
          <w:szCs w:val="32"/>
          <w:lang w:val="en-US" w:eastAsia="zh-CN"/>
        </w:rPr>
        <w:t>0</w:t>
      </w:r>
      <w:r>
        <w:rPr>
          <w:rFonts w:hint="eastAsia" w:ascii="仿宋_GB2312" w:eastAsia="仿宋_GB2312"/>
          <w:sz w:val="32"/>
          <w:szCs w:val="32"/>
        </w:rPr>
        <w:t>辆、其他用车</w:t>
      </w:r>
      <w:r>
        <w:rPr>
          <w:rFonts w:hint="eastAsia" w:ascii="仿宋_GB2312" w:eastAsia="仿宋_GB2312"/>
          <w:sz w:val="32"/>
          <w:szCs w:val="32"/>
          <w:lang w:val="en-US" w:eastAsia="zh-CN"/>
        </w:rPr>
        <w:t>0</w:t>
      </w:r>
      <w:r>
        <w:rPr>
          <w:rFonts w:hint="eastAsia" w:ascii="仿宋_GB2312" w:eastAsia="仿宋_GB2312"/>
          <w:sz w:val="32"/>
          <w:szCs w:val="32"/>
        </w:rPr>
        <w:t>辆，单价</w:t>
      </w:r>
      <w:r>
        <w:rPr>
          <w:rFonts w:ascii="仿宋_GB2312" w:eastAsia="仿宋_GB2312"/>
          <w:sz w:val="32"/>
          <w:szCs w:val="32"/>
        </w:rPr>
        <w:t>100</w:t>
      </w:r>
      <w:r>
        <w:rPr>
          <w:rFonts w:hint="eastAsia" w:ascii="仿宋_GB2312" w:eastAsia="仿宋_GB2312"/>
          <w:sz w:val="32"/>
          <w:szCs w:val="32"/>
        </w:rPr>
        <w:t>万元以上设备（不含车辆）</w:t>
      </w:r>
      <w:r>
        <w:rPr>
          <w:rFonts w:ascii="仿宋_GB2312" w:eastAsia="仿宋_GB2312"/>
          <w:b/>
          <w:sz w:val="32"/>
          <w:szCs w:val="32"/>
        </w:rPr>
        <w:t>0</w:t>
      </w:r>
      <w:r>
        <w:rPr>
          <w:rFonts w:hint="eastAsia" w:ascii="仿宋_GB2312" w:eastAsia="仿宋_GB2312"/>
          <w:sz w:val="32"/>
          <w:szCs w:val="32"/>
        </w:rPr>
        <w:t>台（套）。</w:t>
      </w:r>
    </w:p>
    <w:p w14:paraId="34B5FB4F">
      <w:pPr>
        <w:autoSpaceDE w:val="0"/>
        <w:autoSpaceDN w:val="0"/>
        <w:adjustRightInd w:val="0"/>
        <w:spacing w:line="600" w:lineRule="exact"/>
        <w:ind w:firstLine="643" w:firstLineChars="200"/>
        <w:jc w:val="left"/>
        <w:outlineLvl w:val="2"/>
        <w:rPr>
          <w:rFonts w:ascii="仿宋" w:hAnsi="仿宋" w:eastAsia="仿宋"/>
          <w:b/>
          <w:sz w:val="32"/>
          <w:szCs w:val="32"/>
        </w:rPr>
      </w:pPr>
      <w:bookmarkStart w:id="75" w:name="_Toc21505"/>
      <w:r>
        <w:rPr>
          <w:rFonts w:hint="eastAsia" w:ascii="仿宋" w:hAnsi="仿宋" w:eastAsia="仿宋"/>
          <w:b/>
          <w:sz w:val="32"/>
          <w:szCs w:val="32"/>
        </w:rPr>
        <w:t>（四）预算绩效管理情况</w:t>
      </w:r>
      <w:bookmarkEnd w:id="75"/>
    </w:p>
    <w:p w14:paraId="049C42B5">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根据预算绩效管理要求，本单位在2023年度预算编制阶段，组织对12项基本公共卫生服务，基层医疗卫生，村卫生项目</w:t>
      </w:r>
      <w:r>
        <w:rPr>
          <w:rFonts w:hint="eastAsia" w:ascii="仿宋_GB2312" w:eastAsia="仿宋_GB2312"/>
          <w:sz w:val="32"/>
          <w:szCs w:val="32"/>
          <w:lang w:eastAsia="zh-CN"/>
        </w:rPr>
        <w:t>，三支一扶财政补助资金，基本公共卫生项目代管资金</w:t>
      </w:r>
      <w:r>
        <w:rPr>
          <w:rFonts w:hint="eastAsia" w:ascii="仿宋_GB2312" w:eastAsia="仿宋_GB2312"/>
          <w:sz w:val="32"/>
          <w:szCs w:val="32"/>
        </w:rPr>
        <w:t>等</w:t>
      </w:r>
      <w:r>
        <w:rPr>
          <w:rFonts w:hint="eastAsia" w:ascii="仿宋_GB2312" w:eastAsia="仿宋_GB2312"/>
          <w:sz w:val="32"/>
          <w:szCs w:val="32"/>
          <w:lang w:val="en-US" w:eastAsia="zh-CN"/>
        </w:rPr>
        <w:t>5</w:t>
      </w:r>
      <w:r>
        <w:rPr>
          <w:rFonts w:hint="eastAsia" w:ascii="仿宋_GB2312" w:eastAsia="仿宋_GB2312"/>
          <w:sz w:val="32"/>
          <w:szCs w:val="32"/>
        </w:rPr>
        <w:t>个项目开展了预算事前绩效评估，对</w:t>
      </w:r>
      <w:r>
        <w:rPr>
          <w:rFonts w:hint="eastAsia" w:ascii="仿宋_GB2312" w:eastAsia="仿宋_GB2312"/>
          <w:sz w:val="32"/>
          <w:szCs w:val="32"/>
          <w:lang w:val="en-US" w:eastAsia="zh-CN"/>
        </w:rPr>
        <w:t>5</w:t>
      </w:r>
      <w:r>
        <w:rPr>
          <w:rFonts w:hint="eastAsia" w:ascii="仿宋_GB2312" w:eastAsia="仿宋_GB2312"/>
          <w:sz w:val="32"/>
          <w:szCs w:val="32"/>
        </w:rPr>
        <w:t>个项目编制了绩效目标，预算执行过程中，选取</w:t>
      </w:r>
      <w:r>
        <w:rPr>
          <w:rFonts w:hint="eastAsia" w:ascii="仿宋_GB2312" w:eastAsia="仿宋_GB2312"/>
          <w:sz w:val="32"/>
          <w:szCs w:val="32"/>
          <w:lang w:val="en-US" w:eastAsia="zh-CN"/>
        </w:rPr>
        <w:t>5</w:t>
      </w:r>
      <w:r>
        <w:rPr>
          <w:rFonts w:hint="eastAsia" w:ascii="仿宋_GB2312" w:eastAsia="仿宋_GB2312"/>
          <w:sz w:val="32"/>
          <w:szCs w:val="32"/>
        </w:rPr>
        <w:t>个项目开展绩效监控，组织对</w:t>
      </w:r>
      <w:r>
        <w:rPr>
          <w:rFonts w:hint="eastAsia" w:ascii="仿宋_GB2312" w:eastAsia="仿宋_GB2312"/>
          <w:sz w:val="32"/>
          <w:szCs w:val="32"/>
          <w:lang w:val="en-US" w:eastAsia="zh-CN"/>
        </w:rPr>
        <w:t>5</w:t>
      </w:r>
      <w:r>
        <w:rPr>
          <w:rFonts w:hint="eastAsia" w:ascii="仿宋_GB2312" w:eastAsia="仿宋_GB2312"/>
          <w:sz w:val="32"/>
          <w:szCs w:val="32"/>
        </w:rPr>
        <w:t>个项目开展绩效自评</w:t>
      </w:r>
      <w:r>
        <w:rPr>
          <w:rFonts w:hint="eastAsia" w:ascii="仿宋_GB2312" w:eastAsia="仿宋_GB2312"/>
          <w:sz w:val="32"/>
          <w:szCs w:val="32"/>
          <w:lang w:eastAsia="zh-CN"/>
        </w:rPr>
        <w:t>。</w:t>
      </w:r>
    </w:p>
    <w:p w14:paraId="6845404F">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组织对2023年度一般公共预算、政府性基金预算、国有资本经营预算、社会保险基金预算以及资本资产、债券资金等全面开展绩效自评，形成部门整体（含部门预算项目）绩效自评报告等专项预算项目绩效自评报告，其中，部门整体（含部门预算项目）绩效自评得分为</w:t>
      </w:r>
      <w:r>
        <w:rPr>
          <w:rFonts w:hint="eastAsia" w:ascii="仿宋_GB2312" w:eastAsia="仿宋_GB2312"/>
          <w:sz w:val="32"/>
          <w:szCs w:val="32"/>
          <w:lang w:val="en-US" w:eastAsia="zh-CN"/>
        </w:rPr>
        <w:t>97</w:t>
      </w:r>
      <w:r>
        <w:rPr>
          <w:rFonts w:hint="eastAsia" w:ascii="仿宋_GB2312" w:eastAsia="仿宋_GB2312"/>
          <w:sz w:val="32"/>
          <w:szCs w:val="32"/>
        </w:rPr>
        <w:t>分，绩效自评综述：12项基本公共卫生服务，基层医疗卫生，村卫生室等专项预算项目</w:t>
      </w:r>
      <w:r>
        <w:rPr>
          <w:rFonts w:hint="eastAsia" w:ascii="仿宋_GB2312" w:eastAsia="仿宋_GB2312"/>
          <w:sz w:val="32"/>
          <w:szCs w:val="32"/>
          <w:lang w:eastAsia="zh-CN"/>
        </w:rPr>
        <w:t>，三支一扶财政补助资金，基本公共卫生项目代管资金</w:t>
      </w:r>
      <w:r>
        <w:rPr>
          <w:rFonts w:hint="eastAsia" w:ascii="仿宋_GB2312" w:eastAsia="仿宋_GB2312"/>
          <w:sz w:val="32"/>
          <w:szCs w:val="32"/>
        </w:rPr>
        <w:t>绩效自评情况表</w:t>
      </w:r>
      <w:r>
        <w:rPr>
          <w:rFonts w:hint="eastAsia" w:ascii="仿宋_GB2312" w:eastAsia="仿宋_GB2312"/>
          <w:sz w:val="32"/>
          <w:szCs w:val="32"/>
          <w:lang w:eastAsia="zh-CN"/>
        </w:rPr>
        <w:t>。</w:t>
      </w:r>
    </w:p>
    <w:p w14:paraId="72DB147B">
      <w:pPr>
        <w:bidi w:val="0"/>
        <w:rPr>
          <w:rFonts w:hint="eastAsia"/>
        </w:rPr>
      </w:pPr>
    </w:p>
    <w:p w14:paraId="7C705B63">
      <w:pPr>
        <w:bidi w:val="0"/>
        <w:rPr>
          <w:rFonts w:hint="eastAsia"/>
        </w:rPr>
      </w:pPr>
    </w:p>
    <w:p w14:paraId="07F70310">
      <w:pPr>
        <w:bidi w:val="0"/>
        <w:jc w:val="left"/>
      </w:pPr>
      <w:r>
        <w:rPr>
          <w:rFonts w:hint="eastAsia"/>
        </w:rPr>
        <w:br w:type="page"/>
      </w:r>
    </w:p>
    <w:p w14:paraId="346B2CD2">
      <w:pPr>
        <w:numPr>
          <w:ilvl w:val="0"/>
          <w:numId w:val="5"/>
        </w:numPr>
        <w:spacing w:line="600" w:lineRule="exact"/>
        <w:ind w:firstLine="660" w:firstLineChars="150"/>
        <w:jc w:val="center"/>
        <w:outlineLvl w:val="0"/>
        <w:rPr>
          <w:rStyle w:val="28"/>
          <w:rFonts w:ascii="黑体" w:hAnsi="黑体" w:eastAsia="黑体"/>
          <w:b w:val="0"/>
        </w:rPr>
      </w:pPr>
      <w:bookmarkStart w:id="76" w:name="_Toc15396613"/>
      <w:bookmarkStart w:id="77" w:name="_Toc15377225"/>
      <w:bookmarkStart w:id="78" w:name="_Toc19109"/>
      <w:r>
        <w:rPr>
          <w:rFonts w:hint="eastAsia" w:ascii="黑体" w:hAnsi="黑体" w:eastAsia="黑体"/>
          <w:sz w:val="44"/>
          <w:szCs w:val="44"/>
        </w:rPr>
        <w:t>名</w:t>
      </w:r>
      <w:r>
        <w:rPr>
          <w:rStyle w:val="28"/>
          <w:rFonts w:hint="eastAsia" w:ascii="黑体" w:hAnsi="黑体" w:eastAsia="黑体"/>
          <w:b w:val="0"/>
        </w:rPr>
        <w:t>词解释</w:t>
      </w:r>
      <w:bookmarkEnd w:id="76"/>
      <w:bookmarkEnd w:id="77"/>
      <w:bookmarkEnd w:id="78"/>
    </w:p>
    <w:p w14:paraId="5C8E8711">
      <w:pPr>
        <w:spacing w:line="600" w:lineRule="exact"/>
        <w:jc w:val="left"/>
        <w:rPr>
          <w:rFonts w:ascii="宋体"/>
          <w:b/>
          <w:sz w:val="44"/>
          <w:szCs w:val="44"/>
        </w:rPr>
      </w:pPr>
    </w:p>
    <w:p w14:paraId="17EA7A68">
      <w:pPr>
        <w:pStyle w:val="26"/>
        <w:spacing w:line="560" w:lineRule="exact"/>
        <w:ind w:firstLine="640" w:firstLineChars="200"/>
        <w:rPr>
          <w:rFonts w:ascii="仿宋_GB2312" w:eastAsia="仿宋_GB2312"/>
          <w:color w:val="auto"/>
          <w:sz w:val="32"/>
          <w:szCs w:val="32"/>
        </w:rPr>
      </w:pPr>
      <w:bookmarkStart w:id="79" w:name="_Toc15396614"/>
      <w:bookmarkStart w:id="80" w:name="_Toc15377226"/>
      <w:r>
        <w:rPr>
          <w:rFonts w:ascii="仿宋_GB2312" w:eastAsia="仿宋_GB2312"/>
          <w:color w:val="auto"/>
          <w:sz w:val="32"/>
          <w:szCs w:val="32"/>
        </w:rPr>
        <w:t>1.</w:t>
      </w:r>
      <w:r>
        <w:rPr>
          <w:rFonts w:hint="eastAsia" w:ascii="仿宋_GB2312" w:eastAsia="仿宋_GB2312"/>
          <w:color w:val="auto"/>
          <w:sz w:val="32"/>
          <w:szCs w:val="32"/>
        </w:rPr>
        <w:t>财政拨款收入：指单位从同级财政部门取得的财政预算资金。</w:t>
      </w:r>
    </w:p>
    <w:p w14:paraId="78B2DA5B">
      <w:pPr>
        <w:pStyle w:val="26"/>
        <w:spacing w:line="560" w:lineRule="exact"/>
        <w:ind w:firstLine="640" w:firstLineChars="200"/>
        <w:rPr>
          <w:rFonts w:hint="eastAsia" w:ascii="仿宋_GB2312" w:eastAsia="仿宋_GB2312"/>
          <w:color w:val="auto"/>
          <w:sz w:val="32"/>
          <w:szCs w:val="32"/>
        </w:rPr>
      </w:pPr>
      <w:r>
        <w:rPr>
          <w:rFonts w:ascii="仿宋_GB2312" w:eastAsia="仿宋_GB2312"/>
          <w:color w:val="auto"/>
          <w:sz w:val="32"/>
          <w:szCs w:val="32"/>
        </w:rPr>
        <w:t>2.</w:t>
      </w:r>
      <w:r>
        <w:rPr>
          <w:rFonts w:hint="eastAsia" w:ascii="仿宋_GB2312" w:eastAsia="仿宋_GB2312"/>
          <w:color w:val="auto"/>
          <w:sz w:val="32"/>
          <w:szCs w:val="32"/>
        </w:rPr>
        <w:t>事业收入：指事业单位开展专业业务活动及辅助活动取得的收入。</w:t>
      </w:r>
    </w:p>
    <w:p w14:paraId="3910C725">
      <w:pPr>
        <w:pStyle w:val="26"/>
        <w:spacing w:line="560" w:lineRule="exact"/>
        <w:ind w:firstLine="640" w:firstLineChars="200"/>
        <w:rPr>
          <w:rFonts w:hint="eastAsia" w:ascii="仿宋_GB2312" w:eastAsia="仿宋_GB2312"/>
          <w:color w:val="auto"/>
          <w:sz w:val="32"/>
          <w:szCs w:val="32"/>
        </w:rPr>
      </w:pPr>
      <w:r>
        <w:rPr>
          <w:rFonts w:ascii="仿宋_GB2312" w:eastAsia="仿宋_GB2312"/>
          <w:color w:val="auto"/>
          <w:sz w:val="32"/>
          <w:szCs w:val="32"/>
        </w:rPr>
        <w:t>3.</w:t>
      </w:r>
      <w:r>
        <w:rPr>
          <w:rFonts w:hint="eastAsia" w:ascii="仿宋_GB2312" w:eastAsia="仿宋_GB2312"/>
          <w:color w:val="auto"/>
          <w:sz w:val="32"/>
          <w:szCs w:val="32"/>
        </w:rPr>
        <w:t>经营收入：指事业单位在专业业务活动及其辅助活动之外开展非独立核算经营活动取得的收入。</w:t>
      </w:r>
    </w:p>
    <w:p w14:paraId="193C80AC">
      <w:pPr>
        <w:pStyle w:val="26"/>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4.</w:t>
      </w:r>
      <w:r>
        <w:rPr>
          <w:rFonts w:hint="eastAsia" w:ascii="仿宋_GB2312" w:eastAsia="仿宋_GB2312"/>
          <w:color w:val="auto"/>
          <w:sz w:val="32"/>
          <w:szCs w:val="32"/>
        </w:rPr>
        <w:t>其他收入：指单位取得的除上述收入以外的各项收入。</w:t>
      </w:r>
    </w:p>
    <w:p w14:paraId="3B4181C7">
      <w:pPr>
        <w:pStyle w:val="26"/>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5.</w:t>
      </w:r>
      <w:r>
        <w:rPr>
          <w:rFonts w:hint="eastAsia" w:ascii="仿宋_GB2312" w:hAnsi="华文中宋" w:eastAsia="仿宋_GB2312"/>
          <w:sz w:val="32"/>
          <w:szCs w:val="32"/>
        </w:rPr>
        <w:t>使用非财政拨款结余（含专用结余）</w:t>
      </w:r>
      <w:r>
        <w:rPr>
          <w:rFonts w:hint="eastAsia" w:ascii="仿宋_GB2312" w:eastAsia="仿宋_GB2312"/>
          <w:color w:val="auto"/>
          <w:sz w:val="32"/>
          <w:szCs w:val="32"/>
        </w:rPr>
        <w:t>：指事业单位使用以前年度积累的非财政拨款结余弥补当年收支差额的金额。</w:t>
      </w:r>
      <w:r>
        <w:rPr>
          <w:rFonts w:ascii="仿宋_GB2312" w:eastAsia="仿宋_GB2312"/>
          <w:color w:val="auto"/>
          <w:sz w:val="32"/>
          <w:szCs w:val="32"/>
        </w:rPr>
        <w:t xml:space="preserve"> </w:t>
      </w:r>
    </w:p>
    <w:p w14:paraId="7C7971FC">
      <w:pPr>
        <w:pStyle w:val="26"/>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6.</w:t>
      </w:r>
      <w:r>
        <w:rPr>
          <w:rFonts w:hint="eastAsia" w:ascii="仿宋_GB2312" w:eastAsia="仿宋_GB2312"/>
          <w:color w:val="auto"/>
          <w:sz w:val="32"/>
          <w:szCs w:val="32"/>
        </w:rPr>
        <w:t>年初结转和结余：指以前年度尚未完成、结转到本年按有关规定继续使用的资金。</w:t>
      </w:r>
      <w:r>
        <w:rPr>
          <w:rFonts w:ascii="仿宋_GB2312" w:eastAsia="仿宋_GB2312"/>
          <w:color w:val="auto"/>
          <w:sz w:val="32"/>
          <w:szCs w:val="32"/>
        </w:rPr>
        <w:t xml:space="preserve"> </w:t>
      </w:r>
    </w:p>
    <w:p w14:paraId="1BE63D70">
      <w:pPr>
        <w:pStyle w:val="26"/>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7.</w:t>
      </w:r>
      <w:r>
        <w:rPr>
          <w:rFonts w:hint="eastAsia" w:ascii="仿宋_GB2312" w:eastAsia="仿宋_GB2312"/>
          <w:color w:val="auto"/>
          <w:sz w:val="32"/>
          <w:szCs w:val="32"/>
        </w:rPr>
        <w:t>结余分配：指事业单位按照会计制度规定缴纳的所得税、提取的专用结余以及转入非财政拨款结余的金额等。</w:t>
      </w:r>
    </w:p>
    <w:p w14:paraId="6F75B5A6">
      <w:pPr>
        <w:pStyle w:val="26"/>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8</w:t>
      </w:r>
      <w:r>
        <w:rPr>
          <w:rFonts w:hint="eastAsia" w:ascii="仿宋_GB2312" w:eastAsia="仿宋_GB2312"/>
          <w:color w:val="auto"/>
          <w:sz w:val="32"/>
          <w:szCs w:val="32"/>
        </w:rPr>
        <w:t>.年末结转和结余：指单位按有关规定结转到下年或以后年度继续使用的资金。</w:t>
      </w:r>
    </w:p>
    <w:p w14:paraId="4F66093D">
      <w:pPr>
        <w:spacing w:line="600" w:lineRule="exact"/>
        <w:ind w:firstLine="640"/>
        <w:rPr>
          <w:rFonts w:ascii="仿宋_GB2312" w:hAnsi="Calibri" w:eastAsia="仿宋_GB2312" w:cs="仿宋"/>
          <w:color w:val="auto"/>
          <w:kern w:val="0"/>
          <w:sz w:val="32"/>
          <w:szCs w:val="32"/>
          <w:lang w:val="en-US" w:eastAsia="zh-CN" w:bidi="ar-SA"/>
        </w:rPr>
      </w:pPr>
      <w:r>
        <w:rPr>
          <w:rFonts w:ascii="仿宋_GB2312" w:hAnsi="Calibri" w:eastAsia="仿宋_GB2312" w:cs="仿宋"/>
          <w:color w:val="auto"/>
          <w:kern w:val="0"/>
          <w:sz w:val="32"/>
          <w:szCs w:val="32"/>
          <w:lang w:val="en-US" w:eastAsia="zh-CN" w:bidi="ar-SA"/>
        </w:rPr>
        <w:t>9.</w:t>
      </w:r>
      <w:r>
        <w:rPr>
          <w:rFonts w:hint="eastAsia" w:ascii="仿宋_GB2312" w:hAnsi="Calibri" w:eastAsia="仿宋_GB2312" w:cs="仿宋"/>
          <w:color w:val="auto"/>
          <w:kern w:val="0"/>
          <w:sz w:val="32"/>
          <w:szCs w:val="32"/>
          <w:lang w:val="en-US" w:eastAsia="zh-CN" w:bidi="ar-SA"/>
        </w:rPr>
        <w:t>一般公共服务社会保障和就业支出（208）行政事业单位养老支出（20805）机关事业单位基本养老保险缴费支出（2080505）：反映机关事业单位实施养老保险制度由单位缴纳的基本养老保险费支出。</w:t>
      </w:r>
      <w:r>
        <w:rPr>
          <w:rFonts w:hint="eastAsia" w:ascii="仿宋_GB2312" w:hAnsi="Calibri" w:eastAsia="仿宋_GB2312" w:cs="仿宋"/>
          <w:color w:val="auto"/>
          <w:kern w:val="0"/>
          <w:sz w:val="32"/>
          <w:szCs w:val="32"/>
          <w:lang w:val="en-US" w:eastAsia="zh-CN" w:bidi="ar-SA"/>
        </w:rPr>
        <w:cr/>
      </w:r>
      <w:r>
        <w:rPr>
          <w:rFonts w:hint="eastAsia" w:ascii="仿宋_GB2312" w:hAnsi="Calibri" w:eastAsia="仿宋_GB2312" w:cs="仿宋"/>
          <w:color w:val="auto"/>
          <w:kern w:val="0"/>
          <w:sz w:val="32"/>
          <w:szCs w:val="32"/>
          <w:lang w:val="en-US" w:eastAsia="zh-CN" w:bidi="ar-SA"/>
        </w:rPr>
        <w:t xml:space="preserve">    10.社会保障和就业支出（208）行政事业单位养老支出（20805）机关事业单位职业年金缴费支出（2080506）：反映机关事业单位实施养老保险制度由单位实际缴纳的职业年金支出。</w:t>
      </w:r>
      <w:r>
        <w:rPr>
          <w:rFonts w:hint="eastAsia" w:ascii="仿宋_GB2312" w:hAnsi="Calibri" w:eastAsia="仿宋_GB2312" w:cs="仿宋"/>
          <w:color w:val="auto"/>
          <w:kern w:val="0"/>
          <w:sz w:val="32"/>
          <w:szCs w:val="32"/>
          <w:lang w:val="en-US" w:eastAsia="zh-CN" w:bidi="ar-SA"/>
        </w:rPr>
        <w:cr/>
      </w:r>
      <w:r>
        <w:rPr>
          <w:rFonts w:hint="eastAsia" w:ascii="仿宋_GB2312" w:hAnsi="Calibri" w:eastAsia="仿宋_GB2312" w:cs="仿宋"/>
          <w:color w:val="auto"/>
          <w:kern w:val="0"/>
          <w:sz w:val="32"/>
          <w:szCs w:val="32"/>
          <w:lang w:val="en-US" w:eastAsia="zh-CN" w:bidi="ar-SA"/>
        </w:rPr>
        <w:t xml:space="preserve">   11.卫生健康支出（210）基层医疗卫生机构（2100403）乡镇卫生院（2100302）：反映卫生健康部门所属乡镇卫生院医疗机构的支出。</w:t>
      </w:r>
      <w:r>
        <w:rPr>
          <w:rFonts w:hint="eastAsia" w:ascii="仿宋_GB2312" w:hAnsi="Calibri" w:eastAsia="仿宋_GB2312" w:cs="仿宋"/>
          <w:color w:val="auto"/>
          <w:kern w:val="0"/>
          <w:sz w:val="32"/>
          <w:szCs w:val="32"/>
          <w:lang w:val="en-US" w:eastAsia="zh-CN" w:bidi="ar-SA"/>
        </w:rPr>
        <w:cr/>
      </w:r>
      <w:r>
        <w:rPr>
          <w:rFonts w:hint="eastAsia" w:ascii="仿宋_GB2312" w:hAnsi="Calibri" w:eastAsia="仿宋_GB2312" w:cs="仿宋"/>
          <w:color w:val="auto"/>
          <w:kern w:val="0"/>
          <w:sz w:val="32"/>
          <w:szCs w:val="32"/>
          <w:lang w:val="en-US" w:eastAsia="zh-CN" w:bidi="ar-SA"/>
        </w:rPr>
        <w:t xml:space="preserve">   12.卫生健康支出（210）公共卫生（21004）基本公共卫生服务（2100408）：反映基本公共卫生服务支出。</w:t>
      </w:r>
      <w:r>
        <w:rPr>
          <w:rFonts w:hint="eastAsia" w:ascii="仿宋_GB2312" w:hAnsi="Calibri" w:eastAsia="仿宋_GB2312" w:cs="仿宋"/>
          <w:color w:val="auto"/>
          <w:kern w:val="0"/>
          <w:sz w:val="32"/>
          <w:szCs w:val="32"/>
          <w:lang w:val="en-US" w:eastAsia="zh-CN" w:bidi="ar-SA"/>
        </w:rPr>
        <w:cr/>
      </w:r>
      <w:r>
        <w:rPr>
          <w:rFonts w:hint="eastAsia" w:ascii="仿宋_GB2312" w:hAnsi="Calibri" w:eastAsia="仿宋_GB2312" w:cs="仿宋"/>
          <w:color w:val="auto"/>
          <w:kern w:val="0"/>
          <w:sz w:val="32"/>
          <w:szCs w:val="32"/>
          <w:lang w:val="en-US" w:eastAsia="zh-CN" w:bidi="ar-SA"/>
        </w:rPr>
        <w:t xml:space="preserve">   13.卫生健康支出（210）行政事业单位医疗（21011）其他行政事业单位医疗（2101199）：反映财政部门安排的事业单位基本医疗保险缴费经费，未参加医疗保险的事业单位的公费医疗经费，按国家规定享受离休人员待遇的医疗经费。</w:t>
      </w:r>
    </w:p>
    <w:p w14:paraId="76C491A0">
      <w:pPr>
        <w:spacing w:line="600" w:lineRule="exact"/>
        <w:ind w:firstLine="640" w:firstLineChars="200"/>
        <w:rPr>
          <w:rFonts w:hint="eastAsia" w:ascii="仿宋_GB2312" w:hAnsi="Calibri" w:eastAsia="仿宋_GB2312" w:cs="仿宋"/>
          <w:color w:val="auto"/>
          <w:kern w:val="0"/>
          <w:sz w:val="32"/>
          <w:szCs w:val="32"/>
          <w:lang w:val="en-US" w:eastAsia="zh-CN" w:bidi="ar-SA"/>
        </w:rPr>
      </w:pPr>
      <w:r>
        <w:rPr>
          <w:rFonts w:hint="eastAsia" w:ascii="仿宋_GB2312" w:hAnsi="Calibri" w:eastAsia="仿宋_GB2312" w:cs="仿宋"/>
          <w:color w:val="auto"/>
          <w:kern w:val="0"/>
          <w:sz w:val="32"/>
          <w:szCs w:val="32"/>
          <w:lang w:val="en-US" w:eastAsia="zh-CN" w:bidi="ar-SA"/>
        </w:rPr>
        <w:t>14.卫生健康支出（210）公共卫生（21004）其他行政事业单位医疗支出（2100499）：其他公共卫生支出反映除上述项目以外的其他用于公共卫生方面的支出。</w:t>
      </w:r>
      <w:r>
        <w:rPr>
          <w:rFonts w:hint="eastAsia" w:ascii="仿宋_GB2312" w:hAnsi="Calibri" w:eastAsia="仿宋_GB2312" w:cs="仿宋"/>
          <w:color w:val="auto"/>
          <w:kern w:val="0"/>
          <w:sz w:val="32"/>
          <w:szCs w:val="32"/>
          <w:lang w:val="en-US" w:eastAsia="zh-CN" w:bidi="ar-SA"/>
        </w:rPr>
        <w:cr/>
      </w:r>
      <w:r>
        <w:rPr>
          <w:rFonts w:hint="eastAsia" w:ascii="仿宋_GB2312" w:hAnsi="Calibri" w:eastAsia="仿宋_GB2312" w:cs="仿宋"/>
          <w:color w:val="auto"/>
          <w:kern w:val="0"/>
          <w:sz w:val="32"/>
          <w:szCs w:val="32"/>
          <w:lang w:val="en-US" w:eastAsia="zh-CN" w:bidi="ar-SA"/>
        </w:rPr>
        <w:t xml:space="preserve">   15.住房保障支出（221）住房改革支出（22102）住房公积金（2210201）：反映行政事业单位按人力资源和社会保障部、财政部规定的基本工资和津贴补贴以及规定比例为职工缴纳的住房公积金。</w:t>
      </w:r>
    </w:p>
    <w:p w14:paraId="3C89DA55">
      <w:pPr>
        <w:spacing w:line="600" w:lineRule="exact"/>
        <w:ind w:firstLine="640" w:firstLineChars="200"/>
        <w:rPr>
          <w:rFonts w:ascii="仿宋_GB2312" w:hAnsi="Calibri" w:eastAsia="仿宋_GB2312" w:cs="仿宋"/>
          <w:color w:val="auto"/>
          <w:kern w:val="0"/>
          <w:sz w:val="32"/>
          <w:szCs w:val="32"/>
          <w:lang w:val="en-US" w:eastAsia="zh-CN" w:bidi="ar-SA"/>
        </w:rPr>
      </w:pPr>
      <w:r>
        <w:rPr>
          <w:rFonts w:hint="eastAsia" w:ascii="仿宋_GB2312" w:hAnsi="Calibri" w:eastAsia="仿宋_GB2312" w:cs="仿宋"/>
          <w:color w:val="auto"/>
          <w:kern w:val="0"/>
          <w:sz w:val="32"/>
          <w:szCs w:val="32"/>
          <w:lang w:val="en-US" w:eastAsia="zh-CN" w:bidi="ar-SA"/>
        </w:rPr>
        <w:t>16.基本支出：指为保障机构正常运转、完成日常工作任务而发生的人员支出和公用支出。</w:t>
      </w:r>
    </w:p>
    <w:p w14:paraId="6D39F63C">
      <w:pPr>
        <w:spacing w:line="600" w:lineRule="exact"/>
        <w:ind w:firstLine="640" w:firstLineChars="200"/>
        <w:rPr>
          <w:rFonts w:hint="eastAsia" w:ascii="仿宋_GB2312" w:hAnsi="Calibri" w:eastAsia="仿宋_GB2312" w:cs="仿宋"/>
          <w:color w:val="auto"/>
          <w:kern w:val="0"/>
          <w:sz w:val="32"/>
          <w:szCs w:val="32"/>
          <w:lang w:val="en-US" w:eastAsia="zh-CN" w:bidi="ar-SA"/>
        </w:rPr>
      </w:pPr>
      <w:r>
        <w:rPr>
          <w:rFonts w:hint="eastAsia" w:ascii="仿宋_GB2312" w:hAnsi="Calibri" w:eastAsia="仿宋_GB2312" w:cs="仿宋"/>
          <w:color w:val="auto"/>
          <w:kern w:val="0"/>
          <w:sz w:val="32"/>
          <w:szCs w:val="32"/>
          <w:lang w:val="en-US" w:eastAsia="zh-CN" w:bidi="ar-SA"/>
        </w:rPr>
        <w:t xml:space="preserve">17.项目支出：指在基本支出之外为完成特定行政任务和事业发展目标所发生的支出。 </w:t>
      </w:r>
    </w:p>
    <w:p w14:paraId="7C805DA1">
      <w:pPr>
        <w:spacing w:line="600" w:lineRule="exact"/>
        <w:ind w:firstLine="640" w:firstLineChars="200"/>
        <w:rPr>
          <w:rFonts w:hint="eastAsia" w:ascii="仿宋_GB2312" w:hAnsi="Calibri" w:eastAsia="仿宋_GB2312" w:cs="仿宋"/>
          <w:color w:val="auto"/>
          <w:kern w:val="0"/>
          <w:sz w:val="32"/>
          <w:szCs w:val="32"/>
          <w:lang w:val="en-US" w:eastAsia="zh-CN" w:bidi="ar-SA"/>
        </w:rPr>
      </w:pPr>
      <w:r>
        <w:rPr>
          <w:rFonts w:hint="eastAsia" w:ascii="仿宋_GB2312" w:hAnsi="Calibri" w:eastAsia="仿宋_GB2312" w:cs="仿宋"/>
          <w:color w:val="auto"/>
          <w:kern w:val="0"/>
          <w:sz w:val="32"/>
          <w:szCs w:val="32"/>
          <w:lang w:val="en-US" w:eastAsia="zh-CN" w:bidi="ar-SA"/>
        </w:rPr>
        <w:t>18.经营支出：指事业单位在专业业务活动及其辅助活动之外开展非独立核算经营活动发生的支出。</w:t>
      </w:r>
    </w:p>
    <w:p w14:paraId="7C0C01E8">
      <w:pPr>
        <w:spacing w:line="600" w:lineRule="exact"/>
        <w:ind w:firstLine="640" w:firstLineChars="200"/>
        <w:rPr>
          <w:rFonts w:hint="eastAsia" w:ascii="仿宋_GB2312" w:hAnsi="Calibri" w:eastAsia="仿宋_GB2312" w:cs="仿宋"/>
          <w:color w:val="auto"/>
          <w:kern w:val="0"/>
          <w:sz w:val="32"/>
          <w:szCs w:val="32"/>
          <w:lang w:val="en-US" w:eastAsia="zh-CN" w:bidi="ar-SA"/>
        </w:rPr>
      </w:pPr>
      <w:r>
        <w:rPr>
          <w:rFonts w:hint="eastAsia" w:ascii="仿宋_GB2312" w:hAnsi="Calibri" w:eastAsia="仿宋_GB2312" w:cs="仿宋"/>
          <w:color w:val="auto"/>
          <w:kern w:val="0"/>
          <w:sz w:val="32"/>
          <w:szCs w:val="32"/>
          <w:lang w:val="en-US" w:eastAsia="zh-CN" w:bidi="ar-SA"/>
        </w:rPr>
        <w:t>19.“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31723036">
      <w:pPr>
        <w:spacing w:line="600" w:lineRule="exact"/>
        <w:ind w:firstLine="640" w:firstLineChars="200"/>
        <w:rPr>
          <w:rFonts w:hint="eastAsia" w:ascii="仿宋_GB2312" w:hAnsi="Calibri" w:eastAsia="仿宋_GB2312" w:cs="仿宋"/>
          <w:color w:val="auto"/>
          <w:kern w:val="0"/>
          <w:sz w:val="32"/>
          <w:szCs w:val="32"/>
          <w:lang w:val="en-US" w:eastAsia="zh-CN" w:bidi="ar-SA"/>
        </w:rPr>
      </w:pPr>
      <w:r>
        <w:rPr>
          <w:rFonts w:hint="eastAsia" w:ascii="仿宋_GB2312" w:hAnsi="Calibri" w:eastAsia="仿宋_GB2312" w:cs="仿宋"/>
          <w:color w:val="auto"/>
          <w:kern w:val="0"/>
          <w:sz w:val="32"/>
          <w:szCs w:val="32"/>
          <w:lang w:val="en-US" w:eastAsia="zh-CN" w:bidi="ar-SA"/>
        </w:rPr>
        <w:t>20.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A6E5897">
      <w:pPr>
        <w:spacing w:line="600" w:lineRule="exact"/>
        <w:ind w:firstLine="640" w:firstLineChars="200"/>
        <w:rPr>
          <w:rFonts w:ascii="仿宋_GB2312" w:hAnsi="Calibri" w:eastAsia="仿宋_GB2312" w:cs="仿宋"/>
          <w:color w:val="auto"/>
          <w:kern w:val="0"/>
          <w:sz w:val="32"/>
          <w:szCs w:val="32"/>
          <w:lang w:val="en-US" w:eastAsia="zh-CN" w:bidi="ar-SA"/>
        </w:rPr>
      </w:pPr>
      <w:r>
        <w:rPr>
          <w:rFonts w:hint="eastAsia" w:ascii="仿宋_GB2312" w:hAnsi="Calibri" w:eastAsia="仿宋_GB2312" w:cs="仿宋"/>
          <w:color w:val="auto"/>
          <w:kern w:val="0"/>
          <w:sz w:val="32"/>
          <w:szCs w:val="32"/>
          <w:lang w:val="en-US" w:eastAsia="zh-CN" w:bidi="ar-SA"/>
        </w:rPr>
        <w:t>21.财政应返还额度：为行政事业单位会计核算科目，用于核算实行国库集中支付的行政事业单位应收财政返还的资金额度。</w:t>
      </w:r>
    </w:p>
    <w:p w14:paraId="589E063B">
      <w:pPr>
        <w:spacing w:line="600" w:lineRule="exact"/>
        <w:jc w:val="center"/>
        <w:outlineLvl w:val="0"/>
        <w:rPr>
          <w:rFonts w:hint="eastAsia" w:ascii="黑体" w:hAnsi="黑体" w:eastAsia="黑体"/>
          <w:sz w:val="44"/>
          <w:szCs w:val="44"/>
        </w:rPr>
      </w:pPr>
    </w:p>
    <w:p w14:paraId="221EBCB3">
      <w:pPr>
        <w:spacing w:line="600" w:lineRule="exact"/>
        <w:jc w:val="center"/>
        <w:outlineLvl w:val="0"/>
        <w:rPr>
          <w:rFonts w:hint="eastAsia" w:ascii="黑体" w:hAnsi="黑体" w:eastAsia="黑体"/>
          <w:sz w:val="44"/>
          <w:szCs w:val="44"/>
        </w:rPr>
      </w:pPr>
    </w:p>
    <w:p w14:paraId="1785D096">
      <w:pPr>
        <w:spacing w:line="600" w:lineRule="exact"/>
        <w:jc w:val="both"/>
        <w:outlineLvl w:val="0"/>
        <w:rPr>
          <w:rFonts w:hint="eastAsia" w:ascii="黑体" w:hAnsi="黑体" w:eastAsia="黑体"/>
          <w:sz w:val="44"/>
          <w:szCs w:val="44"/>
        </w:rPr>
      </w:pPr>
    </w:p>
    <w:p w14:paraId="5047DFF8">
      <w:pPr>
        <w:spacing w:line="600" w:lineRule="exact"/>
        <w:jc w:val="center"/>
        <w:outlineLvl w:val="0"/>
        <w:rPr>
          <w:rFonts w:hint="eastAsia" w:ascii="黑体" w:hAnsi="黑体" w:eastAsia="黑体"/>
          <w:sz w:val="44"/>
          <w:szCs w:val="44"/>
        </w:rPr>
      </w:pPr>
    </w:p>
    <w:p w14:paraId="453C69F1">
      <w:pPr>
        <w:spacing w:line="600" w:lineRule="exact"/>
        <w:jc w:val="center"/>
        <w:outlineLvl w:val="0"/>
        <w:rPr>
          <w:rStyle w:val="28"/>
          <w:rFonts w:ascii="黑体" w:hAnsi="黑体" w:eastAsia="黑体"/>
          <w:b w:val="0"/>
        </w:rPr>
      </w:pPr>
      <w:bookmarkStart w:id="81" w:name="_Toc4095"/>
      <w:r>
        <w:rPr>
          <w:rFonts w:hint="eastAsia" w:ascii="黑体" w:hAnsi="黑体" w:eastAsia="黑体"/>
          <w:sz w:val="44"/>
          <w:szCs w:val="44"/>
        </w:rPr>
        <w:t>第</w:t>
      </w:r>
      <w:r>
        <w:rPr>
          <w:rStyle w:val="28"/>
          <w:rFonts w:hint="eastAsia" w:ascii="黑体" w:hAnsi="黑体" w:eastAsia="黑体"/>
          <w:b w:val="0"/>
        </w:rPr>
        <w:t>四部分 附件</w:t>
      </w:r>
      <w:bookmarkEnd w:id="79"/>
      <w:bookmarkEnd w:id="81"/>
    </w:p>
    <w:p w14:paraId="1712E71E">
      <w:pPr>
        <w:spacing w:line="572" w:lineRule="exact"/>
        <w:jc w:val="left"/>
        <w:outlineLvl w:val="0"/>
        <w:rPr>
          <w:rFonts w:ascii="仿宋_GB2312" w:hAnsi="仿宋_GB2312" w:eastAsia="仿宋_GB2312" w:cs="仿宋_GB2312"/>
          <w:sz w:val="32"/>
          <w:szCs w:val="32"/>
        </w:rPr>
      </w:pPr>
    </w:p>
    <w:p w14:paraId="6AFE924C">
      <w:pPr>
        <w:spacing w:line="600" w:lineRule="exact"/>
        <w:jc w:val="center"/>
        <w:outlineLvl w:val="0"/>
        <w:rPr>
          <w:rFonts w:ascii="黑体" w:hAnsi="黑体" w:eastAsia="黑体"/>
          <w:color w:val="FF0000"/>
          <w:sz w:val="44"/>
          <w:szCs w:val="44"/>
        </w:rPr>
      </w:pPr>
      <w:bookmarkStart w:id="82" w:name="_Toc6863"/>
      <w:bookmarkStart w:id="83" w:name="_Toc15396618"/>
      <w:r>
        <w:rPr>
          <w:rFonts w:hint="eastAsia"/>
          <w:sz w:val="32"/>
          <w:szCs w:val="32"/>
        </w:rPr>
        <w:t>部门预算项目支出绩效自评表（2023年度）</w:t>
      </w:r>
      <w:bookmarkEnd w:id="82"/>
    </w:p>
    <w:p w14:paraId="0B5EE144">
      <w:pPr>
        <w:pStyle w:val="3"/>
        <w:spacing w:line="560" w:lineRule="exact"/>
        <w:ind w:left="0" w:leftChars="0" w:firstLine="640"/>
        <w:rPr>
          <w:sz w:val="32"/>
        </w:rPr>
      </w:pPr>
    </w:p>
    <w:tbl>
      <w:tblPr>
        <w:tblStyle w:val="15"/>
        <w:tblW w:w="8600" w:type="dxa"/>
        <w:tblInd w:w="0" w:type="dxa"/>
        <w:shd w:val="clear" w:color="auto" w:fill="auto"/>
        <w:tblLayout w:type="fixed"/>
        <w:tblCellMar>
          <w:top w:w="0" w:type="dxa"/>
          <w:left w:w="0" w:type="dxa"/>
          <w:bottom w:w="0" w:type="dxa"/>
          <w:right w:w="0" w:type="dxa"/>
        </w:tblCellMar>
      </w:tblPr>
      <w:tblGrid>
        <w:gridCol w:w="415"/>
        <w:gridCol w:w="1250"/>
        <w:gridCol w:w="1082"/>
        <w:gridCol w:w="1381"/>
        <w:gridCol w:w="318"/>
        <w:gridCol w:w="1023"/>
        <w:gridCol w:w="319"/>
        <w:gridCol w:w="666"/>
        <w:gridCol w:w="309"/>
        <w:gridCol w:w="279"/>
        <w:gridCol w:w="1558"/>
      </w:tblGrid>
      <w:tr w14:paraId="52D04830">
        <w:tblPrEx>
          <w:tblCellMar>
            <w:top w:w="0" w:type="dxa"/>
            <w:left w:w="0" w:type="dxa"/>
            <w:bottom w:w="0" w:type="dxa"/>
            <w:right w:w="0" w:type="dxa"/>
          </w:tblCellMar>
        </w:tblPrEx>
        <w:trPr>
          <w:trHeight w:val="973" w:hRule="atLeast"/>
        </w:trPr>
        <w:tc>
          <w:tcPr>
            <w:tcW w:w="8600"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C4AE48">
            <w:pPr>
              <w:keepNext w:val="0"/>
              <w:keepLines w:val="0"/>
              <w:widowControl/>
              <w:suppressLineNumbers w:val="0"/>
              <w:jc w:val="center"/>
              <w:textAlignment w:val="center"/>
              <w:rPr>
                <w:rFonts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部门预算项目支出绩效自评表（2023年度）</w:t>
            </w:r>
          </w:p>
        </w:tc>
      </w:tr>
      <w:tr w14:paraId="39D3FC10">
        <w:tblPrEx>
          <w:tblCellMar>
            <w:top w:w="0" w:type="dxa"/>
            <w:left w:w="0" w:type="dxa"/>
            <w:bottom w:w="0" w:type="dxa"/>
            <w:right w:w="0" w:type="dxa"/>
          </w:tblCellMar>
        </w:tblPrEx>
        <w:trPr>
          <w:trHeight w:val="353" w:hRule="atLeast"/>
        </w:trPr>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7FE6E2">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6935"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C5E615">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51322422T000006089536</w:t>
            </w:r>
            <w:r>
              <w:rPr>
                <w:rFonts w:hint="eastAsia" w:ascii="宋体" w:hAnsi="宋体" w:cs="宋体"/>
                <w:i w:val="0"/>
                <w:color w:val="000000"/>
                <w:kern w:val="0"/>
                <w:sz w:val="18"/>
                <w:szCs w:val="18"/>
                <w:u w:val="none"/>
                <w:lang w:val="en-US" w:eastAsia="zh-CN" w:bidi="ar"/>
              </w:rPr>
              <w:t>－</w:t>
            </w:r>
            <w:r>
              <w:rPr>
                <w:rFonts w:ascii="宋体" w:hAnsi="宋体" w:eastAsia="宋体" w:cs="宋体"/>
                <w:i w:val="0"/>
                <w:color w:val="000000"/>
                <w:kern w:val="0"/>
                <w:sz w:val="18"/>
                <w:szCs w:val="18"/>
                <w:u w:val="none"/>
                <w:lang w:val="en-US" w:eastAsia="zh-CN" w:bidi="ar"/>
              </w:rPr>
              <w:t>基本公共卫生项目代管资金</w:t>
            </w:r>
          </w:p>
        </w:tc>
      </w:tr>
      <w:tr w14:paraId="0FD1AB9F">
        <w:tblPrEx>
          <w:shd w:val="clear" w:color="auto" w:fill="auto"/>
          <w:tblCellMar>
            <w:top w:w="0" w:type="dxa"/>
            <w:left w:w="0" w:type="dxa"/>
            <w:bottom w:w="0" w:type="dxa"/>
            <w:right w:w="0" w:type="dxa"/>
          </w:tblCellMar>
        </w:tblPrEx>
        <w:trPr>
          <w:trHeight w:val="680" w:hRule="atLeast"/>
        </w:trPr>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236C0F">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412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D4A67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松潘县卫生健康局本级</w:t>
            </w:r>
          </w:p>
        </w:tc>
        <w:tc>
          <w:tcPr>
            <w:tcW w:w="666" w:type="dxa"/>
            <w:tcBorders>
              <w:top w:val="nil"/>
              <w:left w:val="nil"/>
              <w:bottom w:val="nil"/>
              <w:right w:val="nil"/>
            </w:tcBorders>
            <w:shd w:val="clear" w:color="auto" w:fill="auto"/>
            <w:tcMar>
              <w:top w:w="15" w:type="dxa"/>
              <w:left w:w="15" w:type="dxa"/>
              <w:right w:w="15" w:type="dxa"/>
            </w:tcMar>
            <w:vAlign w:val="center"/>
          </w:tcPr>
          <w:p w14:paraId="07B00998">
            <w:pPr>
              <w:keepNext w:val="0"/>
              <w:keepLines w:val="0"/>
              <w:widowControl/>
              <w:suppressLineNumbers w:val="0"/>
              <w:jc w:val="left"/>
              <w:textAlignment w:val="center"/>
              <w:rPr>
                <w:rFonts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实施单位 （盖章）</w:t>
            </w:r>
          </w:p>
        </w:tc>
        <w:tc>
          <w:tcPr>
            <w:tcW w:w="214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67312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松潘县下八寨乡卫生院</w:t>
            </w:r>
          </w:p>
        </w:tc>
      </w:tr>
      <w:tr w14:paraId="6F672FA8">
        <w:tblPrEx>
          <w:shd w:val="clear" w:color="auto" w:fill="auto"/>
          <w:tblCellMar>
            <w:top w:w="0" w:type="dxa"/>
            <w:left w:w="0" w:type="dxa"/>
            <w:bottom w:w="0" w:type="dxa"/>
            <w:right w:w="0" w:type="dxa"/>
          </w:tblCellMar>
        </w:tblPrEx>
        <w:trPr>
          <w:trHeight w:val="353" w:hRule="atLeast"/>
        </w:trPr>
        <w:tc>
          <w:tcPr>
            <w:tcW w:w="41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D29772">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125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D6F6EB">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412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A694A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2812"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08432A">
            <w:pPr>
              <w:keepNext w:val="0"/>
              <w:keepLines w:val="0"/>
              <w:widowControl/>
              <w:suppressLineNumbers w:val="0"/>
              <w:jc w:val="center"/>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年度目标完成情况</w:t>
            </w:r>
          </w:p>
        </w:tc>
      </w:tr>
      <w:tr w14:paraId="2BB4FE2F">
        <w:tblPrEx>
          <w:shd w:val="clear" w:color="auto" w:fill="auto"/>
          <w:tblCellMar>
            <w:top w:w="0" w:type="dxa"/>
            <w:left w:w="0" w:type="dxa"/>
            <w:bottom w:w="0" w:type="dxa"/>
            <w:right w:w="0" w:type="dxa"/>
          </w:tblCellMar>
        </w:tblPrEx>
        <w:trPr>
          <w:trHeight w:val="768" w:hRule="atLeast"/>
        </w:trPr>
        <w:tc>
          <w:tcPr>
            <w:tcW w:w="4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54BDAE">
            <w:pPr>
              <w:rPr>
                <w:rFonts w:hint="eastAsia" w:ascii="宋体" w:hAnsi="宋体" w:eastAsia="宋体" w:cs="宋体"/>
                <w:i w:val="0"/>
                <w:color w:val="000000"/>
                <w:sz w:val="18"/>
                <w:szCs w:val="18"/>
                <w:u w:val="none"/>
              </w:rPr>
            </w:pPr>
          </w:p>
        </w:tc>
        <w:tc>
          <w:tcPr>
            <w:tcW w:w="12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AA32AD">
            <w:pPr>
              <w:rPr>
                <w:rFonts w:hint="eastAsia" w:ascii="宋体" w:hAnsi="宋体" w:eastAsia="宋体" w:cs="宋体"/>
                <w:i w:val="0"/>
                <w:color w:val="000000"/>
                <w:sz w:val="18"/>
                <w:szCs w:val="18"/>
                <w:u w:val="none"/>
              </w:rPr>
            </w:pPr>
          </w:p>
        </w:tc>
        <w:tc>
          <w:tcPr>
            <w:tcW w:w="412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2F6E9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为城乡居民提供公共卫生服务提供资金保障</w:t>
            </w:r>
          </w:p>
        </w:tc>
        <w:tc>
          <w:tcPr>
            <w:tcW w:w="2812"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8C7EB5">
            <w:pPr>
              <w:keepNext w:val="0"/>
              <w:keepLines w:val="0"/>
              <w:widowControl/>
              <w:suppressLineNumbers w:val="0"/>
              <w:jc w:val="center"/>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满足城乡居民基本公共卫生服务需求</w:t>
            </w:r>
          </w:p>
        </w:tc>
      </w:tr>
      <w:tr w14:paraId="54BC99E6">
        <w:tblPrEx>
          <w:shd w:val="clear" w:color="auto" w:fill="auto"/>
          <w:tblCellMar>
            <w:top w:w="0" w:type="dxa"/>
            <w:left w:w="0" w:type="dxa"/>
            <w:bottom w:w="0" w:type="dxa"/>
            <w:right w:w="0" w:type="dxa"/>
          </w:tblCellMar>
        </w:tblPrEx>
        <w:trPr>
          <w:trHeight w:val="752" w:hRule="atLeast"/>
        </w:trPr>
        <w:tc>
          <w:tcPr>
            <w:tcW w:w="4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2FDD89">
            <w:pPr>
              <w:rPr>
                <w:rFonts w:hint="eastAsia" w:ascii="宋体" w:hAnsi="宋体" w:eastAsia="宋体" w:cs="宋体"/>
                <w:i w:val="0"/>
                <w:color w:val="000000"/>
                <w:sz w:val="18"/>
                <w:szCs w:val="18"/>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6955A2">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6935"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9171E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主要涉及如何规范和加强公卫资金的分配、管理、使用和监督，确保资金的安全和高效使用，以满足城乡居民基本公共卫生服务需求</w:t>
            </w:r>
          </w:p>
        </w:tc>
      </w:tr>
      <w:tr w14:paraId="3B474319">
        <w:tblPrEx>
          <w:shd w:val="clear" w:color="auto" w:fill="auto"/>
          <w:tblCellMar>
            <w:top w:w="0" w:type="dxa"/>
            <w:left w:w="0" w:type="dxa"/>
            <w:bottom w:w="0" w:type="dxa"/>
            <w:right w:w="0" w:type="dxa"/>
          </w:tblCellMar>
        </w:tblPrEx>
        <w:trPr>
          <w:trHeight w:val="404" w:hRule="atLeast"/>
        </w:trPr>
        <w:tc>
          <w:tcPr>
            <w:tcW w:w="41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E5CF3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6E844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10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A1768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1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2BF87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166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C3F0F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6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9AC1F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3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FE9C7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2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3AE71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1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04FB6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14:paraId="1EC62AB2">
        <w:tblPrEx>
          <w:tblCellMar>
            <w:top w:w="0" w:type="dxa"/>
            <w:left w:w="0" w:type="dxa"/>
            <w:bottom w:w="0" w:type="dxa"/>
            <w:right w:w="0" w:type="dxa"/>
          </w:tblCellMar>
        </w:tblPrEx>
        <w:trPr>
          <w:trHeight w:val="388" w:hRule="atLeast"/>
        </w:trPr>
        <w:tc>
          <w:tcPr>
            <w:tcW w:w="4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C28F3A">
            <w:pPr>
              <w:jc w:val="center"/>
              <w:rPr>
                <w:rFonts w:hint="eastAsia" w:ascii="宋体" w:hAnsi="宋体" w:eastAsia="宋体" w:cs="宋体"/>
                <w:i w:val="0"/>
                <w:color w:val="000000"/>
                <w:sz w:val="18"/>
                <w:szCs w:val="18"/>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83D50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10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C96D5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AF9E5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11.47</w:t>
            </w:r>
          </w:p>
        </w:tc>
        <w:tc>
          <w:tcPr>
            <w:tcW w:w="166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BD8ED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11.47</w:t>
            </w:r>
          </w:p>
        </w:tc>
        <w:tc>
          <w:tcPr>
            <w:tcW w:w="6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8C723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3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A47F2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2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F5AC2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55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175F33">
            <w:pPr>
              <w:keepNext w:val="0"/>
              <w:keepLines w:val="0"/>
              <w:widowControl/>
              <w:suppressLineNumbers w:val="0"/>
              <w:jc w:val="left"/>
              <w:textAlignment w:val="center"/>
              <w:rPr>
                <w:rFonts w:hint="eastAsia" w:ascii="黑体" w:hAnsi="黑体" w:eastAsia="黑体" w:cs="黑体"/>
                <w:i/>
                <w:color w:val="000000"/>
                <w:sz w:val="18"/>
                <w:szCs w:val="18"/>
                <w:u w:val="none"/>
              </w:rPr>
            </w:pPr>
            <w:r>
              <w:rPr>
                <w:rFonts w:hint="eastAsia" w:ascii="黑体" w:hAnsi="黑体" w:eastAsia="黑体" w:cs="黑体"/>
                <w:i/>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63E263B6">
        <w:tblPrEx>
          <w:shd w:val="clear" w:color="auto" w:fill="auto"/>
          <w:tblCellMar>
            <w:top w:w="0" w:type="dxa"/>
            <w:left w:w="0" w:type="dxa"/>
            <w:bottom w:w="0" w:type="dxa"/>
            <w:right w:w="0" w:type="dxa"/>
          </w:tblCellMar>
        </w:tblPrEx>
        <w:trPr>
          <w:trHeight w:val="435" w:hRule="atLeast"/>
        </w:trPr>
        <w:tc>
          <w:tcPr>
            <w:tcW w:w="4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34AF90">
            <w:pPr>
              <w:jc w:val="center"/>
              <w:rPr>
                <w:rFonts w:hint="eastAsia" w:ascii="宋体" w:hAnsi="宋体" w:eastAsia="宋体" w:cs="宋体"/>
                <w:i w:val="0"/>
                <w:color w:val="000000"/>
                <w:sz w:val="18"/>
                <w:szCs w:val="18"/>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4AC62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10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BFF1E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A97AE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66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700D3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6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993A2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3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A5C0A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6E01D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5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A2D9C7">
            <w:pPr>
              <w:rPr>
                <w:rFonts w:hint="eastAsia" w:ascii="黑体" w:hAnsi="黑体" w:eastAsia="黑体" w:cs="黑体"/>
                <w:i/>
                <w:color w:val="000000"/>
                <w:sz w:val="18"/>
                <w:szCs w:val="18"/>
                <w:u w:val="none"/>
              </w:rPr>
            </w:pPr>
          </w:p>
        </w:tc>
      </w:tr>
      <w:tr w14:paraId="20AC54B7">
        <w:tblPrEx>
          <w:shd w:val="clear" w:color="auto" w:fill="auto"/>
          <w:tblCellMar>
            <w:top w:w="0" w:type="dxa"/>
            <w:left w:w="0" w:type="dxa"/>
            <w:bottom w:w="0" w:type="dxa"/>
            <w:right w:w="0" w:type="dxa"/>
          </w:tblCellMar>
        </w:tblPrEx>
        <w:trPr>
          <w:trHeight w:val="452" w:hRule="atLeast"/>
        </w:trPr>
        <w:tc>
          <w:tcPr>
            <w:tcW w:w="4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3C314A">
            <w:pPr>
              <w:jc w:val="center"/>
              <w:rPr>
                <w:rFonts w:hint="eastAsia" w:ascii="宋体" w:hAnsi="宋体" w:eastAsia="宋体" w:cs="宋体"/>
                <w:i w:val="0"/>
                <w:color w:val="000000"/>
                <w:sz w:val="18"/>
                <w:szCs w:val="18"/>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252DD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10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427A3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41921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66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42728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6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D544E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3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ECE3D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96A9E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5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5A4993">
            <w:pPr>
              <w:rPr>
                <w:rFonts w:hint="eastAsia" w:ascii="黑体" w:hAnsi="黑体" w:eastAsia="黑体" w:cs="黑体"/>
                <w:i/>
                <w:color w:val="000000"/>
                <w:sz w:val="18"/>
                <w:szCs w:val="18"/>
                <w:u w:val="none"/>
              </w:rPr>
            </w:pPr>
          </w:p>
        </w:tc>
      </w:tr>
      <w:tr w14:paraId="6ADD35AA">
        <w:tblPrEx>
          <w:shd w:val="clear" w:color="auto" w:fill="auto"/>
          <w:tblCellMar>
            <w:top w:w="0" w:type="dxa"/>
            <w:left w:w="0" w:type="dxa"/>
            <w:bottom w:w="0" w:type="dxa"/>
            <w:right w:w="0" w:type="dxa"/>
          </w:tblCellMar>
        </w:tblPrEx>
        <w:trPr>
          <w:trHeight w:val="404" w:hRule="atLeast"/>
        </w:trPr>
        <w:tc>
          <w:tcPr>
            <w:tcW w:w="4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BBB656">
            <w:pPr>
              <w:jc w:val="center"/>
              <w:rPr>
                <w:rFonts w:hint="eastAsia" w:ascii="宋体" w:hAnsi="宋体" w:eastAsia="宋体" w:cs="宋体"/>
                <w:i w:val="0"/>
                <w:color w:val="000000"/>
                <w:sz w:val="18"/>
                <w:szCs w:val="18"/>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C0F6F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10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D3C7E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53072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11.47</w:t>
            </w:r>
          </w:p>
        </w:tc>
        <w:tc>
          <w:tcPr>
            <w:tcW w:w="166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E3CD4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11.47</w:t>
            </w:r>
          </w:p>
        </w:tc>
        <w:tc>
          <w:tcPr>
            <w:tcW w:w="6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EE9A3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3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99BEE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E9985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5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6FA000">
            <w:pPr>
              <w:rPr>
                <w:rFonts w:hint="eastAsia" w:ascii="黑体" w:hAnsi="黑体" w:eastAsia="黑体" w:cs="黑体"/>
                <w:i/>
                <w:color w:val="000000"/>
                <w:sz w:val="18"/>
                <w:szCs w:val="18"/>
                <w:u w:val="none"/>
              </w:rPr>
            </w:pPr>
          </w:p>
        </w:tc>
      </w:tr>
      <w:tr w14:paraId="67D0A635">
        <w:tblPrEx>
          <w:tblCellMar>
            <w:top w:w="0" w:type="dxa"/>
            <w:left w:w="0" w:type="dxa"/>
            <w:bottom w:w="0" w:type="dxa"/>
            <w:right w:w="0" w:type="dxa"/>
          </w:tblCellMar>
        </w:tblPrEx>
        <w:trPr>
          <w:trHeight w:val="632" w:hRule="atLeast"/>
        </w:trPr>
        <w:tc>
          <w:tcPr>
            <w:tcW w:w="4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FBF464">
            <w:pPr>
              <w:jc w:val="center"/>
              <w:rPr>
                <w:rFonts w:hint="eastAsia" w:ascii="宋体" w:hAnsi="宋体" w:eastAsia="宋体" w:cs="宋体"/>
                <w:i w:val="0"/>
                <w:color w:val="000000"/>
                <w:sz w:val="18"/>
                <w:szCs w:val="18"/>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ADD09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10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3801E4">
            <w:pPr>
              <w:jc w:val="center"/>
              <w:rPr>
                <w:rFonts w:hint="eastAsia" w:ascii="微软雅黑" w:hAnsi="微软雅黑" w:eastAsia="微软雅黑" w:cs="微软雅黑"/>
                <w:i/>
                <w:color w:val="000000"/>
                <w:sz w:val="16"/>
                <w:szCs w:val="16"/>
                <w:u w:val="none"/>
              </w:rPr>
            </w:pPr>
          </w:p>
        </w:tc>
        <w:tc>
          <w:tcPr>
            <w:tcW w:w="1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AB782C">
            <w:pPr>
              <w:jc w:val="center"/>
              <w:rPr>
                <w:rFonts w:hint="eastAsia" w:ascii="微软雅黑" w:hAnsi="微软雅黑" w:eastAsia="微软雅黑" w:cs="微软雅黑"/>
                <w:i/>
                <w:color w:val="000000"/>
                <w:sz w:val="16"/>
                <w:szCs w:val="16"/>
                <w:u w:val="none"/>
              </w:rPr>
            </w:pPr>
          </w:p>
        </w:tc>
        <w:tc>
          <w:tcPr>
            <w:tcW w:w="166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397E18">
            <w:pPr>
              <w:jc w:val="center"/>
              <w:rPr>
                <w:rFonts w:hint="eastAsia" w:ascii="微软雅黑" w:hAnsi="微软雅黑" w:eastAsia="微软雅黑" w:cs="微软雅黑"/>
                <w:i/>
                <w:color w:val="000000"/>
                <w:sz w:val="16"/>
                <w:szCs w:val="16"/>
                <w:u w:val="none"/>
              </w:rPr>
            </w:pPr>
          </w:p>
        </w:tc>
        <w:tc>
          <w:tcPr>
            <w:tcW w:w="6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C2D27F">
            <w:pPr>
              <w:jc w:val="center"/>
              <w:rPr>
                <w:rFonts w:hint="eastAsia" w:ascii="微软雅黑" w:hAnsi="微软雅黑" w:eastAsia="微软雅黑" w:cs="微软雅黑"/>
                <w:i/>
                <w:color w:val="000000"/>
                <w:sz w:val="16"/>
                <w:szCs w:val="16"/>
                <w:u w:val="none"/>
              </w:rPr>
            </w:pPr>
          </w:p>
        </w:tc>
        <w:tc>
          <w:tcPr>
            <w:tcW w:w="3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22FE1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0C9F4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5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9A975C">
            <w:pPr>
              <w:rPr>
                <w:rFonts w:hint="eastAsia" w:ascii="黑体" w:hAnsi="黑体" w:eastAsia="黑体" w:cs="黑体"/>
                <w:i/>
                <w:color w:val="000000"/>
                <w:sz w:val="18"/>
                <w:szCs w:val="18"/>
                <w:u w:val="none"/>
              </w:rPr>
            </w:pPr>
          </w:p>
        </w:tc>
      </w:tr>
      <w:tr w14:paraId="5737C333">
        <w:tblPrEx>
          <w:tblCellMar>
            <w:top w:w="0" w:type="dxa"/>
            <w:left w:w="0" w:type="dxa"/>
            <w:bottom w:w="0" w:type="dxa"/>
            <w:right w:w="0" w:type="dxa"/>
          </w:tblCellMar>
        </w:tblPrEx>
        <w:trPr>
          <w:trHeight w:val="680" w:hRule="atLeast"/>
        </w:trPr>
        <w:tc>
          <w:tcPr>
            <w:tcW w:w="41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0D17B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D288C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10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1770C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1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08C43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3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C8367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596BD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3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30710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6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52778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3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6DC79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2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F0820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1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C863B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14:paraId="55002100">
        <w:tblPrEx>
          <w:shd w:val="clear" w:color="auto" w:fill="auto"/>
          <w:tblCellMar>
            <w:top w:w="0" w:type="dxa"/>
            <w:left w:w="0" w:type="dxa"/>
            <w:bottom w:w="0" w:type="dxa"/>
            <w:right w:w="0" w:type="dxa"/>
          </w:tblCellMar>
        </w:tblPrEx>
        <w:trPr>
          <w:trHeight w:val="381" w:hRule="atLeast"/>
        </w:trPr>
        <w:tc>
          <w:tcPr>
            <w:tcW w:w="4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0DDA67">
            <w:pPr>
              <w:jc w:val="center"/>
              <w:rPr>
                <w:rFonts w:hint="eastAsia" w:ascii="宋体" w:hAnsi="宋体" w:eastAsia="宋体" w:cs="宋体"/>
                <w:i w:val="0"/>
                <w:color w:val="000000"/>
                <w:sz w:val="18"/>
                <w:szCs w:val="18"/>
                <w:u w:val="none"/>
              </w:rPr>
            </w:pPr>
          </w:p>
        </w:tc>
        <w:tc>
          <w:tcPr>
            <w:tcW w:w="125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803BC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108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06A90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1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26A03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0~6岁儿童健康管理率</w:t>
            </w:r>
          </w:p>
        </w:tc>
        <w:tc>
          <w:tcPr>
            <w:tcW w:w="3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8B7F0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47F64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95</w:t>
            </w:r>
          </w:p>
        </w:tc>
        <w:tc>
          <w:tcPr>
            <w:tcW w:w="3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D8B3B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D9F5A3">
            <w:pPr>
              <w:jc w:val="center"/>
              <w:rPr>
                <w:rFonts w:hint="eastAsia" w:ascii="微软雅黑" w:hAnsi="微软雅黑" w:eastAsia="微软雅黑" w:cs="微软雅黑"/>
                <w:i/>
                <w:color w:val="000000"/>
                <w:sz w:val="16"/>
                <w:szCs w:val="16"/>
                <w:u w:val="none"/>
              </w:rPr>
            </w:pPr>
          </w:p>
        </w:tc>
        <w:tc>
          <w:tcPr>
            <w:tcW w:w="3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F2D6A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2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634C4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1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EFD1D2">
            <w:pPr>
              <w:jc w:val="center"/>
              <w:rPr>
                <w:rFonts w:hint="eastAsia" w:ascii="微软雅黑" w:hAnsi="微软雅黑" w:eastAsia="微软雅黑" w:cs="微软雅黑"/>
                <w:i/>
                <w:color w:val="000000"/>
                <w:sz w:val="16"/>
                <w:szCs w:val="16"/>
                <w:u w:val="none"/>
              </w:rPr>
            </w:pPr>
          </w:p>
        </w:tc>
      </w:tr>
      <w:tr w14:paraId="5BB928A5">
        <w:tblPrEx>
          <w:shd w:val="clear" w:color="auto" w:fill="auto"/>
          <w:tblCellMar>
            <w:top w:w="0" w:type="dxa"/>
            <w:left w:w="0" w:type="dxa"/>
            <w:bottom w:w="0" w:type="dxa"/>
            <w:right w:w="0" w:type="dxa"/>
          </w:tblCellMar>
        </w:tblPrEx>
        <w:trPr>
          <w:trHeight w:val="381" w:hRule="atLeast"/>
        </w:trPr>
        <w:tc>
          <w:tcPr>
            <w:tcW w:w="4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84F2D7">
            <w:pPr>
              <w:jc w:val="center"/>
              <w:rPr>
                <w:rFonts w:hint="eastAsia" w:ascii="宋体" w:hAnsi="宋体" w:eastAsia="宋体" w:cs="宋体"/>
                <w:i w:val="0"/>
                <w:color w:val="000000"/>
                <w:sz w:val="18"/>
                <w:szCs w:val="18"/>
                <w:u w:val="none"/>
              </w:rPr>
            </w:pPr>
          </w:p>
        </w:tc>
        <w:tc>
          <w:tcPr>
            <w:tcW w:w="12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5CA179">
            <w:pPr>
              <w:jc w:val="center"/>
              <w:rPr>
                <w:rFonts w:hint="eastAsia" w:ascii="宋体" w:hAnsi="宋体" w:eastAsia="宋体" w:cs="宋体"/>
                <w:i w:val="0"/>
                <w:color w:val="000000"/>
                <w:sz w:val="18"/>
                <w:szCs w:val="18"/>
                <w:u w:val="none"/>
              </w:rPr>
            </w:pPr>
          </w:p>
        </w:tc>
        <w:tc>
          <w:tcPr>
            <w:tcW w:w="10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F863C7">
            <w:pPr>
              <w:jc w:val="center"/>
              <w:rPr>
                <w:rFonts w:hint="eastAsia" w:ascii="宋体" w:hAnsi="宋体" w:eastAsia="宋体" w:cs="宋体"/>
                <w:i w:val="0"/>
                <w:color w:val="000000"/>
                <w:sz w:val="18"/>
                <w:szCs w:val="18"/>
                <w:u w:val="none"/>
              </w:rPr>
            </w:pPr>
          </w:p>
        </w:tc>
        <w:tc>
          <w:tcPr>
            <w:tcW w:w="1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E5C7A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健康教育培训人次数</w:t>
            </w:r>
          </w:p>
        </w:tc>
        <w:tc>
          <w:tcPr>
            <w:tcW w:w="3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D4C60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53696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80</w:t>
            </w:r>
          </w:p>
        </w:tc>
        <w:tc>
          <w:tcPr>
            <w:tcW w:w="3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810ED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人次</w:t>
            </w:r>
          </w:p>
        </w:tc>
        <w:tc>
          <w:tcPr>
            <w:tcW w:w="6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62128A">
            <w:pPr>
              <w:jc w:val="center"/>
              <w:rPr>
                <w:rFonts w:hint="eastAsia" w:ascii="微软雅黑" w:hAnsi="微软雅黑" w:eastAsia="微软雅黑" w:cs="微软雅黑"/>
                <w:i/>
                <w:color w:val="000000"/>
                <w:sz w:val="16"/>
                <w:szCs w:val="16"/>
                <w:u w:val="none"/>
              </w:rPr>
            </w:pPr>
          </w:p>
        </w:tc>
        <w:tc>
          <w:tcPr>
            <w:tcW w:w="3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07F20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2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AF2A4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4</w:t>
            </w:r>
          </w:p>
        </w:tc>
        <w:tc>
          <w:tcPr>
            <w:tcW w:w="1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AD622A">
            <w:pPr>
              <w:jc w:val="center"/>
              <w:rPr>
                <w:rFonts w:hint="eastAsia" w:ascii="微软雅黑" w:hAnsi="微软雅黑" w:eastAsia="微软雅黑" w:cs="微软雅黑"/>
                <w:i/>
                <w:color w:val="000000"/>
                <w:sz w:val="16"/>
                <w:szCs w:val="16"/>
                <w:u w:val="none"/>
              </w:rPr>
            </w:pPr>
          </w:p>
        </w:tc>
      </w:tr>
      <w:tr w14:paraId="14FEB71B">
        <w:tblPrEx>
          <w:shd w:val="clear" w:color="auto" w:fill="auto"/>
          <w:tblCellMar>
            <w:top w:w="0" w:type="dxa"/>
            <w:left w:w="0" w:type="dxa"/>
            <w:bottom w:w="0" w:type="dxa"/>
            <w:right w:w="0" w:type="dxa"/>
          </w:tblCellMar>
        </w:tblPrEx>
        <w:trPr>
          <w:trHeight w:val="381" w:hRule="atLeast"/>
        </w:trPr>
        <w:tc>
          <w:tcPr>
            <w:tcW w:w="4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4BE161">
            <w:pPr>
              <w:jc w:val="center"/>
              <w:rPr>
                <w:rFonts w:hint="eastAsia" w:ascii="宋体" w:hAnsi="宋体" w:eastAsia="宋体" w:cs="宋体"/>
                <w:i w:val="0"/>
                <w:color w:val="000000"/>
                <w:sz w:val="18"/>
                <w:szCs w:val="18"/>
                <w:u w:val="none"/>
              </w:rPr>
            </w:pPr>
          </w:p>
        </w:tc>
        <w:tc>
          <w:tcPr>
            <w:tcW w:w="12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19DE76">
            <w:pPr>
              <w:jc w:val="center"/>
              <w:rPr>
                <w:rFonts w:hint="eastAsia" w:ascii="宋体" w:hAnsi="宋体" w:eastAsia="宋体" w:cs="宋体"/>
                <w:i w:val="0"/>
                <w:color w:val="000000"/>
                <w:sz w:val="18"/>
                <w:szCs w:val="18"/>
                <w:u w:val="none"/>
              </w:rPr>
            </w:pPr>
          </w:p>
        </w:tc>
        <w:tc>
          <w:tcPr>
            <w:tcW w:w="10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B9CF23">
            <w:pPr>
              <w:jc w:val="center"/>
              <w:rPr>
                <w:rFonts w:hint="eastAsia" w:ascii="宋体" w:hAnsi="宋体" w:eastAsia="宋体" w:cs="宋体"/>
                <w:i w:val="0"/>
                <w:color w:val="000000"/>
                <w:sz w:val="18"/>
                <w:szCs w:val="18"/>
                <w:u w:val="none"/>
              </w:rPr>
            </w:pPr>
          </w:p>
        </w:tc>
        <w:tc>
          <w:tcPr>
            <w:tcW w:w="1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A3B88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高血压患者管理人数</w:t>
            </w:r>
          </w:p>
        </w:tc>
        <w:tc>
          <w:tcPr>
            <w:tcW w:w="3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B4311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1303C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90</w:t>
            </w:r>
          </w:p>
        </w:tc>
        <w:tc>
          <w:tcPr>
            <w:tcW w:w="3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9B7EA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人</w:t>
            </w:r>
          </w:p>
        </w:tc>
        <w:tc>
          <w:tcPr>
            <w:tcW w:w="6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043007">
            <w:pPr>
              <w:jc w:val="center"/>
              <w:rPr>
                <w:rFonts w:hint="eastAsia" w:ascii="微软雅黑" w:hAnsi="微软雅黑" w:eastAsia="微软雅黑" w:cs="微软雅黑"/>
                <w:i/>
                <w:color w:val="000000"/>
                <w:sz w:val="16"/>
                <w:szCs w:val="16"/>
                <w:u w:val="none"/>
              </w:rPr>
            </w:pPr>
          </w:p>
        </w:tc>
        <w:tc>
          <w:tcPr>
            <w:tcW w:w="3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3E1F6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2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097B8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4</w:t>
            </w:r>
          </w:p>
        </w:tc>
        <w:tc>
          <w:tcPr>
            <w:tcW w:w="1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DA172E">
            <w:pPr>
              <w:jc w:val="center"/>
              <w:rPr>
                <w:rFonts w:hint="eastAsia" w:ascii="微软雅黑" w:hAnsi="微软雅黑" w:eastAsia="微软雅黑" w:cs="微软雅黑"/>
                <w:i/>
                <w:color w:val="000000"/>
                <w:sz w:val="16"/>
                <w:szCs w:val="16"/>
                <w:u w:val="none"/>
              </w:rPr>
            </w:pPr>
          </w:p>
        </w:tc>
      </w:tr>
      <w:tr w14:paraId="32B30F33">
        <w:tblPrEx>
          <w:shd w:val="clear" w:color="auto" w:fill="auto"/>
          <w:tblCellMar>
            <w:top w:w="0" w:type="dxa"/>
            <w:left w:w="0" w:type="dxa"/>
            <w:bottom w:w="0" w:type="dxa"/>
            <w:right w:w="0" w:type="dxa"/>
          </w:tblCellMar>
        </w:tblPrEx>
        <w:trPr>
          <w:trHeight w:val="381" w:hRule="atLeast"/>
        </w:trPr>
        <w:tc>
          <w:tcPr>
            <w:tcW w:w="4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C325C2">
            <w:pPr>
              <w:jc w:val="center"/>
              <w:rPr>
                <w:rFonts w:hint="eastAsia" w:ascii="宋体" w:hAnsi="宋体" w:eastAsia="宋体" w:cs="宋体"/>
                <w:i w:val="0"/>
                <w:color w:val="000000"/>
                <w:sz w:val="18"/>
                <w:szCs w:val="18"/>
                <w:u w:val="none"/>
              </w:rPr>
            </w:pPr>
          </w:p>
        </w:tc>
        <w:tc>
          <w:tcPr>
            <w:tcW w:w="12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6A3AE0">
            <w:pPr>
              <w:jc w:val="center"/>
              <w:rPr>
                <w:rFonts w:hint="eastAsia" w:ascii="宋体" w:hAnsi="宋体" w:eastAsia="宋体" w:cs="宋体"/>
                <w:i w:val="0"/>
                <w:color w:val="000000"/>
                <w:sz w:val="18"/>
                <w:szCs w:val="18"/>
                <w:u w:val="none"/>
              </w:rPr>
            </w:pPr>
          </w:p>
        </w:tc>
        <w:tc>
          <w:tcPr>
            <w:tcW w:w="10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9DE9BB">
            <w:pPr>
              <w:jc w:val="center"/>
              <w:rPr>
                <w:rFonts w:hint="eastAsia" w:ascii="宋体" w:hAnsi="宋体" w:eastAsia="宋体" w:cs="宋体"/>
                <w:i w:val="0"/>
                <w:color w:val="000000"/>
                <w:sz w:val="18"/>
                <w:szCs w:val="18"/>
                <w:u w:val="none"/>
              </w:rPr>
            </w:pPr>
          </w:p>
        </w:tc>
        <w:tc>
          <w:tcPr>
            <w:tcW w:w="1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511DD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老年人健康管理率</w:t>
            </w:r>
          </w:p>
        </w:tc>
        <w:tc>
          <w:tcPr>
            <w:tcW w:w="3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D9806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63F98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95</w:t>
            </w:r>
          </w:p>
        </w:tc>
        <w:tc>
          <w:tcPr>
            <w:tcW w:w="3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FFE3C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2B1E35">
            <w:pPr>
              <w:jc w:val="center"/>
              <w:rPr>
                <w:rFonts w:hint="eastAsia" w:ascii="微软雅黑" w:hAnsi="微软雅黑" w:eastAsia="微软雅黑" w:cs="微软雅黑"/>
                <w:i/>
                <w:color w:val="000000"/>
                <w:sz w:val="16"/>
                <w:szCs w:val="16"/>
                <w:u w:val="none"/>
              </w:rPr>
            </w:pPr>
          </w:p>
        </w:tc>
        <w:tc>
          <w:tcPr>
            <w:tcW w:w="3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F7968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2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19F2F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8</w:t>
            </w:r>
          </w:p>
        </w:tc>
        <w:tc>
          <w:tcPr>
            <w:tcW w:w="1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41674B">
            <w:pPr>
              <w:jc w:val="center"/>
              <w:rPr>
                <w:rFonts w:hint="eastAsia" w:ascii="微软雅黑" w:hAnsi="微软雅黑" w:eastAsia="微软雅黑" w:cs="微软雅黑"/>
                <w:i/>
                <w:color w:val="000000"/>
                <w:sz w:val="16"/>
                <w:szCs w:val="16"/>
                <w:u w:val="none"/>
              </w:rPr>
            </w:pPr>
          </w:p>
        </w:tc>
      </w:tr>
      <w:tr w14:paraId="79D01BB0">
        <w:tblPrEx>
          <w:shd w:val="clear" w:color="auto" w:fill="auto"/>
          <w:tblCellMar>
            <w:top w:w="0" w:type="dxa"/>
            <w:left w:w="0" w:type="dxa"/>
            <w:bottom w:w="0" w:type="dxa"/>
            <w:right w:w="0" w:type="dxa"/>
          </w:tblCellMar>
        </w:tblPrEx>
        <w:trPr>
          <w:trHeight w:val="381" w:hRule="atLeast"/>
        </w:trPr>
        <w:tc>
          <w:tcPr>
            <w:tcW w:w="4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6CC400">
            <w:pPr>
              <w:jc w:val="center"/>
              <w:rPr>
                <w:rFonts w:hint="eastAsia" w:ascii="宋体" w:hAnsi="宋体" w:eastAsia="宋体" w:cs="宋体"/>
                <w:i w:val="0"/>
                <w:color w:val="000000"/>
                <w:sz w:val="18"/>
                <w:szCs w:val="18"/>
                <w:u w:val="none"/>
              </w:rPr>
            </w:pPr>
          </w:p>
        </w:tc>
        <w:tc>
          <w:tcPr>
            <w:tcW w:w="12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1BBC11">
            <w:pPr>
              <w:jc w:val="center"/>
              <w:rPr>
                <w:rFonts w:hint="eastAsia" w:ascii="宋体" w:hAnsi="宋体" w:eastAsia="宋体" w:cs="宋体"/>
                <w:i w:val="0"/>
                <w:color w:val="000000"/>
                <w:sz w:val="18"/>
                <w:szCs w:val="18"/>
                <w:u w:val="none"/>
              </w:rPr>
            </w:pPr>
          </w:p>
        </w:tc>
        <w:tc>
          <w:tcPr>
            <w:tcW w:w="10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EBDB30">
            <w:pPr>
              <w:jc w:val="center"/>
              <w:rPr>
                <w:rFonts w:hint="eastAsia" w:ascii="宋体" w:hAnsi="宋体" w:eastAsia="宋体" w:cs="宋体"/>
                <w:i w:val="0"/>
                <w:color w:val="000000"/>
                <w:sz w:val="18"/>
                <w:szCs w:val="18"/>
                <w:u w:val="none"/>
              </w:rPr>
            </w:pPr>
          </w:p>
        </w:tc>
        <w:tc>
          <w:tcPr>
            <w:tcW w:w="1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0A131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0-6岁儿童健康管理率</w:t>
            </w:r>
          </w:p>
        </w:tc>
        <w:tc>
          <w:tcPr>
            <w:tcW w:w="3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CCBB9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9DE7E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90</w:t>
            </w:r>
          </w:p>
        </w:tc>
        <w:tc>
          <w:tcPr>
            <w:tcW w:w="3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CFB79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ACAFA8">
            <w:pPr>
              <w:jc w:val="center"/>
              <w:rPr>
                <w:rFonts w:hint="eastAsia" w:ascii="微软雅黑" w:hAnsi="微软雅黑" w:eastAsia="微软雅黑" w:cs="微软雅黑"/>
                <w:i/>
                <w:color w:val="000000"/>
                <w:sz w:val="16"/>
                <w:szCs w:val="16"/>
                <w:u w:val="none"/>
              </w:rPr>
            </w:pPr>
          </w:p>
        </w:tc>
        <w:tc>
          <w:tcPr>
            <w:tcW w:w="3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5DEE7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2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94C67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w:t>
            </w:r>
          </w:p>
        </w:tc>
        <w:tc>
          <w:tcPr>
            <w:tcW w:w="1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C79D50">
            <w:pPr>
              <w:jc w:val="center"/>
              <w:rPr>
                <w:rFonts w:hint="eastAsia" w:ascii="微软雅黑" w:hAnsi="微软雅黑" w:eastAsia="微软雅黑" w:cs="微软雅黑"/>
                <w:i/>
                <w:color w:val="000000"/>
                <w:sz w:val="16"/>
                <w:szCs w:val="16"/>
                <w:u w:val="none"/>
              </w:rPr>
            </w:pPr>
          </w:p>
        </w:tc>
      </w:tr>
      <w:tr w14:paraId="59BB12E7">
        <w:tblPrEx>
          <w:shd w:val="clear" w:color="auto" w:fill="auto"/>
          <w:tblCellMar>
            <w:top w:w="0" w:type="dxa"/>
            <w:left w:w="0" w:type="dxa"/>
            <w:bottom w:w="0" w:type="dxa"/>
            <w:right w:w="0" w:type="dxa"/>
          </w:tblCellMar>
        </w:tblPrEx>
        <w:trPr>
          <w:trHeight w:val="680" w:hRule="atLeast"/>
        </w:trPr>
        <w:tc>
          <w:tcPr>
            <w:tcW w:w="4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226A0D">
            <w:pPr>
              <w:jc w:val="center"/>
              <w:rPr>
                <w:rFonts w:hint="eastAsia" w:ascii="宋体" w:hAnsi="宋体" w:eastAsia="宋体" w:cs="宋体"/>
                <w:i w:val="0"/>
                <w:color w:val="000000"/>
                <w:sz w:val="18"/>
                <w:szCs w:val="18"/>
                <w:u w:val="none"/>
              </w:rPr>
            </w:pPr>
          </w:p>
        </w:tc>
        <w:tc>
          <w:tcPr>
            <w:tcW w:w="12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316631">
            <w:pPr>
              <w:jc w:val="center"/>
              <w:rPr>
                <w:rFonts w:hint="eastAsia" w:ascii="宋体" w:hAnsi="宋体" w:eastAsia="宋体" w:cs="宋体"/>
                <w:i w:val="0"/>
                <w:color w:val="000000"/>
                <w:sz w:val="18"/>
                <w:szCs w:val="18"/>
                <w:u w:val="none"/>
              </w:rPr>
            </w:pPr>
          </w:p>
        </w:tc>
        <w:tc>
          <w:tcPr>
            <w:tcW w:w="10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AA2E3E">
            <w:pPr>
              <w:jc w:val="center"/>
              <w:rPr>
                <w:rFonts w:hint="eastAsia" w:ascii="宋体" w:hAnsi="宋体" w:eastAsia="宋体" w:cs="宋体"/>
                <w:i w:val="0"/>
                <w:color w:val="000000"/>
                <w:sz w:val="18"/>
                <w:szCs w:val="18"/>
                <w:u w:val="none"/>
              </w:rPr>
            </w:pPr>
          </w:p>
        </w:tc>
        <w:tc>
          <w:tcPr>
            <w:tcW w:w="1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4CA41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适龄儿童免疫规划疫苗接种率</w:t>
            </w:r>
          </w:p>
        </w:tc>
        <w:tc>
          <w:tcPr>
            <w:tcW w:w="3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25B9C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1B8B9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90</w:t>
            </w:r>
          </w:p>
        </w:tc>
        <w:tc>
          <w:tcPr>
            <w:tcW w:w="3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98B27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8C11B0">
            <w:pPr>
              <w:jc w:val="center"/>
              <w:rPr>
                <w:rFonts w:hint="eastAsia" w:ascii="微软雅黑" w:hAnsi="微软雅黑" w:eastAsia="微软雅黑" w:cs="微软雅黑"/>
                <w:i/>
                <w:color w:val="000000"/>
                <w:sz w:val="16"/>
                <w:szCs w:val="16"/>
                <w:u w:val="none"/>
              </w:rPr>
            </w:pPr>
          </w:p>
        </w:tc>
        <w:tc>
          <w:tcPr>
            <w:tcW w:w="3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15F7E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2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2925B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1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837D15">
            <w:pPr>
              <w:jc w:val="center"/>
              <w:rPr>
                <w:rFonts w:hint="eastAsia" w:ascii="微软雅黑" w:hAnsi="微软雅黑" w:eastAsia="微软雅黑" w:cs="微软雅黑"/>
                <w:i/>
                <w:color w:val="000000"/>
                <w:sz w:val="16"/>
                <w:szCs w:val="16"/>
                <w:u w:val="none"/>
              </w:rPr>
            </w:pPr>
          </w:p>
        </w:tc>
      </w:tr>
      <w:tr w14:paraId="534B8EF6">
        <w:tblPrEx>
          <w:tblCellMar>
            <w:top w:w="0" w:type="dxa"/>
            <w:left w:w="0" w:type="dxa"/>
            <w:bottom w:w="0" w:type="dxa"/>
            <w:right w:w="0" w:type="dxa"/>
          </w:tblCellMar>
        </w:tblPrEx>
        <w:trPr>
          <w:trHeight w:val="680" w:hRule="atLeast"/>
        </w:trPr>
        <w:tc>
          <w:tcPr>
            <w:tcW w:w="4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530024">
            <w:pPr>
              <w:jc w:val="center"/>
              <w:rPr>
                <w:rFonts w:hint="eastAsia" w:ascii="宋体" w:hAnsi="宋体" w:eastAsia="宋体" w:cs="宋体"/>
                <w:i w:val="0"/>
                <w:color w:val="000000"/>
                <w:sz w:val="18"/>
                <w:szCs w:val="18"/>
                <w:u w:val="none"/>
              </w:rPr>
            </w:pPr>
          </w:p>
        </w:tc>
        <w:tc>
          <w:tcPr>
            <w:tcW w:w="12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70AFC2">
            <w:pPr>
              <w:jc w:val="center"/>
              <w:rPr>
                <w:rFonts w:hint="eastAsia" w:ascii="宋体" w:hAnsi="宋体" w:eastAsia="宋体" w:cs="宋体"/>
                <w:i w:val="0"/>
                <w:color w:val="000000"/>
                <w:sz w:val="18"/>
                <w:szCs w:val="18"/>
                <w:u w:val="none"/>
              </w:rPr>
            </w:pPr>
          </w:p>
        </w:tc>
        <w:tc>
          <w:tcPr>
            <w:tcW w:w="10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FDBCAC">
            <w:pPr>
              <w:jc w:val="center"/>
              <w:rPr>
                <w:rFonts w:hint="eastAsia" w:ascii="宋体" w:hAnsi="宋体" w:eastAsia="宋体" w:cs="宋体"/>
                <w:i w:val="0"/>
                <w:color w:val="000000"/>
                <w:sz w:val="18"/>
                <w:szCs w:val="18"/>
                <w:u w:val="none"/>
              </w:rPr>
            </w:pPr>
          </w:p>
        </w:tc>
        <w:tc>
          <w:tcPr>
            <w:tcW w:w="1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52177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0-6岁儿童眼保健和视力检查覆盖率</w:t>
            </w:r>
          </w:p>
        </w:tc>
        <w:tc>
          <w:tcPr>
            <w:tcW w:w="3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18700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E283E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85</w:t>
            </w:r>
          </w:p>
        </w:tc>
        <w:tc>
          <w:tcPr>
            <w:tcW w:w="3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9837E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BB1A85">
            <w:pPr>
              <w:jc w:val="center"/>
              <w:rPr>
                <w:rFonts w:hint="eastAsia" w:ascii="微软雅黑" w:hAnsi="微软雅黑" w:eastAsia="微软雅黑" w:cs="微软雅黑"/>
                <w:i/>
                <w:color w:val="000000"/>
                <w:sz w:val="16"/>
                <w:szCs w:val="16"/>
                <w:u w:val="none"/>
              </w:rPr>
            </w:pPr>
          </w:p>
        </w:tc>
        <w:tc>
          <w:tcPr>
            <w:tcW w:w="3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4E6EA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2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BBB3D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1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277660">
            <w:pPr>
              <w:jc w:val="center"/>
              <w:rPr>
                <w:rFonts w:hint="eastAsia" w:ascii="微软雅黑" w:hAnsi="微软雅黑" w:eastAsia="微软雅黑" w:cs="微软雅黑"/>
                <w:i/>
                <w:color w:val="000000"/>
                <w:sz w:val="16"/>
                <w:szCs w:val="16"/>
                <w:u w:val="none"/>
              </w:rPr>
            </w:pPr>
          </w:p>
        </w:tc>
      </w:tr>
      <w:tr w14:paraId="010F0EF5">
        <w:tblPrEx>
          <w:tblCellMar>
            <w:top w:w="0" w:type="dxa"/>
            <w:left w:w="0" w:type="dxa"/>
            <w:bottom w:w="0" w:type="dxa"/>
            <w:right w:w="0" w:type="dxa"/>
          </w:tblCellMar>
        </w:tblPrEx>
        <w:trPr>
          <w:trHeight w:val="381" w:hRule="atLeast"/>
        </w:trPr>
        <w:tc>
          <w:tcPr>
            <w:tcW w:w="4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293B8D">
            <w:pPr>
              <w:jc w:val="center"/>
              <w:rPr>
                <w:rFonts w:hint="eastAsia" w:ascii="宋体" w:hAnsi="宋体" w:eastAsia="宋体" w:cs="宋体"/>
                <w:i w:val="0"/>
                <w:color w:val="000000"/>
                <w:sz w:val="18"/>
                <w:szCs w:val="18"/>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C57A2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10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3A4A7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可持续发展指标</w:t>
            </w:r>
          </w:p>
        </w:tc>
        <w:tc>
          <w:tcPr>
            <w:tcW w:w="1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82CA8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儿童疫苗接种</w:t>
            </w:r>
          </w:p>
        </w:tc>
        <w:tc>
          <w:tcPr>
            <w:tcW w:w="3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83AA2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50A36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90</w:t>
            </w:r>
          </w:p>
        </w:tc>
        <w:tc>
          <w:tcPr>
            <w:tcW w:w="3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F707E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E826E1">
            <w:pPr>
              <w:jc w:val="center"/>
              <w:rPr>
                <w:rFonts w:hint="eastAsia" w:ascii="微软雅黑" w:hAnsi="微软雅黑" w:eastAsia="微软雅黑" w:cs="微软雅黑"/>
                <w:i/>
                <w:color w:val="000000"/>
                <w:sz w:val="16"/>
                <w:szCs w:val="16"/>
                <w:u w:val="none"/>
              </w:rPr>
            </w:pPr>
          </w:p>
        </w:tc>
        <w:tc>
          <w:tcPr>
            <w:tcW w:w="3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9AF54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40</w:t>
            </w:r>
          </w:p>
        </w:tc>
        <w:tc>
          <w:tcPr>
            <w:tcW w:w="2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17F79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40</w:t>
            </w:r>
          </w:p>
        </w:tc>
        <w:tc>
          <w:tcPr>
            <w:tcW w:w="1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58B98C">
            <w:pPr>
              <w:jc w:val="center"/>
              <w:rPr>
                <w:rFonts w:hint="eastAsia" w:ascii="微软雅黑" w:hAnsi="微软雅黑" w:eastAsia="微软雅黑" w:cs="微软雅黑"/>
                <w:i/>
                <w:color w:val="000000"/>
                <w:sz w:val="16"/>
                <w:szCs w:val="16"/>
                <w:u w:val="none"/>
              </w:rPr>
            </w:pPr>
          </w:p>
        </w:tc>
      </w:tr>
      <w:tr w14:paraId="388D39B6">
        <w:tblPrEx>
          <w:shd w:val="clear" w:color="auto" w:fill="auto"/>
          <w:tblCellMar>
            <w:top w:w="0" w:type="dxa"/>
            <w:left w:w="0" w:type="dxa"/>
            <w:bottom w:w="0" w:type="dxa"/>
            <w:right w:w="0" w:type="dxa"/>
          </w:tblCellMar>
        </w:tblPrEx>
        <w:trPr>
          <w:trHeight w:val="499" w:hRule="atLeast"/>
        </w:trPr>
        <w:tc>
          <w:tcPr>
            <w:tcW w:w="4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1F5430">
            <w:pPr>
              <w:jc w:val="center"/>
              <w:rPr>
                <w:rFonts w:hint="eastAsia" w:ascii="宋体" w:hAnsi="宋体" w:eastAsia="宋体" w:cs="宋体"/>
                <w:i w:val="0"/>
                <w:color w:val="000000"/>
                <w:sz w:val="18"/>
                <w:szCs w:val="18"/>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ECF93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满意度指标</w:t>
            </w:r>
          </w:p>
        </w:tc>
        <w:tc>
          <w:tcPr>
            <w:tcW w:w="10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FB013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服务对象满意度指标</w:t>
            </w:r>
          </w:p>
        </w:tc>
        <w:tc>
          <w:tcPr>
            <w:tcW w:w="1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DE94C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慢性病档案管理</w:t>
            </w:r>
          </w:p>
        </w:tc>
        <w:tc>
          <w:tcPr>
            <w:tcW w:w="3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8DEF4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77344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90</w:t>
            </w:r>
          </w:p>
        </w:tc>
        <w:tc>
          <w:tcPr>
            <w:tcW w:w="3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4B3C9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EDC531">
            <w:pPr>
              <w:jc w:val="center"/>
              <w:rPr>
                <w:rFonts w:hint="eastAsia" w:ascii="微软雅黑" w:hAnsi="微软雅黑" w:eastAsia="微软雅黑" w:cs="微软雅黑"/>
                <w:i/>
                <w:color w:val="000000"/>
                <w:sz w:val="16"/>
                <w:szCs w:val="16"/>
                <w:u w:val="none"/>
              </w:rPr>
            </w:pPr>
          </w:p>
        </w:tc>
        <w:tc>
          <w:tcPr>
            <w:tcW w:w="3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F5851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2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4AEDB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1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88E035">
            <w:pPr>
              <w:jc w:val="center"/>
              <w:rPr>
                <w:rFonts w:hint="eastAsia" w:ascii="微软雅黑" w:hAnsi="微软雅黑" w:eastAsia="微软雅黑" w:cs="微软雅黑"/>
                <w:i/>
                <w:color w:val="000000"/>
                <w:sz w:val="16"/>
                <w:szCs w:val="16"/>
                <w:u w:val="none"/>
              </w:rPr>
            </w:pPr>
          </w:p>
        </w:tc>
      </w:tr>
      <w:tr w14:paraId="2EA75012">
        <w:tblPrEx>
          <w:shd w:val="clear" w:color="auto" w:fill="auto"/>
          <w:tblCellMar>
            <w:top w:w="0" w:type="dxa"/>
            <w:left w:w="0" w:type="dxa"/>
            <w:bottom w:w="0" w:type="dxa"/>
            <w:right w:w="0" w:type="dxa"/>
          </w:tblCellMar>
        </w:tblPrEx>
        <w:trPr>
          <w:trHeight w:val="353" w:hRule="atLeast"/>
        </w:trPr>
        <w:tc>
          <w:tcPr>
            <w:tcW w:w="6454"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9F091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3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4F54A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2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3E6728">
            <w:pPr>
              <w:keepNext w:val="0"/>
              <w:keepLines w:val="0"/>
              <w:widowControl/>
              <w:suppressLineNumbers w:val="0"/>
              <w:jc w:val="righ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95</w:t>
            </w:r>
          </w:p>
        </w:tc>
        <w:tc>
          <w:tcPr>
            <w:tcW w:w="1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E02BCE">
            <w:pPr>
              <w:rPr>
                <w:rFonts w:hint="eastAsia" w:ascii="宋体" w:hAnsi="宋体" w:eastAsia="宋体" w:cs="宋体"/>
                <w:i w:val="0"/>
                <w:color w:val="000000"/>
                <w:sz w:val="18"/>
                <w:szCs w:val="18"/>
                <w:u w:val="none"/>
              </w:rPr>
            </w:pPr>
          </w:p>
        </w:tc>
      </w:tr>
      <w:tr w14:paraId="066F0B10">
        <w:tblPrEx>
          <w:tblCellMar>
            <w:top w:w="0" w:type="dxa"/>
            <w:left w:w="0" w:type="dxa"/>
            <w:bottom w:w="0" w:type="dxa"/>
            <w:right w:w="0" w:type="dxa"/>
          </w:tblCellMar>
        </w:tblPrEx>
        <w:trPr>
          <w:trHeight w:val="680" w:hRule="atLeast"/>
        </w:trPr>
        <w:tc>
          <w:tcPr>
            <w:tcW w:w="4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C80C7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8185"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200398">
            <w:pPr>
              <w:keepNext w:val="0"/>
              <w:keepLines w:val="0"/>
              <w:widowControl/>
              <w:suppressLineNumbers w:val="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确保了资金的安全和高效使用，满足了城乡居民的基本公共卫生服务需求，经单位自评，该项目得分为95分。</w:t>
            </w:r>
          </w:p>
        </w:tc>
      </w:tr>
      <w:tr w14:paraId="70062B54">
        <w:tblPrEx>
          <w:shd w:val="clear" w:color="auto" w:fill="auto"/>
          <w:tblCellMar>
            <w:top w:w="0" w:type="dxa"/>
            <w:left w:w="0" w:type="dxa"/>
            <w:bottom w:w="0" w:type="dxa"/>
            <w:right w:w="0" w:type="dxa"/>
          </w:tblCellMar>
        </w:tblPrEx>
        <w:trPr>
          <w:trHeight w:val="680" w:hRule="atLeast"/>
        </w:trPr>
        <w:tc>
          <w:tcPr>
            <w:tcW w:w="4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A771B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8185"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E10D6D">
            <w:pPr>
              <w:keepNext w:val="0"/>
              <w:keepLines w:val="0"/>
              <w:widowControl/>
              <w:suppressLineNumbers w:val="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资金使用分配</w:t>
            </w:r>
          </w:p>
        </w:tc>
      </w:tr>
      <w:tr w14:paraId="3A5A9F1F">
        <w:tblPrEx>
          <w:shd w:val="clear" w:color="auto" w:fill="auto"/>
          <w:tblCellMar>
            <w:top w:w="0" w:type="dxa"/>
            <w:left w:w="0" w:type="dxa"/>
            <w:bottom w:w="0" w:type="dxa"/>
            <w:right w:w="0" w:type="dxa"/>
          </w:tblCellMar>
        </w:tblPrEx>
        <w:trPr>
          <w:trHeight w:val="689" w:hRule="atLeast"/>
        </w:trPr>
        <w:tc>
          <w:tcPr>
            <w:tcW w:w="4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F1F0C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8185"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B6F8E4">
            <w:pPr>
              <w:keepNext w:val="0"/>
              <w:keepLines w:val="0"/>
              <w:widowControl/>
              <w:suppressLineNumbers w:val="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改善公卫代管资金的使用分配</w:t>
            </w:r>
          </w:p>
        </w:tc>
      </w:tr>
      <w:tr w14:paraId="57540259">
        <w:tblPrEx>
          <w:tblCellMar>
            <w:top w:w="0" w:type="dxa"/>
            <w:left w:w="0" w:type="dxa"/>
            <w:bottom w:w="0" w:type="dxa"/>
            <w:right w:w="0" w:type="dxa"/>
          </w:tblCellMar>
        </w:tblPrEx>
        <w:trPr>
          <w:trHeight w:val="353" w:hRule="atLeast"/>
        </w:trPr>
        <w:tc>
          <w:tcPr>
            <w:tcW w:w="444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C6C7C4">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项目负责人：</w:t>
            </w:r>
          </w:p>
        </w:tc>
        <w:tc>
          <w:tcPr>
            <w:tcW w:w="4154"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9A0D13">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财务负责人：</w:t>
            </w:r>
          </w:p>
        </w:tc>
      </w:tr>
      <w:tr w14:paraId="0634C1C4">
        <w:tblPrEx>
          <w:shd w:val="clear" w:color="auto" w:fill="auto"/>
          <w:tblCellMar>
            <w:top w:w="0" w:type="dxa"/>
            <w:left w:w="0" w:type="dxa"/>
            <w:bottom w:w="0" w:type="dxa"/>
            <w:right w:w="0" w:type="dxa"/>
          </w:tblCellMar>
        </w:tblPrEx>
        <w:trPr>
          <w:trHeight w:val="353" w:hRule="atLeast"/>
        </w:trPr>
        <w:tc>
          <w:tcPr>
            <w:tcW w:w="415" w:type="dxa"/>
            <w:tcBorders>
              <w:top w:val="nil"/>
              <w:left w:val="nil"/>
              <w:bottom w:val="nil"/>
              <w:right w:val="nil"/>
            </w:tcBorders>
            <w:shd w:val="clear" w:color="auto" w:fill="auto"/>
            <w:tcMar>
              <w:top w:w="15" w:type="dxa"/>
              <w:left w:w="15" w:type="dxa"/>
              <w:right w:w="15" w:type="dxa"/>
            </w:tcMar>
            <w:vAlign w:val="center"/>
          </w:tcPr>
          <w:p w14:paraId="488FB2EA">
            <w:pPr>
              <w:rPr>
                <w:rFonts w:hint="eastAsia" w:ascii="宋体" w:hAnsi="宋体" w:eastAsia="宋体" w:cs="宋体"/>
                <w:i w:val="0"/>
                <w:color w:val="000000"/>
                <w:sz w:val="18"/>
                <w:szCs w:val="18"/>
                <w:u w:val="none"/>
              </w:rPr>
            </w:pPr>
          </w:p>
        </w:tc>
        <w:tc>
          <w:tcPr>
            <w:tcW w:w="1250" w:type="dxa"/>
            <w:tcBorders>
              <w:top w:val="nil"/>
              <w:left w:val="nil"/>
              <w:bottom w:val="nil"/>
              <w:right w:val="nil"/>
            </w:tcBorders>
            <w:shd w:val="clear" w:color="auto" w:fill="auto"/>
            <w:tcMar>
              <w:top w:w="15" w:type="dxa"/>
              <w:left w:w="15" w:type="dxa"/>
              <w:right w:w="15" w:type="dxa"/>
            </w:tcMar>
            <w:vAlign w:val="center"/>
          </w:tcPr>
          <w:p w14:paraId="55787C7B">
            <w:pPr>
              <w:rPr>
                <w:rFonts w:hint="eastAsia" w:ascii="宋体" w:hAnsi="宋体" w:eastAsia="宋体" w:cs="宋体"/>
                <w:i w:val="0"/>
                <w:color w:val="000000"/>
                <w:sz w:val="18"/>
                <w:szCs w:val="18"/>
                <w:u w:val="none"/>
              </w:rPr>
            </w:pPr>
          </w:p>
        </w:tc>
        <w:tc>
          <w:tcPr>
            <w:tcW w:w="1082" w:type="dxa"/>
            <w:tcBorders>
              <w:top w:val="nil"/>
              <w:left w:val="nil"/>
              <w:bottom w:val="nil"/>
              <w:right w:val="nil"/>
            </w:tcBorders>
            <w:shd w:val="clear" w:color="auto" w:fill="auto"/>
            <w:tcMar>
              <w:top w:w="15" w:type="dxa"/>
              <w:left w:w="15" w:type="dxa"/>
              <w:right w:w="15" w:type="dxa"/>
            </w:tcMar>
            <w:vAlign w:val="center"/>
          </w:tcPr>
          <w:p w14:paraId="29ED3C8F">
            <w:pPr>
              <w:rPr>
                <w:rFonts w:hint="eastAsia" w:ascii="宋体" w:hAnsi="宋体" w:eastAsia="宋体" w:cs="宋体"/>
                <w:i w:val="0"/>
                <w:color w:val="000000"/>
                <w:sz w:val="18"/>
                <w:szCs w:val="18"/>
                <w:u w:val="none"/>
              </w:rPr>
            </w:pPr>
          </w:p>
        </w:tc>
        <w:tc>
          <w:tcPr>
            <w:tcW w:w="1381" w:type="dxa"/>
            <w:tcBorders>
              <w:top w:val="nil"/>
              <w:left w:val="nil"/>
              <w:bottom w:val="nil"/>
              <w:right w:val="nil"/>
            </w:tcBorders>
            <w:shd w:val="clear" w:color="auto" w:fill="auto"/>
            <w:tcMar>
              <w:top w:w="15" w:type="dxa"/>
              <w:left w:w="15" w:type="dxa"/>
              <w:right w:w="15" w:type="dxa"/>
            </w:tcMar>
            <w:vAlign w:val="center"/>
          </w:tcPr>
          <w:p w14:paraId="1F72B069">
            <w:pPr>
              <w:rPr>
                <w:rFonts w:hint="eastAsia" w:ascii="宋体" w:hAnsi="宋体" w:eastAsia="宋体" w:cs="宋体"/>
                <w:i w:val="0"/>
                <w:color w:val="000000"/>
                <w:sz w:val="18"/>
                <w:szCs w:val="18"/>
                <w:u w:val="none"/>
              </w:rPr>
            </w:pPr>
          </w:p>
        </w:tc>
        <w:tc>
          <w:tcPr>
            <w:tcW w:w="318" w:type="dxa"/>
            <w:tcBorders>
              <w:top w:val="nil"/>
              <w:left w:val="nil"/>
              <w:bottom w:val="nil"/>
              <w:right w:val="nil"/>
            </w:tcBorders>
            <w:shd w:val="clear" w:color="auto" w:fill="auto"/>
            <w:tcMar>
              <w:top w:w="15" w:type="dxa"/>
              <w:left w:w="15" w:type="dxa"/>
              <w:right w:w="15" w:type="dxa"/>
            </w:tcMar>
            <w:vAlign w:val="center"/>
          </w:tcPr>
          <w:p w14:paraId="595587C5">
            <w:pPr>
              <w:rPr>
                <w:rFonts w:hint="eastAsia" w:ascii="宋体" w:hAnsi="宋体" w:eastAsia="宋体" w:cs="宋体"/>
                <w:i w:val="0"/>
                <w:color w:val="000000"/>
                <w:sz w:val="18"/>
                <w:szCs w:val="18"/>
                <w:u w:val="none"/>
              </w:rPr>
            </w:pPr>
          </w:p>
        </w:tc>
        <w:tc>
          <w:tcPr>
            <w:tcW w:w="1023" w:type="dxa"/>
            <w:tcBorders>
              <w:top w:val="nil"/>
              <w:left w:val="nil"/>
              <w:bottom w:val="nil"/>
              <w:right w:val="nil"/>
            </w:tcBorders>
            <w:shd w:val="clear" w:color="auto" w:fill="auto"/>
            <w:tcMar>
              <w:top w:w="15" w:type="dxa"/>
              <w:left w:w="15" w:type="dxa"/>
              <w:right w:w="15" w:type="dxa"/>
            </w:tcMar>
            <w:vAlign w:val="center"/>
          </w:tcPr>
          <w:p w14:paraId="0BE1601D">
            <w:pPr>
              <w:rPr>
                <w:rFonts w:hint="eastAsia" w:ascii="宋体" w:hAnsi="宋体" w:eastAsia="宋体" w:cs="宋体"/>
                <w:i w:val="0"/>
                <w:color w:val="000000"/>
                <w:sz w:val="18"/>
                <w:szCs w:val="18"/>
                <w:u w:val="none"/>
              </w:rPr>
            </w:pPr>
          </w:p>
        </w:tc>
        <w:tc>
          <w:tcPr>
            <w:tcW w:w="319" w:type="dxa"/>
            <w:tcBorders>
              <w:top w:val="nil"/>
              <w:left w:val="nil"/>
              <w:bottom w:val="nil"/>
              <w:right w:val="nil"/>
            </w:tcBorders>
            <w:shd w:val="clear" w:color="auto" w:fill="auto"/>
            <w:tcMar>
              <w:top w:w="15" w:type="dxa"/>
              <w:left w:w="15" w:type="dxa"/>
              <w:right w:w="15" w:type="dxa"/>
            </w:tcMar>
            <w:vAlign w:val="center"/>
          </w:tcPr>
          <w:p w14:paraId="3D0D2DFE">
            <w:pPr>
              <w:rPr>
                <w:rFonts w:hint="eastAsia" w:ascii="宋体" w:hAnsi="宋体" w:eastAsia="宋体" w:cs="宋体"/>
                <w:i w:val="0"/>
                <w:color w:val="000000"/>
                <w:sz w:val="18"/>
                <w:szCs w:val="18"/>
                <w:u w:val="none"/>
              </w:rPr>
            </w:pPr>
          </w:p>
        </w:tc>
        <w:tc>
          <w:tcPr>
            <w:tcW w:w="666" w:type="dxa"/>
            <w:tcBorders>
              <w:top w:val="nil"/>
              <w:left w:val="nil"/>
              <w:bottom w:val="nil"/>
              <w:right w:val="nil"/>
            </w:tcBorders>
            <w:shd w:val="clear" w:color="auto" w:fill="auto"/>
            <w:tcMar>
              <w:top w:w="15" w:type="dxa"/>
              <w:left w:w="15" w:type="dxa"/>
              <w:right w:w="15" w:type="dxa"/>
            </w:tcMar>
            <w:vAlign w:val="center"/>
          </w:tcPr>
          <w:p w14:paraId="0C32BFAF">
            <w:pPr>
              <w:rPr>
                <w:rFonts w:hint="eastAsia" w:ascii="宋体" w:hAnsi="宋体" w:eastAsia="宋体" w:cs="宋体"/>
                <w:i w:val="0"/>
                <w:color w:val="000000"/>
                <w:sz w:val="18"/>
                <w:szCs w:val="18"/>
                <w:u w:val="none"/>
              </w:rPr>
            </w:pPr>
          </w:p>
        </w:tc>
        <w:tc>
          <w:tcPr>
            <w:tcW w:w="309" w:type="dxa"/>
            <w:tcBorders>
              <w:top w:val="nil"/>
              <w:left w:val="nil"/>
              <w:bottom w:val="nil"/>
              <w:right w:val="nil"/>
            </w:tcBorders>
            <w:shd w:val="clear" w:color="auto" w:fill="auto"/>
            <w:tcMar>
              <w:top w:w="15" w:type="dxa"/>
              <w:left w:w="15" w:type="dxa"/>
              <w:right w:w="15" w:type="dxa"/>
            </w:tcMar>
            <w:vAlign w:val="center"/>
          </w:tcPr>
          <w:p w14:paraId="014C7E6C">
            <w:pPr>
              <w:rPr>
                <w:rFonts w:hint="eastAsia" w:ascii="宋体" w:hAnsi="宋体" w:eastAsia="宋体" w:cs="宋体"/>
                <w:i w:val="0"/>
                <w:color w:val="000000"/>
                <w:sz w:val="18"/>
                <w:szCs w:val="18"/>
                <w:u w:val="none"/>
              </w:rPr>
            </w:pPr>
          </w:p>
        </w:tc>
        <w:tc>
          <w:tcPr>
            <w:tcW w:w="279" w:type="dxa"/>
            <w:tcBorders>
              <w:top w:val="nil"/>
              <w:left w:val="nil"/>
              <w:bottom w:val="nil"/>
              <w:right w:val="nil"/>
            </w:tcBorders>
            <w:shd w:val="clear" w:color="auto" w:fill="auto"/>
            <w:tcMar>
              <w:top w:w="15" w:type="dxa"/>
              <w:left w:w="15" w:type="dxa"/>
              <w:right w:w="15" w:type="dxa"/>
            </w:tcMar>
            <w:vAlign w:val="center"/>
          </w:tcPr>
          <w:p w14:paraId="7635966D">
            <w:pPr>
              <w:rPr>
                <w:rFonts w:hint="eastAsia" w:ascii="宋体" w:hAnsi="宋体" w:eastAsia="宋体" w:cs="宋体"/>
                <w:i w:val="0"/>
                <w:color w:val="000000"/>
                <w:sz w:val="18"/>
                <w:szCs w:val="18"/>
                <w:u w:val="none"/>
              </w:rPr>
            </w:pPr>
          </w:p>
        </w:tc>
        <w:tc>
          <w:tcPr>
            <w:tcW w:w="1558" w:type="dxa"/>
            <w:tcBorders>
              <w:top w:val="nil"/>
              <w:left w:val="nil"/>
              <w:bottom w:val="nil"/>
              <w:right w:val="nil"/>
            </w:tcBorders>
            <w:shd w:val="clear" w:color="auto" w:fill="auto"/>
            <w:tcMar>
              <w:top w:w="15" w:type="dxa"/>
              <w:left w:w="15" w:type="dxa"/>
              <w:right w:w="15" w:type="dxa"/>
            </w:tcMar>
            <w:vAlign w:val="center"/>
          </w:tcPr>
          <w:p w14:paraId="19401F85">
            <w:pPr>
              <w:rPr>
                <w:rFonts w:hint="eastAsia" w:ascii="宋体" w:hAnsi="宋体" w:eastAsia="宋体" w:cs="宋体"/>
                <w:i w:val="0"/>
                <w:color w:val="000000"/>
                <w:sz w:val="18"/>
                <w:szCs w:val="18"/>
                <w:u w:val="none"/>
              </w:rPr>
            </w:pPr>
          </w:p>
        </w:tc>
      </w:tr>
      <w:tr w14:paraId="2B3814A1">
        <w:tblPrEx>
          <w:tblCellMar>
            <w:top w:w="0" w:type="dxa"/>
            <w:left w:w="0" w:type="dxa"/>
            <w:bottom w:w="0" w:type="dxa"/>
            <w:right w:w="0" w:type="dxa"/>
          </w:tblCellMar>
        </w:tblPrEx>
        <w:trPr>
          <w:trHeight w:val="973" w:hRule="atLeast"/>
        </w:trPr>
        <w:tc>
          <w:tcPr>
            <w:tcW w:w="8600"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098377">
            <w:pPr>
              <w:keepNext w:val="0"/>
              <w:keepLines w:val="0"/>
              <w:widowControl/>
              <w:suppressLineNumbers w:val="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部门预算项目支出绩效自评表（2023年度）</w:t>
            </w:r>
          </w:p>
        </w:tc>
      </w:tr>
      <w:tr w14:paraId="06E996FD">
        <w:tblPrEx>
          <w:shd w:val="clear" w:color="auto" w:fill="auto"/>
          <w:tblCellMar>
            <w:top w:w="0" w:type="dxa"/>
            <w:left w:w="0" w:type="dxa"/>
            <w:bottom w:w="0" w:type="dxa"/>
            <w:right w:w="0" w:type="dxa"/>
          </w:tblCellMar>
        </w:tblPrEx>
        <w:trPr>
          <w:trHeight w:val="353" w:hRule="atLeast"/>
        </w:trPr>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7DB565">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6935"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955EE0">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51322422T000006098975</w:t>
            </w:r>
            <w:r>
              <w:rPr>
                <w:rFonts w:hint="eastAsia" w:ascii="宋体" w:hAnsi="宋体" w:cs="宋体"/>
                <w:i w:val="0"/>
                <w:color w:val="000000"/>
                <w:kern w:val="0"/>
                <w:sz w:val="18"/>
                <w:szCs w:val="18"/>
                <w:u w:val="none"/>
                <w:lang w:val="en-US" w:eastAsia="zh-CN" w:bidi="ar"/>
              </w:rPr>
              <w:t>－</w:t>
            </w:r>
            <w:r>
              <w:rPr>
                <w:rFonts w:ascii="宋体" w:hAnsi="宋体" w:eastAsia="宋体" w:cs="宋体"/>
                <w:i w:val="0"/>
                <w:color w:val="000000"/>
                <w:kern w:val="0"/>
                <w:sz w:val="18"/>
                <w:szCs w:val="18"/>
                <w:u w:val="none"/>
                <w:lang w:val="en-US" w:eastAsia="zh-CN" w:bidi="ar"/>
              </w:rPr>
              <w:t>基层医疗卫生机构基本药物制度补助</w:t>
            </w:r>
          </w:p>
        </w:tc>
      </w:tr>
      <w:tr w14:paraId="1BF26EE9">
        <w:tblPrEx>
          <w:shd w:val="clear" w:color="auto" w:fill="auto"/>
          <w:tblCellMar>
            <w:top w:w="0" w:type="dxa"/>
            <w:left w:w="0" w:type="dxa"/>
            <w:bottom w:w="0" w:type="dxa"/>
            <w:right w:w="0" w:type="dxa"/>
          </w:tblCellMar>
        </w:tblPrEx>
        <w:trPr>
          <w:trHeight w:val="680" w:hRule="atLeast"/>
        </w:trPr>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6DE3D1">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412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FED702">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松潘县卫生健康局本级</w:t>
            </w:r>
          </w:p>
        </w:tc>
        <w:tc>
          <w:tcPr>
            <w:tcW w:w="666" w:type="dxa"/>
            <w:tcBorders>
              <w:top w:val="nil"/>
              <w:left w:val="nil"/>
              <w:bottom w:val="nil"/>
              <w:right w:val="nil"/>
            </w:tcBorders>
            <w:shd w:val="clear" w:color="auto" w:fill="auto"/>
            <w:tcMar>
              <w:top w:w="15" w:type="dxa"/>
              <w:left w:w="15" w:type="dxa"/>
              <w:right w:w="15" w:type="dxa"/>
            </w:tcMar>
            <w:vAlign w:val="center"/>
          </w:tcPr>
          <w:p w14:paraId="40EC83EE">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实施单位 （盖章）</w:t>
            </w:r>
          </w:p>
        </w:tc>
        <w:tc>
          <w:tcPr>
            <w:tcW w:w="214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632FF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松潘县下八寨乡卫生院</w:t>
            </w:r>
          </w:p>
        </w:tc>
      </w:tr>
      <w:tr w14:paraId="01CEE208">
        <w:tblPrEx>
          <w:tblCellMar>
            <w:top w:w="0" w:type="dxa"/>
            <w:left w:w="0" w:type="dxa"/>
            <w:bottom w:w="0" w:type="dxa"/>
            <w:right w:w="0" w:type="dxa"/>
          </w:tblCellMar>
        </w:tblPrEx>
        <w:trPr>
          <w:trHeight w:val="353" w:hRule="atLeast"/>
        </w:trPr>
        <w:tc>
          <w:tcPr>
            <w:tcW w:w="41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82D9F4">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125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5A2EEA">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412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6583A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2812"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5B4B30">
            <w:pPr>
              <w:keepNext w:val="0"/>
              <w:keepLines w:val="0"/>
              <w:widowControl/>
              <w:suppressLineNumbers w:val="0"/>
              <w:jc w:val="center"/>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年度目标完成情况</w:t>
            </w:r>
          </w:p>
        </w:tc>
      </w:tr>
      <w:tr w14:paraId="058A58FA">
        <w:tblPrEx>
          <w:shd w:val="clear" w:color="auto" w:fill="auto"/>
          <w:tblCellMar>
            <w:top w:w="0" w:type="dxa"/>
            <w:left w:w="0" w:type="dxa"/>
            <w:bottom w:w="0" w:type="dxa"/>
            <w:right w:w="0" w:type="dxa"/>
          </w:tblCellMar>
        </w:tblPrEx>
        <w:trPr>
          <w:trHeight w:val="768" w:hRule="atLeast"/>
        </w:trPr>
        <w:tc>
          <w:tcPr>
            <w:tcW w:w="4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F8FBD2">
            <w:pPr>
              <w:rPr>
                <w:rFonts w:hint="eastAsia" w:ascii="宋体" w:hAnsi="宋体" w:eastAsia="宋体" w:cs="宋体"/>
                <w:i w:val="0"/>
                <w:color w:val="000000"/>
                <w:sz w:val="18"/>
                <w:szCs w:val="18"/>
                <w:u w:val="none"/>
              </w:rPr>
            </w:pPr>
          </w:p>
        </w:tc>
        <w:tc>
          <w:tcPr>
            <w:tcW w:w="12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3D25D5">
            <w:pPr>
              <w:rPr>
                <w:rFonts w:hint="eastAsia" w:ascii="宋体" w:hAnsi="宋体" w:eastAsia="宋体" w:cs="宋体"/>
                <w:i w:val="0"/>
                <w:color w:val="000000"/>
                <w:sz w:val="18"/>
                <w:szCs w:val="18"/>
                <w:u w:val="none"/>
              </w:rPr>
            </w:pPr>
          </w:p>
        </w:tc>
        <w:tc>
          <w:tcPr>
            <w:tcW w:w="4123" w:type="dxa"/>
            <w:gridSpan w:val="5"/>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5939E33">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保障乡镇群众基本药物需求</w:t>
            </w:r>
          </w:p>
        </w:tc>
        <w:tc>
          <w:tcPr>
            <w:tcW w:w="2812" w:type="dxa"/>
            <w:gridSpan w:val="4"/>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B650501">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已完成</w:t>
            </w:r>
          </w:p>
        </w:tc>
      </w:tr>
      <w:tr w14:paraId="5AB1F27F">
        <w:tblPrEx>
          <w:shd w:val="clear" w:color="auto" w:fill="auto"/>
          <w:tblCellMar>
            <w:top w:w="0" w:type="dxa"/>
            <w:left w:w="0" w:type="dxa"/>
            <w:bottom w:w="0" w:type="dxa"/>
            <w:right w:w="0" w:type="dxa"/>
          </w:tblCellMar>
        </w:tblPrEx>
        <w:trPr>
          <w:trHeight w:val="752" w:hRule="atLeast"/>
        </w:trPr>
        <w:tc>
          <w:tcPr>
            <w:tcW w:w="4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C4D7F0">
            <w:pPr>
              <w:rPr>
                <w:rFonts w:hint="eastAsia" w:ascii="宋体" w:hAnsi="宋体" w:eastAsia="宋体" w:cs="宋体"/>
                <w:i w:val="0"/>
                <w:color w:val="000000"/>
                <w:sz w:val="18"/>
                <w:szCs w:val="18"/>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F2DB18">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6935"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172D1E">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 xml:space="preserve">   维护群众的基本医疗卫生权益，促进社会公平正义；改变医疗机构“以药补医”的运行机制，体现基本医疗卫生的公益性；规范药品生产流通使用行为，促进合理用药，减轻群众负担。</w:t>
            </w:r>
          </w:p>
        </w:tc>
      </w:tr>
      <w:tr w14:paraId="323C83F1">
        <w:tblPrEx>
          <w:shd w:val="clear" w:color="auto" w:fill="auto"/>
          <w:tblCellMar>
            <w:top w:w="0" w:type="dxa"/>
            <w:left w:w="0" w:type="dxa"/>
            <w:bottom w:w="0" w:type="dxa"/>
            <w:right w:w="0" w:type="dxa"/>
          </w:tblCellMar>
        </w:tblPrEx>
        <w:trPr>
          <w:trHeight w:val="404" w:hRule="atLeast"/>
        </w:trPr>
        <w:tc>
          <w:tcPr>
            <w:tcW w:w="41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53517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25185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10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DFE8C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1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3A495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166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954E8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6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B111D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3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57EA4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2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46DCC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1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E6CF7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14:paraId="1CCD2956">
        <w:tblPrEx>
          <w:tblCellMar>
            <w:top w:w="0" w:type="dxa"/>
            <w:left w:w="0" w:type="dxa"/>
            <w:bottom w:w="0" w:type="dxa"/>
            <w:right w:w="0" w:type="dxa"/>
          </w:tblCellMar>
        </w:tblPrEx>
        <w:trPr>
          <w:trHeight w:val="388" w:hRule="atLeast"/>
        </w:trPr>
        <w:tc>
          <w:tcPr>
            <w:tcW w:w="4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1D3D0F">
            <w:pPr>
              <w:jc w:val="center"/>
              <w:rPr>
                <w:rFonts w:hint="eastAsia" w:ascii="宋体" w:hAnsi="宋体" w:eastAsia="宋体" w:cs="宋体"/>
                <w:i w:val="0"/>
                <w:color w:val="000000"/>
                <w:sz w:val="18"/>
                <w:szCs w:val="18"/>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1D7AF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10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2AB83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960B7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1.03</w:t>
            </w:r>
          </w:p>
        </w:tc>
        <w:tc>
          <w:tcPr>
            <w:tcW w:w="166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0DFF6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1.03</w:t>
            </w:r>
          </w:p>
        </w:tc>
        <w:tc>
          <w:tcPr>
            <w:tcW w:w="6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68B8E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3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95F9B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2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A4363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55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F97AD2">
            <w:pPr>
              <w:keepNext w:val="0"/>
              <w:keepLines w:val="0"/>
              <w:widowControl/>
              <w:suppressLineNumbers w:val="0"/>
              <w:jc w:val="left"/>
              <w:textAlignment w:val="center"/>
              <w:rPr>
                <w:rFonts w:hint="eastAsia" w:ascii="黑体" w:hAnsi="黑体" w:eastAsia="黑体" w:cs="黑体"/>
                <w:i/>
                <w:color w:val="000000"/>
                <w:sz w:val="18"/>
                <w:szCs w:val="18"/>
                <w:u w:val="none"/>
              </w:rPr>
            </w:pPr>
            <w:r>
              <w:rPr>
                <w:rFonts w:hint="eastAsia" w:ascii="黑体" w:hAnsi="黑体" w:eastAsia="黑体" w:cs="黑体"/>
                <w:i/>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18E4E548">
        <w:tblPrEx>
          <w:shd w:val="clear" w:color="auto" w:fill="auto"/>
          <w:tblCellMar>
            <w:top w:w="0" w:type="dxa"/>
            <w:left w:w="0" w:type="dxa"/>
            <w:bottom w:w="0" w:type="dxa"/>
            <w:right w:w="0" w:type="dxa"/>
          </w:tblCellMar>
        </w:tblPrEx>
        <w:trPr>
          <w:trHeight w:val="435" w:hRule="atLeast"/>
        </w:trPr>
        <w:tc>
          <w:tcPr>
            <w:tcW w:w="4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78D5DE">
            <w:pPr>
              <w:jc w:val="center"/>
              <w:rPr>
                <w:rFonts w:hint="eastAsia" w:ascii="宋体" w:hAnsi="宋体" w:eastAsia="宋体" w:cs="宋体"/>
                <w:i w:val="0"/>
                <w:color w:val="000000"/>
                <w:sz w:val="18"/>
                <w:szCs w:val="18"/>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3DEF3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10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0DE42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73BA8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1.03</w:t>
            </w:r>
          </w:p>
        </w:tc>
        <w:tc>
          <w:tcPr>
            <w:tcW w:w="166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1B2C3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1.03</w:t>
            </w:r>
          </w:p>
        </w:tc>
        <w:tc>
          <w:tcPr>
            <w:tcW w:w="6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7CCD5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3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DA17F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2A635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5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1D738E">
            <w:pPr>
              <w:rPr>
                <w:rFonts w:hint="eastAsia" w:ascii="黑体" w:hAnsi="黑体" w:eastAsia="黑体" w:cs="黑体"/>
                <w:i/>
                <w:color w:val="000000"/>
                <w:sz w:val="18"/>
                <w:szCs w:val="18"/>
                <w:u w:val="none"/>
              </w:rPr>
            </w:pPr>
          </w:p>
        </w:tc>
      </w:tr>
      <w:tr w14:paraId="55605778">
        <w:tblPrEx>
          <w:tblCellMar>
            <w:top w:w="0" w:type="dxa"/>
            <w:left w:w="0" w:type="dxa"/>
            <w:bottom w:w="0" w:type="dxa"/>
            <w:right w:w="0" w:type="dxa"/>
          </w:tblCellMar>
        </w:tblPrEx>
        <w:trPr>
          <w:trHeight w:val="452" w:hRule="atLeast"/>
        </w:trPr>
        <w:tc>
          <w:tcPr>
            <w:tcW w:w="4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B8764F">
            <w:pPr>
              <w:jc w:val="center"/>
              <w:rPr>
                <w:rFonts w:hint="eastAsia" w:ascii="宋体" w:hAnsi="宋体" w:eastAsia="宋体" w:cs="宋体"/>
                <w:i w:val="0"/>
                <w:color w:val="000000"/>
                <w:sz w:val="18"/>
                <w:szCs w:val="18"/>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690A7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10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D2205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D6148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66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81533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6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0A780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3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29A82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B0B81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5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8B98EB">
            <w:pPr>
              <w:rPr>
                <w:rFonts w:hint="eastAsia" w:ascii="黑体" w:hAnsi="黑体" w:eastAsia="黑体" w:cs="黑体"/>
                <w:i/>
                <w:color w:val="000000"/>
                <w:sz w:val="18"/>
                <w:szCs w:val="18"/>
                <w:u w:val="none"/>
              </w:rPr>
            </w:pPr>
          </w:p>
        </w:tc>
      </w:tr>
      <w:tr w14:paraId="03B2CAA0">
        <w:tblPrEx>
          <w:shd w:val="clear" w:color="auto" w:fill="auto"/>
          <w:tblCellMar>
            <w:top w:w="0" w:type="dxa"/>
            <w:left w:w="0" w:type="dxa"/>
            <w:bottom w:w="0" w:type="dxa"/>
            <w:right w:w="0" w:type="dxa"/>
          </w:tblCellMar>
        </w:tblPrEx>
        <w:trPr>
          <w:trHeight w:val="404" w:hRule="atLeast"/>
        </w:trPr>
        <w:tc>
          <w:tcPr>
            <w:tcW w:w="4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ADFE1B">
            <w:pPr>
              <w:jc w:val="center"/>
              <w:rPr>
                <w:rFonts w:hint="eastAsia" w:ascii="宋体" w:hAnsi="宋体" w:eastAsia="宋体" w:cs="宋体"/>
                <w:i w:val="0"/>
                <w:color w:val="000000"/>
                <w:sz w:val="18"/>
                <w:szCs w:val="18"/>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D996E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10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8FF68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1D964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66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32D1C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6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D525B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3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42DB9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5DCA3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5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13B08A">
            <w:pPr>
              <w:rPr>
                <w:rFonts w:hint="eastAsia" w:ascii="黑体" w:hAnsi="黑体" w:eastAsia="黑体" w:cs="黑体"/>
                <w:i/>
                <w:color w:val="000000"/>
                <w:sz w:val="18"/>
                <w:szCs w:val="18"/>
                <w:u w:val="none"/>
              </w:rPr>
            </w:pPr>
          </w:p>
        </w:tc>
      </w:tr>
      <w:tr w14:paraId="48DB2461">
        <w:tblPrEx>
          <w:tblCellMar>
            <w:top w:w="0" w:type="dxa"/>
            <w:left w:w="0" w:type="dxa"/>
            <w:bottom w:w="0" w:type="dxa"/>
            <w:right w:w="0" w:type="dxa"/>
          </w:tblCellMar>
        </w:tblPrEx>
        <w:trPr>
          <w:trHeight w:val="632" w:hRule="atLeast"/>
        </w:trPr>
        <w:tc>
          <w:tcPr>
            <w:tcW w:w="4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A498E8">
            <w:pPr>
              <w:jc w:val="center"/>
              <w:rPr>
                <w:rFonts w:hint="eastAsia" w:ascii="宋体" w:hAnsi="宋体" w:eastAsia="宋体" w:cs="宋体"/>
                <w:i w:val="0"/>
                <w:color w:val="000000"/>
                <w:sz w:val="18"/>
                <w:szCs w:val="18"/>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F101C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10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3FD19E">
            <w:pPr>
              <w:jc w:val="center"/>
              <w:rPr>
                <w:rFonts w:hint="eastAsia" w:ascii="微软雅黑" w:hAnsi="微软雅黑" w:eastAsia="微软雅黑" w:cs="微软雅黑"/>
                <w:i/>
                <w:color w:val="000000"/>
                <w:sz w:val="16"/>
                <w:szCs w:val="16"/>
                <w:u w:val="none"/>
              </w:rPr>
            </w:pPr>
          </w:p>
        </w:tc>
        <w:tc>
          <w:tcPr>
            <w:tcW w:w="1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233D31">
            <w:pPr>
              <w:jc w:val="center"/>
              <w:rPr>
                <w:rFonts w:hint="eastAsia" w:ascii="微软雅黑" w:hAnsi="微软雅黑" w:eastAsia="微软雅黑" w:cs="微软雅黑"/>
                <w:i/>
                <w:color w:val="000000"/>
                <w:sz w:val="16"/>
                <w:szCs w:val="16"/>
                <w:u w:val="none"/>
              </w:rPr>
            </w:pPr>
          </w:p>
        </w:tc>
        <w:tc>
          <w:tcPr>
            <w:tcW w:w="166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252559">
            <w:pPr>
              <w:jc w:val="center"/>
              <w:rPr>
                <w:rFonts w:hint="eastAsia" w:ascii="微软雅黑" w:hAnsi="微软雅黑" w:eastAsia="微软雅黑" w:cs="微软雅黑"/>
                <w:i/>
                <w:color w:val="000000"/>
                <w:sz w:val="16"/>
                <w:szCs w:val="16"/>
                <w:u w:val="none"/>
              </w:rPr>
            </w:pPr>
          </w:p>
        </w:tc>
        <w:tc>
          <w:tcPr>
            <w:tcW w:w="6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F13BC3">
            <w:pPr>
              <w:jc w:val="center"/>
              <w:rPr>
                <w:rFonts w:hint="eastAsia" w:ascii="微软雅黑" w:hAnsi="微软雅黑" w:eastAsia="微软雅黑" w:cs="微软雅黑"/>
                <w:i/>
                <w:color w:val="000000"/>
                <w:sz w:val="16"/>
                <w:szCs w:val="16"/>
                <w:u w:val="none"/>
              </w:rPr>
            </w:pPr>
          </w:p>
        </w:tc>
        <w:tc>
          <w:tcPr>
            <w:tcW w:w="3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C651E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A984F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5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D93C1D">
            <w:pPr>
              <w:rPr>
                <w:rFonts w:hint="eastAsia" w:ascii="黑体" w:hAnsi="黑体" w:eastAsia="黑体" w:cs="黑体"/>
                <w:i/>
                <w:color w:val="000000"/>
                <w:sz w:val="18"/>
                <w:szCs w:val="18"/>
                <w:u w:val="none"/>
              </w:rPr>
            </w:pPr>
          </w:p>
        </w:tc>
      </w:tr>
      <w:tr w14:paraId="4BB93570">
        <w:tblPrEx>
          <w:shd w:val="clear" w:color="auto" w:fill="auto"/>
          <w:tblCellMar>
            <w:top w:w="0" w:type="dxa"/>
            <w:left w:w="0" w:type="dxa"/>
            <w:bottom w:w="0" w:type="dxa"/>
            <w:right w:w="0" w:type="dxa"/>
          </w:tblCellMar>
        </w:tblPrEx>
        <w:trPr>
          <w:trHeight w:val="680" w:hRule="atLeast"/>
        </w:trPr>
        <w:tc>
          <w:tcPr>
            <w:tcW w:w="41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21ED2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8D91A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10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8B70B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1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2C1C2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3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0A244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0DB26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3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3EBDD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6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5DFE5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3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09AB3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2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CBCE3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1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D4EF6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14:paraId="2C5FB5F3">
        <w:tblPrEx>
          <w:tblCellMar>
            <w:top w:w="0" w:type="dxa"/>
            <w:left w:w="0" w:type="dxa"/>
            <w:bottom w:w="0" w:type="dxa"/>
            <w:right w:w="0" w:type="dxa"/>
          </w:tblCellMar>
        </w:tblPrEx>
        <w:trPr>
          <w:trHeight w:val="381" w:hRule="atLeast"/>
        </w:trPr>
        <w:tc>
          <w:tcPr>
            <w:tcW w:w="4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A52530">
            <w:pPr>
              <w:jc w:val="center"/>
              <w:rPr>
                <w:rFonts w:hint="eastAsia" w:ascii="宋体" w:hAnsi="宋体" w:eastAsia="宋体" w:cs="宋体"/>
                <w:i w:val="0"/>
                <w:color w:val="000000"/>
                <w:sz w:val="18"/>
                <w:szCs w:val="18"/>
                <w:u w:val="none"/>
              </w:rPr>
            </w:pPr>
          </w:p>
        </w:tc>
        <w:tc>
          <w:tcPr>
            <w:tcW w:w="125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3BF8F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10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46168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1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36BF1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享受基层药物补助人数</w:t>
            </w:r>
          </w:p>
        </w:tc>
        <w:tc>
          <w:tcPr>
            <w:tcW w:w="3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38766D">
            <w:pPr>
              <w:keepNext w:val="0"/>
              <w:keepLines w:val="0"/>
              <w:widowControl/>
              <w:suppressLineNumbers w:val="0"/>
              <w:jc w:val="center"/>
              <w:textAlignment w:val="center"/>
              <w:rPr>
                <w:rFonts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FB12F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人数</w:t>
            </w:r>
          </w:p>
        </w:tc>
        <w:tc>
          <w:tcPr>
            <w:tcW w:w="3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B071B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人数</w:t>
            </w:r>
          </w:p>
        </w:tc>
        <w:tc>
          <w:tcPr>
            <w:tcW w:w="6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C0AEB0">
            <w:pPr>
              <w:jc w:val="center"/>
              <w:rPr>
                <w:rFonts w:hint="eastAsia" w:ascii="宋体" w:hAnsi="宋体" w:eastAsia="宋体" w:cs="宋体"/>
                <w:i w:val="0"/>
                <w:color w:val="000000"/>
                <w:sz w:val="18"/>
                <w:szCs w:val="18"/>
                <w:u w:val="none"/>
              </w:rPr>
            </w:pPr>
          </w:p>
        </w:tc>
        <w:tc>
          <w:tcPr>
            <w:tcW w:w="3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50762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2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CA07C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1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E7AFC0">
            <w:pPr>
              <w:jc w:val="center"/>
              <w:rPr>
                <w:rFonts w:hint="eastAsia" w:ascii="宋体" w:hAnsi="宋体" w:eastAsia="宋体" w:cs="宋体"/>
                <w:i w:val="0"/>
                <w:color w:val="000000"/>
                <w:sz w:val="18"/>
                <w:szCs w:val="18"/>
                <w:u w:val="none"/>
              </w:rPr>
            </w:pPr>
          </w:p>
        </w:tc>
      </w:tr>
      <w:tr w14:paraId="599847C2">
        <w:tblPrEx>
          <w:shd w:val="clear" w:color="auto" w:fill="auto"/>
          <w:tblCellMar>
            <w:top w:w="0" w:type="dxa"/>
            <w:left w:w="0" w:type="dxa"/>
            <w:bottom w:w="0" w:type="dxa"/>
            <w:right w:w="0" w:type="dxa"/>
          </w:tblCellMar>
        </w:tblPrEx>
        <w:trPr>
          <w:trHeight w:val="353" w:hRule="atLeast"/>
        </w:trPr>
        <w:tc>
          <w:tcPr>
            <w:tcW w:w="4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CA6B32">
            <w:pPr>
              <w:jc w:val="center"/>
              <w:rPr>
                <w:rFonts w:hint="eastAsia" w:ascii="宋体" w:hAnsi="宋体" w:eastAsia="宋体" w:cs="宋体"/>
                <w:i w:val="0"/>
                <w:color w:val="000000"/>
                <w:sz w:val="18"/>
                <w:szCs w:val="18"/>
                <w:u w:val="none"/>
              </w:rPr>
            </w:pPr>
          </w:p>
        </w:tc>
        <w:tc>
          <w:tcPr>
            <w:tcW w:w="12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DEE1EB">
            <w:pPr>
              <w:jc w:val="center"/>
              <w:rPr>
                <w:rFonts w:hint="eastAsia" w:ascii="宋体" w:hAnsi="宋体" w:eastAsia="宋体" w:cs="宋体"/>
                <w:i w:val="0"/>
                <w:color w:val="000000"/>
                <w:sz w:val="18"/>
                <w:szCs w:val="18"/>
                <w:u w:val="none"/>
              </w:rPr>
            </w:pPr>
          </w:p>
        </w:tc>
        <w:tc>
          <w:tcPr>
            <w:tcW w:w="10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10CE9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质量指标</w:t>
            </w:r>
          </w:p>
        </w:tc>
        <w:tc>
          <w:tcPr>
            <w:tcW w:w="1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E78C9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享受基层药物补助标准</w:t>
            </w:r>
          </w:p>
        </w:tc>
        <w:tc>
          <w:tcPr>
            <w:tcW w:w="3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92578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D4DD8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3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EF6B7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E3CD4D">
            <w:pPr>
              <w:jc w:val="center"/>
              <w:rPr>
                <w:rFonts w:hint="eastAsia" w:ascii="宋体" w:hAnsi="宋体" w:eastAsia="宋体" w:cs="宋体"/>
                <w:i w:val="0"/>
                <w:color w:val="000000"/>
                <w:sz w:val="18"/>
                <w:szCs w:val="18"/>
                <w:u w:val="none"/>
              </w:rPr>
            </w:pPr>
          </w:p>
        </w:tc>
        <w:tc>
          <w:tcPr>
            <w:tcW w:w="3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2F59F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2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3D7E9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19</w:t>
            </w:r>
          </w:p>
        </w:tc>
        <w:tc>
          <w:tcPr>
            <w:tcW w:w="1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62F0F1">
            <w:pPr>
              <w:jc w:val="center"/>
              <w:rPr>
                <w:rFonts w:hint="eastAsia" w:ascii="宋体" w:hAnsi="宋体" w:eastAsia="宋体" w:cs="宋体"/>
                <w:i w:val="0"/>
                <w:color w:val="000000"/>
                <w:sz w:val="18"/>
                <w:szCs w:val="18"/>
                <w:u w:val="none"/>
              </w:rPr>
            </w:pPr>
          </w:p>
        </w:tc>
      </w:tr>
      <w:tr w14:paraId="5FCAD60E">
        <w:tblPrEx>
          <w:tblCellMar>
            <w:top w:w="0" w:type="dxa"/>
            <w:left w:w="0" w:type="dxa"/>
            <w:bottom w:w="0" w:type="dxa"/>
            <w:right w:w="0" w:type="dxa"/>
          </w:tblCellMar>
        </w:tblPrEx>
        <w:trPr>
          <w:trHeight w:val="353" w:hRule="atLeast"/>
        </w:trPr>
        <w:tc>
          <w:tcPr>
            <w:tcW w:w="4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013082">
            <w:pPr>
              <w:jc w:val="center"/>
              <w:rPr>
                <w:rFonts w:hint="eastAsia" w:ascii="宋体" w:hAnsi="宋体" w:eastAsia="宋体" w:cs="宋体"/>
                <w:i w:val="0"/>
                <w:color w:val="000000"/>
                <w:sz w:val="18"/>
                <w:szCs w:val="18"/>
                <w:u w:val="none"/>
              </w:rPr>
            </w:pPr>
          </w:p>
        </w:tc>
        <w:tc>
          <w:tcPr>
            <w:tcW w:w="12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855C8C">
            <w:pPr>
              <w:jc w:val="center"/>
              <w:rPr>
                <w:rFonts w:hint="eastAsia" w:ascii="宋体" w:hAnsi="宋体" w:eastAsia="宋体" w:cs="宋体"/>
                <w:i w:val="0"/>
                <w:color w:val="000000"/>
                <w:sz w:val="18"/>
                <w:szCs w:val="18"/>
                <w:u w:val="none"/>
              </w:rPr>
            </w:pPr>
          </w:p>
        </w:tc>
        <w:tc>
          <w:tcPr>
            <w:tcW w:w="10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758C7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时效指标</w:t>
            </w:r>
          </w:p>
        </w:tc>
        <w:tc>
          <w:tcPr>
            <w:tcW w:w="1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1F107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基层药物补助使用</w:t>
            </w:r>
            <w:r>
              <w:rPr>
                <w:rFonts w:hint="eastAsia" w:ascii="宋体" w:hAnsi="宋体" w:cs="宋体"/>
                <w:i w:val="0"/>
                <w:color w:val="000000"/>
                <w:kern w:val="0"/>
                <w:sz w:val="18"/>
                <w:szCs w:val="18"/>
                <w:u w:val="none"/>
                <w:lang w:val="en-US" w:eastAsia="zh-CN" w:bidi="ar"/>
              </w:rPr>
              <w:t>实效</w:t>
            </w:r>
            <w:r>
              <w:rPr>
                <w:rFonts w:ascii="宋体" w:hAnsi="宋体" w:eastAsia="宋体" w:cs="宋体"/>
                <w:i w:val="0"/>
                <w:color w:val="000000"/>
                <w:kern w:val="0"/>
                <w:sz w:val="18"/>
                <w:szCs w:val="18"/>
                <w:u w:val="none"/>
                <w:lang w:val="en-US" w:eastAsia="zh-CN" w:bidi="ar"/>
              </w:rPr>
              <w:t>率</w:t>
            </w:r>
          </w:p>
        </w:tc>
        <w:tc>
          <w:tcPr>
            <w:tcW w:w="3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438C2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FC466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3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7B256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E66664">
            <w:pPr>
              <w:jc w:val="center"/>
              <w:rPr>
                <w:rFonts w:hint="eastAsia" w:ascii="宋体" w:hAnsi="宋体" w:eastAsia="宋体" w:cs="宋体"/>
                <w:i w:val="0"/>
                <w:color w:val="000000"/>
                <w:sz w:val="18"/>
                <w:szCs w:val="18"/>
                <w:u w:val="none"/>
              </w:rPr>
            </w:pPr>
          </w:p>
        </w:tc>
        <w:tc>
          <w:tcPr>
            <w:tcW w:w="3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79FF5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2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51E41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18</w:t>
            </w:r>
          </w:p>
        </w:tc>
        <w:tc>
          <w:tcPr>
            <w:tcW w:w="1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37E94A">
            <w:pPr>
              <w:jc w:val="center"/>
              <w:rPr>
                <w:rFonts w:hint="eastAsia" w:ascii="宋体" w:hAnsi="宋体" w:eastAsia="宋体" w:cs="宋体"/>
                <w:i w:val="0"/>
                <w:color w:val="000000"/>
                <w:sz w:val="18"/>
                <w:szCs w:val="18"/>
                <w:u w:val="none"/>
              </w:rPr>
            </w:pPr>
          </w:p>
        </w:tc>
      </w:tr>
      <w:tr w14:paraId="41A8CB9A">
        <w:tblPrEx>
          <w:shd w:val="clear" w:color="auto" w:fill="auto"/>
          <w:tblCellMar>
            <w:top w:w="0" w:type="dxa"/>
            <w:left w:w="0" w:type="dxa"/>
            <w:bottom w:w="0" w:type="dxa"/>
            <w:right w:w="0" w:type="dxa"/>
          </w:tblCellMar>
        </w:tblPrEx>
        <w:trPr>
          <w:trHeight w:val="353" w:hRule="atLeast"/>
        </w:trPr>
        <w:tc>
          <w:tcPr>
            <w:tcW w:w="4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F3FD53">
            <w:pPr>
              <w:jc w:val="center"/>
              <w:rPr>
                <w:rFonts w:hint="eastAsia" w:ascii="宋体" w:hAnsi="宋体" w:eastAsia="宋体" w:cs="宋体"/>
                <w:i w:val="0"/>
                <w:color w:val="000000"/>
                <w:sz w:val="18"/>
                <w:szCs w:val="18"/>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00BC4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10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F0D4F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社会效益指标</w:t>
            </w:r>
          </w:p>
        </w:tc>
        <w:tc>
          <w:tcPr>
            <w:tcW w:w="1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BADD9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享受人员基本情况有效改善</w:t>
            </w:r>
          </w:p>
        </w:tc>
        <w:tc>
          <w:tcPr>
            <w:tcW w:w="3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2BE62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D881B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3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E0919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345453">
            <w:pPr>
              <w:jc w:val="center"/>
              <w:rPr>
                <w:rFonts w:hint="eastAsia" w:ascii="宋体" w:hAnsi="宋体" w:eastAsia="宋体" w:cs="宋体"/>
                <w:i w:val="0"/>
                <w:color w:val="000000"/>
                <w:sz w:val="18"/>
                <w:szCs w:val="18"/>
                <w:u w:val="none"/>
              </w:rPr>
            </w:pPr>
          </w:p>
        </w:tc>
        <w:tc>
          <w:tcPr>
            <w:tcW w:w="3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4454C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2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5011F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19</w:t>
            </w:r>
          </w:p>
        </w:tc>
        <w:tc>
          <w:tcPr>
            <w:tcW w:w="1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2CE1BD">
            <w:pPr>
              <w:jc w:val="center"/>
              <w:rPr>
                <w:rFonts w:hint="eastAsia" w:ascii="宋体" w:hAnsi="宋体" w:eastAsia="宋体" w:cs="宋体"/>
                <w:i w:val="0"/>
                <w:color w:val="000000"/>
                <w:sz w:val="18"/>
                <w:szCs w:val="18"/>
                <w:u w:val="none"/>
              </w:rPr>
            </w:pPr>
          </w:p>
        </w:tc>
      </w:tr>
      <w:tr w14:paraId="1B7B6943">
        <w:tblPrEx>
          <w:shd w:val="clear" w:color="auto" w:fill="auto"/>
          <w:tblCellMar>
            <w:top w:w="0" w:type="dxa"/>
            <w:left w:w="0" w:type="dxa"/>
            <w:bottom w:w="0" w:type="dxa"/>
            <w:right w:w="0" w:type="dxa"/>
          </w:tblCellMar>
        </w:tblPrEx>
        <w:trPr>
          <w:trHeight w:val="680" w:hRule="atLeast"/>
        </w:trPr>
        <w:tc>
          <w:tcPr>
            <w:tcW w:w="4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323AFF">
            <w:pPr>
              <w:jc w:val="center"/>
              <w:rPr>
                <w:rFonts w:hint="eastAsia" w:ascii="宋体" w:hAnsi="宋体" w:eastAsia="宋体" w:cs="宋体"/>
                <w:i w:val="0"/>
                <w:color w:val="000000"/>
                <w:sz w:val="18"/>
                <w:szCs w:val="18"/>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787A5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满意度指标</w:t>
            </w:r>
          </w:p>
        </w:tc>
        <w:tc>
          <w:tcPr>
            <w:tcW w:w="10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64AAF4">
            <w:pPr>
              <w:keepNext w:val="0"/>
              <w:keepLines w:val="0"/>
              <w:widowControl/>
              <w:suppressLineNumbers w:val="0"/>
              <w:jc w:val="center"/>
              <w:textAlignment w:val="center"/>
              <w:rPr>
                <w:rFonts w:ascii="宋体" w:hAnsi="宋体" w:eastAsia="宋体" w:cs="宋体"/>
                <w:i w:val="0"/>
                <w:color w:val="000000"/>
                <w:sz w:val="18"/>
                <w:szCs w:val="18"/>
                <w:u w:val="none"/>
              </w:rPr>
            </w:pPr>
            <w:r>
              <w:rPr>
                <w:rFonts w:hint="eastAsia" w:ascii="宋体" w:hAnsi="宋体" w:cs="宋体"/>
                <w:i w:val="0"/>
                <w:color w:val="000000"/>
                <w:kern w:val="0"/>
                <w:sz w:val="18"/>
                <w:szCs w:val="18"/>
                <w:u w:val="none"/>
                <w:lang w:val="en-US" w:eastAsia="zh-CN" w:bidi="ar"/>
              </w:rPr>
              <w:t>服务对象</w:t>
            </w:r>
            <w:r>
              <w:rPr>
                <w:rFonts w:ascii="宋体" w:hAnsi="宋体" w:eastAsia="宋体" w:cs="宋体"/>
                <w:i w:val="0"/>
                <w:color w:val="000000"/>
                <w:kern w:val="0"/>
                <w:sz w:val="18"/>
                <w:szCs w:val="18"/>
                <w:u w:val="none"/>
                <w:lang w:val="en-US" w:eastAsia="zh-CN" w:bidi="ar"/>
              </w:rPr>
              <w:t>满意度指标</w:t>
            </w:r>
          </w:p>
        </w:tc>
        <w:tc>
          <w:tcPr>
            <w:tcW w:w="1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4909A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享受基层药物补助</w:t>
            </w:r>
            <w:r>
              <w:rPr>
                <w:rFonts w:hint="eastAsia" w:ascii="宋体" w:hAnsi="宋体" w:cs="宋体"/>
                <w:i w:val="0"/>
                <w:color w:val="000000"/>
                <w:kern w:val="0"/>
                <w:sz w:val="18"/>
                <w:szCs w:val="18"/>
                <w:u w:val="none"/>
                <w:lang w:val="en-US" w:eastAsia="zh-CN" w:bidi="ar"/>
              </w:rPr>
              <w:t>对象</w:t>
            </w:r>
            <w:r>
              <w:rPr>
                <w:rFonts w:ascii="宋体" w:hAnsi="宋体" w:eastAsia="宋体" w:cs="宋体"/>
                <w:i w:val="0"/>
                <w:color w:val="000000"/>
                <w:kern w:val="0"/>
                <w:sz w:val="18"/>
                <w:szCs w:val="18"/>
                <w:u w:val="none"/>
                <w:lang w:val="en-US" w:eastAsia="zh-CN" w:bidi="ar"/>
              </w:rPr>
              <w:t>满意度</w:t>
            </w:r>
          </w:p>
        </w:tc>
        <w:tc>
          <w:tcPr>
            <w:tcW w:w="3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F9130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DC831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3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71455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A20C64">
            <w:pPr>
              <w:jc w:val="center"/>
              <w:rPr>
                <w:rFonts w:hint="eastAsia" w:ascii="宋体" w:hAnsi="宋体" w:eastAsia="宋体" w:cs="宋体"/>
                <w:i w:val="0"/>
                <w:color w:val="000000"/>
                <w:sz w:val="18"/>
                <w:szCs w:val="18"/>
                <w:u w:val="none"/>
              </w:rPr>
            </w:pPr>
          </w:p>
        </w:tc>
        <w:tc>
          <w:tcPr>
            <w:tcW w:w="3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48C88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2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D2102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w:t>
            </w:r>
          </w:p>
        </w:tc>
        <w:tc>
          <w:tcPr>
            <w:tcW w:w="1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780F97">
            <w:pPr>
              <w:jc w:val="center"/>
              <w:rPr>
                <w:rFonts w:hint="eastAsia" w:ascii="宋体" w:hAnsi="宋体" w:eastAsia="宋体" w:cs="宋体"/>
                <w:i w:val="0"/>
                <w:color w:val="000000"/>
                <w:sz w:val="18"/>
                <w:szCs w:val="18"/>
                <w:u w:val="none"/>
              </w:rPr>
            </w:pPr>
          </w:p>
        </w:tc>
      </w:tr>
      <w:tr w14:paraId="3ECB8A40">
        <w:tblPrEx>
          <w:tblCellMar>
            <w:top w:w="0" w:type="dxa"/>
            <w:left w:w="0" w:type="dxa"/>
            <w:bottom w:w="0" w:type="dxa"/>
            <w:right w:w="0" w:type="dxa"/>
          </w:tblCellMar>
        </w:tblPrEx>
        <w:trPr>
          <w:trHeight w:val="353" w:hRule="atLeast"/>
        </w:trPr>
        <w:tc>
          <w:tcPr>
            <w:tcW w:w="6454"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A387E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3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E9AD4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2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0607A0">
            <w:pPr>
              <w:keepNext w:val="0"/>
              <w:keepLines w:val="0"/>
              <w:widowControl/>
              <w:suppressLineNumbers w:val="0"/>
              <w:jc w:val="righ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95</w:t>
            </w:r>
          </w:p>
        </w:tc>
        <w:tc>
          <w:tcPr>
            <w:tcW w:w="1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72D4C2">
            <w:pPr>
              <w:rPr>
                <w:rFonts w:hint="eastAsia" w:ascii="宋体" w:hAnsi="宋体" w:eastAsia="宋体" w:cs="宋体"/>
                <w:i w:val="0"/>
                <w:color w:val="000000"/>
                <w:sz w:val="18"/>
                <w:szCs w:val="18"/>
                <w:u w:val="none"/>
              </w:rPr>
            </w:pPr>
          </w:p>
        </w:tc>
      </w:tr>
      <w:tr w14:paraId="3A02371D">
        <w:tblPrEx>
          <w:shd w:val="clear" w:color="auto" w:fill="auto"/>
          <w:tblCellMar>
            <w:top w:w="0" w:type="dxa"/>
            <w:left w:w="0" w:type="dxa"/>
            <w:bottom w:w="0" w:type="dxa"/>
            <w:right w:w="0" w:type="dxa"/>
          </w:tblCellMar>
        </w:tblPrEx>
        <w:trPr>
          <w:trHeight w:val="680" w:hRule="atLeast"/>
        </w:trPr>
        <w:tc>
          <w:tcPr>
            <w:tcW w:w="4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FD91C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8185"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7D087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 xml:space="preserve">        以人民健康为中心，围绕基本药物的功能定位，促进各级医疗机构全面配备、优先使用基本药物，根据资金绩效自评指标规定的内容，经我单位认真自评，2023年基层医疗卫生机构基本药物制度补助自评得分93分。</w:t>
            </w:r>
          </w:p>
        </w:tc>
      </w:tr>
      <w:tr w14:paraId="74A09018">
        <w:tblPrEx>
          <w:tblCellMar>
            <w:top w:w="0" w:type="dxa"/>
            <w:left w:w="0" w:type="dxa"/>
            <w:bottom w:w="0" w:type="dxa"/>
            <w:right w:w="0" w:type="dxa"/>
          </w:tblCellMar>
        </w:tblPrEx>
        <w:trPr>
          <w:trHeight w:val="680" w:hRule="atLeast"/>
        </w:trPr>
        <w:tc>
          <w:tcPr>
            <w:tcW w:w="4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E6550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8185"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0AF1EC">
            <w:pPr>
              <w:keepNext w:val="0"/>
              <w:keepLines w:val="0"/>
              <w:widowControl/>
              <w:suppressLineNumbers w:val="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无</w:t>
            </w:r>
          </w:p>
        </w:tc>
      </w:tr>
      <w:tr w14:paraId="3D0D738C">
        <w:tblPrEx>
          <w:shd w:val="clear" w:color="auto" w:fill="auto"/>
          <w:tblCellMar>
            <w:top w:w="0" w:type="dxa"/>
            <w:left w:w="0" w:type="dxa"/>
            <w:bottom w:w="0" w:type="dxa"/>
            <w:right w:w="0" w:type="dxa"/>
          </w:tblCellMar>
        </w:tblPrEx>
        <w:trPr>
          <w:trHeight w:val="689" w:hRule="atLeast"/>
        </w:trPr>
        <w:tc>
          <w:tcPr>
            <w:tcW w:w="4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8912E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8185"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8AE4A5">
            <w:pPr>
              <w:keepNext w:val="0"/>
              <w:keepLines w:val="0"/>
              <w:widowControl/>
              <w:suppressLineNumbers w:val="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无</w:t>
            </w:r>
          </w:p>
        </w:tc>
      </w:tr>
      <w:tr w14:paraId="0CD66B48">
        <w:tblPrEx>
          <w:shd w:val="clear" w:color="auto" w:fill="auto"/>
          <w:tblCellMar>
            <w:top w:w="0" w:type="dxa"/>
            <w:left w:w="0" w:type="dxa"/>
            <w:bottom w:w="0" w:type="dxa"/>
            <w:right w:w="0" w:type="dxa"/>
          </w:tblCellMar>
        </w:tblPrEx>
        <w:trPr>
          <w:trHeight w:val="353" w:hRule="atLeast"/>
        </w:trPr>
        <w:tc>
          <w:tcPr>
            <w:tcW w:w="444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B3571E">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项目负责人：</w:t>
            </w:r>
          </w:p>
        </w:tc>
        <w:tc>
          <w:tcPr>
            <w:tcW w:w="4154"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E19893">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财务负责人：</w:t>
            </w:r>
          </w:p>
        </w:tc>
      </w:tr>
      <w:tr w14:paraId="3AFED380">
        <w:tblPrEx>
          <w:tblCellMar>
            <w:top w:w="0" w:type="dxa"/>
            <w:left w:w="0" w:type="dxa"/>
            <w:bottom w:w="0" w:type="dxa"/>
            <w:right w:w="0" w:type="dxa"/>
          </w:tblCellMar>
        </w:tblPrEx>
        <w:trPr>
          <w:trHeight w:val="353" w:hRule="atLeast"/>
        </w:trPr>
        <w:tc>
          <w:tcPr>
            <w:tcW w:w="415" w:type="dxa"/>
            <w:tcBorders>
              <w:top w:val="nil"/>
              <w:left w:val="nil"/>
              <w:bottom w:val="nil"/>
              <w:right w:val="nil"/>
            </w:tcBorders>
            <w:shd w:val="clear" w:color="auto" w:fill="auto"/>
            <w:tcMar>
              <w:top w:w="15" w:type="dxa"/>
              <w:left w:w="15" w:type="dxa"/>
              <w:right w:w="15" w:type="dxa"/>
            </w:tcMar>
            <w:vAlign w:val="center"/>
          </w:tcPr>
          <w:p w14:paraId="61165F7B">
            <w:pPr>
              <w:rPr>
                <w:rFonts w:hint="eastAsia" w:ascii="宋体" w:hAnsi="宋体" w:eastAsia="宋体" w:cs="宋体"/>
                <w:i w:val="0"/>
                <w:color w:val="000000"/>
                <w:sz w:val="18"/>
                <w:szCs w:val="18"/>
                <w:u w:val="none"/>
              </w:rPr>
            </w:pPr>
          </w:p>
        </w:tc>
        <w:tc>
          <w:tcPr>
            <w:tcW w:w="1250" w:type="dxa"/>
            <w:tcBorders>
              <w:top w:val="nil"/>
              <w:left w:val="nil"/>
              <w:bottom w:val="nil"/>
              <w:right w:val="nil"/>
            </w:tcBorders>
            <w:shd w:val="clear" w:color="auto" w:fill="auto"/>
            <w:tcMar>
              <w:top w:w="15" w:type="dxa"/>
              <w:left w:w="15" w:type="dxa"/>
              <w:right w:w="15" w:type="dxa"/>
            </w:tcMar>
            <w:vAlign w:val="center"/>
          </w:tcPr>
          <w:p w14:paraId="4B4A5587">
            <w:pPr>
              <w:rPr>
                <w:rFonts w:hint="eastAsia" w:ascii="宋体" w:hAnsi="宋体" w:eastAsia="宋体" w:cs="宋体"/>
                <w:i w:val="0"/>
                <w:color w:val="000000"/>
                <w:sz w:val="18"/>
                <w:szCs w:val="18"/>
                <w:u w:val="none"/>
              </w:rPr>
            </w:pPr>
          </w:p>
        </w:tc>
        <w:tc>
          <w:tcPr>
            <w:tcW w:w="1082" w:type="dxa"/>
            <w:tcBorders>
              <w:top w:val="nil"/>
              <w:left w:val="nil"/>
              <w:bottom w:val="nil"/>
              <w:right w:val="nil"/>
            </w:tcBorders>
            <w:shd w:val="clear" w:color="auto" w:fill="auto"/>
            <w:tcMar>
              <w:top w:w="15" w:type="dxa"/>
              <w:left w:w="15" w:type="dxa"/>
              <w:right w:w="15" w:type="dxa"/>
            </w:tcMar>
            <w:vAlign w:val="center"/>
          </w:tcPr>
          <w:p w14:paraId="039BAC80">
            <w:pPr>
              <w:rPr>
                <w:rFonts w:hint="eastAsia" w:ascii="宋体" w:hAnsi="宋体" w:eastAsia="宋体" w:cs="宋体"/>
                <w:i w:val="0"/>
                <w:color w:val="000000"/>
                <w:sz w:val="18"/>
                <w:szCs w:val="18"/>
                <w:u w:val="none"/>
              </w:rPr>
            </w:pPr>
          </w:p>
        </w:tc>
        <w:tc>
          <w:tcPr>
            <w:tcW w:w="1381" w:type="dxa"/>
            <w:tcBorders>
              <w:top w:val="nil"/>
              <w:left w:val="nil"/>
              <w:bottom w:val="nil"/>
              <w:right w:val="nil"/>
            </w:tcBorders>
            <w:shd w:val="clear" w:color="auto" w:fill="auto"/>
            <w:tcMar>
              <w:top w:w="15" w:type="dxa"/>
              <w:left w:w="15" w:type="dxa"/>
              <w:right w:w="15" w:type="dxa"/>
            </w:tcMar>
            <w:vAlign w:val="center"/>
          </w:tcPr>
          <w:p w14:paraId="73844BA3">
            <w:pPr>
              <w:rPr>
                <w:rFonts w:hint="eastAsia" w:ascii="宋体" w:hAnsi="宋体" w:eastAsia="宋体" w:cs="宋体"/>
                <w:i w:val="0"/>
                <w:color w:val="000000"/>
                <w:sz w:val="18"/>
                <w:szCs w:val="18"/>
                <w:u w:val="none"/>
              </w:rPr>
            </w:pPr>
          </w:p>
        </w:tc>
        <w:tc>
          <w:tcPr>
            <w:tcW w:w="318" w:type="dxa"/>
            <w:tcBorders>
              <w:top w:val="nil"/>
              <w:left w:val="nil"/>
              <w:bottom w:val="nil"/>
              <w:right w:val="nil"/>
            </w:tcBorders>
            <w:shd w:val="clear" w:color="auto" w:fill="auto"/>
            <w:tcMar>
              <w:top w:w="15" w:type="dxa"/>
              <w:left w:w="15" w:type="dxa"/>
              <w:right w:w="15" w:type="dxa"/>
            </w:tcMar>
            <w:vAlign w:val="center"/>
          </w:tcPr>
          <w:p w14:paraId="1416E996">
            <w:pPr>
              <w:rPr>
                <w:rFonts w:hint="eastAsia" w:ascii="宋体" w:hAnsi="宋体" w:eastAsia="宋体" w:cs="宋体"/>
                <w:i w:val="0"/>
                <w:color w:val="000000"/>
                <w:sz w:val="18"/>
                <w:szCs w:val="18"/>
                <w:u w:val="none"/>
              </w:rPr>
            </w:pPr>
          </w:p>
        </w:tc>
        <w:tc>
          <w:tcPr>
            <w:tcW w:w="1023" w:type="dxa"/>
            <w:tcBorders>
              <w:top w:val="nil"/>
              <w:left w:val="nil"/>
              <w:bottom w:val="nil"/>
              <w:right w:val="nil"/>
            </w:tcBorders>
            <w:shd w:val="clear" w:color="auto" w:fill="auto"/>
            <w:tcMar>
              <w:top w:w="15" w:type="dxa"/>
              <w:left w:w="15" w:type="dxa"/>
              <w:right w:w="15" w:type="dxa"/>
            </w:tcMar>
            <w:vAlign w:val="center"/>
          </w:tcPr>
          <w:p w14:paraId="2DA1AD4E">
            <w:pPr>
              <w:rPr>
                <w:rFonts w:hint="eastAsia" w:ascii="宋体" w:hAnsi="宋体" w:eastAsia="宋体" w:cs="宋体"/>
                <w:i w:val="0"/>
                <w:color w:val="000000"/>
                <w:sz w:val="18"/>
                <w:szCs w:val="18"/>
                <w:u w:val="none"/>
              </w:rPr>
            </w:pPr>
          </w:p>
        </w:tc>
        <w:tc>
          <w:tcPr>
            <w:tcW w:w="319" w:type="dxa"/>
            <w:tcBorders>
              <w:top w:val="nil"/>
              <w:left w:val="nil"/>
              <w:bottom w:val="nil"/>
              <w:right w:val="nil"/>
            </w:tcBorders>
            <w:shd w:val="clear" w:color="auto" w:fill="auto"/>
            <w:tcMar>
              <w:top w:w="15" w:type="dxa"/>
              <w:left w:w="15" w:type="dxa"/>
              <w:right w:w="15" w:type="dxa"/>
            </w:tcMar>
            <w:vAlign w:val="center"/>
          </w:tcPr>
          <w:p w14:paraId="5E45391B">
            <w:pPr>
              <w:rPr>
                <w:rFonts w:hint="eastAsia" w:ascii="宋体" w:hAnsi="宋体" w:eastAsia="宋体" w:cs="宋体"/>
                <w:i w:val="0"/>
                <w:color w:val="000000"/>
                <w:sz w:val="18"/>
                <w:szCs w:val="18"/>
                <w:u w:val="none"/>
              </w:rPr>
            </w:pPr>
          </w:p>
        </w:tc>
        <w:tc>
          <w:tcPr>
            <w:tcW w:w="666" w:type="dxa"/>
            <w:tcBorders>
              <w:top w:val="nil"/>
              <w:left w:val="nil"/>
              <w:bottom w:val="nil"/>
              <w:right w:val="nil"/>
            </w:tcBorders>
            <w:shd w:val="clear" w:color="auto" w:fill="auto"/>
            <w:tcMar>
              <w:top w:w="15" w:type="dxa"/>
              <w:left w:w="15" w:type="dxa"/>
              <w:right w:w="15" w:type="dxa"/>
            </w:tcMar>
            <w:vAlign w:val="center"/>
          </w:tcPr>
          <w:p w14:paraId="3E0AD910">
            <w:pPr>
              <w:rPr>
                <w:rFonts w:hint="eastAsia" w:ascii="宋体" w:hAnsi="宋体" w:eastAsia="宋体" w:cs="宋体"/>
                <w:i w:val="0"/>
                <w:color w:val="000000"/>
                <w:sz w:val="18"/>
                <w:szCs w:val="18"/>
                <w:u w:val="none"/>
              </w:rPr>
            </w:pPr>
          </w:p>
        </w:tc>
        <w:tc>
          <w:tcPr>
            <w:tcW w:w="309" w:type="dxa"/>
            <w:tcBorders>
              <w:top w:val="nil"/>
              <w:left w:val="nil"/>
              <w:bottom w:val="nil"/>
              <w:right w:val="nil"/>
            </w:tcBorders>
            <w:shd w:val="clear" w:color="auto" w:fill="auto"/>
            <w:tcMar>
              <w:top w:w="15" w:type="dxa"/>
              <w:left w:w="15" w:type="dxa"/>
              <w:right w:w="15" w:type="dxa"/>
            </w:tcMar>
            <w:vAlign w:val="center"/>
          </w:tcPr>
          <w:p w14:paraId="41DBBCB9">
            <w:pPr>
              <w:rPr>
                <w:rFonts w:hint="eastAsia" w:ascii="宋体" w:hAnsi="宋体" w:eastAsia="宋体" w:cs="宋体"/>
                <w:i w:val="0"/>
                <w:color w:val="000000"/>
                <w:sz w:val="18"/>
                <w:szCs w:val="18"/>
                <w:u w:val="none"/>
              </w:rPr>
            </w:pPr>
          </w:p>
        </w:tc>
        <w:tc>
          <w:tcPr>
            <w:tcW w:w="279" w:type="dxa"/>
            <w:tcBorders>
              <w:top w:val="nil"/>
              <w:left w:val="nil"/>
              <w:bottom w:val="nil"/>
              <w:right w:val="nil"/>
            </w:tcBorders>
            <w:shd w:val="clear" w:color="auto" w:fill="auto"/>
            <w:tcMar>
              <w:top w:w="15" w:type="dxa"/>
              <w:left w:w="15" w:type="dxa"/>
              <w:right w:w="15" w:type="dxa"/>
            </w:tcMar>
            <w:vAlign w:val="center"/>
          </w:tcPr>
          <w:p w14:paraId="3DC8BF10">
            <w:pPr>
              <w:rPr>
                <w:rFonts w:hint="eastAsia" w:ascii="宋体" w:hAnsi="宋体" w:eastAsia="宋体" w:cs="宋体"/>
                <w:i w:val="0"/>
                <w:color w:val="000000"/>
                <w:sz w:val="18"/>
                <w:szCs w:val="18"/>
                <w:u w:val="none"/>
              </w:rPr>
            </w:pPr>
          </w:p>
        </w:tc>
        <w:tc>
          <w:tcPr>
            <w:tcW w:w="1558" w:type="dxa"/>
            <w:tcBorders>
              <w:top w:val="nil"/>
              <w:left w:val="nil"/>
              <w:bottom w:val="nil"/>
              <w:right w:val="nil"/>
            </w:tcBorders>
            <w:shd w:val="clear" w:color="auto" w:fill="auto"/>
            <w:tcMar>
              <w:top w:w="15" w:type="dxa"/>
              <w:left w:w="15" w:type="dxa"/>
              <w:right w:w="15" w:type="dxa"/>
            </w:tcMar>
            <w:vAlign w:val="center"/>
          </w:tcPr>
          <w:p w14:paraId="5AD249E8">
            <w:pPr>
              <w:rPr>
                <w:rFonts w:hint="eastAsia" w:ascii="宋体" w:hAnsi="宋体" w:eastAsia="宋体" w:cs="宋体"/>
                <w:i w:val="0"/>
                <w:color w:val="000000"/>
                <w:sz w:val="18"/>
                <w:szCs w:val="18"/>
                <w:u w:val="none"/>
              </w:rPr>
            </w:pPr>
          </w:p>
        </w:tc>
      </w:tr>
      <w:tr w14:paraId="1DC37DFF">
        <w:tblPrEx>
          <w:tblCellMar>
            <w:top w:w="0" w:type="dxa"/>
            <w:left w:w="0" w:type="dxa"/>
            <w:bottom w:w="0" w:type="dxa"/>
            <w:right w:w="0" w:type="dxa"/>
          </w:tblCellMar>
        </w:tblPrEx>
        <w:trPr>
          <w:trHeight w:val="973" w:hRule="atLeast"/>
        </w:trPr>
        <w:tc>
          <w:tcPr>
            <w:tcW w:w="8600"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49BACA">
            <w:pPr>
              <w:keepNext w:val="0"/>
              <w:keepLines w:val="0"/>
              <w:widowControl/>
              <w:suppressLineNumbers w:val="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部门预算项目支出绩效自评表（2023年度）</w:t>
            </w:r>
          </w:p>
        </w:tc>
      </w:tr>
      <w:tr w14:paraId="1D53342A">
        <w:tblPrEx>
          <w:tblCellMar>
            <w:top w:w="0" w:type="dxa"/>
            <w:left w:w="0" w:type="dxa"/>
            <w:bottom w:w="0" w:type="dxa"/>
            <w:right w:w="0" w:type="dxa"/>
          </w:tblCellMar>
        </w:tblPrEx>
        <w:trPr>
          <w:trHeight w:val="353" w:hRule="atLeast"/>
        </w:trPr>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F1DCF4">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6935"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EDDF5C">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51322422T000006098985</w:t>
            </w:r>
            <w:r>
              <w:rPr>
                <w:rFonts w:hint="eastAsia" w:ascii="宋体" w:hAnsi="宋体" w:cs="宋体"/>
                <w:i w:val="0"/>
                <w:color w:val="000000"/>
                <w:kern w:val="0"/>
                <w:sz w:val="18"/>
                <w:szCs w:val="18"/>
                <w:u w:val="none"/>
                <w:lang w:val="en-US" w:eastAsia="zh-CN" w:bidi="ar"/>
              </w:rPr>
              <w:t>－</w:t>
            </w:r>
            <w:r>
              <w:rPr>
                <w:rFonts w:ascii="宋体" w:hAnsi="宋体" w:eastAsia="宋体" w:cs="宋体"/>
                <w:i w:val="0"/>
                <w:color w:val="000000"/>
                <w:kern w:val="0"/>
                <w:sz w:val="18"/>
                <w:szCs w:val="18"/>
                <w:u w:val="none"/>
                <w:lang w:val="en-US" w:eastAsia="zh-CN" w:bidi="ar"/>
              </w:rPr>
              <w:t>村卫生室实施国家基本药物制度补助</w:t>
            </w:r>
          </w:p>
        </w:tc>
      </w:tr>
      <w:tr w14:paraId="6EF3C939">
        <w:tblPrEx>
          <w:shd w:val="clear" w:color="auto" w:fill="auto"/>
          <w:tblCellMar>
            <w:top w:w="0" w:type="dxa"/>
            <w:left w:w="0" w:type="dxa"/>
            <w:bottom w:w="0" w:type="dxa"/>
            <w:right w:w="0" w:type="dxa"/>
          </w:tblCellMar>
        </w:tblPrEx>
        <w:trPr>
          <w:trHeight w:val="680" w:hRule="atLeast"/>
        </w:trPr>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A214CA">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412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FA9B6F">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松潘县卫生健康局本级</w:t>
            </w:r>
          </w:p>
        </w:tc>
        <w:tc>
          <w:tcPr>
            <w:tcW w:w="666" w:type="dxa"/>
            <w:tcBorders>
              <w:top w:val="nil"/>
              <w:left w:val="nil"/>
              <w:bottom w:val="nil"/>
              <w:right w:val="nil"/>
            </w:tcBorders>
            <w:shd w:val="clear" w:color="auto" w:fill="auto"/>
            <w:tcMar>
              <w:top w:w="15" w:type="dxa"/>
              <w:left w:w="15" w:type="dxa"/>
              <w:right w:w="15" w:type="dxa"/>
            </w:tcMar>
            <w:vAlign w:val="center"/>
          </w:tcPr>
          <w:p w14:paraId="4B54D1BA">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实施单位 （盖章）</w:t>
            </w:r>
          </w:p>
        </w:tc>
        <w:tc>
          <w:tcPr>
            <w:tcW w:w="214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2A66C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松潘县下八寨乡卫生院</w:t>
            </w:r>
          </w:p>
        </w:tc>
      </w:tr>
      <w:tr w14:paraId="6D56B15B">
        <w:tblPrEx>
          <w:shd w:val="clear" w:color="auto" w:fill="auto"/>
          <w:tblCellMar>
            <w:top w:w="0" w:type="dxa"/>
            <w:left w:w="0" w:type="dxa"/>
            <w:bottom w:w="0" w:type="dxa"/>
            <w:right w:w="0" w:type="dxa"/>
          </w:tblCellMar>
        </w:tblPrEx>
        <w:trPr>
          <w:trHeight w:val="353" w:hRule="atLeast"/>
        </w:trPr>
        <w:tc>
          <w:tcPr>
            <w:tcW w:w="41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5C01D6">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125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79E7D2">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412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109B7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2812"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7A029B">
            <w:pPr>
              <w:keepNext w:val="0"/>
              <w:keepLines w:val="0"/>
              <w:widowControl/>
              <w:suppressLineNumbers w:val="0"/>
              <w:jc w:val="center"/>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年度目标完成情况</w:t>
            </w:r>
          </w:p>
        </w:tc>
      </w:tr>
      <w:tr w14:paraId="53D36B2B">
        <w:tblPrEx>
          <w:shd w:val="clear" w:color="auto" w:fill="auto"/>
          <w:tblCellMar>
            <w:top w:w="0" w:type="dxa"/>
            <w:left w:w="0" w:type="dxa"/>
            <w:bottom w:w="0" w:type="dxa"/>
            <w:right w:w="0" w:type="dxa"/>
          </w:tblCellMar>
        </w:tblPrEx>
        <w:trPr>
          <w:trHeight w:val="768" w:hRule="atLeast"/>
        </w:trPr>
        <w:tc>
          <w:tcPr>
            <w:tcW w:w="4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D16657">
            <w:pPr>
              <w:rPr>
                <w:rFonts w:hint="eastAsia" w:ascii="宋体" w:hAnsi="宋体" w:eastAsia="宋体" w:cs="宋体"/>
                <w:i w:val="0"/>
                <w:color w:val="000000"/>
                <w:sz w:val="18"/>
                <w:szCs w:val="18"/>
                <w:u w:val="none"/>
              </w:rPr>
            </w:pPr>
          </w:p>
        </w:tc>
        <w:tc>
          <w:tcPr>
            <w:tcW w:w="12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134799">
            <w:pPr>
              <w:rPr>
                <w:rFonts w:hint="eastAsia" w:ascii="宋体" w:hAnsi="宋体" w:eastAsia="宋体" w:cs="宋体"/>
                <w:i w:val="0"/>
                <w:color w:val="000000"/>
                <w:sz w:val="18"/>
                <w:szCs w:val="18"/>
                <w:u w:val="none"/>
              </w:rPr>
            </w:pPr>
          </w:p>
        </w:tc>
        <w:tc>
          <w:tcPr>
            <w:tcW w:w="412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DD079F">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方便了群众就近取药</w:t>
            </w:r>
          </w:p>
        </w:tc>
        <w:tc>
          <w:tcPr>
            <w:tcW w:w="2812"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E5DB0B">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已完成</w:t>
            </w:r>
          </w:p>
        </w:tc>
      </w:tr>
      <w:tr w14:paraId="2C074449">
        <w:tblPrEx>
          <w:tblCellMar>
            <w:top w:w="0" w:type="dxa"/>
            <w:left w:w="0" w:type="dxa"/>
            <w:bottom w:w="0" w:type="dxa"/>
            <w:right w:w="0" w:type="dxa"/>
          </w:tblCellMar>
        </w:tblPrEx>
        <w:trPr>
          <w:trHeight w:val="752" w:hRule="atLeast"/>
        </w:trPr>
        <w:tc>
          <w:tcPr>
            <w:tcW w:w="4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815344">
            <w:pPr>
              <w:rPr>
                <w:rFonts w:hint="eastAsia" w:ascii="宋体" w:hAnsi="宋体" w:eastAsia="宋体" w:cs="宋体"/>
                <w:i w:val="0"/>
                <w:color w:val="000000"/>
                <w:sz w:val="18"/>
                <w:szCs w:val="18"/>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63A5B6">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6935"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387B8B">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建立村卫生室基本药物制度，提高群众获得基本药物的及时性，更方便群众用药，保证群众基本用药需求</w:t>
            </w:r>
          </w:p>
        </w:tc>
      </w:tr>
      <w:tr w14:paraId="0E03A627">
        <w:tblPrEx>
          <w:shd w:val="clear" w:color="auto" w:fill="auto"/>
          <w:tblCellMar>
            <w:top w:w="0" w:type="dxa"/>
            <w:left w:w="0" w:type="dxa"/>
            <w:bottom w:w="0" w:type="dxa"/>
            <w:right w:w="0" w:type="dxa"/>
          </w:tblCellMar>
        </w:tblPrEx>
        <w:trPr>
          <w:trHeight w:val="404" w:hRule="atLeast"/>
        </w:trPr>
        <w:tc>
          <w:tcPr>
            <w:tcW w:w="41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AD8BF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BED2E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10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9FCEF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1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8CEFA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166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8E707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6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BADE1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3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6C546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2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A97D6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1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CB710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14:paraId="113F8CFC">
        <w:tblPrEx>
          <w:shd w:val="clear" w:color="auto" w:fill="auto"/>
          <w:tblCellMar>
            <w:top w:w="0" w:type="dxa"/>
            <w:left w:w="0" w:type="dxa"/>
            <w:bottom w:w="0" w:type="dxa"/>
            <w:right w:w="0" w:type="dxa"/>
          </w:tblCellMar>
        </w:tblPrEx>
        <w:trPr>
          <w:trHeight w:val="388" w:hRule="atLeast"/>
        </w:trPr>
        <w:tc>
          <w:tcPr>
            <w:tcW w:w="4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F2E937">
            <w:pPr>
              <w:jc w:val="center"/>
              <w:rPr>
                <w:rFonts w:hint="eastAsia" w:ascii="宋体" w:hAnsi="宋体" w:eastAsia="宋体" w:cs="宋体"/>
                <w:i w:val="0"/>
                <w:color w:val="000000"/>
                <w:sz w:val="18"/>
                <w:szCs w:val="18"/>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689F0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10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7712C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C817B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1.22</w:t>
            </w:r>
          </w:p>
        </w:tc>
        <w:tc>
          <w:tcPr>
            <w:tcW w:w="166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29C12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1.22</w:t>
            </w:r>
          </w:p>
        </w:tc>
        <w:tc>
          <w:tcPr>
            <w:tcW w:w="6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FBC81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3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65C72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2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8E0D3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55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546E18">
            <w:pPr>
              <w:keepNext w:val="0"/>
              <w:keepLines w:val="0"/>
              <w:widowControl/>
              <w:suppressLineNumbers w:val="0"/>
              <w:jc w:val="left"/>
              <w:textAlignment w:val="center"/>
              <w:rPr>
                <w:rFonts w:hint="eastAsia" w:ascii="黑体" w:hAnsi="黑体" w:eastAsia="黑体" w:cs="黑体"/>
                <w:i/>
                <w:color w:val="000000"/>
                <w:sz w:val="18"/>
                <w:szCs w:val="18"/>
                <w:u w:val="none"/>
              </w:rPr>
            </w:pPr>
            <w:r>
              <w:rPr>
                <w:rFonts w:hint="eastAsia" w:ascii="黑体" w:hAnsi="黑体" w:eastAsia="黑体" w:cs="黑体"/>
                <w:i/>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5E611EA6">
        <w:tblPrEx>
          <w:tblCellMar>
            <w:top w:w="0" w:type="dxa"/>
            <w:left w:w="0" w:type="dxa"/>
            <w:bottom w:w="0" w:type="dxa"/>
            <w:right w:w="0" w:type="dxa"/>
          </w:tblCellMar>
        </w:tblPrEx>
        <w:trPr>
          <w:trHeight w:val="435" w:hRule="atLeast"/>
        </w:trPr>
        <w:tc>
          <w:tcPr>
            <w:tcW w:w="4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76BB52">
            <w:pPr>
              <w:jc w:val="center"/>
              <w:rPr>
                <w:rFonts w:hint="eastAsia" w:ascii="宋体" w:hAnsi="宋体" w:eastAsia="宋体" w:cs="宋体"/>
                <w:i w:val="0"/>
                <w:color w:val="000000"/>
                <w:sz w:val="18"/>
                <w:szCs w:val="18"/>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E1B13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10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C2611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52483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1.22</w:t>
            </w:r>
          </w:p>
        </w:tc>
        <w:tc>
          <w:tcPr>
            <w:tcW w:w="166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B5DD4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1.22</w:t>
            </w:r>
          </w:p>
        </w:tc>
        <w:tc>
          <w:tcPr>
            <w:tcW w:w="6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EEA29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3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C3E87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EAA4F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5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E89D8C">
            <w:pPr>
              <w:rPr>
                <w:rFonts w:hint="eastAsia" w:ascii="黑体" w:hAnsi="黑体" w:eastAsia="黑体" w:cs="黑体"/>
                <w:i/>
                <w:color w:val="000000"/>
                <w:sz w:val="18"/>
                <w:szCs w:val="18"/>
                <w:u w:val="none"/>
              </w:rPr>
            </w:pPr>
          </w:p>
        </w:tc>
      </w:tr>
      <w:tr w14:paraId="077B5073">
        <w:tblPrEx>
          <w:tblCellMar>
            <w:top w:w="0" w:type="dxa"/>
            <w:left w:w="0" w:type="dxa"/>
            <w:bottom w:w="0" w:type="dxa"/>
            <w:right w:w="0" w:type="dxa"/>
          </w:tblCellMar>
        </w:tblPrEx>
        <w:trPr>
          <w:trHeight w:val="452" w:hRule="atLeast"/>
        </w:trPr>
        <w:tc>
          <w:tcPr>
            <w:tcW w:w="4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400A25">
            <w:pPr>
              <w:jc w:val="center"/>
              <w:rPr>
                <w:rFonts w:hint="eastAsia" w:ascii="宋体" w:hAnsi="宋体" w:eastAsia="宋体" w:cs="宋体"/>
                <w:i w:val="0"/>
                <w:color w:val="000000"/>
                <w:sz w:val="18"/>
                <w:szCs w:val="18"/>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AE5EA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10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20176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F9D71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66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1B717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6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8D368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3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EB9D0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28311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5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27F25D">
            <w:pPr>
              <w:rPr>
                <w:rFonts w:hint="eastAsia" w:ascii="黑体" w:hAnsi="黑体" w:eastAsia="黑体" w:cs="黑体"/>
                <w:i/>
                <w:color w:val="000000"/>
                <w:sz w:val="18"/>
                <w:szCs w:val="18"/>
                <w:u w:val="none"/>
              </w:rPr>
            </w:pPr>
          </w:p>
        </w:tc>
      </w:tr>
      <w:tr w14:paraId="2ED41619">
        <w:tblPrEx>
          <w:tblCellMar>
            <w:top w:w="0" w:type="dxa"/>
            <w:left w:w="0" w:type="dxa"/>
            <w:bottom w:w="0" w:type="dxa"/>
            <w:right w:w="0" w:type="dxa"/>
          </w:tblCellMar>
        </w:tblPrEx>
        <w:trPr>
          <w:trHeight w:val="404" w:hRule="atLeast"/>
        </w:trPr>
        <w:tc>
          <w:tcPr>
            <w:tcW w:w="4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705991">
            <w:pPr>
              <w:jc w:val="center"/>
              <w:rPr>
                <w:rFonts w:hint="eastAsia" w:ascii="宋体" w:hAnsi="宋体" w:eastAsia="宋体" w:cs="宋体"/>
                <w:i w:val="0"/>
                <w:color w:val="000000"/>
                <w:sz w:val="18"/>
                <w:szCs w:val="18"/>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7BE7F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10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4136C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38C9E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66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9D532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6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86680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3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9E4E9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0B9B0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5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E7C20A">
            <w:pPr>
              <w:rPr>
                <w:rFonts w:hint="eastAsia" w:ascii="黑体" w:hAnsi="黑体" w:eastAsia="黑体" w:cs="黑体"/>
                <w:i/>
                <w:color w:val="000000"/>
                <w:sz w:val="18"/>
                <w:szCs w:val="18"/>
                <w:u w:val="none"/>
              </w:rPr>
            </w:pPr>
          </w:p>
        </w:tc>
      </w:tr>
      <w:tr w14:paraId="60E12730">
        <w:tblPrEx>
          <w:tblCellMar>
            <w:top w:w="0" w:type="dxa"/>
            <w:left w:w="0" w:type="dxa"/>
            <w:bottom w:w="0" w:type="dxa"/>
            <w:right w:w="0" w:type="dxa"/>
          </w:tblCellMar>
        </w:tblPrEx>
        <w:trPr>
          <w:trHeight w:val="632" w:hRule="atLeast"/>
        </w:trPr>
        <w:tc>
          <w:tcPr>
            <w:tcW w:w="4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619B04">
            <w:pPr>
              <w:jc w:val="center"/>
              <w:rPr>
                <w:rFonts w:hint="eastAsia" w:ascii="宋体" w:hAnsi="宋体" w:eastAsia="宋体" w:cs="宋体"/>
                <w:i w:val="0"/>
                <w:color w:val="000000"/>
                <w:sz w:val="18"/>
                <w:szCs w:val="18"/>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BEB7B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10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1D1B6A">
            <w:pPr>
              <w:jc w:val="center"/>
              <w:rPr>
                <w:rFonts w:hint="eastAsia" w:ascii="微软雅黑" w:hAnsi="微软雅黑" w:eastAsia="微软雅黑" w:cs="微软雅黑"/>
                <w:i/>
                <w:color w:val="000000"/>
                <w:sz w:val="16"/>
                <w:szCs w:val="16"/>
                <w:u w:val="none"/>
              </w:rPr>
            </w:pPr>
          </w:p>
        </w:tc>
        <w:tc>
          <w:tcPr>
            <w:tcW w:w="1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39F3DE">
            <w:pPr>
              <w:jc w:val="center"/>
              <w:rPr>
                <w:rFonts w:hint="eastAsia" w:ascii="微软雅黑" w:hAnsi="微软雅黑" w:eastAsia="微软雅黑" w:cs="微软雅黑"/>
                <w:i/>
                <w:color w:val="000000"/>
                <w:sz w:val="16"/>
                <w:szCs w:val="16"/>
                <w:u w:val="none"/>
              </w:rPr>
            </w:pPr>
          </w:p>
        </w:tc>
        <w:tc>
          <w:tcPr>
            <w:tcW w:w="166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1C75F2">
            <w:pPr>
              <w:jc w:val="center"/>
              <w:rPr>
                <w:rFonts w:hint="eastAsia" w:ascii="微软雅黑" w:hAnsi="微软雅黑" w:eastAsia="微软雅黑" w:cs="微软雅黑"/>
                <w:i/>
                <w:color w:val="000000"/>
                <w:sz w:val="16"/>
                <w:szCs w:val="16"/>
                <w:u w:val="none"/>
              </w:rPr>
            </w:pPr>
          </w:p>
        </w:tc>
        <w:tc>
          <w:tcPr>
            <w:tcW w:w="6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3914CF">
            <w:pPr>
              <w:jc w:val="center"/>
              <w:rPr>
                <w:rFonts w:hint="eastAsia" w:ascii="微软雅黑" w:hAnsi="微软雅黑" w:eastAsia="微软雅黑" w:cs="微软雅黑"/>
                <w:i/>
                <w:color w:val="000000"/>
                <w:sz w:val="16"/>
                <w:szCs w:val="16"/>
                <w:u w:val="none"/>
              </w:rPr>
            </w:pPr>
          </w:p>
        </w:tc>
        <w:tc>
          <w:tcPr>
            <w:tcW w:w="3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1FC60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A5C5A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5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36C3B6">
            <w:pPr>
              <w:rPr>
                <w:rFonts w:hint="eastAsia" w:ascii="黑体" w:hAnsi="黑体" w:eastAsia="黑体" w:cs="黑体"/>
                <w:i/>
                <w:color w:val="000000"/>
                <w:sz w:val="18"/>
                <w:szCs w:val="18"/>
                <w:u w:val="none"/>
              </w:rPr>
            </w:pPr>
          </w:p>
        </w:tc>
      </w:tr>
      <w:tr w14:paraId="348524D7">
        <w:tblPrEx>
          <w:shd w:val="clear" w:color="auto" w:fill="auto"/>
          <w:tblCellMar>
            <w:top w:w="0" w:type="dxa"/>
            <w:left w:w="0" w:type="dxa"/>
            <w:bottom w:w="0" w:type="dxa"/>
            <w:right w:w="0" w:type="dxa"/>
          </w:tblCellMar>
        </w:tblPrEx>
        <w:trPr>
          <w:trHeight w:val="680" w:hRule="atLeast"/>
        </w:trPr>
        <w:tc>
          <w:tcPr>
            <w:tcW w:w="41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A7269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6E92E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10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8AC41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1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331F0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3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A4663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2FE2F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3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4F5AD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6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80707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3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9866E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2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370C8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1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E65C6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14:paraId="2CA3A590">
        <w:tblPrEx>
          <w:shd w:val="clear" w:color="auto" w:fill="auto"/>
          <w:tblCellMar>
            <w:top w:w="0" w:type="dxa"/>
            <w:left w:w="0" w:type="dxa"/>
            <w:bottom w:w="0" w:type="dxa"/>
            <w:right w:w="0" w:type="dxa"/>
          </w:tblCellMar>
        </w:tblPrEx>
        <w:trPr>
          <w:trHeight w:val="680" w:hRule="atLeast"/>
        </w:trPr>
        <w:tc>
          <w:tcPr>
            <w:tcW w:w="4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5FCEAF">
            <w:pPr>
              <w:jc w:val="center"/>
              <w:rPr>
                <w:rFonts w:hint="eastAsia" w:ascii="宋体" w:hAnsi="宋体" w:eastAsia="宋体" w:cs="宋体"/>
                <w:i w:val="0"/>
                <w:color w:val="000000"/>
                <w:sz w:val="18"/>
                <w:szCs w:val="18"/>
                <w:u w:val="none"/>
              </w:rPr>
            </w:pPr>
          </w:p>
        </w:tc>
        <w:tc>
          <w:tcPr>
            <w:tcW w:w="125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82DC9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10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E1CF4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1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BD493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享受村卫生室基层药物补助人数</w:t>
            </w:r>
          </w:p>
        </w:tc>
        <w:tc>
          <w:tcPr>
            <w:tcW w:w="3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426B29">
            <w:pPr>
              <w:keepNext w:val="0"/>
              <w:keepLines w:val="0"/>
              <w:widowControl/>
              <w:suppressLineNumbers w:val="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C1B87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人数</w:t>
            </w:r>
          </w:p>
        </w:tc>
        <w:tc>
          <w:tcPr>
            <w:tcW w:w="3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FCB30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人数</w:t>
            </w:r>
          </w:p>
        </w:tc>
        <w:tc>
          <w:tcPr>
            <w:tcW w:w="6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A99FE4">
            <w:pPr>
              <w:jc w:val="center"/>
              <w:rPr>
                <w:rFonts w:hint="eastAsia" w:ascii="宋体" w:hAnsi="宋体" w:eastAsia="宋体" w:cs="宋体"/>
                <w:i w:val="0"/>
                <w:color w:val="000000"/>
                <w:sz w:val="18"/>
                <w:szCs w:val="18"/>
                <w:u w:val="none"/>
              </w:rPr>
            </w:pPr>
          </w:p>
        </w:tc>
        <w:tc>
          <w:tcPr>
            <w:tcW w:w="3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E7E13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2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2A754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19</w:t>
            </w:r>
          </w:p>
        </w:tc>
        <w:tc>
          <w:tcPr>
            <w:tcW w:w="1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1C0DE5">
            <w:pPr>
              <w:jc w:val="center"/>
              <w:rPr>
                <w:rFonts w:hint="eastAsia" w:ascii="宋体" w:hAnsi="宋体" w:eastAsia="宋体" w:cs="宋体"/>
                <w:i w:val="0"/>
                <w:color w:val="000000"/>
                <w:sz w:val="18"/>
                <w:szCs w:val="18"/>
                <w:u w:val="none"/>
              </w:rPr>
            </w:pPr>
          </w:p>
        </w:tc>
      </w:tr>
      <w:tr w14:paraId="36C5D584">
        <w:tblPrEx>
          <w:tblCellMar>
            <w:top w:w="0" w:type="dxa"/>
            <w:left w:w="0" w:type="dxa"/>
            <w:bottom w:w="0" w:type="dxa"/>
            <w:right w:w="0" w:type="dxa"/>
          </w:tblCellMar>
        </w:tblPrEx>
        <w:trPr>
          <w:trHeight w:val="680" w:hRule="atLeast"/>
        </w:trPr>
        <w:tc>
          <w:tcPr>
            <w:tcW w:w="4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AEF8C9">
            <w:pPr>
              <w:jc w:val="center"/>
              <w:rPr>
                <w:rFonts w:hint="eastAsia" w:ascii="宋体" w:hAnsi="宋体" w:eastAsia="宋体" w:cs="宋体"/>
                <w:i w:val="0"/>
                <w:color w:val="000000"/>
                <w:sz w:val="18"/>
                <w:szCs w:val="18"/>
                <w:u w:val="none"/>
              </w:rPr>
            </w:pPr>
          </w:p>
        </w:tc>
        <w:tc>
          <w:tcPr>
            <w:tcW w:w="12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696931">
            <w:pPr>
              <w:jc w:val="center"/>
              <w:rPr>
                <w:rFonts w:hint="eastAsia" w:ascii="宋体" w:hAnsi="宋体" w:eastAsia="宋体" w:cs="宋体"/>
                <w:i w:val="0"/>
                <w:color w:val="000000"/>
                <w:sz w:val="18"/>
                <w:szCs w:val="18"/>
                <w:u w:val="none"/>
              </w:rPr>
            </w:pPr>
          </w:p>
        </w:tc>
        <w:tc>
          <w:tcPr>
            <w:tcW w:w="10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E3D29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质量指标</w:t>
            </w:r>
          </w:p>
        </w:tc>
        <w:tc>
          <w:tcPr>
            <w:tcW w:w="1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5BA4A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享受村卫生室基层药物补助标准</w:t>
            </w:r>
          </w:p>
        </w:tc>
        <w:tc>
          <w:tcPr>
            <w:tcW w:w="3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47ECD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5256D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3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2D496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CCE76C">
            <w:pPr>
              <w:jc w:val="center"/>
              <w:rPr>
                <w:rFonts w:hint="eastAsia" w:ascii="宋体" w:hAnsi="宋体" w:eastAsia="宋体" w:cs="宋体"/>
                <w:i w:val="0"/>
                <w:color w:val="000000"/>
                <w:sz w:val="18"/>
                <w:szCs w:val="18"/>
                <w:u w:val="none"/>
              </w:rPr>
            </w:pPr>
          </w:p>
        </w:tc>
        <w:tc>
          <w:tcPr>
            <w:tcW w:w="3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80C13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2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B6699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1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5FACF2">
            <w:pPr>
              <w:jc w:val="center"/>
              <w:rPr>
                <w:rFonts w:hint="eastAsia" w:ascii="宋体" w:hAnsi="宋体" w:eastAsia="宋体" w:cs="宋体"/>
                <w:i w:val="0"/>
                <w:color w:val="000000"/>
                <w:sz w:val="18"/>
                <w:szCs w:val="18"/>
                <w:u w:val="none"/>
              </w:rPr>
            </w:pPr>
          </w:p>
        </w:tc>
      </w:tr>
      <w:tr w14:paraId="31236C33">
        <w:tblPrEx>
          <w:tblCellMar>
            <w:top w:w="0" w:type="dxa"/>
            <w:left w:w="0" w:type="dxa"/>
            <w:bottom w:w="0" w:type="dxa"/>
            <w:right w:w="0" w:type="dxa"/>
          </w:tblCellMar>
        </w:tblPrEx>
        <w:trPr>
          <w:trHeight w:val="353" w:hRule="atLeast"/>
        </w:trPr>
        <w:tc>
          <w:tcPr>
            <w:tcW w:w="4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BCC054">
            <w:pPr>
              <w:jc w:val="center"/>
              <w:rPr>
                <w:rFonts w:hint="eastAsia" w:ascii="宋体" w:hAnsi="宋体" w:eastAsia="宋体" w:cs="宋体"/>
                <w:i w:val="0"/>
                <w:color w:val="000000"/>
                <w:sz w:val="18"/>
                <w:szCs w:val="18"/>
                <w:u w:val="none"/>
              </w:rPr>
            </w:pPr>
          </w:p>
        </w:tc>
        <w:tc>
          <w:tcPr>
            <w:tcW w:w="12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8E37A6">
            <w:pPr>
              <w:jc w:val="center"/>
              <w:rPr>
                <w:rFonts w:hint="eastAsia" w:ascii="宋体" w:hAnsi="宋体" w:eastAsia="宋体" w:cs="宋体"/>
                <w:i w:val="0"/>
                <w:color w:val="000000"/>
                <w:sz w:val="18"/>
                <w:szCs w:val="18"/>
                <w:u w:val="none"/>
              </w:rPr>
            </w:pPr>
          </w:p>
        </w:tc>
        <w:tc>
          <w:tcPr>
            <w:tcW w:w="10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EAD3D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时效指标</w:t>
            </w:r>
          </w:p>
        </w:tc>
        <w:tc>
          <w:tcPr>
            <w:tcW w:w="1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89E93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村卫生室药物补助使用实率</w:t>
            </w:r>
          </w:p>
        </w:tc>
        <w:tc>
          <w:tcPr>
            <w:tcW w:w="3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51400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A045E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3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1A4F9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9F1D14">
            <w:pPr>
              <w:jc w:val="center"/>
              <w:rPr>
                <w:rFonts w:hint="eastAsia" w:ascii="宋体" w:hAnsi="宋体" w:eastAsia="宋体" w:cs="宋体"/>
                <w:i w:val="0"/>
                <w:color w:val="000000"/>
                <w:sz w:val="18"/>
                <w:szCs w:val="18"/>
                <w:u w:val="none"/>
              </w:rPr>
            </w:pPr>
          </w:p>
        </w:tc>
        <w:tc>
          <w:tcPr>
            <w:tcW w:w="3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AC061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2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E8A76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1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A4B56E">
            <w:pPr>
              <w:jc w:val="center"/>
              <w:rPr>
                <w:rFonts w:hint="eastAsia" w:ascii="宋体" w:hAnsi="宋体" w:eastAsia="宋体" w:cs="宋体"/>
                <w:i w:val="0"/>
                <w:color w:val="000000"/>
                <w:sz w:val="18"/>
                <w:szCs w:val="18"/>
                <w:u w:val="none"/>
              </w:rPr>
            </w:pPr>
          </w:p>
        </w:tc>
      </w:tr>
      <w:tr w14:paraId="3338AB35">
        <w:tblPrEx>
          <w:tblCellMar>
            <w:top w:w="0" w:type="dxa"/>
            <w:left w:w="0" w:type="dxa"/>
            <w:bottom w:w="0" w:type="dxa"/>
            <w:right w:w="0" w:type="dxa"/>
          </w:tblCellMar>
        </w:tblPrEx>
        <w:trPr>
          <w:trHeight w:val="353" w:hRule="atLeast"/>
        </w:trPr>
        <w:tc>
          <w:tcPr>
            <w:tcW w:w="4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5FEF46">
            <w:pPr>
              <w:jc w:val="center"/>
              <w:rPr>
                <w:rFonts w:hint="eastAsia" w:ascii="宋体" w:hAnsi="宋体" w:eastAsia="宋体" w:cs="宋体"/>
                <w:i w:val="0"/>
                <w:color w:val="000000"/>
                <w:sz w:val="18"/>
                <w:szCs w:val="18"/>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97CC1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10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0821B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社会效益指标</w:t>
            </w:r>
          </w:p>
        </w:tc>
        <w:tc>
          <w:tcPr>
            <w:tcW w:w="1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071AB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享受人员基本情况有效改善</w:t>
            </w:r>
          </w:p>
        </w:tc>
        <w:tc>
          <w:tcPr>
            <w:tcW w:w="3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D65CD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0A472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3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F3B16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3AD535">
            <w:pPr>
              <w:jc w:val="center"/>
              <w:rPr>
                <w:rFonts w:hint="eastAsia" w:ascii="宋体" w:hAnsi="宋体" w:eastAsia="宋体" w:cs="宋体"/>
                <w:i w:val="0"/>
                <w:color w:val="000000"/>
                <w:sz w:val="18"/>
                <w:szCs w:val="18"/>
                <w:u w:val="none"/>
              </w:rPr>
            </w:pPr>
          </w:p>
        </w:tc>
        <w:tc>
          <w:tcPr>
            <w:tcW w:w="3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8C68F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2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5FC9A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1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5DD4A6">
            <w:pPr>
              <w:jc w:val="center"/>
              <w:rPr>
                <w:rFonts w:hint="eastAsia" w:ascii="宋体" w:hAnsi="宋体" w:eastAsia="宋体" w:cs="宋体"/>
                <w:i w:val="0"/>
                <w:color w:val="000000"/>
                <w:sz w:val="18"/>
                <w:szCs w:val="18"/>
                <w:u w:val="none"/>
              </w:rPr>
            </w:pPr>
          </w:p>
        </w:tc>
      </w:tr>
      <w:tr w14:paraId="56562672">
        <w:tblPrEx>
          <w:tblCellMar>
            <w:top w:w="0" w:type="dxa"/>
            <w:left w:w="0" w:type="dxa"/>
            <w:bottom w:w="0" w:type="dxa"/>
            <w:right w:w="0" w:type="dxa"/>
          </w:tblCellMar>
        </w:tblPrEx>
        <w:trPr>
          <w:trHeight w:val="680" w:hRule="atLeast"/>
        </w:trPr>
        <w:tc>
          <w:tcPr>
            <w:tcW w:w="4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F4F2EE">
            <w:pPr>
              <w:jc w:val="center"/>
              <w:rPr>
                <w:rFonts w:hint="eastAsia" w:ascii="宋体" w:hAnsi="宋体" w:eastAsia="宋体" w:cs="宋体"/>
                <w:i w:val="0"/>
                <w:color w:val="000000"/>
                <w:sz w:val="18"/>
                <w:szCs w:val="18"/>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CC41E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满意度指标</w:t>
            </w:r>
          </w:p>
        </w:tc>
        <w:tc>
          <w:tcPr>
            <w:tcW w:w="10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4BFEF5">
            <w:pPr>
              <w:keepNext w:val="0"/>
              <w:keepLines w:val="0"/>
              <w:widowControl/>
              <w:suppressLineNumbers w:val="0"/>
              <w:jc w:val="center"/>
              <w:textAlignment w:val="center"/>
              <w:rPr>
                <w:rFonts w:ascii="宋体" w:hAnsi="宋体" w:eastAsia="宋体" w:cs="宋体"/>
                <w:i w:val="0"/>
                <w:color w:val="000000"/>
                <w:sz w:val="18"/>
                <w:szCs w:val="18"/>
                <w:u w:val="none"/>
              </w:rPr>
            </w:pPr>
            <w:r>
              <w:rPr>
                <w:rFonts w:hint="eastAsia" w:ascii="宋体" w:hAnsi="宋体" w:cs="宋体"/>
                <w:i w:val="0"/>
                <w:color w:val="000000"/>
                <w:kern w:val="0"/>
                <w:sz w:val="18"/>
                <w:szCs w:val="18"/>
                <w:u w:val="none"/>
                <w:lang w:val="en-US" w:eastAsia="zh-CN" w:bidi="ar"/>
              </w:rPr>
              <w:t>服务对象</w:t>
            </w:r>
            <w:r>
              <w:rPr>
                <w:rFonts w:ascii="宋体" w:hAnsi="宋体" w:eastAsia="宋体" w:cs="宋体"/>
                <w:i w:val="0"/>
                <w:color w:val="000000"/>
                <w:kern w:val="0"/>
                <w:sz w:val="18"/>
                <w:szCs w:val="18"/>
                <w:u w:val="none"/>
                <w:lang w:val="en-US" w:eastAsia="zh-CN" w:bidi="ar"/>
              </w:rPr>
              <w:t>满意度指标</w:t>
            </w:r>
          </w:p>
        </w:tc>
        <w:tc>
          <w:tcPr>
            <w:tcW w:w="1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E2B50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享受村卫生室药物补助</w:t>
            </w:r>
            <w:r>
              <w:rPr>
                <w:rFonts w:hint="eastAsia" w:ascii="宋体" w:hAnsi="宋体" w:cs="宋体"/>
                <w:i w:val="0"/>
                <w:color w:val="000000"/>
                <w:kern w:val="0"/>
                <w:sz w:val="18"/>
                <w:szCs w:val="18"/>
                <w:u w:val="none"/>
                <w:lang w:val="en-US" w:eastAsia="zh-CN" w:bidi="ar"/>
              </w:rPr>
              <w:t>对象</w:t>
            </w:r>
            <w:r>
              <w:rPr>
                <w:rFonts w:ascii="宋体" w:hAnsi="宋体" w:eastAsia="宋体" w:cs="宋体"/>
                <w:i w:val="0"/>
                <w:color w:val="000000"/>
                <w:kern w:val="0"/>
                <w:sz w:val="18"/>
                <w:szCs w:val="18"/>
                <w:u w:val="none"/>
                <w:lang w:val="en-US" w:eastAsia="zh-CN" w:bidi="ar"/>
              </w:rPr>
              <w:t>满意度</w:t>
            </w:r>
          </w:p>
        </w:tc>
        <w:tc>
          <w:tcPr>
            <w:tcW w:w="3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A4A8F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52A8A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3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78DBE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478E44">
            <w:pPr>
              <w:jc w:val="center"/>
              <w:rPr>
                <w:rFonts w:hint="eastAsia" w:ascii="宋体" w:hAnsi="宋体" w:eastAsia="宋体" w:cs="宋体"/>
                <w:i w:val="0"/>
                <w:color w:val="000000"/>
                <w:sz w:val="18"/>
                <w:szCs w:val="18"/>
                <w:u w:val="none"/>
              </w:rPr>
            </w:pPr>
          </w:p>
        </w:tc>
        <w:tc>
          <w:tcPr>
            <w:tcW w:w="3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55420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2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DE5C5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8</w:t>
            </w:r>
          </w:p>
        </w:tc>
        <w:tc>
          <w:tcPr>
            <w:tcW w:w="1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B69F83">
            <w:pPr>
              <w:jc w:val="center"/>
              <w:rPr>
                <w:rFonts w:hint="eastAsia" w:ascii="宋体" w:hAnsi="宋体" w:eastAsia="宋体" w:cs="宋体"/>
                <w:i w:val="0"/>
                <w:color w:val="000000"/>
                <w:sz w:val="18"/>
                <w:szCs w:val="18"/>
                <w:u w:val="none"/>
              </w:rPr>
            </w:pPr>
          </w:p>
        </w:tc>
      </w:tr>
      <w:tr w14:paraId="53BDBE88">
        <w:tblPrEx>
          <w:shd w:val="clear" w:color="auto" w:fill="auto"/>
          <w:tblCellMar>
            <w:top w:w="0" w:type="dxa"/>
            <w:left w:w="0" w:type="dxa"/>
            <w:bottom w:w="0" w:type="dxa"/>
            <w:right w:w="0" w:type="dxa"/>
          </w:tblCellMar>
        </w:tblPrEx>
        <w:trPr>
          <w:trHeight w:val="353" w:hRule="atLeast"/>
        </w:trPr>
        <w:tc>
          <w:tcPr>
            <w:tcW w:w="6454"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9B065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3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4F2CC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2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926ED0">
            <w:pPr>
              <w:keepNext w:val="0"/>
              <w:keepLines w:val="0"/>
              <w:widowControl/>
              <w:suppressLineNumbers w:val="0"/>
              <w:jc w:val="righ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97</w:t>
            </w:r>
          </w:p>
        </w:tc>
        <w:tc>
          <w:tcPr>
            <w:tcW w:w="1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6EC16B">
            <w:pPr>
              <w:rPr>
                <w:rFonts w:hint="eastAsia" w:ascii="宋体" w:hAnsi="宋体" w:eastAsia="宋体" w:cs="宋体"/>
                <w:i w:val="0"/>
                <w:color w:val="000000"/>
                <w:sz w:val="18"/>
                <w:szCs w:val="18"/>
                <w:u w:val="none"/>
              </w:rPr>
            </w:pPr>
          </w:p>
        </w:tc>
      </w:tr>
      <w:tr w14:paraId="45EBB84F">
        <w:tblPrEx>
          <w:shd w:val="clear" w:color="auto" w:fill="auto"/>
          <w:tblCellMar>
            <w:top w:w="0" w:type="dxa"/>
            <w:left w:w="0" w:type="dxa"/>
            <w:bottom w:w="0" w:type="dxa"/>
            <w:right w:w="0" w:type="dxa"/>
          </w:tblCellMar>
        </w:tblPrEx>
        <w:trPr>
          <w:trHeight w:val="680" w:hRule="atLeast"/>
        </w:trPr>
        <w:tc>
          <w:tcPr>
            <w:tcW w:w="4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5FF08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8185"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CA911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全面深化村卫生室管理体制、补偿机制等方面的综合改革，为城乡居民提供安全、有效、方便、价廉的基本医疗卫生服务，经我单位认真自评，2023年村卫生室实施国家基本药物制度补助自评得分91分。</w:t>
            </w:r>
          </w:p>
        </w:tc>
      </w:tr>
      <w:tr w14:paraId="516EBEB5">
        <w:tblPrEx>
          <w:shd w:val="clear" w:color="auto" w:fill="auto"/>
          <w:tblCellMar>
            <w:top w:w="0" w:type="dxa"/>
            <w:left w:w="0" w:type="dxa"/>
            <w:bottom w:w="0" w:type="dxa"/>
            <w:right w:w="0" w:type="dxa"/>
          </w:tblCellMar>
        </w:tblPrEx>
        <w:trPr>
          <w:trHeight w:val="680" w:hRule="atLeast"/>
        </w:trPr>
        <w:tc>
          <w:tcPr>
            <w:tcW w:w="4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C1462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8185"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BFF24E">
            <w:pPr>
              <w:keepNext w:val="0"/>
              <w:keepLines w:val="0"/>
              <w:widowControl/>
              <w:suppressLineNumbers w:val="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无</w:t>
            </w:r>
          </w:p>
        </w:tc>
      </w:tr>
      <w:tr w14:paraId="46CA76C8">
        <w:tblPrEx>
          <w:shd w:val="clear" w:color="auto" w:fill="auto"/>
          <w:tblCellMar>
            <w:top w:w="0" w:type="dxa"/>
            <w:left w:w="0" w:type="dxa"/>
            <w:bottom w:w="0" w:type="dxa"/>
            <w:right w:w="0" w:type="dxa"/>
          </w:tblCellMar>
        </w:tblPrEx>
        <w:trPr>
          <w:trHeight w:val="689" w:hRule="atLeast"/>
        </w:trPr>
        <w:tc>
          <w:tcPr>
            <w:tcW w:w="4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24501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8185"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2E205E">
            <w:pPr>
              <w:keepNext w:val="0"/>
              <w:keepLines w:val="0"/>
              <w:widowControl/>
              <w:suppressLineNumbers w:val="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无</w:t>
            </w:r>
          </w:p>
        </w:tc>
      </w:tr>
      <w:tr w14:paraId="70415586">
        <w:tblPrEx>
          <w:shd w:val="clear" w:color="auto" w:fill="auto"/>
          <w:tblCellMar>
            <w:top w:w="0" w:type="dxa"/>
            <w:left w:w="0" w:type="dxa"/>
            <w:bottom w:w="0" w:type="dxa"/>
            <w:right w:w="0" w:type="dxa"/>
          </w:tblCellMar>
        </w:tblPrEx>
        <w:trPr>
          <w:trHeight w:val="353" w:hRule="atLeast"/>
        </w:trPr>
        <w:tc>
          <w:tcPr>
            <w:tcW w:w="444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C9F505">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项目负责人：</w:t>
            </w:r>
          </w:p>
        </w:tc>
        <w:tc>
          <w:tcPr>
            <w:tcW w:w="4154"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2740F3">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财务负责人：</w:t>
            </w:r>
          </w:p>
        </w:tc>
      </w:tr>
      <w:tr w14:paraId="1B47886D">
        <w:tblPrEx>
          <w:tblCellMar>
            <w:top w:w="0" w:type="dxa"/>
            <w:left w:w="0" w:type="dxa"/>
            <w:bottom w:w="0" w:type="dxa"/>
            <w:right w:w="0" w:type="dxa"/>
          </w:tblCellMar>
        </w:tblPrEx>
        <w:trPr>
          <w:trHeight w:val="353" w:hRule="atLeast"/>
        </w:trPr>
        <w:tc>
          <w:tcPr>
            <w:tcW w:w="415" w:type="dxa"/>
            <w:tcBorders>
              <w:top w:val="nil"/>
              <w:left w:val="nil"/>
              <w:bottom w:val="nil"/>
              <w:right w:val="nil"/>
            </w:tcBorders>
            <w:shd w:val="clear" w:color="auto" w:fill="auto"/>
            <w:tcMar>
              <w:top w:w="15" w:type="dxa"/>
              <w:left w:w="15" w:type="dxa"/>
              <w:right w:w="15" w:type="dxa"/>
            </w:tcMar>
            <w:vAlign w:val="center"/>
          </w:tcPr>
          <w:p w14:paraId="5D3270D7">
            <w:pPr>
              <w:rPr>
                <w:rFonts w:hint="eastAsia" w:ascii="宋体" w:hAnsi="宋体" w:eastAsia="宋体" w:cs="宋体"/>
                <w:i w:val="0"/>
                <w:color w:val="000000"/>
                <w:sz w:val="18"/>
                <w:szCs w:val="18"/>
                <w:u w:val="none"/>
              </w:rPr>
            </w:pPr>
          </w:p>
        </w:tc>
        <w:tc>
          <w:tcPr>
            <w:tcW w:w="1250" w:type="dxa"/>
            <w:tcBorders>
              <w:top w:val="nil"/>
              <w:left w:val="nil"/>
              <w:bottom w:val="nil"/>
              <w:right w:val="nil"/>
            </w:tcBorders>
            <w:shd w:val="clear" w:color="auto" w:fill="auto"/>
            <w:tcMar>
              <w:top w:w="15" w:type="dxa"/>
              <w:left w:w="15" w:type="dxa"/>
              <w:right w:w="15" w:type="dxa"/>
            </w:tcMar>
            <w:vAlign w:val="center"/>
          </w:tcPr>
          <w:p w14:paraId="3C1EF69B">
            <w:pPr>
              <w:rPr>
                <w:rFonts w:hint="eastAsia" w:ascii="宋体" w:hAnsi="宋体" w:eastAsia="宋体" w:cs="宋体"/>
                <w:i w:val="0"/>
                <w:color w:val="000000"/>
                <w:sz w:val="18"/>
                <w:szCs w:val="18"/>
                <w:u w:val="none"/>
              </w:rPr>
            </w:pPr>
          </w:p>
        </w:tc>
        <w:tc>
          <w:tcPr>
            <w:tcW w:w="1082" w:type="dxa"/>
            <w:tcBorders>
              <w:top w:val="nil"/>
              <w:left w:val="nil"/>
              <w:bottom w:val="nil"/>
              <w:right w:val="nil"/>
            </w:tcBorders>
            <w:shd w:val="clear" w:color="auto" w:fill="auto"/>
            <w:tcMar>
              <w:top w:w="15" w:type="dxa"/>
              <w:left w:w="15" w:type="dxa"/>
              <w:right w:w="15" w:type="dxa"/>
            </w:tcMar>
            <w:vAlign w:val="center"/>
          </w:tcPr>
          <w:p w14:paraId="6A1F4CF4">
            <w:pPr>
              <w:rPr>
                <w:rFonts w:hint="eastAsia" w:ascii="宋体" w:hAnsi="宋体" w:eastAsia="宋体" w:cs="宋体"/>
                <w:i w:val="0"/>
                <w:color w:val="000000"/>
                <w:sz w:val="18"/>
                <w:szCs w:val="18"/>
                <w:u w:val="none"/>
              </w:rPr>
            </w:pPr>
          </w:p>
        </w:tc>
        <w:tc>
          <w:tcPr>
            <w:tcW w:w="1381" w:type="dxa"/>
            <w:tcBorders>
              <w:top w:val="nil"/>
              <w:left w:val="nil"/>
              <w:bottom w:val="nil"/>
              <w:right w:val="nil"/>
            </w:tcBorders>
            <w:shd w:val="clear" w:color="auto" w:fill="auto"/>
            <w:tcMar>
              <w:top w:w="15" w:type="dxa"/>
              <w:left w:w="15" w:type="dxa"/>
              <w:right w:w="15" w:type="dxa"/>
            </w:tcMar>
            <w:vAlign w:val="center"/>
          </w:tcPr>
          <w:p w14:paraId="5AF4F4B5">
            <w:pPr>
              <w:rPr>
                <w:rFonts w:hint="eastAsia" w:ascii="宋体" w:hAnsi="宋体" w:eastAsia="宋体" w:cs="宋体"/>
                <w:i w:val="0"/>
                <w:color w:val="000000"/>
                <w:sz w:val="18"/>
                <w:szCs w:val="18"/>
                <w:u w:val="none"/>
              </w:rPr>
            </w:pPr>
          </w:p>
        </w:tc>
        <w:tc>
          <w:tcPr>
            <w:tcW w:w="318" w:type="dxa"/>
            <w:tcBorders>
              <w:top w:val="nil"/>
              <w:left w:val="nil"/>
              <w:bottom w:val="nil"/>
              <w:right w:val="nil"/>
            </w:tcBorders>
            <w:shd w:val="clear" w:color="auto" w:fill="auto"/>
            <w:tcMar>
              <w:top w:w="15" w:type="dxa"/>
              <w:left w:w="15" w:type="dxa"/>
              <w:right w:w="15" w:type="dxa"/>
            </w:tcMar>
            <w:vAlign w:val="center"/>
          </w:tcPr>
          <w:p w14:paraId="31A0C295">
            <w:pPr>
              <w:rPr>
                <w:rFonts w:hint="eastAsia" w:ascii="宋体" w:hAnsi="宋体" w:eastAsia="宋体" w:cs="宋体"/>
                <w:i w:val="0"/>
                <w:color w:val="000000"/>
                <w:sz w:val="18"/>
                <w:szCs w:val="18"/>
                <w:u w:val="none"/>
              </w:rPr>
            </w:pPr>
          </w:p>
        </w:tc>
        <w:tc>
          <w:tcPr>
            <w:tcW w:w="1023" w:type="dxa"/>
            <w:tcBorders>
              <w:top w:val="nil"/>
              <w:left w:val="nil"/>
              <w:bottom w:val="nil"/>
              <w:right w:val="nil"/>
            </w:tcBorders>
            <w:shd w:val="clear" w:color="auto" w:fill="auto"/>
            <w:tcMar>
              <w:top w:w="15" w:type="dxa"/>
              <w:left w:w="15" w:type="dxa"/>
              <w:right w:w="15" w:type="dxa"/>
            </w:tcMar>
            <w:vAlign w:val="center"/>
          </w:tcPr>
          <w:p w14:paraId="108F9035">
            <w:pPr>
              <w:rPr>
                <w:rFonts w:hint="eastAsia" w:ascii="宋体" w:hAnsi="宋体" w:eastAsia="宋体" w:cs="宋体"/>
                <w:i w:val="0"/>
                <w:color w:val="000000"/>
                <w:sz w:val="18"/>
                <w:szCs w:val="18"/>
                <w:u w:val="none"/>
              </w:rPr>
            </w:pPr>
          </w:p>
        </w:tc>
        <w:tc>
          <w:tcPr>
            <w:tcW w:w="319" w:type="dxa"/>
            <w:tcBorders>
              <w:top w:val="nil"/>
              <w:left w:val="nil"/>
              <w:bottom w:val="nil"/>
              <w:right w:val="nil"/>
            </w:tcBorders>
            <w:shd w:val="clear" w:color="auto" w:fill="auto"/>
            <w:tcMar>
              <w:top w:w="15" w:type="dxa"/>
              <w:left w:w="15" w:type="dxa"/>
              <w:right w:w="15" w:type="dxa"/>
            </w:tcMar>
            <w:vAlign w:val="center"/>
          </w:tcPr>
          <w:p w14:paraId="3564D693">
            <w:pPr>
              <w:rPr>
                <w:rFonts w:hint="eastAsia" w:ascii="宋体" w:hAnsi="宋体" w:eastAsia="宋体" w:cs="宋体"/>
                <w:i w:val="0"/>
                <w:color w:val="000000"/>
                <w:sz w:val="18"/>
                <w:szCs w:val="18"/>
                <w:u w:val="none"/>
              </w:rPr>
            </w:pPr>
          </w:p>
        </w:tc>
        <w:tc>
          <w:tcPr>
            <w:tcW w:w="666" w:type="dxa"/>
            <w:tcBorders>
              <w:top w:val="nil"/>
              <w:left w:val="nil"/>
              <w:bottom w:val="nil"/>
              <w:right w:val="nil"/>
            </w:tcBorders>
            <w:shd w:val="clear" w:color="auto" w:fill="auto"/>
            <w:tcMar>
              <w:top w:w="15" w:type="dxa"/>
              <w:left w:w="15" w:type="dxa"/>
              <w:right w:w="15" w:type="dxa"/>
            </w:tcMar>
            <w:vAlign w:val="center"/>
          </w:tcPr>
          <w:p w14:paraId="79ABD18B">
            <w:pPr>
              <w:rPr>
                <w:rFonts w:hint="eastAsia" w:ascii="宋体" w:hAnsi="宋体" w:eastAsia="宋体" w:cs="宋体"/>
                <w:i w:val="0"/>
                <w:color w:val="000000"/>
                <w:sz w:val="18"/>
                <w:szCs w:val="18"/>
                <w:u w:val="none"/>
              </w:rPr>
            </w:pPr>
          </w:p>
        </w:tc>
        <w:tc>
          <w:tcPr>
            <w:tcW w:w="309" w:type="dxa"/>
            <w:tcBorders>
              <w:top w:val="nil"/>
              <w:left w:val="nil"/>
              <w:bottom w:val="nil"/>
              <w:right w:val="nil"/>
            </w:tcBorders>
            <w:shd w:val="clear" w:color="auto" w:fill="auto"/>
            <w:tcMar>
              <w:top w:w="15" w:type="dxa"/>
              <w:left w:w="15" w:type="dxa"/>
              <w:right w:w="15" w:type="dxa"/>
            </w:tcMar>
            <w:vAlign w:val="center"/>
          </w:tcPr>
          <w:p w14:paraId="194A3907">
            <w:pPr>
              <w:rPr>
                <w:rFonts w:hint="eastAsia" w:ascii="宋体" w:hAnsi="宋体" w:eastAsia="宋体" w:cs="宋体"/>
                <w:i w:val="0"/>
                <w:color w:val="000000"/>
                <w:sz w:val="18"/>
                <w:szCs w:val="18"/>
                <w:u w:val="none"/>
              </w:rPr>
            </w:pPr>
          </w:p>
        </w:tc>
        <w:tc>
          <w:tcPr>
            <w:tcW w:w="279" w:type="dxa"/>
            <w:tcBorders>
              <w:top w:val="nil"/>
              <w:left w:val="nil"/>
              <w:bottom w:val="nil"/>
              <w:right w:val="nil"/>
            </w:tcBorders>
            <w:shd w:val="clear" w:color="auto" w:fill="auto"/>
            <w:tcMar>
              <w:top w:w="15" w:type="dxa"/>
              <w:left w:w="15" w:type="dxa"/>
              <w:right w:w="15" w:type="dxa"/>
            </w:tcMar>
            <w:vAlign w:val="center"/>
          </w:tcPr>
          <w:p w14:paraId="78953B60">
            <w:pPr>
              <w:rPr>
                <w:rFonts w:hint="eastAsia" w:ascii="宋体" w:hAnsi="宋体" w:eastAsia="宋体" w:cs="宋体"/>
                <w:i w:val="0"/>
                <w:color w:val="000000"/>
                <w:sz w:val="18"/>
                <w:szCs w:val="18"/>
                <w:u w:val="none"/>
              </w:rPr>
            </w:pPr>
          </w:p>
        </w:tc>
        <w:tc>
          <w:tcPr>
            <w:tcW w:w="1558" w:type="dxa"/>
            <w:tcBorders>
              <w:top w:val="nil"/>
              <w:left w:val="nil"/>
              <w:bottom w:val="nil"/>
              <w:right w:val="nil"/>
            </w:tcBorders>
            <w:shd w:val="clear" w:color="auto" w:fill="auto"/>
            <w:tcMar>
              <w:top w:w="15" w:type="dxa"/>
              <w:left w:w="15" w:type="dxa"/>
              <w:right w:w="15" w:type="dxa"/>
            </w:tcMar>
            <w:vAlign w:val="center"/>
          </w:tcPr>
          <w:p w14:paraId="5C7EF271">
            <w:pPr>
              <w:rPr>
                <w:rFonts w:hint="eastAsia" w:ascii="宋体" w:hAnsi="宋体" w:eastAsia="宋体" w:cs="宋体"/>
                <w:i w:val="0"/>
                <w:color w:val="000000"/>
                <w:sz w:val="18"/>
                <w:szCs w:val="18"/>
                <w:u w:val="none"/>
              </w:rPr>
            </w:pPr>
          </w:p>
        </w:tc>
      </w:tr>
      <w:tr w14:paraId="677A0B36">
        <w:tblPrEx>
          <w:shd w:val="clear" w:color="auto" w:fill="auto"/>
          <w:tblCellMar>
            <w:top w:w="0" w:type="dxa"/>
            <w:left w:w="0" w:type="dxa"/>
            <w:bottom w:w="0" w:type="dxa"/>
            <w:right w:w="0" w:type="dxa"/>
          </w:tblCellMar>
        </w:tblPrEx>
        <w:trPr>
          <w:trHeight w:val="973" w:hRule="atLeast"/>
        </w:trPr>
        <w:tc>
          <w:tcPr>
            <w:tcW w:w="8600"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C1C730">
            <w:pPr>
              <w:keepNext w:val="0"/>
              <w:keepLines w:val="0"/>
              <w:widowControl/>
              <w:suppressLineNumbers w:val="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部门预算项目支出绩效自评表（2023年度）</w:t>
            </w:r>
          </w:p>
        </w:tc>
      </w:tr>
      <w:tr w14:paraId="7B5EC2C2">
        <w:tblPrEx>
          <w:tblCellMar>
            <w:top w:w="0" w:type="dxa"/>
            <w:left w:w="0" w:type="dxa"/>
            <w:bottom w:w="0" w:type="dxa"/>
            <w:right w:w="0" w:type="dxa"/>
          </w:tblCellMar>
        </w:tblPrEx>
        <w:trPr>
          <w:trHeight w:val="353" w:hRule="atLeast"/>
        </w:trPr>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9A41C0">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6935"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DD61A7">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51322422T000006104104-12项基本公共卫生服务</w:t>
            </w:r>
          </w:p>
        </w:tc>
      </w:tr>
      <w:tr w14:paraId="76952EAC">
        <w:tblPrEx>
          <w:shd w:val="clear" w:color="auto" w:fill="auto"/>
          <w:tblCellMar>
            <w:top w:w="0" w:type="dxa"/>
            <w:left w:w="0" w:type="dxa"/>
            <w:bottom w:w="0" w:type="dxa"/>
            <w:right w:w="0" w:type="dxa"/>
          </w:tblCellMar>
        </w:tblPrEx>
        <w:trPr>
          <w:trHeight w:val="680" w:hRule="atLeast"/>
        </w:trPr>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45FE65">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412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EE45D3">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松潘县卫生健康局本级</w:t>
            </w:r>
          </w:p>
        </w:tc>
        <w:tc>
          <w:tcPr>
            <w:tcW w:w="666" w:type="dxa"/>
            <w:tcBorders>
              <w:top w:val="nil"/>
              <w:left w:val="nil"/>
              <w:bottom w:val="nil"/>
              <w:right w:val="nil"/>
            </w:tcBorders>
            <w:shd w:val="clear" w:color="auto" w:fill="auto"/>
            <w:tcMar>
              <w:top w:w="15" w:type="dxa"/>
              <w:left w:w="15" w:type="dxa"/>
              <w:right w:w="15" w:type="dxa"/>
            </w:tcMar>
            <w:vAlign w:val="center"/>
          </w:tcPr>
          <w:p w14:paraId="7139F549">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实施单位 （盖章）</w:t>
            </w:r>
          </w:p>
        </w:tc>
        <w:tc>
          <w:tcPr>
            <w:tcW w:w="214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3BCBE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松潘县下八寨乡卫生院</w:t>
            </w:r>
          </w:p>
        </w:tc>
      </w:tr>
      <w:tr w14:paraId="4F393D5C">
        <w:tblPrEx>
          <w:shd w:val="clear" w:color="auto" w:fill="auto"/>
          <w:tblCellMar>
            <w:top w:w="0" w:type="dxa"/>
            <w:left w:w="0" w:type="dxa"/>
            <w:bottom w:w="0" w:type="dxa"/>
            <w:right w:w="0" w:type="dxa"/>
          </w:tblCellMar>
        </w:tblPrEx>
        <w:trPr>
          <w:trHeight w:val="353" w:hRule="atLeast"/>
        </w:trPr>
        <w:tc>
          <w:tcPr>
            <w:tcW w:w="41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A39F61">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125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1D74C2">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412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43ADD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2812"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4D8B1E">
            <w:pPr>
              <w:keepNext w:val="0"/>
              <w:keepLines w:val="0"/>
              <w:widowControl/>
              <w:suppressLineNumbers w:val="0"/>
              <w:jc w:val="center"/>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年度目标完成情况</w:t>
            </w:r>
          </w:p>
        </w:tc>
      </w:tr>
      <w:tr w14:paraId="380C1DC5">
        <w:tblPrEx>
          <w:shd w:val="clear" w:color="auto" w:fill="auto"/>
          <w:tblCellMar>
            <w:top w:w="0" w:type="dxa"/>
            <w:left w:w="0" w:type="dxa"/>
            <w:bottom w:w="0" w:type="dxa"/>
            <w:right w:w="0" w:type="dxa"/>
          </w:tblCellMar>
        </w:tblPrEx>
        <w:trPr>
          <w:trHeight w:val="768" w:hRule="atLeast"/>
        </w:trPr>
        <w:tc>
          <w:tcPr>
            <w:tcW w:w="4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6FE493">
            <w:pPr>
              <w:rPr>
                <w:rFonts w:hint="eastAsia" w:ascii="宋体" w:hAnsi="宋体" w:eastAsia="宋体" w:cs="宋体"/>
                <w:i w:val="0"/>
                <w:color w:val="000000"/>
                <w:sz w:val="18"/>
                <w:szCs w:val="18"/>
                <w:u w:val="none"/>
              </w:rPr>
            </w:pPr>
          </w:p>
        </w:tc>
        <w:tc>
          <w:tcPr>
            <w:tcW w:w="12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0D0CCC">
            <w:pPr>
              <w:rPr>
                <w:rFonts w:hint="eastAsia" w:ascii="宋体" w:hAnsi="宋体" w:eastAsia="宋体" w:cs="宋体"/>
                <w:i w:val="0"/>
                <w:color w:val="000000"/>
                <w:sz w:val="18"/>
                <w:szCs w:val="18"/>
                <w:u w:val="none"/>
              </w:rPr>
            </w:pPr>
          </w:p>
        </w:tc>
        <w:tc>
          <w:tcPr>
            <w:tcW w:w="412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C1A32D">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免费向城乡居民提供基本公共卫生服务</w:t>
            </w:r>
          </w:p>
        </w:tc>
        <w:tc>
          <w:tcPr>
            <w:tcW w:w="2812"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635241">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已完成</w:t>
            </w:r>
          </w:p>
        </w:tc>
      </w:tr>
      <w:tr w14:paraId="7AC304A8">
        <w:tblPrEx>
          <w:tblCellMar>
            <w:top w:w="0" w:type="dxa"/>
            <w:left w:w="0" w:type="dxa"/>
            <w:bottom w:w="0" w:type="dxa"/>
            <w:right w:w="0" w:type="dxa"/>
          </w:tblCellMar>
        </w:tblPrEx>
        <w:trPr>
          <w:trHeight w:val="752" w:hRule="atLeast"/>
        </w:trPr>
        <w:tc>
          <w:tcPr>
            <w:tcW w:w="4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D23CCE">
            <w:pPr>
              <w:rPr>
                <w:rFonts w:hint="eastAsia" w:ascii="宋体" w:hAnsi="宋体" w:eastAsia="宋体" w:cs="宋体"/>
                <w:i w:val="0"/>
                <w:color w:val="000000"/>
                <w:sz w:val="18"/>
                <w:szCs w:val="18"/>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E9F99D">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6935"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5C6222">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保持重点地方疾病防治措施全面落实，开展疾病</w:t>
            </w:r>
            <w:r>
              <w:rPr>
                <w:rFonts w:hint="eastAsia" w:ascii="宋体" w:hAnsi="宋体" w:cs="宋体"/>
                <w:i w:val="0"/>
                <w:color w:val="000000"/>
                <w:kern w:val="0"/>
                <w:sz w:val="18"/>
                <w:szCs w:val="18"/>
                <w:u w:val="none"/>
                <w:lang w:val="en-US" w:eastAsia="zh-CN" w:bidi="ar"/>
              </w:rPr>
              <w:t>监测</w:t>
            </w:r>
            <w:r>
              <w:rPr>
                <w:rFonts w:ascii="宋体" w:hAnsi="宋体" w:eastAsia="宋体" w:cs="宋体"/>
                <w:i w:val="0"/>
                <w:color w:val="000000"/>
                <w:kern w:val="0"/>
                <w:sz w:val="18"/>
                <w:szCs w:val="18"/>
                <w:u w:val="none"/>
                <w:lang w:val="en-US" w:eastAsia="zh-CN" w:bidi="ar"/>
              </w:rPr>
              <w:t>，最大限度地保护人民的健康权益；同时推进妇幼卫生、老年健康服务、儿童健康服务、卫生应急、计划生育等方面工作</w:t>
            </w:r>
          </w:p>
        </w:tc>
      </w:tr>
      <w:tr w14:paraId="0723084B">
        <w:tblPrEx>
          <w:shd w:val="clear" w:color="auto" w:fill="auto"/>
          <w:tblCellMar>
            <w:top w:w="0" w:type="dxa"/>
            <w:left w:w="0" w:type="dxa"/>
            <w:bottom w:w="0" w:type="dxa"/>
            <w:right w:w="0" w:type="dxa"/>
          </w:tblCellMar>
        </w:tblPrEx>
        <w:trPr>
          <w:trHeight w:val="404" w:hRule="atLeast"/>
        </w:trPr>
        <w:tc>
          <w:tcPr>
            <w:tcW w:w="41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B55DB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AA61F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10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942C0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1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93177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166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FA125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6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484FC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3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3F596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2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F0702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1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7D0DA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14:paraId="0712099C">
        <w:tblPrEx>
          <w:shd w:val="clear" w:color="auto" w:fill="auto"/>
          <w:tblCellMar>
            <w:top w:w="0" w:type="dxa"/>
            <w:left w:w="0" w:type="dxa"/>
            <w:bottom w:w="0" w:type="dxa"/>
            <w:right w:w="0" w:type="dxa"/>
          </w:tblCellMar>
        </w:tblPrEx>
        <w:trPr>
          <w:trHeight w:val="388" w:hRule="atLeast"/>
        </w:trPr>
        <w:tc>
          <w:tcPr>
            <w:tcW w:w="4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1CFA2F">
            <w:pPr>
              <w:jc w:val="center"/>
              <w:rPr>
                <w:rFonts w:hint="eastAsia" w:ascii="宋体" w:hAnsi="宋体" w:eastAsia="宋体" w:cs="宋体"/>
                <w:i w:val="0"/>
                <w:color w:val="000000"/>
                <w:sz w:val="18"/>
                <w:szCs w:val="18"/>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0EB6E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10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A7DB5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0926B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17.68</w:t>
            </w:r>
          </w:p>
        </w:tc>
        <w:tc>
          <w:tcPr>
            <w:tcW w:w="166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9B229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17.68</w:t>
            </w:r>
          </w:p>
        </w:tc>
        <w:tc>
          <w:tcPr>
            <w:tcW w:w="6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C9CB3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3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BEECF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2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666C2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55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190C86">
            <w:pPr>
              <w:keepNext w:val="0"/>
              <w:keepLines w:val="0"/>
              <w:widowControl/>
              <w:suppressLineNumbers w:val="0"/>
              <w:jc w:val="left"/>
              <w:textAlignment w:val="center"/>
              <w:rPr>
                <w:rFonts w:hint="eastAsia" w:ascii="黑体" w:hAnsi="黑体" w:eastAsia="黑体" w:cs="黑体"/>
                <w:i/>
                <w:color w:val="000000"/>
                <w:sz w:val="18"/>
                <w:szCs w:val="18"/>
                <w:u w:val="none"/>
              </w:rPr>
            </w:pPr>
            <w:r>
              <w:rPr>
                <w:rFonts w:hint="eastAsia" w:ascii="黑体" w:hAnsi="黑体" w:eastAsia="黑体" w:cs="黑体"/>
                <w:i/>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5876D321">
        <w:tblPrEx>
          <w:shd w:val="clear" w:color="auto" w:fill="auto"/>
          <w:tblCellMar>
            <w:top w:w="0" w:type="dxa"/>
            <w:left w:w="0" w:type="dxa"/>
            <w:bottom w:w="0" w:type="dxa"/>
            <w:right w:w="0" w:type="dxa"/>
          </w:tblCellMar>
        </w:tblPrEx>
        <w:trPr>
          <w:trHeight w:val="435" w:hRule="atLeast"/>
        </w:trPr>
        <w:tc>
          <w:tcPr>
            <w:tcW w:w="4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76908E">
            <w:pPr>
              <w:jc w:val="center"/>
              <w:rPr>
                <w:rFonts w:hint="eastAsia" w:ascii="宋体" w:hAnsi="宋体" w:eastAsia="宋体" w:cs="宋体"/>
                <w:i w:val="0"/>
                <w:color w:val="000000"/>
                <w:sz w:val="18"/>
                <w:szCs w:val="18"/>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74852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10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B79B1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EE5E3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17.68</w:t>
            </w:r>
          </w:p>
        </w:tc>
        <w:tc>
          <w:tcPr>
            <w:tcW w:w="166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0DFC2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17.68</w:t>
            </w:r>
          </w:p>
        </w:tc>
        <w:tc>
          <w:tcPr>
            <w:tcW w:w="6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59B22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3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DE584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061B9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5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6AB9F1">
            <w:pPr>
              <w:rPr>
                <w:rFonts w:hint="eastAsia" w:ascii="黑体" w:hAnsi="黑体" w:eastAsia="黑体" w:cs="黑体"/>
                <w:i/>
                <w:color w:val="000000"/>
                <w:sz w:val="18"/>
                <w:szCs w:val="18"/>
                <w:u w:val="none"/>
              </w:rPr>
            </w:pPr>
          </w:p>
        </w:tc>
      </w:tr>
      <w:tr w14:paraId="1C7AD698">
        <w:tblPrEx>
          <w:tblCellMar>
            <w:top w:w="0" w:type="dxa"/>
            <w:left w:w="0" w:type="dxa"/>
            <w:bottom w:w="0" w:type="dxa"/>
            <w:right w:w="0" w:type="dxa"/>
          </w:tblCellMar>
        </w:tblPrEx>
        <w:trPr>
          <w:trHeight w:val="452" w:hRule="atLeast"/>
        </w:trPr>
        <w:tc>
          <w:tcPr>
            <w:tcW w:w="4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0BFE9C">
            <w:pPr>
              <w:jc w:val="center"/>
              <w:rPr>
                <w:rFonts w:hint="eastAsia" w:ascii="宋体" w:hAnsi="宋体" w:eastAsia="宋体" w:cs="宋体"/>
                <w:i w:val="0"/>
                <w:color w:val="000000"/>
                <w:sz w:val="18"/>
                <w:szCs w:val="18"/>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86897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10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E1940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8319A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66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A240E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6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7444C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3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71535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4B68D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5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911BAB">
            <w:pPr>
              <w:rPr>
                <w:rFonts w:hint="eastAsia" w:ascii="黑体" w:hAnsi="黑体" w:eastAsia="黑体" w:cs="黑体"/>
                <w:i/>
                <w:color w:val="000000"/>
                <w:sz w:val="18"/>
                <w:szCs w:val="18"/>
                <w:u w:val="none"/>
              </w:rPr>
            </w:pPr>
          </w:p>
        </w:tc>
      </w:tr>
      <w:tr w14:paraId="38481F54">
        <w:tblPrEx>
          <w:tblCellMar>
            <w:top w:w="0" w:type="dxa"/>
            <w:left w:w="0" w:type="dxa"/>
            <w:bottom w:w="0" w:type="dxa"/>
            <w:right w:w="0" w:type="dxa"/>
          </w:tblCellMar>
        </w:tblPrEx>
        <w:trPr>
          <w:trHeight w:val="404" w:hRule="atLeast"/>
        </w:trPr>
        <w:tc>
          <w:tcPr>
            <w:tcW w:w="4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8039A3">
            <w:pPr>
              <w:jc w:val="center"/>
              <w:rPr>
                <w:rFonts w:hint="eastAsia" w:ascii="宋体" w:hAnsi="宋体" w:eastAsia="宋体" w:cs="宋体"/>
                <w:i w:val="0"/>
                <w:color w:val="000000"/>
                <w:sz w:val="18"/>
                <w:szCs w:val="18"/>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A639D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10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FA0C1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F2D74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66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811D7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6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06A43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3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BE569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10CC4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5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FB13D8">
            <w:pPr>
              <w:rPr>
                <w:rFonts w:hint="eastAsia" w:ascii="黑体" w:hAnsi="黑体" w:eastAsia="黑体" w:cs="黑体"/>
                <w:i/>
                <w:color w:val="000000"/>
                <w:sz w:val="18"/>
                <w:szCs w:val="18"/>
                <w:u w:val="none"/>
              </w:rPr>
            </w:pPr>
          </w:p>
        </w:tc>
      </w:tr>
      <w:tr w14:paraId="2524B92A">
        <w:tblPrEx>
          <w:tblCellMar>
            <w:top w:w="0" w:type="dxa"/>
            <w:left w:w="0" w:type="dxa"/>
            <w:bottom w:w="0" w:type="dxa"/>
            <w:right w:w="0" w:type="dxa"/>
          </w:tblCellMar>
        </w:tblPrEx>
        <w:trPr>
          <w:trHeight w:val="632" w:hRule="atLeast"/>
        </w:trPr>
        <w:tc>
          <w:tcPr>
            <w:tcW w:w="4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EC31EA">
            <w:pPr>
              <w:jc w:val="center"/>
              <w:rPr>
                <w:rFonts w:hint="eastAsia" w:ascii="宋体" w:hAnsi="宋体" w:eastAsia="宋体" w:cs="宋体"/>
                <w:i w:val="0"/>
                <w:color w:val="000000"/>
                <w:sz w:val="18"/>
                <w:szCs w:val="18"/>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CEC24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10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A0233C">
            <w:pPr>
              <w:jc w:val="center"/>
              <w:rPr>
                <w:rFonts w:hint="eastAsia" w:ascii="微软雅黑" w:hAnsi="微软雅黑" w:eastAsia="微软雅黑" w:cs="微软雅黑"/>
                <w:i/>
                <w:color w:val="000000"/>
                <w:sz w:val="16"/>
                <w:szCs w:val="16"/>
                <w:u w:val="none"/>
              </w:rPr>
            </w:pPr>
          </w:p>
        </w:tc>
        <w:tc>
          <w:tcPr>
            <w:tcW w:w="1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E6AD1B">
            <w:pPr>
              <w:jc w:val="center"/>
              <w:rPr>
                <w:rFonts w:hint="eastAsia" w:ascii="微软雅黑" w:hAnsi="微软雅黑" w:eastAsia="微软雅黑" w:cs="微软雅黑"/>
                <w:i/>
                <w:color w:val="000000"/>
                <w:sz w:val="16"/>
                <w:szCs w:val="16"/>
                <w:u w:val="none"/>
              </w:rPr>
            </w:pPr>
          </w:p>
        </w:tc>
        <w:tc>
          <w:tcPr>
            <w:tcW w:w="166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2E445D">
            <w:pPr>
              <w:jc w:val="center"/>
              <w:rPr>
                <w:rFonts w:hint="eastAsia" w:ascii="微软雅黑" w:hAnsi="微软雅黑" w:eastAsia="微软雅黑" w:cs="微软雅黑"/>
                <w:i/>
                <w:color w:val="000000"/>
                <w:sz w:val="16"/>
                <w:szCs w:val="16"/>
                <w:u w:val="none"/>
              </w:rPr>
            </w:pPr>
          </w:p>
        </w:tc>
        <w:tc>
          <w:tcPr>
            <w:tcW w:w="6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A3A949">
            <w:pPr>
              <w:jc w:val="center"/>
              <w:rPr>
                <w:rFonts w:hint="eastAsia" w:ascii="微软雅黑" w:hAnsi="微软雅黑" w:eastAsia="微软雅黑" w:cs="微软雅黑"/>
                <w:i/>
                <w:color w:val="000000"/>
                <w:sz w:val="16"/>
                <w:szCs w:val="16"/>
                <w:u w:val="none"/>
              </w:rPr>
            </w:pPr>
          </w:p>
        </w:tc>
        <w:tc>
          <w:tcPr>
            <w:tcW w:w="3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9A077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296C2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5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F1F702">
            <w:pPr>
              <w:rPr>
                <w:rFonts w:hint="eastAsia" w:ascii="黑体" w:hAnsi="黑体" w:eastAsia="黑体" w:cs="黑体"/>
                <w:i/>
                <w:color w:val="000000"/>
                <w:sz w:val="18"/>
                <w:szCs w:val="18"/>
                <w:u w:val="none"/>
              </w:rPr>
            </w:pPr>
          </w:p>
        </w:tc>
      </w:tr>
      <w:tr w14:paraId="0A89C9FD">
        <w:tblPrEx>
          <w:shd w:val="clear" w:color="auto" w:fill="auto"/>
          <w:tblCellMar>
            <w:top w:w="0" w:type="dxa"/>
            <w:left w:w="0" w:type="dxa"/>
            <w:bottom w:w="0" w:type="dxa"/>
            <w:right w:w="0" w:type="dxa"/>
          </w:tblCellMar>
        </w:tblPrEx>
        <w:trPr>
          <w:trHeight w:val="680" w:hRule="atLeast"/>
        </w:trPr>
        <w:tc>
          <w:tcPr>
            <w:tcW w:w="41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C701E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BF493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10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E6780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1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C2148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3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9A6CA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A9482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3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45C39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6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A5C8C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3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8F412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2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54F60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1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3F5D0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14:paraId="178CDB32">
        <w:tblPrEx>
          <w:shd w:val="clear" w:color="auto" w:fill="auto"/>
          <w:tblCellMar>
            <w:top w:w="0" w:type="dxa"/>
            <w:left w:w="0" w:type="dxa"/>
            <w:bottom w:w="0" w:type="dxa"/>
            <w:right w:w="0" w:type="dxa"/>
          </w:tblCellMar>
        </w:tblPrEx>
        <w:trPr>
          <w:trHeight w:val="680" w:hRule="atLeast"/>
        </w:trPr>
        <w:tc>
          <w:tcPr>
            <w:tcW w:w="4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1F4C8A">
            <w:pPr>
              <w:jc w:val="center"/>
              <w:rPr>
                <w:rFonts w:hint="eastAsia" w:ascii="宋体" w:hAnsi="宋体" w:eastAsia="宋体" w:cs="宋体"/>
                <w:i w:val="0"/>
                <w:color w:val="000000"/>
                <w:sz w:val="18"/>
                <w:szCs w:val="18"/>
                <w:u w:val="none"/>
              </w:rPr>
            </w:pPr>
          </w:p>
        </w:tc>
        <w:tc>
          <w:tcPr>
            <w:tcW w:w="125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04470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10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AFA16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1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323A2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享受12项基本公共卫生服务人数</w:t>
            </w:r>
          </w:p>
        </w:tc>
        <w:tc>
          <w:tcPr>
            <w:tcW w:w="3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619C53">
            <w:pPr>
              <w:keepNext w:val="0"/>
              <w:keepLines w:val="0"/>
              <w:widowControl/>
              <w:suppressLineNumbers w:val="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40407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人数</w:t>
            </w:r>
          </w:p>
        </w:tc>
        <w:tc>
          <w:tcPr>
            <w:tcW w:w="3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5DE21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人数</w:t>
            </w:r>
          </w:p>
        </w:tc>
        <w:tc>
          <w:tcPr>
            <w:tcW w:w="6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7525BD">
            <w:pPr>
              <w:jc w:val="center"/>
              <w:rPr>
                <w:rFonts w:hint="eastAsia" w:ascii="宋体" w:hAnsi="宋体" w:eastAsia="宋体" w:cs="宋体"/>
                <w:i w:val="0"/>
                <w:color w:val="000000"/>
                <w:sz w:val="18"/>
                <w:szCs w:val="18"/>
                <w:u w:val="none"/>
              </w:rPr>
            </w:pPr>
          </w:p>
        </w:tc>
        <w:tc>
          <w:tcPr>
            <w:tcW w:w="3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E2109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2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8626E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19</w:t>
            </w:r>
          </w:p>
        </w:tc>
        <w:tc>
          <w:tcPr>
            <w:tcW w:w="1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0EA02D">
            <w:pPr>
              <w:jc w:val="center"/>
              <w:rPr>
                <w:rFonts w:hint="eastAsia" w:ascii="宋体" w:hAnsi="宋体" w:eastAsia="宋体" w:cs="宋体"/>
                <w:i w:val="0"/>
                <w:color w:val="000000"/>
                <w:sz w:val="18"/>
                <w:szCs w:val="18"/>
                <w:u w:val="none"/>
              </w:rPr>
            </w:pPr>
          </w:p>
        </w:tc>
      </w:tr>
      <w:tr w14:paraId="199D16E0">
        <w:tblPrEx>
          <w:shd w:val="clear" w:color="auto" w:fill="auto"/>
          <w:tblCellMar>
            <w:top w:w="0" w:type="dxa"/>
            <w:left w:w="0" w:type="dxa"/>
            <w:bottom w:w="0" w:type="dxa"/>
            <w:right w:w="0" w:type="dxa"/>
          </w:tblCellMar>
        </w:tblPrEx>
        <w:trPr>
          <w:trHeight w:val="680" w:hRule="atLeast"/>
        </w:trPr>
        <w:tc>
          <w:tcPr>
            <w:tcW w:w="4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F6AD16">
            <w:pPr>
              <w:jc w:val="center"/>
              <w:rPr>
                <w:rFonts w:hint="eastAsia" w:ascii="宋体" w:hAnsi="宋体" w:eastAsia="宋体" w:cs="宋体"/>
                <w:i w:val="0"/>
                <w:color w:val="000000"/>
                <w:sz w:val="18"/>
                <w:szCs w:val="18"/>
                <w:u w:val="none"/>
              </w:rPr>
            </w:pPr>
          </w:p>
        </w:tc>
        <w:tc>
          <w:tcPr>
            <w:tcW w:w="12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6277E3">
            <w:pPr>
              <w:jc w:val="center"/>
              <w:rPr>
                <w:rFonts w:hint="eastAsia" w:ascii="宋体" w:hAnsi="宋体" w:eastAsia="宋体" w:cs="宋体"/>
                <w:i w:val="0"/>
                <w:color w:val="000000"/>
                <w:sz w:val="18"/>
                <w:szCs w:val="18"/>
                <w:u w:val="none"/>
              </w:rPr>
            </w:pPr>
          </w:p>
        </w:tc>
        <w:tc>
          <w:tcPr>
            <w:tcW w:w="10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819E6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质量指标</w:t>
            </w:r>
          </w:p>
        </w:tc>
        <w:tc>
          <w:tcPr>
            <w:tcW w:w="1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EB885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享受12项基本公共卫生服务标准</w:t>
            </w:r>
          </w:p>
        </w:tc>
        <w:tc>
          <w:tcPr>
            <w:tcW w:w="3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FEF1F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4DC13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3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42451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243340">
            <w:pPr>
              <w:jc w:val="center"/>
              <w:rPr>
                <w:rFonts w:hint="eastAsia" w:ascii="宋体" w:hAnsi="宋体" w:eastAsia="宋体" w:cs="宋体"/>
                <w:i w:val="0"/>
                <w:color w:val="000000"/>
                <w:sz w:val="18"/>
                <w:szCs w:val="18"/>
                <w:u w:val="none"/>
              </w:rPr>
            </w:pPr>
          </w:p>
        </w:tc>
        <w:tc>
          <w:tcPr>
            <w:tcW w:w="3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8CA82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2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94364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18</w:t>
            </w:r>
          </w:p>
        </w:tc>
        <w:tc>
          <w:tcPr>
            <w:tcW w:w="1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B0351A">
            <w:pPr>
              <w:jc w:val="center"/>
              <w:rPr>
                <w:rFonts w:hint="eastAsia" w:ascii="宋体" w:hAnsi="宋体" w:eastAsia="宋体" w:cs="宋体"/>
                <w:i w:val="0"/>
                <w:color w:val="000000"/>
                <w:sz w:val="18"/>
                <w:szCs w:val="18"/>
                <w:u w:val="none"/>
              </w:rPr>
            </w:pPr>
          </w:p>
        </w:tc>
      </w:tr>
      <w:tr w14:paraId="1D23CE02">
        <w:tblPrEx>
          <w:shd w:val="clear" w:color="auto" w:fill="auto"/>
          <w:tblCellMar>
            <w:top w:w="0" w:type="dxa"/>
            <w:left w:w="0" w:type="dxa"/>
            <w:bottom w:w="0" w:type="dxa"/>
            <w:right w:w="0" w:type="dxa"/>
          </w:tblCellMar>
        </w:tblPrEx>
        <w:trPr>
          <w:trHeight w:val="680" w:hRule="atLeast"/>
        </w:trPr>
        <w:tc>
          <w:tcPr>
            <w:tcW w:w="4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5F52D3">
            <w:pPr>
              <w:jc w:val="center"/>
              <w:rPr>
                <w:rFonts w:hint="eastAsia" w:ascii="宋体" w:hAnsi="宋体" w:eastAsia="宋体" w:cs="宋体"/>
                <w:i w:val="0"/>
                <w:color w:val="000000"/>
                <w:sz w:val="18"/>
                <w:szCs w:val="18"/>
                <w:u w:val="none"/>
              </w:rPr>
            </w:pPr>
          </w:p>
        </w:tc>
        <w:tc>
          <w:tcPr>
            <w:tcW w:w="12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A74756">
            <w:pPr>
              <w:jc w:val="center"/>
              <w:rPr>
                <w:rFonts w:hint="eastAsia" w:ascii="宋体" w:hAnsi="宋体" w:eastAsia="宋体" w:cs="宋体"/>
                <w:i w:val="0"/>
                <w:color w:val="000000"/>
                <w:sz w:val="18"/>
                <w:szCs w:val="18"/>
                <w:u w:val="none"/>
              </w:rPr>
            </w:pPr>
          </w:p>
        </w:tc>
        <w:tc>
          <w:tcPr>
            <w:tcW w:w="10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F863D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时效指标</w:t>
            </w:r>
          </w:p>
        </w:tc>
        <w:tc>
          <w:tcPr>
            <w:tcW w:w="1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54E45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12项基本公共卫生服务使用</w:t>
            </w:r>
            <w:r>
              <w:rPr>
                <w:rFonts w:hint="eastAsia" w:ascii="宋体" w:hAnsi="宋体" w:cs="宋体"/>
                <w:i w:val="0"/>
                <w:color w:val="000000"/>
                <w:kern w:val="0"/>
                <w:sz w:val="18"/>
                <w:szCs w:val="18"/>
                <w:u w:val="none"/>
                <w:lang w:val="en-US" w:eastAsia="zh-CN" w:bidi="ar"/>
              </w:rPr>
              <w:t>实效</w:t>
            </w:r>
            <w:r>
              <w:rPr>
                <w:rFonts w:ascii="宋体" w:hAnsi="宋体" w:eastAsia="宋体" w:cs="宋体"/>
                <w:i w:val="0"/>
                <w:color w:val="000000"/>
                <w:kern w:val="0"/>
                <w:sz w:val="18"/>
                <w:szCs w:val="18"/>
                <w:u w:val="none"/>
                <w:lang w:val="en-US" w:eastAsia="zh-CN" w:bidi="ar"/>
              </w:rPr>
              <w:t>率</w:t>
            </w:r>
          </w:p>
        </w:tc>
        <w:tc>
          <w:tcPr>
            <w:tcW w:w="3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A328A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9BE02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3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6ECA3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0E3BAF">
            <w:pPr>
              <w:jc w:val="center"/>
              <w:rPr>
                <w:rFonts w:hint="eastAsia" w:ascii="宋体" w:hAnsi="宋体" w:eastAsia="宋体" w:cs="宋体"/>
                <w:i w:val="0"/>
                <w:color w:val="000000"/>
                <w:sz w:val="18"/>
                <w:szCs w:val="18"/>
                <w:u w:val="none"/>
              </w:rPr>
            </w:pPr>
          </w:p>
        </w:tc>
        <w:tc>
          <w:tcPr>
            <w:tcW w:w="3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F2C69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2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DB79D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18</w:t>
            </w:r>
          </w:p>
        </w:tc>
        <w:tc>
          <w:tcPr>
            <w:tcW w:w="1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296196">
            <w:pPr>
              <w:jc w:val="center"/>
              <w:rPr>
                <w:rFonts w:hint="eastAsia" w:ascii="宋体" w:hAnsi="宋体" w:eastAsia="宋体" w:cs="宋体"/>
                <w:i w:val="0"/>
                <w:color w:val="000000"/>
                <w:sz w:val="18"/>
                <w:szCs w:val="18"/>
                <w:u w:val="none"/>
              </w:rPr>
            </w:pPr>
          </w:p>
        </w:tc>
      </w:tr>
      <w:tr w14:paraId="5D6FBB15">
        <w:tblPrEx>
          <w:shd w:val="clear" w:color="auto" w:fill="auto"/>
          <w:tblCellMar>
            <w:top w:w="0" w:type="dxa"/>
            <w:left w:w="0" w:type="dxa"/>
            <w:bottom w:w="0" w:type="dxa"/>
            <w:right w:w="0" w:type="dxa"/>
          </w:tblCellMar>
        </w:tblPrEx>
        <w:trPr>
          <w:trHeight w:val="353" w:hRule="atLeast"/>
        </w:trPr>
        <w:tc>
          <w:tcPr>
            <w:tcW w:w="4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ECF610">
            <w:pPr>
              <w:jc w:val="center"/>
              <w:rPr>
                <w:rFonts w:hint="eastAsia" w:ascii="宋体" w:hAnsi="宋体" w:eastAsia="宋体" w:cs="宋体"/>
                <w:i w:val="0"/>
                <w:color w:val="000000"/>
                <w:sz w:val="18"/>
                <w:szCs w:val="18"/>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7C489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10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512CE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社会效益指标</w:t>
            </w:r>
          </w:p>
        </w:tc>
        <w:tc>
          <w:tcPr>
            <w:tcW w:w="1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3DC61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享受人员基本情况有效改善</w:t>
            </w:r>
          </w:p>
        </w:tc>
        <w:tc>
          <w:tcPr>
            <w:tcW w:w="3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682FA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89C79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3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20505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1AB4E2">
            <w:pPr>
              <w:jc w:val="center"/>
              <w:rPr>
                <w:rFonts w:hint="eastAsia" w:ascii="宋体" w:hAnsi="宋体" w:eastAsia="宋体" w:cs="宋体"/>
                <w:i w:val="0"/>
                <w:color w:val="000000"/>
                <w:sz w:val="18"/>
                <w:szCs w:val="18"/>
                <w:u w:val="none"/>
              </w:rPr>
            </w:pPr>
          </w:p>
        </w:tc>
        <w:tc>
          <w:tcPr>
            <w:tcW w:w="3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64C4B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2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54F6D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19</w:t>
            </w:r>
          </w:p>
        </w:tc>
        <w:tc>
          <w:tcPr>
            <w:tcW w:w="1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080B82">
            <w:pPr>
              <w:jc w:val="center"/>
              <w:rPr>
                <w:rFonts w:hint="eastAsia" w:ascii="宋体" w:hAnsi="宋体" w:eastAsia="宋体" w:cs="宋体"/>
                <w:i w:val="0"/>
                <w:color w:val="000000"/>
                <w:sz w:val="18"/>
                <w:szCs w:val="18"/>
                <w:u w:val="none"/>
              </w:rPr>
            </w:pPr>
          </w:p>
        </w:tc>
      </w:tr>
      <w:tr w14:paraId="0374A732">
        <w:tblPrEx>
          <w:shd w:val="clear" w:color="auto" w:fill="auto"/>
          <w:tblCellMar>
            <w:top w:w="0" w:type="dxa"/>
            <w:left w:w="0" w:type="dxa"/>
            <w:bottom w:w="0" w:type="dxa"/>
            <w:right w:w="0" w:type="dxa"/>
          </w:tblCellMar>
        </w:tblPrEx>
        <w:trPr>
          <w:trHeight w:val="680" w:hRule="atLeast"/>
        </w:trPr>
        <w:tc>
          <w:tcPr>
            <w:tcW w:w="4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721B34">
            <w:pPr>
              <w:jc w:val="center"/>
              <w:rPr>
                <w:rFonts w:hint="eastAsia" w:ascii="宋体" w:hAnsi="宋体" w:eastAsia="宋体" w:cs="宋体"/>
                <w:i w:val="0"/>
                <w:color w:val="000000"/>
                <w:sz w:val="18"/>
                <w:szCs w:val="18"/>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66668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满意度指标</w:t>
            </w:r>
          </w:p>
        </w:tc>
        <w:tc>
          <w:tcPr>
            <w:tcW w:w="10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DC99A7">
            <w:pPr>
              <w:keepNext w:val="0"/>
              <w:keepLines w:val="0"/>
              <w:widowControl/>
              <w:suppressLineNumbers w:val="0"/>
              <w:jc w:val="center"/>
              <w:textAlignment w:val="center"/>
              <w:rPr>
                <w:rFonts w:ascii="宋体" w:hAnsi="宋体" w:eastAsia="宋体" w:cs="宋体"/>
                <w:i w:val="0"/>
                <w:color w:val="000000"/>
                <w:sz w:val="18"/>
                <w:szCs w:val="18"/>
                <w:u w:val="none"/>
              </w:rPr>
            </w:pPr>
            <w:r>
              <w:rPr>
                <w:rFonts w:hint="eastAsia" w:ascii="宋体" w:hAnsi="宋体" w:cs="宋体"/>
                <w:i w:val="0"/>
                <w:color w:val="000000"/>
                <w:kern w:val="0"/>
                <w:sz w:val="18"/>
                <w:szCs w:val="18"/>
                <w:u w:val="none"/>
                <w:lang w:val="en-US" w:eastAsia="zh-CN" w:bidi="ar"/>
              </w:rPr>
              <w:t>服务对象</w:t>
            </w:r>
            <w:r>
              <w:rPr>
                <w:rFonts w:ascii="宋体" w:hAnsi="宋体" w:eastAsia="宋体" w:cs="宋体"/>
                <w:i w:val="0"/>
                <w:color w:val="000000"/>
                <w:kern w:val="0"/>
                <w:sz w:val="18"/>
                <w:szCs w:val="18"/>
                <w:u w:val="none"/>
                <w:lang w:val="en-US" w:eastAsia="zh-CN" w:bidi="ar"/>
              </w:rPr>
              <w:t>满意度指标</w:t>
            </w:r>
          </w:p>
        </w:tc>
        <w:tc>
          <w:tcPr>
            <w:tcW w:w="1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56DF8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享受12项基本公共卫生</w:t>
            </w:r>
            <w:r>
              <w:rPr>
                <w:rFonts w:hint="eastAsia" w:ascii="宋体" w:hAnsi="宋体" w:cs="宋体"/>
                <w:i w:val="0"/>
                <w:color w:val="000000"/>
                <w:kern w:val="0"/>
                <w:sz w:val="18"/>
                <w:szCs w:val="18"/>
                <w:u w:val="none"/>
                <w:lang w:val="en-US" w:eastAsia="zh-CN" w:bidi="ar"/>
              </w:rPr>
              <w:t>服务对象</w:t>
            </w:r>
            <w:r>
              <w:rPr>
                <w:rFonts w:ascii="宋体" w:hAnsi="宋体" w:eastAsia="宋体" w:cs="宋体"/>
                <w:i w:val="0"/>
                <w:color w:val="000000"/>
                <w:kern w:val="0"/>
                <w:sz w:val="18"/>
                <w:szCs w:val="18"/>
                <w:u w:val="none"/>
                <w:lang w:val="en-US" w:eastAsia="zh-CN" w:bidi="ar"/>
              </w:rPr>
              <w:t>满意度</w:t>
            </w:r>
          </w:p>
        </w:tc>
        <w:tc>
          <w:tcPr>
            <w:tcW w:w="3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2AE19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F47F7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3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9BB04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3EAC94">
            <w:pPr>
              <w:jc w:val="center"/>
              <w:rPr>
                <w:rFonts w:hint="eastAsia" w:ascii="宋体" w:hAnsi="宋体" w:eastAsia="宋体" w:cs="宋体"/>
                <w:i w:val="0"/>
                <w:color w:val="000000"/>
                <w:sz w:val="18"/>
                <w:szCs w:val="18"/>
                <w:u w:val="none"/>
              </w:rPr>
            </w:pPr>
          </w:p>
        </w:tc>
        <w:tc>
          <w:tcPr>
            <w:tcW w:w="3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36570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2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E04EC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8</w:t>
            </w:r>
          </w:p>
        </w:tc>
        <w:tc>
          <w:tcPr>
            <w:tcW w:w="1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5EAF3D">
            <w:pPr>
              <w:jc w:val="center"/>
              <w:rPr>
                <w:rFonts w:hint="eastAsia" w:ascii="宋体" w:hAnsi="宋体" w:eastAsia="宋体" w:cs="宋体"/>
                <w:i w:val="0"/>
                <w:color w:val="000000"/>
                <w:sz w:val="18"/>
                <w:szCs w:val="18"/>
                <w:u w:val="none"/>
              </w:rPr>
            </w:pPr>
          </w:p>
        </w:tc>
      </w:tr>
      <w:tr w14:paraId="1C2945E3">
        <w:tblPrEx>
          <w:shd w:val="clear" w:color="auto" w:fill="auto"/>
          <w:tblCellMar>
            <w:top w:w="0" w:type="dxa"/>
            <w:left w:w="0" w:type="dxa"/>
            <w:bottom w:w="0" w:type="dxa"/>
            <w:right w:w="0" w:type="dxa"/>
          </w:tblCellMar>
        </w:tblPrEx>
        <w:trPr>
          <w:trHeight w:val="353" w:hRule="atLeast"/>
        </w:trPr>
        <w:tc>
          <w:tcPr>
            <w:tcW w:w="6454"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B53FC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3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E36B9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2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473510">
            <w:pPr>
              <w:keepNext w:val="0"/>
              <w:keepLines w:val="0"/>
              <w:widowControl/>
              <w:suppressLineNumbers w:val="0"/>
              <w:jc w:val="righ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92</w:t>
            </w:r>
          </w:p>
        </w:tc>
        <w:tc>
          <w:tcPr>
            <w:tcW w:w="1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2B00AE">
            <w:pPr>
              <w:rPr>
                <w:rFonts w:hint="eastAsia" w:ascii="宋体" w:hAnsi="宋体" w:eastAsia="宋体" w:cs="宋体"/>
                <w:i w:val="0"/>
                <w:color w:val="000000"/>
                <w:sz w:val="18"/>
                <w:szCs w:val="18"/>
                <w:u w:val="none"/>
              </w:rPr>
            </w:pPr>
          </w:p>
        </w:tc>
      </w:tr>
      <w:tr w14:paraId="0D68BA75">
        <w:tblPrEx>
          <w:tblCellMar>
            <w:top w:w="0" w:type="dxa"/>
            <w:left w:w="0" w:type="dxa"/>
            <w:bottom w:w="0" w:type="dxa"/>
            <w:right w:w="0" w:type="dxa"/>
          </w:tblCellMar>
        </w:tblPrEx>
        <w:trPr>
          <w:trHeight w:val="680" w:hRule="atLeast"/>
        </w:trPr>
        <w:tc>
          <w:tcPr>
            <w:tcW w:w="4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E9EA7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8185"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000A0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经我单位认真自评，2023年12项基本公共卫生服务自评得分93分</w:t>
            </w:r>
          </w:p>
        </w:tc>
      </w:tr>
      <w:tr w14:paraId="73C17E06">
        <w:tblPrEx>
          <w:shd w:val="clear" w:color="auto" w:fill="auto"/>
          <w:tblCellMar>
            <w:top w:w="0" w:type="dxa"/>
            <w:left w:w="0" w:type="dxa"/>
            <w:bottom w:w="0" w:type="dxa"/>
            <w:right w:w="0" w:type="dxa"/>
          </w:tblCellMar>
        </w:tblPrEx>
        <w:trPr>
          <w:trHeight w:val="680" w:hRule="atLeast"/>
        </w:trPr>
        <w:tc>
          <w:tcPr>
            <w:tcW w:w="4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F6A1D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8185"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470EA0">
            <w:pPr>
              <w:keepNext w:val="0"/>
              <w:keepLines w:val="0"/>
              <w:widowControl/>
              <w:suppressLineNumbers w:val="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无</w:t>
            </w:r>
          </w:p>
        </w:tc>
      </w:tr>
      <w:tr w14:paraId="22C79925">
        <w:tblPrEx>
          <w:shd w:val="clear" w:color="auto" w:fill="auto"/>
          <w:tblCellMar>
            <w:top w:w="0" w:type="dxa"/>
            <w:left w:w="0" w:type="dxa"/>
            <w:bottom w:w="0" w:type="dxa"/>
            <w:right w:w="0" w:type="dxa"/>
          </w:tblCellMar>
        </w:tblPrEx>
        <w:trPr>
          <w:trHeight w:val="689" w:hRule="atLeast"/>
        </w:trPr>
        <w:tc>
          <w:tcPr>
            <w:tcW w:w="4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B7E87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8185"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F6A55E">
            <w:pPr>
              <w:keepNext w:val="0"/>
              <w:keepLines w:val="0"/>
              <w:widowControl/>
              <w:suppressLineNumbers w:val="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无</w:t>
            </w:r>
          </w:p>
        </w:tc>
      </w:tr>
      <w:tr w14:paraId="0AAB2361">
        <w:tblPrEx>
          <w:shd w:val="clear" w:color="auto" w:fill="auto"/>
          <w:tblCellMar>
            <w:top w:w="0" w:type="dxa"/>
            <w:left w:w="0" w:type="dxa"/>
            <w:bottom w:w="0" w:type="dxa"/>
            <w:right w:w="0" w:type="dxa"/>
          </w:tblCellMar>
        </w:tblPrEx>
        <w:trPr>
          <w:trHeight w:val="353" w:hRule="atLeast"/>
        </w:trPr>
        <w:tc>
          <w:tcPr>
            <w:tcW w:w="444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064DBC">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项目负责人：</w:t>
            </w:r>
          </w:p>
        </w:tc>
        <w:tc>
          <w:tcPr>
            <w:tcW w:w="4154"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7C046E">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财务负责人：</w:t>
            </w:r>
          </w:p>
        </w:tc>
      </w:tr>
      <w:tr w14:paraId="429AA73B">
        <w:tblPrEx>
          <w:shd w:val="clear" w:color="auto" w:fill="auto"/>
          <w:tblCellMar>
            <w:top w:w="0" w:type="dxa"/>
            <w:left w:w="0" w:type="dxa"/>
            <w:bottom w:w="0" w:type="dxa"/>
            <w:right w:w="0" w:type="dxa"/>
          </w:tblCellMar>
        </w:tblPrEx>
        <w:trPr>
          <w:trHeight w:val="353" w:hRule="atLeast"/>
        </w:trPr>
        <w:tc>
          <w:tcPr>
            <w:tcW w:w="415" w:type="dxa"/>
            <w:tcBorders>
              <w:top w:val="nil"/>
              <w:left w:val="nil"/>
              <w:bottom w:val="nil"/>
              <w:right w:val="nil"/>
            </w:tcBorders>
            <w:shd w:val="clear" w:color="auto" w:fill="auto"/>
            <w:tcMar>
              <w:top w:w="15" w:type="dxa"/>
              <w:left w:w="15" w:type="dxa"/>
              <w:right w:w="15" w:type="dxa"/>
            </w:tcMar>
            <w:vAlign w:val="center"/>
          </w:tcPr>
          <w:p w14:paraId="207AE53E">
            <w:pPr>
              <w:rPr>
                <w:rFonts w:hint="eastAsia" w:ascii="宋体" w:hAnsi="宋体" w:eastAsia="宋体" w:cs="宋体"/>
                <w:i w:val="0"/>
                <w:color w:val="000000"/>
                <w:sz w:val="18"/>
                <w:szCs w:val="18"/>
                <w:u w:val="none"/>
              </w:rPr>
            </w:pPr>
          </w:p>
        </w:tc>
        <w:tc>
          <w:tcPr>
            <w:tcW w:w="1250" w:type="dxa"/>
            <w:tcBorders>
              <w:top w:val="nil"/>
              <w:left w:val="nil"/>
              <w:bottom w:val="nil"/>
              <w:right w:val="nil"/>
            </w:tcBorders>
            <w:shd w:val="clear" w:color="auto" w:fill="auto"/>
            <w:tcMar>
              <w:top w:w="15" w:type="dxa"/>
              <w:left w:w="15" w:type="dxa"/>
              <w:right w:w="15" w:type="dxa"/>
            </w:tcMar>
            <w:vAlign w:val="center"/>
          </w:tcPr>
          <w:p w14:paraId="28ECD2A9">
            <w:pPr>
              <w:rPr>
                <w:rFonts w:hint="eastAsia" w:ascii="宋体" w:hAnsi="宋体" w:eastAsia="宋体" w:cs="宋体"/>
                <w:i w:val="0"/>
                <w:color w:val="000000"/>
                <w:sz w:val="18"/>
                <w:szCs w:val="18"/>
                <w:u w:val="none"/>
              </w:rPr>
            </w:pPr>
          </w:p>
        </w:tc>
        <w:tc>
          <w:tcPr>
            <w:tcW w:w="1082" w:type="dxa"/>
            <w:tcBorders>
              <w:top w:val="nil"/>
              <w:left w:val="nil"/>
              <w:bottom w:val="nil"/>
              <w:right w:val="nil"/>
            </w:tcBorders>
            <w:shd w:val="clear" w:color="auto" w:fill="auto"/>
            <w:tcMar>
              <w:top w:w="15" w:type="dxa"/>
              <w:left w:w="15" w:type="dxa"/>
              <w:right w:w="15" w:type="dxa"/>
            </w:tcMar>
            <w:vAlign w:val="center"/>
          </w:tcPr>
          <w:p w14:paraId="56FF21D5">
            <w:pPr>
              <w:rPr>
                <w:rFonts w:hint="eastAsia" w:ascii="宋体" w:hAnsi="宋体" w:eastAsia="宋体" w:cs="宋体"/>
                <w:i w:val="0"/>
                <w:color w:val="000000"/>
                <w:sz w:val="18"/>
                <w:szCs w:val="18"/>
                <w:u w:val="none"/>
              </w:rPr>
            </w:pPr>
          </w:p>
        </w:tc>
        <w:tc>
          <w:tcPr>
            <w:tcW w:w="1381" w:type="dxa"/>
            <w:tcBorders>
              <w:top w:val="nil"/>
              <w:left w:val="nil"/>
              <w:bottom w:val="nil"/>
              <w:right w:val="nil"/>
            </w:tcBorders>
            <w:shd w:val="clear" w:color="auto" w:fill="auto"/>
            <w:tcMar>
              <w:top w:w="15" w:type="dxa"/>
              <w:left w:w="15" w:type="dxa"/>
              <w:right w:w="15" w:type="dxa"/>
            </w:tcMar>
            <w:vAlign w:val="center"/>
          </w:tcPr>
          <w:p w14:paraId="6B48A112">
            <w:pPr>
              <w:rPr>
                <w:rFonts w:hint="eastAsia" w:ascii="宋体" w:hAnsi="宋体" w:eastAsia="宋体" w:cs="宋体"/>
                <w:i w:val="0"/>
                <w:color w:val="000000"/>
                <w:sz w:val="18"/>
                <w:szCs w:val="18"/>
                <w:u w:val="none"/>
              </w:rPr>
            </w:pPr>
          </w:p>
        </w:tc>
        <w:tc>
          <w:tcPr>
            <w:tcW w:w="318" w:type="dxa"/>
            <w:tcBorders>
              <w:top w:val="nil"/>
              <w:left w:val="nil"/>
              <w:bottom w:val="nil"/>
              <w:right w:val="nil"/>
            </w:tcBorders>
            <w:shd w:val="clear" w:color="auto" w:fill="auto"/>
            <w:tcMar>
              <w:top w:w="15" w:type="dxa"/>
              <w:left w:w="15" w:type="dxa"/>
              <w:right w:w="15" w:type="dxa"/>
            </w:tcMar>
            <w:vAlign w:val="center"/>
          </w:tcPr>
          <w:p w14:paraId="277B1DDA">
            <w:pPr>
              <w:rPr>
                <w:rFonts w:hint="eastAsia" w:ascii="宋体" w:hAnsi="宋体" w:eastAsia="宋体" w:cs="宋体"/>
                <w:i w:val="0"/>
                <w:color w:val="000000"/>
                <w:sz w:val="18"/>
                <w:szCs w:val="18"/>
                <w:u w:val="none"/>
              </w:rPr>
            </w:pPr>
          </w:p>
        </w:tc>
        <w:tc>
          <w:tcPr>
            <w:tcW w:w="1023" w:type="dxa"/>
            <w:tcBorders>
              <w:top w:val="nil"/>
              <w:left w:val="nil"/>
              <w:bottom w:val="nil"/>
              <w:right w:val="nil"/>
            </w:tcBorders>
            <w:shd w:val="clear" w:color="auto" w:fill="auto"/>
            <w:tcMar>
              <w:top w:w="15" w:type="dxa"/>
              <w:left w:w="15" w:type="dxa"/>
              <w:right w:w="15" w:type="dxa"/>
            </w:tcMar>
            <w:vAlign w:val="center"/>
          </w:tcPr>
          <w:p w14:paraId="70C8880B">
            <w:pPr>
              <w:rPr>
                <w:rFonts w:hint="eastAsia" w:ascii="宋体" w:hAnsi="宋体" w:eastAsia="宋体" w:cs="宋体"/>
                <w:i w:val="0"/>
                <w:color w:val="000000"/>
                <w:sz w:val="18"/>
                <w:szCs w:val="18"/>
                <w:u w:val="none"/>
              </w:rPr>
            </w:pPr>
          </w:p>
        </w:tc>
        <w:tc>
          <w:tcPr>
            <w:tcW w:w="319" w:type="dxa"/>
            <w:tcBorders>
              <w:top w:val="nil"/>
              <w:left w:val="nil"/>
              <w:bottom w:val="nil"/>
              <w:right w:val="nil"/>
            </w:tcBorders>
            <w:shd w:val="clear" w:color="auto" w:fill="auto"/>
            <w:tcMar>
              <w:top w:w="15" w:type="dxa"/>
              <w:left w:w="15" w:type="dxa"/>
              <w:right w:w="15" w:type="dxa"/>
            </w:tcMar>
            <w:vAlign w:val="center"/>
          </w:tcPr>
          <w:p w14:paraId="4E0115B7">
            <w:pPr>
              <w:rPr>
                <w:rFonts w:hint="eastAsia" w:ascii="宋体" w:hAnsi="宋体" w:eastAsia="宋体" w:cs="宋体"/>
                <w:i w:val="0"/>
                <w:color w:val="000000"/>
                <w:sz w:val="18"/>
                <w:szCs w:val="18"/>
                <w:u w:val="none"/>
              </w:rPr>
            </w:pPr>
          </w:p>
        </w:tc>
        <w:tc>
          <w:tcPr>
            <w:tcW w:w="666" w:type="dxa"/>
            <w:tcBorders>
              <w:top w:val="nil"/>
              <w:left w:val="nil"/>
              <w:bottom w:val="nil"/>
              <w:right w:val="nil"/>
            </w:tcBorders>
            <w:shd w:val="clear" w:color="auto" w:fill="auto"/>
            <w:tcMar>
              <w:top w:w="15" w:type="dxa"/>
              <w:left w:w="15" w:type="dxa"/>
              <w:right w:w="15" w:type="dxa"/>
            </w:tcMar>
            <w:vAlign w:val="center"/>
          </w:tcPr>
          <w:p w14:paraId="4F9B104C">
            <w:pPr>
              <w:rPr>
                <w:rFonts w:hint="eastAsia" w:ascii="宋体" w:hAnsi="宋体" w:eastAsia="宋体" w:cs="宋体"/>
                <w:i w:val="0"/>
                <w:color w:val="000000"/>
                <w:sz w:val="18"/>
                <w:szCs w:val="18"/>
                <w:u w:val="none"/>
              </w:rPr>
            </w:pPr>
          </w:p>
        </w:tc>
        <w:tc>
          <w:tcPr>
            <w:tcW w:w="309" w:type="dxa"/>
            <w:tcBorders>
              <w:top w:val="nil"/>
              <w:left w:val="nil"/>
              <w:bottom w:val="nil"/>
              <w:right w:val="nil"/>
            </w:tcBorders>
            <w:shd w:val="clear" w:color="auto" w:fill="auto"/>
            <w:tcMar>
              <w:top w:w="15" w:type="dxa"/>
              <w:left w:w="15" w:type="dxa"/>
              <w:right w:w="15" w:type="dxa"/>
            </w:tcMar>
            <w:vAlign w:val="center"/>
          </w:tcPr>
          <w:p w14:paraId="71865901">
            <w:pPr>
              <w:rPr>
                <w:rFonts w:hint="eastAsia" w:ascii="宋体" w:hAnsi="宋体" w:eastAsia="宋体" w:cs="宋体"/>
                <w:i w:val="0"/>
                <w:color w:val="000000"/>
                <w:sz w:val="18"/>
                <w:szCs w:val="18"/>
                <w:u w:val="none"/>
              </w:rPr>
            </w:pPr>
          </w:p>
        </w:tc>
        <w:tc>
          <w:tcPr>
            <w:tcW w:w="279" w:type="dxa"/>
            <w:tcBorders>
              <w:top w:val="nil"/>
              <w:left w:val="nil"/>
              <w:bottom w:val="nil"/>
              <w:right w:val="nil"/>
            </w:tcBorders>
            <w:shd w:val="clear" w:color="auto" w:fill="auto"/>
            <w:tcMar>
              <w:top w:w="15" w:type="dxa"/>
              <w:left w:w="15" w:type="dxa"/>
              <w:right w:w="15" w:type="dxa"/>
            </w:tcMar>
            <w:vAlign w:val="center"/>
          </w:tcPr>
          <w:p w14:paraId="297E13E5">
            <w:pPr>
              <w:rPr>
                <w:rFonts w:hint="eastAsia" w:ascii="宋体" w:hAnsi="宋体" w:eastAsia="宋体" w:cs="宋体"/>
                <w:i w:val="0"/>
                <w:color w:val="000000"/>
                <w:sz w:val="18"/>
                <w:szCs w:val="18"/>
                <w:u w:val="none"/>
              </w:rPr>
            </w:pPr>
          </w:p>
        </w:tc>
        <w:tc>
          <w:tcPr>
            <w:tcW w:w="1558" w:type="dxa"/>
            <w:tcBorders>
              <w:top w:val="nil"/>
              <w:left w:val="nil"/>
              <w:bottom w:val="nil"/>
              <w:right w:val="nil"/>
            </w:tcBorders>
            <w:shd w:val="clear" w:color="auto" w:fill="auto"/>
            <w:tcMar>
              <w:top w:w="15" w:type="dxa"/>
              <w:left w:w="15" w:type="dxa"/>
              <w:right w:w="15" w:type="dxa"/>
            </w:tcMar>
            <w:vAlign w:val="center"/>
          </w:tcPr>
          <w:p w14:paraId="31D062C2">
            <w:pPr>
              <w:rPr>
                <w:rFonts w:hint="eastAsia" w:ascii="宋体" w:hAnsi="宋体" w:eastAsia="宋体" w:cs="宋体"/>
                <w:i w:val="0"/>
                <w:color w:val="000000"/>
                <w:sz w:val="18"/>
                <w:szCs w:val="18"/>
                <w:u w:val="none"/>
              </w:rPr>
            </w:pPr>
          </w:p>
        </w:tc>
      </w:tr>
      <w:tr w14:paraId="3A69FF9F">
        <w:tblPrEx>
          <w:shd w:val="clear" w:color="auto" w:fill="auto"/>
          <w:tblCellMar>
            <w:top w:w="0" w:type="dxa"/>
            <w:left w:w="0" w:type="dxa"/>
            <w:bottom w:w="0" w:type="dxa"/>
            <w:right w:w="0" w:type="dxa"/>
          </w:tblCellMar>
        </w:tblPrEx>
        <w:trPr>
          <w:trHeight w:val="973" w:hRule="atLeast"/>
        </w:trPr>
        <w:tc>
          <w:tcPr>
            <w:tcW w:w="8600"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B5171B">
            <w:pPr>
              <w:keepNext w:val="0"/>
              <w:keepLines w:val="0"/>
              <w:widowControl/>
              <w:suppressLineNumbers w:val="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部门预算项目支出绩效自评表（2023年度）</w:t>
            </w:r>
          </w:p>
        </w:tc>
      </w:tr>
      <w:tr w14:paraId="6ED2908D">
        <w:tblPrEx>
          <w:tblCellMar>
            <w:top w:w="0" w:type="dxa"/>
            <w:left w:w="0" w:type="dxa"/>
            <w:bottom w:w="0" w:type="dxa"/>
            <w:right w:w="0" w:type="dxa"/>
          </w:tblCellMar>
        </w:tblPrEx>
        <w:trPr>
          <w:trHeight w:val="353" w:hRule="atLeast"/>
        </w:trPr>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E5DEA1">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6935"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891A30">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51322422T000006746496-三支一扶财政补助资金</w:t>
            </w:r>
          </w:p>
        </w:tc>
      </w:tr>
      <w:tr w14:paraId="465E1F6A">
        <w:tblPrEx>
          <w:shd w:val="clear" w:color="auto" w:fill="auto"/>
          <w:tblCellMar>
            <w:top w:w="0" w:type="dxa"/>
            <w:left w:w="0" w:type="dxa"/>
            <w:bottom w:w="0" w:type="dxa"/>
            <w:right w:w="0" w:type="dxa"/>
          </w:tblCellMar>
        </w:tblPrEx>
        <w:trPr>
          <w:trHeight w:val="680" w:hRule="atLeast"/>
        </w:trPr>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A47290">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412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E8F930">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松潘县卫生健康局本级</w:t>
            </w:r>
          </w:p>
        </w:tc>
        <w:tc>
          <w:tcPr>
            <w:tcW w:w="666" w:type="dxa"/>
            <w:tcBorders>
              <w:top w:val="nil"/>
              <w:left w:val="nil"/>
              <w:bottom w:val="nil"/>
              <w:right w:val="nil"/>
            </w:tcBorders>
            <w:shd w:val="clear" w:color="auto" w:fill="auto"/>
            <w:tcMar>
              <w:top w:w="15" w:type="dxa"/>
              <w:left w:w="15" w:type="dxa"/>
              <w:right w:w="15" w:type="dxa"/>
            </w:tcMar>
            <w:vAlign w:val="center"/>
          </w:tcPr>
          <w:p w14:paraId="136AC8C4">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实施单位 （盖章）</w:t>
            </w:r>
          </w:p>
        </w:tc>
        <w:tc>
          <w:tcPr>
            <w:tcW w:w="214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B7D41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松潘县下八寨乡卫生院</w:t>
            </w:r>
          </w:p>
        </w:tc>
      </w:tr>
      <w:tr w14:paraId="385DD151">
        <w:tblPrEx>
          <w:tblCellMar>
            <w:top w:w="0" w:type="dxa"/>
            <w:left w:w="0" w:type="dxa"/>
            <w:bottom w:w="0" w:type="dxa"/>
            <w:right w:w="0" w:type="dxa"/>
          </w:tblCellMar>
        </w:tblPrEx>
        <w:trPr>
          <w:trHeight w:val="353" w:hRule="atLeast"/>
        </w:trPr>
        <w:tc>
          <w:tcPr>
            <w:tcW w:w="41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8D28F2">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125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3E963C">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412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940BB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2812"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CD6E61">
            <w:pPr>
              <w:keepNext w:val="0"/>
              <w:keepLines w:val="0"/>
              <w:widowControl/>
              <w:suppressLineNumbers w:val="0"/>
              <w:jc w:val="center"/>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年度目标完成情况</w:t>
            </w:r>
          </w:p>
        </w:tc>
      </w:tr>
      <w:tr w14:paraId="2BCB47F8">
        <w:tblPrEx>
          <w:shd w:val="clear" w:color="auto" w:fill="auto"/>
          <w:tblCellMar>
            <w:top w:w="0" w:type="dxa"/>
            <w:left w:w="0" w:type="dxa"/>
            <w:bottom w:w="0" w:type="dxa"/>
            <w:right w:w="0" w:type="dxa"/>
          </w:tblCellMar>
        </w:tblPrEx>
        <w:trPr>
          <w:trHeight w:val="768" w:hRule="atLeast"/>
        </w:trPr>
        <w:tc>
          <w:tcPr>
            <w:tcW w:w="4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C9DF6A">
            <w:pPr>
              <w:rPr>
                <w:rFonts w:hint="eastAsia" w:ascii="宋体" w:hAnsi="宋体" w:eastAsia="宋体" w:cs="宋体"/>
                <w:i w:val="0"/>
                <w:color w:val="000000"/>
                <w:sz w:val="18"/>
                <w:szCs w:val="18"/>
                <w:u w:val="none"/>
              </w:rPr>
            </w:pPr>
          </w:p>
        </w:tc>
        <w:tc>
          <w:tcPr>
            <w:tcW w:w="12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BA20F3">
            <w:pPr>
              <w:rPr>
                <w:rFonts w:hint="eastAsia" w:ascii="宋体" w:hAnsi="宋体" w:eastAsia="宋体" w:cs="宋体"/>
                <w:i w:val="0"/>
                <w:color w:val="000000"/>
                <w:sz w:val="18"/>
                <w:szCs w:val="18"/>
                <w:u w:val="none"/>
              </w:rPr>
            </w:pPr>
          </w:p>
        </w:tc>
        <w:tc>
          <w:tcPr>
            <w:tcW w:w="412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0ADAD1">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保障卫生院三支一扶人员的生活补助</w:t>
            </w:r>
          </w:p>
        </w:tc>
        <w:tc>
          <w:tcPr>
            <w:tcW w:w="2812"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511F95">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已完成</w:t>
            </w:r>
          </w:p>
        </w:tc>
      </w:tr>
      <w:tr w14:paraId="394929F6">
        <w:tblPrEx>
          <w:shd w:val="clear" w:color="auto" w:fill="auto"/>
          <w:tblCellMar>
            <w:top w:w="0" w:type="dxa"/>
            <w:left w:w="0" w:type="dxa"/>
            <w:bottom w:w="0" w:type="dxa"/>
            <w:right w:w="0" w:type="dxa"/>
          </w:tblCellMar>
        </w:tblPrEx>
        <w:trPr>
          <w:trHeight w:val="752" w:hRule="atLeast"/>
        </w:trPr>
        <w:tc>
          <w:tcPr>
            <w:tcW w:w="4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BD2CF7">
            <w:pPr>
              <w:rPr>
                <w:rFonts w:hint="eastAsia" w:ascii="宋体" w:hAnsi="宋体" w:eastAsia="宋体" w:cs="宋体"/>
                <w:i w:val="0"/>
                <w:color w:val="000000"/>
                <w:sz w:val="18"/>
                <w:szCs w:val="18"/>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E0DCF9">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6935"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9D42BA">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　该项目资金主要用于单位三支一扶生活补助支出，进一步加强三支一扶基本生活保障</w:t>
            </w:r>
          </w:p>
        </w:tc>
      </w:tr>
      <w:tr w14:paraId="5CDBAACE">
        <w:tblPrEx>
          <w:shd w:val="clear" w:color="auto" w:fill="auto"/>
          <w:tblCellMar>
            <w:top w:w="0" w:type="dxa"/>
            <w:left w:w="0" w:type="dxa"/>
            <w:bottom w:w="0" w:type="dxa"/>
            <w:right w:w="0" w:type="dxa"/>
          </w:tblCellMar>
        </w:tblPrEx>
        <w:trPr>
          <w:trHeight w:val="404" w:hRule="atLeast"/>
        </w:trPr>
        <w:tc>
          <w:tcPr>
            <w:tcW w:w="41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D3F34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95686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10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D3438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1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4DEC8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166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100DB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6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62B67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3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FC80A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2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D7257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1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16647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14:paraId="04CAD603">
        <w:tblPrEx>
          <w:shd w:val="clear" w:color="auto" w:fill="auto"/>
          <w:tblCellMar>
            <w:top w:w="0" w:type="dxa"/>
            <w:left w:w="0" w:type="dxa"/>
            <w:bottom w:w="0" w:type="dxa"/>
            <w:right w:w="0" w:type="dxa"/>
          </w:tblCellMar>
        </w:tblPrEx>
        <w:trPr>
          <w:trHeight w:val="388" w:hRule="atLeast"/>
        </w:trPr>
        <w:tc>
          <w:tcPr>
            <w:tcW w:w="4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7B8F9A">
            <w:pPr>
              <w:jc w:val="center"/>
              <w:rPr>
                <w:rFonts w:hint="eastAsia" w:ascii="宋体" w:hAnsi="宋体" w:eastAsia="宋体" w:cs="宋体"/>
                <w:i w:val="0"/>
                <w:color w:val="000000"/>
                <w:sz w:val="18"/>
                <w:szCs w:val="18"/>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734B8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10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1C3BD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1A1D5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3.30</w:t>
            </w:r>
          </w:p>
        </w:tc>
        <w:tc>
          <w:tcPr>
            <w:tcW w:w="166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2F9C3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3.30</w:t>
            </w:r>
          </w:p>
        </w:tc>
        <w:tc>
          <w:tcPr>
            <w:tcW w:w="6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DD359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3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F3BC2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2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2CE6CA">
            <w:pPr>
              <w:jc w:val="center"/>
              <w:rPr>
                <w:rFonts w:hint="eastAsia" w:ascii="宋体" w:hAnsi="宋体" w:eastAsia="宋体" w:cs="宋体"/>
                <w:i w:val="0"/>
                <w:color w:val="000000"/>
                <w:sz w:val="18"/>
                <w:szCs w:val="18"/>
                <w:u w:val="none"/>
              </w:rPr>
            </w:pPr>
          </w:p>
        </w:tc>
        <w:tc>
          <w:tcPr>
            <w:tcW w:w="155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1845EC">
            <w:pPr>
              <w:keepNext w:val="0"/>
              <w:keepLines w:val="0"/>
              <w:widowControl/>
              <w:suppressLineNumbers w:val="0"/>
              <w:jc w:val="left"/>
              <w:textAlignment w:val="center"/>
              <w:rPr>
                <w:rFonts w:hint="eastAsia" w:ascii="黑体" w:hAnsi="黑体" w:eastAsia="黑体" w:cs="黑体"/>
                <w:i/>
                <w:color w:val="000000"/>
                <w:sz w:val="18"/>
                <w:szCs w:val="18"/>
                <w:u w:val="none"/>
              </w:rPr>
            </w:pPr>
            <w:r>
              <w:rPr>
                <w:rFonts w:hint="eastAsia" w:ascii="黑体" w:hAnsi="黑体" w:eastAsia="黑体" w:cs="黑体"/>
                <w:i/>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5F59F790">
        <w:tblPrEx>
          <w:tblCellMar>
            <w:top w:w="0" w:type="dxa"/>
            <w:left w:w="0" w:type="dxa"/>
            <w:bottom w:w="0" w:type="dxa"/>
            <w:right w:w="0" w:type="dxa"/>
          </w:tblCellMar>
        </w:tblPrEx>
        <w:trPr>
          <w:trHeight w:val="435" w:hRule="atLeast"/>
        </w:trPr>
        <w:tc>
          <w:tcPr>
            <w:tcW w:w="4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D13D48">
            <w:pPr>
              <w:jc w:val="center"/>
              <w:rPr>
                <w:rFonts w:hint="eastAsia" w:ascii="宋体" w:hAnsi="宋体" w:eastAsia="宋体" w:cs="宋体"/>
                <w:i w:val="0"/>
                <w:color w:val="000000"/>
                <w:sz w:val="18"/>
                <w:szCs w:val="18"/>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AC60E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10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743C5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6886D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3.30</w:t>
            </w:r>
          </w:p>
        </w:tc>
        <w:tc>
          <w:tcPr>
            <w:tcW w:w="166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FCD3C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3.30</w:t>
            </w:r>
          </w:p>
        </w:tc>
        <w:tc>
          <w:tcPr>
            <w:tcW w:w="6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94F20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3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98E1C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9FC72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5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53983C">
            <w:pPr>
              <w:rPr>
                <w:rFonts w:hint="eastAsia" w:ascii="黑体" w:hAnsi="黑体" w:eastAsia="黑体" w:cs="黑体"/>
                <w:i/>
                <w:color w:val="000000"/>
                <w:sz w:val="18"/>
                <w:szCs w:val="18"/>
                <w:u w:val="none"/>
              </w:rPr>
            </w:pPr>
          </w:p>
        </w:tc>
      </w:tr>
      <w:tr w14:paraId="0CC40A9E">
        <w:tblPrEx>
          <w:shd w:val="clear" w:color="auto" w:fill="auto"/>
          <w:tblCellMar>
            <w:top w:w="0" w:type="dxa"/>
            <w:left w:w="0" w:type="dxa"/>
            <w:bottom w:w="0" w:type="dxa"/>
            <w:right w:w="0" w:type="dxa"/>
          </w:tblCellMar>
        </w:tblPrEx>
        <w:trPr>
          <w:trHeight w:val="452" w:hRule="atLeast"/>
        </w:trPr>
        <w:tc>
          <w:tcPr>
            <w:tcW w:w="4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776DFC">
            <w:pPr>
              <w:jc w:val="center"/>
              <w:rPr>
                <w:rFonts w:hint="eastAsia" w:ascii="宋体" w:hAnsi="宋体" w:eastAsia="宋体" w:cs="宋体"/>
                <w:i w:val="0"/>
                <w:color w:val="000000"/>
                <w:sz w:val="18"/>
                <w:szCs w:val="18"/>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6DCFF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10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B52C8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715D9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66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C1196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6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73BF4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3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4B98B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00931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5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E37E17">
            <w:pPr>
              <w:rPr>
                <w:rFonts w:hint="eastAsia" w:ascii="黑体" w:hAnsi="黑体" w:eastAsia="黑体" w:cs="黑体"/>
                <w:i/>
                <w:color w:val="000000"/>
                <w:sz w:val="18"/>
                <w:szCs w:val="18"/>
                <w:u w:val="none"/>
              </w:rPr>
            </w:pPr>
          </w:p>
        </w:tc>
      </w:tr>
      <w:tr w14:paraId="4AFBF298">
        <w:tblPrEx>
          <w:shd w:val="clear" w:color="auto" w:fill="auto"/>
          <w:tblCellMar>
            <w:top w:w="0" w:type="dxa"/>
            <w:left w:w="0" w:type="dxa"/>
            <w:bottom w:w="0" w:type="dxa"/>
            <w:right w:w="0" w:type="dxa"/>
          </w:tblCellMar>
        </w:tblPrEx>
        <w:trPr>
          <w:trHeight w:val="404" w:hRule="atLeast"/>
        </w:trPr>
        <w:tc>
          <w:tcPr>
            <w:tcW w:w="4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05BF8D">
            <w:pPr>
              <w:jc w:val="center"/>
              <w:rPr>
                <w:rFonts w:hint="eastAsia" w:ascii="宋体" w:hAnsi="宋体" w:eastAsia="宋体" w:cs="宋体"/>
                <w:i w:val="0"/>
                <w:color w:val="000000"/>
                <w:sz w:val="18"/>
                <w:szCs w:val="18"/>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889A8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10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84587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AE89E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66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2CE64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6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4A892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3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39CB3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63DD9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5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5BF158">
            <w:pPr>
              <w:rPr>
                <w:rFonts w:hint="eastAsia" w:ascii="黑体" w:hAnsi="黑体" w:eastAsia="黑体" w:cs="黑体"/>
                <w:i/>
                <w:color w:val="000000"/>
                <w:sz w:val="18"/>
                <w:szCs w:val="18"/>
                <w:u w:val="none"/>
              </w:rPr>
            </w:pPr>
          </w:p>
        </w:tc>
      </w:tr>
      <w:tr w14:paraId="1EA7AEF2">
        <w:tblPrEx>
          <w:tblCellMar>
            <w:top w:w="0" w:type="dxa"/>
            <w:left w:w="0" w:type="dxa"/>
            <w:bottom w:w="0" w:type="dxa"/>
            <w:right w:w="0" w:type="dxa"/>
          </w:tblCellMar>
        </w:tblPrEx>
        <w:trPr>
          <w:trHeight w:val="632" w:hRule="atLeast"/>
        </w:trPr>
        <w:tc>
          <w:tcPr>
            <w:tcW w:w="4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7D049A">
            <w:pPr>
              <w:jc w:val="center"/>
              <w:rPr>
                <w:rFonts w:hint="eastAsia" w:ascii="宋体" w:hAnsi="宋体" w:eastAsia="宋体" w:cs="宋体"/>
                <w:i w:val="0"/>
                <w:color w:val="000000"/>
                <w:sz w:val="18"/>
                <w:szCs w:val="18"/>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4C053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10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BD6BF2">
            <w:pPr>
              <w:jc w:val="center"/>
              <w:rPr>
                <w:rFonts w:hint="eastAsia" w:ascii="微软雅黑" w:hAnsi="微软雅黑" w:eastAsia="微软雅黑" w:cs="微软雅黑"/>
                <w:i/>
                <w:color w:val="000000"/>
                <w:sz w:val="16"/>
                <w:szCs w:val="16"/>
                <w:u w:val="none"/>
              </w:rPr>
            </w:pPr>
          </w:p>
        </w:tc>
        <w:tc>
          <w:tcPr>
            <w:tcW w:w="1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2BA076">
            <w:pPr>
              <w:jc w:val="center"/>
              <w:rPr>
                <w:rFonts w:hint="eastAsia" w:ascii="微软雅黑" w:hAnsi="微软雅黑" w:eastAsia="微软雅黑" w:cs="微软雅黑"/>
                <w:i/>
                <w:color w:val="000000"/>
                <w:sz w:val="16"/>
                <w:szCs w:val="16"/>
                <w:u w:val="none"/>
              </w:rPr>
            </w:pPr>
          </w:p>
        </w:tc>
        <w:tc>
          <w:tcPr>
            <w:tcW w:w="166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C216C2">
            <w:pPr>
              <w:jc w:val="center"/>
              <w:rPr>
                <w:rFonts w:hint="eastAsia" w:ascii="微软雅黑" w:hAnsi="微软雅黑" w:eastAsia="微软雅黑" w:cs="微软雅黑"/>
                <w:i/>
                <w:color w:val="000000"/>
                <w:sz w:val="16"/>
                <w:szCs w:val="16"/>
                <w:u w:val="none"/>
              </w:rPr>
            </w:pPr>
          </w:p>
        </w:tc>
        <w:tc>
          <w:tcPr>
            <w:tcW w:w="6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B410F0">
            <w:pPr>
              <w:jc w:val="center"/>
              <w:rPr>
                <w:rFonts w:hint="eastAsia" w:ascii="微软雅黑" w:hAnsi="微软雅黑" w:eastAsia="微软雅黑" w:cs="微软雅黑"/>
                <w:i/>
                <w:color w:val="000000"/>
                <w:sz w:val="16"/>
                <w:szCs w:val="16"/>
                <w:u w:val="none"/>
              </w:rPr>
            </w:pPr>
          </w:p>
        </w:tc>
        <w:tc>
          <w:tcPr>
            <w:tcW w:w="3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23245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9FC7E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5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EB522B">
            <w:pPr>
              <w:rPr>
                <w:rFonts w:hint="eastAsia" w:ascii="黑体" w:hAnsi="黑体" w:eastAsia="黑体" w:cs="黑体"/>
                <w:i/>
                <w:color w:val="000000"/>
                <w:sz w:val="18"/>
                <w:szCs w:val="18"/>
                <w:u w:val="none"/>
              </w:rPr>
            </w:pPr>
          </w:p>
        </w:tc>
      </w:tr>
      <w:tr w14:paraId="2111C20F">
        <w:tblPrEx>
          <w:shd w:val="clear" w:color="auto" w:fill="auto"/>
          <w:tblCellMar>
            <w:top w:w="0" w:type="dxa"/>
            <w:left w:w="0" w:type="dxa"/>
            <w:bottom w:w="0" w:type="dxa"/>
            <w:right w:w="0" w:type="dxa"/>
          </w:tblCellMar>
        </w:tblPrEx>
        <w:trPr>
          <w:trHeight w:val="680" w:hRule="atLeast"/>
        </w:trPr>
        <w:tc>
          <w:tcPr>
            <w:tcW w:w="41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62336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FDCC0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10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F858C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1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3B92B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3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9CF9A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0F72B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3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7E56C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6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9ECE6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3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A49D9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2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75C4A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1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A9B45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14:paraId="35AA7CD4">
        <w:tblPrEx>
          <w:tblCellMar>
            <w:top w:w="0" w:type="dxa"/>
            <w:left w:w="0" w:type="dxa"/>
            <w:bottom w:w="0" w:type="dxa"/>
            <w:right w:w="0" w:type="dxa"/>
          </w:tblCellMar>
        </w:tblPrEx>
        <w:trPr>
          <w:trHeight w:val="680" w:hRule="atLeast"/>
        </w:trPr>
        <w:tc>
          <w:tcPr>
            <w:tcW w:w="4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E1F40D">
            <w:pPr>
              <w:jc w:val="center"/>
              <w:rPr>
                <w:rFonts w:hint="eastAsia" w:ascii="宋体" w:hAnsi="宋体" w:eastAsia="宋体" w:cs="宋体"/>
                <w:i w:val="0"/>
                <w:color w:val="000000"/>
                <w:sz w:val="18"/>
                <w:szCs w:val="18"/>
                <w:u w:val="none"/>
              </w:rPr>
            </w:pPr>
          </w:p>
        </w:tc>
        <w:tc>
          <w:tcPr>
            <w:tcW w:w="125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1062A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10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976C4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1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2C90B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享受三支一扶财政补助资金人数</w:t>
            </w:r>
          </w:p>
        </w:tc>
        <w:tc>
          <w:tcPr>
            <w:tcW w:w="3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9B9765">
            <w:pPr>
              <w:keepNext w:val="0"/>
              <w:keepLines w:val="0"/>
              <w:widowControl/>
              <w:suppressLineNumbers w:val="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9B4BB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人数</w:t>
            </w:r>
          </w:p>
        </w:tc>
        <w:tc>
          <w:tcPr>
            <w:tcW w:w="3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7AD7A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人数</w:t>
            </w:r>
          </w:p>
        </w:tc>
        <w:tc>
          <w:tcPr>
            <w:tcW w:w="6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BCF8C3">
            <w:pPr>
              <w:jc w:val="center"/>
              <w:rPr>
                <w:rFonts w:hint="eastAsia" w:ascii="宋体" w:hAnsi="宋体" w:eastAsia="宋体" w:cs="宋体"/>
                <w:i w:val="0"/>
                <w:color w:val="000000"/>
                <w:sz w:val="18"/>
                <w:szCs w:val="18"/>
                <w:u w:val="none"/>
              </w:rPr>
            </w:pPr>
          </w:p>
        </w:tc>
        <w:tc>
          <w:tcPr>
            <w:tcW w:w="3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82C23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2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8602B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1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CC6F17">
            <w:pPr>
              <w:jc w:val="center"/>
              <w:rPr>
                <w:rFonts w:hint="eastAsia" w:ascii="宋体" w:hAnsi="宋体" w:eastAsia="宋体" w:cs="宋体"/>
                <w:i w:val="0"/>
                <w:color w:val="000000"/>
                <w:sz w:val="18"/>
                <w:szCs w:val="18"/>
                <w:u w:val="none"/>
              </w:rPr>
            </w:pPr>
          </w:p>
        </w:tc>
      </w:tr>
      <w:tr w14:paraId="192F73CC">
        <w:tblPrEx>
          <w:shd w:val="clear" w:color="auto" w:fill="auto"/>
          <w:tblCellMar>
            <w:top w:w="0" w:type="dxa"/>
            <w:left w:w="0" w:type="dxa"/>
            <w:bottom w:w="0" w:type="dxa"/>
            <w:right w:w="0" w:type="dxa"/>
          </w:tblCellMar>
        </w:tblPrEx>
        <w:trPr>
          <w:trHeight w:val="680" w:hRule="atLeast"/>
        </w:trPr>
        <w:tc>
          <w:tcPr>
            <w:tcW w:w="4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9B073F">
            <w:pPr>
              <w:jc w:val="center"/>
              <w:rPr>
                <w:rFonts w:hint="eastAsia" w:ascii="宋体" w:hAnsi="宋体" w:eastAsia="宋体" w:cs="宋体"/>
                <w:i w:val="0"/>
                <w:color w:val="000000"/>
                <w:sz w:val="18"/>
                <w:szCs w:val="18"/>
                <w:u w:val="none"/>
              </w:rPr>
            </w:pPr>
          </w:p>
        </w:tc>
        <w:tc>
          <w:tcPr>
            <w:tcW w:w="12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E2D2EE">
            <w:pPr>
              <w:jc w:val="center"/>
              <w:rPr>
                <w:rFonts w:hint="eastAsia" w:ascii="宋体" w:hAnsi="宋体" w:eastAsia="宋体" w:cs="宋体"/>
                <w:i w:val="0"/>
                <w:color w:val="000000"/>
                <w:sz w:val="18"/>
                <w:szCs w:val="18"/>
                <w:u w:val="none"/>
              </w:rPr>
            </w:pPr>
          </w:p>
        </w:tc>
        <w:tc>
          <w:tcPr>
            <w:tcW w:w="10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23DE7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质量指标</w:t>
            </w:r>
          </w:p>
        </w:tc>
        <w:tc>
          <w:tcPr>
            <w:tcW w:w="1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D4A73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享受三支一扶财政补助资金补助标准</w:t>
            </w:r>
          </w:p>
        </w:tc>
        <w:tc>
          <w:tcPr>
            <w:tcW w:w="3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70BF2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7B560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3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7EF32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AA1BDC">
            <w:pPr>
              <w:jc w:val="center"/>
              <w:rPr>
                <w:rFonts w:hint="eastAsia" w:ascii="宋体" w:hAnsi="宋体" w:eastAsia="宋体" w:cs="宋体"/>
                <w:i w:val="0"/>
                <w:color w:val="000000"/>
                <w:sz w:val="18"/>
                <w:szCs w:val="18"/>
                <w:u w:val="none"/>
              </w:rPr>
            </w:pPr>
          </w:p>
        </w:tc>
        <w:tc>
          <w:tcPr>
            <w:tcW w:w="3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BC1E0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2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D08E7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18</w:t>
            </w:r>
          </w:p>
        </w:tc>
        <w:tc>
          <w:tcPr>
            <w:tcW w:w="1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11BD97">
            <w:pPr>
              <w:jc w:val="center"/>
              <w:rPr>
                <w:rFonts w:hint="eastAsia" w:ascii="宋体" w:hAnsi="宋体" w:eastAsia="宋体" w:cs="宋体"/>
                <w:i w:val="0"/>
                <w:color w:val="000000"/>
                <w:sz w:val="18"/>
                <w:szCs w:val="18"/>
                <w:u w:val="none"/>
              </w:rPr>
            </w:pPr>
          </w:p>
        </w:tc>
      </w:tr>
      <w:tr w14:paraId="13798192">
        <w:tblPrEx>
          <w:shd w:val="clear" w:color="auto" w:fill="auto"/>
          <w:tblCellMar>
            <w:top w:w="0" w:type="dxa"/>
            <w:left w:w="0" w:type="dxa"/>
            <w:bottom w:w="0" w:type="dxa"/>
            <w:right w:w="0" w:type="dxa"/>
          </w:tblCellMar>
        </w:tblPrEx>
        <w:trPr>
          <w:trHeight w:val="353" w:hRule="atLeast"/>
        </w:trPr>
        <w:tc>
          <w:tcPr>
            <w:tcW w:w="4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20A5CA">
            <w:pPr>
              <w:jc w:val="center"/>
              <w:rPr>
                <w:rFonts w:hint="eastAsia" w:ascii="宋体" w:hAnsi="宋体" w:eastAsia="宋体" w:cs="宋体"/>
                <w:i w:val="0"/>
                <w:color w:val="000000"/>
                <w:sz w:val="18"/>
                <w:szCs w:val="18"/>
                <w:u w:val="none"/>
              </w:rPr>
            </w:pPr>
          </w:p>
        </w:tc>
        <w:tc>
          <w:tcPr>
            <w:tcW w:w="12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95B222">
            <w:pPr>
              <w:jc w:val="center"/>
              <w:rPr>
                <w:rFonts w:hint="eastAsia" w:ascii="宋体" w:hAnsi="宋体" w:eastAsia="宋体" w:cs="宋体"/>
                <w:i w:val="0"/>
                <w:color w:val="000000"/>
                <w:sz w:val="18"/>
                <w:szCs w:val="18"/>
                <w:u w:val="none"/>
              </w:rPr>
            </w:pPr>
          </w:p>
        </w:tc>
        <w:tc>
          <w:tcPr>
            <w:tcW w:w="10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B4C91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时效指标</w:t>
            </w:r>
          </w:p>
        </w:tc>
        <w:tc>
          <w:tcPr>
            <w:tcW w:w="1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A87BC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三支一扶财政补助使用实率</w:t>
            </w:r>
          </w:p>
        </w:tc>
        <w:tc>
          <w:tcPr>
            <w:tcW w:w="3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403FF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06DF2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3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574A8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F17BB6">
            <w:pPr>
              <w:jc w:val="center"/>
              <w:rPr>
                <w:rFonts w:hint="eastAsia" w:ascii="宋体" w:hAnsi="宋体" w:eastAsia="宋体" w:cs="宋体"/>
                <w:i w:val="0"/>
                <w:color w:val="000000"/>
                <w:sz w:val="18"/>
                <w:szCs w:val="18"/>
                <w:u w:val="none"/>
              </w:rPr>
            </w:pPr>
          </w:p>
        </w:tc>
        <w:tc>
          <w:tcPr>
            <w:tcW w:w="3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40C4C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2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2A0E7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18</w:t>
            </w:r>
          </w:p>
        </w:tc>
        <w:tc>
          <w:tcPr>
            <w:tcW w:w="1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8D45BA">
            <w:pPr>
              <w:jc w:val="center"/>
              <w:rPr>
                <w:rFonts w:hint="eastAsia" w:ascii="宋体" w:hAnsi="宋体" w:eastAsia="宋体" w:cs="宋体"/>
                <w:i w:val="0"/>
                <w:color w:val="000000"/>
                <w:sz w:val="18"/>
                <w:szCs w:val="18"/>
                <w:u w:val="none"/>
              </w:rPr>
            </w:pPr>
          </w:p>
        </w:tc>
      </w:tr>
      <w:tr w14:paraId="16DEB45C">
        <w:tblPrEx>
          <w:shd w:val="clear" w:color="auto" w:fill="auto"/>
          <w:tblCellMar>
            <w:top w:w="0" w:type="dxa"/>
            <w:left w:w="0" w:type="dxa"/>
            <w:bottom w:w="0" w:type="dxa"/>
            <w:right w:w="0" w:type="dxa"/>
          </w:tblCellMar>
        </w:tblPrEx>
        <w:trPr>
          <w:trHeight w:val="353" w:hRule="atLeast"/>
        </w:trPr>
        <w:tc>
          <w:tcPr>
            <w:tcW w:w="4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5C2A36">
            <w:pPr>
              <w:jc w:val="center"/>
              <w:rPr>
                <w:rFonts w:hint="eastAsia" w:ascii="宋体" w:hAnsi="宋体" w:eastAsia="宋体" w:cs="宋体"/>
                <w:i w:val="0"/>
                <w:color w:val="000000"/>
                <w:sz w:val="18"/>
                <w:szCs w:val="18"/>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767B0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10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380CC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社会效益指标</w:t>
            </w:r>
          </w:p>
        </w:tc>
        <w:tc>
          <w:tcPr>
            <w:tcW w:w="1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8EE65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享受人员基本情况有效改善</w:t>
            </w:r>
          </w:p>
        </w:tc>
        <w:tc>
          <w:tcPr>
            <w:tcW w:w="3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DFDFB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3C56E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3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2DB99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7D400B">
            <w:pPr>
              <w:jc w:val="center"/>
              <w:rPr>
                <w:rFonts w:hint="eastAsia" w:ascii="宋体" w:hAnsi="宋体" w:eastAsia="宋体" w:cs="宋体"/>
                <w:i w:val="0"/>
                <w:color w:val="000000"/>
                <w:sz w:val="18"/>
                <w:szCs w:val="18"/>
                <w:u w:val="none"/>
              </w:rPr>
            </w:pPr>
          </w:p>
        </w:tc>
        <w:tc>
          <w:tcPr>
            <w:tcW w:w="3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E3B88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2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F2546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1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EF02F3">
            <w:pPr>
              <w:jc w:val="center"/>
              <w:rPr>
                <w:rFonts w:hint="eastAsia" w:ascii="宋体" w:hAnsi="宋体" w:eastAsia="宋体" w:cs="宋体"/>
                <w:i w:val="0"/>
                <w:color w:val="000000"/>
                <w:sz w:val="18"/>
                <w:szCs w:val="18"/>
                <w:u w:val="none"/>
              </w:rPr>
            </w:pPr>
          </w:p>
        </w:tc>
      </w:tr>
      <w:tr w14:paraId="42A820B1">
        <w:tblPrEx>
          <w:tblCellMar>
            <w:top w:w="0" w:type="dxa"/>
            <w:left w:w="0" w:type="dxa"/>
            <w:bottom w:w="0" w:type="dxa"/>
            <w:right w:w="0" w:type="dxa"/>
          </w:tblCellMar>
        </w:tblPrEx>
        <w:trPr>
          <w:trHeight w:val="680" w:hRule="atLeast"/>
        </w:trPr>
        <w:tc>
          <w:tcPr>
            <w:tcW w:w="4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7636CE">
            <w:pPr>
              <w:jc w:val="center"/>
              <w:rPr>
                <w:rFonts w:hint="eastAsia" w:ascii="宋体" w:hAnsi="宋体" w:eastAsia="宋体" w:cs="宋体"/>
                <w:i w:val="0"/>
                <w:color w:val="000000"/>
                <w:sz w:val="18"/>
                <w:szCs w:val="18"/>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A05B2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满意度指标</w:t>
            </w:r>
          </w:p>
        </w:tc>
        <w:tc>
          <w:tcPr>
            <w:tcW w:w="10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A478FA">
            <w:pPr>
              <w:keepNext w:val="0"/>
              <w:keepLines w:val="0"/>
              <w:widowControl/>
              <w:suppressLineNumbers w:val="0"/>
              <w:jc w:val="center"/>
              <w:textAlignment w:val="center"/>
              <w:rPr>
                <w:rFonts w:ascii="宋体" w:hAnsi="宋体" w:eastAsia="宋体" w:cs="宋体"/>
                <w:i w:val="0"/>
                <w:color w:val="000000"/>
                <w:sz w:val="18"/>
                <w:szCs w:val="18"/>
                <w:u w:val="none"/>
              </w:rPr>
            </w:pPr>
            <w:r>
              <w:rPr>
                <w:rFonts w:hint="eastAsia" w:ascii="宋体" w:hAnsi="宋体" w:cs="宋体"/>
                <w:i w:val="0"/>
                <w:color w:val="000000"/>
                <w:kern w:val="0"/>
                <w:sz w:val="18"/>
                <w:szCs w:val="18"/>
                <w:u w:val="none"/>
                <w:lang w:val="en-US" w:eastAsia="zh-CN" w:bidi="ar"/>
              </w:rPr>
              <w:t>服务对象</w:t>
            </w:r>
            <w:r>
              <w:rPr>
                <w:rFonts w:ascii="宋体" w:hAnsi="宋体" w:eastAsia="宋体" w:cs="宋体"/>
                <w:i w:val="0"/>
                <w:color w:val="000000"/>
                <w:kern w:val="0"/>
                <w:sz w:val="18"/>
                <w:szCs w:val="18"/>
                <w:u w:val="none"/>
                <w:lang w:val="en-US" w:eastAsia="zh-CN" w:bidi="ar"/>
              </w:rPr>
              <w:t>满意度指标</w:t>
            </w:r>
          </w:p>
        </w:tc>
        <w:tc>
          <w:tcPr>
            <w:tcW w:w="1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BF774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享受三支一扶财政资金补助</w:t>
            </w:r>
            <w:r>
              <w:rPr>
                <w:rFonts w:hint="eastAsia" w:ascii="宋体" w:hAnsi="宋体" w:cs="宋体"/>
                <w:i w:val="0"/>
                <w:color w:val="000000"/>
                <w:kern w:val="0"/>
                <w:sz w:val="18"/>
                <w:szCs w:val="18"/>
                <w:u w:val="none"/>
                <w:lang w:val="en-US" w:eastAsia="zh-CN" w:bidi="ar"/>
              </w:rPr>
              <w:t>对象</w:t>
            </w:r>
            <w:r>
              <w:rPr>
                <w:rFonts w:ascii="宋体" w:hAnsi="宋体" w:eastAsia="宋体" w:cs="宋体"/>
                <w:i w:val="0"/>
                <w:color w:val="000000"/>
                <w:kern w:val="0"/>
                <w:sz w:val="18"/>
                <w:szCs w:val="18"/>
                <w:u w:val="none"/>
                <w:lang w:val="en-US" w:eastAsia="zh-CN" w:bidi="ar"/>
              </w:rPr>
              <w:t>满意度</w:t>
            </w:r>
          </w:p>
        </w:tc>
        <w:tc>
          <w:tcPr>
            <w:tcW w:w="3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E0B48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C9C94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3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62943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0EEDEA">
            <w:pPr>
              <w:jc w:val="center"/>
              <w:rPr>
                <w:rFonts w:hint="eastAsia" w:ascii="宋体" w:hAnsi="宋体" w:eastAsia="宋体" w:cs="宋体"/>
                <w:i w:val="0"/>
                <w:color w:val="000000"/>
                <w:sz w:val="18"/>
                <w:szCs w:val="18"/>
                <w:u w:val="none"/>
              </w:rPr>
            </w:pPr>
          </w:p>
        </w:tc>
        <w:tc>
          <w:tcPr>
            <w:tcW w:w="3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ECC3F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2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6D6BD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8</w:t>
            </w:r>
          </w:p>
        </w:tc>
        <w:tc>
          <w:tcPr>
            <w:tcW w:w="1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CFE2CF">
            <w:pPr>
              <w:jc w:val="center"/>
              <w:rPr>
                <w:rFonts w:hint="eastAsia" w:ascii="宋体" w:hAnsi="宋体" w:eastAsia="宋体" w:cs="宋体"/>
                <w:i w:val="0"/>
                <w:color w:val="000000"/>
                <w:sz w:val="18"/>
                <w:szCs w:val="18"/>
                <w:u w:val="none"/>
              </w:rPr>
            </w:pPr>
          </w:p>
        </w:tc>
      </w:tr>
      <w:tr w14:paraId="6963CFB1">
        <w:tblPrEx>
          <w:shd w:val="clear" w:color="auto" w:fill="auto"/>
          <w:tblCellMar>
            <w:top w:w="0" w:type="dxa"/>
            <w:left w:w="0" w:type="dxa"/>
            <w:bottom w:w="0" w:type="dxa"/>
            <w:right w:w="0" w:type="dxa"/>
          </w:tblCellMar>
        </w:tblPrEx>
        <w:trPr>
          <w:trHeight w:val="353" w:hRule="atLeast"/>
        </w:trPr>
        <w:tc>
          <w:tcPr>
            <w:tcW w:w="6454"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F22B7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3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2E4F7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2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7ECB38">
            <w:pPr>
              <w:keepNext w:val="0"/>
              <w:keepLines w:val="0"/>
              <w:widowControl/>
              <w:suppressLineNumbers w:val="0"/>
              <w:jc w:val="righ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94</w:t>
            </w:r>
          </w:p>
        </w:tc>
        <w:tc>
          <w:tcPr>
            <w:tcW w:w="1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132A3B">
            <w:pPr>
              <w:rPr>
                <w:rFonts w:hint="eastAsia" w:ascii="宋体" w:hAnsi="宋体" w:eastAsia="宋体" w:cs="宋体"/>
                <w:i w:val="0"/>
                <w:color w:val="000000"/>
                <w:sz w:val="18"/>
                <w:szCs w:val="18"/>
                <w:u w:val="none"/>
              </w:rPr>
            </w:pPr>
          </w:p>
        </w:tc>
      </w:tr>
      <w:tr w14:paraId="424895F3">
        <w:tblPrEx>
          <w:tblCellMar>
            <w:top w:w="0" w:type="dxa"/>
            <w:left w:w="0" w:type="dxa"/>
            <w:bottom w:w="0" w:type="dxa"/>
            <w:right w:w="0" w:type="dxa"/>
          </w:tblCellMar>
        </w:tblPrEx>
        <w:trPr>
          <w:trHeight w:val="680" w:hRule="atLeast"/>
        </w:trPr>
        <w:tc>
          <w:tcPr>
            <w:tcW w:w="4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8F444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8185"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0470E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该项目为单位三支一扶人员提供了资金保障，经我单位认真自评，2023年三支一扶财政补助资金自评得分94分</w:t>
            </w:r>
          </w:p>
        </w:tc>
      </w:tr>
      <w:tr w14:paraId="1E6D75E2">
        <w:tblPrEx>
          <w:shd w:val="clear" w:color="auto" w:fill="auto"/>
          <w:tblCellMar>
            <w:top w:w="0" w:type="dxa"/>
            <w:left w:w="0" w:type="dxa"/>
            <w:bottom w:w="0" w:type="dxa"/>
            <w:right w:w="0" w:type="dxa"/>
          </w:tblCellMar>
        </w:tblPrEx>
        <w:trPr>
          <w:trHeight w:val="680" w:hRule="atLeast"/>
        </w:trPr>
        <w:tc>
          <w:tcPr>
            <w:tcW w:w="4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2C024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8185"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611FBD">
            <w:pPr>
              <w:keepNext w:val="0"/>
              <w:keepLines w:val="0"/>
              <w:widowControl/>
              <w:suppressLineNumbers w:val="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无</w:t>
            </w:r>
          </w:p>
        </w:tc>
      </w:tr>
      <w:tr w14:paraId="5D1BD9FD">
        <w:tblPrEx>
          <w:shd w:val="clear" w:color="auto" w:fill="auto"/>
          <w:tblCellMar>
            <w:top w:w="0" w:type="dxa"/>
            <w:left w:w="0" w:type="dxa"/>
            <w:bottom w:w="0" w:type="dxa"/>
            <w:right w:w="0" w:type="dxa"/>
          </w:tblCellMar>
        </w:tblPrEx>
        <w:trPr>
          <w:trHeight w:val="689" w:hRule="atLeast"/>
        </w:trPr>
        <w:tc>
          <w:tcPr>
            <w:tcW w:w="4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8F959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8185"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3C4E1C">
            <w:pPr>
              <w:keepNext w:val="0"/>
              <w:keepLines w:val="0"/>
              <w:widowControl/>
              <w:suppressLineNumbers w:val="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无</w:t>
            </w:r>
          </w:p>
        </w:tc>
      </w:tr>
      <w:tr w14:paraId="27A84D0C">
        <w:tblPrEx>
          <w:shd w:val="clear" w:color="auto" w:fill="auto"/>
          <w:tblCellMar>
            <w:top w:w="0" w:type="dxa"/>
            <w:left w:w="0" w:type="dxa"/>
            <w:bottom w:w="0" w:type="dxa"/>
            <w:right w:w="0" w:type="dxa"/>
          </w:tblCellMar>
        </w:tblPrEx>
        <w:trPr>
          <w:trHeight w:val="363" w:hRule="atLeast"/>
        </w:trPr>
        <w:tc>
          <w:tcPr>
            <w:tcW w:w="444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FD6626">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项目负责人：</w:t>
            </w:r>
          </w:p>
        </w:tc>
        <w:tc>
          <w:tcPr>
            <w:tcW w:w="4154"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0C0761">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财务负责人：</w:t>
            </w:r>
          </w:p>
        </w:tc>
      </w:tr>
    </w:tbl>
    <w:p w14:paraId="36332290">
      <w:pPr>
        <w:pStyle w:val="8"/>
        <w:spacing w:before="93"/>
        <w:rPr>
          <w:rFonts w:hAnsi="Calibri" w:cs="仿宋"/>
          <w:sz w:val="32"/>
          <w:szCs w:val="32"/>
        </w:rPr>
      </w:pPr>
    </w:p>
    <w:p w14:paraId="07506F9D">
      <w:pPr>
        <w:pStyle w:val="8"/>
        <w:spacing w:before="93"/>
        <w:rPr>
          <w:rFonts w:hAnsi="Calibri" w:cs="仿宋"/>
          <w:sz w:val="32"/>
          <w:szCs w:val="32"/>
        </w:rPr>
      </w:pPr>
    </w:p>
    <w:p w14:paraId="73503C5D">
      <w:pPr>
        <w:pStyle w:val="8"/>
        <w:spacing w:before="93"/>
        <w:rPr>
          <w:rFonts w:hAnsi="Calibri" w:cs="仿宋"/>
          <w:sz w:val="32"/>
          <w:szCs w:val="32"/>
        </w:rPr>
      </w:pPr>
    </w:p>
    <w:p w14:paraId="5B66FE16">
      <w:pPr>
        <w:pStyle w:val="8"/>
        <w:spacing w:before="93"/>
        <w:rPr>
          <w:rFonts w:hAnsi="Calibri" w:cs="仿宋"/>
          <w:sz w:val="32"/>
          <w:szCs w:val="32"/>
        </w:rPr>
      </w:pPr>
    </w:p>
    <w:p w14:paraId="1EA0FC45">
      <w:pPr>
        <w:pStyle w:val="8"/>
        <w:spacing w:before="93"/>
        <w:rPr>
          <w:rFonts w:hAnsi="Calibri" w:cs="仿宋"/>
          <w:sz w:val="32"/>
          <w:szCs w:val="32"/>
        </w:rPr>
      </w:pPr>
    </w:p>
    <w:p w14:paraId="159E2B27">
      <w:pPr>
        <w:pStyle w:val="8"/>
        <w:spacing w:before="93"/>
        <w:rPr>
          <w:rFonts w:hAnsi="Calibri" w:cs="仿宋"/>
          <w:sz w:val="32"/>
          <w:szCs w:val="32"/>
        </w:rPr>
      </w:pPr>
    </w:p>
    <w:p w14:paraId="34E84582">
      <w:pPr>
        <w:pStyle w:val="8"/>
        <w:spacing w:before="93"/>
        <w:rPr>
          <w:rFonts w:hAnsi="Calibri" w:cs="仿宋"/>
          <w:sz w:val="32"/>
          <w:szCs w:val="32"/>
        </w:rPr>
      </w:pPr>
    </w:p>
    <w:p w14:paraId="24B3FAA5">
      <w:pPr>
        <w:pStyle w:val="8"/>
        <w:spacing w:before="93"/>
        <w:rPr>
          <w:rFonts w:hAnsi="Calibri" w:cs="仿宋"/>
          <w:sz w:val="32"/>
          <w:szCs w:val="32"/>
        </w:rPr>
      </w:pPr>
    </w:p>
    <w:p w14:paraId="31DC299E">
      <w:pPr>
        <w:pStyle w:val="8"/>
        <w:spacing w:before="93"/>
        <w:rPr>
          <w:rFonts w:hAnsi="Calibri" w:cs="仿宋"/>
          <w:sz w:val="32"/>
          <w:szCs w:val="32"/>
        </w:rPr>
      </w:pPr>
    </w:p>
    <w:p w14:paraId="30C109C3">
      <w:pPr>
        <w:pStyle w:val="8"/>
        <w:spacing w:before="93"/>
        <w:rPr>
          <w:rFonts w:hAnsi="Calibri" w:cs="仿宋"/>
          <w:sz w:val="32"/>
          <w:szCs w:val="32"/>
        </w:rPr>
      </w:pPr>
    </w:p>
    <w:p w14:paraId="534BD342">
      <w:pPr>
        <w:pStyle w:val="8"/>
        <w:spacing w:before="93"/>
        <w:rPr>
          <w:rFonts w:hAnsi="Calibri" w:cs="仿宋"/>
          <w:sz w:val="32"/>
          <w:szCs w:val="32"/>
        </w:rPr>
      </w:pPr>
    </w:p>
    <w:p w14:paraId="583A6977">
      <w:pPr>
        <w:pStyle w:val="8"/>
        <w:spacing w:before="93"/>
        <w:rPr>
          <w:rFonts w:hAnsi="Calibri" w:cs="仿宋"/>
          <w:sz w:val="32"/>
          <w:szCs w:val="32"/>
        </w:rPr>
      </w:pPr>
    </w:p>
    <w:p w14:paraId="410F3A00">
      <w:pPr>
        <w:spacing w:line="600" w:lineRule="exact"/>
        <w:jc w:val="center"/>
        <w:outlineLvl w:val="0"/>
        <w:rPr>
          <w:rFonts w:ascii="仿宋" w:hAnsi="仿宋" w:eastAsia="仿宋"/>
        </w:rPr>
      </w:pPr>
      <w:bookmarkStart w:id="84" w:name="_Toc9654"/>
      <w:r>
        <w:rPr>
          <w:rFonts w:hint="eastAsia" w:ascii="黑体" w:hAnsi="黑体" w:eastAsia="黑体"/>
          <w:sz w:val="44"/>
          <w:szCs w:val="44"/>
        </w:rPr>
        <w:t>第</w:t>
      </w:r>
      <w:r>
        <w:rPr>
          <w:rStyle w:val="28"/>
          <w:rFonts w:hint="eastAsia" w:ascii="黑体" w:hAnsi="黑体" w:eastAsia="黑体"/>
          <w:b w:val="0"/>
        </w:rPr>
        <w:t>五部分 附表</w:t>
      </w:r>
      <w:bookmarkEnd w:id="80"/>
      <w:bookmarkEnd w:id="83"/>
      <w:bookmarkEnd w:id="84"/>
      <w:bookmarkStart w:id="85" w:name="_Toc15396619"/>
    </w:p>
    <w:p w14:paraId="1DBA9FC9">
      <w:pPr>
        <w:pStyle w:val="6"/>
        <w:rPr>
          <w:rFonts w:ascii="仿宋" w:hAnsi="仿宋" w:eastAsia="仿宋"/>
        </w:rPr>
      </w:pPr>
      <w:bookmarkStart w:id="86" w:name="_Toc3888"/>
      <w:r>
        <w:rPr>
          <w:rFonts w:hint="eastAsia" w:ascii="仿宋" w:hAnsi="仿宋" w:eastAsia="仿宋"/>
          <w:b w:val="0"/>
        </w:rPr>
        <w:t>一、收</w:t>
      </w:r>
      <w:r>
        <w:rPr>
          <w:rStyle w:val="29"/>
          <w:rFonts w:hint="eastAsia" w:ascii="仿宋" w:hAnsi="仿宋" w:eastAsia="仿宋"/>
          <w:b w:val="0"/>
          <w:bCs w:val="0"/>
        </w:rPr>
        <w:t>入支出决算总表</w:t>
      </w:r>
      <w:bookmarkEnd w:id="85"/>
      <w:bookmarkEnd w:id="86"/>
    </w:p>
    <w:p w14:paraId="3430048B">
      <w:pPr>
        <w:pStyle w:val="6"/>
        <w:rPr>
          <w:rFonts w:ascii="仿宋" w:hAnsi="仿宋" w:eastAsia="仿宋"/>
        </w:rPr>
      </w:pPr>
      <w:bookmarkStart w:id="87" w:name="_Toc15396620"/>
      <w:bookmarkStart w:id="88" w:name="_Toc20385"/>
      <w:r>
        <w:rPr>
          <w:rFonts w:hint="eastAsia" w:ascii="仿宋" w:hAnsi="仿宋" w:eastAsia="仿宋"/>
          <w:b w:val="0"/>
        </w:rPr>
        <w:t>二、收</w:t>
      </w:r>
      <w:r>
        <w:rPr>
          <w:rStyle w:val="29"/>
          <w:rFonts w:hint="eastAsia" w:ascii="仿宋" w:hAnsi="仿宋" w:eastAsia="仿宋"/>
          <w:b w:val="0"/>
          <w:bCs w:val="0"/>
        </w:rPr>
        <w:t>入决算表</w:t>
      </w:r>
      <w:bookmarkEnd w:id="87"/>
      <w:bookmarkEnd w:id="88"/>
    </w:p>
    <w:p w14:paraId="6F8BDC3A">
      <w:pPr>
        <w:pStyle w:val="6"/>
        <w:rPr>
          <w:rFonts w:ascii="仿宋" w:hAnsi="仿宋" w:eastAsia="仿宋"/>
        </w:rPr>
      </w:pPr>
      <w:bookmarkStart w:id="89" w:name="_Toc1377"/>
      <w:bookmarkStart w:id="90" w:name="_Toc15396621"/>
      <w:r>
        <w:rPr>
          <w:rStyle w:val="29"/>
          <w:rFonts w:hint="eastAsia" w:ascii="仿宋" w:hAnsi="仿宋" w:eastAsia="仿宋"/>
          <w:b w:val="0"/>
          <w:bCs w:val="0"/>
        </w:rPr>
        <w:t>三、</w:t>
      </w:r>
      <w:r>
        <w:rPr>
          <w:rFonts w:hint="eastAsia" w:ascii="仿宋" w:hAnsi="仿宋" w:eastAsia="仿宋"/>
          <w:b w:val="0"/>
        </w:rPr>
        <w:t>支</w:t>
      </w:r>
      <w:r>
        <w:rPr>
          <w:rStyle w:val="29"/>
          <w:rFonts w:hint="eastAsia" w:ascii="仿宋" w:hAnsi="仿宋" w:eastAsia="仿宋"/>
          <w:b w:val="0"/>
          <w:bCs w:val="0"/>
        </w:rPr>
        <w:t>出决算表</w:t>
      </w:r>
      <w:bookmarkEnd w:id="89"/>
      <w:bookmarkEnd w:id="90"/>
    </w:p>
    <w:p w14:paraId="46D84EC3">
      <w:pPr>
        <w:pStyle w:val="6"/>
        <w:rPr>
          <w:rFonts w:ascii="仿宋" w:hAnsi="仿宋" w:eastAsia="仿宋"/>
          <w:b w:val="0"/>
        </w:rPr>
      </w:pPr>
      <w:bookmarkStart w:id="91" w:name="_Toc30173"/>
      <w:bookmarkStart w:id="92" w:name="_Toc15396622"/>
      <w:r>
        <w:rPr>
          <w:rStyle w:val="29"/>
          <w:rFonts w:hint="eastAsia" w:ascii="仿宋" w:hAnsi="仿宋" w:eastAsia="仿宋"/>
          <w:b w:val="0"/>
          <w:bCs w:val="0"/>
        </w:rPr>
        <w:t>四、</w:t>
      </w:r>
      <w:r>
        <w:rPr>
          <w:rFonts w:hint="eastAsia" w:ascii="仿宋" w:hAnsi="仿宋" w:eastAsia="仿宋"/>
          <w:b w:val="0"/>
        </w:rPr>
        <w:t>财</w:t>
      </w:r>
      <w:r>
        <w:rPr>
          <w:rStyle w:val="29"/>
          <w:rFonts w:hint="eastAsia" w:ascii="仿宋" w:hAnsi="仿宋" w:eastAsia="仿宋"/>
          <w:b w:val="0"/>
          <w:bCs w:val="0"/>
        </w:rPr>
        <w:t>政拨款收入支出决算总表</w:t>
      </w:r>
      <w:bookmarkEnd w:id="91"/>
      <w:bookmarkEnd w:id="92"/>
    </w:p>
    <w:p w14:paraId="6E183C9D">
      <w:pPr>
        <w:pStyle w:val="6"/>
        <w:rPr>
          <w:rStyle w:val="29"/>
          <w:rFonts w:ascii="仿宋" w:hAnsi="仿宋" w:eastAsia="仿宋"/>
          <w:b w:val="0"/>
          <w:bCs w:val="0"/>
        </w:rPr>
      </w:pPr>
      <w:bookmarkStart w:id="93" w:name="_Toc15396623"/>
      <w:bookmarkStart w:id="94" w:name="_Toc19042"/>
      <w:r>
        <w:rPr>
          <w:rStyle w:val="29"/>
          <w:rFonts w:hint="eastAsia" w:ascii="仿宋" w:hAnsi="仿宋" w:eastAsia="仿宋"/>
          <w:b w:val="0"/>
          <w:bCs w:val="0"/>
        </w:rPr>
        <w:t>五、</w:t>
      </w:r>
      <w:r>
        <w:rPr>
          <w:rFonts w:hint="eastAsia" w:ascii="仿宋" w:hAnsi="仿宋" w:eastAsia="仿宋"/>
          <w:b w:val="0"/>
        </w:rPr>
        <w:t>财</w:t>
      </w:r>
      <w:r>
        <w:rPr>
          <w:rStyle w:val="29"/>
          <w:rFonts w:hint="eastAsia" w:ascii="仿宋" w:hAnsi="仿宋" w:eastAsia="仿宋"/>
          <w:b w:val="0"/>
          <w:bCs w:val="0"/>
        </w:rPr>
        <w:t>政拨款支出决算明细表</w:t>
      </w:r>
      <w:bookmarkEnd w:id="93"/>
      <w:bookmarkEnd w:id="94"/>
      <w:bookmarkStart w:id="95" w:name="_Toc15396624"/>
    </w:p>
    <w:p w14:paraId="7398430F">
      <w:pPr>
        <w:pStyle w:val="6"/>
        <w:rPr>
          <w:rFonts w:ascii="仿宋" w:hAnsi="仿宋" w:eastAsia="仿宋"/>
        </w:rPr>
      </w:pPr>
      <w:bookmarkStart w:id="96" w:name="_Toc2393"/>
      <w:r>
        <w:rPr>
          <w:rStyle w:val="29"/>
          <w:rFonts w:hint="eastAsia" w:ascii="仿宋" w:hAnsi="仿宋" w:eastAsia="仿宋"/>
          <w:b w:val="0"/>
          <w:bCs w:val="0"/>
        </w:rPr>
        <w:t>六、</w:t>
      </w:r>
      <w:r>
        <w:rPr>
          <w:rFonts w:hint="eastAsia" w:ascii="仿宋" w:hAnsi="仿宋" w:eastAsia="仿宋"/>
          <w:b w:val="0"/>
        </w:rPr>
        <w:t>一</w:t>
      </w:r>
      <w:r>
        <w:rPr>
          <w:rStyle w:val="29"/>
          <w:rFonts w:hint="eastAsia" w:ascii="仿宋" w:hAnsi="仿宋" w:eastAsia="仿宋"/>
          <w:b w:val="0"/>
          <w:bCs w:val="0"/>
        </w:rPr>
        <w:t>般公共预算财政拨款支出决算表</w:t>
      </w:r>
      <w:bookmarkEnd w:id="95"/>
      <w:bookmarkEnd w:id="96"/>
    </w:p>
    <w:p w14:paraId="6A50CE78">
      <w:pPr>
        <w:pStyle w:val="6"/>
        <w:rPr>
          <w:rFonts w:ascii="仿宋" w:hAnsi="仿宋" w:eastAsia="仿宋"/>
        </w:rPr>
      </w:pPr>
      <w:bookmarkStart w:id="97" w:name="_Toc15396625"/>
      <w:bookmarkStart w:id="98" w:name="_Toc19347"/>
      <w:r>
        <w:rPr>
          <w:rStyle w:val="29"/>
          <w:rFonts w:hint="eastAsia" w:ascii="仿宋" w:hAnsi="仿宋" w:eastAsia="仿宋"/>
          <w:b w:val="0"/>
          <w:bCs w:val="0"/>
        </w:rPr>
        <w:t>七、</w:t>
      </w:r>
      <w:r>
        <w:rPr>
          <w:rFonts w:hint="eastAsia" w:ascii="仿宋" w:hAnsi="仿宋" w:eastAsia="仿宋"/>
          <w:b w:val="0"/>
        </w:rPr>
        <w:t>一</w:t>
      </w:r>
      <w:r>
        <w:rPr>
          <w:rStyle w:val="29"/>
          <w:rFonts w:hint="eastAsia" w:ascii="仿宋" w:hAnsi="仿宋" w:eastAsia="仿宋"/>
          <w:b w:val="0"/>
          <w:bCs w:val="0"/>
        </w:rPr>
        <w:t>般公共预算财政拨款支出决算明细表</w:t>
      </w:r>
      <w:bookmarkEnd w:id="97"/>
      <w:bookmarkEnd w:id="98"/>
    </w:p>
    <w:p w14:paraId="22A7817E">
      <w:pPr>
        <w:pStyle w:val="6"/>
        <w:rPr>
          <w:rFonts w:ascii="仿宋" w:hAnsi="仿宋" w:eastAsia="仿宋"/>
        </w:rPr>
      </w:pPr>
      <w:bookmarkStart w:id="99" w:name="_Toc10615"/>
      <w:bookmarkStart w:id="100" w:name="_Toc15396626"/>
      <w:r>
        <w:rPr>
          <w:rStyle w:val="29"/>
          <w:rFonts w:hint="eastAsia" w:ascii="仿宋" w:hAnsi="仿宋" w:eastAsia="仿宋"/>
          <w:b w:val="0"/>
          <w:bCs w:val="0"/>
        </w:rPr>
        <w:t>八、</w:t>
      </w:r>
      <w:r>
        <w:rPr>
          <w:rFonts w:hint="eastAsia" w:ascii="仿宋" w:hAnsi="仿宋" w:eastAsia="仿宋"/>
          <w:b w:val="0"/>
        </w:rPr>
        <w:t>一</w:t>
      </w:r>
      <w:r>
        <w:rPr>
          <w:rStyle w:val="29"/>
          <w:rFonts w:hint="eastAsia" w:ascii="仿宋" w:hAnsi="仿宋" w:eastAsia="仿宋"/>
          <w:b w:val="0"/>
          <w:bCs w:val="0"/>
        </w:rPr>
        <w:t>般公共预算财政拨款基本支出决算表</w:t>
      </w:r>
      <w:bookmarkEnd w:id="99"/>
      <w:bookmarkEnd w:id="100"/>
    </w:p>
    <w:p w14:paraId="25A494D7">
      <w:pPr>
        <w:pStyle w:val="6"/>
        <w:rPr>
          <w:rFonts w:ascii="仿宋" w:hAnsi="仿宋" w:eastAsia="仿宋"/>
        </w:rPr>
      </w:pPr>
      <w:bookmarkStart w:id="101" w:name="_Toc31815"/>
      <w:bookmarkStart w:id="102" w:name="_Toc15396627"/>
      <w:r>
        <w:rPr>
          <w:rStyle w:val="29"/>
          <w:rFonts w:hint="eastAsia" w:ascii="仿宋" w:hAnsi="仿宋" w:eastAsia="仿宋"/>
          <w:b w:val="0"/>
          <w:bCs w:val="0"/>
        </w:rPr>
        <w:t>九、</w:t>
      </w:r>
      <w:r>
        <w:rPr>
          <w:rFonts w:hint="eastAsia" w:ascii="仿宋" w:hAnsi="仿宋" w:eastAsia="仿宋"/>
          <w:b w:val="0"/>
        </w:rPr>
        <w:t>一</w:t>
      </w:r>
      <w:r>
        <w:rPr>
          <w:rStyle w:val="29"/>
          <w:rFonts w:hint="eastAsia" w:ascii="仿宋" w:hAnsi="仿宋" w:eastAsia="仿宋"/>
          <w:b w:val="0"/>
          <w:bCs w:val="0"/>
        </w:rPr>
        <w:t>般公共预算财政拨款项目支出决算表</w:t>
      </w:r>
      <w:bookmarkEnd w:id="101"/>
      <w:bookmarkEnd w:id="102"/>
    </w:p>
    <w:p w14:paraId="578FBC09">
      <w:pPr>
        <w:pStyle w:val="6"/>
        <w:rPr>
          <w:rFonts w:ascii="仿宋" w:hAnsi="仿宋" w:eastAsia="仿宋"/>
        </w:rPr>
      </w:pPr>
      <w:bookmarkStart w:id="103" w:name="_Toc15396628"/>
      <w:bookmarkStart w:id="104" w:name="_Toc28621"/>
      <w:r>
        <w:rPr>
          <w:rStyle w:val="29"/>
          <w:rFonts w:hint="eastAsia" w:ascii="仿宋" w:hAnsi="仿宋" w:eastAsia="仿宋"/>
          <w:b w:val="0"/>
          <w:bCs w:val="0"/>
        </w:rPr>
        <w:t>十、</w:t>
      </w:r>
      <w:bookmarkEnd w:id="103"/>
      <w:r>
        <w:rPr>
          <w:rFonts w:hint="eastAsia" w:ascii="仿宋" w:hAnsi="仿宋" w:eastAsia="仿宋"/>
          <w:b w:val="0"/>
        </w:rPr>
        <w:t>政</w:t>
      </w:r>
      <w:r>
        <w:rPr>
          <w:rStyle w:val="29"/>
          <w:rFonts w:hint="eastAsia" w:ascii="仿宋" w:hAnsi="仿宋" w:eastAsia="仿宋"/>
          <w:b w:val="0"/>
          <w:bCs w:val="0"/>
        </w:rPr>
        <w:t>府性基金预算财政拨款收入支出决算表</w:t>
      </w:r>
      <w:bookmarkEnd w:id="104"/>
    </w:p>
    <w:p w14:paraId="4A543024">
      <w:pPr>
        <w:pStyle w:val="6"/>
        <w:rPr>
          <w:rFonts w:ascii="仿宋" w:hAnsi="仿宋" w:eastAsia="仿宋"/>
        </w:rPr>
      </w:pPr>
      <w:bookmarkStart w:id="105" w:name="_Toc15396629"/>
      <w:bookmarkStart w:id="106" w:name="_Toc32006"/>
      <w:r>
        <w:rPr>
          <w:rStyle w:val="29"/>
          <w:rFonts w:hint="eastAsia" w:ascii="仿宋" w:hAnsi="仿宋" w:eastAsia="仿宋"/>
          <w:b w:val="0"/>
          <w:bCs w:val="0"/>
        </w:rPr>
        <w:t>十一、</w:t>
      </w:r>
      <w:bookmarkEnd w:id="105"/>
      <w:r>
        <w:rPr>
          <w:rFonts w:hint="eastAsia" w:ascii="仿宋" w:hAnsi="仿宋" w:eastAsia="仿宋"/>
          <w:b w:val="0"/>
        </w:rPr>
        <w:t>国</w:t>
      </w:r>
      <w:r>
        <w:rPr>
          <w:rStyle w:val="29"/>
          <w:rFonts w:hint="eastAsia" w:ascii="仿宋" w:hAnsi="仿宋" w:eastAsia="仿宋"/>
          <w:b w:val="0"/>
          <w:bCs w:val="0"/>
        </w:rPr>
        <w:t>有资本经营预算财政拨款收入支出决算表</w:t>
      </w:r>
      <w:bookmarkEnd w:id="106"/>
    </w:p>
    <w:p w14:paraId="05778B18">
      <w:pPr>
        <w:pStyle w:val="6"/>
        <w:rPr>
          <w:rFonts w:ascii="仿宋" w:hAnsi="仿宋" w:eastAsia="仿宋"/>
        </w:rPr>
      </w:pPr>
      <w:bookmarkStart w:id="107" w:name="_Toc15396630"/>
      <w:bookmarkStart w:id="108" w:name="_Toc23278"/>
      <w:r>
        <w:rPr>
          <w:rStyle w:val="29"/>
          <w:rFonts w:hint="eastAsia" w:ascii="仿宋" w:hAnsi="仿宋" w:eastAsia="仿宋"/>
          <w:b w:val="0"/>
          <w:bCs w:val="0"/>
        </w:rPr>
        <w:t>十二、</w:t>
      </w:r>
      <w:bookmarkEnd w:id="107"/>
      <w:r>
        <w:rPr>
          <w:rStyle w:val="29"/>
          <w:rFonts w:hint="eastAsia" w:ascii="仿宋" w:hAnsi="仿宋" w:eastAsia="仿宋"/>
          <w:b w:val="0"/>
          <w:bCs w:val="0"/>
        </w:rPr>
        <w:t>国有资本经营预算财政拨款支出决算表</w:t>
      </w:r>
      <w:bookmarkEnd w:id="108"/>
    </w:p>
    <w:p w14:paraId="1CBAE306">
      <w:pPr>
        <w:pStyle w:val="6"/>
        <w:rPr>
          <w:rFonts w:eastAsia="仿宋"/>
        </w:rPr>
      </w:pPr>
      <w:bookmarkStart w:id="109" w:name="_Toc15396631"/>
      <w:bookmarkStart w:id="110" w:name="_Toc14772"/>
      <w:r>
        <w:rPr>
          <w:rStyle w:val="29"/>
          <w:rFonts w:hint="eastAsia" w:ascii="仿宋" w:hAnsi="仿宋" w:eastAsia="仿宋"/>
          <w:b w:val="0"/>
          <w:bCs w:val="0"/>
        </w:rPr>
        <w:t>十三、</w:t>
      </w:r>
      <w:bookmarkEnd w:id="109"/>
      <w:r>
        <w:rPr>
          <w:rStyle w:val="29"/>
          <w:rFonts w:hint="eastAsia" w:ascii="仿宋" w:hAnsi="仿宋" w:eastAsia="仿宋"/>
          <w:b w:val="0"/>
          <w:bCs w:val="0"/>
        </w:rPr>
        <w:t>财政拨款“三公”经费支出决算表</w:t>
      </w:r>
      <w:bookmarkEnd w:id="110"/>
    </w:p>
    <w:sectPr>
      <w:headerReference r:id="rId3" w:type="default"/>
      <w:footerReference r:id="rId4" w:type="default"/>
      <w:pgSz w:w="11906" w:h="16838"/>
      <w:pgMar w:top="1440" w:right="1800" w:bottom="1440" w:left="1800"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2010601030101010101"/>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94781956"/>
    </w:sdtPr>
    <w:sdtContent>
      <w:p w14:paraId="36473B90">
        <w:pPr>
          <w:pStyle w:val="11"/>
          <w:jc w:val="center"/>
        </w:pPr>
        <w:r>
          <w:fldChar w:fldCharType="begin"/>
        </w:r>
        <w:r>
          <w:instrText xml:space="preserve">PAGE   \* MERGEFORMAT</w:instrText>
        </w:r>
        <w:r>
          <w:fldChar w:fldCharType="separate"/>
        </w:r>
        <w:r>
          <w:rPr>
            <w:lang w:val="zh-CN"/>
          </w:rPr>
          <w:t>15</w:t>
        </w:r>
        <w:r>
          <w:fldChar w:fldCharType="end"/>
        </w:r>
      </w:p>
    </w:sdtContent>
  </w:sdt>
  <w:p w14:paraId="423B1A5E">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EA24A9">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D97AFAAE"/>
    <w:multiLevelType w:val="singleLevel"/>
    <w:tmpl w:val="D97AFAAE"/>
    <w:lvl w:ilvl="0" w:tentative="0">
      <w:start w:val="1"/>
      <w:numFmt w:val="decimal"/>
      <w:lvlText w:val="%1."/>
      <w:lvlJc w:val="left"/>
      <w:pPr>
        <w:tabs>
          <w:tab w:val="left" w:pos="312"/>
        </w:tabs>
      </w:pPr>
    </w:lvl>
  </w:abstractNum>
  <w:abstractNum w:abstractNumId="2">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3">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4">
    <w:nsid w:val="27CABA4E"/>
    <w:multiLevelType w:val="singleLevel"/>
    <w:tmpl w:val="27CABA4E"/>
    <w:lvl w:ilvl="0" w:tentative="0">
      <w:start w:val="1"/>
      <w:numFmt w:val="decimal"/>
      <w:lvlText w:val="%1."/>
      <w:lvlJc w:val="left"/>
      <w:pPr>
        <w:tabs>
          <w:tab w:val="left" w:pos="312"/>
        </w:tabs>
      </w:pPr>
    </w:lvl>
  </w:abstractNum>
  <w:num w:numId="1">
    <w:abstractNumId w:val="3"/>
  </w:num>
  <w:num w:numId="2">
    <w:abstractNumId w:val="1"/>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MxYmIxOGQyMmFkYzIxMGJmYTcyYWQyNzc5MmRhZDE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A1DAD"/>
    <w:rsid w:val="001C0962"/>
    <w:rsid w:val="001D7531"/>
    <w:rsid w:val="001E737D"/>
    <w:rsid w:val="001F0592"/>
    <w:rsid w:val="001F7506"/>
    <w:rsid w:val="002006CD"/>
    <w:rsid w:val="00202B36"/>
    <w:rsid w:val="00204B7A"/>
    <w:rsid w:val="00204CDE"/>
    <w:rsid w:val="00206907"/>
    <w:rsid w:val="0021101A"/>
    <w:rsid w:val="00212B4A"/>
    <w:rsid w:val="00220536"/>
    <w:rsid w:val="00235629"/>
    <w:rsid w:val="00260C38"/>
    <w:rsid w:val="002616C0"/>
    <w:rsid w:val="00265372"/>
    <w:rsid w:val="002662AA"/>
    <w:rsid w:val="00280496"/>
    <w:rsid w:val="00294DC9"/>
    <w:rsid w:val="00295495"/>
    <w:rsid w:val="002A31DE"/>
    <w:rsid w:val="002B2613"/>
    <w:rsid w:val="002C5004"/>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25C50"/>
    <w:rsid w:val="0043177C"/>
    <w:rsid w:val="00434489"/>
    <w:rsid w:val="00437085"/>
    <w:rsid w:val="00443880"/>
    <w:rsid w:val="004464F4"/>
    <w:rsid w:val="0046049C"/>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533CF"/>
    <w:rsid w:val="005664BB"/>
    <w:rsid w:val="00566FFA"/>
    <w:rsid w:val="0057481D"/>
    <w:rsid w:val="0058486E"/>
    <w:rsid w:val="00585B33"/>
    <w:rsid w:val="0059014D"/>
    <w:rsid w:val="005B5C64"/>
    <w:rsid w:val="005B6E8A"/>
    <w:rsid w:val="005C5337"/>
    <w:rsid w:val="005C6BD0"/>
    <w:rsid w:val="005D1C8B"/>
    <w:rsid w:val="005D468D"/>
    <w:rsid w:val="005D5CED"/>
    <w:rsid w:val="005F10BC"/>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55FC5"/>
    <w:rsid w:val="0066343B"/>
    <w:rsid w:val="00664777"/>
    <w:rsid w:val="006748A4"/>
    <w:rsid w:val="00681A31"/>
    <w:rsid w:val="00683E73"/>
    <w:rsid w:val="006A3141"/>
    <w:rsid w:val="006A5E34"/>
    <w:rsid w:val="006B2422"/>
    <w:rsid w:val="006B2B9A"/>
    <w:rsid w:val="006C1937"/>
    <w:rsid w:val="006F020C"/>
    <w:rsid w:val="0071021A"/>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10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C7FD8"/>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1E6F"/>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3DC2831"/>
    <w:rsid w:val="041E1FF7"/>
    <w:rsid w:val="05614FA5"/>
    <w:rsid w:val="081B5E94"/>
    <w:rsid w:val="0A2032A3"/>
    <w:rsid w:val="0B8A37D8"/>
    <w:rsid w:val="0F5FFB2F"/>
    <w:rsid w:val="0FB42CE7"/>
    <w:rsid w:val="0FFFCF60"/>
    <w:rsid w:val="10C055FF"/>
    <w:rsid w:val="118107EC"/>
    <w:rsid w:val="11DD6519"/>
    <w:rsid w:val="12DD3B06"/>
    <w:rsid w:val="16BB723D"/>
    <w:rsid w:val="18015F3F"/>
    <w:rsid w:val="195251D7"/>
    <w:rsid w:val="1AE441BF"/>
    <w:rsid w:val="1BE8440E"/>
    <w:rsid w:val="1D155CEE"/>
    <w:rsid w:val="1DDC7057"/>
    <w:rsid w:val="1FDBBF84"/>
    <w:rsid w:val="20F57F95"/>
    <w:rsid w:val="22950402"/>
    <w:rsid w:val="240371BF"/>
    <w:rsid w:val="25711CC6"/>
    <w:rsid w:val="25C741E6"/>
    <w:rsid w:val="26286DA3"/>
    <w:rsid w:val="276F80C0"/>
    <w:rsid w:val="27842671"/>
    <w:rsid w:val="29FD04D3"/>
    <w:rsid w:val="2ABE7A3E"/>
    <w:rsid w:val="2AFF09B6"/>
    <w:rsid w:val="2CA234A8"/>
    <w:rsid w:val="2EFA178C"/>
    <w:rsid w:val="2EFDF86C"/>
    <w:rsid w:val="2F9D17E1"/>
    <w:rsid w:val="30696D07"/>
    <w:rsid w:val="30B46D73"/>
    <w:rsid w:val="319F7F4E"/>
    <w:rsid w:val="356A28F1"/>
    <w:rsid w:val="357C035A"/>
    <w:rsid w:val="368E000D"/>
    <w:rsid w:val="377F0209"/>
    <w:rsid w:val="383D272C"/>
    <w:rsid w:val="39AE70AB"/>
    <w:rsid w:val="3A4DCE41"/>
    <w:rsid w:val="3BCB56FA"/>
    <w:rsid w:val="3C0C0783"/>
    <w:rsid w:val="3EE7C2F4"/>
    <w:rsid w:val="3F371B56"/>
    <w:rsid w:val="3F792ED8"/>
    <w:rsid w:val="3F9F3A96"/>
    <w:rsid w:val="3FECA4B2"/>
    <w:rsid w:val="3FF58C48"/>
    <w:rsid w:val="41F01D16"/>
    <w:rsid w:val="42FF6694"/>
    <w:rsid w:val="48BF60AB"/>
    <w:rsid w:val="493C27E9"/>
    <w:rsid w:val="496F39ED"/>
    <w:rsid w:val="49A70CD9"/>
    <w:rsid w:val="49FF41D3"/>
    <w:rsid w:val="4BE068DB"/>
    <w:rsid w:val="4BF6002B"/>
    <w:rsid w:val="4BFFC6BE"/>
    <w:rsid w:val="4ECE2238"/>
    <w:rsid w:val="51DB4B86"/>
    <w:rsid w:val="51F64DB0"/>
    <w:rsid w:val="551408A9"/>
    <w:rsid w:val="55333C3E"/>
    <w:rsid w:val="5F67802D"/>
    <w:rsid w:val="5F7DC4F2"/>
    <w:rsid w:val="5FB36814"/>
    <w:rsid w:val="5FBB8E56"/>
    <w:rsid w:val="5FFB5535"/>
    <w:rsid w:val="64CA39A1"/>
    <w:rsid w:val="69630ADE"/>
    <w:rsid w:val="69BD5F13"/>
    <w:rsid w:val="69FB0B4B"/>
    <w:rsid w:val="6BFFE1FB"/>
    <w:rsid w:val="6C4A05C8"/>
    <w:rsid w:val="6D3B1A89"/>
    <w:rsid w:val="6DB7D8A3"/>
    <w:rsid w:val="6EC78701"/>
    <w:rsid w:val="6F7A5481"/>
    <w:rsid w:val="6FFE07A9"/>
    <w:rsid w:val="70D250CC"/>
    <w:rsid w:val="7121017E"/>
    <w:rsid w:val="71BF4EC2"/>
    <w:rsid w:val="72734D90"/>
    <w:rsid w:val="73E75B71"/>
    <w:rsid w:val="7412278C"/>
    <w:rsid w:val="75DDCDA9"/>
    <w:rsid w:val="75FF44B1"/>
    <w:rsid w:val="77670518"/>
    <w:rsid w:val="777FA627"/>
    <w:rsid w:val="77DF1B5F"/>
    <w:rsid w:val="77EF2D9D"/>
    <w:rsid w:val="79E7B28D"/>
    <w:rsid w:val="7ACFF0C2"/>
    <w:rsid w:val="7AFB9108"/>
    <w:rsid w:val="7BD5340C"/>
    <w:rsid w:val="7BFB19D2"/>
    <w:rsid w:val="7BFD1750"/>
    <w:rsid w:val="7BFDAA1B"/>
    <w:rsid w:val="7CDF9A82"/>
    <w:rsid w:val="7CFFA1BD"/>
    <w:rsid w:val="7D2E3F7A"/>
    <w:rsid w:val="7DED9490"/>
    <w:rsid w:val="7DFF4872"/>
    <w:rsid w:val="7E7487E6"/>
    <w:rsid w:val="7E7C2A54"/>
    <w:rsid w:val="7EEEFD72"/>
    <w:rsid w:val="7F1D517C"/>
    <w:rsid w:val="7F5DA057"/>
    <w:rsid w:val="7F6C2237"/>
    <w:rsid w:val="7F7F319B"/>
    <w:rsid w:val="7F9F20EE"/>
    <w:rsid w:val="7FBBE890"/>
    <w:rsid w:val="7FBC2ABD"/>
    <w:rsid w:val="7FBF5D48"/>
    <w:rsid w:val="7FCCFC01"/>
    <w:rsid w:val="7FDD1748"/>
    <w:rsid w:val="7FE769C6"/>
    <w:rsid w:val="7FFD083E"/>
    <w:rsid w:val="7FFF9372"/>
    <w:rsid w:val="84BF1F3B"/>
    <w:rsid w:val="8F55B106"/>
    <w:rsid w:val="95DF317D"/>
    <w:rsid w:val="97E77C70"/>
    <w:rsid w:val="9E3A10E2"/>
    <w:rsid w:val="9FB91FBD"/>
    <w:rsid w:val="9FD54998"/>
    <w:rsid w:val="A671883B"/>
    <w:rsid w:val="A7EFD17F"/>
    <w:rsid w:val="A7FFE43F"/>
    <w:rsid w:val="BDFEA317"/>
    <w:rsid w:val="CD9BBABB"/>
    <w:rsid w:val="CF99F292"/>
    <w:rsid w:val="D5DA60B3"/>
    <w:rsid w:val="D7C6F579"/>
    <w:rsid w:val="D8FECA92"/>
    <w:rsid w:val="DAFFBE66"/>
    <w:rsid w:val="DD2C0BFE"/>
    <w:rsid w:val="DE3F332B"/>
    <w:rsid w:val="DE6F4A3D"/>
    <w:rsid w:val="DF69F8B0"/>
    <w:rsid w:val="DFC71555"/>
    <w:rsid w:val="DFFC559C"/>
    <w:rsid w:val="DFFEDFAE"/>
    <w:rsid w:val="DFFFB5EB"/>
    <w:rsid w:val="E4B33E57"/>
    <w:rsid w:val="E5BF946A"/>
    <w:rsid w:val="EB39BD45"/>
    <w:rsid w:val="EBCF1FC2"/>
    <w:rsid w:val="EBD18F66"/>
    <w:rsid w:val="ED17392C"/>
    <w:rsid w:val="ED9FFD9A"/>
    <w:rsid w:val="EDB7968B"/>
    <w:rsid w:val="EEF73F60"/>
    <w:rsid w:val="EFED9E42"/>
    <w:rsid w:val="EFFFB194"/>
    <w:rsid w:val="F2E1F9D4"/>
    <w:rsid w:val="F5FF7449"/>
    <w:rsid w:val="F7880819"/>
    <w:rsid w:val="F7AF180D"/>
    <w:rsid w:val="F7BDBFA7"/>
    <w:rsid w:val="F7FAD68F"/>
    <w:rsid w:val="F7FB14CF"/>
    <w:rsid w:val="FB3FC69C"/>
    <w:rsid w:val="FBDFF225"/>
    <w:rsid w:val="FBF7AB63"/>
    <w:rsid w:val="FC2F3373"/>
    <w:rsid w:val="FCF51535"/>
    <w:rsid w:val="FD77F6B8"/>
    <w:rsid w:val="FDD69328"/>
    <w:rsid w:val="FDDFEC0E"/>
    <w:rsid w:val="FDE58BDD"/>
    <w:rsid w:val="FDEC7001"/>
    <w:rsid w:val="FEDFE87F"/>
    <w:rsid w:val="FEF1D25B"/>
    <w:rsid w:val="FF3EF90F"/>
    <w:rsid w:val="FFAF6081"/>
    <w:rsid w:val="FFECCD8C"/>
    <w:rsid w:val="FFED60BD"/>
    <w:rsid w:val="FFEE08F0"/>
    <w:rsid w:val="FFEE7F9F"/>
    <w:rsid w:val="FFFF319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5">
    <w:name w:val="heading 1"/>
    <w:basedOn w:val="1"/>
    <w:next w:val="1"/>
    <w:link w:val="28"/>
    <w:qFormat/>
    <w:uiPriority w:val="9"/>
    <w:pPr>
      <w:keepNext/>
      <w:keepLines/>
      <w:spacing w:before="340" w:after="330" w:line="578" w:lineRule="auto"/>
      <w:outlineLvl w:val="0"/>
    </w:pPr>
    <w:rPr>
      <w:b/>
      <w:bCs/>
      <w:kern w:val="44"/>
      <w:sz w:val="44"/>
      <w:szCs w:val="44"/>
    </w:rPr>
  </w:style>
  <w:style w:type="paragraph" w:styleId="6">
    <w:name w:val="heading 2"/>
    <w:basedOn w:val="1"/>
    <w:next w:val="1"/>
    <w:link w:val="29"/>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7">
    <w:name w:val="heading 3"/>
    <w:basedOn w:val="1"/>
    <w:next w:val="1"/>
    <w:link w:val="32"/>
    <w:unhideWhenUsed/>
    <w:qFormat/>
    <w:uiPriority w:val="9"/>
    <w:pPr>
      <w:keepNext/>
      <w:keepLines/>
      <w:spacing w:before="260" w:after="260" w:line="416" w:lineRule="auto"/>
      <w:outlineLvl w:val="2"/>
    </w:pPr>
    <w:rPr>
      <w:b/>
      <w:bCs/>
      <w:sz w:val="32"/>
      <w:szCs w:val="32"/>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footnote text"/>
    <w:basedOn w:val="1"/>
    <w:next w:val="3"/>
    <w:semiHidden/>
    <w:qFormat/>
    <w:uiPriority w:val="99"/>
    <w:pPr>
      <w:snapToGrid w:val="0"/>
      <w:jc w:val="left"/>
    </w:pPr>
    <w:rPr>
      <w:sz w:val="18"/>
      <w:szCs w:val="18"/>
    </w:rPr>
  </w:style>
  <w:style w:type="paragraph" w:styleId="3">
    <w:name w:val="Body Text First Indent 2"/>
    <w:basedOn w:val="4"/>
    <w:unhideWhenUsed/>
    <w:qFormat/>
    <w:uiPriority w:val="99"/>
    <w:pPr>
      <w:ind w:firstLine="420" w:firstLineChars="200"/>
    </w:pPr>
  </w:style>
  <w:style w:type="paragraph" w:styleId="4">
    <w:name w:val="Body Text Indent"/>
    <w:basedOn w:val="1"/>
    <w:next w:val="3"/>
    <w:qFormat/>
    <w:uiPriority w:val="0"/>
    <w:pPr>
      <w:spacing w:after="120"/>
      <w:ind w:left="200" w:leftChars="200"/>
    </w:pPr>
    <w:rPr>
      <w:rFonts w:ascii="仿宋_GB2312"/>
      <w:szCs w:val="32"/>
    </w:rPr>
  </w:style>
  <w:style w:type="paragraph" w:styleId="8">
    <w:name w:val="Body Text"/>
    <w:basedOn w:val="1"/>
    <w:link w:val="25"/>
    <w:qFormat/>
    <w:uiPriority w:val="99"/>
    <w:pPr>
      <w:spacing w:beforeLines="30"/>
    </w:pPr>
    <w:rPr>
      <w:rFonts w:ascii="仿宋_GB2312" w:eastAsia="仿宋_GB2312"/>
      <w:kern w:val="0"/>
      <w:sz w:val="30"/>
    </w:rPr>
  </w:style>
  <w:style w:type="paragraph" w:styleId="9">
    <w:name w:val="toc 3"/>
    <w:basedOn w:val="1"/>
    <w:next w:val="1"/>
    <w:unhideWhenUsed/>
    <w:qFormat/>
    <w:uiPriority w:val="39"/>
    <w:pPr>
      <w:tabs>
        <w:tab w:val="right" w:leader="dot" w:pos="8296"/>
      </w:tabs>
      <w:ind w:left="840" w:leftChars="400"/>
    </w:pPr>
  </w:style>
  <w:style w:type="paragraph" w:styleId="10">
    <w:name w:val="Balloon Text"/>
    <w:basedOn w:val="1"/>
    <w:link w:val="31"/>
    <w:semiHidden/>
    <w:unhideWhenUsed/>
    <w:qFormat/>
    <w:uiPriority w:val="99"/>
    <w:rPr>
      <w:sz w:val="18"/>
      <w:szCs w:val="18"/>
    </w:rPr>
  </w:style>
  <w:style w:type="paragraph" w:styleId="11">
    <w:name w:val="footer"/>
    <w:basedOn w:val="1"/>
    <w:link w:val="23"/>
    <w:qFormat/>
    <w:uiPriority w:val="99"/>
    <w:pPr>
      <w:tabs>
        <w:tab w:val="center" w:pos="4153"/>
        <w:tab w:val="right" w:pos="8306"/>
      </w:tabs>
      <w:snapToGrid w:val="0"/>
      <w:jc w:val="left"/>
    </w:pPr>
    <w:rPr>
      <w:rFonts w:ascii="Calibri" w:hAnsi="Calibri"/>
      <w:kern w:val="0"/>
      <w:sz w:val="18"/>
      <w:szCs w:val="18"/>
    </w:rPr>
  </w:style>
  <w:style w:type="paragraph" w:styleId="12">
    <w:name w:val="header"/>
    <w:basedOn w:val="1"/>
    <w:link w:val="21"/>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3">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4">
    <w:name w:val="toc 2"/>
    <w:basedOn w:val="1"/>
    <w:next w:val="1"/>
    <w:unhideWhenUsed/>
    <w:qFormat/>
    <w:uiPriority w:val="39"/>
    <w:pPr>
      <w:tabs>
        <w:tab w:val="right" w:leader="dot" w:pos="8296"/>
      </w:tabs>
      <w:ind w:left="420" w:leftChars="200"/>
    </w:pPr>
  </w:style>
  <w:style w:type="character" w:styleId="17">
    <w:name w:val="Strong"/>
    <w:basedOn w:val="16"/>
    <w:qFormat/>
    <w:uiPriority w:val="99"/>
    <w:rPr>
      <w:b/>
    </w:rPr>
  </w:style>
  <w:style w:type="character" w:styleId="18">
    <w:name w:val="Hyperlink"/>
    <w:basedOn w:val="16"/>
    <w:unhideWhenUsed/>
    <w:qFormat/>
    <w:uiPriority w:val="99"/>
    <w:rPr>
      <w:color w:val="0000FF" w:themeColor="hyperlink"/>
      <w:u w:val="single"/>
      <w14:textFill>
        <w14:solidFill>
          <w14:schemeClr w14:val="hlink"/>
        </w14:solidFill>
      </w14:textFill>
    </w:rPr>
  </w:style>
  <w:style w:type="paragraph" w:customStyle="1" w:styleId="19">
    <w:name w:val="标题 5（有编号）（绿盟科技）"/>
    <w:next w:val="1"/>
    <w:qFormat/>
    <w:uiPriority w:val="99"/>
    <w:pPr>
      <w:keepNext/>
      <w:keepLines/>
      <w:widowControl w:val="0"/>
      <w:spacing w:before="280" w:after="156" w:line="377" w:lineRule="auto"/>
      <w:outlineLvl w:val="4"/>
    </w:pPr>
    <w:rPr>
      <w:rFonts w:ascii="Arial" w:hAnsi="Arial" w:eastAsia="黑体" w:cs="Times New Roman"/>
      <w:b/>
      <w:kern w:val="2"/>
      <w:sz w:val="24"/>
      <w:szCs w:val="28"/>
      <w:lang w:val="en-US" w:eastAsia="zh-CN" w:bidi="ar-SA"/>
    </w:rPr>
  </w:style>
  <w:style w:type="character" w:customStyle="1" w:styleId="20">
    <w:name w:val="Header Char"/>
    <w:basedOn w:val="16"/>
    <w:semiHidden/>
    <w:qFormat/>
    <w:uiPriority w:val="99"/>
    <w:rPr>
      <w:rFonts w:ascii="Times New Roman" w:hAnsi="Times New Roman"/>
      <w:sz w:val="18"/>
      <w:szCs w:val="18"/>
    </w:rPr>
  </w:style>
  <w:style w:type="character" w:customStyle="1" w:styleId="21">
    <w:name w:val="页眉 字符"/>
    <w:link w:val="12"/>
    <w:semiHidden/>
    <w:qFormat/>
    <w:locked/>
    <w:uiPriority w:val="99"/>
    <w:rPr>
      <w:sz w:val="18"/>
    </w:rPr>
  </w:style>
  <w:style w:type="character" w:customStyle="1" w:styleId="22">
    <w:name w:val="Footer Char"/>
    <w:basedOn w:val="16"/>
    <w:semiHidden/>
    <w:qFormat/>
    <w:uiPriority w:val="99"/>
    <w:rPr>
      <w:rFonts w:ascii="Times New Roman" w:hAnsi="Times New Roman"/>
      <w:sz w:val="18"/>
      <w:szCs w:val="18"/>
    </w:rPr>
  </w:style>
  <w:style w:type="character" w:customStyle="1" w:styleId="23">
    <w:name w:val="页脚 字符"/>
    <w:link w:val="11"/>
    <w:qFormat/>
    <w:locked/>
    <w:uiPriority w:val="99"/>
    <w:rPr>
      <w:sz w:val="18"/>
    </w:rPr>
  </w:style>
  <w:style w:type="character" w:customStyle="1" w:styleId="24">
    <w:name w:val="Body Text Char"/>
    <w:basedOn w:val="16"/>
    <w:semiHidden/>
    <w:qFormat/>
    <w:uiPriority w:val="99"/>
    <w:rPr>
      <w:rFonts w:ascii="Times New Roman" w:hAnsi="Times New Roman"/>
      <w:szCs w:val="24"/>
    </w:rPr>
  </w:style>
  <w:style w:type="character" w:customStyle="1" w:styleId="25">
    <w:name w:val="正文文本 字符"/>
    <w:link w:val="8"/>
    <w:qFormat/>
    <w:locked/>
    <w:uiPriority w:val="99"/>
    <w:rPr>
      <w:rFonts w:ascii="仿宋_GB2312" w:hAnsi="Times New Roman" w:eastAsia="仿宋_GB2312"/>
      <w:sz w:val="24"/>
    </w:rPr>
  </w:style>
  <w:style w:type="paragraph" w:customStyle="1" w:styleId="26">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7">
    <w:name w:val="List Paragraph"/>
    <w:basedOn w:val="1"/>
    <w:qFormat/>
    <w:uiPriority w:val="34"/>
    <w:pPr>
      <w:ind w:firstLine="420" w:firstLineChars="200"/>
    </w:pPr>
  </w:style>
  <w:style w:type="character" w:customStyle="1" w:styleId="28">
    <w:name w:val="标题 1 字符"/>
    <w:basedOn w:val="16"/>
    <w:link w:val="5"/>
    <w:qFormat/>
    <w:uiPriority w:val="9"/>
    <w:rPr>
      <w:rFonts w:ascii="Times New Roman" w:hAnsi="Times New Roman"/>
      <w:b/>
      <w:bCs/>
      <w:kern w:val="44"/>
      <w:sz w:val="44"/>
      <w:szCs w:val="44"/>
    </w:rPr>
  </w:style>
  <w:style w:type="character" w:customStyle="1" w:styleId="29">
    <w:name w:val="标题 2 字符"/>
    <w:basedOn w:val="16"/>
    <w:link w:val="6"/>
    <w:qFormat/>
    <w:uiPriority w:val="9"/>
    <w:rPr>
      <w:rFonts w:asciiTheme="majorHAnsi" w:hAnsiTheme="majorHAnsi" w:eastAsiaTheme="majorEastAsia" w:cstheme="majorBidi"/>
      <w:b/>
      <w:bCs/>
      <w:kern w:val="2"/>
      <w:sz w:val="32"/>
      <w:szCs w:val="32"/>
    </w:rPr>
  </w:style>
  <w:style w:type="paragraph" w:customStyle="1" w:styleId="30">
    <w:name w:val="TOC 标题1"/>
    <w:basedOn w:val="5"/>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1">
    <w:name w:val="批注框文本 字符"/>
    <w:basedOn w:val="16"/>
    <w:link w:val="10"/>
    <w:semiHidden/>
    <w:qFormat/>
    <w:uiPriority w:val="99"/>
    <w:rPr>
      <w:rFonts w:ascii="Times New Roman" w:hAnsi="Times New Roman"/>
      <w:kern w:val="2"/>
      <w:sz w:val="18"/>
      <w:szCs w:val="18"/>
    </w:rPr>
  </w:style>
  <w:style w:type="character" w:customStyle="1" w:styleId="32">
    <w:name w:val="标题 3 字符"/>
    <w:basedOn w:val="16"/>
    <w:link w:val="7"/>
    <w:qFormat/>
    <w:uiPriority w:val="9"/>
    <w:rPr>
      <w:rFonts w:ascii="Times New Roman" w:hAnsi="Times New Roman"/>
      <w:b/>
      <w:bCs/>
      <w:kern w:val="2"/>
      <w:sz w:val="32"/>
      <w:szCs w:val="32"/>
    </w:rPr>
  </w:style>
  <w:style w:type="paragraph" w:customStyle="1" w:styleId="33">
    <w:name w:val="TOC 标题2"/>
    <w:basedOn w:val="5"/>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4">
    <w:name w:val="WPSOffice手动目录 1"/>
    <w:qFormat/>
    <w:uiPriority w:val="0"/>
    <w:pPr>
      <w:ind w:leftChars="0"/>
    </w:pPr>
    <w:rPr>
      <w:rFonts w:ascii="Times New Roman" w:hAnsi="Times New Roman" w:eastAsia="宋体" w:cs="Times New Roman"/>
      <w:sz w:val="20"/>
      <w:szCs w:val="20"/>
    </w:rPr>
  </w:style>
  <w:style w:type="paragraph" w:customStyle="1" w:styleId="35">
    <w:name w:val="WPSOffice手动目录 2"/>
    <w:qFormat/>
    <w:uiPriority w:val="0"/>
    <w:pPr>
      <w:ind w:leftChars="200"/>
    </w:pPr>
    <w:rPr>
      <w:rFonts w:ascii="Times New Roman" w:hAnsi="Times New Roman" w:eastAsia="宋体" w:cs="Times New Roman"/>
      <w:sz w:val="20"/>
      <w:szCs w:val="20"/>
    </w:rPr>
  </w:style>
  <w:style w:type="paragraph" w:customStyle="1" w:styleId="36">
    <w:name w:val="WPSOffice手动目录 3"/>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chart" Target="charts/chart4.xml"/><Relationship Id="rId8" Type="http://schemas.openxmlformats.org/officeDocument/2006/relationships/chart" Target="charts/chart3.xml"/><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hart" Target="charts/chart7.xml"/><Relationship Id="rId11" Type="http://schemas.openxmlformats.org/officeDocument/2006/relationships/chart" Target="charts/chart6.xml"/><Relationship Id="rId10" Type="http://schemas.openxmlformats.org/officeDocument/2006/relationships/chart" Target="charts/chart5.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oleObject" Target="&#24037;&#20316;&#31807;1"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oleObject" Target="&#24037;&#20316;&#31807;1" TargetMode="External"/></Relationships>
</file>

<file path=word/charts/_rels/chart3.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oleObject" Target="&#24037;&#20316;&#31807;1" TargetMode="External"/></Relationships>
</file>

<file path=word/charts/_rels/chart4.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24037;&#20316;&#31807;1" TargetMode="External"/></Relationships>
</file>

<file path=word/charts/_rels/chart5.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oleObject" Target="&#24037;&#20316;&#31807;1" TargetMode="External"/></Relationships>
</file>

<file path=word/charts/_rels/chart6.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oleObject" Target="&#24037;&#20316;&#31807;1" TargetMode="External"/></Relationships>
</file>

<file path=word/charts/_rels/chart7.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24037;&#20316;&#31807;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收、支决算总计变动情况图</a:t>
            </a:r>
          </a:p>
        </c:rich>
      </c:tx>
      <c:layout/>
      <c:overlay val="0"/>
      <c:spPr>
        <a:noFill/>
        <a:ln>
          <a:noFill/>
        </a:ln>
        <a:effectLst/>
      </c:sp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trendline>
            <c:spPr>
              <a:ln w="19050" cap="rnd">
                <a:solidFill>
                  <a:schemeClr val="accent1"/>
                </a:solidFill>
                <a:prstDash val="sysDot"/>
              </a:ln>
              <a:effectLst/>
            </c:spPr>
            <c:trendlineType val="linear"/>
            <c:dispRSqr val="0"/>
            <c:dispEq val="0"/>
          </c:trendline>
          <c:cat>
            <c:strRef>
              <c:f>[工作簿1]Sheet1!$A$1:$B$1</c:f>
              <c:strCache>
                <c:ptCount val="2"/>
                <c:pt idx="0">
                  <c:v>2023年</c:v>
                </c:pt>
                <c:pt idx="1">
                  <c:v>2022年</c:v>
                </c:pt>
              </c:strCache>
            </c:strRef>
          </c:cat>
          <c:val>
            <c:numRef>
              <c:f>[工作簿1]Sheet1!$A$2:$B$2</c:f>
              <c:numCache>
                <c:formatCode>General</c:formatCode>
                <c:ptCount val="2"/>
                <c:pt idx="0">
                  <c:v>174.27</c:v>
                </c:pt>
                <c:pt idx="1">
                  <c:v>167.67</c:v>
                </c:pt>
              </c:numCache>
            </c:numRef>
          </c:val>
        </c:ser>
        <c:dLbls>
          <c:showLegendKey val="0"/>
          <c:showVal val="1"/>
          <c:showCatName val="0"/>
          <c:showSerName val="0"/>
          <c:showPercent val="0"/>
          <c:showBubbleSize val="0"/>
        </c:dLbls>
        <c:gapWidth val="219"/>
        <c:overlap val="-27"/>
        <c:axId val="73117028"/>
        <c:axId val="579751223"/>
      </c:barChart>
      <c:catAx>
        <c:axId val="73117028"/>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579751223"/>
        <c:crosses val="autoZero"/>
        <c:auto val="1"/>
        <c:lblAlgn val="ctr"/>
        <c:lblOffset val="100"/>
        <c:noMultiLvlLbl val="0"/>
      </c:catAx>
      <c:valAx>
        <c:axId val="579751223"/>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3117028"/>
        <c:crosses val="autoZero"/>
        <c:crossBetween val="between"/>
      </c:valAx>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pieChart>
        <c:varyColors val="1"/>
        <c:ser>
          <c:idx val="0"/>
          <c:order val="0"/>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[工作簿1]Sheet1!$F$1:$G$1</c:f>
              <c:strCache>
                <c:ptCount val="2"/>
                <c:pt idx="0">
                  <c:v>一般公共预算财政拨款收入</c:v>
                </c:pt>
                <c:pt idx="1">
                  <c:v>事业收入</c:v>
                </c:pt>
              </c:strCache>
            </c:strRef>
          </c:cat>
          <c:val>
            <c:numRef>
              <c:f>[工作簿1]Sheet1!$F$2:$G$2</c:f>
              <c:numCache>
                <c:formatCode>General</c:formatCode>
                <c:ptCount val="2"/>
                <c:pt idx="0">
                  <c:v>171.48</c:v>
                </c:pt>
                <c:pt idx="1">
                  <c:v>2.79</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支出决算结构图</a:t>
            </a:r>
          </a:p>
        </c:rich>
      </c:tx>
      <c:layout/>
      <c:overlay val="0"/>
      <c:spPr>
        <a:noFill/>
        <a:ln>
          <a:noFill/>
        </a:ln>
        <a:effectLst/>
      </c:spPr>
    </c:title>
    <c:autoTitleDeleted val="0"/>
    <c:plotArea>
      <c:layout/>
      <c:pieChart>
        <c:varyColors val="1"/>
        <c:ser>
          <c:idx val="0"/>
          <c:order val="0"/>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[工作簿1]Sheet1!$F$1:$G$1</c:f>
              <c:strCache>
                <c:ptCount val="2"/>
                <c:pt idx="0">
                  <c:v>基本支出</c:v>
                </c:pt>
                <c:pt idx="1">
                  <c:v>项目支出</c:v>
                </c:pt>
              </c:strCache>
            </c:strRef>
          </c:cat>
          <c:val>
            <c:numRef>
              <c:f>[工作簿1]Sheet1!$F$2:$G$2</c:f>
              <c:numCache>
                <c:formatCode>General</c:formatCode>
                <c:ptCount val="2"/>
                <c:pt idx="0">
                  <c:v>151.04</c:v>
                </c:pt>
                <c:pt idx="1">
                  <c:v>23.23</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4"/>
    </mc:Choice>
    <mc:Fallback>
      <c:style val="4"/>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财政拨款收、支决算总计变动情况</a:t>
            </a:r>
          </a:p>
        </c:rich>
      </c:tx>
      <c:layout>
        <c:manualLayout>
          <c:xMode val="edge"/>
          <c:yMode val="edge"/>
          <c:x val="0.274861111111111"/>
          <c:y val="0.0347222222222222"/>
        </c:manualLayout>
      </c:layout>
      <c:overlay val="0"/>
      <c:spPr>
        <a:noFill/>
        <a:ln>
          <a:noFill/>
        </a:ln>
        <a:effectLst/>
      </c:spPr>
    </c:title>
    <c:autoTitleDeleted val="0"/>
    <c:plotArea>
      <c:layout/>
      <c:barChart>
        <c:barDir val="col"/>
        <c:grouping val="clustered"/>
        <c:varyColors val="0"/>
        <c:ser>
          <c:idx val="0"/>
          <c:order val="0"/>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trendline>
            <c:spPr>
              <a:ln w="19050" cap="rnd">
                <a:solidFill>
                  <a:schemeClr val="accent2"/>
                </a:solidFill>
                <a:prstDash val="sysDot"/>
              </a:ln>
              <a:effectLst/>
            </c:spPr>
            <c:trendlineType val="linear"/>
            <c:dispRSqr val="0"/>
            <c:dispEq val="0"/>
          </c:trendline>
          <c:cat>
            <c:strRef>
              <c:f>[工作簿1]Sheet1!$F$1:$G$1</c:f>
              <c:strCache>
                <c:ptCount val="2"/>
                <c:pt idx="0">
                  <c:v>2022年</c:v>
                </c:pt>
                <c:pt idx="1">
                  <c:v>2023年</c:v>
                </c:pt>
              </c:strCache>
            </c:strRef>
          </c:cat>
          <c:val>
            <c:numRef>
              <c:f>[工作簿1]Sheet1!$F$2:$G$2</c:f>
              <c:numCache>
                <c:formatCode>General</c:formatCode>
                <c:ptCount val="2"/>
                <c:pt idx="0">
                  <c:v>167.67</c:v>
                </c:pt>
                <c:pt idx="1">
                  <c:v>171.48</c:v>
                </c:pt>
              </c:numCache>
            </c:numRef>
          </c:val>
        </c:ser>
        <c:dLbls>
          <c:showLegendKey val="0"/>
          <c:showVal val="1"/>
          <c:showCatName val="0"/>
          <c:showSerName val="0"/>
          <c:showPercent val="0"/>
          <c:showBubbleSize val="0"/>
        </c:dLbls>
        <c:gapWidth val="219"/>
        <c:overlap val="-27"/>
        <c:axId val="213528007"/>
        <c:axId val="859002253"/>
      </c:barChart>
      <c:catAx>
        <c:axId val="213528007"/>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59002253"/>
        <c:crosses val="autoZero"/>
        <c:auto val="1"/>
        <c:lblAlgn val="ctr"/>
        <c:lblOffset val="100"/>
        <c:noMultiLvlLbl val="0"/>
      </c:catAx>
      <c:valAx>
        <c:axId val="859002253"/>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13528007"/>
        <c:crosses val="autoZero"/>
        <c:crossBetween val="between"/>
      </c:valAx>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一般公共预算财政拨款支出</a:t>
            </a:r>
          </a:p>
        </c:rich>
      </c:tx>
      <c:layout>
        <c:manualLayout>
          <c:xMode val="edge"/>
          <c:yMode val="edge"/>
          <c:x val="0.274861111111111"/>
          <c:y val="0.0347222222222222"/>
        </c:manualLayout>
      </c:layout>
      <c:overlay val="0"/>
      <c:spPr>
        <a:noFill/>
        <a:ln>
          <a:noFill/>
        </a:ln>
        <a:effectLst/>
      </c:sp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trendline>
            <c:spPr>
              <a:ln w="19050" cap="rnd">
                <a:solidFill>
                  <a:schemeClr val="accent1"/>
                </a:solidFill>
                <a:prstDash val="sysDot"/>
              </a:ln>
              <a:effectLst/>
            </c:spPr>
            <c:trendlineType val="linear"/>
            <c:dispRSqr val="0"/>
            <c:dispEq val="0"/>
          </c:trendline>
          <c:cat>
            <c:strRef>
              <c:f>[工作簿1]Sheet1!$F$1:$G$1</c:f>
              <c:strCache>
                <c:ptCount val="2"/>
                <c:pt idx="0">
                  <c:v>2022年</c:v>
                </c:pt>
                <c:pt idx="1">
                  <c:v>2023年</c:v>
                </c:pt>
              </c:strCache>
            </c:strRef>
          </c:cat>
          <c:val>
            <c:numRef>
              <c:f>[工作簿1]Sheet1!$F$2:$G$2</c:f>
              <c:numCache>
                <c:formatCode>General</c:formatCode>
                <c:ptCount val="2"/>
                <c:pt idx="0">
                  <c:v>167.67</c:v>
                </c:pt>
                <c:pt idx="1">
                  <c:v>171.48</c:v>
                </c:pt>
              </c:numCache>
            </c:numRef>
          </c:val>
        </c:ser>
        <c:dLbls>
          <c:showLegendKey val="0"/>
          <c:showVal val="1"/>
          <c:showCatName val="0"/>
          <c:showSerName val="0"/>
          <c:showPercent val="0"/>
          <c:showBubbleSize val="0"/>
        </c:dLbls>
        <c:gapWidth val="219"/>
        <c:overlap val="-27"/>
        <c:axId val="213528007"/>
        <c:axId val="859002253"/>
      </c:barChart>
      <c:catAx>
        <c:axId val="213528007"/>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59002253"/>
        <c:crosses val="autoZero"/>
        <c:auto val="1"/>
        <c:lblAlgn val="ctr"/>
        <c:lblOffset val="100"/>
        <c:noMultiLvlLbl val="0"/>
      </c:catAx>
      <c:valAx>
        <c:axId val="859002253"/>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13528007"/>
        <c:crosses val="autoZero"/>
        <c:crossBetween val="between"/>
      </c:valAx>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一般公共预算财政拨款支出</a:t>
            </a:r>
          </a:p>
        </c:rich>
      </c:tx>
      <c:layout/>
      <c:overlay val="0"/>
      <c:spPr>
        <a:noFill/>
        <a:ln>
          <a:noFill/>
        </a:ln>
        <a:effectLst/>
      </c:spPr>
    </c:title>
    <c:autoTitleDeleted val="0"/>
    <c:plotArea>
      <c:layout/>
      <c:pieChart>
        <c:varyColors val="1"/>
        <c:ser>
          <c:idx val="0"/>
          <c:order val="0"/>
          <c:spPr>
            <a:effectLst/>
          </c:spPr>
          <c:explosion val="0"/>
          <c:dPt>
            <c:idx val="0"/>
            <c:bubble3D val="0"/>
            <c:spPr>
              <a:solidFill>
                <a:schemeClr val="accent2"/>
              </a:solidFill>
              <a:ln>
                <a:noFill/>
              </a:ln>
              <a:effectLst/>
            </c:spPr>
          </c:dPt>
          <c:dPt>
            <c:idx val="1"/>
            <c:bubble3D val="0"/>
            <c:spPr>
              <a:solidFill>
                <a:schemeClr val="accent4"/>
              </a:solidFill>
              <a:ln>
                <a:noFill/>
              </a:ln>
              <a:effectLst/>
            </c:spPr>
          </c:dPt>
          <c:dPt>
            <c:idx val="2"/>
            <c:bubble3D val="0"/>
            <c:spPr>
              <a:solidFill>
                <a:schemeClr val="accent6"/>
              </a:solidFill>
              <a:ln>
                <a:no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[工作簿1]Sheet1!$A$1:$C$1</c:f>
              <c:strCache>
                <c:ptCount val="3"/>
                <c:pt idx="0">
                  <c:v>社会保障和就业支出</c:v>
                </c:pt>
                <c:pt idx="1">
                  <c:v>卫生健康支出</c:v>
                </c:pt>
                <c:pt idx="2">
                  <c:v>住房保障支出</c:v>
                </c:pt>
              </c:strCache>
            </c:strRef>
          </c:cat>
          <c:val>
            <c:numRef>
              <c:f>[工作簿1]Sheet1!$A$2:$C$2</c:f>
              <c:numCache>
                <c:formatCode>General</c:formatCode>
                <c:ptCount val="3"/>
                <c:pt idx="0">
                  <c:v>23.09</c:v>
                </c:pt>
                <c:pt idx="1">
                  <c:v>136.67</c:v>
                </c:pt>
                <c:pt idx="2">
                  <c:v>11.71</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4"/>
    </mc:Choice>
    <mc:Fallback>
      <c:style val="4"/>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三公经费</a:t>
            </a:r>
          </a:p>
        </c:rich>
      </c:tx>
      <c:layout/>
      <c:overlay val="0"/>
      <c:spPr>
        <a:noFill/>
        <a:ln>
          <a:noFill/>
        </a:ln>
        <a:effectLst/>
      </c:spPr>
    </c:title>
    <c:autoTitleDeleted val="0"/>
    <c:plotArea>
      <c:layout>
        <c:manualLayout>
          <c:layoutTarget val="inner"/>
          <c:xMode val="edge"/>
          <c:yMode val="edge"/>
          <c:x val="0.186111111111111"/>
          <c:y val="0.363425925925926"/>
          <c:w val="0.231944444444444"/>
          <c:h val="0.386574074074074"/>
        </c:manualLayout>
      </c:layout>
      <c:pieChart>
        <c:varyColors val="1"/>
        <c:ser>
          <c:idx val="0"/>
          <c:order val="0"/>
          <c:spPr/>
          <c:explosion val="0"/>
          <c:dPt>
            <c:idx val="0"/>
            <c:bubble3D val="0"/>
            <c:spPr>
              <a:solidFill>
                <a:schemeClr val="accent2">
                  <a:shade val="65000"/>
                </a:schemeClr>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2">
                  <a:tint val="65000"/>
                </a:schemeClr>
              </a:solidFill>
              <a:ln w="19050">
                <a:solidFill>
                  <a:schemeClr val="lt1"/>
                </a:solidFill>
              </a:ln>
              <a:effectLst/>
            </c:spPr>
          </c:dPt>
          <c:dLbls>
            <c:dLbl>
              <c:idx val="1"/>
              <c:delete val="1"/>
            </c:dLbl>
            <c:dLbl>
              <c:idx val="2"/>
              <c:delete val="1"/>
            </c:dLbl>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[工作簿1]Sheet1!$A$1:$C$1</c:f>
              <c:strCache>
                <c:ptCount val="3"/>
                <c:pt idx="0">
                  <c:v>因公出国（境）费支出</c:v>
                </c:pt>
                <c:pt idx="1">
                  <c:v>公务用车购置及运行维护费支出</c:v>
                </c:pt>
                <c:pt idx="2">
                  <c:v>公务接待费支出</c:v>
                </c:pt>
              </c:strCache>
            </c:strRef>
          </c:cat>
          <c:val>
            <c:numRef>
              <c:f>[工作簿1]Sheet1!$A$2:$C$2</c:f>
              <c:numCache>
                <c:formatCode>General</c:formatCode>
                <c:ptCount val="3"/>
                <c:pt idx="0">
                  <c:v>0</c:v>
                </c:pt>
                <c:pt idx="1">
                  <c:v>0</c:v>
                </c:pt>
                <c:pt idx="2">
                  <c:v>0</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withinLinear" id="15">
  <a:schemeClr val="accent2"/>
</cs:colorStyle>
</file>

<file path=word/charts/colors2.xml><?xml version="1.0" encoding="utf-8"?>
<cs:colorStyle xmlns:cs="http://schemas.microsoft.com/office/drawing/2012/chartStyle" xmlns:a="http://schemas.openxmlformats.org/drawingml/2006/main" meth="withinLinear" id="15">
  <a:schemeClr val="accent2"/>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四川省财政厅</Company>
  <Pages>25</Pages>
  <Words>8495</Words>
  <Characters>9719</Characters>
  <Lines>54</Lines>
  <Paragraphs>15</Paragraphs>
  <TotalTime>7</TotalTime>
  <ScaleCrop>false</ScaleCrop>
  <LinksUpToDate>false</LinksUpToDate>
  <CharactersWithSpaces>9824</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2020-08-08T01:49:00Z</dcterms:created>
  <dc:creator>曹颖</dc:creator>
  <cp:lastModifiedBy>奕夕^_^</cp:lastModifiedBy>
  <cp:lastPrinted>2024-09-19T08:42:00Z</cp:lastPrinted>
  <dcterms:modified xsi:type="dcterms:W3CDTF">2024-09-23T08:42:59Z</dcterms:modified>
  <dc:title>四川省***</dc:title>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05A81E4D4AC2451A905308F36B6DC543_12</vt:lpwstr>
  </property>
</Properties>
</file>