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eastAsiaTheme="minorEastAsia"/>
          <w:b/>
          <w:sz w:val="72"/>
          <w:szCs w:val="72"/>
        </w:rPr>
      </w:pPr>
      <w:bookmarkStart w:id="0" w:name="_Toc15378441"/>
      <w:bookmarkStart w:id="1" w:name="_Toc15396597"/>
      <w:bookmarkStart w:id="2" w:name="_Toc15396475"/>
      <w:bookmarkStart w:id="3" w:name="_Toc15377193"/>
      <w:bookmarkStart w:id="4" w:name="_Toc15377425"/>
      <w:bookmarkStart w:id="5" w:name="_Toc15306267"/>
    </w:p>
    <w:p>
      <w:pPr>
        <w:pStyle w:val="2"/>
        <w:ind w:firstLine="0"/>
      </w:pPr>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78442"/>
      <w:bookmarkStart w:id="7" w:name="_Toc15377426"/>
      <w:bookmarkStart w:id="8" w:name="_Toc15377194"/>
      <w:bookmarkStart w:id="9" w:name="_Toc15306268"/>
      <w:bookmarkStart w:id="10" w:name="_Toc15396598"/>
      <w:bookmarkStart w:id="11" w:name="_Toc15396476"/>
      <w:r>
        <w:rPr>
          <w:rFonts w:asciiTheme="minorEastAsia" w:hAnsiTheme="minorEastAsia" w:eastAsiaTheme="minorEastAsia"/>
          <w:b/>
          <w:sz w:val="72"/>
          <w:szCs w:val="72"/>
        </w:rPr>
        <w:t>阿坝州松潘县黄龙乡卫生院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tabs>
          <w:tab w:val="left" w:pos="3600"/>
        </w:tabs>
      </w:pPr>
      <w:r>
        <w:tab/>
      </w:r>
    </w:p>
    <w:p>
      <w:pPr>
        <w:autoSpaceDE w:val="0"/>
        <w:autoSpaceDN w:val="0"/>
        <w:adjustRightInd w:val="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jc w:val="left"/>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pStyle w:val="2"/>
        <w:rPr>
          <w:rFonts w:hint="eastAsia" w:ascii="宋体" w:hAnsi="宋体" w:cs="仿宋_GB2312"/>
          <w:sz w:val="32"/>
          <w:szCs w:val="32"/>
          <w:lang w:val="en-US" w:eastAsia="zh-CN"/>
        </w:rPr>
      </w:pPr>
    </w:p>
    <w:p>
      <w:pPr>
        <w:pStyle w:val="2"/>
        <w:jc w:val="center"/>
        <w:rPr>
          <w:rFonts w:hint="default" w:eastAsia="仿宋_GB2312"/>
          <w:lang w:val="en-US" w:eastAsia="zh-CN"/>
        </w:rPr>
      </w:pPr>
      <w:r>
        <w:rPr>
          <w:rFonts w:hint="eastAsia" w:ascii="宋体" w:hAnsi="宋体" w:cs="仿宋_GB2312"/>
          <w:sz w:val="32"/>
          <w:szCs w:val="32"/>
          <w:lang w:val="en-US" w:eastAsia="zh-CN"/>
        </w:rPr>
        <w:t>2023年9月公开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3"/>
        <w:tabs>
          <w:tab w:val="right" w:leader="dot" w:pos="8306"/>
          <w:tab w:val="clear" w:pos="8296"/>
        </w:tabs>
      </w:pPr>
      <w:r>
        <w:rPr>
          <w:smallCaps/>
          <w:sz w:val="20"/>
          <w:szCs w:val="20"/>
        </w:rPr>
        <w:fldChar w:fldCharType="begin"/>
      </w:r>
      <w:r>
        <w:rPr>
          <w:smallCaps/>
          <w:sz w:val="20"/>
          <w:szCs w:val="20"/>
        </w:rPr>
        <w:instrText xml:space="preserve"> TOC \o "1-2" \h \z \u </w:instrText>
      </w:r>
      <w:r>
        <w:rPr>
          <w:smallCaps/>
          <w:sz w:val="20"/>
          <w:szCs w:val="20"/>
        </w:rPr>
        <w:fldChar w:fldCharType="separate"/>
      </w:r>
      <w:r>
        <w:rPr>
          <w:smallCaps/>
          <w:szCs w:val="20"/>
        </w:rPr>
        <w:fldChar w:fldCharType="begin"/>
      </w:r>
      <w:r>
        <w:rPr>
          <w:smallCaps/>
          <w:szCs w:val="20"/>
        </w:rPr>
        <w:instrText xml:space="preserve"> HYPERLINK \l _Toc1816 </w:instrText>
      </w:r>
      <w:r>
        <w:rPr>
          <w:smallCaps/>
          <w:szCs w:val="20"/>
        </w:rPr>
        <w:fldChar w:fldCharType="separate"/>
      </w:r>
      <w:r>
        <w:rPr>
          <w:rFonts w:hint="eastAsia" w:ascii="黑体" w:hAnsi="黑体" w:eastAsia="黑体" w:cs="黑体"/>
        </w:rPr>
        <w:t xml:space="preserve">第一部分 </w:t>
      </w:r>
      <w:r>
        <w:rPr>
          <w:rFonts w:hint="eastAsia" w:ascii="黑体" w:hAnsi="黑体" w:eastAsia="黑体" w:cs="黑体"/>
          <w:bCs w:val="0"/>
        </w:rPr>
        <w:t>部门概况</w:t>
      </w:r>
      <w:r>
        <w:tab/>
      </w:r>
      <w:r>
        <w:fldChar w:fldCharType="begin"/>
      </w:r>
      <w:r>
        <w:instrText xml:space="preserve"> PAGEREF _Toc1816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_Toc24373 </w:instrText>
      </w:r>
      <w:r>
        <w:rPr>
          <w:smallCaps/>
          <w:szCs w:val="20"/>
        </w:rPr>
        <w:fldChar w:fldCharType="separate"/>
      </w:r>
      <w:r>
        <w:rPr>
          <w:rFonts w:hint="eastAsia" w:ascii="黑体" w:eastAsia="黑体" w:cs="Times New Roman"/>
          <w:bCs w:val="0"/>
        </w:rPr>
        <w:t>一、部门职责</w:t>
      </w:r>
      <w:r>
        <w:tab/>
      </w:r>
      <w:r>
        <w:fldChar w:fldCharType="begin"/>
      </w:r>
      <w:r>
        <w:instrText xml:space="preserve"> PAGEREF _Toc24373 \h </w:instrText>
      </w:r>
      <w:r>
        <w:fldChar w:fldCharType="separate"/>
      </w:r>
      <w:r>
        <w:t>3</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_Toc31790 </w:instrText>
      </w:r>
      <w:r>
        <w:rPr>
          <w:smallCaps/>
          <w:szCs w:val="20"/>
        </w:rPr>
        <w:fldChar w:fldCharType="separate"/>
      </w:r>
      <w:r>
        <w:rPr>
          <w:rFonts w:hint="eastAsia" w:ascii="黑体" w:eastAsia="黑体" w:cs="Times New Roman"/>
          <w:bCs w:val="0"/>
        </w:rPr>
        <w:t>二、机构设置</w:t>
      </w:r>
      <w:r>
        <w:tab/>
      </w:r>
      <w:r>
        <w:fldChar w:fldCharType="begin"/>
      </w:r>
      <w:r>
        <w:instrText xml:space="preserve"> PAGEREF _Toc31790 \h </w:instrText>
      </w:r>
      <w:r>
        <w:fldChar w:fldCharType="separate"/>
      </w:r>
      <w:r>
        <w:t>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_Toc16001 </w:instrText>
      </w:r>
      <w:r>
        <w:rPr>
          <w:smallCaps/>
          <w:szCs w:val="20"/>
        </w:rPr>
        <w:fldChar w:fldCharType="separate"/>
      </w:r>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r>
        <w:tab/>
      </w:r>
      <w:r>
        <w:fldChar w:fldCharType="begin"/>
      </w:r>
      <w:r>
        <w:instrText xml:space="preserve"> PAGEREF _Toc16001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_Toc20541 </w:instrText>
      </w:r>
      <w:r>
        <w:rPr>
          <w:smallCaps/>
          <w:szCs w:val="20"/>
        </w:rPr>
        <w:fldChar w:fldCharType="separate"/>
      </w:r>
      <w:r>
        <w:rPr>
          <w:rFonts w:hint="eastAsia" w:ascii="黑体" w:eastAsia="黑体" w:cs="Times New Roman"/>
          <w:bCs w:val="0"/>
        </w:rPr>
        <w:t>一、收入支出决算总体情况说明</w:t>
      </w:r>
      <w:r>
        <w:tab/>
      </w:r>
      <w:r>
        <w:fldChar w:fldCharType="begin"/>
      </w:r>
      <w:r>
        <w:instrText xml:space="preserve"> PAGEREF _Toc20541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_Toc25498 </w:instrText>
      </w:r>
      <w:r>
        <w:rPr>
          <w:smallCaps/>
          <w:szCs w:val="20"/>
        </w:rPr>
        <w:fldChar w:fldCharType="separate"/>
      </w:r>
      <w:r>
        <w:rPr>
          <w:rFonts w:hint="eastAsia" w:ascii="黑体" w:eastAsia="黑体" w:cs="Times New Roman"/>
          <w:bCs w:val="0"/>
        </w:rPr>
        <w:t>二、收入决算情况说明</w:t>
      </w:r>
      <w:r>
        <w:tab/>
      </w:r>
      <w:r>
        <w:fldChar w:fldCharType="begin"/>
      </w:r>
      <w:r>
        <w:instrText xml:space="preserve"> PAGEREF _Toc25498 \h </w:instrText>
      </w:r>
      <w:r>
        <w:fldChar w:fldCharType="separate"/>
      </w:r>
      <w:r>
        <w:t>4</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_Toc6080 </w:instrText>
      </w:r>
      <w:r>
        <w:rPr>
          <w:smallCaps/>
          <w:szCs w:val="20"/>
        </w:rPr>
        <w:fldChar w:fldCharType="separate"/>
      </w:r>
      <w:r>
        <w:rPr>
          <w:rFonts w:hint="eastAsia" w:ascii="黑体" w:eastAsia="黑体" w:cs="Times New Roman"/>
          <w:bCs w:val="0"/>
        </w:rPr>
        <w:t>三、支出决算情况说明</w:t>
      </w:r>
      <w:r>
        <w:tab/>
      </w:r>
      <w:r>
        <w:fldChar w:fldCharType="begin"/>
      </w:r>
      <w:r>
        <w:instrText xml:space="preserve"> PAGEREF _Toc6080 \h </w:instrText>
      </w:r>
      <w:r>
        <w:fldChar w:fldCharType="separate"/>
      </w:r>
      <w:r>
        <w:t>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_Toc6346 </w:instrText>
      </w:r>
      <w:r>
        <w:rPr>
          <w:smallCaps/>
          <w:szCs w:val="20"/>
        </w:rPr>
        <w:fldChar w:fldCharType="separate"/>
      </w:r>
      <w:r>
        <w:rPr>
          <w:rFonts w:hint="eastAsia" w:ascii="黑体" w:eastAsia="黑体" w:cs="Times New Roman"/>
          <w:bCs w:val="0"/>
        </w:rPr>
        <w:t>四、财政拨款收入支出决算总体情况说明</w:t>
      </w:r>
      <w:r>
        <w:tab/>
      </w:r>
      <w:r>
        <w:fldChar w:fldCharType="begin"/>
      </w:r>
      <w:r>
        <w:instrText xml:space="preserve"> PAGEREF _Toc6346 \h </w:instrText>
      </w:r>
      <w:r>
        <w:fldChar w:fldCharType="separate"/>
      </w:r>
      <w:r>
        <w:t>6</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_Toc17578 </w:instrText>
      </w:r>
      <w:r>
        <w:rPr>
          <w:smallCaps/>
          <w:szCs w:val="20"/>
        </w:rPr>
        <w:fldChar w:fldCharType="separate"/>
      </w:r>
      <w:r>
        <w:rPr>
          <w:rFonts w:hint="eastAsia" w:ascii="黑体" w:eastAsia="黑体" w:cs="Times New Roman"/>
          <w:bCs w:val="0"/>
        </w:rPr>
        <w:t>五、一般公共预算财政拨款支出决算情况说明</w:t>
      </w:r>
      <w:r>
        <w:tab/>
      </w:r>
      <w:r>
        <w:fldChar w:fldCharType="begin"/>
      </w:r>
      <w:r>
        <w:instrText xml:space="preserve"> PAGEREF _Toc17578 \h </w:instrText>
      </w:r>
      <w:r>
        <w:fldChar w:fldCharType="separate"/>
      </w:r>
      <w:r>
        <w:t>7</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_Toc24000 </w:instrText>
      </w:r>
      <w:r>
        <w:rPr>
          <w:smallCaps/>
          <w:szCs w:val="20"/>
        </w:rPr>
        <w:fldChar w:fldCharType="separate"/>
      </w:r>
      <w:r>
        <w:rPr>
          <w:rFonts w:hint="eastAsia" w:ascii="黑体" w:eastAsia="黑体" w:cs="Times New Roman"/>
          <w:bCs w:val="0"/>
        </w:rPr>
        <w:t>六、一般公共预算财政拨款基本支出决算情况说明</w:t>
      </w:r>
      <w:r>
        <w:tab/>
      </w:r>
      <w:r>
        <w:fldChar w:fldCharType="begin"/>
      </w:r>
      <w:r>
        <w:instrText xml:space="preserve"> PAGEREF _Toc24000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_Toc32593 </w:instrText>
      </w:r>
      <w:r>
        <w:rPr>
          <w:smallCaps/>
          <w:szCs w:val="20"/>
        </w:rPr>
        <w:fldChar w:fldCharType="separate"/>
      </w:r>
      <w:r>
        <w:rPr>
          <w:rFonts w:hint="eastAsia" w:ascii="黑体" w:eastAsia="黑体" w:cs="Times New Roman"/>
          <w:bCs w:val="0"/>
        </w:rPr>
        <w:t>七、“三公”经费财政拨款支出决算情况说明</w:t>
      </w:r>
      <w:r>
        <w:tab/>
      </w:r>
      <w:r>
        <w:fldChar w:fldCharType="begin"/>
      </w:r>
      <w:r>
        <w:instrText xml:space="preserve"> PAGEREF _Toc32593 \h </w:instrText>
      </w:r>
      <w:r>
        <w:fldChar w:fldCharType="separate"/>
      </w:r>
      <w:r>
        <w:t>9</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_Toc19281 </w:instrText>
      </w:r>
      <w:r>
        <w:rPr>
          <w:smallCaps/>
          <w:szCs w:val="20"/>
        </w:rPr>
        <w:fldChar w:fldCharType="separate"/>
      </w:r>
      <w:r>
        <w:rPr>
          <w:rFonts w:hint="eastAsia" w:ascii="黑体" w:eastAsia="黑体" w:cs="Times New Roman"/>
          <w:bCs w:val="0"/>
        </w:rPr>
        <w:t>八、政府性基金预算支出决算情况说明</w:t>
      </w:r>
      <w:r>
        <w:tab/>
      </w:r>
      <w:r>
        <w:fldChar w:fldCharType="begin"/>
      </w:r>
      <w:r>
        <w:instrText xml:space="preserve"> PAGEREF _Toc19281 \h </w:instrText>
      </w:r>
      <w:r>
        <w:fldChar w:fldCharType="separate"/>
      </w:r>
      <w:r>
        <w:t>11</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_Toc12199 </w:instrText>
      </w:r>
      <w:r>
        <w:rPr>
          <w:smallCaps/>
          <w:szCs w:val="20"/>
        </w:rPr>
        <w:fldChar w:fldCharType="separate"/>
      </w:r>
      <w:r>
        <w:rPr>
          <w:rFonts w:hint="eastAsia" w:ascii="黑体" w:eastAsia="黑体" w:cs="Times New Roman"/>
          <w:bCs w:val="0"/>
        </w:rPr>
        <w:t>九、国有资本经营预算支出决算情况说明</w:t>
      </w:r>
      <w:r>
        <w:tab/>
      </w:r>
      <w:r>
        <w:fldChar w:fldCharType="begin"/>
      </w:r>
      <w:r>
        <w:instrText xml:space="preserve"> PAGEREF _Toc12199 \h </w:instrText>
      </w:r>
      <w:r>
        <w:fldChar w:fldCharType="separate"/>
      </w:r>
      <w:r>
        <w:t>12</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_Toc23126 </w:instrText>
      </w:r>
      <w:r>
        <w:rPr>
          <w:smallCaps/>
          <w:szCs w:val="20"/>
        </w:rPr>
        <w:fldChar w:fldCharType="separate"/>
      </w:r>
      <w:r>
        <w:rPr>
          <w:rFonts w:hint="eastAsia" w:ascii="黑体" w:eastAsia="黑体" w:cs="Times New Roman"/>
          <w:bCs w:val="0"/>
        </w:rPr>
        <w:t>十、其他重要事项的情况说明</w:t>
      </w:r>
      <w:r>
        <w:tab/>
      </w:r>
      <w:r>
        <w:fldChar w:fldCharType="begin"/>
      </w:r>
      <w:r>
        <w:instrText xml:space="preserve"> PAGEREF _Toc23126 \h </w:instrText>
      </w:r>
      <w:r>
        <w:fldChar w:fldCharType="separate"/>
      </w:r>
      <w:r>
        <w:t>12</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_Toc288 </w:instrText>
      </w:r>
      <w:r>
        <w:rPr>
          <w:smallCaps/>
          <w:szCs w:val="20"/>
        </w:rPr>
        <w:fldChar w:fldCharType="separate"/>
      </w:r>
      <w:r>
        <w:rPr>
          <w:rFonts w:hint="eastAsia" w:ascii="黑体" w:hAnsi="黑体" w:eastAsia="黑体" w:cs="黑体"/>
        </w:rPr>
        <w:t>第三部分 名词解释</w:t>
      </w:r>
      <w:r>
        <w:tab/>
      </w:r>
      <w:r>
        <w:fldChar w:fldCharType="begin"/>
      </w:r>
      <w:r>
        <w:instrText xml:space="preserve"> PAGEREF _Toc288 \h </w:instrText>
      </w:r>
      <w:r>
        <w:fldChar w:fldCharType="separate"/>
      </w:r>
      <w:r>
        <w:t>13</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_Toc20076 </w:instrText>
      </w:r>
      <w:r>
        <w:rPr>
          <w:smallCaps/>
          <w:szCs w:val="20"/>
        </w:rPr>
        <w:fldChar w:fldCharType="separate"/>
      </w:r>
      <w:r>
        <w:rPr>
          <w:rFonts w:hint="eastAsia" w:ascii="黑体" w:hAnsi="黑体" w:eastAsia="黑体" w:cs="黑体"/>
        </w:rPr>
        <w:t>第四部分 附件</w:t>
      </w:r>
      <w:r>
        <w:tab/>
      </w:r>
      <w:r>
        <w:fldChar w:fldCharType="begin"/>
      </w:r>
      <w:r>
        <w:instrText xml:space="preserve"> PAGEREF _Toc20076 \h </w:instrText>
      </w:r>
      <w:r>
        <w:fldChar w:fldCharType="separate"/>
      </w:r>
      <w:r>
        <w:t>15</w:t>
      </w:r>
      <w:r>
        <w:fldChar w:fldCharType="end"/>
      </w:r>
      <w:r>
        <w:rPr>
          <w:smallCaps/>
          <w:szCs w:val="20"/>
        </w:rPr>
        <w:fldChar w:fldCharType="end"/>
      </w:r>
    </w:p>
    <w:p>
      <w:pPr>
        <w:pStyle w:val="13"/>
        <w:tabs>
          <w:tab w:val="right" w:leader="dot" w:pos="8306"/>
          <w:tab w:val="clear" w:pos="8296"/>
        </w:tabs>
      </w:pPr>
      <w:r>
        <w:rPr>
          <w:smallCaps/>
          <w:szCs w:val="20"/>
        </w:rPr>
        <w:fldChar w:fldCharType="begin"/>
      </w:r>
      <w:r>
        <w:rPr>
          <w:smallCaps/>
          <w:szCs w:val="20"/>
        </w:rPr>
        <w:instrText xml:space="preserve"> HYPERLINK \l _Toc16128 </w:instrText>
      </w:r>
      <w:r>
        <w:rPr>
          <w:smallCaps/>
          <w:szCs w:val="20"/>
        </w:rPr>
        <w:fldChar w:fldCharType="separate"/>
      </w:r>
      <w:r>
        <w:rPr>
          <w:rFonts w:hint="eastAsia" w:ascii="黑体" w:hAnsi="黑体" w:eastAsia="黑体" w:cs="黑体"/>
        </w:rPr>
        <w:t>第五部分 附表</w:t>
      </w:r>
      <w:r>
        <w:tab/>
      </w:r>
      <w:r>
        <w:fldChar w:fldCharType="begin"/>
      </w:r>
      <w:r>
        <w:instrText xml:space="preserve"> PAGEREF _Toc16128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_Toc19345 </w:instrText>
      </w:r>
      <w:r>
        <w:rPr>
          <w:smallCaps/>
          <w:szCs w:val="20"/>
        </w:rPr>
        <w:fldChar w:fldCharType="separate"/>
      </w:r>
      <w:r>
        <w:rPr>
          <w:rFonts w:hint="eastAsia" w:ascii="黑体" w:eastAsia="黑体" w:cs="Times New Roman"/>
          <w:bCs w:val="0"/>
        </w:rPr>
        <w:t>一、收入支出决算总表</w:t>
      </w:r>
      <w:r>
        <w:tab/>
      </w:r>
      <w:r>
        <w:fldChar w:fldCharType="begin"/>
      </w:r>
      <w:r>
        <w:instrText xml:space="preserve"> PAGEREF _Toc19345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_Toc5091 </w:instrText>
      </w:r>
      <w:r>
        <w:rPr>
          <w:smallCaps/>
          <w:szCs w:val="20"/>
        </w:rPr>
        <w:fldChar w:fldCharType="separate"/>
      </w:r>
      <w:r>
        <w:rPr>
          <w:rFonts w:hint="eastAsia" w:ascii="黑体" w:eastAsia="黑体" w:cs="Times New Roman"/>
          <w:bCs w:val="0"/>
        </w:rPr>
        <w:t>二、收入决算表</w:t>
      </w:r>
      <w:r>
        <w:tab/>
      </w:r>
      <w:r>
        <w:fldChar w:fldCharType="begin"/>
      </w:r>
      <w:r>
        <w:instrText xml:space="preserve"> PAGEREF _Toc5091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_Toc5639 </w:instrText>
      </w:r>
      <w:r>
        <w:rPr>
          <w:smallCaps/>
          <w:szCs w:val="20"/>
        </w:rPr>
        <w:fldChar w:fldCharType="separate"/>
      </w:r>
      <w:r>
        <w:rPr>
          <w:rFonts w:hint="eastAsia" w:ascii="黑体" w:eastAsia="黑体" w:cs="Times New Roman"/>
          <w:bCs w:val="0"/>
        </w:rPr>
        <w:t>三、支出决算表</w:t>
      </w:r>
      <w:r>
        <w:tab/>
      </w:r>
      <w:r>
        <w:fldChar w:fldCharType="begin"/>
      </w:r>
      <w:r>
        <w:instrText xml:space="preserve"> PAGEREF _Toc5639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_Toc20160 </w:instrText>
      </w:r>
      <w:r>
        <w:rPr>
          <w:smallCaps/>
          <w:szCs w:val="20"/>
        </w:rPr>
        <w:fldChar w:fldCharType="separate"/>
      </w:r>
      <w:r>
        <w:rPr>
          <w:rFonts w:hint="eastAsia" w:ascii="黑体" w:eastAsia="黑体" w:cs="Times New Roman"/>
          <w:bCs w:val="0"/>
        </w:rPr>
        <w:t>四、财政拨款收入支出决算总表</w:t>
      </w:r>
      <w:r>
        <w:tab/>
      </w:r>
      <w:r>
        <w:fldChar w:fldCharType="begin"/>
      </w:r>
      <w:r>
        <w:instrText xml:space="preserve"> PAGEREF _Toc20160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_Toc13786 </w:instrText>
      </w:r>
      <w:r>
        <w:rPr>
          <w:smallCaps/>
          <w:szCs w:val="20"/>
        </w:rPr>
        <w:fldChar w:fldCharType="separate"/>
      </w:r>
      <w:r>
        <w:rPr>
          <w:rFonts w:hint="eastAsia" w:ascii="黑体" w:eastAsia="黑体" w:cs="Times New Roman"/>
          <w:bCs w:val="0"/>
        </w:rPr>
        <w:t>五、财政拨款支出决算明细表</w:t>
      </w:r>
      <w:r>
        <w:tab/>
      </w:r>
      <w:r>
        <w:fldChar w:fldCharType="begin"/>
      </w:r>
      <w:r>
        <w:instrText xml:space="preserve"> PAGEREF _Toc13786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_Toc8367 </w:instrText>
      </w:r>
      <w:r>
        <w:rPr>
          <w:smallCaps/>
          <w:szCs w:val="20"/>
        </w:rPr>
        <w:fldChar w:fldCharType="separate"/>
      </w:r>
      <w:r>
        <w:rPr>
          <w:rFonts w:hint="eastAsia" w:ascii="黑体" w:eastAsia="黑体" w:cs="Times New Roman"/>
          <w:bCs w:val="0"/>
        </w:rPr>
        <w:t>六、一般公共预算财政拨款支出决算表</w:t>
      </w:r>
      <w:r>
        <w:tab/>
      </w:r>
      <w:r>
        <w:fldChar w:fldCharType="begin"/>
      </w:r>
      <w:r>
        <w:instrText xml:space="preserve"> PAGEREF _Toc8367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_Toc17399 </w:instrText>
      </w:r>
      <w:r>
        <w:rPr>
          <w:smallCaps/>
          <w:szCs w:val="20"/>
        </w:rPr>
        <w:fldChar w:fldCharType="separate"/>
      </w:r>
      <w:r>
        <w:rPr>
          <w:rFonts w:hint="eastAsia" w:ascii="黑体" w:eastAsia="黑体" w:cs="Times New Roman"/>
          <w:bCs w:val="0"/>
        </w:rPr>
        <w:t>七、一般公共预算财政拨款支出决算明细表</w:t>
      </w:r>
      <w:r>
        <w:tab/>
      </w:r>
      <w:r>
        <w:fldChar w:fldCharType="begin"/>
      </w:r>
      <w:r>
        <w:instrText xml:space="preserve"> PAGEREF _Toc17399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_Toc8764 </w:instrText>
      </w:r>
      <w:r>
        <w:rPr>
          <w:smallCaps/>
          <w:szCs w:val="20"/>
        </w:rPr>
        <w:fldChar w:fldCharType="separate"/>
      </w:r>
      <w:r>
        <w:rPr>
          <w:rFonts w:hint="eastAsia" w:ascii="黑体" w:eastAsia="黑体" w:cs="Times New Roman"/>
          <w:bCs w:val="0"/>
        </w:rPr>
        <w:t>八、一般公共预算财政拨款基本支出决算表</w:t>
      </w:r>
      <w:r>
        <w:tab/>
      </w:r>
      <w:r>
        <w:fldChar w:fldCharType="begin"/>
      </w:r>
      <w:r>
        <w:instrText xml:space="preserve"> PAGEREF _Toc8764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_Toc5316 </w:instrText>
      </w:r>
      <w:r>
        <w:rPr>
          <w:smallCaps/>
          <w:szCs w:val="20"/>
        </w:rPr>
        <w:fldChar w:fldCharType="separate"/>
      </w:r>
      <w:r>
        <w:rPr>
          <w:rFonts w:hint="eastAsia" w:ascii="黑体" w:eastAsia="黑体" w:cs="Times New Roman"/>
          <w:bCs w:val="0"/>
        </w:rPr>
        <w:t>九、一般公共预算财政拨款项目支出决算表</w:t>
      </w:r>
      <w:r>
        <w:tab/>
      </w:r>
      <w:r>
        <w:fldChar w:fldCharType="begin"/>
      </w:r>
      <w:r>
        <w:instrText xml:space="preserve"> PAGEREF _Toc5316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_Toc9239 </w:instrText>
      </w:r>
      <w:r>
        <w:rPr>
          <w:smallCaps/>
          <w:szCs w:val="20"/>
        </w:rP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_Toc9239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_Toc21643 </w:instrText>
      </w:r>
      <w:r>
        <w:rPr>
          <w:smallCaps/>
          <w:szCs w:val="20"/>
        </w:rP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_Toc21643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_Toc11859 </w:instrText>
      </w:r>
      <w:r>
        <w:rPr>
          <w:smallCaps/>
          <w:szCs w:val="20"/>
        </w:rP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_Toc11859 \h </w:instrText>
      </w:r>
      <w:r>
        <w:fldChar w:fldCharType="separate"/>
      </w:r>
      <w:r>
        <w:t>15</w:t>
      </w:r>
      <w:r>
        <w:fldChar w:fldCharType="end"/>
      </w:r>
      <w:r>
        <w:rPr>
          <w:smallCaps/>
          <w:szCs w:val="20"/>
        </w:rPr>
        <w:fldChar w:fldCharType="end"/>
      </w:r>
    </w:p>
    <w:p>
      <w:pPr>
        <w:pStyle w:val="15"/>
        <w:tabs>
          <w:tab w:val="right" w:leader="dot" w:pos="8306"/>
          <w:tab w:val="clear" w:pos="8296"/>
        </w:tabs>
      </w:pPr>
      <w:r>
        <w:rPr>
          <w:smallCaps/>
          <w:szCs w:val="20"/>
        </w:rPr>
        <w:fldChar w:fldCharType="begin"/>
      </w:r>
      <w:r>
        <w:rPr>
          <w:smallCaps/>
          <w:szCs w:val="20"/>
        </w:rPr>
        <w:instrText xml:space="preserve"> HYPERLINK \l _Toc3136 </w:instrText>
      </w:r>
      <w:r>
        <w:rPr>
          <w:smallCaps/>
          <w:szCs w:val="20"/>
        </w:rPr>
        <w:fldChar w:fldCharType="separate"/>
      </w:r>
      <w:r>
        <w:rPr>
          <w:rFonts w:hint="eastAsia" w:ascii="黑体" w:eastAsia="黑体" w:cs="Times New Roman"/>
          <w:bCs w:val="0"/>
        </w:rPr>
        <w:t>十三、财政拨款“三公”经费支出决算表</w:t>
      </w:r>
      <w:r>
        <w:tab/>
      </w:r>
      <w:r>
        <w:fldChar w:fldCharType="begin"/>
      </w:r>
      <w:r>
        <w:instrText xml:space="preserve"> PAGEREF _Toc3136 \h </w:instrText>
      </w:r>
      <w:r>
        <w:fldChar w:fldCharType="separate"/>
      </w:r>
      <w:r>
        <w:t>15</w:t>
      </w:r>
      <w:r>
        <w:fldChar w:fldCharType="end"/>
      </w:r>
      <w:r>
        <w:rPr>
          <w:smallCaps/>
          <w:szCs w:val="20"/>
        </w:rPr>
        <w:fldChar w:fldCharType="end"/>
      </w:r>
    </w:p>
    <w:p>
      <w:pPr>
        <w:pStyle w:val="2"/>
        <w:rPr>
          <w:smallCaps/>
          <w:szCs w:val="20"/>
        </w:rPr>
      </w:pPr>
      <w:r>
        <w:rPr>
          <w:smallCaps/>
          <w:szCs w:val="20"/>
        </w:rPr>
        <w:fldChar w:fldCharType="end"/>
      </w:r>
      <w:bookmarkStart w:id="13" w:name="_Toc111208495"/>
      <w:bookmarkStart w:id="14" w:name="_Toc1816"/>
    </w:p>
    <w:p>
      <w:pPr>
        <w:pStyle w:val="2"/>
        <w:rPr>
          <w:smallCaps/>
          <w:szCs w:val="20"/>
        </w:rPr>
      </w:pPr>
    </w:p>
    <w:p>
      <w:pPr>
        <w:pStyle w:val="2"/>
        <w:rPr>
          <w:smallCaps/>
          <w:szCs w:val="20"/>
        </w:rPr>
      </w:pPr>
    </w:p>
    <w:p>
      <w:pPr>
        <w:pStyle w:val="2"/>
        <w:rPr>
          <w:smallCaps/>
          <w:szCs w:val="20"/>
        </w:rPr>
      </w:pPr>
    </w:p>
    <w:p>
      <w:pPr>
        <w:pStyle w:val="2"/>
        <w:rPr>
          <w:smallCaps/>
          <w:szCs w:val="20"/>
        </w:rPr>
      </w:pPr>
    </w:p>
    <w:p>
      <w:pPr>
        <w:pStyle w:val="2"/>
        <w:rPr>
          <w:smallCaps/>
          <w:szCs w:val="20"/>
        </w:rPr>
      </w:pPr>
    </w:p>
    <w:p>
      <w:pPr>
        <w:pStyle w:val="2"/>
        <w:rPr>
          <w:smallCaps/>
          <w:szCs w:val="20"/>
        </w:rPr>
      </w:pPr>
    </w:p>
    <w:p>
      <w:pPr>
        <w:pStyle w:val="2"/>
        <w:rPr>
          <w:smallCaps/>
          <w:szCs w:val="20"/>
        </w:rPr>
      </w:pPr>
    </w:p>
    <w:p>
      <w:pPr>
        <w:pStyle w:val="2"/>
        <w:rPr>
          <w:rFonts w:hint="eastAsia"/>
          <w:smallCaps/>
          <w:szCs w:val="20"/>
        </w:rPr>
      </w:pPr>
    </w:p>
    <w:p>
      <w:pPr>
        <w:pStyle w:val="3"/>
        <w:jc w:val="center"/>
        <w:rPr>
          <w:rFonts w:ascii="黑体" w:hAnsi="黑体" w:eastAsia="黑体" w:cs="黑体"/>
          <w:b w:val="0"/>
          <w:bCs w:val="0"/>
        </w:rPr>
      </w:pPr>
      <w:r>
        <w:rPr>
          <w:rFonts w:hint="eastAsia" w:ascii="黑体" w:hAnsi="黑体" w:eastAsia="黑体" w:cs="黑体"/>
        </w:rPr>
        <w:t xml:space="preserve">第一部分 </w:t>
      </w:r>
      <w:r>
        <w:rPr>
          <w:rStyle w:val="30"/>
          <w:rFonts w:hint="eastAsia" w:ascii="黑体" w:hAnsi="黑体" w:eastAsia="黑体" w:cs="黑体"/>
          <w:b/>
          <w:bCs w:val="0"/>
        </w:rPr>
        <w:t>部门概况</w:t>
      </w:r>
      <w:bookmarkEnd w:id="12"/>
      <w:bookmarkEnd w:id="13"/>
      <w:bookmarkEnd w:id="14"/>
    </w:p>
    <w:p>
      <w:pPr>
        <w:pStyle w:val="4"/>
        <w:ind w:firstLine="643" w:firstLineChars="200"/>
        <w:jc w:val="both"/>
        <w:rPr>
          <w:rFonts w:ascii="黑体" w:eastAsia="黑体" w:cs="Times New Roman"/>
          <w:bCs w:val="0"/>
          <w:color w:val="000000"/>
        </w:rPr>
      </w:pPr>
      <w:bookmarkStart w:id="15" w:name="_Toc111208496"/>
      <w:bookmarkStart w:id="16" w:name="_Toc15377197"/>
      <w:bookmarkStart w:id="17" w:name="_Toc24373"/>
      <w:r>
        <w:rPr>
          <w:rFonts w:hint="eastAsia" w:ascii="黑体" w:eastAsia="黑体" w:cs="Times New Roman"/>
          <w:bCs w:val="0"/>
          <w:color w:val="000000"/>
        </w:rPr>
        <w:t>一、</w:t>
      </w:r>
      <w:bookmarkEnd w:id="15"/>
      <w:bookmarkEnd w:id="16"/>
      <w:bookmarkStart w:id="18" w:name="_Toc15377198"/>
      <w:bookmarkStart w:id="19" w:name="_Toc15378445"/>
      <w:r>
        <w:rPr>
          <w:rFonts w:hint="eastAsia" w:ascii="黑体" w:eastAsia="黑体" w:cs="Times New Roman"/>
          <w:bCs w:val="0"/>
          <w:color w:val="000000"/>
        </w:rPr>
        <w:t>部门职责</w:t>
      </w:r>
      <w:bookmarkEnd w:id="17"/>
    </w:p>
    <w:bookmarkEnd w:id="18"/>
    <w:bookmarkEnd w:id="19"/>
    <w:p>
      <w:pPr>
        <w:ind w:firstLine="640" w:firstLineChars="200"/>
        <w:rPr>
          <w:rFonts w:ascii="仿宋" w:hAnsi="仿宋" w:eastAsia="仿宋"/>
          <w:color w:val="000000"/>
          <w:sz w:val="32"/>
          <w:szCs w:val="32"/>
        </w:rPr>
      </w:pPr>
      <w:r>
        <w:rPr>
          <w:rFonts w:ascii="仿宋" w:hAnsi="仿宋" w:eastAsia="仿宋"/>
          <w:color w:val="000000"/>
          <w:sz w:val="32"/>
          <w:szCs w:val="32"/>
        </w:rPr>
        <w:t>提供基本医疗服务。卫生院以公共卫生服务为主，综合提供预防、保健和基本医疗等服务。加强疾病预防，做好重大疾病防控并及时报告。加强农村疾病预防控制，做好传染病、地方病防治和疫情等农村突发公共卫生事件报告工作，重点控制严重危害农民身体健康的传染病、地方病、职业病和寄生虫病等重大疾病。执行免疫计划，开展慢性疾病防治工作。认真执行儿童计划免疫，积极开展慢性非传染性疾病的防治工作。做好育儿保健，提高孕妇分娩率。做好农村孕产妇和儿童保健工作，提高住院分娩率，改善儿童营养状况。</w:t>
      </w:r>
      <w:bookmarkStart w:id="20" w:name="_Toc15377200"/>
    </w:p>
    <w:p>
      <w:pPr>
        <w:pStyle w:val="4"/>
        <w:ind w:firstLine="643" w:firstLineChars="200"/>
        <w:rPr>
          <w:rFonts w:ascii="黑体" w:eastAsia="黑体" w:cs="Times New Roman"/>
          <w:bCs w:val="0"/>
          <w:color w:val="000000"/>
        </w:rPr>
      </w:pPr>
      <w:bookmarkStart w:id="21" w:name="_Toc111208497"/>
      <w:bookmarkStart w:id="22" w:name="_Toc31790"/>
      <w:r>
        <w:rPr>
          <w:rFonts w:hint="eastAsia" w:ascii="黑体" w:eastAsia="黑体" w:cs="Times New Roman"/>
          <w:bCs w:val="0"/>
          <w:color w:val="000000"/>
        </w:rPr>
        <w:t>二、机构设置</w:t>
      </w:r>
      <w:bookmarkEnd w:id="20"/>
      <w:bookmarkEnd w:id="21"/>
      <w:bookmarkEnd w:id="22"/>
    </w:p>
    <w:p>
      <w:pPr>
        <w:ind w:left="640" w:leftChars="200" w:firstLine="0" w:firstLineChars="0"/>
        <w:rPr>
          <w:rFonts w:ascii="仿宋" w:hAnsi="仿宋" w:eastAsia="仿宋"/>
          <w:color w:val="000000"/>
          <w:sz w:val="32"/>
          <w:szCs w:val="32"/>
        </w:rPr>
      </w:pPr>
      <w:r>
        <w:rPr>
          <w:rFonts w:ascii="仿宋" w:hAnsi="仿宋" w:eastAsia="仿宋"/>
          <w:color w:val="000000"/>
          <w:sz w:val="32"/>
          <w:szCs w:val="32"/>
        </w:rPr>
        <w:t>预防保健科、内科、外科（普通外科）、妇产科、妇女保健科、儿科、中医科</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3"/>
        <w:jc w:val="center"/>
        <w:rPr>
          <w:rFonts w:ascii="黑体" w:hAnsi="黑体" w:eastAsia="黑体" w:cs="黑体"/>
        </w:rPr>
      </w:pPr>
      <w:bookmarkStart w:id="24" w:name="_Toc16001"/>
      <w:bookmarkStart w:id="25"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4"/>
        <w:ind w:firstLine="643" w:firstLineChars="200"/>
        <w:rPr>
          <w:rFonts w:ascii="黑体" w:eastAsia="黑体" w:cs="Times New Roman"/>
          <w:bCs w:val="0"/>
          <w:color w:val="000000"/>
        </w:rPr>
      </w:pPr>
      <w:bookmarkStart w:id="26" w:name="_Toc15377205"/>
      <w:bookmarkStart w:id="27" w:name="_Toc20541"/>
      <w:bookmarkStart w:id="28" w:name="_Toc111208499"/>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0.00</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增加0.00</w:t>
      </w:r>
      <w:r>
        <w:rPr>
          <w:rFonts w:hint="eastAsia" w:ascii="仿宋" w:hAnsi="仿宋" w:eastAsia="仿宋"/>
          <w:color w:val="000000"/>
          <w:sz w:val="32"/>
          <w:szCs w:val="32"/>
        </w:rPr>
        <w:t>万元，</w:t>
      </w:r>
      <w:r>
        <w:rPr>
          <w:rFonts w:ascii="仿宋" w:hAnsi="仿宋" w:eastAsia="仿宋"/>
          <w:color w:val="000000"/>
          <w:sz w:val="32"/>
          <w:szCs w:val="32"/>
        </w:rPr>
        <w:t>增加0.00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2"/>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29" w:name="_Toc15377206"/>
      <w:bookmarkStart w:id="30" w:name="_Toc111208500"/>
      <w:bookmarkStart w:id="31" w:name="_Toc25498"/>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140.72万元，其中：一般公共预算财政拨款收入140.72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14"/>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2" w:name="_Toc111208501"/>
      <w:bookmarkStart w:id="33" w:name="_Toc15377207"/>
      <w:bookmarkStart w:id="34" w:name="_Toc6080"/>
      <w:r>
        <w:rPr>
          <w:rFonts w:hint="eastAsia" w:ascii="黑体" w:eastAsia="黑体" w:cs="Times New Roman"/>
          <w:bCs w:val="0"/>
          <w:color w:val="000000"/>
        </w:rPr>
        <w:t>三、支出决算情况说明</w:t>
      </w:r>
      <w:bookmarkEnd w:id="32"/>
      <w:bookmarkEnd w:id="33"/>
      <w:bookmarkEnd w:id="34"/>
    </w:p>
    <w:p>
      <w:pPr>
        <w:pStyle w:val="2"/>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0.00</w:t>
      </w:r>
      <w:r>
        <w:rPr>
          <w:rFonts w:ascii="仿宋" w:hAnsi="仿宋" w:eastAsia="仿宋"/>
          <w:color w:val="000000"/>
          <w:sz w:val="32"/>
          <w:szCs w:val="32"/>
        </w:rPr>
        <w:t>万元，其中：基本支出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%；项目支出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pPr>
    </w:p>
    <w:p>
      <w:pPr>
        <w:pStyle w:val="4"/>
        <w:ind w:firstLine="643" w:firstLineChars="200"/>
        <w:rPr>
          <w:rFonts w:ascii="黑体" w:eastAsia="黑体" w:cs="Times New Roman"/>
          <w:bCs w:val="0"/>
          <w:color w:val="000000"/>
        </w:rPr>
      </w:pPr>
      <w:bookmarkStart w:id="35" w:name="_Toc111208502"/>
      <w:bookmarkStart w:id="36" w:name="_Toc15377208"/>
      <w:bookmarkStart w:id="37" w:name="_Toc6346"/>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年财政拨款收、支总计0.00万元。与2021年相比，财政拨款收、支总计各增加0.00万元，增加0.00 %。主要变动原因是上年统一上报，今年分单位上报无上年数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w:t>
      </w:r>
    </w:p>
    <w:p>
      <w:pPr>
        <w:pStyle w:val="2"/>
        <w:ind w:firstLine="0"/>
      </w:pPr>
    </w:p>
    <w:p>
      <w:pPr>
        <w:pStyle w:val="2"/>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jc w:val="center"/>
      </w:pPr>
    </w:p>
    <w:p>
      <w:pPr>
        <w:pStyle w:val="4"/>
        <w:ind w:firstLine="643" w:firstLineChars="200"/>
        <w:rPr>
          <w:rFonts w:ascii="黑体" w:eastAsia="黑体" w:cs="Times New Roman"/>
          <w:bCs w:val="0"/>
          <w:color w:val="000000"/>
        </w:rPr>
      </w:pPr>
      <w:bookmarkStart w:id="38" w:name="_Toc15377209"/>
      <w:bookmarkStart w:id="39" w:name="_Toc111208503"/>
      <w:bookmarkStart w:id="40" w:name="_Toc17578"/>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年一般公共预算财政拨款支出140.72</w:t>
      </w:r>
      <w:r>
        <w:rPr>
          <w:rFonts w:hint="eastAsia" w:ascii="仿宋" w:hAnsi="仿宋" w:eastAsia="仿宋"/>
          <w:color w:val="000000"/>
          <w:sz w:val="32"/>
          <w:szCs w:val="32"/>
        </w:rPr>
        <w:t>万元，占本年支出合计的</w:t>
      </w:r>
      <w:r>
        <w:rPr>
          <w:rFonts w:ascii="仿宋" w:hAnsi="仿宋" w:eastAsia="仿宋"/>
          <w:color w:val="000000"/>
          <w:sz w:val="32"/>
          <w:u w:color="auto"/>
        </w:rPr>
        <w:t>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主要变动原因是上年统一上报，今年分单位上报无上年数</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2"/>
        <w:ind w:firstLine="0"/>
        <w:rPr>
          <w:rFonts w:ascii="仿宋_GB2312" w:hAnsi="仿宋" w:eastAsia="仿宋_GB2312"/>
          <w:b/>
          <w:color w:val="000000"/>
          <w:sz w:val="32"/>
          <w:szCs w:val="32"/>
        </w:rPr>
      </w:pPr>
    </w:p>
    <w:p>
      <w:pPr>
        <w:pStyle w:val="2"/>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年一般公共预算财政拨款支出140.72</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2"/>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444"/>
      <w:bookmarkStart w:id="45" w:name="_Toc15378460"/>
      <w:bookmarkStart w:id="46" w:name="_Toc15377213"/>
      <w:r>
        <w:rPr>
          <w:rFonts w:hint="eastAsia" w:ascii="仿宋" w:hAnsi="仿宋" w:eastAsia="仿宋"/>
          <w:color w:val="000000"/>
          <w:sz w:val="32"/>
          <w:szCs w:val="32"/>
        </w:rPr>
        <w:t>2022</w:t>
      </w:r>
      <w:r>
        <w:rPr>
          <w:rFonts w:ascii="仿宋" w:hAnsi="仿宋" w:eastAsia="仿宋"/>
          <w:color w:val="000000"/>
          <w:sz w:val="32"/>
          <w:u w:color="auto"/>
        </w:rPr>
        <w:t>年一般公共预算支出决算数为140.72</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1.社会保障和就业支出（208）行政事业单位养老支出（20805）机关事业单位基本养老保险缴费支出（2080505）支出决算10.65万元，完成预算100%。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2.社会保障和就业支出（208）行政事业单位养老支出（20805）机关事业单位职业年金缴费支出（2080506）支出决算4.77万元，完成预算100%。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3.卫生健康支出（210）基层医疗卫生机构（21003）乡镇卫生院（2100302）支出决算98.02万元，完成预算100%。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4.卫生健康支出（210）基层医疗卫生机构（21003）其他基层医疗卫生机构支出（2100399）支出决算2.67万元，完成预算100%。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5.卫生健康支出（210）公共卫生（21004）基本公共卫生服务（2100408）支出决算8.80万元，完成预算100%。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6.卫生健康支出（210）行政事业单位医疗（21011）事业单位医疗（2101102）支出决算6.23万元，完成预算100%。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7.住房保障支出（221）住房改革支出（22102）住房公积金（2210201）支出决算9.58万元，完成预算100%。</w:t>
      </w:r>
    </w:p>
    <w:p>
      <w:pPr>
        <w:pStyle w:val="4"/>
        <w:ind w:firstLine="643" w:firstLineChars="200"/>
        <w:rPr>
          <w:rFonts w:ascii="黑体" w:eastAsia="黑体" w:cs="Times New Roman"/>
          <w:b w:val="0"/>
          <w:color w:val="000000"/>
        </w:rPr>
      </w:pPr>
      <w:bookmarkStart w:id="47" w:name="_Toc15377214"/>
      <w:bookmarkStart w:id="48" w:name="_Toc111208504"/>
      <w:bookmarkStart w:id="49" w:name="_Toc24000"/>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年一般公共预算财政拨款基本支出129.25</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128.07</w:t>
      </w:r>
      <w:r>
        <w:rPr>
          <w:rFonts w:hint="eastAsia" w:ascii="仿宋" w:hAnsi="仿宋" w:eastAsia="仿宋"/>
          <w:color w:val="000000"/>
          <w:sz w:val="32"/>
          <w:szCs w:val="32"/>
        </w:rPr>
        <w:t>万元，主要包括：</w:t>
      </w:r>
      <w:r>
        <w:rPr>
          <w:rFonts w:ascii="仿宋" w:hAnsi="仿宋" w:eastAsia="仿宋"/>
          <w:color w:val="000000"/>
          <w:sz w:val="32"/>
          <w:u w:color="auto"/>
        </w:rPr>
        <w:t>基本工资22.86万元、津贴补贴26.20万元、奖金31.26万元、绩效工资15.94万元、机关事业单位基本养老保险缴费10.65万元、职业年金缴费4.77万元、职工基本医疗保险缴费6.23万元、其他社会保障缴费0.58万元、住房公积金9.58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1.19</w:t>
      </w:r>
      <w:r>
        <w:rPr>
          <w:rFonts w:hint="eastAsia" w:ascii="仿宋" w:hAnsi="仿宋" w:eastAsia="仿宋"/>
          <w:color w:val="000000"/>
          <w:sz w:val="32"/>
          <w:szCs w:val="32"/>
        </w:rPr>
        <w:t>万元，主要包括：</w:t>
      </w:r>
      <w:r>
        <w:rPr>
          <w:rFonts w:ascii="仿宋" w:hAnsi="仿宋" w:eastAsia="仿宋"/>
          <w:color w:val="000000"/>
          <w:sz w:val="32"/>
          <w:u w:color="auto"/>
        </w:rPr>
        <w:t>工会经费1.19万元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0" w:name="_Toc111208505"/>
      <w:bookmarkStart w:id="51" w:name="_Toc15377215"/>
      <w:bookmarkStart w:id="52" w:name="_Toc32593"/>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2"/>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2"/>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56" w:name="_Toc111208506"/>
      <w:bookmarkStart w:id="57" w:name="_Toc19281"/>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4"/>
        <w:ind w:firstLine="643" w:firstLineChars="200"/>
        <w:rPr>
          <w:rFonts w:ascii="黑体" w:eastAsia="黑体" w:cs="Times New Roman"/>
          <w:bCs w:val="0"/>
          <w:color w:val="000000"/>
        </w:rPr>
      </w:pPr>
      <w:bookmarkStart w:id="59" w:name="_Toc12199"/>
      <w:bookmarkStart w:id="60" w:name="_Toc111208507"/>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1" w:name="_Toc111208508"/>
      <w:bookmarkStart w:id="62" w:name="_Toc23126"/>
      <w:bookmarkStart w:id="63" w:name="_Toc15377221"/>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增加100.00 %。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tbl>
      <w:tblPr>
        <w:tblStyle w:val="16"/>
        <w:tblW w:w="93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13"/>
        <w:gridCol w:w="456"/>
        <w:gridCol w:w="821"/>
        <w:gridCol w:w="1268"/>
        <w:gridCol w:w="1094"/>
        <w:gridCol w:w="1395"/>
        <w:gridCol w:w="996"/>
        <w:gridCol w:w="971"/>
        <w:gridCol w:w="15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13"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附件1：</w:t>
            </w:r>
          </w:p>
        </w:tc>
        <w:tc>
          <w:tcPr>
            <w:tcW w:w="433" w:type="dxa"/>
            <w:tcBorders>
              <w:top w:val="nil"/>
              <w:left w:val="nil"/>
              <w:bottom w:val="nil"/>
              <w:right w:val="nil"/>
            </w:tcBorders>
            <w:noWrap w:val="0"/>
            <w:vAlign w:val="center"/>
          </w:tcPr>
          <w:p>
            <w:pPr>
              <w:rPr>
                <w:rFonts w:hint="eastAsia" w:ascii="黑体" w:hAnsi="宋体" w:eastAsia="黑体" w:cs="黑体"/>
                <w:i w:val="0"/>
                <w:iCs w:val="0"/>
                <w:color w:val="000000"/>
                <w:sz w:val="24"/>
                <w:szCs w:val="24"/>
                <w:u w:val="none"/>
              </w:rPr>
            </w:pPr>
          </w:p>
        </w:tc>
        <w:tc>
          <w:tcPr>
            <w:tcW w:w="822" w:type="dxa"/>
            <w:tcBorders>
              <w:top w:val="nil"/>
              <w:left w:val="nil"/>
              <w:bottom w:val="nil"/>
              <w:right w:val="nil"/>
            </w:tcBorders>
            <w:noWrap w:val="0"/>
            <w:vAlign w:val="center"/>
          </w:tcPr>
          <w:p>
            <w:pPr>
              <w:rPr>
                <w:rFonts w:hint="eastAsia" w:ascii="黑体" w:hAnsi="宋体" w:eastAsia="黑体" w:cs="黑体"/>
                <w:i w:val="0"/>
                <w:iCs w:val="0"/>
                <w:color w:val="000000"/>
                <w:sz w:val="24"/>
                <w:szCs w:val="24"/>
                <w:u w:val="none"/>
              </w:rPr>
            </w:pPr>
          </w:p>
        </w:tc>
        <w:tc>
          <w:tcPr>
            <w:tcW w:w="1274" w:type="dxa"/>
            <w:tcBorders>
              <w:top w:val="nil"/>
              <w:left w:val="nil"/>
              <w:bottom w:val="nil"/>
              <w:right w:val="nil"/>
            </w:tcBorders>
            <w:noWrap w:val="0"/>
            <w:vAlign w:val="center"/>
          </w:tcPr>
          <w:p>
            <w:pPr>
              <w:rPr>
                <w:rFonts w:hint="eastAsia" w:ascii="黑体" w:hAnsi="宋体" w:eastAsia="黑体" w:cs="黑体"/>
                <w:i w:val="0"/>
                <w:iCs w:val="0"/>
                <w:color w:val="000000"/>
                <w:sz w:val="24"/>
                <w:szCs w:val="24"/>
                <w:u w:val="none"/>
              </w:rPr>
            </w:pPr>
          </w:p>
        </w:tc>
        <w:tc>
          <w:tcPr>
            <w:tcW w:w="1096"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399"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998"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974"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547"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9356" w:type="dxa"/>
            <w:gridSpan w:val="9"/>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中央对地方专项转移支付绩效自评表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068"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728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068"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728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2068"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地方主管部门</w:t>
            </w:r>
          </w:p>
        </w:tc>
        <w:tc>
          <w:tcPr>
            <w:tcW w:w="2370" w:type="dxa"/>
            <w:gridSpan w:val="2"/>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351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松潘县黄龙乡卫生院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基本公共卫生服务项目资金（万元）</w:t>
            </w: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全年预算（A）</w:t>
            </w: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其中：中央补助</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地方资金</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8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基层基本公共卫生服务项目（12类）资金（万元）</w:t>
            </w:r>
          </w:p>
        </w:tc>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10.21</w:t>
            </w: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其中：中央补助</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地方资金</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8"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52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09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397"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2521"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体目标</w:t>
            </w:r>
          </w:p>
        </w:tc>
        <w:tc>
          <w:tcPr>
            <w:tcW w:w="362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年初设定目标</w:t>
            </w:r>
          </w:p>
        </w:tc>
        <w:tc>
          <w:tcPr>
            <w:tcW w:w="4918"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3"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625"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c>
          <w:tcPr>
            <w:tcW w:w="4918"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1" w:hRule="atLeast"/>
        </w:trPr>
        <w:tc>
          <w:tcPr>
            <w:tcW w:w="8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4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健康档案建档数880。</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健康档案建档率99%。</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健康档案建档数880，99.33%</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稳定提高使用率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2"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健康教育设置健康教育宣传栏12期，健康教育咨询活动举办10次，健康教育讲座开展12次</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健康教育设置健康教育宣传栏12期，健康教育宣传活动举办10次，健康教育讲座开展12次</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指标2：健康教育设置健康教育宣传栏12期，健康教育咨询活动举办10次，健康教育讲座开展12次</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加强健康教育讲座的开展，全年完成12次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0"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65岁以上的老年人规范管理率72%（应管143人实际管理104）</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65岁以上的老年人规范管理率72%</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65岁以上的老年人规范管理率72%（应管143人实际管理104）</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加强老年人规范管理，及时完成年度体检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高血压患者管理率75%（管理69人，规范管理52）、2型糖尿病患者管理率30％（管理23人，规范管理7）。</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高血压患者管理率75%、2型糖尿病患者管理率30％</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指标6：高血压患者管理率69%（管理69人，规范管理52）、2型糖尿病患者管理率30％（管理23人，规范管理7）。</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CellMar>
            <w:top w:w="0" w:type="dxa"/>
            <w:left w:w="108" w:type="dxa"/>
            <w:bottom w:w="0" w:type="dxa"/>
            <w:right w:w="108" w:type="dxa"/>
          </w:tblCellMar>
        </w:tblPrEx>
        <w:trPr>
          <w:trHeight w:val="1058"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严重精神障碍患者规范管理率100%（应管4人，规范管理4）。</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严重精神障碍患者规范管理率100%（应管4人，规范管理4）</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加强重精患者服药率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孕产妇系统管理率达87.73%。</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孕产妇系统管理率达90%。</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孕产妇系统管理率达87.73%。</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提高早孕建册率及产后访视率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0-6岁儿童系统管理率达到56%。</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0-6岁儿童系统管理率达到56%。</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0-6岁儿童系统管理率达到56%。</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加强新生儿访视及0-6岁儿童健康管理。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项目完成时限</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城乡居民公共卫生差距</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居民健康保健意识和健康知识知晓率</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建档立卡贫困人口健康保健意识和健康知识知晓率</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8"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2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居民满意度、建档立卡贫困户满意度。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8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3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82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37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399"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7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bl>
    <w:p/>
    <w:p/>
    <w:p/>
    <w:p/>
    <w:p/>
    <w:p/>
    <w:p/>
    <w:p/>
    <w:p/>
    <w:p/>
    <w:p/>
    <w:p/>
    <w:p/>
    <w:p/>
    <w:tbl>
      <w:tblPr>
        <w:tblStyle w:val="16"/>
        <w:tblW w:w="91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
        <w:gridCol w:w="416"/>
        <w:gridCol w:w="710"/>
        <w:gridCol w:w="1508"/>
        <w:gridCol w:w="1158"/>
        <w:gridCol w:w="926"/>
        <w:gridCol w:w="1017"/>
        <w:gridCol w:w="151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492" w:type="dxa"/>
            <w:tcBorders>
              <w:top w:val="nil"/>
              <w:left w:val="nil"/>
              <w:bottom w:val="nil"/>
              <w:right w:val="nil"/>
            </w:tcBorders>
            <w:noWrap/>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Style w:val="35"/>
                <w:lang w:val="en-US" w:eastAsia="zh-CN" w:bidi="ar"/>
              </w:rPr>
              <w:t>附件</w:t>
            </w:r>
            <w:r>
              <w:rPr>
                <w:rStyle w:val="36"/>
                <w:rFonts w:eastAsia="宋体"/>
                <w:lang w:val="en-US" w:eastAsia="zh-CN" w:bidi="ar"/>
              </w:rPr>
              <w:t>2</w:t>
            </w:r>
          </w:p>
        </w:tc>
        <w:tc>
          <w:tcPr>
            <w:tcW w:w="388" w:type="dxa"/>
            <w:tcBorders>
              <w:top w:val="nil"/>
              <w:left w:val="nil"/>
              <w:bottom w:val="nil"/>
              <w:right w:val="nil"/>
            </w:tcBorders>
            <w:noWrap w:val="0"/>
            <w:vAlign w:val="center"/>
          </w:tcPr>
          <w:p>
            <w:pPr>
              <w:rPr>
                <w:rFonts w:hint="eastAsia" w:ascii="黑体" w:hAnsi="宋体" w:eastAsia="黑体" w:cs="黑体"/>
                <w:i w:val="0"/>
                <w:iCs w:val="0"/>
                <w:color w:val="000000"/>
                <w:sz w:val="24"/>
                <w:szCs w:val="24"/>
                <w:u w:val="none"/>
              </w:rPr>
            </w:pPr>
          </w:p>
        </w:tc>
        <w:tc>
          <w:tcPr>
            <w:tcW w:w="713" w:type="dxa"/>
            <w:tcBorders>
              <w:top w:val="nil"/>
              <w:left w:val="nil"/>
              <w:bottom w:val="nil"/>
              <w:right w:val="nil"/>
            </w:tcBorders>
            <w:noWrap w:val="0"/>
            <w:vAlign w:val="center"/>
          </w:tcPr>
          <w:p>
            <w:pPr>
              <w:rPr>
                <w:rFonts w:hint="eastAsia" w:ascii="黑体" w:hAnsi="宋体" w:eastAsia="黑体" w:cs="黑体"/>
                <w:i w:val="0"/>
                <w:iCs w:val="0"/>
                <w:color w:val="000000"/>
                <w:sz w:val="24"/>
                <w:szCs w:val="24"/>
                <w:u w:val="none"/>
              </w:rPr>
            </w:pPr>
          </w:p>
        </w:tc>
        <w:tc>
          <w:tcPr>
            <w:tcW w:w="1532" w:type="dxa"/>
            <w:tcBorders>
              <w:top w:val="nil"/>
              <w:left w:val="nil"/>
              <w:bottom w:val="nil"/>
              <w:right w:val="nil"/>
            </w:tcBorders>
            <w:noWrap w:val="0"/>
            <w:vAlign w:val="center"/>
          </w:tcPr>
          <w:p>
            <w:pPr>
              <w:rPr>
                <w:rFonts w:hint="eastAsia" w:ascii="黑体" w:hAnsi="宋体" w:eastAsia="黑体" w:cs="黑体"/>
                <w:i w:val="0"/>
                <w:iCs w:val="0"/>
                <w:color w:val="000000"/>
                <w:sz w:val="24"/>
                <w:szCs w:val="24"/>
                <w:u w:val="none"/>
              </w:rPr>
            </w:pPr>
          </w:p>
        </w:tc>
        <w:tc>
          <w:tcPr>
            <w:tcW w:w="1170"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934"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028"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489"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c>
          <w:tcPr>
            <w:tcW w:w="1449" w:type="dxa"/>
            <w:tcBorders>
              <w:top w:val="nil"/>
              <w:left w:val="nil"/>
              <w:bottom w:val="nil"/>
              <w:right w:val="nil"/>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7746"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转移支付区域（项目）绩效目标自评表</w:t>
            </w:r>
          </w:p>
        </w:tc>
        <w:tc>
          <w:tcPr>
            <w:tcW w:w="1449" w:type="dxa"/>
            <w:tcBorders>
              <w:top w:val="nil"/>
              <w:left w:val="nil"/>
              <w:bottom w:val="nil"/>
              <w:right w:val="nil"/>
            </w:tcBorders>
            <w:noWrap w:val="0"/>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7746" w:type="dxa"/>
            <w:gridSpan w:val="8"/>
            <w:tcBorders>
              <w:top w:val="nil"/>
              <w:left w:val="nil"/>
              <w:bottom w:val="single" w:color="000000" w:sz="4" w:space="0"/>
              <w:right w:val="nil"/>
            </w:tcBorders>
            <w:noWrap w:val="0"/>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（2022年度）</w:t>
            </w:r>
          </w:p>
        </w:tc>
        <w:tc>
          <w:tcPr>
            <w:tcW w:w="1449" w:type="dxa"/>
            <w:tcBorders>
              <w:top w:val="nil"/>
              <w:left w:val="nil"/>
              <w:bottom w:val="single" w:color="000000" w:sz="4" w:space="0"/>
              <w:right w:val="nil"/>
            </w:tcBorders>
            <w:noWrap w:val="0"/>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15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615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6153"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59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松潘县卫生健康局</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25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各基层医疗机构</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159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9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2.67</w:t>
            </w:r>
          </w:p>
        </w:tc>
        <w:tc>
          <w:tcPr>
            <w:tcW w:w="19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2.67</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 xml:space="preserve"> </w:t>
            </w:r>
            <w:r>
              <w:rPr>
                <w:rStyle w:val="38"/>
                <w:lang w:val="en-US" w:eastAsia="zh-CN" w:bidi="ar"/>
              </w:rPr>
              <w:t>其中：中央财政资金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2.67</w:t>
            </w:r>
          </w:p>
        </w:tc>
        <w:tc>
          <w:tcPr>
            <w:tcW w:w="196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2.67</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 xml:space="preserve"> </w:t>
            </w:r>
            <w:r>
              <w:rPr>
                <w:rStyle w:val="39"/>
                <w:lang w:val="en-US" w:eastAsia="zh-CN" w:bidi="ar"/>
              </w:rPr>
              <w:t xml:space="preserve">      地方资金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9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 xml:space="preserve">      </w:t>
            </w:r>
            <w:r>
              <w:rPr>
                <w:rStyle w:val="38"/>
                <w:lang w:val="en-US" w:eastAsia="zh-CN" w:bidi="ar"/>
              </w:rPr>
              <w:t xml:space="preserve">  其他资金</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96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31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31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31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31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31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31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31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93"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31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92"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3803"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3451"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c>
          <w:tcPr>
            <w:tcW w:w="1449"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5" w:hRule="atLeast"/>
        </w:trPr>
        <w:tc>
          <w:tcPr>
            <w:tcW w:w="492"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3"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目标1：基层医疗卫生机构按要求实施基本药物制度。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目标2：基本药物制度在村卫生室顺利实施。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目标3：基层医疗卫生机构服务质量进一步提高。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目标4：紧密型医共体等基层卫生综合改革在县域内稳步推进。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目标5：对基本药物制度补助满意度进一步提高。</w:t>
            </w:r>
          </w:p>
        </w:tc>
        <w:tc>
          <w:tcPr>
            <w:tcW w:w="3451"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492"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政府办基层医疗卫生机构实施国家基本药物制度覆盖率</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村卫生室实施国家基本药物制度覆盖率</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医共体建设符合“紧密型”“控费型 ”“同质化”“促分工”发展方向</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7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医院医务人员满意度</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492"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3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7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7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02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8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bl>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7" w:name="_Toc15377225"/>
      <w:bookmarkStart w:id="68" w:name="_Toc288"/>
      <w:bookmarkStart w:id="69" w:name="_Toc111208509"/>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ascii="仿宋_GB2312" w:eastAsia="仿宋_GB2312" w:cs="黑体"/>
          <w:sz w:val="32"/>
          <w:szCs w:val="32"/>
        </w:rPr>
      </w:pPr>
      <w:r>
        <w:rPr>
          <w:rFonts w:hint="eastAsia" w:ascii="仿宋" w:hAnsi="仿宋" w:eastAsia="仿宋"/>
          <w:color w:val="000000"/>
          <w:sz w:val="32"/>
          <w:szCs w:val="32"/>
        </w:rPr>
        <w:t>20.财政应返还额度：为行政事业单位会计核算科目，用于核算实行国库集中支付的行政事业单位应收财政返还的资金额度。</w:t>
      </w:r>
    </w:p>
    <w:p>
      <w:pPr>
        <w:widowControl/>
        <w:jc w:val="left"/>
        <w:rPr>
          <w:rStyle w:val="30"/>
          <w:rFonts w:ascii="黑体" w:hAnsi="黑体" w:eastAsia="黑体"/>
        </w:rPr>
      </w:pPr>
      <w:r>
        <w:rPr>
          <w:rStyle w:val="30"/>
          <w:rFonts w:ascii="黑体" w:hAnsi="黑体" w:eastAsia="黑体"/>
        </w:rPr>
        <w:br w:type="page"/>
      </w:r>
    </w:p>
    <w:p>
      <w:pPr>
        <w:pStyle w:val="3"/>
        <w:jc w:val="center"/>
        <w:rPr>
          <w:rFonts w:ascii="黑体" w:hAnsi="黑体" w:eastAsia="黑体" w:cs="黑体"/>
        </w:rPr>
      </w:pPr>
      <w:bookmarkStart w:id="70" w:name="_Toc20076"/>
      <w:bookmarkStart w:id="71" w:name="_Toc111208510"/>
      <w:r>
        <w:rPr>
          <w:rFonts w:hint="eastAsia" w:ascii="黑体" w:hAnsi="黑体" w:eastAsia="黑体" w:cs="黑体"/>
        </w:rPr>
        <w:t>第四部分 附件</w:t>
      </w:r>
      <w:bookmarkEnd w:id="70"/>
      <w:bookmarkEnd w:id="71"/>
    </w:p>
    <w:p>
      <w:pPr>
        <w:spacing w:line="580" w:lineRule="exact"/>
        <w:contextualSpacing/>
        <w:rPr>
          <w:rFonts w:hint="eastAsia" w:ascii="黑体" w:eastAsia="黑体" w:cs="黑体"/>
          <w:szCs w:val="32"/>
          <w:highlight w:val="none"/>
          <w:lang w:val="zh-CN" w:eastAsia="zh-CN"/>
        </w:rPr>
      </w:pPr>
    </w:p>
    <w:p>
      <w:pPr>
        <w:widowControl/>
        <w:spacing w:line="580" w:lineRule="exact"/>
        <w:contextualSpacing/>
        <w:jc w:val="both"/>
        <w:rPr>
          <w:rFonts w:hint="eastAsia" w:ascii="宋体" w:eastAsia="宋体"/>
          <w:b/>
          <w:sz w:val="44"/>
          <w:szCs w:val="44"/>
          <w:highlight w:val="none"/>
          <w:shd w:val="clear" w:color="auto" w:fill="FFFFFF"/>
        </w:rPr>
      </w:pPr>
    </w:p>
    <w:p>
      <w:pPr>
        <w:widowControl/>
        <w:spacing w:line="580" w:lineRule="exact"/>
        <w:contextualSpacing/>
        <w:jc w:val="center"/>
        <w:rPr>
          <w:rFonts w:hint="default" w:ascii="宋体" w:eastAsia="宋体"/>
          <w:b/>
          <w:sz w:val="44"/>
          <w:szCs w:val="44"/>
          <w:highlight w:val="none"/>
          <w:shd w:val="clear" w:color="auto" w:fill="FFFFFF"/>
          <w:lang w:val="en-US" w:eastAsia="zh-CN"/>
        </w:rPr>
      </w:pPr>
      <w:r>
        <w:rPr>
          <w:rFonts w:hint="eastAsia" w:ascii="宋体" w:eastAsia="宋体"/>
          <w:b/>
          <w:sz w:val="44"/>
          <w:szCs w:val="44"/>
          <w:highlight w:val="none"/>
          <w:shd w:val="clear" w:color="auto" w:fill="FFFFFF"/>
          <w:lang w:val="en-US" w:eastAsia="zh-CN"/>
        </w:rPr>
        <w:t>松潘县黄龙乡卫生院</w:t>
      </w:r>
    </w:p>
    <w:p>
      <w:pPr>
        <w:widowControl/>
        <w:spacing w:line="580" w:lineRule="exact"/>
        <w:contextualSpacing/>
        <w:jc w:val="center"/>
        <w:rPr>
          <w:rFonts w:hint="eastAsia" w:ascii="宋体" w:eastAsia="宋体"/>
          <w:b/>
          <w:sz w:val="44"/>
          <w:szCs w:val="44"/>
          <w:highlight w:val="none"/>
          <w:shd w:val="clear" w:color="auto" w:fill="FFFFFF"/>
        </w:rPr>
      </w:pPr>
      <w:r>
        <w:rPr>
          <w:rFonts w:hint="eastAsia" w:ascii="宋体" w:eastAsia="宋体"/>
          <w:b/>
          <w:sz w:val="44"/>
          <w:szCs w:val="44"/>
          <w:highlight w:val="none"/>
          <w:shd w:val="clear" w:color="auto" w:fill="FFFFFF"/>
          <w:lang w:val="en-US" w:eastAsia="zh-CN"/>
        </w:rPr>
        <w:t>2022年—</w:t>
      </w:r>
      <w:r>
        <w:rPr>
          <w:rFonts w:hint="eastAsia" w:ascii="宋体" w:eastAsia="宋体"/>
          <w:b/>
          <w:sz w:val="44"/>
          <w:szCs w:val="44"/>
          <w:highlight w:val="none"/>
          <w:shd w:val="clear" w:color="auto" w:fill="FFFFFF"/>
        </w:rPr>
        <w:t>20</w:t>
      </w:r>
      <w:r>
        <w:rPr>
          <w:rFonts w:hint="eastAsia" w:ascii="宋体" w:eastAsia="宋体"/>
          <w:b/>
          <w:sz w:val="44"/>
          <w:szCs w:val="44"/>
          <w:highlight w:val="none"/>
          <w:shd w:val="clear" w:color="auto" w:fill="FFFFFF"/>
          <w:lang w:val="en-US" w:eastAsia="zh-CN"/>
        </w:rPr>
        <w:t>23</w:t>
      </w:r>
      <w:r>
        <w:rPr>
          <w:rFonts w:hint="eastAsia" w:ascii="宋体" w:eastAsia="宋体"/>
          <w:b/>
          <w:sz w:val="44"/>
          <w:szCs w:val="44"/>
          <w:highlight w:val="none"/>
          <w:shd w:val="clear" w:color="auto" w:fill="FFFFFF"/>
        </w:rPr>
        <w:t>年</w:t>
      </w:r>
      <w:r>
        <w:rPr>
          <w:rFonts w:hint="eastAsia" w:ascii="宋体" w:eastAsia="宋体"/>
          <w:b/>
          <w:sz w:val="44"/>
          <w:szCs w:val="44"/>
          <w:highlight w:val="none"/>
          <w:shd w:val="clear" w:color="auto" w:fill="FFFFFF"/>
          <w:lang w:val="en-US" w:eastAsia="zh-CN"/>
        </w:rPr>
        <w:t>6月</w:t>
      </w:r>
      <w:r>
        <w:rPr>
          <w:rFonts w:hint="eastAsia" w:ascii="宋体" w:eastAsia="宋体"/>
          <w:b/>
          <w:sz w:val="44"/>
          <w:szCs w:val="44"/>
          <w:highlight w:val="none"/>
          <w:shd w:val="clear" w:color="auto" w:fill="FFFFFF"/>
          <w:lang w:eastAsia="zh-CN"/>
        </w:rPr>
        <w:t>县</w:t>
      </w:r>
      <w:r>
        <w:rPr>
          <w:rFonts w:hint="eastAsia" w:ascii="宋体" w:eastAsia="宋体"/>
          <w:b/>
          <w:sz w:val="44"/>
          <w:szCs w:val="44"/>
          <w:highlight w:val="none"/>
          <w:shd w:val="clear" w:color="auto" w:fill="FFFFFF"/>
        </w:rPr>
        <w:t>级部门整体支出</w:t>
      </w:r>
    </w:p>
    <w:p>
      <w:pPr>
        <w:widowControl/>
        <w:spacing w:line="580" w:lineRule="exact"/>
        <w:contextualSpacing/>
        <w:jc w:val="center"/>
        <w:rPr>
          <w:rFonts w:ascii="宋体" w:eastAsia="宋体"/>
          <w:b/>
          <w:sz w:val="44"/>
          <w:szCs w:val="44"/>
          <w:highlight w:val="none"/>
          <w:shd w:val="clear" w:color="auto" w:fill="FFFFFF"/>
        </w:rPr>
      </w:pPr>
      <w:r>
        <w:rPr>
          <w:rFonts w:hint="eastAsia" w:ascii="宋体" w:eastAsia="宋体"/>
          <w:b/>
          <w:sz w:val="44"/>
          <w:szCs w:val="44"/>
          <w:highlight w:val="none"/>
          <w:shd w:val="clear" w:color="auto" w:fill="FFFFFF"/>
        </w:rPr>
        <w:t>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highlight w:val="none"/>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lang w:val="zh-CN"/>
        </w:rPr>
      </w:pPr>
      <w:r>
        <w:rPr>
          <w:rFonts w:hint="eastAsia" w:ascii="黑体" w:eastAsia="黑体" w:cs="宋体"/>
          <w:color w:val="000000"/>
          <w:kern w:val="0"/>
          <w:szCs w:val="32"/>
          <w:highlight w:val="none"/>
          <w:shd w:val="clear" w:color="auto" w:fill="FFFFFF"/>
        </w:rPr>
        <w:t>一、</w:t>
      </w:r>
      <w:r>
        <w:rPr>
          <w:rFonts w:hint="eastAsia" w:ascii="黑体" w:eastAsia="黑体" w:cs="宋体"/>
          <w:color w:val="000000"/>
          <w:kern w:val="0"/>
          <w:szCs w:val="32"/>
          <w:highlight w:val="none"/>
          <w:shd w:val="clear" w:color="auto" w:fill="FFFFFF"/>
          <w:lang w:val="zh-CN"/>
        </w:rPr>
        <w:t>部门（单位）概况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（一）机构组成。</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宋体" w:hAnsi="宋体" w:eastAsia="宋体"/>
          <w:color w:val="000000"/>
          <w:sz w:val="32"/>
          <w:szCs w:val="32"/>
          <w:highlight w:val="none"/>
          <w:lang w:eastAsia="zh-CN"/>
        </w:rPr>
        <w:t>松潘县黄龙</w:t>
      </w:r>
      <w:r>
        <w:rPr>
          <w:rFonts w:hint="eastAsia" w:ascii="宋体" w:hAnsi="宋体" w:eastAsia="宋体"/>
          <w:color w:val="000000"/>
          <w:sz w:val="32"/>
          <w:szCs w:val="32"/>
          <w:highlight w:val="none"/>
          <w:lang w:val="en-US" w:eastAsia="zh-CN"/>
        </w:rPr>
        <w:t>乡卫生院</w:t>
      </w:r>
      <w:r>
        <w:rPr>
          <w:rFonts w:hint="eastAsia" w:ascii="宋体" w:hAnsi="宋体" w:eastAsia="宋体"/>
          <w:color w:val="000000"/>
          <w:sz w:val="32"/>
          <w:szCs w:val="32"/>
          <w:highlight w:val="none"/>
          <w:lang w:eastAsia="zh-CN"/>
        </w:rPr>
        <w:t>属</w:t>
      </w:r>
      <w:r>
        <w:rPr>
          <w:rFonts w:hint="eastAsia" w:ascii="宋体" w:hAnsi="宋体" w:eastAsia="宋体"/>
          <w:color w:val="000000"/>
          <w:sz w:val="32"/>
          <w:szCs w:val="32"/>
          <w:highlight w:val="none"/>
          <w:lang w:val="en-US" w:eastAsia="zh-CN"/>
        </w:rPr>
        <w:t>事业</w:t>
      </w:r>
      <w:r>
        <w:rPr>
          <w:rFonts w:hint="eastAsia" w:ascii="宋体" w:hAnsi="宋体" w:eastAsia="宋体"/>
          <w:color w:val="000000"/>
          <w:sz w:val="32"/>
          <w:szCs w:val="32"/>
          <w:highlight w:val="none"/>
          <w:lang w:eastAsia="zh-CN"/>
        </w:rPr>
        <w:t>单位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（二）机构职能。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1、负责本乡镇的卫生工作法律法规、政策的贯彻，卫生事业发展规划和工作计划的制定，社会公共卫生工作的组织和实施。</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2、负责本乡镇的基本医疗服务。</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3、负责本乡镇突发公共卫生事件的报告，并依据上级部门要求组织实施处置。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4、负责本乡镇辖区内的卫生信息统计、分析、上报。</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5、负责对本乡镇辖区内村级卫生组织和乡村医生的业务指导和培训。</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6、负责承办政府卫生行政部门委托的相关业务和事项，负责上级卫生行政部门下达的其他工作。</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（三）人员概况。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年黄龙乡</w:t>
      </w:r>
      <w:r>
        <w:rPr>
          <w:rFonts w:hint="eastAsia" w:ascii="仿宋_GB2312" w:cs="宋体"/>
          <w:color w:val="000000"/>
          <w:kern w:val="0"/>
          <w:szCs w:val="32"/>
          <w:highlight w:val="none"/>
          <w:shd w:val="clear" w:color="auto" w:fill="FFFFFF"/>
          <w:lang w:val="en-US" w:eastAsia="zh-CN"/>
        </w:rPr>
        <w:t>卫生院</w:t>
      </w:r>
      <w:r>
        <w:rPr>
          <w:rFonts w:hint="eastAsia" w:ascii="仿宋_GB2312" w:cs="宋体"/>
          <w:color w:val="000000"/>
          <w:kern w:val="0"/>
          <w:szCs w:val="32"/>
          <w:highlight w:val="none"/>
          <w:shd w:val="clear" w:color="auto" w:fill="FFFFFF"/>
          <w:lang w:val="zh-CN"/>
        </w:rPr>
        <w:t>在职人数5人。</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二、部门财政资金收支情况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（一）部门财政资金收入情况。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年度财政拨款收入总计145.07万元（</w:t>
      </w:r>
      <w:r>
        <w:rPr>
          <w:rFonts w:hint="eastAsia" w:ascii="仿宋_GB2312" w:cs="宋体"/>
          <w:color w:val="000000"/>
          <w:kern w:val="0"/>
          <w:szCs w:val="32"/>
          <w:highlight w:val="none"/>
          <w:shd w:val="clear" w:color="auto" w:fill="FFFFFF"/>
          <w:lang w:val="en-US" w:eastAsia="zh-CN"/>
        </w:rPr>
        <w:t>2021年以前所有卫生院资金合并在大平台未分开）。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年1-6月公共预算财政拨款收入</w:t>
      </w:r>
      <w:r>
        <w:rPr>
          <w:rFonts w:hint="eastAsia" w:ascii="仿宋_GB2312" w:cs="宋体"/>
          <w:color w:val="000000"/>
          <w:kern w:val="0"/>
          <w:szCs w:val="32"/>
          <w:highlight w:val="none"/>
          <w:shd w:val="clear" w:color="auto" w:fill="FFFFFF"/>
          <w:lang w:val="en-US" w:eastAsia="zh-CN"/>
        </w:rPr>
        <w:t>144.48</w:t>
      </w:r>
      <w:r>
        <w:rPr>
          <w:rFonts w:hint="eastAsia" w:ascii="仿宋_GB2312" w:cs="宋体"/>
          <w:color w:val="000000"/>
          <w:kern w:val="0"/>
          <w:szCs w:val="32"/>
          <w:highlight w:val="none"/>
          <w:shd w:val="clear" w:color="auto" w:fill="FFFFFF"/>
          <w:lang w:val="zh-CN"/>
        </w:rPr>
        <w:t>万元</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（二）部门财政资金支出情况。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年度财政拨款支出140.76万元（</w:t>
      </w:r>
      <w:r>
        <w:rPr>
          <w:rFonts w:hint="eastAsia" w:ascii="仿宋_GB2312" w:cs="宋体"/>
          <w:color w:val="000000"/>
          <w:kern w:val="0"/>
          <w:szCs w:val="32"/>
          <w:highlight w:val="none"/>
          <w:shd w:val="clear" w:color="auto" w:fill="FFFFFF"/>
          <w:lang w:val="en-US" w:eastAsia="zh-CN"/>
        </w:rPr>
        <w:t>2021年以前所有卫生院资金合并在大平台未分开）</w:t>
      </w:r>
      <w:r>
        <w:rPr>
          <w:rFonts w:hint="eastAsia" w:ascii="仿宋_GB2312" w:cs="宋体"/>
          <w:color w:val="000000"/>
          <w:kern w:val="0"/>
          <w:szCs w:val="32"/>
          <w:highlight w:val="none"/>
          <w:shd w:val="clear" w:color="auto" w:fill="FFFFFF"/>
          <w:lang w:val="zh-CN"/>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1、202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年度一般公共预算财政拨款基本支出129.29万元，其中：</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人员经费</w:t>
      </w:r>
      <w:r>
        <w:rPr>
          <w:rFonts w:hint="eastAsia" w:ascii="仿宋_GB2312" w:cs="宋体"/>
          <w:color w:val="000000"/>
          <w:kern w:val="0"/>
          <w:szCs w:val="32"/>
          <w:highlight w:val="none"/>
          <w:shd w:val="clear" w:color="auto" w:fill="FFFFFF"/>
          <w:lang w:val="en-US" w:eastAsia="zh-CN"/>
        </w:rPr>
        <w:t>128.1</w:t>
      </w:r>
      <w:r>
        <w:rPr>
          <w:rFonts w:hint="eastAsia" w:ascii="仿宋_GB2312" w:cs="宋体"/>
          <w:color w:val="000000"/>
          <w:kern w:val="0"/>
          <w:szCs w:val="32"/>
          <w:highlight w:val="none"/>
          <w:shd w:val="clear" w:color="auto" w:fill="FFFFFF"/>
          <w:lang w:val="zh-CN"/>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zh-CN"/>
        </w:rPr>
        <w:t>公用经费</w:t>
      </w:r>
      <w:r>
        <w:rPr>
          <w:rFonts w:hint="eastAsia" w:ascii="仿宋_GB2312" w:cs="宋体"/>
          <w:color w:val="000000"/>
          <w:kern w:val="0"/>
          <w:szCs w:val="32"/>
          <w:highlight w:val="none"/>
          <w:shd w:val="clear" w:color="auto" w:fill="FFFFFF"/>
          <w:lang w:val="en-US" w:eastAsia="zh-CN"/>
        </w:rPr>
        <w:t>1.19</w:t>
      </w:r>
      <w:r>
        <w:rPr>
          <w:rFonts w:hint="eastAsia" w:ascii="仿宋_GB2312" w:cs="宋体"/>
          <w:color w:val="000000"/>
          <w:kern w:val="0"/>
          <w:szCs w:val="32"/>
          <w:highlight w:val="none"/>
          <w:shd w:val="clear" w:color="auto" w:fill="FFFFFF"/>
          <w:lang w:val="zh-CN"/>
        </w:rPr>
        <w:t>万元，主要包括：工会经费</w:t>
      </w:r>
      <w:r>
        <w:rPr>
          <w:rFonts w:hint="eastAsia" w:ascii="仿宋_GB2312" w:cs="宋体"/>
          <w:color w:val="000000"/>
          <w:kern w:val="0"/>
          <w:szCs w:val="32"/>
          <w:highlight w:val="none"/>
          <w:shd w:val="clear" w:color="auto" w:fill="FFFFFF"/>
          <w:lang w:val="en-US" w:eastAsia="zh-CN"/>
        </w:rPr>
        <w:t>.</w:t>
      </w:r>
    </w:p>
    <w:p>
      <w:pPr>
        <w:widowControl/>
        <w:adjustRightInd w:val="0"/>
        <w:snapToGrid w:val="0"/>
        <w:spacing w:line="580" w:lineRule="exact"/>
        <w:ind w:firstLine="640" w:firstLineChars="200"/>
        <w:contextualSpacing/>
        <w:jc w:val="left"/>
        <w:rPr>
          <w:rFonts w:hint="default" w:ascii="仿宋_GB2312" w:eastAsia="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年项目支付11.47万元，</w:t>
      </w:r>
      <w:r>
        <w:rPr>
          <w:rFonts w:hint="eastAsia" w:ascii="仿宋_GB2312" w:cs="宋体"/>
          <w:color w:val="000000"/>
          <w:kern w:val="0"/>
          <w:szCs w:val="32"/>
          <w:highlight w:val="none"/>
          <w:shd w:val="clear" w:color="auto" w:fill="FFFFFF"/>
          <w:lang w:val="en-US" w:eastAsia="zh-CN"/>
        </w:rPr>
        <w:t>主要包括：基本药物补助资金，基本公共卫生服务补助资金。</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202</w:t>
      </w:r>
      <w:r>
        <w:rPr>
          <w:rFonts w:hint="eastAsia" w:ascii="仿宋_GB2312" w:cs="宋体"/>
          <w:color w:val="000000"/>
          <w:kern w:val="0"/>
          <w:szCs w:val="32"/>
          <w:highlight w:val="none"/>
          <w:shd w:val="clear" w:color="auto" w:fill="FFFFFF"/>
          <w:lang w:val="en-US" w:eastAsia="zh-CN"/>
        </w:rPr>
        <w:t>3</w:t>
      </w:r>
      <w:r>
        <w:rPr>
          <w:rFonts w:hint="eastAsia" w:ascii="仿宋_GB2312" w:cs="宋体"/>
          <w:color w:val="000000"/>
          <w:kern w:val="0"/>
          <w:szCs w:val="32"/>
          <w:highlight w:val="none"/>
          <w:shd w:val="clear" w:color="auto" w:fill="FFFFFF"/>
          <w:lang w:val="zh-CN"/>
        </w:rPr>
        <w:t>年1-6月公共预算财政拨款支出74.34万元。</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三、部门整体预算绩效管理情况（根据适用指标体系进行调整</w:t>
      </w:r>
      <w:r>
        <w:rPr>
          <w:rFonts w:hint="eastAsia" w:ascii="黑体" w:eastAsia="黑体" w:cs="宋体"/>
          <w:color w:val="000000"/>
          <w:kern w:val="0"/>
          <w:szCs w:val="32"/>
          <w:highlight w:val="none"/>
          <w:shd w:val="clear" w:color="auto" w:fill="FFFFFF"/>
          <w:lang w:eastAsia="zh-CN"/>
        </w:rPr>
        <w:t>，涉及有专项预算的部门，专项预算项目自评报告根据要求另行单独报送</w:t>
      </w:r>
      <w:r>
        <w:rPr>
          <w:rFonts w:hint="eastAsia" w:ascii="黑体" w:eastAsia="黑体" w:cs="宋体"/>
          <w:color w:val="000000"/>
          <w:kern w:val="0"/>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一</w:t>
      </w:r>
      <w:r>
        <w:rPr>
          <w:rFonts w:hint="eastAsia" w:ascii="仿宋_GB2312" w:cs="宋体"/>
          <w:color w:val="000000"/>
          <w:kern w:val="0"/>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二</w:t>
      </w:r>
      <w:r>
        <w:rPr>
          <w:rFonts w:hint="eastAsia" w:ascii="仿宋_GB2312" w:cs="宋体"/>
          <w:color w:val="000000"/>
          <w:kern w:val="0"/>
          <w:szCs w:val="32"/>
          <w:highlight w:val="none"/>
          <w:shd w:val="clear" w:color="auto" w:fill="FFFFFF"/>
          <w:lang w:val="zh-CN"/>
        </w:rPr>
        <w:t>）执行管理情况。</w:t>
      </w:r>
      <w:r>
        <w:rPr>
          <w:rFonts w:hint="eastAsia" w:ascii="仿宋_GB2312" w:cs="宋体"/>
          <w:color w:val="000000"/>
          <w:kern w:val="0"/>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从整体情况来看，我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三</w:t>
      </w:r>
      <w:r>
        <w:rPr>
          <w:rFonts w:hint="eastAsia" w:ascii="仿宋_GB2312" w:cs="宋体"/>
          <w:color w:val="000000"/>
          <w:kern w:val="0"/>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预决算公开：</w:t>
      </w:r>
      <w:r>
        <w:rPr>
          <w:rFonts w:hint="eastAsia" w:ascii="仿宋_GB2312" w:cs="宋体"/>
          <w:color w:val="000000"/>
          <w:kern w:val="0"/>
          <w:szCs w:val="32"/>
          <w:highlight w:val="none"/>
          <w:shd w:val="clear" w:color="auto" w:fill="FFFFFF"/>
          <w:lang w:val="en-US" w:eastAsia="zh-CN"/>
        </w:rPr>
        <w:t>2022</w:t>
      </w:r>
      <w:r>
        <w:rPr>
          <w:rFonts w:hint="eastAsia" w:ascii="仿宋_GB2312" w:cs="宋体"/>
          <w:color w:val="000000"/>
          <w:kern w:val="0"/>
          <w:szCs w:val="32"/>
          <w:highlight w:val="none"/>
          <w:shd w:val="clear" w:color="auto" w:fill="FFFFFF"/>
          <w:lang w:val="zh-CN"/>
        </w:rPr>
        <w:t>年，我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资产管理：202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“三公经费”控制情况：贯彻落实上级有关精神，严格控制“三公经费”支出。我单位202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无</w:t>
      </w:r>
      <w:r>
        <w:rPr>
          <w:rFonts w:hint="eastAsia" w:ascii="仿宋_GB2312" w:cs="宋体"/>
          <w:color w:val="000000"/>
          <w:kern w:val="0"/>
          <w:szCs w:val="32"/>
          <w:highlight w:val="none"/>
          <w:shd w:val="clear" w:color="auto" w:fill="FFFFFF"/>
          <w:lang w:val="zh-CN"/>
        </w:rPr>
        <w:t>“三公”经费支出。内部管理制度建设情况：近年来，我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四</w:t>
      </w:r>
      <w:r>
        <w:rPr>
          <w:rFonts w:hint="eastAsia" w:ascii="仿宋_GB2312" w:cs="宋体"/>
          <w:color w:val="000000"/>
          <w:kern w:val="0"/>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此次绩效评价的目的是：严格落实《</w:t>
      </w:r>
      <w:r>
        <w:rPr>
          <w:rFonts w:hint="eastAsia" w:ascii="仿宋_GB2312" w:cs="宋体"/>
          <w:color w:val="000000"/>
          <w:kern w:val="0"/>
          <w:szCs w:val="32"/>
          <w:highlight w:val="none"/>
          <w:shd w:val="clear" w:color="auto" w:fill="FFFFFF"/>
          <w:lang w:val="en-US" w:eastAsia="zh-CN"/>
        </w:rPr>
        <w:t>中华人民共和国</w:t>
      </w:r>
      <w:bookmarkStart w:id="89" w:name="_GoBack"/>
      <w:bookmarkEnd w:id="89"/>
      <w:r>
        <w:rPr>
          <w:rFonts w:hint="eastAsia" w:ascii="仿宋_GB2312" w:cs="宋体"/>
          <w:color w:val="000000"/>
          <w:kern w:val="0"/>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五</w:t>
      </w:r>
      <w:r>
        <w:rPr>
          <w:rFonts w:hint="eastAsia" w:ascii="仿宋_GB2312" w:cs="宋体"/>
          <w:color w:val="000000"/>
          <w:kern w:val="0"/>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严肃财经纪律、规范财务管理、筑牢财政资金安全防线、防范财政资金管理风险。把财经纪律执行工作的各项任务落到实处。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 xml:space="preserve">                               2023年7月12日</w:t>
      </w: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 xml:space="preserve">                             松潘县黄龙乡卫生院</w:t>
      </w:r>
    </w:p>
    <w:p>
      <w:pPr>
        <w:pStyle w:val="3"/>
        <w:jc w:val="center"/>
        <w:rPr>
          <w:rFonts w:ascii="黑体" w:hAnsi="黑体" w:eastAsia="黑体" w:cs="黑体"/>
        </w:rPr>
      </w:pPr>
      <w:bookmarkStart w:id="72" w:name="_Toc111208512"/>
      <w:bookmarkStart w:id="73" w:name="_Toc16128"/>
      <w:bookmarkStart w:id="74" w:name="_Toc79163635"/>
      <w:bookmarkStart w:id="75" w:name="_Toc79163885"/>
      <w:r>
        <w:rPr>
          <w:rFonts w:hint="eastAsia" w:ascii="黑体" w:hAnsi="黑体" w:eastAsia="黑体" w:cs="黑体"/>
        </w:rPr>
        <w:t>第五部分 附表</w:t>
      </w:r>
      <w:bookmarkEnd w:id="72"/>
      <w:bookmarkEnd w:id="73"/>
      <w:bookmarkEnd w:id="74"/>
      <w:bookmarkEnd w:id="75"/>
    </w:p>
    <w:p>
      <w:pPr>
        <w:pStyle w:val="4"/>
        <w:ind w:firstLine="643" w:firstLineChars="200"/>
        <w:rPr>
          <w:rFonts w:hint="eastAsia" w:ascii="黑体" w:eastAsia="黑体" w:cs="Times New Roman"/>
          <w:bCs w:val="0"/>
          <w:color w:val="000000"/>
        </w:rPr>
      </w:pPr>
      <w:bookmarkStart w:id="76" w:name="_Toc19345"/>
      <w:r>
        <w:rPr>
          <w:rFonts w:hint="eastAsia" w:ascii="黑体" w:eastAsia="黑体" w:cs="Times New Roman"/>
          <w:bCs w:val="0"/>
          <w:color w:val="000000"/>
        </w:rPr>
        <w:t>一、收入支出决算总表</w:t>
      </w:r>
      <w:bookmarkEnd w:id="76"/>
    </w:p>
    <w:p>
      <w:pPr>
        <w:pStyle w:val="4"/>
        <w:ind w:firstLine="643" w:firstLineChars="200"/>
        <w:rPr>
          <w:rFonts w:hint="eastAsia" w:ascii="黑体" w:eastAsia="黑体" w:cs="Times New Roman"/>
          <w:bCs w:val="0"/>
          <w:color w:val="000000"/>
        </w:rPr>
      </w:pPr>
      <w:bookmarkStart w:id="77" w:name="_Toc5091"/>
      <w:r>
        <w:rPr>
          <w:rFonts w:hint="eastAsia" w:ascii="黑体" w:eastAsia="黑体" w:cs="Times New Roman"/>
          <w:bCs w:val="0"/>
          <w:color w:val="000000"/>
        </w:rPr>
        <w:t>二、收入决算表</w:t>
      </w:r>
      <w:bookmarkEnd w:id="77"/>
    </w:p>
    <w:p>
      <w:pPr>
        <w:pStyle w:val="4"/>
        <w:ind w:firstLine="643" w:firstLineChars="200"/>
        <w:rPr>
          <w:rFonts w:hint="eastAsia" w:ascii="黑体" w:eastAsia="黑体" w:cs="Times New Roman"/>
          <w:bCs w:val="0"/>
          <w:color w:val="000000"/>
        </w:rPr>
      </w:pPr>
      <w:bookmarkStart w:id="78" w:name="_Toc5639"/>
      <w:r>
        <w:rPr>
          <w:rFonts w:hint="eastAsia" w:ascii="黑体" w:eastAsia="黑体" w:cs="Times New Roman"/>
          <w:bCs w:val="0"/>
          <w:color w:val="000000"/>
        </w:rPr>
        <w:t>三、支出决算表</w:t>
      </w:r>
      <w:bookmarkEnd w:id="78"/>
    </w:p>
    <w:p>
      <w:pPr>
        <w:pStyle w:val="4"/>
        <w:ind w:firstLine="643" w:firstLineChars="200"/>
        <w:rPr>
          <w:rFonts w:hint="eastAsia" w:ascii="黑体" w:eastAsia="黑体" w:cs="Times New Roman"/>
          <w:bCs w:val="0"/>
          <w:color w:val="000000"/>
        </w:rPr>
      </w:pPr>
      <w:bookmarkStart w:id="79" w:name="_Toc20160"/>
      <w:r>
        <w:rPr>
          <w:rFonts w:hint="eastAsia" w:ascii="黑体" w:eastAsia="黑体" w:cs="Times New Roman"/>
          <w:bCs w:val="0"/>
          <w:color w:val="000000"/>
        </w:rPr>
        <w:t>四、财政拨款收入支出决算总表</w:t>
      </w:r>
      <w:bookmarkEnd w:id="79"/>
    </w:p>
    <w:p>
      <w:pPr>
        <w:pStyle w:val="4"/>
        <w:ind w:firstLine="643" w:firstLineChars="200"/>
        <w:rPr>
          <w:rFonts w:hint="eastAsia" w:ascii="黑体" w:eastAsia="黑体" w:cs="Times New Roman"/>
          <w:bCs w:val="0"/>
          <w:color w:val="000000"/>
        </w:rPr>
      </w:pPr>
      <w:bookmarkStart w:id="80" w:name="_Toc13786"/>
      <w:r>
        <w:rPr>
          <w:rFonts w:hint="eastAsia" w:ascii="黑体" w:eastAsia="黑体" w:cs="Times New Roman"/>
          <w:bCs w:val="0"/>
          <w:color w:val="000000"/>
        </w:rPr>
        <w:t>五、财政拨款支出决算明细表</w:t>
      </w:r>
      <w:bookmarkEnd w:id="80"/>
    </w:p>
    <w:p>
      <w:pPr>
        <w:pStyle w:val="4"/>
        <w:ind w:firstLine="643" w:firstLineChars="200"/>
        <w:rPr>
          <w:rFonts w:hint="eastAsia" w:ascii="黑体" w:eastAsia="黑体" w:cs="Times New Roman"/>
          <w:bCs w:val="0"/>
          <w:color w:val="000000"/>
        </w:rPr>
      </w:pPr>
      <w:bookmarkStart w:id="81" w:name="_Toc8367"/>
      <w:r>
        <w:rPr>
          <w:rFonts w:hint="eastAsia" w:ascii="黑体" w:eastAsia="黑体" w:cs="Times New Roman"/>
          <w:bCs w:val="0"/>
          <w:color w:val="000000"/>
        </w:rPr>
        <w:t>六、一般公共预算财政拨款支出决算表</w:t>
      </w:r>
      <w:bookmarkEnd w:id="81"/>
    </w:p>
    <w:p>
      <w:pPr>
        <w:pStyle w:val="4"/>
        <w:ind w:firstLine="643" w:firstLineChars="200"/>
        <w:rPr>
          <w:rFonts w:hint="eastAsia" w:ascii="黑体" w:eastAsia="黑体" w:cs="Times New Roman"/>
          <w:bCs w:val="0"/>
          <w:color w:val="000000"/>
        </w:rPr>
      </w:pPr>
      <w:bookmarkStart w:id="82" w:name="_Toc17399"/>
      <w:r>
        <w:rPr>
          <w:rFonts w:hint="eastAsia" w:ascii="黑体" w:eastAsia="黑体" w:cs="Times New Roman"/>
          <w:bCs w:val="0"/>
          <w:color w:val="000000"/>
        </w:rPr>
        <w:t>七、一般公共预算财政拨款支出决算明细表</w:t>
      </w:r>
      <w:bookmarkEnd w:id="82"/>
    </w:p>
    <w:p>
      <w:pPr>
        <w:pStyle w:val="4"/>
        <w:ind w:firstLine="643" w:firstLineChars="200"/>
        <w:rPr>
          <w:rFonts w:hint="eastAsia" w:ascii="黑体" w:eastAsia="黑体" w:cs="Times New Roman"/>
          <w:bCs w:val="0"/>
          <w:color w:val="000000"/>
        </w:rPr>
      </w:pPr>
      <w:bookmarkStart w:id="83" w:name="_Toc8764"/>
      <w:r>
        <w:rPr>
          <w:rFonts w:hint="eastAsia" w:ascii="黑体" w:eastAsia="黑体" w:cs="Times New Roman"/>
          <w:bCs w:val="0"/>
          <w:color w:val="000000"/>
        </w:rPr>
        <w:t>八、一般公共预算财政拨款基本支出决算表</w:t>
      </w:r>
      <w:bookmarkEnd w:id="83"/>
    </w:p>
    <w:p>
      <w:pPr>
        <w:pStyle w:val="4"/>
        <w:ind w:firstLine="643" w:firstLineChars="200"/>
        <w:rPr>
          <w:rFonts w:hint="eastAsia" w:ascii="黑体" w:eastAsia="黑体" w:cs="Times New Roman"/>
          <w:bCs w:val="0"/>
          <w:color w:val="000000"/>
        </w:rPr>
      </w:pPr>
      <w:bookmarkStart w:id="84" w:name="_Toc5316"/>
      <w:r>
        <w:rPr>
          <w:rFonts w:hint="eastAsia" w:ascii="黑体" w:eastAsia="黑体" w:cs="Times New Roman"/>
          <w:bCs w:val="0"/>
          <w:color w:val="000000"/>
        </w:rPr>
        <w:t>九、一般公共预算财政拨款项目支出决算表</w:t>
      </w:r>
      <w:bookmarkEnd w:id="84"/>
    </w:p>
    <w:p>
      <w:pPr>
        <w:pStyle w:val="4"/>
        <w:ind w:firstLine="643" w:firstLineChars="200"/>
        <w:rPr>
          <w:rFonts w:hint="eastAsia" w:ascii="黑体" w:eastAsia="黑体" w:cs="Times New Roman"/>
          <w:bCs w:val="0"/>
          <w:color w:val="000000"/>
        </w:rPr>
      </w:pPr>
      <w:bookmarkStart w:id="85" w:name="_Toc9239"/>
      <w:r>
        <w:rPr>
          <w:rFonts w:hint="eastAsia" w:ascii="黑体" w:eastAsia="黑体" w:cs="Times New Roman"/>
          <w:bCs w:val="0"/>
          <w:color w:val="000000"/>
        </w:rPr>
        <w:t>十、政府性基金预算财政拨款收入支出决算表</w:t>
      </w:r>
      <w:bookmarkEnd w:id="85"/>
    </w:p>
    <w:p>
      <w:pPr>
        <w:pStyle w:val="4"/>
        <w:ind w:firstLine="643" w:firstLineChars="200"/>
        <w:rPr>
          <w:rFonts w:hint="eastAsia" w:ascii="黑体" w:eastAsia="黑体" w:cs="Times New Roman"/>
          <w:bCs w:val="0"/>
          <w:color w:val="000000"/>
        </w:rPr>
      </w:pPr>
      <w:bookmarkStart w:id="86" w:name="_Toc21643"/>
      <w:r>
        <w:rPr>
          <w:rFonts w:hint="eastAsia" w:ascii="黑体" w:eastAsia="黑体" w:cs="Times New Roman"/>
          <w:bCs w:val="0"/>
          <w:color w:val="000000"/>
        </w:rPr>
        <w:t>十一、国有资本经营预算财政拨款收入支出决算表</w:t>
      </w:r>
      <w:bookmarkEnd w:id="86"/>
    </w:p>
    <w:p>
      <w:pPr>
        <w:pStyle w:val="4"/>
        <w:ind w:firstLine="643" w:firstLineChars="200"/>
        <w:rPr>
          <w:rFonts w:hint="eastAsia" w:ascii="黑体" w:eastAsia="黑体" w:cs="Times New Roman"/>
          <w:bCs w:val="0"/>
          <w:color w:val="000000"/>
        </w:rPr>
      </w:pPr>
      <w:bookmarkStart w:id="87" w:name="_Toc11859"/>
      <w:r>
        <w:rPr>
          <w:rFonts w:hint="eastAsia" w:ascii="黑体" w:eastAsia="黑体" w:cs="Times New Roman"/>
          <w:bCs w:val="0"/>
          <w:color w:val="000000"/>
        </w:rPr>
        <w:t>十二、国有资本经营预算财政拨款支出决算表</w:t>
      </w:r>
      <w:bookmarkEnd w:id="87"/>
    </w:p>
    <w:p>
      <w:pPr>
        <w:pStyle w:val="4"/>
        <w:ind w:firstLine="643" w:firstLineChars="200"/>
        <w:rPr>
          <w:rFonts w:ascii="黑体" w:eastAsia="黑体" w:cs="Times New Roman"/>
          <w:b w:val="0"/>
          <w:color w:val="000000"/>
        </w:rPr>
      </w:pPr>
      <w:bookmarkStart w:id="88" w:name="_Toc3136"/>
      <w:r>
        <w:rPr>
          <w:rFonts w:hint="eastAsia" w:ascii="黑体" w:eastAsia="黑体" w:cs="Times New Roman"/>
          <w:bCs w:val="0"/>
          <w:color w:val="000000"/>
        </w:rPr>
        <w:t>十三、财政拨款“三公”经费支出决算表</w:t>
      </w:r>
      <w:bookmarkEnd w:id="8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7DD7128"/>
    <w:rsid w:val="089C4B49"/>
    <w:rsid w:val="09081517"/>
    <w:rsid w:val="091B747D"/>
    <w:rsid w:val="0A19737C"/>
    <w:rsid w:val="0B7218AA"/>
    <w:rsid w:val="0B99373B"/>
    <w:rsid w:val="0BA37CB5"/>
    <w:rsid w:val="0CC176D4"/>
    <w:rsid w:val="0D0429D6"/>
    <w:rsid w:val="0D093B48"/>
    <w:rsid w:val="0D322E51"/>
    <w:rsid w:val="0D6C338E"/>
    <w:rsid w:val="0DB37F58"/>
    <w:rsid w:val="0F5E6610"/>
    <w:rsid w:val="10C055FF"/>
    <w:rsid w:val="11D56DF6"/>
    <w:rsid w:val="11ED6591"/>
    <w:rsid w:val="13367661"/>
    <w:rsid w:val="16BB723D"/>
    <w:rsid w:val="17BC7656"/>
    <w:rsid w:val="17EA348C"/>
    <w:rsid w:val="1840212F"/>
    <w:rsid w:val="184656CF"/>
    <w:rsid w:val="19943114"/>
    <w:rsid w:val="1AB026BC"/>
    <w:rsid w:val="1ABB32B6"/>
    <w:rsid w:val="1B591F82"/>
    <w:rsid w:val="1BF70747"/>
    <w:rsid w:val="1C06153F"/>
    <w:rsid w:val="1C986C96"/>
    <w:rsid w:val="1D7371C3"/>
    <w:rsid w:val="1DDC2BB3"/>
    <w:rsid w:val="1E34479D"/>
    <w:rsid w:val="1EF81F78"/>
    <w:rsid w:val="1F620905"/>
    <w:rsid w:val="201A6AB0"/>
    <w:rsid w:val="203B66A0"/>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FD04D3"/>
    <w:rsid w:val="2AD96438"/>
    <w:rsid w:val="2CAE1BBE"/>
    <w:rsid w:val="2CCF04B2"/>
    <w:rsid w:val="2E4C04E0"/>
    <w:rsid w:val="2F803D16"/>
    <w:rsid w:val="31810DA9"/>
    <w:rsid w:val="31903F88"/>
    <w:rsid w:val="319F7F4E"/>
    <w:rsid w:val="323A1C2F"/>
    <w:rsid w:val="329448A6"/>
    <w:rsid w:val="32F45598"/>
    <w:rsid w:val="35244754"/>
    <w:rsid w:val="364D41F6"/>
    <w:rsid w:val="36FD0156"/>
    <w:rsid w:val="38F8371D"/>
    <w:rsid w:val="39226F5F"/>
    <w:rsid w:val="39902098"/>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3684120"/>
    <w:rsid w:val="444F07DA"/>
    <w:rsid w:val="44601E28"/>
    <w:rsid w:val="44A358AA"/>
    <w:rsid w:val="475E72DC"/>
    <w:rsid w:val="47F514AF"/>
    <w:rsid w:val="4839282C"/>
    <w:rsid w:val="48FD75BD"/>
    <w:rsid w:val="4A745623"/>
    <w:rsid w:val="4D135D42"/>
    <w:rsid w:val="4D846266"/>
    <w:rsid w:val="4D8D78A2"/>
    <w:rsid w:val="4DF123A8"/>
    <w:rsid w:val="4E832A53"/>
    <w:rsid w:val="4F6F7A34"/>
    <w:rsid w:val="4FD74194"/>
    <w:rsid w:val="4FDA49F5"/>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2A42EE2"/>
    <w:rsid w:val="630D013F"/>
    <w:rsid w:val="63347FC4"/>
    <w:rsid w:val="63604CB9"/>
    <w:rsid w:val="64A36D0B"/>
    <w:rsid w:val="64C656C1"/>
    <w:rsid w:val="65DF63C9"/>
    <w:rsid w:val="662A7F2C"/>
    <w:rsid w:val="68DA2DB6"/>
    <w:rsid w:val="69725134"/>
    <w:rsid w:val="6B4666B6"/>
    <w:rsid w:val="6CC85DA9"/>
    <w:rsid w:val="6D8F2D6B"/>
    <w:rsid w:val="6DC31436"/>
    <w:rsid w:val="6ECB49CF"/>
    <w:rsid w:val="6ECB5A2B"/>
    <w:rsid w:val="70202A42"/>
    <w:rsid w:val="72227D09"/>
    <w:rsid w:val="72E476B5"/>
    <w:rsid w:val="73BE3A62"/>
    <w:rsid w:val="746C7E4B"/>
    <w:rsid w:val="750E6C6B"/>
    <w:rsid w:val="755E374E"/>
    <w:rsid w:val="76377F56"/>
    <w:rsid w:val="764B35A7"/>
    <w:rsid w:val="78A4106B"/>
    <w:rsid w:val="79975481"/>
    <w:rsid w:val="79F60BE5"/>
    <w:rsid w:val="7A1B4027"/>
    <w:rsid w:val="7A965738"/>
    <w:rsid w:val="7ABC1C9C"/>
    <w:rsid w:val="7B022DCE"/>
    <w:rsid w:val="7B272834"/>
    <w:rsid w:val="7B8F71DF"/>
    <w:rsid w:val="7CB2612E"/>
    <w:rsid w:val="7CC25607"/>
    <w:rsid w:val="7DE859ED"/>
    <w:rsid w:val="7E1833DB"/>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4"/>
    <w:qFormat/>
    <w:uiPriority w:val="0"/>
    <w:pPr>
      <w:keepNext/>
      <w:keepLines/>
      <w:spacing w:before="260" w:after="260" w:line="415" w:lineRule="auto"/>
      <w:outlineLvl w:val="2"/>
    </w:pPr>
    <w:rPr>
      <w:b/>
      <w:sz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680"/>
    </w:pPr>
  </w:style>
  <w:style w:type="paragraph" w:styleId="6">
    <w:name w:val="Document Map"/>
    <w:basedOn w:val="1"/>
    <w:qFormat/>
    <w:uiPriority w:val="0"/>
    <w:rPr>
      <w:rFonts w:ascii="宋体" w:eastAsia="宋体"/>
      <w:sz w:val="18"/>
      <w:szCs w:val="18"/>
    </w:rPr>
  </w:style>
  <w:style w:type="paragraph" w:styleId="7">
    <w:name w:val="annotation text"/>
    <w:basedOn w:val="1"/>
    <w:semiHidden/>
    <w:unhideWhenUsed/>
    <w:qFormat/>
    <w:uiPriority w:val="99"/>
    <w:pPr>
      <w:jc w:val="left"/>
    </w:pPr>
  </w:style>
  <w:style w:type="paragraph" w:styleId="8">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qFormat/>
    <w:uiPriority w:val="0"/>
    <w:rPr>
      <w:sz w:val="18"/>
      <w:szCs w:val="18"/>
    </w:rPr>
  </w:style>
  <w:style w:type="paragraph" w:styleId="11">
    <w:name w:val="footer"/>
    <w:basedOn w:val="1"/>
    <w:link w:val="26"/>
    <w:qFormat/>
    <w:uiPriority w:val="0"/>
    <w:pPr>
      <w:tabs>
        <w:tab w:val="center" w:pos="4153"/>
        <w:tab w:val="right" w:pos="8306"/>
      </w:tabs>
      <w:snapToGrid w:val="0"/>
      <w:jc w:val="left"/>
    </w:pPr>
    <w:rPr>
      <w:rFonts w:eastAsia="宋体"/>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2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2"/>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1"/>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8"/>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0"/>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character" w:customStyle="1" w:styleId="35">
    <w:name w:val="font91"/>
    <w:basedOn w:val="17"/>
    <w:qFormat/>
    <w:uiPriority w:val="0"/>
    <w:rPr>
      <w:rFonts w:ascii="黑体" w:hAnsi="宋体" w:eastAsia="黑体" w:cs="黑体"/>
      <w:color w:val="000000"/>
      <w:sz w:val="28"/>
      <w:szCs w:val="28"/>
      <w:u w:val="none"/>
    </w:rPr>
  </w:style>
  <w:style w:type="character" w:customStyle="1" w:styleId="36">
    <w:name w:val="font51"/>
    <w:basedOn w:val="17"/>
    <w:qFormat/>
    <w:uiPriority w:val="0"/>
    <w:rPr>
      <w:rFonts w:hint="default" w:ascii="Times New Roman" w:hAnsi="Times New Roman" w:cs="Times New Roman"/>
      <w:color w:val="000000"/>
      <w:sz w:val="28"/>
      <w:szCs w:val="28"/>
      <w:u w:val="none"/>
    </w:rPr>
  </w:style>
  <w:style w:type="character" w:customStyle="1" w:styleId="37">
    <w:name w:val="font41"/>
    <w:basedOn w:val="17"/>
    <w:qFormat/>
    <w:uiPriority w:val="0"/>
    <w:rPr>
      <w:rFonts w:hint="eastAsia" w:ascii="宋体" w:hAnsi="宋体" w:eastAsia="宋体" w:cs="宋体"/>
      <w:color w:val="000000"/>
      <w:sz w:val="20"/>
      <w:szCs w:val="20"/>
      <w:u w:val="none"/>
    </w:rPr>
  </w:style>
  <w:style w:type="character" w:customStyle="1" w:styleId="38">
    <w:name w:val="font121"/>
    <w:basedOn w:val="17"/>
    <w:qFormat/>
    <w:uiPriority w:val="0"/>
    <w:rPr>
      <w:rFonts w:hint="eastAsia" w:ascii="宋体" w:hAnsi="宋体" w:eastAsia="宋体" w:cs="宋体"/>
      <w:color w:val="000000"/>
      <w:sz w:val="20"/>
      <w:szCs w:val="20"/>
      <w:u w:val="none"/>
    </w:rPr>
  </w:style>
  <w:style w:type="character" w:customStyle="1" w:styleId="39">
    <w:name w:val="font131"/>
    <w:basedOn w:val="17"/>
    <w:qFormat/>
    <w:uiPriority w:val="0"/>
    <w:rPr>
      <w:rFonts w:hint="eastAsia" w:ascii="宋体" w:hAnsi="宋体" w:eastAsia="宋体" w:cs="宋体"/>
      <w:color w:val="000000"/>
      <w:sz w:val="20"/>
      <w:szCs w:val="20"/>
      <w:u w:val="none"/>
    </w:rPr>
  </w:style>
  <w:style w:type="character" w:customStyle="1" w:styleId="40">
    <w:name w:val="font11"/>
    <w:basedOn w:val="17"/>
    <w:qFormat/>
    <w:uiPriority w:val="0"/>
    <w:rPr>
      <w:rFonts w:hint="eastAsia" w:ascii="宋体" w:hAnsi="宋体" w:eastAsia="宋体" w:cs="宋体"/>
      <w:color w:val="000000"/>
      <w:sz w:val="18"/>
      <w:szCs w:val="18"/>
      <w:u w:val="none"/>
    </w:rPr>
  </w:style>
  <w:style w:type="paragraph" w:customStyle="1" w:styleId="41">
    <w:name w:val="四号正文"/>
    <w:basedOn w:val="1"/>
    <w:qFormat/>
    <w:uiPriority w:val="0"/>
    <w:pPr>
      <w:spacing w:line="360" w:lineRule="auto"/>
    </w:pPr>
    <w:rPr>
      <w:rFonts w:ascii="??" w:hAnsi="??" w:eastAsia="宋体" w:cs="宋体"/>
      <w:color w:val="000000"/>
      <w:kern w:val="0"/>
      <w:sz w:val="28"/>
      <w:szCs w:val="21"/>
    </w:rPr>
  </w:style>
  <w:style w:type="paragraph" w:customStyle="1" w:styleId="42">
    <w:name w:val="a"/>
    <w:basedOn w:val="1"/>
    <w:qFormat/>
    <w:uiPriority w:val="0"/>
    <w:pPr>
      <w:widowControl/>
      <w:spacing w:before="100" w:beforeAutospacing="1" w:after="100" w:afterAutospacing="1"/>
      <w:jc w:val="left"/>
    </w:pPr>
    <w:rPr>
      <w:rFonts w:asci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{0,0}</c:f>
              <c:numCache>
                <c:formatCode>General</c:formatCode>
                <c:ptCount val="2"/>
                <c:pt idx="0">
                  <c:v>0</c:v>
                </c:pt>
                <c:pt idx="1">
                  <c:v>0</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{0,0}</c:f>
              <c:numCache>
                <c:formatCode>General</c:formatCode>
                <c:ptCount val="2"/>
                <c:pt idx="0">
                  <c:v>0</c:v>
                </c:pt>
                <c:pt idx="1">
                  <c:v>0</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{1407187.71,0,0,0,0,0,0,0}</c:f>
              <c:numCache>
                <c:formatCode>General</c:formatCode>
                <c:ptCount val="8"/>
                <c:pt idx="0">
                  <c:v>1407187.71</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{0,0,0,0,0}</c:f>
              <c:numCache>
                <c:formatCode>General</c:formatCode>
                <c:ptCount val="5"/>
                <c:pt idx="0">
                  <c:v>0</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{0,0}</c:f>
              <c:numCache>
                <c:formatCode>General</c:formatCode>
                <c:ptCount val="2"/>
                <c:pt idx="0">
                  <c:v>0</c:v>
                </c:pt>
                <c:pt idx="1">
                  <c:v>0</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{0,0}</c:f>
              <c:numCache>
                <c:formatCode>General</c:formatCode>
                <c:ptCount val="2"/>
                <c:pt idx="0">
                  <c:v>0</c:v>
                </c:pt>
                <c:pt idx="1">
                  <c:v>0</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{140.72}</c:f>
              <c:numCache>
                <c:formatCode>General</c:formatCode>
                <c:ptCount val="1"/>
                <c:pt idx="0">
                  <c:v>140.72</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{140.72}</c:f>
              <c:numCache>
                <c:formatCode>General</c:formatCode>
                <c:ptCount val="1"/>
                <c:pt idx="0">
                  <c:v>140.72</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{15.42,115.72,9.58}</c:f>
              <c:numCache>
                <c:formatCode>General</c:formatCode>
                <c:ptCount val="3"/>
                <c:pt idx="0">
                  <c:v>15.42</c:v>
                </c:pt>
                <c:pt idx="1">
                  <c:v>115.72</c:v>
                </c:pt>
                <c:pt idx="2">
                  <c:v>9.58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28</Pages>
  <Words>7966</Words>
  <Characters>8957</Characters>
  <Lines>51</Lines>
  <Paragraphs>14</Paragraphs>
  <TotalTime>16</TotalTime>
  <ScaleCrop>false</ScaleCrop>
  <LinksUpToDate>false</LinksUpToDate>
  <CharactersWithSpaces>9125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2023-09-13T07:14:06Z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CE59649412C347AC95D0CB5ADCFDA491_13</vt:lpwstr>
  </property>
</Properties>
</file>