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96475"/>
      <w:bookmarkStart w:id="1" w:name="_Toc15377193"/>
      <w:bookmarkStart w:id="2" w:name="_Toc15377425"/>
      <w:bookmarkStart w:id="3" w:name="_Toc15378441"/>
      <w:bookmarkStart w:id="4" w:name="_Toc15396597"/>
      <w:bookmarkStart w:id="5" w:name="_Toc15306267"/>
      <w:bookmarkStart w:id="89" w:name="_GoBack"/>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77426"/>
      <w:bookmarkStart w:id="7" w:name="_Toc15378442"/>
      <w:bookmarkStart w:id="8" w:name="_Toc15377194"/>
      <w:bookmarkStart w:id="9" w:name="_Toc15306268"/>
      <w:bookmarkStart w:id="10" w:name="_Toc15396598"/>
      <w:bookmarkStart w:id="11" w:name="_Toc15396476"/>
      <w:r>
        <w:rPr>
          <w:rFonts w:asciiTheme="minorEastAsia" w:hAnsiTheme="minorEastAsia" w:eastAsiaTheme="minorEastAsia"/>
          <w:b/>
          <w:sz w:val="72"/>
          <w:szCs w:val="72"/>
        </w:rPr>
        <w:t>阿坝州松潘县镇坪乡卫生院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ind w:left="0" w:leftChars="0" w:firstLine="0" w:firstLineChars="0"/>
      </w:pPr>
    </w:p>
    <w:p>
      <w:pPr>
        <w:autoSpaceDE w:val="0"/>
        <w:autoSpaceDN w:val="0"/>
        <w:adjustRightInd w:val="0"/>
        <w:ind w:left="64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640" w:leftChars="200"/>
        <w:jc w:val="left"/>
        <w:rPr>
          <w:rFonts w:hint="eastAsia" w:ascii="宋体" w:hAnsi="宋体" w:cs="仿宋_GB2312"/>
          <w:sz w:val="32"/>
          <w:szCs w:val="32"/>
        </w:rPr>
      </w:pPr>
      <w:r>
        <w:rPr>
          <w:rFonts w:hint="eastAsia" w:ascii="宋体" w:hAnsi="宋体" w:cs="仿宋_GB2312"/>
          <w:sz w:val="32"/>
          <w:szCs w:val="32"/>
        </w:rPr>
        <w:t>部门主要负责人审签情况：已审签，同意对外公开</w:t>
      </w: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jc w:val="center"/>
        <w:rPr>
          <w:rFonts w:hint="default" w:ascii="宋体" w:hAnsi="宋体" w:eastAsia="仿宋_GB2312" w:cs="仿宋_GB2312"/>
          <w:sz w:val="32"/>
          <w:szCs w:val="32"/>
          <w:lang w:val="en-US" w:eastAsia="zh-CN"/>
        </w:rPr>
      </w:pPr>
      <w:r>
        <w:rPr>
          <w:rFonts w:hint="eastAsia" w:ascii="宋体" w:hAnsi="宋体" w:cs="仿宋_GB2312"/>
          <w:sz w:val="32"/>
          <w:szCs w:val="32"/>
          <w:lang w:val="en-US" w:eastAsia="zh-CN"/>
        </w:rPr>
        <w:t>公开时间：2023年9月</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3"/>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_Toc1816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_Toc1816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_Toc24373 </w:instrText>
      </w:r>
      <w:r>
        <w:rPr>
          <w:smallCaps/>
          <w:szCs w:val="20"/>
        </w:rPr>
        <w:fldChar w:fldCharType="separate"/>
      </w:r>
      <w:r>
        <w:rPr>
          <w:rFonts w:hint="eastAsia" w:ascii="黑体" w:eastAsia="黑体" w:cs="Times New Roman"/>
          <w:bCs w:val="0"/>
        </w:rPr>
        <w:t>一、部门职责</w:t>
      </w:r>
      <w:r>
        <w:tab/>
      </w:r>
      <w:r>
        <w:fldChar w:fldCharType="begin"/>
      </w:r>
      <w:r>
        <w:instrText xml:space="preserve"> PAGEREF _Toc24373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_Toc31790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_Toc31790 \h </w:instrText>
      </w:r>
      <w:r>
        <w:fldChar w:fldCharType="separate"/>
      </w:r>
      <w:r>
        <w:t>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_Toc16001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_Toc16001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_Toc20541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_Toc20541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_Toc25498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_Toc25498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_Toc6080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_Toc6080 \h </w:instrText>
      </w:r>
      <w:r>
        <w:fldChar w:fldCharType="separate"/>
      </w:r>
      <w:r>
        <w:t>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_Toc6346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_Toc6346 \h </w:instrText>
      </w:r>
      <w:r>
        <w:fldChar w:fldCharType="separate"/>
      </w:r>
      <w:r>
        <w:t>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_Toc17578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_Toc17578 \h </w:instrText>
      </w:r>
      <w:r>
        <w:fldChar w:fldCharType="separate"/>
      </w:r>
      <w:r>
        <w:t>7</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_Toc24000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_Toc24000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_Toc32593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_Toc32593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_Toc19281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_Toc19281 \h </w:instrText>
      </w:r>
      <w:r>
        <w:fldChar w:fldCharType="separate"/>
      </w:r>
      <w:r>
        <w:t>11</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_Toc12199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_Toc12199 \h </w:instrText>
      </w:r>
      <w:r>
        <w:fldChar w:fldCharType="separate"/>
      </w:r>
      <w:r>
        <w:t>12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_Toc23126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_Toc23126 \h </w:instrText>
      </w:r>
      <w:r>
        <w:fldChar w:fldCharType="separate"/>
      </w:r>
      <w:r>
        <w:t>12</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_Toc288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_Toc288 \h </w:instrText>
      </w:r>
      <w:r>
        <w:fldChar w:fldCharType="separate"/>
      </w:r>
      <w:r>
        <w:t>13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_Toc20076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_Toc20076 \h </w:instrText>
      </w:r>
      <w:r>
        <w:fldChar w:fldCharType="separate"/>
      </w:r>
      <w:r>
        <w:t>15</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_Toc16128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_Toc16128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_Toc19345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_Toc19345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_Toc5091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_Toc5091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_Toc5639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_Toc5639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_Toc20160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_Toc20160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_Toc13786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_Toc13786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_Toc8367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_Toc8367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_Toc17399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_Toc17399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_Toc8764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_Toc8764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_Toc5316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_Toc5316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_Toc9239 </w:instrText>
      </w:r>
      <w:r>
        <w:rPr>
          <w:smallCaps/>
          <w:szCs w:val="20"/>
        </w:rP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_Toc9239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_Toc21643 </w:instrText>
      </w:r>
      <w:r>
        <w:rPr>
          <w:smallCaps/>
          <w:szCs w:val="20"/>
        </w:rP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_Toc21643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_Toc11859 </w:instrText>
      </w:r>
      <w:r>
        <w:rPr>
          <w:smallCaps/>
          <w:szCs w:val="20"/>
        </w:rP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_Toc11859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_Toc3136 </w:instrText>
      </w:r>
      <w:r>
        <w:rPr>
          <w:smallCaps/>
          <w:szCs w:val="20"/>
        </w:rPr>
        <w:fldChar w:fldCharType="separate"/>
      </w:r>
      <w:r>
        <w:rPr>
          <w:rFonts w:hint="eastAsia" w:ascii="黑体" w:eastAsia="黑体" w:cs="Times New Roman"/>
          <w:bCs w:val="0"/>
        </w:rPr>
        <w:t>十三、财政拨款“三公”经费支出决算表</w:t>
      </w:r>
      <w:r>
        <w:tab/>
      </w:r>
      <w:r>
        <w:fldChar w:fldCharType="begin"/>
      </w:r>
      <w:r>
        <w:instrText xml:space="preserve"> PAGEREF _Toc3136 \h </w:instrText>
      </w:r>
      <w:r>
        <w:fldChar w:fldCharType="separate"/>
      </w:r>
      <w:r>
        <w:t>15</w:t>
      </w:r>
      <w:r>
        <w:fldChar w:fldCharType="end"/>
      </w:r>
      <w:r>
        <w:rPr>
          <w:smallCaps/>
          <w:szCs w:val="20"/>
        </w:rPr>
        <w:fldChar w:fldCharType="end"/>
      </w:r>
    </w:p>
    <w:p>
      <w:pPr>
        <w:pStyle w:val="2"/>
      </w:pPr>
      <w:r>
        <w:rPr>
          <w:smallCaps/>
          <w:szCs w:val="20"/>
        </w:rPr>
        <w:fldChar w:fldCharType="end"/>
      </w:r>
    </w:p>
    <w:p>
      <w:pPr>
        <w:pStyle w:val="3"/>
        <w:jc w:val="center"/>
        <w:rPr>
          <w:rFonts w:ascii="黑体" w:hAnsi="黑体" w:eastAsia="黑体" w:cs="黑体"/>
          <w:b w:val="0"/>
          <w:bCs w:val="0"/>
        </w:rPr>
      </w:pPr>
      <w:bookmarkStart w:id="13" w:name="_Toc111208495"/>
      <w:bookmarkStart w:id="14" w:name="_Toc1816"/>
      <w:r>
        <w:rPr>
          <w:rFonts w:hint="eastAsia" w:ascii="黑体" w:hAnsi="黑体" w:eastAsia="黑体" w:cs="黑体"/>
        </w:rPr>
        <w:t xml:space="preserve">第一部分 </w:t>
      </w:r>
      <w:r>
        <w:rPr>
          <w:rStyle w:val="30"/>
          <w:rFonts w:hint="eastAsia" w:ascii="黑体" w:hAnsi="黑体" w:eastAsia="黑体" w:cs="黑体"/>
          <w:b/>
          <w:bCs w:val="0"/>
        </w:rPr>
        <w:t>部门概况</w:t>
      </w:r>
      <w:bookmarkEnd w:id="12"/>
      <w:bookmarkEnd w:id="13"/>
      <w:bookmarkEnd w:id="14"/>
    </w:p>
    <w:p>
      <w:pPr>
        <w:pStyle w:val="4"/>
        <w:ind w:firstLine="643" w:firstLineChars="200"/>
        <w:rPr>
          <w:rFonts w:ascii="黑体" w:eastAsia="黑体" w:cs="Times New Roman"/>
          <w:bCs w:val="0"/>
          <w:color w:val="000000"/>
        </w:rPr>
      </w:pPr>
      <w:bookmarkStart w:id="15" w:name="_Toc111208496"/>
      <w:bookmarkStart w:id="16" w:name="_Toc15377197"/>
      <w:bookmarkStart w:id="17" w:name="_Toc24373"/>
      <w:r>
        <w:rPr>
          <w:rFonts w:hint="eastAsia" w:ascii="黑体" w:eastAsia="黑体" w:cs="Times New Roman"/>
          <w:bCs w:val="0"/>
          <w:color w:val="000000"/>
        </w:rPr>
        <w:t>一、</w:t>
      </w:r>
      <w:bookmarkEnd w:id="15"/>
      <w:bookmarkEnd w:id="16"/>
      <w:bookmarkStart w:id="18" w:name="_Toc15378445"/>
      <w:bookmarkStart w:id="19" w:name="_Toc15377198"/>
      <w:r>
        <w:rPr>
          <w:rFonts w:hint="eastAsia" w:ascii="黑体" w:eastAsia="黑体" w:cs="Times New Roman"/>
          <w:bCs w:val="0"/>
          <w:color w:val="000000"/>
        </w:rPr>
        <w:t>部门职责</w:t>
      </w:r>
      <w:bookmarkEnd w:id="17"/>
    </w:p>
    <w:bookmarkEnd w:id="18"/>
    <w:bookmarkEnd w:id="19"/>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公共卫生服务、基本医疗服务、医疗扶贫</w:t>
      </w:r>
      <w:bookmarkStart w:id="20" w:name="_Toc15377200"/>
    </w:p>
    <w:p>
      <w:pPr>
        <w:pStyle w:val="4"/>
        <w:ind w:firstLine="643" w:firstLineChars="200"/>
        <w:rPr>
          <w:rFonts w:ascii="黑体" w:eastAsia="黑体" w:cs="Times New Roman"/>
          <w:bCs w:val="0"/>
          <w:color w:val="000000"/>
        </w:rPr>
      </w:pPr>
      <w:bookmarkStart w:id="21" w:name="_Toc31790"/>
      <w:bookmarkStart w:id="22" w:name="_Toc111208497"/>
      <w:r>
        <w:rPr>
          <w:rFonts w:hint="eastAsia" w:ascii="黑体" w:eastAsia="黑体" w:cs="Times New Roman"/>
          <w:bCs w:val="0"/>
          <w:color w:val="000000"/>
        </w:rPr>
        <w:t>二、机构设置</w:t>
      </w:r>
      <w:bookmarkEnd w:id="20"/>
      <w:bookmarkEnd w:id="21"/>
      <w:bookmarkEnd w:id="22"/>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综合全科、中医科、康复理疗科、急诊科、预防保健科</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3"/>
        <w:jc w:val="center"/>
        <w:rPr>
          <w:rFonts w:ascii="黑体" w:hAnsi="黑体" w:eastAsia="黑体" w:cs="黑体"/>
        </w:rPr>
      </w:pPr>
      <w:bookmarkStart w:id="24" w:name="_Toc16001"/>
      <w:bookmarkStart w:id="25" w:name="_Toc111208498"/>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4"/>
        <w:ind w:firstLine="643" w:firstLineChars="200"/>
        <w:rPr>
          <w:rFonts w:ascii="黑体" w:eastAsia="黑体" w:cs="Times New Roman"/>
          <w:bCs w:val="0"/>
          <w:color w:val="000000"/>
        </w:rPr>
      </w:pPr>
      <w:bookmarkStart w:id="26" w:name="_Toc15377205"/>
      <w:bookmarkStart w:id="27" w:name="_Toc20541"/>
      <w:bookmarkStart w:id="28" w:name="_Toc111208499"/>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193.01</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增加0.00</w:t>
      </w:r>
      <w:r>
        <w:rPr>
          <w:rFonts w:hint="eastAsia" w:ascii="仿宋" w:hAnsi="仿宋" w:eastAsia="仿宋"/>
          <w:color w:val="000000"/>
          <w:sz w:val="32"/>
          <w:szCs w:val="32"/>
        </w:rPr>
        <w:t>万元，</w:t>
      </w:r>
      <w:r>
        <w:rPr>
          <w:rFonts w:ascii="仿宋" w:hAnsi="仿宋" w:eastAsia="仿宋"/>
          <w:color w:val="000000"/>
          <w:sz w:val="32"/>
          <w:szCs w:val="32"/>
        </w:rPr>
        <w:t>增加0.00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29" w:name="_Toc111208500"/>
      <w:bookmarkStart w:id="30" w:name="_Toc25498"/>
      <w:bookmarkStart w:id="31" w:name="_Toc15377206"/>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193.01万元，其中：一般公共预算财政拨款收入193.01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4"/>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2" w:name="_Toc111208501"/>
      <w:bookmarkStart w:id="33" w:name="_Toc6080"/>
      <w:bookmarkStart w:id="34" w:name="_Toc15377207"/>
      <w:r>
        <w:rPr>
          <w:rFonts w:hint="eastAsia" w:ascii="黑体" w:eastAsia="黑体" w:cs="Times New Roman"/>
          <w:bCs w:val="0"/>
          <w:color w:val="000000"/>
        </w:rPr>
        <w:t>三、支出决算情况说明</w:t>
      </w:r>
      <w:bookmarkEnd w:id="32"/>
      <w:bookmarkEnd w:id="33"/>
      <w:bookmarkEnd w:id="34"/>
    </w:p>
    <w:p>
      <w:pPr>
        <w:pStyle w:val="2"/>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193.01</w:t>
      </w:r>
      <w:r>
        <w:rPr>
          <w:rFonts w:ascii="仿宋" w:hAnsi="仿宋" w:eastAsia="仿宋"/>
          <w:color w:val="000000"/>
          <w:sz w:val="32"/>
          <w:szCs w:val="32"/>
        </w:rPr>
        <w:t>万元，其中：基本支出</w:t>
      </w:r>
      <w:r>
        <w:rPr>
          <w:rFonts w:hint="eastAsia" w:ascii="仿宋" w:hAnsi="仿宋" w:eastAsia="仿宋"/>
          <w:color w:val="000000"/>
          <w:sz w:val="32"/>
          <w:szCs w:val="32"/>
        </w:rPr>
        <w:t>164.50</w:t>
      </w:r>
      <w:r>
        <w:rPr>
          <w:rFonts w:ascii="仿宋" w:hAnsi="仿宋" w:eastAsia="仿宋"/>
          <w:color w:val="000000"/>
          <w:sz w:val="32"/>
          <w:szCs w:val="32"/>
        </w:rPr>
        <w:t>万元，占</w:t>
      </w:r>
      <w:r>
        <w:rPr>
          <w:rFonts w:hint="eastAsia" w:ascii="仿宋" w:hAnsi="仿宋" w:eastAsia="仿宋"/>
          <w:color w:val="000000"/>
          <w:sz w:val="32"/>
          <w:szCs w:val="32"/>
        </w:rPr>
        <w:t>85.23</w:t>
      </w:r>
      <w:r>
        <w:rPr>
          <w:rFonts w:ascii="仿宋" w:hAnsi="仿宋" w:eastAsia="仿宋"/>
          <w:color w:val="000000"/>
          <w:sz w:val="32"/>
          <w:szCs w:val="32"/>
        </w:rPr>
        <w:t>%；项目支出</w:t>
      </w:r>
      <w:r>
        <w:rPr>
          <w:rFonts w:hint="eastAsia" w:ascii="仿宋" w:hAnsi="仿宋" w:eastAsia="仿宋"/>
          <w:color w:val="000000"/>
          <w:sz w:val="32"/>
          <w:szCs w:val="32"/>
        </w:rPr>
        <w:t>28.50</w:t>
      </w:r>
      <w:r>
        <w:rPr>
          <w:rFonts w:ascii="仿宋" w:hAnsi="仿宋" w:eastAsia="仿宋"/>
          <w:color w:val="000000"/>
          <w:sz w:val="32"/>
          <w:szCs w:val="32"/>
        </w:rPr>
        <w:t>万元，占</w:t>
      </w:r>
      <w:r>
        <w:rPr>
          <w:rFonts w:hint="eastAsia" w:ascii="仿宋" w:hAnsi="仿宋" w:eastAsia="仿宋"/>
          <w:color w:val="000000"/>
          <w:sz w:val="32"/>
          <w:szCs w:val="32"/>
        </w:rPr>
        <w:t>14.77</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3" w:firstLineChars="200"/>
        <w:rPr>
          <w:rFonts w:ascii="黑体" w:eastAsia="黑体" w:cs="Times New Roman"/>
          <w:bCs w:val="0"/>
          <w:color w:val="000000"/>
        </w:rPr>
      </w:pPr>
      <w:bookmarkStart w:id="35" w:name="_Toc15377208"/>
      <w:bookmarkStart w:id="36" w:name="_Toc6346"/>
      <w:bookmarkStart w:id="37" w:name="_Toc111208502"/>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 xml:space="preserve">年财政拨款收、支总计193.01万元。与2021年相比，财政拨款收、支总计各增加0.00万元，增加0.00 %。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3" w:firstLineChars="200"/>
        <w:rPr>
          <w:rFonts w:ascii="黑体" w:eastAsia="黑体" w:cs="Times New Roman"/>
          <w:bCs w:val="0"/>
          <w:color w:val="000000"/>
        </w:rPr>
      </w:pPr>
      <w:bookmarkStart w:id="38" w:name="_Toc15377209"/>
      <w:bookmarkStart w:id="39" w:name="_Toc111208503"/>
      <w:bookmarkStart w:id="40" w:name="_Toc17578"/>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年一般公共预算财政拨款支出193.01</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年一般公共预算财政拨款支出193.01</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社会保障和就业支出19.76万元，占10.24%；卫生健康支出161.48万元，占83.66%；住房保障支出11.77万元，占6.10%。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8460"/>
      <w:bookmarkStart w:id="45" w:name="_Toc15377213"/>
      <w:bookmarkStart w:id="46" w:name="_Toc15377444"/>
      <w:r>
        <w:rPr>
          <w:rFonts w:hint="eastAsia" w:ascii="仿宋" w:hAnsi="仿宋" w:eastAsia="仿宋"/>
          <w:color w:val="000000"/>
          <w:sz w:val="32"/>
          <w:szCs w:val="32"/>
        </w:rPr>
        <w:t>2022</w:t>
      </w:r>
      <w:r>
        <w:rPr>
          <w:rFonts w:ascii="仿宋" w:hAnsi="仿宋" w:eastAsia="仿宋"/>
          <w:color w:val="000000"/>
          <w:sz w:val="32"/>
          <w:u w:color="auto"/>
        </w:rPr>
        <w:t>年一般公共预算支出决算数为193.01</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1.社会保障和就业支出（208）行政事业单位养老支出（20805）机关事业单位基本养老保险缴费支出（2080505）支出决算13.17万元，完成预算100%。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2.社会保障和就业支出（208）行政事业单位养老支出（20805）机关事业单位职业年金缴费支出（2080506）支出决算6.59万元，完成预算100%。</w:t>
      </w:r>
      <w:r>
        <w:rPr>
          <w:rFonts w:hint="eastAsia" w:ascii="仿宋" w:hAnsi="仿宋" w:eastAsia="仿宋"/>
          <w:color w:val="000000"/>
          <w:sz w:val="32"/>
          <w:szCs w:val="32"/>
        </w:rPr>
        <w:cr/>
      </w:r>
      <w:r>
        <w:rPr>
          <w:rFonts w:hint="eastAsia" w:ascii="仿宋" w:hAnsi="仿宋" w:eastAsia="仿宋"/>
          <w:color w:val="000000"/>
          <w:sz w:val="32"/>
          <w:szCs w:val="32"/>
        </w:rPr>
        <w:t>3.卫生健康支出（210）基层医疗卫生机构（21003）乡镇卫生院（2100302）支出决算125.33万元，完成预算100%。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4.卫生健康支出（210）基层医疗卫生机构（21003）其他基层医疗卫生机构支出（2100399）支出决算5.46万元，完成预算100%。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5.卫生健康支出（210）公共卫生（21004）基本公共卫生服务（2100408）支出决算23.04万元，完成预算100%。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6.卫生健康支出（210）行政事业单位医疗（21011）事业单位医疗（2101102）支出决算7.65万元，完成预算100%。</w:t>
      </w:r>
      <w:r>
        <w:rPr>
          <w:rFonts w:hint="eastAsia" w:ascii="仿宋" w:hAnsi="仿宋" w:eastAsia="仿宋"/>
          <w:color w:val="000000"/>
          <w:sz w:val="32"/>
          <w:szCs w:val="32"/>
        </w:rPr>
        <w:cr/>
      </w:r>
      <w:r>
        <w:rPr>
          <w:rFonts w:hint="eastAsia" w:ascii="仿宋" w:hAnsi="仿宋" w:eastAsia="仿宋"/>
          <w:color w:val="000000"/>
          <w:sz w:val="32"/>
          <w:szCs w:val="32"/>
        </w:rPr>
        <w:t>7.住房保障支出（221）住房改革支出（22102）住房公积金（2210201）支出决算11.77万元，完成预算100%。</w:t>
      </w:r>
    </w:p>
    <w:p>
      <w:pPr>
        <w:pStyle w:val="4"/>
        <w:ind w:firstLine="643" w:firstLineChars="200"/>
        <w:rPr>
          <w:rFonts w:ascii="黑体" w:eastAsia="黑体" w:cs="Times New Roman"/>
          <w:b w:val="0"/>
          <w:color w:val="000000"/>
        </w:rPr>
      </w:pPr>
      <w:bookmarkStart w:id="47" w:name="_Toc15377214"/>
      <w:bookmarkStart w:id="48" w:name="_Toc24000"/>
      <w:bookmarkStart w:id="49" w:name="_Toc111208504"/>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年一般公共预算财政拨款基本支出164.50</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163.28</w:t>
      </w:r>
      <w:r>
        <w:rPr>
          <w:rFonts w:hint="eastAsia" w:ascii="仿宋" w:hAnsi="仿宋" w:eastAsia="仿宋"/>
          <w:color w:val="000000"/>
          <w:sz w:val="32"/>
          <w:szCs w:val="32"/>
        </w:rPr>
        <w:t>万元，主要包括：</w:t>
      </w:r>
      <w:r>
        <w:rPr>
          <w:rFonts w:ascii="仿宋" w:hAnsi="仿宋" w:eastAsia="仿宋"/>
          <w:color w:val="000000"/>
          <w:sz w:val="32"/>
          <w:u w:color="auto"/>
        </w:rPr>
        <w:t>基本工资29.53万元、津贴补贴28.57万元、奖金46.15万元、绩效工资19.15万元、机关事业单位基本养老保险缴费13.17万元、职业年金缴费6.59万元、职工基本医疗保险缴费7.65万元、其他社会保障缴费0.70万元、住房公积金11.77万元、奖励金0.01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1.23</w:t>
      </w:r>
      <w:r>
        <w:rPr>
          <w:rFonts w:hint="eastAsia" w:ascii="仿宋" w:hAnsi="仿宋" w:eastAsia="仿宋"/>
          <w:color w:val="000000"/>
          <w:sz w:val="32"/>
          <w:szCs w:val="32"/>
        </w:rPr>
        <w:t>万元，主要包括：</w:t>
      </w:r>
      <w:r>
        <w:rPr>
          <w:rFonts w:ascii="仿宋" w:hAnsi="仿宋" w:eastAsia="仿宋"/>
          <w:color w:val="000000"/>
          <w:sz w:val="32"/>
          <w:u w:color="auto"/>
        </w:rPr>
        <w:t>工会经费1.23万元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50" w:name="_Toc32593"/>
      <w:bookmarkStart w:id="51" w:name="_Toc15377215"/>
      <w:bookmarkStart w:id="52" w:name="_Toc11120850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0.00万元。全年按规定更新购置公务用车2辆，其中：轿车0辆、金额0.00万元，越野车0辆、金额0.00万元，载客汽车0辆、金额0.00万元。截至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2</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ind w:firstLine="643" w:firstLineChars="200"/>
        <w:rPr>
          <w:rFonts w:ascii="黑体" w:eastAsia="黑体" w:cs="Times New Roman"/>
          <w:bCs w:val="0"/>
          <w:color w:val="000000"/>
        </w:rPr>
      </w:pPr>
      <w:bookmarkStart w:id="56" w:name="_Toc19281"/>
      <w:bookmarkStart w:id="57" w:name="_Toc111208506"/>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4"/>
        <w:ind w:firstLine="643" w:firstLineChars="200"/>
        <w:rPr>
          <w:rFonts w:ascii="黑体" w:eastAsia="黑体" w:cs="Times New Roman"/>
          <w:bCs w:val="0"/>
          <w:color w:val="000000"/>
        </w:rPr>
      </w:pPr>
      <w:bookmarkStart w:id="59" w:name="_Toc111208507"/>
      <w:bookmarkStart w:id="60" w:name="_Toc12199"/>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61" w:name="_Toc111208508"/>
      <w:bookmarkStart w:id="62" w:name="_Toc15377221"/>
      <w:bookmarkStart w:id="63" w:name="_Toc23126"/>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增加100.00 %。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2辆，其中：主要领导干部用车0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2</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contextualSpacing/>
        <w:rPr>
          <w:rFonts w:hint="eastAsia" w:ascii="黑体" w:eastAsia="黑体" w:cs="黑体"/>
          <w:szCs w:val="32"/>
          <w:highlight w:val="none"/>
          <w:lang w:val="zh-CN" w:eastAsia="zh-CN"/>
        </w:rPr>
      </w:pPr>
    </w:p>
    <w:p>
      <w:pPr>
        <w:widowControl/>
        <w:spacing w:line="580" w:lineRule="exact"/>
        <w:contextualSpacing/>
        <w:jc w:val="both"/>
        <w:rPr>
          <w:rFonts w:hint="eastAsia" w:ascii="宋体" w:eastAsia="宋体"/>
          <w:b/>
          <w:sz w:val="44"/>
          <w:szCs w:val="44"/>
          <w:highlight w:val="none"/>
          <w:shd w:val="clear" w:color="auto" w:fill="FFFFFF"/>
        </w:rPr>
      </w:pPr>
    </w:p>
    <w:p>
      <w:pPr>
        <w:widowControl/>
        <w:spacing w:line="580" w:lineRule="exact"/>
        <w:contextualSpacing/>
        <w:jc w:val="center"/>
        <w:rPr>
          <w:rFonts w:hint="default" w:ascii="宋体" w:eastAsia="宋体"/>
          <w:b/>
          <w:sz w:val="44"/>
          <w:szCs w:val="44"/>
          <w:highlight w:val="none"/>
          <w:shd w:val="clear" w:color="auto" w:fill="FFFFFF"/>
          <w:lang w:val="en-US" w:eastAsia="zh-CN"/>
        </w:rPr>
      </w:pPr>
      <w:r>
        <w:rPr>
          <w:rFonts w:hint="eastAsia" w:ascii="宋体" w:eastAsia="宋体"/>
          <w:b/>
          <w:sz w:val="44"/>
          <w:szCs w:val="44"/>
          <w:highlight w:val="none"/>
          <w:shd w:val="clear" w:color="auto" w:fill="FFFFFF"/>
          <w:lang w:val="en-US" w:eastAsia="zh-CN"/>
        </w:rPr>
        <w:t>松潘县镇坪乡卫生院</w:t>
      </w:r>
    </w:p>
    <w:p>
      <w:pPr>
        <w:widowControl/>
        <w:spacing w:line="580" w:lineRule="exact"/>
        <w:contextualSpacing/>
        <w:jc w:val="center"/>
        <w:rPr>
          <w:rFonts w:hint="eastAsia" w:ascii="宋体" w:eastAsia="宋体"/>
          <w:b/>
          <w:sz w:val="44"/>
          <w:szCs w:val="44"/>
          <w:highlight w:val="none"/>
          <w:shd w:val="clear" w:color="auto" w:fill="FFFFFF"/>
        </w:rPr>
      </w:pPr>
      <w:r>
        <w:rPr>
          <w:rFonts w:hint="eastAsia" w:ascii="宋体" w:eastAsia="宋体"/>
          <w:b/>
          <w:sz w:val="44"/>
          <w:szCs w:val="44"/>
          <w:highlight w:val="none"/>
          <w:shd w:val="clear" w:color="auto" w:fill="FFFFFF"/>
          <w:lang w:val="en-US" w:eastAsia="zh-CN"/>
        </w:rPr>
        <w:t>2022年</w:t>
      </w:r>
      <w:r>
        <w:rPr>
          <w:rFonts w:hint="eastAsia" w:ascii="宋体" w:eastAsia="宋体"/>
          <w:b/>
          <w:sz w:val="44"/>
          <w:szCs w:val="44"/>
          <w:highlight w:val="none"/>
          <w:shd w:val="clear" w:color="auto" w:fill="FFFFFF"/>
        </w:rPr>
        <w:t>部门整体支出</w:t>
      </w:r>
    </w:p>
    <w:p>
      <w:pPr>
        <w:widowControl/>
        <w:spacing w:line="580" w:lineRule="exact"/>
        <w:contextualSpacing/>
        <w:jc w:val="center"/>
        <w:rPr>
          <w:rFonts w:ascii="宋体" w:eastAsia="宋体"/>
          <w:b/>
          <w:sz w:val="44"/>
          <w:szCs w:val="44"/>
          <w:highlight w:val="none"/>
          <w:shd w:val="clear" w:color="auto" w:fill="FFFFFF"/>
        </w:rPr>
      </w:pPr>
      <w:r>
        <w:rPr>
          <w:rFonts w:hint="eastAsia" w:ascii="宋体" w:eastAsia="宋体"/>
          <w:b/>
          <w:sz w:val="44"/>
          <w:szCs w:val="44"/>
          <w:highlight w:val="none"/>
          <w:shd w:val="clear" w:color="auto" w:fill="FFFFFF"/>
        </w:rPr>
        <w:t>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highlight w:val="none"/>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部门整体预算绩效管理情况（根据适用指标体系进行调整</w:t>
      </w:r>
      <w:r>
        <w:rPr>
          <w:rFonts w:hint="eastAsia" w:ascii="黑体" w:eastAsia="黑体" w:cs="宋体"/>
          <w:color w:val="000000"/>
          <w:kern w:val="0"/>
          <w:szCs w:val="32"/>
          <w:highlight w:val="none"/>
          <w:shd w:val="clear" w:color="auto" w:fill="FFFFFF"/>
          <w:lang w:eastAsia="zh-CN"/>
        </w:rPr>
        <w:t>，涉及有专项预算的部门，专项预算项目自评报告根据要求另行单独报送</w:t>
      </w:r>
      <w:r>
        <w:rPr>
          <w:rFonts w:hint="eastAsia" w:ascii="黑体" w:eastAsia="黑体" w:cs="宋体"/>
          <w:color w:val="000000"/>
          <w:kern w:val="0"/>
          <w:szCs w:val="32"/>
          <w:highlight w:val="none"/>
          <w:shd w:val="clear" w:color="auto" w:fill="FFFFFF"/>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一</w:t>
      </w:r>
      <w:r>
        <w:rPr>
          <w:rFonts w:hint="eastAsia" w:ascii="仿宋_GB2312" w:cs="宋体"/>
          <w:color w:val="000000"/>
          <w:kern w:val="0"/>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二</w:t>
      </w:r>
      <w:r>
        <w:rPr>
          <w:rFonts w:hint="eastAsia" w:ascii="仿宋_GB2312" w:cs="宋体"/>
          <w:color w:val="000000"/>
          <w:kern w:val="0"/>
          <w:szCs w:val="32"/>
          <w:highlight w:val="none"/>
          <w:shd w:val="clear" w:color="auto" w:fill="FFFFFF"/>
          <w:lang w:val="zh-CN"/>
        </w:rPr>
        <w:t>）执行管理情况。</w:t>
      </w:r>
      <w:r>
        <w:rPr>
          <w:rFonts w:hint="eastAsia" w:ascii="仿宋_GB2312" w:cs="宋体"/>
          <w:color w:val="000000"/>
          <w:kern w:val="0"/>
          <w:szCs w:val="32"/>
          <w:highlight w:val="none"/>
          <w:shd w:val="clear" w:color="auto" w:fill="FFFFFF"/>
          <w:lang w:val="zh-CN"/>
        </w:rPr>
        <w:tab/>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从整体情况来看，我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三</w:t>
      </w:r>
      <w:r>
        <w:rPr>
          <w:rFonts w:hint="eastAsia" w:ascii="仿宋_GB2312" w:cs="宋体"/>
          <w:color w:val="000000"/>
          <w:kern w:val="0"/>
          <w:szCs w:val="32"/>
          <w:highlight w:val="none"/>
          <w:shd w:val="clear" w:color="auto" w:fill="FFFFFF"/>
          <w:lang w:val="zh-CN"/>
        </w:rPr>
        <w:t>）综合管理情况。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预决算公开：</w:t>
      </w:r>
      <w:r>
        <w:rPr>
          <w:rFonts w:hint="eastAsia" w:ascii="仿宋_GB2312" w:cs="宋体"/>
          <w:color w:val="000000"/>
          <w:kern w:val="0"/>
          <w:szCs w:val="32"/>
          <w:highlight w:val="none"/>
          <w:shd w:val="clear" w:color="auto" w:fill="FFFFFF"/>
          <w:lang w:val="en-US" w:eastAsia="zh-CN"/>
        </w:rPr>
        <w:t>2022</w:t>
      </w:r>
      <w:r>
        <w:rPr>
          <w:rFonts w:hint="eastAsia" w:ascii="仿宋_GB2312" w:cs="宋体"/>
          <w:color w:val="000000"/>
          <w:kern w:val="0"/>
          <w:szCs w:val="32"/>
          <w:highlight w:val="none"/>
          <w:shd w:val="clear" w:color="auto" w:fill="FFFFFF"/>
          <w:lang w:val="zh-CN"/>
        </w:rPr>
        <w:t>年，我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资产管理：202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“三公经费”控制情况：贯彻落实上级有关精神，严格控制“三公经费”支出。我单位202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无</w:t>
      </w:r>
      <w:r>
        <w:rPr>
          <w:rFonts w:hint="eastAsia" w:ascii="仿宋_GB2312" w:cs="宋体"/>
          <w:color w:val="000000"/>
          <w:kern w:val="0"/>
          <w:szCs w:val="32"/>
          <w:highlight w:val="none"/>
          <w:shd w:val="clear" w:color="auto" w:fill="FFFFFF"/>
          <w:lang w:val="zh-CN"/>
        </w:rPr>
        <w:t>“三公”经费支出。内部管理制度建设情况：近年来，我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四</w:t>
      </w:r>
      <w:r>
        <w:rPr>
          <w:rFonts w:hint="eastAsia" w:ascii="仿宋_GB2312" w:cs="宋体"/>
          <w:color w:val="000000"/>
          <w:kern w:val="0"/>
          <w:szCs w:val="32"/>
          <w:highlight w:val="none"/>
          <w:shd w:val="clear" w:color="auto" w:fill="FFFFFF"/>
          <w:lang w:val="zh-CN"/>
        </w:rPr>
        <w:t>）绩效评价目的：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此次绩效评价的目的是：严格落实《中华人民共和国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五</w:t>
      </w:r>
      <w:r>
        <w:rPr>
          <w:rFonts w:hint="eastAsia" w:ascii="仿宋_GB2312" w:cs="宋体"/>
          <w:color w:val="000000"/>
          <w:kern w:val="0"/>
          <w:szCs w:val="32"/>
          <w:highlight w:val="none"/>
          <w:shd w:val="clear" w:color="auto" w:fill="FFFFFF"/>
          <w:lang w:val="zh-CN"/>
        </w:rPr>
        <w:t>）绩效评价的主要过程：</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规范了财政资金的管理，强化财政支出绩效理念，提升责任意识，提高资金使用效益。</w:t>
      </w:r>
    </w:p>
    <w:p>
      <w:pPr>
        <w:widowControl/>
        <w:adjustRightInd w:val="0"/>
        <w:snapToGrid w:val="0"/>
        <w:spacing w:line="580" w:lineRule="exact"/>
        <w:ind w:firstLine="640" w:firstLineChars="200"/>
        <w:contextualSpacing/>
        <w:jc w:val="left"/>
        <w:rPr>
          <w:rFonts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严肃财经纪律、规范财务管理、筑牢财政资金安全防线、防范财政资金管理风险。把财经纪律执行工作的各项任务落到实处。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 xml:space="preserve">                               </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7" w:name="_Toc15377225"/>
      <w:bookmarkStart w:id="68" w:name="_Toc288"/>
      <w:bookmarkStart w:id="69" w:name="_Toc111208509"/>
      <w:r>
        <w:rPr>
          <w:rFonts w:hint="eastAsia" w:ascii="黑体" w:hAnsi="黑体" w:eastAsia="黑体" w:cs="黑体"/>
        </w:rPr>
        <w:t>第三部分 名词解释</w:t>
      </w:r>
      <w:bookmarkEnd w:id="67"/>
      <w:bookmarkEnd w:id="68"/>
      <w:bookmarkEnd w:id="69"/>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11.卫生健康支出（210）基层医疗卫生机构（21003）乡镇卫生院（2100302）：反映用于乡镇卫生院的支出。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20.财政应返还额度：为行政事业单位会计核算科目，用于核算实行国库集中支付的行政事业单位应收财政返还的资金额度。</w:t>
      </w:r>
    </w:p>
    <w:p>
      <w:pPr>
        <w:widowControl/>
        <w:jc w:val="left"/>
        <w:rPr>
          <w:rStyle w:val="30"/>
          <w:rFonts w:ascii="黑体" w:hAnsi="黑体" w:eastAsia="黑体"/>
        </w:rPr>
      </w:pPr>
      <w:r>
        <w:rPr>
          <w:rStyle w:val="30"/>
          <w:rFonts w:ascii="黑体" w:hAnsi="黑体" w:eastAsia="黑体"/>
        </w:rPr>
        <w:br w:type="page"/>
      </w:r>
    </w:p>
    <w:p>
      <w:pPr>
        <w:pStyle w:val="3"/>
        <w:jc w:val="center"/>
        <w:rPr>
          <w:rFonts w:ascii="黑体" w:hAnsi="黑体" w:eastAsia="黑体" w:cs="黑体"/>
        </w:rPr>
      </w:pPr>
      <w:bookmarkStart w:id="70" w:name="_Toc111208510"/>
      <w:bookmarkStart w:id="71" w:name="_Toc20076"/>
      <w:r>
        <w:rPr>
          <w:rFonts w:hint="eastAsia" w:ascii="黑体" w:hAnsi="黑体" w:eastAsia="黑体" w:cs="黑体"/>
        </w:rPr>
        <w:t>第四部分 附件</w:t>
      </w:r>
      <w:bookmarkEnd w:id="70"/>
      <w:bookmarkEnd w:id="71"/>
    </w:p>
    <w:p>
      <w:pPr>
        <w:spacing w:line="580" w:lineRule="exact"/>
        <w:contextualSpacing/>
        <w:rPr>
          <w:rFonts w:hint="eastAsia" w:ascii="黑体" w:eastAsia="黑体" w:cs="黑体"/>
          <w:szCs w:val="32"/>
          <w:highlight w:val="none"/>
          <w:lang w:val="zh-CN" w:eastAsia="zh-CN"/>
        </w:rPr>
      </w:pPr>
    </w:p>
    <w:p>
      <w:pPr>
        <w:widowControl/>
        <w:spacing w:line="580" w:lineRule="exact"/>
        <w:contextualSpacing/>
        <w:jc w:val="both"/>
        <w:rPr>
          <w:rFonts w:hint="eastAsia" w:ascii="宋体" w:eastAsia="宋体"/>
          <w:b/>
          <w:sz w:val="44"/>
          <w:szCs w:val="44"/>
          <w:highlight w:val="none"/>
          <w:shd w:val="clear" w:color="auto" w:fill="FFFFFF"/>
        </w:rPr>
      </w:pPr>
    </w:p>
    <w:p>
      <w:pPr>
        <w:widowControl/>
        <w:spacing w:line="580" w:lineRule="exact"/>
        <w:contextualSpacing/>
        <w:jc w:val="center"/>
        <w:rPr>
          <w:rFonts w:hint="default" w:ascii="宋体" w:eastAsia="宋体"/>
          <w:b/>
          <w:sz w:val="44"/>
          <w:szCs w:val="44"/>
          <w:highlight w:val="none"/>
          <w:shd w:val="clear" w:color="auto" w:fill="FFFFFF"/>
          <w:lang w:val="en-US" w:eastAsia="zh-CN"/>
        </w:rPr>
      </w:pPr>
      <w:r>
        <w:rPr>
          <w:rFonts w:hint="eastAsia" w:ascii="宋体" w:eastAsia="宋体"/>
          <w:b/>
          <w:sz w:val="44"/>
          <w:szCs w:val="44"/>
          <w:highlight w:val="none"/>
          <w:shd w:val="clear" w:color="auto" w:fill="FFFFFF"/>
          <w:lang w:val="en-US" w:eastAsia="zh-CN"/>
        </w:rPr>
        <w:t>松潘县镇坪乡卫生院</w:t>
      </w:r>
    </w:p>
    <w:p>
      <w:pPr>
        <w:widowControl/>
        <w:spacing w:line="580" w:lineRule="exact"/>
        <w:contextualSpacing/>
        <w:jc w:val="center"/>
        <w:rPr>
          <w:rFonts w:hint="eastAsia" w:ascii="宋体" w:eastAsia="宋体"/>
          <w:b/>
          <w:sz w:val="44"/>
          <w:szCs w:val="44"/>
          <w:highlight w:val="none"/>
          <w:shd w:val="clear" w:color="auto" w:fill="FFFFFF"/>
        </w:rPr>
      </w:pPr>
      <w:r>
        <w:rPr>
          <w:rFonts w:hint="eastAsia" w:ascii="宋体" w:eastAsia="宋体"/>
          <w:b/>
          <w:sz w:val="44"/>
          <w:szCs w:val="44"/>
          <w:highlight w:val="none"/>
          <w:shd w:val="clear" w:color="auto" w:fill="FFFFFF"/>
          <w:lang w:val="en-US" w:eastAsia="zh-CN"/>
        </w:rPr>
        <w:t>2022年—</w:t>
      </w:r>
      <w:r>
        <w:rPr>
          <w:rFonts w:hint="eastAsia" w:ascii="宋体" w:eastAsia="宋体"/>
          <w:b/>
          <w:sz w:val="44"/>
          <w:szCs w:val="44"/>
          <w:highlight w:val="none"/>
          <w:shd w:val="clear" w:color="auto" w:fill="FFFFFF"/>
        </w:rPr>
        <w:t>20</w:t>
      </w:r>
      <w:r>
        <w:rPr>
          <w:rFonts w:hint="eastAsia" w:ascii="宋体" w:eastAsia="宋体"/>
          <w:b/>
          <w:sz w:val="44"/>
          <w:szCs w:val="44"/>
          <w:highlight w:val="none"/>
          <w:shd w:val="clear" w:color="auto" w:fill="FFFFFF"/>
          <w:lang w:val="en-US" w:eastAsia="zh-CN"/>
        </w:rPr>
        <w:t>23</w:t>
      </w:r>
      <w:r>
        <w:rPr>
          <w:rFonts w:hint="eastAsia" w:ascii="宋体" w:eastAsia="宋体"/>
          <w:b/>
          <w:sz w:val="44"/>
          <w:szCs w:val="44"/>
          <w:highlight w:val="none"/>
          <w:shd w:val="clear" w:color="auto" w:fill="FFFFFF"/>
        </w:rPr>
        <w:t>年</w:t>
      </w:r>
      <w:r>
        <w:rPr>
          <w:rFonts w:hint="eastAsia" w:ascii="宋体" w:eastAsia="宋体"/>
          <w:b/>
          <w:sz w:val="44"/>
          <w:szCs w:val="44"/>
          <w:highlight w:val="none"/>
          <w:shd w:val="clear" w:color="auto" w:fill="FFFFFF"/>
          <w:lang w:val="en-US" w:eastAsia="zh-CN"/>
        </w:rPr>
        <w:t>6月</w:t>
      </w:r>
      <w:r>
        <w:rPr>
          <w:rFonts w:hint="eastAsia" w:ascii="宋体" w:eastAsia="宋体"/>
          <w:b/>
          <w:sz w:val="44"/>
          <w:szCs w:val="44"/>
          <w:highlight w:val="none"/>
          <w:shd w:val="clear" w:color="auto" w:fill="FFFFFF"/>
          <w:lang w:eastAsia="zh-CN"/>
        </w:rPr>
        <w:t>县</w:t>
      </w:r>
      <w:r>
        <w:rPr>
          <w:rFonts w:hint="eastAsia" w:ascii="宋体" w:eastAsia="宋体"/>
          <w:b/>
          <w:sz w:val="44"/>
          <w:szCs w:val="44"/>
          <w:highlight w:val="none"/>
          <w:shd w:val="clear" w:color="auto" w:fill="FFFFFF"/>
        </w:rPr>
        <w:t>级部门整体支出</w:t>
      </w:r>
    </w:p>
    <w:p>
      <w:pPr>
        <w:widowControl/>
        <w:spacing w:line="580" w:lineRule="exact"/>
        <w:contextualSpacing/>
        <w:jc w:val="center"/>
        <w:rPr>
          <w:rFonts w:ascii="宋体" w:eastAsia="宋体"/>
          <w:b/>
          <w:sz w:val="44"/>
          <w:szCs w:val="44"/>
          <w:highlight w:val="none"/>
          <w:shd w:val="clear" w:color="auto" w:fill="FFFFFF"/>
        </w:rPr>
      </w:pPr>
      <w:r>
        <w:rPr>
          <w:rFonts w:hint="eastAsia" w:ascii="宋体" w:eastAsia="宋体"/>
          <w:b/>
          <w:sz w:val="44"/>
          <w:szCs w:val="44"/>
          <w:highlight w:val="none"/>
          <w:shd w:val="clear" w:color="auto" w:fill="FFFFFF"/>
        </w:rPr>
        <w:t>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highlight w:val="none"/>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lang w:val="zh-CN"/>
        </w:rPr>
      </w:pPr>
      <w:r>
        <w:rPr>
          <w:rFonts w:hint="eastAsia" w:ascii="黑体" w:eastAsia="黑体" w:cs="宋体"/>
          <w:color w:val="000000"/>
          <w:kern w:val="0"/>
          <w:szCs w:val="32"/>
          <w:highlight w:val="none"/>
          <w:shd w:val="clear" w:color="auto" w:fill="FFFFFF"/>
        </w:rPr>
        <w:t>一、</w:t>
      </w:r>
      <w:r>
        <w:rPr>
          <w:rFonts w:hint="eastAsia" w:ascii="黑体" w:eastAsia="黑体" w:cs="宋体"/>
          <w:color w:val="000000"/>
          <w:kern w:val="0"/>
          <w:szCs w:val="32"/>
          <w:highlight w:val="none"/>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宋体" w:hAnsi="宋体" w:eastAsia="宋体"/>
          <w:color w:val="000000"/>
          <w:sz w:val="32"/>
          <w:szCs w:val="32"/>
          <w:highlight w:val="none"/>
          <w:lang w:eastAsia="zh-CN"/>
        </w:rPr>
        <w:t>松潘县</w:t>
      </w:r>
      <w:r>
        <w:rPr>
          <w:rFonts w:hint="eastAsia" w:ascii="宋体" w:hAnsi="宋体" w:eastAsia="宋体"/>
          <w:color w:val="000000"/>
          <w:sz w:val="32"/>
          <w:szCs w:val="32"/>
          <w:highlight w:val="none"/>
          <w:lang w:val="en-US" w:eastAsia="zh-CN"/>
        </w:rPr>
        <w:t>镇坪乡卫生院</w:t>
      </w:r>
      <w:r>
        <w:rPr>
          <w:rFonts w:hint="eastAsia" w:ascii="宋体" w:hAnsi="宋体" w:eastAsia="宋体"/>
          <w:color w:val="000000"/>
          <w:sz w:val="32"/>
          <w:szCs w:val="32"/>
          <w:highlight w:val="none"/>
          <w:lang w:eastAsia="zh-CN"/>
        </w:rPr>
        <w:t>属</w:t>
      </w:r>
      <w:r>
        <w:rPr>
          <w:rFonts w:hint="eastAsia" w:ascii="宋体" w:hAnsi="宋体" w:eastAsia="宋体"/>
          <w:color w:val="000000"/>
          <w:sz w:val="32"/>
          <w:szCs w:val="32"/>
          <w:highlight w:val="none"/>
          <w:lang w:val="en-US" w:eastAsia="zh-CN"/>
        </w:rPr>
        <w:t>事业</w:t>
      </w:r>
      <w:r>
        <w:rPr>
          <w:rFonts w:hint="eastAsia" w:ascii="宋体" w:hAnsi="宋体" w:eastAsia="宋体"/>
          <w:color w:val="000000"/>
          <w:sz w:val="32"/>
          <w:szCs w:val="32"/>
          <w:highlight w:val="none"/>
          <w:lang w:eastAsia="zh-CN"/>
        </w:rPr>
        <w:t>单位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1、负责本乡镇的卫生工作法律法规、政策的贯彻，卫生事业发展规划和工作计划的制定，社会公共卫生工作的组织和实施。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2、负责本乡镇的基本医疗服务。</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3、负责本乡镇突发公共卫生事件的报告，并依据上级部门要求组织实施处置。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4、负责本乡镇辖区内的卫生信息统计、分析、上报。</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5、负责对本乡镇辖区内村级卫生组织和乡村医生的业务指导和培训。</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6、负责承办政府卫生行政部门委托的相关业务和事项，负责上级卫生行政部门下达的其他工作。</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镇坪乡卫生院</w:t>
      </w:r>
      <w:r>
        <w:rPr>
          <w:rFonts w:hint="eastAsia" w:ascii="仿宋_GB2312" w:cs="宋体"/>
          <w:color w:val="000000"/>
          <w:kern w:val="0"/>
          <w:szCs w:val="32"/>
          <w:highlight w:val="none"/>
          <w:shd w:val="clear" w:color="auto" w:fill="FFFFFF"/>
          <w:lang w:val="zh-CN"/>
        </w:rPr>
        <w:t>在职人数</w:t>
      </w:r>
      <w:r>
        <w:rPr>
          <w:rFonts w:hint="eastAsia" w:ascii="仿宋_GB2312" w:cs="宋体"/>
          <w:color w:val="000000"/>
          <w:kern w:val="0"/>
          <w:szCs w:val="32"/>
          <w:highlight w:val="none"/>
          <w:shd w:val="clear" w:color="auto" w:fill="FFFFFF"/>
          <w:lang w:val="en-US" w:eastAsia="zh-CN"/>
        </w:rPr>
        <w:t>9</w:t>
      </w:r>
      <w:r>
        <w:rPr>
          <w:rFonts w:hint="eastAsia" w:ascii="仿宋_GB2312" w:cs="宋体"/>
          <w:color w:val="000000"/>
          <w:kern w:val="0"/>
          <w:szCs w:val="32"/>
          <w:highlight w:val="none"/>
          <w:shd w:val="clear" w:color="auto" w:fill="FFFFFF"/>
          <w:lang w:val="zh-CN"/>
        </w:rPr>
        <w:t>人。</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（一）财政资金收入情况。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年度财政拨款收入总计</w:t>
      </w:r>
      <w:r>
        <w:rPr>
          <w:rFonts w:hint="eastAsia" w:ascii="仿宋_GB2312" w:cs="宋体"/>
          <w:color w:val="000000"/>
          <w:kern w:val="0"/>
          <w:szCs w:val="32"/>
          <w:highlight w:val="none"/>
          <w:shd w:val="clear" w:color="auto" w:fill="FFFFFF"/>
          <w:lang w:val="en-US" w:eastAsia="zh-CN"/>
        </w:rPr>
        <w:t>193.31</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年1-6月公共预算财政拨款收入</w:t>
      </w:r>
      <w:r>
        <w:rPr>
          <w:rFonts w:hint="eastAsia" w:ascii="仿宋_GB2312" w:cs="宋体"/>
          <w:color w:val="000000"/>
          <w:kern w:val="0"/>
          <w:szCs w:val="32"/>
          <w:highlight w:val="none"/>
          <w:shd w:val="clear" w:color="auto" w:fill="FFFFFF"/>
          <w:lang w:val="en-US" w:eastAsia="zh-CN"/>
        </w:rPr>
        <w:t>205.67</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年度财政拨款支出</w:t>
      </w:r>
      <w:r>
        <w:rPr>
          <w:rFonts w:hint="eastAsia" w:ascii="仿宋_GB2312" w:cs="宋体"/>
          <w:color w:val="000000"/>
          <w:kern w:val="0"/>
          <w:szCs w:val="32"/>
          <w:highlight w:val="none"/>
          <w:shd w:val="clear" w:color="auto" w:fill="FFFFFF"/>
          <w:lang w:val="en-US" w:eastAsia="zh-CN"/>
        </w:rPr>
        <w:t>193.01</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r>
        <w:rPr>
          <w:rFonts w:hint="eastAsia" w:ascii="仿宋_GB2312" w:cs="宋体"/>
          <w:color w:val="000000"/>
          <w:kern w:val="0"/>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1、202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年度一般公共预算财政拨款基本支出</w:t>
      </w:r>
      <w:r>
        <w:rPr>
          <w:rFonts w:hint="eastAsia" w:ascii="仿宋_GB2312" w:cs="宋体"/>
          <w:color w:val="000000"/>
          <w:kern w:val="0"/>
          <w:szCs w:val="32"/>
          <w:highlight w:val="none"/>
          <w:shd w:val="clear" w:color="auto" w:fill="FFFFFF"/>
          <w:lang w:val="en-US" w:eastAsia="zh-CN"/>
        </w:rPr>
        <w:t>164.51</w:t>
      </w:r>
      <w:r>
        <w:rPr>
          <w:rFonts w:hint="eastAsia" w:ascii="仿宋_GB2312" w:cs="宋体"/>
          <w:color w:val="000000"/>
          <w:kern w:val="0"/>
          <w:szCs w:val="32"/>
          <w:highlight w:val="none"/>
          <w:shd w:val="clear" w:color="auto" w:fill="FFFFFF"/>
          <w:lang w:val="zh-CN"/>
        </w:rPr>
        <w:t>万元，其中：</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人员经费</w:t>
      </w:r>
      <w:r>
        <w:rPr>
          <w:rFonts w:hint="eastAsia" w:ascii="仿宋_GB2312" w:cs="宋体"/>
          <w:color w:val="000000"/>
          <w:kern w:val="0"/>
          <w:szCs w:val="32"/>
          <w:highlight w:val="none"/>
          <w:shd w:val="clear" w:color="auto" w:fill="FFFFFF"/>
          <w:lang w:val="en-US" w:eastAsia="zh-CN"/>
        </w:rPr>
        <w:t>163.28</w:t>
      </w:r>
      <w:r>
        <w:rPr>
          <w:rFonts w:hint="eastAsia" w:ascii="仿宋_GB2312" w:cs="宋体"/>
          <w:color w:val="000000"/>
          <w:kern w:val="0"/>
          <w:szCs w:val="32"/>
          <w:highlight w:val="none"/>
          <w:shd w:val="clear" w:color="auto" w:fill="FFFFFF"/>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zh-CN"/>
        </w:rPr>
        <w:t>公用经费</w:t>
      </w:r>
      <w:r>
        <w:rPr>
          <w:rFonts w:hint="eastAsia" w:ascii="仿宋_GB2312" w:cs="宋体"/>
          <w:color w:val="000000"/>
          <w:kern w:val="0"/>
          <w:szCs w:val="32"/>
          <w:highlight w:val="none"/>
          <w:shd w:val="clear" w:color="auto" w:fill="FFFFFF"/>
          <w:lang w:val="en-US" w:eastAsia="zh-CN"/>
        </w:rPr>
        <w:t>1.23</w:t>
      </w:r>
      <w:r>
        <w:rPr>
          <w:rFonts w:hint="eastAsia" w:ascii="仿宋_GB2312" w:cs="宋体"/>
          <w:color w:val="000000"/>
          <w:kern w:val="0"/>
          <w:szCs w:val="32"/>
          <w:highlight w:val="none"/>
          <w:shd w:val="clear" w:color="auto" w:fill="FFFFFF"/>
          <w:lang w:val="zh-CN"/>
        </w:rPr>
        <w:t>万元，主要包括：工会经费</w:t>
      </w:r>
      <w:r>
        <w:rPr>
          <w:rFonts w:hint="eastAsia" w:ascii="仿宋_GB2312" w:cs="宋体"/>
          <w:color w:val="000000"/>
          <w:kern w:val="0"/>
          <w:szCs w:val="32"/>
          <w:highlight w:val="none"/>
          <w:shd w:val="clear" w:color="auto" w:fill="FFFFFF"/>
          <w:lang w:val="en-US" w:eastAsia="zh-CN"/>
        </w:rPr>
        <w:t>.</w:t>
      </w:r>
    </w:p>
    <w:p>
      <w:pPr>
        <w:widowControl/>
        <w:adjustRightInd w:val="0"/>
        <w:snapToGrid w:val="0"/>
        <w:spacing w:line="580" w:lineRule="exact"/>
        <w:ind w:firstLine="640" w:firstLineChars="200"/>
        <w:contextualSpacing/>
        <w:jc w:val="left"/>
        <w:rPr>
          <w:rFonts w:hint="default" w:ascii="仿宋_GB2312" w:eastAsia="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年项目支付</w:t>
      </w:r>
      <w:r>
        <w:rPr>
          <w:rFonts w:hint="eastAsia" w:ascii="仿宋_GB2312" w:cs="宋体"/>
          <w:color w:val="000000"/>
          <w:kern w:val="0"/>
          <w:szCs w:val="32"/>
          <w:highlight w:val="none"/>
          <w:shd w:val="clear" w:color="auto" w:fill="FFFFFF"/>
          <w:lang w:val="en-US" w:eastAsia="zh-CN"/>
        </w:rPr>
        <w:t>28.5</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主要包括：基本药物补助资金，基本公共卫生服务补助资金。</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年1-6月公共预算财政拨款支出</w:t>
      </w:r>
      <w:r>
        <w:rPr>
          <w:rFonts w:hint="eastAsia" w:ascii="仿宋_GB2312" w:cs="宋体"/>
          <w:color w:val="000000"/>
          <w:kern w:val="0"/>
          <w:szCs w:val="32"/>
          <w:highlight w:val="none"/>
          <w:shd w:val="clear" w:color="auto" w:fill="FFFFFF"/>
          <w:lang w:val="en-US" w:eastAsia="zh-CN"/>
        </w:rPr>
        <w:t>114.12</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三、部门整体预算绩效管理情况（根据适用指标体系进行调整</w:t>
      </w:r>
      <w:r>
        <w:rPr>
          <w:rFonts w:hint="eastAsia" w:ascii="黑体" w:eastAsia="黑体" w:cs="宋体"/>
          <w:color w:val="000000"/>
          <w:kern w:val="0"/>
          <w:szCs w:val="32"/>
          <w:highlight w:val="none"/>
          <w:shd w:val="clear" w:color="auto" w:fill="FFFFFF"/>
          <w:lang w:eastAsia="zh-CN"/>
        </w:rPr>
        <w:t>，涉及有专项预算的部门，专项预算项目自评报告根据要求另行单独报送</w:t>
      </w:r>
      <w:r>
        <w:rPr>
          <w:rFonts w:hint="eastAsia" w:ascii="黑体" w:eastAsia="黑体" w:cs="宋体"/>
          <w:color w:val="000000"/>
          <w:kern w:val="0"/>
          <w:szCs w:val="32"/>
          <w:highlight w:val="none"/>
          <w:shd w:val="clear" w:color="auto" w:fill="FFFFFF"/>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一</w:t>
      </w:r>
      <w:r>
        <w:rPr>
          <w:rFonts w:hint="eastAsia" w:ascii="仿宋_GB2312" w:cs="宋体"/>
          <w:color w:val="000000"/>
          <w:kern w:val="0"/>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二</w:t>
      </w:r>
      <w:r>
        <w:rPr>
          <w:rFonts w:hint="eastAsia" w:ascii="仿宋_GB2312" w:cs="宋体"/>
          <w:color w:val="000000"/>
          <w:kern w:val="0"/>
          <w:szCs w:val="32"/>
          <w:highlight w:val="none"/>
          <w:shd w:val="clear" w:color="auto" w:fill="FFFFFF"/>
          <w:lang w:val="zh-CN"/>
        </w:rPr>
        <w:t>）执行管理情况。</w:t>
      </w:r>
      <w:r>
        <w:rPr>
          <w:rFonts w:hint="eastAsia" w:ascii="仿宋_GB2312" w:cs="宋体"/>
          <w:color w:val="000000"/>
          <w:kern w:val="0"/>
          <w:szCs w:val="32"/>
          <w:highlight w:val="none"/>
          <w:shd w:val="clear" w:color="auto" w:fill="FFFFFF"/>
          <w:lang w:val="zh-CN"/>
        </w:rPr>
        <w:tab/>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从整体情况来看，我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三</w:t>
      </w:r>
      <w:r>
        <w:rPr>
          <w:rFonts w:hint="eastAsia" w:ascii="仿宋_GB2312" w:cs="宋体"/>
          <w:color w:val="000000"/>
          <w:kern w:val="0"/>
          <w:szCs w:val="32"/>
          <w:highlight w:val="none"/>
          <w:shd w:val="clear" w:color="auto" w:fill="FFFFFF"/>
          <w:lang w:val="zh-CN"/>
        </w:rPr>
        <w:t>）综合管理情况。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预决算公开：</w:t>
      </w:r>
      <w:r>
        <w:rPr>
          <w:rFonts w:hint="eastAsia" w:ascii="仿宋_GB2312" w:cs="宋体"/>
          <w:color w:val="000000"/>
          <w:kern w:val="0"/>
          <w:szCs w:val="32"/>
          <w:highlight w:val="none"/>
          <w:shd w:val="clear" w:color="auto" w:fill="FFFFFF"/>
          <w:lang w:val="en-US" w:eastAsia="zh-CN"/>
        </w:rPr>
        <w:t>2022</w:t>
      </w:r>
      <w:r>
        <w:rPr>
          <w:rFonts w:hint="eastAsia" w:ascii="仿宋_GB2312" w:cs="宋体"/>
          <w:color w:val="000000"/>
          <w:kern w:val="0"/>
          <w:szCs w:val="32"/>
          <w:highlight w:val="none"/>
          <w:shd w:val="clear" w:color="auto" w:fill="FFFFFF"/>
          <w:lang w:val="zh-CN"/>
        </w:rPr>
        <w:t>年，我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资产管理：202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“三公经费”控制情况：贯彻落实上级有关精神，严格控制“三公经费”支出。我单位202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无</w:t>
      </w:r>
      <w:r>
        <w:rPr>
          <w:rFonts w:hint="eastAsia" w:ascii="仿宋_GB2312" w:cs="宋体"/>
          <w:color w:val="000000"/>
          <w:kern w:val="0"/>
          <w:szCs w:val="32"/>
          <w:highlight w:val="none"/>
          <w:shd w:val="clear" w:color="auto" w:fill="FFFFFF"/>
          <w:lang w:val="zh-CN"/>
        </w:rPr>
        <w:t>“三公”经费支出。内部管理制度建设情况：近年来，我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四</w:t>
      </w:r>
      <w:r>
        <w:rPr>
          <w:rFonts w:hint="eastAsia" w:ascii="仿宋_GB2312" w:cs="宋体"/>
          <w:color w:val="000000"/>
          <w:kern w:val="0"/>
          <w:szCs w:val="32"/>
          <w:highlight w:val="none"/>
          <w:shd w:val="clear" w:color="auto" w:fill="FFFFFF"/>
          <w:lang w:val="zh-CN"/>
        </w:rPr>
        <w:t>）绩效评价目的：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此次绩效评价的目的是：严格落实《中华人民共和国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五</w:t>
      </w:r>
      <w:r>
        <w:rPr>
          <w:rFonts w:hint="eastAsia" w:ascii="仿宋_GB2312" w:cs="宋体"/>
          <w:color w:val="000000"/>
          <w:kern w:val="0"/>
          <w:szCs w:val="32"/>
          <w:highlight w:val="none"/>
          <w:shd w:val="clear" w:color="auto" w:fill="FFFFFF"/>
          <w:lang w:val="zh-CN"/>
        </w:rPr>
        <w:t>）绩效评价的主要过程：</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规范了财政资金的管理，强化财政支出绩效理念，提升责任意识，提高资金使用效益。</w:t>
      </w:r>
    </w:p>
    <w:p>
      <w:pPr>
        <w:widowControl/>
        <w:adjustRightInd w:val="0"/>
        <w:snapToGrid w:val="0"/>
        <w:spacing w:line="580" w:lineRule="exact"/>
        <w:ind w:firstLine="640" w:firstLineChars="200"/>
        <w:contextualSpacing/>
        <w:jc w:val="left"/>
        <w:rPr>
          <w:rFonts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严肃财经纪律、规范财务管理、筑牢财政资金安全防线、防范财政资金管理风险。把财经纪律执行工作的各项任务落到实处。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p>
    <w:p>
      <w:pPr>
        <w:pStyle w:val="2"/>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 xml:space="preserve">                               </w:t>
      </w:r>
    </w:p>
    <w:p>
      <w:pPr>
        <w:pStyle w:val="2"/>
        <w:rPr>
          <w:rFonts w:hint="eastAsia" w:ascii="仿宋_GB2312" w:cs="宋体"/>
          <w:color w:val="000000"/>
          <w:kern w:val="0"/>
          <w:szCs w:val="32"/>
          <w:highlight w:val="none"/>
          <w:shd w:val="clear" w:color="auto" w:fill="FFFFFF"/>
          <w:lang w:val="en-US" w:eastAsia="zh-CN"/>
        </w:rPr>
      </w:pPr>
    </w:p>
    <w:tbl>
      <w:tblPr>
        <w:tblStyle w:val="16"/>
        <w:tblW w:w="11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771"/>
        <w:gridCol w:w="729"/>
        <w:gridCol w:w="2182"/>
        <w:gridCol w:w="2028"/>
        <w:gridCol w:w="1197"/>
        <w:gridCol w:w="1191"/>
        <w:gridCol w:w="2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jc w:val="center"/>
        </w:trPr>
        <w:tc>
          <w:tcPr>
            <w:tcW w:w="95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lang w:val="en-US"/>
              </w:rPr>
            </w:pPr>
            <w:r>
              <w:rPr>
                <w:rStyle w:val="39"/>
                <w:lang w:val="en-US" w:eastAsia="zh-CN" w:bidi="ar"/>
              </w:rPr>
              <w:t>附件</w:t>
            </w:r>
            <w:r>
              <w:rPr>
                <w:rStyle w:val="39"/>
                <w:rFonts w:hint="eastAsia"/>
                <w:lang w:val="en-US" w:eastAsia="zh-CN" w:bidi="ar"/>
              </w:rPr>
              <w:t>1</w:t>
            </w:r>
          </w:p>
        </w:tc>
        <w:tc>
          <w:tcPr>
            <w:tcW w:w="771"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729"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2182"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20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1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1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6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69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32"/>
                <w:szCs w:val="32"/>
                <w:u w:val="none"/>
                <w:lang w:val="en-US" w:eastAsia="zh-CN" w:bidi="ar"/>
              </w:rPr>
              <w:t>转移支付区域（项目）绩效目标自评表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1696"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9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基本药物制度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9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松潘县卫生健康局</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3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各基层医疗机构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1"/>
                <w:lang w:val="en-US" w:eastAsia="zh-CN" w:bidi="ar"/>
              </w:rPr>
              <w:t xml:space="preserve"> </w:t>
            </w:r>
            <w:r>
              <w:rPr>
                <w:rStyle w:val="42"/>
                <w:lang w:val="en-US" w:eastAsia="zh-CN" w:bidi="ar"/>
              </w:rPr>
              <w:t>其中：中央财政资金</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1"/>
                <w:lang w:val="en-US" w:eastAsia="zh-CN" w:bidi="ar"/>
              </w:rPr>
              <w:t xml:space="preserve"> </w:t>
            </w:r>
            <w:r>
              <w:rPr>
                <w:rStyle w:val="43"/>
                <w:rFonts w:ascii="宋体" w:hAnsi="宋体" w:eastAsia="宋体" w:cs="宋体"/>
                <w:sz w:val="24"/>
                <w:szCs w:val="24"/>
                <w:lang w:val="en-US" w:eastAsia="zh-CN" w:bidi="ar"/>
              </w:rPr>
              <w:t xml:space="preserve">      地方资金</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4"/>
                <w:lang w:val="en-US" w:eastAsia="zh-CN" w:bidi="ar"/>
              </w:rPr>
              <w:t xml:space="preserve">      </w:t>
            </w:r>
            <w:r>
              <w:rPr>
                <w:rStyle w:val="42"/>
                <w:lang w:val="en-US" w:eastAsia="zh-CN" w:bidi="ar"/>
              </w:rPr>
              <w:t xml:space="preserve">  其他资金</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4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jc w:val="center"/>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95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5710"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03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9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目标1：基层医疗卫生机构按要求实施基本药物制度。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目标2：基本药物制度在村卫生室顺利实施。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目标3：基层医疗卫生机构服务质量进一步提高。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目标4：紧密型医共体等基层卫生综合改革在县域内稳步推进。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目标5：对基本药物制度补助满意度进一步提高。</w:t>
            </w:r>
          </w:p>
        </w:tc>
        <w:tc>
          <w:tcPr>
            <w:tcW w:w="5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政府办基层医疗卫生机构实施国家基本药物制度覆盖率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村卫生室实施国家基本药物制度覆盖率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乡村医生收入</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国家基本药物制度在基层持续实施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医共体建设符合“紧密型”“控费型 ”“同质化”“促分工”发展方向</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医院医务人员满意度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107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请在此处简要说明中央巡视、各级审计和财政监督中发现的问题及其所涉及的金额，如没有请填无。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16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16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6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tbl>
    <w:p>
      <w:pPr>
        <w:widowControl/>
        <w:adjustRightInd w:val="0"/>
        <w:snapToGrid w:val="0"/>
        <w:spacing w:line="580" w:lineRule="exact"/>
        <w:contextualSpacing/>
        <w:jc w:val="both"/>
        <w:rPr>
          <w:rFonts w:hint="default" w:ascii="仿宋_GB2312" w:cs="宋体"/>
          <w:color w:val="000000"/>
          <w:kern w:val="0"/>
          <w:szCs w:val="32"/>
          <w:highlight w:val="none"/>
          <w:shd w:val="clear" w:color="auto" w:fill="FFFFFF"/>
          <w:lang w:val="en-US" w:eastAsia="zh-CN"/>
        </w:rPr>
      </w:pPr>
    </w:p>
    <w:tbl>
      <w:tblPr>
        <w:tblStyle w:val="16"/>
        <w:tblW w:w="11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5"/>
        <w:gridCol w:w="503"/>
        <w:gridCol w:w="1110"/>
        <w:gridCol w:w="1739"/>
        <w:gridCol w:w="1553"/>
        <w:gridCol w:w="1901"/>
        <w:gridCol w:w="228"/>
        <w:gridCol w:w="1581"/>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09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附件2：</w:t>
            </w:r>
          </w:p>
        </w:tc>
        <w:tc>
          <w:tcPr>
            <w:tcW w:w="503"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11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739"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55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9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5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4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1119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中央对地方专项转移支付绩效自评表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270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84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270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84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270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地方主管部门</w:t>
            </w:r>
          </w:p>
        </w:tc>
        <w:tc>
          <w:tcPr>
            <w:tcW w:w="3292"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3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松潘镇坪乡卫生院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基本公共卫生服务项目资金（万元）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全年预算（A）</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其中：中央补助</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23.05</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地方资金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基层基本公共卫生服务项目（12类）资金（万元）</w:t>
            </w:r>
          </w:p>
        </w:tc>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其中：中央补助</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23.05</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地方资金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体目标</w:t>
            </w:r>
          </w:p>
        </w:tc>
        <w:tc>
          <w:tcPr>
            <w:tcW w:w="4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年初设定目标</w:t>
            </w:r>
          </w:p>
        </w:tc>
        <w:tc>
          <w:tcPr>
            <w:tcW w:w="5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6"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9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c>
          <w:tcPr>
            <w:tcW w:w="5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全年完成值</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健康档案建档数3014。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健康档案建档率99%。</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健康档案建档数3014，99.33%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稳定提高使用率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健康教育设置健康教育宣传栏12期，健康教育咨询活动举办10次，健康教育讲座开展12次</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健康教育设置健康教育宣传栏12期，健康教育宣传活动举办10次，健康教育讲座开展12次</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指标2：健康教育设置健康教育宣传栏12期，健康教育咨询活动举办10次，健康教育讲座开展12次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加强健康教育讲座的开展，全年完成12次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65岁以上的老年人规范管理率88%（应管434人实际管理381）</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65岁以上的老年人规范管理率88%</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65岁以上的老年人规范管理率88%（应管434人实际管理381）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加强老年人规范管理，及时完成年度体检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高血压患者管理率82%（管理156人，规范管理128）、2型糖尿病患者管理率82％（管理34人，规范管理28）。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高血压患者管理率82%、2型糖尿病患者管理率82％</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指标6：高血压患者管理率82%（管理156人，规范管理128）、2型糖尿病患者管理率82％（管理34人，规范管理28）。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严重精神障碍患者规范管理率100%（应管8人，规范管理8）。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严重精神障碍患者规范管理率100%（应管8人，规范管理8）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加强重精患者服药率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孕产妇系统管理率达90%。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孕产妇系统管理率达90%。</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孕产妇系统管理率达90%。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提高早孕建册率及产后访视率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0-6岁儿童系统管理率达到85%。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0-6岁儿童系统管理率达到85%。</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0-6岁儿童系统管理率达到85%。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加强新生儿访视及0-6岁儿童健康管理。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项目完成时限</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城乡居民公共卫生差距</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居民健康保健意识和健康知识知晓率</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建档立卡贫困人口健康保健意识和健康知识知晓率</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基本公共卫生服务水平</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居民满意度、建档立卡贫困户满意度。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widowControl/>
        <w:adjustRightInd w:val="0"/>
        <w:snapToGrid w:val="0"/>
        <w:spacing w:line="580" w:lineRule="exact"/>
        <w:contextualSpacing/>
        <w:jc w:val="both"/>
        <w:rPr>
          <w:rFonts w:hint="default" w:ascii="仿宋_GB2312" w:cs="宋体"/>
          <w:color w:val="000000"/>
          <w:kern w:val="0"/>
          <w:szCs w:val="32"/>
          <w:highlight w:val="none"/>
          <w:shd w:val="clear" w:color="auto" w:fill="FFFFFF"/>
          <w:lang w:val="en-US" w:eastAsia="zh-CN"/>
        </w:rPr>
      </w:pPr>
    </w:p>
    <w:p>
      <w:pPr>
        <w:pStyle w:val="2"/>
        <w:rPr>
          <w:rFonts w:hint="default" w:ascii="仿宋_GB2312" w:cs="宋体"/>
          <w:color w:val="000000"/>
          <w:kern w:val="0"/>
          <w:szCs w:val="32"/>
          <w:highlight w:val="none"/>
          <w:shd w:val="clear" w:color="auto" w:fill="FFFFFF"/>
          <w:lang w:val="en-US" w:eastAsia="zh-CN"/>
        </w:rPr>
      </w:pPr>
    </w:p>
    <w:p>
      <w:pPr>
        <w:pStyle w:val="3"/>
        <w:jc w:val="center"/>
        <w:rPr>
          <w:rFonts w:ascii="黑体" w:hAnsi="黑体" w:eastAsia="黑体" w:cs="黑体"/>
        </w:rPr>
      </w:pPr>
      <w:bookmarkStart w:id="72" w:name="_Toc79163635"/>
      <w:bookmarkStart w:id="73" w:name="_Toc79163885"/>
      <w:bookmarkStart w:id="74" w:name="_Toc111208512"/>
      <w:bookmarkStart w:id="75" w:name="_Toc16128"/>
      <w:r>
        <w:rPr>
          <w:rFonts w:hint="eastAsia" w:ascii="黑体" w:hAnsi="黑体" w:eastAsia="黑体" w:cs="黑体"/>
        </w:rPr>
        <w:t>第五部分 附表</w:t>
      </w:r>
      <w:bookmarkEnd w:id="72"/>
      <w:bookmarkEnd w:id="73"/>
      <w:bookmarkEnd w:id="74"/>
      <w:bookmarkEnd w:id="75"/>
    </w:p>
    <w:p>
      <w:pPr>
        <w:pStyle w:val="4"/>
        <w:ind w:firstLine="643" w:firstLineChars="200"/>
        <w:rPr>
          <w:rFonts w:hint="eastAsia" w:ascii="黑体" w:eastAsia="黑体" w:cs="Times New Roman"/>
          <w:bCs w:val="0"/>
          <w:color w:val="000000"/>
        </w:rPr>
      </w:pPr>
      <w:bookmarkStart w:id="76" w:name="_Toc19345"/>
      <w:r>
        <w:rPr>
          <w:rFonts w:hint="eastAsia" w:ascii="黑体" w:eastAsia="黑体" w:cs="Times New Roman"/>
          <w:bCs w:val="0"/>
          <w:color w:val="000000"/>
        </w:rPr>
        <w:t>一、收入支出决算总表</w:t>
      </w:r>
      <w:bookmarkEnd w:id="76"/>
    </w:p>
    <w:p>
      <w:pPr>
        <w:pStyle w:val="4"/>
        <w:ind w:firstLine="643" w:firstLineChars="200"/>
        <w:rPr>
          <w:rFonts w:hint="eastAsia" w:ascii="黑体" w:eastAsia="黑体" w:cs="Times New Roman"/>
          <w:bCs w:val="0"/>
          <w:color w:val="000000"/>
        </w:rPr>
      </w:pPr>
      <w:bookmarkStart w:id="77" w:name="_Toc5091"/>
      <w:r>
        <w:rPr>
          <w:rFonts w:hint="eastAsia" w:ascii="黑体" w:eastAsia="黑体" w:cs="Times New Roman"/>
          <w:bCs w:val="0"/>
          <w:color w:val="000000"/>
        </w:rPr>
        <w:t>二、收入决算表</w:t>
      </w:r>
      <w:bookmarkEnd w:id="77"/>
    </w:p>
    <w:p>
      <w:pPr>
        <w:pStyle w:val="4"/>
        <w:ind w:firstLine="643" w:firstLineChars="200"/>
        <w:rPr>
          <w:rFonts w:hint="eastAsia" w:ascii="黑体" w:eastAsia="黑体" w:cs="Times New Roman"/>
          <w:bCs w:val="0"/>
          <w:color w:val="000000"/>
        </w:rPr>
      </w:pPr>
      <w:bookmarkStart w:id="78" w:name="_Toc5639"/>
      <w:r>
        <w:rPr>
          <w:rFonts w:hint="eastAsia" w:ascii="黑体" w:eastAsia="黑体" w:cs="Times New Roman"/>
          <w:bCs w:val="0"/>
          <w:color w:val="000000"/>
        </w:rPr>
        <w:t>三、支出决算表</w:t>
      </w:r>
      <w:bookmarkEnd w:id="78"/>
    </w:p>
    <w:p>
      <w:pPr>
        <w:pStyle w:val="4"/>
        <w:ind w:firstLine="643" w:firstLineChars="200"/>
        <w:rPr>
          <w:rFonts w:hint="eastAsia" w:ascii="黑体" w:eastAsia="黑体" w:cs="Times New Roman"/>
          <w:bCs w:val="0"/>
          <w:color w:val="000000"/>
        </w:rPr>
      </w:pPr>
      <w:bookmarkStart w:id="79" w:name="_Toc20160"/>
      <w:r>
        <w:rPr>
          <w:rFonts w:hint="eastAsia" w:ascii="黑体" w:eastAsia="黑体" w:cs="Times New Roman"/>
          <w:bCs w:val="0"/>
          <w:color w:val="000000"/>
        </w:rPr>
        <w:t>四、财政拨款收入支出决算总表</w:t>
      </w:r>
      <w:bookmarkEnd w:id="79"/>
    </w:p>
    <w:p>
      <w:pPr>
        <w:pStyle w:val="4"/>
        <w:ind w:firstLine="643" w:firstLineChars="200"/>
        <w:rPr>
          <w:rFonts w:hint="eastAsia" w:ascii="黑体" w:eastAsia="黑体" w:cs="Times New Roman"/>
          <w:bCs w:val="0"/>
          <w:color w:val="000000"/>
        </w:rPr>
      </w:pPr>
      <w:bookmarkStart w:id="80" w:name="_Toc13786"/>
      <w:r>
        <w:rPr>
          <w:rFonts w:hint="eastAsia" w:ascii="黑体" w:eastAsia="黑体" w:cs="Times New Roman"/>
          <w:bCs w:val="0"/>
          <w:color w:val="000000"/>
        </w:rPr>
        <w:t>五、财政拨款支出决算明细表</w:t>
      </w:r>
      <w:bookmarkEnd w:id="80"/>
    </w:p>
    <w:p>
      <w:pPr>
        <w:pStyle w:val="4"/>
        <w:ind w:firstLine="643" w:firstLineChars="200"/>
        <w:rPr>
          <w:rFonts w:hint="eastAsia" w:ascii="黑体" w:eastAsia="黑体" w:cs="Times New Roman"/>
          <w:bCs w:val="0"/>
          <w:color w:val="000000"/>
        </w:rPr>
      </w:pPr>
      <w:bookmarkStart w:id="81" w:name="_Toc8367"/>
      <w:r>
        <w:rPr>
          <w:rFonts w:hint="eastAsia" w:ascii="黑体" w:eastAsia="黑体" w:cs="Times New Roman"/>
          <w:bCs w:val="0"/>
          <w:color w:val="000000"/>
        </w:rPr>
        <w:t>六、一般公共预算财政拨款支出决算表</w:t>
      </w:r>
      <w:bookmarkEnd w:id="81"/>
    </w:p>
    <w:p>
      <w:pPr>
        <w:pStyle w:val="4"/>
        <w:ind w:firstLine="643" w:firstLineChars="200"/>
        <w:rPr>
          <w:rFonts w:hint="eastAsia" w:ascii="黑体" w:eastAsia="黑体" w:cs="Times New Roman"/>
          <w:bCs w:val="0"/>
          <w:color w:val="000000"/>
        </w:rPr>
      </w:pPr>
      <w:bookmarkStart w:id="82" w:name="_Toc17399"/>
      <w:r>
        <w:rPr>
          <w:rFonts w:hint="eastAsia" w:ascii="黑体" w:eastAsia="黑体" w:cs="Times New Roman"/>
          <w:bCs w:val="0"/>
          <w:color w:val="000000"/>
        </w:rPr>
        <w:t>七、一般公共预算财政拨款支出决算明细表</w:t>
      </w:r>
      <w:bookmarkEnd w:id="82"/>
    </w:p>
    <w:p>
      <w:pPr>
        <w:pStyle w:val="4"/>
        <w:ind w:firstLine="643" w:firstLineChars="200"/>
        <w:rPr>
          <w:rFonts w:hint="eastAsia" w:ascii="黑体" w:eastAsia="黑体" w:cs="Times New Roman"/>
          <w:bCs w:val="0"/>
          <w:color w:val="000000"/>
        </w:rPr>
      </w:pPr>
      <w:bookmarkStart w:id="83" w:name="_Toc8764"/>
      <w:r>
        <w:rPr>
          <w:rFonts w:hint="eastAsia" w:ascii="黑体" w:eastAsia="黑体" w:cs="Times New Roman"/>
          <w:bCs w:val="0"/>
          <w:color w:val="000000"/>
        </w:rPr>
        <w:t>八、一般公共预算财政拨款基本支出决算表</w:t>
      </w:r>
      <w:bookmarkEnd w:id="83"/>
    </w:p>
    <w:p>
      <w:pPr>
        <w:pStyle w:val="4"/>
        <w:ind w:firstLine="643" w:firstLineChars="200"/>
        <w:rPr>
          <w:rFonts w:hint="eastAsia" w:ascii="黑体" w:eastAsia="黑体" w:cs="Times New Roman"/>
          <w:bCs w:val="0"/>
          <w:color w:val="000000"/>
        </w:rPr>
      </w:pPr>
      <w:bookmarkStart w:id="84" w:name="_Toc5316"/>
      <w:r>
        <w:rPr>
          <w:rFonts w:hint="eastAsia" w:ascii="黑体" w:eastAsia="黑体" w:cs="Times New Roman"/>
          <w:bCs w:val="0"/>
          <w:color w:val="000000"/>
        </w:rPr>
        <w:t>九、一般公共预算财政拨款项目支出决算表</w:t>
      </w:r>
      <w:bookmarkEnd w:id="84"/>
    </w:p>
    <w:p>
      <w:pPr>
        <w:pStyle w:val="4"/>
        <w:ind w:firstLine="643" w:firstLineChars="200"/>
        <w:rPr>
          <w:rFonts w:hint="eastAsia" w:ascii="黑体" w:eastAsia="黑体" w:cs="Times New Roman"/>
          <w:bCs w:val="0"/>
          <w:color w:val="000000"/>
        </w:rPr>
      </w:pPr>
      <w:bookmarkStart w:id="85" w:name="_Toc9239"/>
      <w:r>
        <w:rPr>
          <w:rFonts w:hint="eastAsia" w:ascii="黑体" w:eastAsia="黑体" w:cs="Times New Roman"/>
          <w:bCs w:val="0"/>
          <w:color w:val="000000"/>
        </w:rPr>
        <w:t>十、政府性基金预算财政拨款收入支出决算表</w:t>
      </w:r>
      <w:bookmarkEnd w:id="85"/>
    </w:p>
    <w:p>
      <w:pPr>
        <w:pStyle w:val="4"/>
        <w:ind w:firstLine="643" w:firstLineChars="200"/>
        <w:rPr>
          <w:rFonts w:hint="eastAsia" w:ascii="黑体" w:eastAsia="黑体" w:cs="Times New Roman"/>
          <w:bCs w:val="0"/>
          <w:color w:val="000000"/>
        </w:rPr>
      </w:pPr>
      <w:bookmarkStart w:id="86" w:name="_Toc21643"/>
      <w:r>
        <w:rPr>
          <w:rFonts w:hint="eastAsia" w:ascii="黑体" w:eastAsia="黑体" w:cs="Times New Roman"/>
          <w:bCs w:val="0"/>
          <w:color w:val="000000"/>
        </w:rPr>
        <w:t>十一、国有资本经营预算财政拨款收入支出决算表</w:t>
      </w:r>
      <w:bookmarkEnd w:id="86"/>
    </w:p>
    <w:p>
      <w:pPr>
        <w:pStyle w:val="4"/>
        <w:ind w:firstLine="643" w:firstLineChars="200"/>
        <w:rPr>
          <w:rFonts w:hint="eastAsia" w:ascii="黑体" w:eastAsia="黑体" w:cs="Times New Roman"/>
          <w:bCs w:val="0"/>
          <w:color w:val="000000"/>
        </w:rPr>
      </w:pPr>
      <w:bookmarkStart w:id="87" w:name="_Toc11859"/>
      <w:r>
        <w:rPr>
          <w:rFonts w:hint="eastAsia" w:ascii="黑体" w:eastAsia="黑体" w:cs="Times New Roman"/>
          <w:bCs w:val="0"/>
          <w:color w:val="000000"/>
        </w:rPr>
        <w:t>十二、国有资本经营预算财政拨款支出决算表</w:t>
      </w:r>
      <w:bookmarkEnd w:id="87"/>
    </w:p>
    <w:p>
      <w:pPr>
        <w:pStyle w:val="4"/>
        <w:ind w:firstLine="643" w:firstLineChars="200"/>
        <w:rPr>
          <w:rFonts w:ascii="黑体" w:eastAsia="黑体" w:cs="Times New Roman"/>
          <w:b w:val="0"/>
          <w:color w:val="000000"/>
        </w:rPr>
      </w:pPr>
      <w:bookmarkStart w:id="88" w:name="_Toc3136"/>
      <w:r>
        <w:rPr>
          <w:rFonts w:hint="eastAsia" w:ascii="黑体" w:eastAsia="黑体" w:cs="Times New Roman"/>
          <w:bCs w:val="0"/>
          <w:color w:val="000000"/>
        </w:rPr>
        <w:t>十三、财政拨款“三公”经费支出决算表</w:t>
      </w:r>
      <w:bookmarkEnd w:id="88"/>
    </w:p>
    <w:bookmarkEnd w:id="89"/>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AA925F0"/>
    <w:rsid w:val="0B7218AA"/>
    <w:rsid w:val="0B99373B"/>
    <w:rsid w:val="0BA37CB5"/>
    <w:rsid w:val="0D0429D6"/>
    <w:rsid w:val="0D093B48"/>
    <w:rsid w:val="0D322E51"/>
    <w:rsid w:val="0D6C338E"/>
    <w:rsid w:val="0DB37F58"/>
    <w:rsid w:val="0F5E6610"/>
    <w:rsid w:val="10C055FF"/>
    <w:rsid w:val="11D56DF6"/>
    <w:rsid w:val="11ED6591"/>
    <w:rsid w:val="13367661"/>
    <w:rsid w:val="16BB723D"/>
    <w:rsid w:val="17BC7656"/>
    <w:rsid w:val="17EA348C"/>
    <w:rsid w:val="1840212F"/>
    <w:rsid w:val="184656CF"/>
    <w:rsid w:val="19943114"/>
    <w:rsid w:val="1A1731A1"/>
    <w:rsid w:val="1AB026BC"/>
    <w:rsid w:val="1ABB32B6"/>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3A1C2F"/>
    <w:rsid w:val="329448A6"/>
    <w:rsid w:val="32F45598"/>
    <w:rsid w:val="35244754"/>
    <w:rsid w:val="364D41F6"/>
    <w:rsid w:val="36FD0156"/>
    <w:rsid w:val="38F8371D"/>
    <w:rsid w:val="39226F5F"/>
    <w:rsid w:val="39902098"/>
    <w:rsid w:val="3A3A0F35"/>
    <w:rsid w:val="3A4E1148"/>
    <w:rsid w:val="3C8D2F9D"/>
    <w:rsid w:val="3CE0510E"/>
    <w:rsid w:val="3D1927CA"/>
    <w:rsid w:val="3D1E4B3E"/>
    <w:rsid w:val="3D8344ED"/>
    <w:rsid w:val="3E03620E"/>
    <w:rsid w:val="3E343C22"/>
    <w:rsid w:val="3F512FA9"/>
    <w:rsid w:val="3FAC4683"/>
    <w:rsid w:val="3FEA5DFB"/>
    <w:rsid w:val="401C35B7"/>
    <w:rsid w:val="4119235A"/>
    <w:rsid w:val="41677310"/>
    <w:rsid w:val="422C2C46"/>
    <w:rsid w:val="422F6DA5"/>
    <w:rsid w:val="42515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3D538F9"/>
    <w:rsid w:val="64A36D0B"/>
    <w:rsid w:val="64C656C1"/>
    <w:rsid w:val="65DF63C9"/>
    <w:rsid w:val="662A7F2C"/>
    <w:rsid w:val="688D34E2"/>
    <w:rsid w:val="68DA2DB6"/>
    <w:rsid w:val="69725134"/>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9CB1196"/>
    <w:rsid w:val="79F60BE5"/>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4"/>
    <w:qFormat/>
    <w:uiPriority w:val="0"/>
    <w:pPr>
      <w:keepNext/>
      <w:keepLines/>
      <w:spacing w:before="260" w:after="260" w:line="415" w:lineRule="auto"/>
      <w:outlineLvl w:val="2"/>
    </w:pPr>
    <w:rPr>
      <w:b/>
      <w:sz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Document Map"/>
    <w:basedOn w:val="1"/>
    <w:qFormat/>
    <w:uiPriority w:val="0"/>
    <w:rPr>
      <w:rFonts w:ascii="宋体" w:eastAsia="宋体"/>
      <w:sz w:val="18"/>
      <w:szCs w:val="18"/>
    </w:rPr>
  </w:style>
  <w:style w:type="paragraph" w:styleId="7">
    <w:name w:val="annotation text"/>
    <w:basedOn w:val="1"/>
    <w:semiHidden/>
    <w:unhideWhenUsed/>
    <w:qFormat/>
    <w:uiPriority w:val="99"/>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rFonts w:eastAsia="宋体"/>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7"/>
    <w:link w:val="3"/>
    <w:qFormat/>
    <w:uiPriority w:val="9"/>
    <w:rPr>
      <w:rFonts w:ascii="Times New Roman" w:hAnsi="Times New Roman"/>
      <w:b/>
      <w:bCs/>
      <w:kern w:val="44"/>
      <w:sz w:val="44"/>
      <w:szCs w:val="44"/>
    </w:rPr>
  </w:style>
  <w:style w:type="character" w:customStyle="1" w:styleId="31">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0"/>
    <w:semiHidden/>
    <w:qFormat/>
    <w:uiPriority w:val="99"/>
    <w:rPr>
      <w:rFonts w:ascii="Times New Roman" w:hAnsi="Times New Roman"/>
      <w:kern w:val="2"/>
      <w:sz w:val="18"/>
      <w:szCs w:val="18"/>
    </w:rPr>
  </w:style>
  <w:style w:type="character" w:customStyle="1" w:styleId="34">
    <w:name w:val="标题 3 字符"/>
    <w:basedOn w:val="17"/>
    <w:link w:val="5"/>
    <w:qFormat/>
    <w:uiPriority w:val="9"/>
    <w:rPr>
      <w:rFonts w:ascii="Times New Roman" w:hAnsi="Times New Roman"/>
      <w:b/>
      <w:bCs/>
      <w:kern w:val="2"/>
      <w:sz w:val="32"/>
      <w:szCs w:val="32"/>
    </w:rPr>
  </w:style>
  <w:style w:type="paragraph" w:customStyle="1" w:styleId="35">
    <w:name w:val="四号正文"/>
    <w:basedOn w:val="1"/>
    <w:qFormat/>
    <w:uiPriority w:val="0"/>
    <w:pPr>
      <w:spacing w:line="360" w:lineRule="auto"/>
    </w:pPr>
    <w:rPr>
      <w:rFonts w:ascii="??" w:hAnsi="??" w:eastAsia="宋体" w:cs="宋体"/>
      <w:color w:val="000000"/>
      <w:kern w:val="0"/>
      <w:sz w:val="28"/>
      <w:szCs w:val="21"/>
    </w:rPr>
  </w:style>
  <w:style w:type="paragraph" w:customStyle="1" w:styleId="36">
    <w:name w:val="a"/>
    <w:basedOn w:val="1"/>
    <w:qFormat/>
    <w:uiPriority w:val="0"/>
    <w:pPr>
      <w:widowControl/>
      <w:spacing w:before="100" w:beforeAutospacing="1" w:after="100" w:afterAutospacing="1"/>
      <w:jc w:val="left"/>
    </w:pPr>
    <w:rPr>
      <w:rFonts w:ascii="宋体" w:eastAsia="宋体" w:cs="宋体"/>
      <w:kern w:val="0"/>
      <w:sz w:val="24"/>
    </w:rPr>
  </w:style>
  <w:style w:type="paragraph" w:customStyle="1" w:styleId="37">
    <w:name w:val="四号正文1"/>
    <w:basedOn w:val="1"/>
    <w:qFormat/>
    <w:uiPriority w:val="0"/>
    <w:pPr>
      <w:spacing w:line="360" w:lineRule="auto"/>
    </w:pPr>
    <w:rPr>
      <w:rFonts w:ascii="??" w:hAnsi="??" w:eastAsia="宋体" w:cs="宋体"/>
      <w:color w:val="000000"/>
      <w:kern w:val="0"/>
      <w:sz w:val="28"/>
      <w:szCs w:val="21"/>
    </w:rPr>
  </w:style>
  <w:style w:type="paragraph" w:customStyle="1" w:styleId="38">
    <w:name w:val="a1"/>
    <w:basedOn w:val="1"/>
    <w:qFormat/>
    <w:uiPriority w:val="0"/>
    <w:pPr>
      <w:widowControl/>
      <w:spacing w:before="100" w:beforeAutospacing="1" w:after="100" w:afterAutospacing="1"/>
      <w:jc w:val="left"/>
    </w:pPr>
    <w:rPr>
      <w:rFonts w:ascii="宋体" w:eastAsia="宋体" w:cs="宋体"/>
      <w:kern w:val="0"/>
      <w:sz w:val="24"/>
    </w:rPr>
  </w:style>
  <w:style w:type="character" w:customStyle="1" w:styleId="39">
    <w:name w:val="font111"/>
    <w:basedOn w:val="17"/>
    <w:qFormat/>
    <w:uiPriority w:val="0"/>
    <w:rPr>
      <w:rFonts w:ascii="黑体" w:hAnsi="宋体" w:eastAsia="黑体" w:cs="黑体"/>
      <w:color w:val="000000"/>
      <w:sz w:val="28"/>
      <w:szCs w:val="28"/>
      <w:u w:val="none"/>
    </w:rPr>
  </w:style>
  <w:style w:type="character" w:customStyle="1" w:styleId="40">
    <w:name w:val="font01"/>
    <w:basedOn w:val="17"/>
    <w:qFormat/>
    <w:uiPriority w:val="0"/>
    <w:rPr>
      <w:rFonts w:hint="default" w:ascii="Times New Roman" w:hAnsi="Times New Roman" w:cs="Times New Roman"/>
      <w:color w:val="000000"/>
      <w:sz w:val="28"/>
      <w:szCs w:val="28"/>
      <w:u w:val="none"/>
    </w:rPr>
  </w:style>
  <w:style w:type="character" w:customStyle="1" w:styleId="41">
    <w:name w:val="font31"/>
    <w:basedOn w:val="17"/>
    <w:qFormat/>
    <w:uiPriority w:val="0"/>
    <w:rPr>
      <w:rFonts w:hint="eastAsia" w:ascii="宋体" w:hAnsi="宋体" w:eastAsia="宋体" w:cs="宋体"/>
      <w:color w:val="000000"/>
      <w:sz w:val="20"/>
      <w:szCs w:val="20"/>
      <w:u w:val="none"/>
    </w:rPr>
  </w:style>
  <w:style w:type="character" w:customStyle="1" w:styleId="42">
    <w:name w:val="font121"/>
    <w:basedOn w:val="17"/>
    <w:qFormat/>
    <w:uiPriority w:val="0"/>
    <w:rPr>
      <w:rFonts w:hint="eastAsia" w:ascii="宋体" w:hAnsi="宋体" w:eastAsia="宋体" w:cs="宋体"/>
      <w:color w:val="000000"/>
      <w:sz w:val="20"/>
      <w:szCs w:val="20"/>
      <w:u w:val="none"/>
    </w:rPr>
  </w:style>
  <w:style w:type="character" w:customStyle="1" w:styleId="43">
    <w:name w:val="font132"/>
    <w:basedOn w:val="17"/>
    <w:qFormat/>
    <w:uiPriority w:val="0"/>
    <w:rPr>
      <w:rFonts w:hint="eastAsia" w:ascii="宋体" w:hAnsi="宋体" w:eastAsia="宋体" w:cs="宋体"/>
      <w:color w:val="000000"/>
      <w:sz w:val="20"/>
      <w:szCs w:val="20"/>
      <w:u w:val="none"/>
    </w:rPr>
  </w:style>
  <w:style w:type="character" w:customStyle="1" w:styleId="44">
    <w:name w:val="font5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{193.01,193.01}</c:f>
              <c:numCache>
                <c:formatCode>General</c:formatCode>
                <c:ptCount val="2"/>
                <c:pt idx="0">
                  <c:v>193.01</c:v>
                </c:pt>
                <c:pt idx="1">
                  <c:v>193.01</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{193.01,193.01}</c:f>
              <c:numCache>
                <c:formatCode>General</c:formatCode>
                <c:ptCount val="2"/>
                <c:pt idx="0">
                  <c:v>193.01</c:v>
                </c:pt>
                <c:pt idx="1">
                  <c:v>193.01</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{1930058.46,0,0,0,0,0,0,0}</c:f>
              <c:numCache>
                <c:formatCode>General</c:formatCode>
                <c:ptCount val="8"/>
                <c:pt idx="0">
                  <c:v>1930058.46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{1645027.16,285031.3,0,0,0}</c:f>
              <c:numCache>
                <c:formatCode>General</c:formatCode>
                <c:ptCount val="5"/>
                <c:pt idx="0">
                  <c:v>1645027.16</c:v>
                </c:pt>
                <c:pt idx="1">
                  <c:v>285031.3</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{193.01,193.01}</c:f>
              <c:numCache>
                <c:formatCode>General</c:formatCode>
                <c:ptCount val="2"/>
                <c:pt idx="0">
                  <c:v>193.01</c:v>
                </c:pt>
                <c:pt idx="1">
                  <c:v>193.01</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{193.01,193.01}</c:f>
              <c:numCache>
                <c:formatCode>General</c:formatCode>
                <c:ptCount val="2"/>
                <c:pt idx="0">
                  <c:v>193.01</c:v>
                </c:pt>
                <c:pt idx="1">
                  <c:v>193.01</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{193.01}</c:f>
              <c:numCache>
                <c:formatCode>General</c:formatCode>
                <c:ptCount val="1"/>
                <c:pt idx="0">
                  <c:v>193.01</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{193.01}</c:f>
              <c:numCache>
                <c:formatCode>General</c:formatCode>
                <c:ptCount val="1"/>
                <c:pt idx="0">
                  <c:v>193.01</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{19.76,161.48,11.77}</c:f>
              <c:numCache>
                <c:formatCode>General</c:formatCode>
                <c:ptCount val="3"/>
                <c:pt idx="0">
                  <c:v>19.76</c:v>
                </c:pt>
                <c:pt idx="1">
                  <c:v>161.48</c:v>
                </c:pt>
                <c:pt idx="2">
                  <c:v>11.77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8648</Words>
  <Characters>9714</Characters>
  <Lines>51</Lines>
  <Paragraphs>14</Paragraphs>
  <TotalTime>1</TotalTime>
  <ScaleCrop>false</ScaleCrop>
  <LinksUpToDate>false</LinksUpToDate>
  <CharactersWithSpaces>9925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2023-09-13T07:41:04Z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5637C0B9A23043BD97A1FAEBBE1B3D6E_13</vt:lpwstr>
  </property>
</Properties>
</file>