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425"/>
      <w:bookmarkStart w:id="1" w:name="_Toc15378441"/>
      <w:bookmarkStart w:id="2" w:name="_Toc15396475"/>
      <w:bookmarkStart w:id="3" w:name="_Toc15396597"/>
      <w:bookmarkStart w:id="4" w:name="_Toc15377193"/>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06268"/>
      <w:bookmarkStart w:id="7" w:name="_Toc15396476"/>
      <w:bookmarkStart w:id="8" w:name="_Toc15377194"/>
      <w:bookmarkStart w:id="9" w:name="_Toc15378442"/>
      <w:bookmarkStart w:id="10" w:name="_Toc15377426"/>
      <w:bookmarkStart w:id="11" w:name="_Toc15396598"/>
      <w:r>
        <w:rPr>
          <w:rFonts w:asciiTheme="minorEastAsia" w:hAnsiTheme="minorEastAsia" w:eastAsiaTheme="minorEastAsia"/>
          <w:b/>
          <w:sz w:val="72"/>
          <w:szCs w:val="72"/>
        </w:rPr>
        <w:t>阿坝州松潘县进安镇卫生院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tabs>
          <w:tab w:val="left" w:pos="3600"/>
        </w:tabs>
        <w:ind w:left="0" w:leftChars="0" w:firstLine="640" w:firstLineChars="200"/>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default" w:ascii="宋体" w:hAnsi="宋体" w:eastAsia="仿宋_GB2312" w:cs="仿宋_GB2312"/>
          <w:sz w:val="32"/>
          <w:szCs w:val="32"/>
          <w:lang w:val="en-US" w:eastAsia="zh-CN"/>
        </w:rPr>
      </w:pPr>
      <w:r>
        <w:rPr>
          <w:rFonts w:hint="eastAsia" w:ascii="宋体" w:hAnsi="宋体" w:cs="仿宋_GB2312"/>
          <w:sz w:val="32"/>
          <w:szCs w:val="32"/>
          <w:lang w:val="en-US" w:eastAsia="zh-CN"/>
        </w:rPr>
        <w:t xml:space="preserve">                     2023年9月</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_Toc1816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_Toc1816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_Toc24373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_Toc24373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_Toc31790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_Toc31790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_Toc16001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_Toc20541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_Toc20541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_Toc25498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_Toc25498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_Toc6080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_Toc6346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_Toc6346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_Toc17578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_Toc17578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_Toc24000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_Toc24000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_Toc32593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_Toc32593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_Toc19281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_Toc19281 \h </w:instrText>
      </w:r>
      <w:r>
        <w:fldChar w:fldCharType="separate"/>
      </w:r>
      <w:r>
        <w:t>11</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_Toc12199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_Toc12199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_Toc23126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_Toc23126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_Toc288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_Toc20076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15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_Toc16128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_Toc19345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_Toc19345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_Toc5091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_Toc5091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_Toc5639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_Toc5639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_Toc20160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_Toc20160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_Toc13786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_Toc13786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_Toc8367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_Toc8367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_Toc17399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_Toc17399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_Toc8764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_Toc8764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_Toc5316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_Toc5316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_Toc9239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_Toc9239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_Toc21643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_Toc21643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_Toc11859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_Toc11859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_Toc3136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_Toc3136 \h </w:instrText>
      </w:r>
      <w:r>
        <w:fldChar w:fldCharType="separate"/>
      </w:r>
      <w:r>
        <w:t>15</w:t>
      </w:r>
      <w:r>
        <w:fldChar w:fldCharType="end"/>
      </w:r>
      <w:r>
        <w:rPr>
          <w:smallCaps/>
          <w:szCs w:val="20"/>
        </w:rP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11208495"/>
      <w:bookmarkStart w:id="14" w:name="_Toc1816"/>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11208496"/>
      <w:bookmarkStart w:id="16" w:name="_Toc15377197"/>
      <w:bookmarkStart w:id="17" w:name="_Toc24373"/>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我院开展城乡居民健康档案管理、健康教育、预防接种、0～6岁儿童健康管理、孕产妇健康管理、老年人健康管理、慢性病患者健康管理（高血压、糖尿病）、严重精神障碍患者管理、结核病患者健康管理、传染病及突发公共卫生事件报告和处理服务、中医药健康管理、卫生计生监督协管服务、免费提供避孕药具、健康素养促进行动。艾滋病、失能老人、地氟病</w:t>
      </w:r>
      <w:r>
        <w:rPr>
          <w:rFonts w:ascii="仿宋" w:hAnsi="仿宋" w:eastAsia="仿宋"/>
          <w:color w:val="000000"/>
          <w:sz w:val="32"/>
          <w:szCs w:val="32"/>
        </w:rPr>
        <w:cr/>
      </w:r>
      <w:r>
        <w:rPr>
          <w:rFonts w:ascii="仿宋" w:hAnsi="仿宋" w:eastAsia="仿宋"/>
          <w:color w:val="000000"/>
          <w:sz w:val="32"/>
          <w:szCs w:val="32"/>
        </w:rPr>
        <w:t>医政等工作。</w:t>
      </w:r>
      <w:bookmarkStart w:id="20" w:name="_Toc15377200"/>
    </w:p>
    <w:p>
      <w:pPr>
        <w:pStyle w:val="4"/>
        <w:ind w:firstLine="643" w:firstLineChars="200"/>
        <w:rPr>
          <w:rFonts w:ascii="黑体" w:eastAsia="黑体" w:cs="Times New Roman"/>
          <w:bCs w:val="0"/>
          <w:color w:val="000000"/>
        </w:rPr>
      </w:pPr>
      <w:bookmarkStart w:id="21" w:name="_Toc111208497"/>
      <w:bookmarkStart w:id="22" w:name="_Toc31790"/>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我院由预防保健科、内科、外科、妇产科、中医科等科室组成</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11208498"/>
      <w:bookmarkStart w:id="25" w:name="_Toc16001"/>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20541"/>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515.56</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增加515.56</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5377206"/>
      <w:bookmarkStart w:id="30" w:name="_Toc111208500"/>
      <w:bookmarkStart w:id="31" w:name="_Toc25498"/>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515.56万元，其中：一般公共预算财政拨款收入515.56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5377207"/>
      <w:bookmarkStart w:id="33" w:name="_Toc6080"/>
      <w:bookmarkStart w:id="34" w:name="_Toc111208501"/>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515.56</w:t>
      </w:r>
      <w:r>
        <w:rPr>
          <w:rFonts w:ascii="仿宋" w:hAnsi="仿宋" w:eastAsia="仿宋"/>
          <w:color w:val="000000"/>
          <w:sz w:val="32"/>
          <w:szCs w:val="32"/>
        </w:rPr>
        <w:t>万元，其中：基本支出</w:t>
      </w:r>
      <w:r>
        <w:rPr>
          <w:rFonts w:hint="eastAsia" w:ascii="仿宋" w:hAnsi="仿宋" w:eastAsia="仿宋"/>
          <w:color w:val="000000"/>
          <w:sz w:val="32"/>
          <w:szCs w:val="32"/>
        </w:rPr>
        <w:t>452.68</w:t>
      </w:r>
      <w:r>
        <w:rPr>
          <w:rFonts w:ascii="仿宋" w:hAnsi="仿宋" w:eastAsia="仿宋"/>
          <w:color w:val="000000"/>
          <w:sz w:val="32"/>
          <w:szCs w:val="32"/>
        </w:rPr>
        <w:t>万元，占</w:t>
      </w:r>
      <w:r>
        <w:rPr>
          <w:rFonts w:hint="eastAsia" w:ascii="仿宋" w:hAnsi="仿宋" w:eastAsia="仿宋"/>
          <w:color w:val="000000"/>
          <w:sz w:val="32"/>
          <w:szCs w:val="32"/>
        </w:rPr>
        <w:t>87.80</w:t>
      </w:r>
      <w:r>
        <w:rPr>
          <w:rFonts w:ascii="仿宋" w:hAnsi="仿宋" w:eastAsia="仿宋"/>
          <w:color w:val="000000"/>
          <w:sz w:val="32"/>
          <w:szCs w:val="32"/>
        </w:rPr>
        <w:t>%；项目支出</w:t>
      </w:r>
      <w:r>
        <w:rPr>
          <w:rFonts w:hint="eastAsia" w:ascii="仿宋" w:hAnsi="仿宋" w:eastAsia="仿宋"/>
          <w:color w:val="000000"/>
          <w:sz w:val="32"/>
          <w:szCs w:val="32"/>
        </w:rPr>
        <w:t>62.88</w:t>
      </w:r>
      <w:r>
        <w:rPr>
          <w:rFonts w:ascii="仿宋" w:hAnsi="仿宋" w:eastAsia="仿宋"/>
          <w:color w:val="000000"/>
          <w:sz w:val="32"/>
          <w:szCs w:val="32"/>
        </w:rPr>
        <w:t>万元，占</w:t>
      </w:r>
      <w:r>
        <w:rPr>
          <w:rFonts w:hint="eastAsia" w:ascii="仿宋" w:hAnsi="仿宋" w:eastAsia="仿宋"/>
          <w:color w:val="000000"/>
          <w:sz w:val="32"/>
          <w:szCs w:val="32"/>
        </w:rPr>
        <w:t>12.20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15377208"/>
      <w:bookmarkStart w:id="36" w:name="_Toc6346"/>
      <w:bookmarkStart w:id="37" w:name="_Toc111208502"/>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 xml:space="preserve">年财政拨款收、支总计515.56万元。与2021年相比，财政拨款收、支总计各增加515.56万元，增加100.00 %。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17578"/>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年一般公共预算财政拨款支出515.56</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2021相比，一般公共预算财政拨款增加515.56</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年一般公共预算财政拨款支出515.56</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社会保障和就业支出58.77万元，占11.40%；卫生健康支出422.85万元，占82.02%；住房保障支出33.94万元，占6.58%。</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213"/>
      <w:bookmarkStart w:id="45" w:name="_Toc15378460"/>
      <w:bookmarkStart w:id="46" w:name="_Toc15377444"/>
      <w:r>
        <w:rPr>
          <w:rFonts w:hint="eastAsia" w:ascii="仿宋" w:hAnsi="仿宋" w:eastAsia="仿宋"/>
          <w:color w:val="000000"/>
          <w:sz w:val="32"/>
          <w:szCs w:val="32"/>
        </w:rPr>
        <w:t>2022</w:t>
      </w:r>
      <w:r>
        <w:rPr>
          <w:rFonts w:ascii="仿宋" w:hAnsi="仿宋" w:eastAsia="仿宋"/>
          <w:color w:val="000000"/>
          <w:sz w:val="32"/>
          <w:u w:color="auto"/>
        </w:rPr>
        <w:t>年一般公共预算支出决算数为515.56</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1.社会保障和就业支出（208）行政事业单位养老支出（20805）机关事业单位基本养老保险缴费支出（2080505）支出决算39.10万元，完成预算100%。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2.社会保障和就业支出（208）行政事业单位养老支出（20805）机关事业单位职业年金缴费支出（2080506）支出决算19.67万元，完成预算100%。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3.卫生健康支出（210）基层医疗卫生机构（21003）乡镇卫生院（2100302）支出决算337.76万元，完成预算100%。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4.卫生健康支出（210）基层医疗卫生机构（21003）其他基层医疗卫生机构支出（2100399）支出决算10.31万元，完成预算100%。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5.卫生健康支出（210）公共卫生（21004）基本公共卫生服务（2100408）支出决算52.57万元，完成预算100%。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6.卫生健康支出（210）行政事业单位医疗（21011）事业单位医疗（2101102）支出决算22.21万元，完成预算100%。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7.住房保障支出（221）住房改革支出（22102）住房公积金（2210201）支出决算33.94万元，完成预算100%。</w:t>
      </w:r>
    </w:p>
    <w:p>
      <w:pPr>
        <w:pStyle w:val="4"/>
        <w:ind w:firstLine="643" w:firstLineChars="200"/>
        <w:rPr>
          <w:rFonts w:ascii="黑体" w:eastAsia="黑体" w:cs="Times New Roman"/>
          <w:b w:val="0"/>
          <w:color w:val="000000"/>
        </w:rPr>
      </w:pPr>
      <w:bookmarkStart w:id="47" w:name="_Toc15377214"/>
      <w:bookmarkStart w:id="48" w:name="_Toc111208504"/>
      <w:bookmarkStart w:id="49" w:name="_Toc24000"/>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年一般公共预算财政拨款基本支出452.68</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449.95</w:t>
      </w:r>
      <w:r>
        <w:rPr>
          <w:rFonts w:hint="eastAsia" w:ascii="仿宋" w:hAnsi="仿宋" w:eastAsia="仿宋"/>
          <w:color w:val="000000"/>
          <w:sz w:val="32"/>
          <w:szCs w:val="32"/>
        </w:rPr>
        <w:t>万元，主要包括：</w:t>
      </w:r>
      <w:r>
        <w:rPr>
          <w:rFonts w:ascii="仿宋" w:hAnsi="仿宋" w:eastAsia="仿宋"/>
          <w:color w:val="000000"/>
          <w:sz w:val="32"/>
          <w:u w:color="auto"/>
        </w:rPr>
        <w:t>基本工资91.34万元、津贴补贴68.29万元、奖金117.75万元、绩效工资55.62万元、机关事业单位基本养老保险缴费39.10万元、职业年金缴费19.67万元、职工基本医疗保险缴费22.21万元、其他社会保障缴费2.02万元、住房公积金33.94万元、奖励金0.01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2.73</w:t>
      </w:r>
      <w:r>
        <w:rPr>
          <w:rFonts w:hint="eastAsia" w:ascii="仿宋" w:hAnsi="仿宋" w:eastAsia="仿宋"/>
          <w:color w:val="000000"/>
          <w:sz w:val="32"/>
          <w:szCs w:val="32"/>
        </w:rPr>
        <w:t>万元，主要包括：</w:t>
      </w:r>
      <w:r>
        <w:rPr>
          <w:rFonts w:ascii="仿宋" w:hAnsi="仿宋" w:eastAsia="仿宋"/>
          <w:color w:val="000000"/>
          <w:sz w:val="32"/>
          <w:u w:color="auto"/>
        </w:rPr>
        <w:t>工会经费2.73万元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32593"/>
      <w:bookmarkStart w:id="51" w:name="_Toc15377215"/>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11208506"/>
      <w:bookmarkStart w:id="57" w:name="_Toc19281"/>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2199"/>
      <w:bookmarkStart w:id="60" w:name="_Toc111208507"/>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5377221"/>
      <w:bookmarkStart w:id="62" w:name="_Toc23126"/>
      <w:bookmarkStart w:id="63" w:name="_Toc111208508"/>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松潘县进安镇卫生院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lang w:eastAsia="zh-CN"/>
        </w:rPr>
        <w:t>县</w:t>
      </w:r>
      <w:r>
        <w:rPr>
          <w:rFonts w:hint="eastAsia" w:ascii="宋体" w:eastAsia="宋体"/>
          <w:b/>
          <w:sz w:val="44"/>
          <w:szCs w:val="44"/>
          <w:highlight w:val="none"/>
          <w:shd w:val="clear" w:color="auto" w:fill="FFFFFF"/>
        </w:rPr>
        <w:t>级部门整体支出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w:t>
      </w:r>
      <w:r>
        <w:rPr>
          <w:rFonts w:hint="eastAsia" w:ascii="宋体" w:hAnsi="宋体" w:eastAsia="宋体"/>
          <w:color w:val="000000"/>
          <w:sz w:val="32"/>
          <w:szCs w:val="32"/>
          <w:highlight w:val="none"/>
          <w:lang w:val="en-US" w:eastAsia="zh-CN"/>
        </w:rPr>
        <w:t>进安镇卫生院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进安镇卫生院</w:t>
      </w:r>
      <w:r>
        <w:rPr>
          <w:rFonts w:hint="eastAsia" w:ascii="仿宋_GB2312" w:cs="宋体"/>
          <w:color w:val="000000"/>
          <w:kern w:val="0"/>
          <w:szCs w:val="32"/>
          <w:highlight w:val="none"/>
          <w:shd w:val="clear" w:color="auto" w:fill="FFFFFF"/>
          <w:lang w:val="zh-CN"/>
        </w:rPr>
        <w:t>在职人数</w:t>
      </w:r>
      <w:r>
        <w:rPr>
          <w:rFonts w:hint="eastAsia" w:ascii="仿宋_GB2312" w:cs="宋体"/>
          <w:color w:val="000000"/>
          <w:kern w:val="0"/>
          <w:szCs w:val="32"/>
          <w:highlight w:val="none"/>
          <w:shd w:val="clear" w:color="auto" w:fill="FFFFFF"/>
          <w:lang w:val="en-US" w:eastAsia="zh-CN"/>
        </w:rPr>
        <w:t>25</w:t>
      </w:r>
      <w:r>
        <w:rPr>
          <w:rFonts w:hint="eastAsia" w:ascii="仿宋_GB2312" w:cs="宋体"/>
          <w:color w:val="000000"/>
          <w:kern w:val="0"/>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w:t>
      </w:r>
      <w:r>
        <w:rPr>
          <w:rFonts w:hint="eastAsia" w:ascii="仿宋_GB2312" w:cs="宋体"/>
          <w:color w:val="000000"/>
          <w:kern w:val="0"/>
          <w:szCs w:val="32"/>
          <w:highlight w:val="none"/>
          <w:shd w:val="clear" w:color="auto" w:fill="FFFFFF"/>
          <w:lang w:val="en-US" w:eastAsia="zh-CN"/>
        </w:rPr>
        <w:t>518.16</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558.06</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w:t>
      </w:r>
      <w:r>
        <w:rPr>
          <w:rFonts w:hint="eastAsia" w:ascii="仿宋_GB2312" w:cs="宋体"/>
          <w:color w:val="000000"/>
          <w:kern w:val="0"/>
          <w:szCs w:val="32"/>
          <w:highlight w:val="none"/>
          <w:shd w:val="clear" w:color="auto" w:fill="FFFFFF"/>
          <w:lang w:val="en-US" w:eastAsia="zh-CN"/>
        </w:rPr>
        <w:t>515.80</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cs="宋体"/>
          <w:color w:val="auto"/>
          <w:kern w:val="0"/>
          <w:szCs w:val="32"/>
          <w:highlight w:val="none"/>
          <w:shd w:val="clear" w:color="auto" w:fill="FFFFFF"/>
          <w:lang w:val="zh-CN"/>
        </w:rPr>
      </w:pPr>
      <w:r>
        <w:rPr>
          <w:rFonts w:hint="eastAsia" w:ascii="仿宋_GB2312" w:cs="宋体"/>
          <w:color w:val="auto"/>
          <w:kern w:val="0"/>
          <w:szCs w:val="32"/>
          <w:highlight w:val="none"/>
          <w:shd w:val="clear" w:color="auto" w:fill="FFFFFF"/>
          <w:lang w:val="zh-CN"/>
        </w:rPr>
        <w:t>1、202</w:t>
      </w:r>
      <w:r>
        <w:rPr>
          <w:rFonts w:hint="eastAsia" w:ascii="仿宋_GB2312" w:cs="宋体"/>
          <w:color w:val="auto"/>
          <w:kern w:val="0"/>
          <w:szCs w:val="32"/>
          <w:highlight w:val="none"/>
          <w:shd w:val="clear" w:color="auto" w:fill="FFFFFF"/>
          <w:lang w:val="en-US" w:eastAsia="zh-CN"/>
        </w:rPr>
        <w:t>2</w:t>
      </w:r>
      <w:r>
        <w:rPr>
          <w:rFonts w:hint="eastAsia" w:ascii="仿宋_GB2312" w:cs="宋体"/>
          <w:color w:val="auto"/>
          <w:kern w:val="0"/>
          <w:szCs w:val="32"/>
          <w:highlight w:val="none"/>
          <w:shd w:val="clear" w:color="auto" w:fill="FFFFFF"/>
          <w:lang w:val="zh-CN"/>
        </w:rPr>
        <w:t>年度一般公共预算财政拨款基本支出</w:t>
      </w:r>
      <w:r>
        <w:rPr>
          <w:rFonts w:hint="eastAsia" w:ascii="仿宋_GB2312" w:cs="宋体"/>
          <w:color w:val="auto"/>
          <w:kern w:val="0"/>
          <w:szCs w:val="32"/>
          <w:highlight w:val="none"/>
          <w:shd w:val="clear" w:color="auto" w:fill="FFFFFF"/>
          <w:lang w:val="en-US" w:eastAsia="zh-CN"/>
        </w:rPr>
        <w:t>452.92</w:t>
      </w:r>
      <w:r>
        <w:rPr>
          <w:rFonts w:hint="eastAsia" w:ascii="仿宋_GB2312" w:cs="宋体"/>
          <w:color w:val="auto"/>
          <w:kern w:val="0"/>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_GB2312" w:cs="宋体"/>
          <w:color w:val="auto"/>
          <w:kern w:val="0"/>
          <w:szCs w:val="32"/>
          <w:highlight w:val="none"/>
          <w:shd w:val="clear" w:color="auto" w:fill="FFFFFF"/>
          <w:lang w:val="zh-CN"/>
        </w:rPr>
      </w:pPr>
      <w:r>
        <w:rPr>
          <w:rFonts w:hint="eastAsia" w:ascii="仿宋_GB2312" w:cs="宋体"/>
          <w:color w:val="auto"/>
          <w:kern w:val="0"/>
          <w:szCs w:val="32"/>
          <w:highlight w:val="none"/>
          <w:shd w:val="clear" w:color="auto" w:fill="FFFFFF"/>
          <w:lang w:val="zh-CN"/>
        </w:rPr>
        <w:t>人员经费</w:t>
      </w:r>
      <w:r>
        <w:rPr>
          <w:rFonts w:hint="eastAsia" w:ascii="仿宋_GB2312" w:cs="宋体"/>
          <w:color w:val="auto"/>
          <w:kern w:val="0"/>
          <w:szCs w:val="32"/>
          <w:highlight w:val="none"/>
          <w:shd w:val="clear" w:color="auto" w:fill="FFFFFF"/>
          <w:lang w:val="en-US" w:eastAsia="zh-CN"/>
        </w:rPr>
        <w:t>448.92</w:t>
      </w:r>
      <w:r>
        <w:rPr>
          <w:rFonts w:hint="eastAsia" w:ascii="仿宋_GB2312" w:cs="宋体"/>
          <w:color w:val="auto"/>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4.0</w:t>
      </w:r>
      <w:r>
        <w:rPr>
          <w:rFonts w:hint="eastAsia" w:ascii="仿宋_GB2312" w:cs="宋体"/>
          <w:color w:val="000000"/>
          <w:kern w:val="0"/>
          <w:szCs w:val="32"/>
          <w:highlight w:val="none"/>
          <w:shd w:val="clear" w:color="auto" w:fill="FFFFFF"/>
          <w:lang w:val="zh-CN"/>
        </w:rPr>
        <w:t>万元，主要包括：工会经费</w:t>
      </w:r>
      <w:r>
        <w:rPr>
          <w:rFonts w:hint="eastAsia" w:ascii="仿宋_GB2312" w:cs="宋体"/>
          <w:color w:val="000000"/>
          <w:kern w:val="0"/>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w:t>
      </w:r>
      <w:r>
        <w:rPr>
          <w:rFonts w:hint="eastAsia" w:ascii="仿宋_GB2312" w:cs="宋体"/>
          <w:color w:val="000000"/>
          <w:kern w:val="0"/>
          <w:szCs w:val="32"/>
          <w:highlight w:val="none"/>
          <w:shd w:val="clear" w:color="auto" w:fill="FFFFFF"/>
          <w:lang w:val="en-US" w:eastAsia="zh-CN"/>
        </w:rPr>
        <w:t>62.88</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w:t>
      </w:r>
      <w:r>
        <w:rPr>
          <w:rFonts w:hint="eastAsia" w:ascii="仿宋_GB2312" w:cs="宋体"/>
          <w:color w:val="000000"/>
          <w:kern w:val="0"/>
          <w:szCs w:val="32"/>
          <w:highlight w:val="none"/>
          <w:shd w:val="clear" w:color="auto" w:fill="FFFFFF"/>
          <w:lang w:val="en-US" w:eastAsia="zh-CN"/>
        </w:rPr>
        <w:t>297</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cs="宋体"/>
          <w:color w:val="000000"/>
          <w:kern w:val="0"/>
          <w:szCs w:val="32"/>
          <w:highlight w:val="none"/>
          <w:shd w:val="clear" w:color="auto" w:fill="FFFFFF"/>
          <w:lang w:val="en-US" w:eastAsia="zh-CN"/>
        </w:rPr>
        <w:t>中华人民共和国</w:t>
      </w:r>
      <w:bookmarkStart w:id="89" w:name="_GoBack"/>
      <w:bookmarkEnd w:id="89"/>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widowControl/>
        <w:adjustRightInd w:val="0"/>
        <w:snapToGrid w:val="0"/>
        <w:spacing w:line="580" w:lineRule="exact"/>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contextualSpacing/>
        <w:jc w:val="left"/>
        <w:rPr>
          <w:rFonts w:hint="default" w:ascii="仿宋_GB2312" w:cs="宋体"/>
          <w:color w:val="000000"/>
          <w:kern w:val="0"/>
          <w:szCs w:val="32"/>
          <w:highlight w:val="none"/>
          <w:shd w:val="clear" w:color="auto" w:fill="FFFFFF"/>
          <w:lang w:val="en-US" w:eastAsia="zh-CN"/>
        </w:rPr>
      </w:pPr>
    </w:p>
    <w:p>
      <w:pPr>
        <w:widowControl/>
        <w:ind w:firstLine="2560" w:firstLineChars="800"/>
        <w:jc w:val="left"/>
        <w:rPr>
          <w:rFonts w:ascii="黑体" w:hAnsi="黑体" w:eastAsia="黑体" w:cs="黑体"/>
        </w:rPr>
      </w:pPr>
      <w:bookmarkStart w:id="67" w:name="_Toc288"/>
      <w:bookmarkStart w:id="68" w:name="_Toc15377225"/>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3"/>
        <w:jc w:val="center"/>
        <w:rPr>
          <w:rFonts w:ascii="黑体" w:hAnsi="黑体" w:eastAsia="黑体" w:cs="黑体"/>
        </w:rPr>
      </w:pPr>
      <w:bookmarkStart w:id="70" w:name="_Toc20076"/>
      <w:bookmarkStart w:id="71" w:name="_Toc111208510"/>
      <w:r>
        <w:rPr>
          <w:rFonts w:hint="eastAsia" w:ascii="黑体" w:hAnsi="黑体" w:eastAsia="黑体" w:cs="黑体"/>
        </w:rPr>
        <w:t>第四部分 附件</w:t>
      </w:r>
      <w:bookmarkEnd w:id="70"/>
      <w:bookmarkEnd w:id="71"/>
    </w:p>
    <w:p>
      <w:pPr>
        <w:widowControl/>
        <w:adjustRightInd w:val="0"/>
        <w:snapToGrid w:val="0"/>
        <w:spacing w:line="580" w:lineRule="exact"/>
        <w:contextualSpacing/>
        <w:jc w:val="left"/>
        <w:rPr>
          <w:rFonts w:hint="default" w:ascii="仿宋_GB2312" w:cs="宋体"/>
          <w:color w:val="000000"/>
          <w:kern w:val="0"/>
          <w:szCs w:val="32"/>
          <w:highlight w:val="none"/>
          <w:shd w:val="clear" w:color="auto" w:fill="FFFFFF"/>
          <w:lang w:val="en-US" w:eastAsia="zh-CN"/>
        </w:rPr>
      </w:pPr>
    </w:p>
    <w:tbl>
      <w:tblPr>
        <w:tblStyle w:val="16"/>
        <w:tblW w:w="10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562"/>
        <w:gridCol w:w="803"/>
        <w:gridCol w:w="1220"/>
        <w:gridCol w:w="1303"/>
        <w:gridCol w:w="2057"/>
        <w:gridCol w:w="616"/>
        <w:gridCol w:w="1923"/>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3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57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81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6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3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41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2595"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松潘县进安镇卫生院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52.57</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52.57</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健康档案建档数16860。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健康档案建档率99%。</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健康档案建档数16860，99.95%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“五苗”单苗接种率均达到92%以上</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“五苗”单苗接种率均达到92%以上</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“五苗”单苗接种率均达到92%以上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65岁以上的老年人规范管理率100%（应管1108人实际管理1108）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65岁以上的老年人规范管理率100%（应管1108人实际管理1108）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高血压患者管理率66.59%（管理868人，规范管理580）、2型糖尿病患者管理率45％（管理256人，规范管理115）。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高血压患者管理率66.59%、2型糖尿病患者管理率45％</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指标6：高血压患者管理率66.59%（管理868人，规范管理580）、2型糖尿病患者管理率45％（管理256人，规范管理115）。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严重精神障碍患者规范管理率20%（应管15人，规范管理3）。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严重精神障碍患者规范管理率20%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严重精神障碍患者规范管理率20%（应管15人，规范管理3）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孕产妇系统管理率达59.70%。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孕产妇系统管理率达59.70%。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孕产妇系统管理率达59.70%。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0-6岁儿童系统管理率达到53%。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0-6岁儿童系统管理率达到53%。</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0-6岁儿童系统管理率达到53%。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45"/>
                <w:lang w:val="en-US" w:eastAsia="zh-CN" w:bidi="ar"/>
              </w:rPr>
              <w:t>附件</w:t>
            </w:r>
            <w:r>
              <w:rPr>
                <w:rStyle w:val="46"/>
                <w:rFonts w:eastAsia="宋体"/>
                <w:lang w:val="en-US" w:eastAsia="zh-CN" w:bidi="ar"/>
              </w:rPr>
              <w:t>2</w:t>
            </w:r>
          </w:p>
        </w:tc>
        <w:tc>
          <w:tcPr>
            <w:tcW w:w="57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81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6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3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85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55"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（2022年度）</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7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7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26.96</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7"/>
                <w:lang w:val="en-US" w:eastAsia="zh-CN" w:bidi="ar"/>
              </w:rPr>
              <w:t xml:space="preserve"> </w:t>
            </w:r>
            <w:r>
              <w:rPr>
                <w:rStyle w:val="48"/>
                <w:lang w:val="en-US" w:eastAsia="zh-CN" w:bidi="ar"/>
              </w:rPr>
              <w:t>其中：中央财政资金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26.96</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38.24%</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7"/>
                <w:lang w:val="en-US" w:eastAsia="zh-CN" w:bidi="ar"/>
              </w:rPr>
              <w:t xml:space="preserve"> </w:t>
            </w:r>
            <w:r>
              <w:rPr>
                <w:rStyle w:val="49"/>
                <w:lang w:val="en-US" w:eastAsia="zh-CN" w:bidi="ar"/>
              </w:rPr>
              <w:t xml:space="preserve">      地方资金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0"/>
                <w:lang w:val="en-US" w:eastAsia="zh-CN" w:bidi="ar"/>
              </w:rPr>
              <w:t xml:space="preserve">      </w:t>
            </w:r>
            <w:r>
              <w:rPr>
                <w:rStyle w:val="48"/>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975"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65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目标5：对基本药物制度补助满意度进一步提高。</w:t>
            </w:r>
          </w:p>
        </w:tc>
        <w:tc>
          <w:tcPr>
            <w:tcW w:w="4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由于撤乡并镇、卫生院距离县医院较近，病人直接到县级医疗机构看病，加强宣传</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医共体建设符合“紧密型”“控费型 ”“同质化”“促分工”发展方向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6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5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5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bl>
    <w:p>
      <w:pPr>
        <w:widowControl/>
        <w:adjustRightInd w:val="0"/>
        <w:snapToGrid w:val="0"/>
        <w:spacing w:line="580" w:lineRule="exact"/>
        <w:contextualSpacing/>
        <w:jc w:val="left"/>
        <w:rPr>
          <w:rFonts w:hint="default" w:ascii="仿宋_GB2312" w:cs="宋体"/>
          <w:color w:val="000000"/>
          <w:kern w:val="0"/>
          <w:szCs w:val="32"/>
          <w:highlight w:val="none"/>
          <w:shd w:val="clear" w:color="auto" w:fill="FFFFFF"/>
          <w:lang w:val="en-US" w:eastAsia="zh-CN"/>
        </w:rPr>
      </w:pPr>
    </w:p>
    <w:p>
      <w:pPr>
        <w:pStyle w:val="3"/>
        <w:jc w:val="center"/>
        <w:rPr>
          <w:rFonts w:ascii="黑体" w:hAnsi="黑体" w:eastAsia="黑体" w:cs="黑体"/>
        </w:rPr>
      </w:pPr>
      <w:bookmarkStart w:id="72" w:name="_Toc16128"/>
      <w:bookmarkStart w:id="73" w:name="_Toc79163885"/>
      <w:bookmarkStart w:id="74" w:name="_Toc111208512"/>
      <w:bookmarkStart w:id="75" w:name="_Toc79163635"/>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DEE5ACA"/>
    <w:rsid w:val="0F5E6610"/>
    <w:rsid w:val="10C055FF"/>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3A3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3F56EB"/>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a"/>
    <w:basedOn w:val="1"/>
    <w:qFormat/>
    <w:uiPriority w:val="0"/>
    <w:pPr>
      <w:widowControl/>
      <w:spacing w:before="100" w:beforeAutospacing="1" w:after="100" w:afterAutospacing="1"/>
      <w:jc w:val="left"/>
    </w:pPr>
    <w:rPr>
      <w:rFonts w:ascii="宋体" w:eastAsia="宋体" w:cs="宋体"/>
      <w:kern w:val="0"/>
      <w:sz w:val="24"/>
    </w:rPr>
  </w:style>
  <w:style w:type="character" w:customStyle="1" w:styleId="37">
    <w:name w:val="font161"/>
    <w:basedOn w:val="17"/>
    <w:qFormat/>
    <w:uiPriority w:val="0"/>
    <w:rPr>
      <w:rFonts w:hint="eastAsia" w:ascii="黑体" w:hAnsi="宋体" w:eastAsia="黑体" w:cs="黑体"/>
      <w:color w:val="000000"/>
      <w:sz w:val="28"/>
      <w:szCs w:val="28"/>
      <w:u w:val="none"/>
    </w:rPr>
  </w:style>
  <w:style w:type="character" w:customStyle="1" w:styleId="38">
    <w:name w:val="font111"/>
    <w:basedOn w:val="17"/>
    <w:qFormat/>
    <w:uiPriority w:val="0"/>
    <w:rPr>
      <w:rFonts w:hint="default" w:ascii="Times New Roman" w:hAnsi="Times New Roman" w:cs="Times New Roman"/>
      <w:color w:val="000000"/>
      <w:sz w:val="28"/>
      <w:szCs w:val="28"/>
      <w:u w:val="none"/>
    </w:rPr>
  </w:style>
  <w:style w:type="character" w:customStyle="1" w:styleId="39">
    <w:name w:val="font101"/>
    <w:basedOn w:val="17"/>
    <w:qFormat/>
    <w:uiPriority w:val="0"/>
    <w:rPr>
      <w:rFonts w:hint="eastAsia" w:ascii="宋体" w:hAnsi="宋体" w:eastAsia="宋体" w:cs="宋体"/>
      <w:color w:val="000000"/>
      <w:sz w:val="20"/>
      <w:szCs w:val="20"/>
      <w:u w:val="none"/>
    </w:rPr>
  </w:style>
  <w:style w:type="character" w:customStyle="1" w:styleId="40">
    <w:name w:val="font171"/>
    <w:basedOn w:val="17"/>
    <w:qFormat/>
    <w:uiPriority w:val="0"/>
    <w:rPr>
      <w:rFonts w:hint="eastAsia" w:ascii="宋体" w:hAnsi="宋体" w:eastAsia="宋体" w:cs="宋体"/>
      <w:color w:val="000000"/>
      <w:sz w:val="20"/>
      <w:szCs w:val="20"/>
      <w:u w:val="none"/>
    </w:rPr>
  </w:style>
  <w:style w:type="character" w:customStyle="1" w:styleId="41">
    <w:name w:val="font71"/>
    <w:basedOn w:val="17"/>
    <w:qFormat/>
    <w:uiPriority w:val="0"/>
    <w:rPr>
      <w:rFonts w:hint="eastAsia" w:ascii="宋体" w:hAnsi="宋体" w:eastAsia="宋体" w:cs="宋体"/>
      <w:color w:val="000000"/>
      <w:sz w:val="20"/>
      <w:szCs w:val="20"/>
      <w:u w:val="none"/>
    </w:rPr>
  </w:style>
  <w:style w:type="character" w:customStyle="1" w:styleId="42">
    <w:name w:val="font151"/>
    <w:basedOn w:val="17"/>
    <w:qFormat/>
    <w:uiPriority w:val="0"/>
    <w:rPr>
      <w:rFonts w:hint="eastAsia" w:ascii="宋体" w:hAnsi="宋体" w:eastAsia="宋体" w:cs="宋体"/>
      <w:color w:val="000000"/>
      <w:sz w:val="18"/>
      <w:szCs w:val="18"/>
      <w:u w:val="none"/>
    </w:rPr>
  </w:style>
  <w:style w:type="paragraph" w:customStyle="1" w:styleId="43">
    <w:name w:val="四号正文1"/>
    <w:basedOn w:val="1"/>
    <w:qFormat/>
    <w:uiPriority w:val="0"/>
    <w:pPr>
      <w:spacing w:line="360" w:lineRule="auto"/>
    </w:pPr>
    <w:rPr>
      <w:rFonts w:ascii="??" w:hAnsi="??" w:eastAsia="宋体" w:cs="宋体"/>
      <w:color w:val="000000"/>
      <w:kern w:val="0"/>
      <w:sz w:val="28"/>
      <w:szCs w:val="21"/>
    </w:rPr>
  </w:style>
  <w:style w:type="paragraph" w:customStyle="1" w:styleId="44">
    <w:name w:val="a1"/>
    <w:basedOn w:val="1"/>
    <w:qFormat/>
    <w:uiPriority w:val="0"/>
    <w:pPr>
      <w:widowControl/>
      <w:spacing w:before="100" w:beforeAutospacing="1" w:after="100" w:afterAutospacing="1"/>
      <w:jc w:val="left"/>
    </w:pPr>
    <w:rPr>
      <w:rFonts w:ascii="宋体" w:eastAsia="宋体" w:cs="宋体"/>
      <w:kern w:val="0"/>
      <w:sz w:val="24"/>
    </w:rPr>
  </w:style>
  <w:style w:type="character" w:customStyle="1" w:styleId="45">
    <w:name w:val="font1611"/>
    <w:basedOn w:val="17"/>
    <w:qFormat/>
    <w:uiPriority w:val="0"/>
    <w:rPr>
      <w:rFonts w:hint="eastAsia" w:ascii="黑体" w:hAnsi="宋体" w:eastAsia="黑体" w:cs="黑体"/>
      <w:color w:val="000000"/>
      <w:sz w:val="28"/>
      <w:szCs w:val="28"/>
      <w:u w:val="none"/>
    </w:rPr>
  </w:style>
  <w:style w:type="character" w:customStyle="1" w:styleId="46">
    <w:name w:val="font1111"/>
    <w:basedOn w:val="17"/>
    <w:qFormat/>
    <w:uiPriority w:val="0"/>
    <w:rPr>
      <w:rFonts w:hint="default" w:ascii="Times New Roman" w:hAnsi="Times New Roman" w:cs="Times New Roman"/>
      <w:color w:val="000000"/>
      <w:sz w:val="28"/>
      <w:szCs w:val="28"/>
      <w:u w:val="none"/>
    </w:rPr>
  </w:style>
  <w:style w:type="character" w:customStyle="1" w:styleId="47">
    <w:name w:val="font1011"/>
    <w:basedOn w:val="17"/>
    <w:qFormat/>
    <w:uiPriority w:val="0"/>
    <w:rPr>
      <w:rFonts w:hint="eastAsia" w:ascii="宋体" w:hAnsi="宋体" w:eastAsia="宋体" w:cs="宋体"/>
      <w:color w:val="000000"/>
      <w:sz w:val="20"/>
      <w:szCs w:val="20"/>
      <w:u w:val="none"/>
    </w:rPr>
  </w:style>
  <w:style w:type="character" w:customStyle="1" w:styleId="48">
    <w:name w:val="font1711"/>
    <w:basedOn w:val="17"/>
    <w:qFormat/>
    <w:uiPriority w:val="0"/>
    <w:rPr>
      <w:rFonts w:hint="eastAsia" w:ascii="宋体" w:hAnsi="宋体" w:eastAsia="宋体" w:cs="宋体"/>
      <w:color w:val="000000"/>
      <w:sz w:val="20"/>
      <w:szCs w:val="20"/>
      <w:u w:val="none"/>
    </w:rPr>
  </w:style>
  <w:style w:type="character" w:customStyle="1" w:styleId="49">
    <w:name w:val="font711"/>
    <w:basedOn w:val="17"/>
    <w:qFormat/>
    <w:uiPriority w:val="0"/>
    <w:rPr>
      <w:rFonts w:hint="eastAsia" w:ascii="宋体" w:hAnsi="宋体" w:eastAsia="宋体" w:cs="宋体"/>
      <w:color w:val="000000"/>
      <w:sz w:val="20"/>
      <w:szCs w:val="20"/>
      <w:u w:val="none"/>
    </w:rPr>
  </w:style>
  <w:style w:type="character" w:customStyle="1" w:styleId="50">
    <w:name w:val="font151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{0,515.56}</c:f>
              <c:numCache>
                <c:formatCode>General</c:formatCode>
                <c:ptCount val="2"/>
                <c:pt idx="0">
                  <c:v>0</c:v>
                </c:pt>
                <c:pt idx="1">
                  <c:v>515.56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{0,515.56}</c:f>
              <c:numCache>
                <c:formatCode>General</c:formatCode>
                <c:ptCount val="2"/>
                <c:pt idx="0">
                  <c:v>0</c:v>
                </c:pt>
                <c:pt idx="1">
                  <c:v>515.56</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{5155567.04,0,0,0,0,0,0,0}</c:f>
              <c:numCache>
                <c:formatCode>General</c:formatCode>
                <c:ptCount val="8"/>
                <c:pt idx="0">
                  <c:v>5155567.04</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{4526782.54,628784.5,0,0,0}</c:f>
              <c:numCache>
                <c:formatCode>General</c:formatCode>
                <c:ptCount val="5"/>
                <c:pt idx="0">
                  <c:v>4526782.54</c:v>
                </c:pt>
                <c:pt idx="1">
                  <c:v>628784.5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{0,515.56}</c:f>
              <c:numCache>
                <c:formatCode>General</c:formatCode>
                <c:ptCount val="2"/>
                <c:pt idx="0">
                  <c:v>0</c:v>
                </c:pt>
                <c:pt idx="1">
                  <c:v>515.56</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{0,515.56}</c:f>
              <c:numCache>
                <c:formatCode>General</c:formatCode>
                <c:ptCount val="2"/>
                <c:pt idx="0">
                  <c:v>0</c:v>
                </c:pt>
                <c:pt idx="1">
                  <c:v>515.56</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{515.56}</c:f>
              <c:numCache>
                <c:formatCode>General</c:formatCode>
                <c:ptCount val="1"/>
                <c:pt idx="0">
                  <c:v>515.56</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{58.77,422.85,33.94}</c:f>
              <c:numCache>
                <c:formatCode>General</c:formatCode>
                <c:ptCount val="3"/>
                <c:pt idx="0">
                  <c:v>58.77</c:v>
                </c:pt>
                <c:pt idx="1">
                  <c:v>422.85</c:v>
                </c:pt>
                <c:pt idx="2">
                  <c:v>33.94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3305</Words>
  <Characters>4960</Characters>
  <Lines>51</Lines>
  <Paragraphs>14</Paragraphs>
  <TotalTime>1</TotalTime>
  <ScaleCrop>false</ScaleCrop>
  <LinksUpToDate>false</LinksUpToDate>
  <CharactersWithSpaces>5011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2023-09-13T07:17:33Z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5D72D9DEA86D43C5A83808C33CCC52E3_13</vt:lpwstr>
  </property>
</Properties>
</file>