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pPr>
      <w:bookmarkStart w:id="0" w:name="_Toc15396475"/>
      <w:bookmarkStart w:id="1" w:name="_Toc15396597"/>
      <w:bookmarkStart w:id="2" w:name="_Toc15377425"/>
      <w:bookmarkStart w:id="3" w:name="_Toc15377193"/>
      <w:bookmarkStart w:id="4" w:name="_Toc15378441"/>
      <w:bookmarkStart w:id="5" w:name="_Toc15306267"/>
    </w:p>
    <w:p>
      <w:pPr>
        <w:pStyle w:val="5"/>
        <w:ind w:firstLine="0"/>
      </w:pPr>
    </w:p>
    <w:p>
      <w:pPr>
        <w:jc w:val="center"/>
        <w:rPr>
          <w:rFonts w:asciiTheme="minorEastAsia" w:hAnsiTheme="minorEastAsia" w:eastAsiaTheme="minorEastAsia"/>
          <w:b/>
          <w:sz w:val="72"/>
          <w:szCs w:val="72"/>
        </w:rPr>
      </w:pPr>
      <w:r>
        <w:rPr>
          <w:rFonts w:hint="eastAsia" w:asciiTheme="minorEastAsia" w:hAnsiTheme="minorEastAsia" w:eastAsiaTheme="minorEastAsia"/>
          <w:b/>
          <w:sz w:val="72"/>
          <w:szCs w:val="72"/>
        </w:rPr>
        <w:t>2022</w:t>
      </w:r>
      <w:r>
        <w:rPr>
          <w:b/>
          <w:sz w:val="72"/>
          <w:u w:color="auto"/>
        </w:rPr>
        <w:t>年度</w:t>
      </w:r>
      <w:bookmarkEnd w:id="0"/>
      <w:bookmarkEnd w:id="1"/>
      <w:bookmarkEnd w:id="2"/>
      <w:bookmarkEnd w:id="3"/>
      <w:bookmarkEnd w:id="4"/>
    </w:p>
    <w:bookmarkEnd w:id="5"/>
    <w:p>
      <w:pPr>
        <w:jc w:val="center"/>
        <w:rPr>
          <w:rFonts w:asciiTheme="minorEastAsia" w:hAnsiTheme="minorEastAsia" w:eastAsiaTheme="minorEastAsia"/>
          <w:b/>
          <w:sz w:val="72"/>
          <w:szCs w:val="72"/>
        </w:rPr>
      </w:pPr>
      <w:bookmarkStart w:id="6" w:name="_Toc15396598"/>
      <w:bookmarkStart w:id="7" w:name="_Toc15377194"/>
      <w:bookmarkStart w:id="8" w:name="_Toc15306268"/>
      <w:bookmarkStart w:id="9" w:name="_Toc15377426"/>
      <w:bookmarkStart w:id="10" w:name="_Toc15396476"/>
      <w:bookmarkStart w:id="11" w:name="_Toc15378442"/>
      <w:r>
        <w:rPr>
          <w:rFonts w:asciiTheme="minorEastAsia" w:hAnsiTheme="minorEastAsia" w:eastAsiaTheme="minorEastAsia"/>
          <w:b/>
          <w:sz w:val="72"/>
          <w:szCs w:val="72"/>
        </w:rPr>
        <w:t>阿坝州松潘县安宏乡卫生院</w:t>
      </w:r>
      <w:r>
        <w:rPr>
          <w:rFonts w:hint="eastAsia" w:asciiTheme="minorEastAsia" w:hAnsiTheme="minorEastAsia" w:eastAsiaTheme="minorEastAsia"/>
          <w:b/>
          <w:sz w:val="72"/>
          <w:szCs w:val="72"/>
        </w:rPr>
        <w:t>部门决算</w:t>
      </w:r>
      <w:bookmarkEnd w:id="6"/>
      <w:bookmarkEnd w:id="7"/>
      <w:bookmarkEnd w:id="8"/>
      <w:bookmarkEnd w:id="9"/>
      <w:bookmarkEnd w:id="10"/>
      <w:bookmarkEnd w:id="11"/>
      <w:r>
        <w:rPr>
          <w:rFonts w:hint="eastAsia" w:asciiTheme="minorEastAsia" w:hAnsiTheme="minorEastAsia" w:eastAsiaTheme="minorEastAsia"/>
          <w:b/>
          <w:sz w:val="72"/>
          <w:szCs w:val="72"/>
        </w:rPr>
        <w:t>编制说明</w:t>
      </w: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tabs>
          <w:tab w:val="left" w:pos="3600"/>
        </w:tabs>
      </w:pPr>
      <w:r>
        <w:tab/>
      </w: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autoSpaceDE w:val="0"/>
        <w:autoSpaceDN w:val="0"/>
        <w:adjustRightInd w:val="0"/>
        <w:ind w:left="420" w:leftChars="200"/>
        <w:jc w:val="left"/>
        <w:rPr>
          <w:rFonts w:ascii="宋体" w:hAnsi="宋体"/>
          <w:sz w:val="32"/>
          <w:szCs w:val="32"/>
        </w:rPr>
      </w:pPr>
      <w:r>
        <w:rPr>
          <w:rFonts w:hint="eastAsia" w:ascii="宋体" w:hAnsi="宋体" w:cs="仿宋_GB2312"/>
          <w:sz w:val="32"/>
          <w:szCs w:val="32"/>
        </w:rPr>
        <w:t>保密审查情况：已审查，内容审定</w:t>
      </w:r>
    </w:p>
    <w:p>
      <w:pPr>
        <w:autoSpaceDE w:val="0"/>
        <w:autoSpaceDN w:val="0"/>
        <w:adjustRightInd w:val="0"/>
        <w:ind w:left="420" w:leftChars="200"/>
        <w:jc w:val="left"/>
        <w:rPr>
          <w:rFonts w:ascii="宋体" w:hAnsi="宋体"/>
          <w:sz w:val="32"/>
          <w:szCs w:val="32"/>
        </w:rPr>
      </w:pPr>
      <w:r>
        <w:rPr>
          <w:rFonts w:hint="eastAsia" w:ascii="宋体" w:hAnsi="宋体" w:cs="仿宋_GB2312"/>
          <w:sz w:val="32"/>
          <w:szCs w:val="32"/>
        </w:rPr>
        <w:t>部门主要负责人审签情况：已审签，同意对外公开</w:t>
      </w:r>
    </w:p>
    <w:p>
      <w:pPr>
        <w:widowControl/>
        <w:jc w:val="center"/>
        <w:rPr>
          <w:rFonts w:ascii="方正小标宋简体" w:hAnsi="宋体" w:eastAsia="方正小标宋简体"/>
          <w:color w:val="000000"/>
          <w:sz w:val="36"/>
          <w:szCs w:val="36"/>
        </w:rPr>
      </w:pPr>
    </w:p>
    <w:p>
      <w:pPr>
        <w:widowControl/>
        <w:jc w:val="center"/>
        <w:rPr>
          <w:rFonts w:ascii="方正小标宋简体" w:hAnsi="宋体" w:eastAsia="方正小标宋简体"/>
          <w:color w:val="000000"/>
          <w:sz w:val="36"/>
          <w:szCs w:val="36"/>
        </w:rPr>
      </w:pPr>
    </w:p>
    <w:p>
      <w:pPr>
        <w:widowControl/>
        <w:jc w:val="center"/>
        <w:rPr>
          <w:rFonts w:ascii="方正小标宋简体" w:hAnsi="宋体" w:eastAsia="方正小标宋简体"/>
          <w:color w:val="000000"/>
          <w:sz w:val="36"/>
          <w:szCs w:val="36"/>
        </w:rPr>
      </w:pPr>
    </w:p>
    <w:p>
      <w:pPr>
        <w:widowControl/>
        <w:jc w:val="center"/>
        <w:rPr>
          <w:rFonts w:ascii="黑体" w:hAnsi="黑体" w:eastAsia="黑体"/>
          <w:color w:val="000000"/>
          <w:sz w:val="48"/>
          <w:szCs w:val="48"/>
        </w:rPr>
      </w:pPr>
      <w:r>
        <w:rPr>
          <w:rFonts w:hint="eastAsia" w:ascii="方正小标宋简体" w:hAnsi="宋体" w:eastAsia="方正小标宋简体"/>
          <w:color w:val="000000"/>
          <w:sz w:val="36"/>
          <w:szCs w:val="36"/>
          <w:lang w:val="en-US" w:eastAsia="zh-CN"/>
        </w:rPr>
        <w:t>2023年9月</w:t>
      </w: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bookmarkStart w:id="12" w:name="_Toc15377196"/>
    </w:p>
    <w:p>
      <w:pPr>
        <w:pStyle w:val="12"/>
        <w:tabs>
          <w:tab w:val="right" w:leader="dot" w:pos="8306"/>
          <w:tab w:val="clear" w:pos="8296"/>
        </w:tabs>
      </w:pPr>
      <w:r>
        <w:rPr>
          <w:smallCaps/>
          <w:sz w:val="20"/>
          <w:szCs w:val="20"/>
        </w:rPr>
        <w:fldChar w:fldCharType="begin"/>
      </w:r>
      <w:r>
        <w:rPr>
          <w:smallCaps/>
          <w:sz w:val="20"/>
          <w:szCs w:val="20"/>
        </w:rPr>
        <w:instrText xml:space="preserve"> TOC \o "1-2" \h \z \u </w:instrText>
      </w:r>
      <w:r>
        <w:rPr>
          <w:smallCaps/>
          <w:sz w:val="20"/>
          <w:szCs w:val="20"/>
        </w:rPr>
        <w:fldChar w:fldCharType="separate"/>
      </w:r>
      <w:r>
        <w:rPr>
          <w:smallCaps/>
          <w:szCs w:val="20"/>
        </w:rPr>
        <w:fldChar w:fldCharType="begin"/>
      </w:r>
      <w:r>
        <w:rPr>
          <w:smallCaps/>
          <w:szCs w:val="20"/>
        </w:rPr>
        <w:instrText xml:space="preserve"> HYPERLINK \l _Toc28280 </w:instrText>
      </w:r>
      <w:r>
        <w:rPr>
          <w:smallCaps/>
          <w:szCs w:val="20"/>
        </w:rPr>
        <w:fldChar w:fldCharType="separate"/>
      </w:r>
      <w:r>
        <w:rPr>
          <w:rFonts w:hint="eastAsia" w:ascii="黑体" w:hAnsi="黑体" w:eastAsia="黑体" w:cs="黑体"/>
        </w:rPr>
        <w:t xml:space="preserve">第一部分 </w:t>
      </w:r>
      <w:r>
        <w:rPr>
          <w:rFonts w:hint="eastAsia" w:ascii="黑体" w:hAnsi="黑体" w:eastAsia="黑体" w:cs="黑体"/>
          <w:bCs w:val="0"/>
        </w:rPr>
        <w:t>部门概况</w:t>
      </w:r>
      <w:r>
        <w:tab/>
      </w:r>
      <w:r>
        <w:fldChar w:fldCharType="begin"/>
      </w:r>
      <w:r>
        <w:instrText xml:space="preserve"> PAGEREF _Toc28280 \h </w:instrText>
      </w:r>
      <w:r>
        <w:fldChar w:fldCharType="separate"/>
      </w:r>
      <w:r>
        <w:t>3</w:t>
      </w:r>
      <w:r>
        <w:fldChar w:fldCharType="end"/>
      </w:r>
      <w:r>
        <w:rPr>
          <w:smallCaps/>
          <w:szCs w:val="20"/>
        </w:rPr>
        <w:fldChar w:fldCharType="end"/>
      </w:r>
    </w:p>
    <w:p>
      <w:pPr>
        <w:pStyle w:val="14"/>
        <w:tabs>
          <w:tab w:val="right" w:leader="dot" w:pos="8306"/>
          <w:tab w:val="clear" w:pos="8296"/>
        </w:tabs>
      </w:pPr>
      <w:r>
        <w:rPr>
          <w:smallCaps/>
          <w:szCs w:val="20"/>
        </w:rPr>
        <w:fldChar w:fldCharType="begin"/>
      </w:r>
      <w:r>
        <w:rPr>
          <w:smallCaps/>
          <w:szCs w:val="20"/>
        </w:rPr>
        <w:instrText xml:space="preserve"> HYPERLINK \l _Toc29382 </w:instrText>
      </w:r>
      <w:r>
        <w:rPr>
          <w:smallCaps/>
          <w:szCs w:val="20"/>
        </w:rPr>
        <w:fldChar w:fldCharType="separate"/>
      </w:r>
      <w:r>
        <w:rPr>
          <w:rFonts w:hint="eastAsia" w:ascii="黑体" w:eastAsia="黑体" w:cs="Times New Roman"/>
          <w:bCs w:val="0"/>
        </w:rPr>
        <w:t>一、部门职责</w:t>
      </w:r>
      <w:r>
        <w:tab/>
      </w:r>
      <w:r>
        <w:fldChar w:fldCharType="begin"/>
      </w:r>
      <w:r>
        <w:instrText xml:space="preserve"> PAGEREF _Toc29382 \h </w:instrText>
      </w:r>
      <w:r>
        <w:fldChar w:fldCharType="separate"/>
      </w:r>
      <w:r>
        <w:t>3</w:t>
      </w:r>
      <w:r>
        <w:fldChar w:fldCharType="end"/>
      </w:r>
      <w:r>
        <w:rPr>
          <w:smallCaps/>
          <w:szCs w:val="20"/>
        </w:rPr>
        <w:fldChar w:fldCharType="end"/>
      </w:r>
    </w:p>
    <w:p>
      <w:pPr>
        <w:pStyle w:val="14"/>
        <w:tabs>
          <w:tab w:val="right" w:leader="dot" w:pos="8306"/>
          <w:tab w:val="clear" w:pos="8296"/>
        </w:tabs>
      </w:pPr>
      <w:r>
        <w:rPr>
          <w:smallCaps/>
          <w:szCs w:val="20"/>
        </w:rPr>
        <w:fldChar w:fldCharType="begin"/>
      </w:r>
      <w:r>
        <w:rPr>
          <w:smallCaps/>
          <w:szCs w:val="20"/>
        </w:rPr>
        <w:instrText xml:space="preserve"> HYPERLINK \l _Toc7982 </w:instrText>
      </w:r>
      <w:r>
        <w:rPr>
          <w:smallCaps/>
          <w:szCs w:val="20"/>
        </w:rPr>
        <w:fldChar w:fldCharType="separate"/>
      </w:r>
      <w:r>
        <w:rPr>
          <w:rFonts w:hint="eastAsia" w:ascii="黑体" w:eastAsia="黑体" w:cs="Times New Roman"/>
          <w:bCs w:val="0"/>
        </w:rPr>
        <w:t>二、机构设置</w:t>
      </w:r>
      <w:r>
        <w:tab/>
      </w:r>
      <w:r>
        <w:fldChar w:fldCharType="begin"/>
      </w:r>
      <w:r>
        <w:instrText xml:space="preserve"> PAGEREF _Toc7982 \h </w:instrText>
      </w:r>
      <w:r>
        <w:fldChar w:fldCharType="separate"/>
      </w:r>
      <w:r>
        <w:t>3</w:t>
      </w:r>
      <w:r>
        <w:fldChar w:fldCharType="end"/>
      </w:r>
      <w:r>
        <w:rPr>
          <w:smallCaps/>
          <w:szCs w:val="20"/>
        </w:rPr>
        <w:fldChar w:fldCharType="end"/>
      </w:r>
    </w:p>
    <w:p>
      <w:pPr>
        <w:pStyle w:val="12"/>
        <w:tabs>
          <w:tab w:val="right" w:leader="dot" w:pos="8306"/>
          <w:tab w:val="clear" w:pos="8296"/>
        </w:tabs>
      </w:pPr>
      <w:r>
        <w:rPr>
          <w:smallCaps/>
          <w:szCs w:val="20"/>
        </w:rPr>
        <w:fldChar w:fldCharType="begin"/>
      </w:r>
      <w:r>
        <w:rPr>
          <w:smallCaps/>
          <w:szCs w:val="20"/>
        </w:rPr>
        <w:instrText xml:space="preserve"> HYPERLINK \l _Toc3119 </w:instrText>
      </w:r>
      <w:r>
        <w:rPr>
          <w:smallCaps/>
          <w:szCs w:val="20"/>
        </w:rPr>
        <w:fldChar w:fldCharType="separate"/>
      </w:r>
      <w:r>
        <w:rPr>
          <w:rFonts w:hint="eastAsia" w:ascii="黑体" w:hAnsi="黑体" w:eastAsia="黑体" w:cs="黑体"/>
        </w:rPr>
        <w:t>第二部分</w:t>
      </w:r>
      <w:r>
        <w:rPr>
          <w:rFonts w:ascii="黑体" w:hAnsi="黑体" w:eastAsia="黑体" w:cs="黑体"/>
        </w:rPr>
        <w:t xml:space="preserve"> </w:t>
      </w:r>
      <w:r>
        <w:rPr>
          <w:rFonts w:hint="eastAsia" w:ascii="黑体" w:hAnsi="黑体" w:eastAsia="黑体" w:cs="黑体"/>
        </w:rPr>
        <w:t>2022</w:t>
      </w:r>
      <w:r>
        <w:rPr>
          <w:rFonts w:ascii="黑体" w:hAnsi="黑体" w:eastAsia="黑体" w:cs="黑体"/>
          <w:u w:color="auto"/>
        </w:rPr>
        <w:t>年度部门决算情况说明</w:t>
      </w:r>
      <w:r>
        <w:tab/>
      </w:r>
      <w:r>
        <w:fldChar w:fldCharType="begin"/>
      </w:r>
      <w:r>
        <w:instrText xml:space="preserve"> PAGEREF _Toc3119 \h </w:instrText>
      </w:r>
      <w:r>
        <w:fldChar w:fldCharType="separate"/>
      </w:r>
      <w:r>
        <w:t>4</w:t>
      </w:r>
      <w:r>
        <w:fldChar w:fldCharType="end"/>
      </w:r>
      <w:r>
        <w:rPr>
          <w:smallCaps/>
          <w:szCs w:val="20"/>
        </w:rPr>
        <w:fldChar w:fldCharType="end"/>
      </w:r>
    </w:p>
    <w:p>
      <w:pPr>
        <w:pStyle w:val="14"/>
        <w:tabs>
          <w:tab w:val="right" w:leader="dot" w:pos="8306"/>
          <w:tab w:val="clear" w:pos="8296"/>
        </w:tabs>
      </w:pPr>
      <w:r>
        <w:rPr>
          <w:smallCaps/>
          <w:szCs w:val="20"/>
        </w:rPr>
        <w:fldChar w:fldCharType="begin"/>
      </w:r>
      <w:r>
        <w:rPr>
          <w:smallCaps/>
          <w:szCs w:val="20"/>
        </w:rPr>
        <w:instrText xml:space="preserve"> HYPERLINK \l _Toc21486 </w:instrText>
      </w:r>
      <w:r>
        <w:rPr>
          <w:smallCaps/>
          <w:szCs w:val="20"/>
        </w:rPr>
        <w:fldChar w:fldCharType="separate"/>
      </w:r>
      <w:r>
        <w:rPr>
          <w:rFonts w:hint="eastAsia" w:ascii="黑体" w:eastAsia="黑体" w:cs="Times New Roman"/>
          <w:bCs w:val="0"/>
        </w:rPr>
        <w:t>一、收入支出决算总体情况说明</w:t>
      </w:r>
      <w:r>
        <w:tab/>
      </w:r>
      <w:r>
        <w:fldChar w:fldCharType="begin"/>
      </w:r>
      <w:r>
        <w:instrText xml:space="preserve"> PAGEREF _Toc21486 \h </w:instrText>
      </w:r>
      <w:r>
        <w:fldChar w:fldCharType="separate"/>
      </w:r>
      <w:r>
        <w:t>4</w:t>
      </w:r>
      <w:r>
        <w:fldChar w:fldCharType="end"/>
      </w:r>
      <w:r>
        <w:rPr>
          <w:smallCaps/>
          <w:szCs w:val="20"/>
        </w:rPr>
        <w:fldChar w:fldCharType="end"/>
      </w:r>
    </w:p>
    <w:p>
      <w:pPr>
        <w:pStyle w:val="14"/>
        <w:tabs>
          <w:tab w:val="right" w:leader="dot" w:pos="8306"/>
          <w:tab w:val="clear" w:pos="8296"/>
        </w:tabs>
      </w:pPr>
      <w:r>
        <w:rPr>
          <w:smallCaps/>
          <w:szCs w:val="20"/>
        </w:rPr>
        <w:fldChar w:fldCharType="begin"/>
      </w:r>
      <w:r>
        <w:rPr>
          <w:smallCaps/>
          <w:szCs w:val="20"/>
        </w:rPr>
        <w:instrText xml:space="preserve"> HYPERLINK \l _Toc24609 </w:instrText>
      </w:r>
      <w:r>
        <w:rPr>
          <w:smallCaps/>
          <w:szCs w:val="20"/>
        </w:rPr>
        <w:fldChar w:fldCharType="separate"/>
      </w:r>
      <w:r>
        <w:rPr>
          <w:rFonts w:hint="eastAsia" w:ascii="黑体" w:eastAsia="黑体" w:cs="Times New Roman"/>
          <w:bCs w:val="0"/>
        </w:rPr>
        <w:t>二、收入决算情况说明</w:t>
      </w:r>
      <w:r>
        <w:tab/>
      </w:r>
      <w:r>
        <w:fldChar w:fldCharType="begin"/>
      </w:r>
      <w:r>
        <w:instrText xml:space="preserve"> PAGEREF _Toc24609 \h </w:instrText>
      </w:r>
      <w:r>
        <w:fldChar w:fldCharType="separate"/>
      </w:r>
      <w:r>
        <w:t>4</w:t>
      </w:r>
      <w:r>
        <w:fldChar w:fldCharType="end"/>
      </w:r>
      <w:r>
        <w:rPr>
          <w:smallCaps/>
          <w:szCs w:val="20"/>
        </w:rPr>
        <w:fldChar w:fldCharType="end"/>
      </w:r>
    </w:p>
    <w:p>
      <w:pPr>
        <w:pStyle w:val="14"/>
        <w:tabs>
          <w:tab w:val="right" w:leader="dot" w:pos="8306"/>
          <w:tab w:val="clear" w:pos="8296"/>
        </w:tabs>
      </w:pPr>
      <w:r>
        <w:rPr>
          <w:smallCaps/>
          <w:szCs w:val="20"/>
        </w:rPr>
        <w:fldChar w:fldCharType="begin"/>
      </w:r>
      <w:r>
        <w:rPr>
          <w:smallCaps/>
          <w:szCs w:val="20"/>
        </w:rPr>
        <w:instrText xml:space="preserve"> HYPERLINK \l _Toc8745 </w:instrText>
      </w:r>
      <w:r>
        <w:rPr>
          <w:smallCaps/>
          <w:szCs w:val="20"/>
        </w:rPr>
        <w:fldChar w:fldCharType="separate"/>
      </w:r>
      <w:r>
        <w:rPr>
          <w:rFonts w:hint="eastAsia" w:ascii="黑体" w:eastAsia="黑体" w:cs="Times New Roman"/>
          <w:bCs w:val="0"/>
        </w:rPr>
        <w:t>三、支出决算情况说明</w:t>
      </w:r>
      <w:r>
        <w:tab/>
      </w:r>
      <w:r>
        <w:fldChar w:fldCharType="begin"/>
      </w:r>
      <w:r>
        <w:instrText xml:space="preserve"> PAGEREF _Toc8745 \h </w:instrText>
      </w:r>
      <w:r>
        <w:fldChar w:fldCharType="separate"/>
      </w:r>
      <w:r>
        <w:t>5</w:t>
      </w:r>
      <w:r>
        <w:fldChar w:fldCharType="end"/>
      </w:r>
      <w:r>
        <w:rPr>
          <w:smallCaps/>
          <w:szCs w:val="20"/>
        </w:rPr>
        <w:fldChar w:fldCharType="end"/>
      </w:r>
    </w:p>
    <w:p>
      <w:pPr>
        <w:pStyle w:val="14"/>
        <w:tabs>
          <w:tab w:val="right" w:leader="dot" w:pos="8306"/>
          <w:tab w:val="clear" w:pos="8296"/>
        </w:tabs>
      </w:pPr>
      <w:r>
        <w:rPr>
          <w:smallCaps/>
          <w:szCs w:val="20"/>
        </w:rPr>
        <w:fldChar w:fldCharType="begin"/>
      </w:r>
      <w:r>
        <w:rPr>
          <w:smallCaps/>
          <w:szCs w:val="20"/>
        </w:rPr>
        <w:instrText xml:space="preserve"> HYPERLINK \l _Toc13661 </w:instrText>
      </w:r>
      <w:r>
        <w:rPr>
          <w:smallCaps/>
          <w:szCs w:val="20"/>
        </w:rPr>
        <w:fldChar w:fldCharType="separate"/>
      </w:r>
      <w:r>
        <w:rPr>
          <w:rFonts w:hint="eastAsia" w:ascii="黑体" w:eastAsia="黑体" w:cs="Times New Roman"/>
          <w:bCs w:val="0"/>
        </w:rPr>
        <w:t>四、财政拨款收入支出决算总体情况说明</w:t>
      </w:r>
      <w:r>
        <w:tab/>
      </w:r>
      <w:r>
        <w:fldChar w:fldCharType="begin"/>
      </w:r>
      <w:r>
        <w:instrText xml:space="preserve"> PAGEREF _Toc13661 \h </w:instrText>
      </w:r>
      <w:r>
        <w:fldChar w:fldCharType="separate"/>
      </w:r>
      <w:r>
        <w:t>6</w:t>
      </w:r>
      <w:r>
        <w:fldChar w:fldCharType="end"/>
      </w:r>
      <w:r>
        <w:rPr>
          <w:smallCaps/>
          <w:szCs w:val="20"/>
        </w:rPr>
        <w:fldChar w:fldCharType="end"/>
      </w:r>
    </w:p>
    <w:p>
      <w:pPr>
        <w:pStyle w:val="14"/>
        <w:tabs>
          <w:tab w:val="right" w:leader="dot" w:pos="8306"/>
          <w:tab w:val="clear" w:pos="8296"/>
        </w:tabs>
      </w:pPr>
      <w:r>
        <w:rPr>
          <w:smallCaps/>
          <w:szCs w:val="20"/>
        </w:rPr>
        <w:fldChar w:fldCharType="begin"/>
      </w:r>
      <w:r>
        <w:rPr>
          <w:smallCaps/>
          <w:szCs w:val="20"/>
        </w:rPr>
        <w:instrText xml:space="preserve"> HYPERLINK \l _Toc2126 </w:instrText>
      </w:r>
      <w:r>
        <w:rPr>
          <w:smallCaps/>
          <w:szCs w:val="20"/>
        </w:rPr>
        <w:fldChar w:fldCharType="separate"/>
      </w:r>
      <w:r>
        <w:rPr>
          <w:rFonts w:hint="eastAsia" w:ascii="黑体" w:eastAsia="黑体" w:cs="Times New Roman"/>
          <w:bCs w:val="0"/>
        </w:rPr>
        <w:t>五、一般公共预算财政拨款支出决算情况说明</w:t>
      </w:r>
      <w:r>
        <w:tab/>
      </w:r>
      <w:r>
        <w:fldChar w:fldCharType="begin"/>
      </w:r>
      <w:r>
        <w:instrText xml:space="preserve"> PAGEREF _Toc2126 \h </w:instrText>
      </w:r>
      <w:r>
        <w:fldChar w:fldCharType="separate"/>
      </w:r>
      <w:r>
        <w:t>7</w:t>
      </w:r>
      <w:r>
        <w:fldChar w:fldCharType="end"/>
      </w:r>
      <w:r>
        <w:rPr>
          <w:smallCaps/>
          <w:szCs w:val="20"/>
        </w:rPr>
        <w:fldChar w:fldCharType="end"/>
      </w:r>
    </w:p>
    <w:p>
      <w:pPr>
        <w:pStyle w:val="14"/>
        <w:tabs>
          <w:tab w:val="right" w:leader="dot" w:pos="8306"/>
          <w:tab w:val="clear" w:pos="8296"/>
        </w:tabs>
      </w:pPr>
      <w:r>
        <w:rPr>
          <w:smallCaps/>
          <w:szCs w:val="20"/>
        </w:rPr>
        <w:fldChar w:fldCharType="begin"/>
      </w:r>
      <w:r>
        <w:rPr>
          <w:smallCaps/>
          <w:szCs w:val="20"/>
        </w:rPr>
        <w:instrText xml:space="preserve"> HYPERLINK \l _Toc24703 </w:instrText>
      </w:r>
      <w:r>
        <w:rPr>
          <w:smallCaps/>
          <w:szCs w:val="20"/>
        </w:rPr>
        <w:fldChar w:fldCharType="separate"/>
      </w:r>
      <w:r>
        <w:rPr>
          <w:rFonts w:hint="eastAsia" w:ascii="黑体" w:eastAsia="黑体" w:cs="Times New Roman"/>
          <w:bCs w:val="0"/>
        </w:rPr>
        <w:t>六、一般公共预算财政拨款基本支出决算情况说明</w:t>
      </w:r>
      <w:r>
        <w:tab/>
      </w:r>
      <w:r>
        <w:fldChar w:fldCharType="begin"/>
      </w:r>
      <w:r>
        <w:instrText xml:space="preserve"> PAGEREF _Toc24703 \h </w:instrText>
      </w:r>
      <w:r>
        <w:fldChar w:fldCharType="separate"/>
      </w:r>
      <w:r>
        <w:t>9</w:t>
      </w:r>
      <w:r>
        <w:fldChar w:fldCharType="end"/>
      </w:r>
      <w:r>
        <w:rPr>
          <w:smallCaps/>
          <w:szCs w:val="20"/>
        </w:rPr>
        <w:fldChar w:fldCharType="end"/>
      </w:r>
    </w:p>
    <w:p>
      <w:pPr>
        <w:pStyle w:val="14"/>
        <w:tabs>
          <w:tab w:val="right" w:leader="dot" w:pos="8306"/>
          <w:tab w:val="clear" w:pos="8296"/>
        </w:tabs>
      </w:pPr>
      <w:r>
        <w:rPr>
          <w:smallCaps/>
          <w:szCs w:val="20"/>
        </w:rPr>
        <w:fldChar w:fldCharType="begin"/>
      </w:r>
      <w:r>
        <w:rPr>
          <w:smallCaps/>
          <w:szCs w:val="20"/>
        </w:rPr>
        <w:instrText xml:space="preserve"> HYPERLINK \l _Toc16585 </w:instrText>
      </w:r>
      <w:r>
        <w:rPr>
          <w:smallCaps/>
          <w:szCs w:val="20"/>
        </w:rPr>
        <w:fldChar w:fldCharType="separate"/>
      </w:r>
      <w:r>
        <w:rPr>
          <w:rFonts w:hint="eastAsia" w:ascii="黑体" w:eastAsia="黑体" w:cs="Times New Roman"/>
          <w:bCs w:val="0"/>
        </w:rPr>
        <w:t>七、“三公”经费财政拨款支出决算情况说明</w:t>
      </w:r>
      <w:r>
        <w:tab/>
      </w:r>
      <w:r>
        <w:fldChar w:fldCharType="begin"/>
      </w:r>
      <w:r>
        <w:instrText xml:space="preserve"> PAGEREF _Toc16585 \h </w:instrText>
      </w:r>
      <w:r>
        <w:fldChar w:fldCharType="separate"/>
      </w:r>
      <w:r>
        <w:t>9</w:t>
      </w:r>
      <w:r>
        <w:fldChar w:fldCharType="end"/>
      </w:r>
      <w:r>
        <w:rPr>
          <w:smallCaps/>
          <w:szCs w:val="20"/>
        </w:rPr>
        <w:fldChar w:fldCharType="end"/>
      </w:r>
    </w:p>
    <w:p>
      <w:pPr>
        <w:pStyle w:val="14"/>
        <w:tabs>
          <w:tab w:val="right" w:leader="dot" w:pos="8306"/>
          <w:tab w:val="clear" w:pos="8296"/>
        </w:tabs>
      </w:pPr>
      <w:r>
        <w:rPr>
          <w:smallCaps/>
          <w:szCs w:val="20"/>
        </w:rPr>
        <w:fldChar w:fldCharType="begin"/>
      </w:r>
      <w:r>
        <w:rPr>
          <w:smallCaps/>
          <w:szCs w:val="20"/>
        </w:rPr>
        <w:instrText xml:space="preserve"> HYPERLINK \l _Toc4484 </w:instrText>
      </w:r>
      <w:r>
        <w:rPr>
          <w:smallCaps/>
          <w:szCs w:val="20"/>
        </w:rPr>
        <w:fldChar w:fldCharType="separate"/>
      </w:r>
      <w:r>
        <w:rPr>
          <w:rFonts w:hint="eastAsia" w:ascii="黑体" w:eastAsia="黑体" w:cs="Times New Roman"/>
          <w:bCs w:val="0"/>
        </w:rPr>
        <w:t>八、政府性基金预算支出决算情况说明</w:t>
      </w:r>
      <w:r>
        <w:tab/>
      </w:r>
      <w:r>
        <w:fldChar w:fldCharType="begin"/>
      </w:r>
      <w:r>
        <w:instrText xml:space="preserve"> PAGEREF _Toc4484 \h </w:instrText>
      </w:r>
      <w:r>
        <w:fldChar w:fldCharType="separate"/>
      </w:r>
      <w:r>
        <w:t>11</w:t>
      </w:r>
      <w:r>
        <w:fldChar w:fldCharType="end"/>
      </w:r>
      <w:r>
        <w:rPr>
          <w:smallCaps/>
          <w:szCs w:val="20"/>
        </w:rPr>
        <w:fldChar w:fldCharType="end"/>
      </w:r>
    </w:p>
    <w:p>
      <w:pPr>
        <w:pStyle w:val="14"/>
        <w:tabs>
          <w:tab w:val="right" w:leader="dot" w:pos="8306"/>
          <w:tab w:val="clear" w:pos="8296"/>
        </w:tabs>
      </w:pPr>
      <w:r>
        <w:rPr>
          <w:smallCaps/>
          <w:szCs w:val="20"/>
        </w:rPr>
        <w:fldChar w:fldCharType="begin"/>
      </w:r>
      <w:r>
        <w:rPr>
          <w:smallCaps/>
          <w:szCs w:val="20"/>
        </w:rPr>
        <w:instrText xml:space="preserve"> HYPERLINK \l _Toc1532 </w:instrText>
      </w:r>
      <w:r>
        <w:rPr>
          <w:smallCaps/>
          <w:szCs w:val="20"/>
        </w:rPr>
        <w:fldChar w:fldCharType="separate"/>
      </w:r>
      <w:r>
        <w:rPr>
          <w:rFonts w:hint="eastAsia" w:ascii="黑体" w:eastAsia="黑体" w:cs="Times New Roman"/>
          <w:bCs w:val="0"/>
        </w:rPr>
        <w:t>九、国有资本经营预算支出决算情况说明</w:t>
      </w:r>
      <w:r>
        <w:tab/>
      </w:r>
      <w:r>
        <w:fldChar w:fldCharType="begin"/>
      </w:r>
      <w:r>
        <w:instrText xml:space="preserve"> PAGEREF _Toc1532 \h </w:instrText>
      </w:r>
      <w:r>
        <w:fldChar w:fldCharType="separate"/>
      </w:r>
      <w:r>
        <w:t>12</w:t>
      </w:r>
      <w:r>
        <w:fldChar w:fldCharType="end"/>
      </w:r>
      <w:r>
        <w:rPr>
          <w:smallCaps/>
          <w:szCs w:val="20"/>
        </w:rPr>
        <w:fldChar w:fldCharType="end"/>
      </w:r>
    </w:p>
    <w:p>
      <w:pPr>
        <w:pStyle w:val="14"/>
        <w:tabs>
          <w:tab w:val="right" w:leader="dot" w:pos="8306"/>
          <w:tab w:val="clear" w:pos="8296"/>
        </w:tabs>
      </w:pPr>
      <w:r>
        <w:rPr>
          <w:smallCaps/>
          <w:szCs w:val="20"/>
        </w:rPr>
        <w:fldChar w:fldCharType="begin"/>
      </w:r>
      <w:r>
        <w:rPr>
          <w:smallCaps/>
          <w:szCs w:val="20"/>
        </w:rPr>
        <w:instrText xml:space="preserve"> HYPERLINK \l _Toc587 </w:instrText>
      </w:r>
      <w:r>
        <w:rPr>
          <w:smallCaps/>
          <w:szCs w:val="20"/>
        </w:rPr>
        <w:fldChar w:fldCharType="separate"/>
      </w:r>
      <w:r>
        <w:rPr>
          <w:rFonts w:hint="eastAsia" w:ascii="黑体" w:eastAsia="黑体" w:cs="Times New Roman"/>
          <w:bCs w:val="0"/>
        </w:rPr>
        <w:t>十、其他重要事项的情况说明</w:t>
      </w:r>
      <w:r>
        <w:tab/>
      </w:r>
      <w:r>
        <w:fldChar w:fldCharType="begin"/>
      </w:r>
      <w:r>
        <w:instrText xml:space="preserve"> PAGEREF _Toc587 \h </w:instrText>
      </w:r>
      <w:r>
        <w:fldChar w:fldCharType="separate"/>
      </w:r>
      <w:r>
        <w:t>12</w:t>
      </w:r>
      <w:r>
        <w:fldChar w:fldCharType="end"/>
      </w:r>
      <w:r>
        <w:rPr>
          <w:smallCaps/>
          <w:szCs w:val="20"/>
        </w:rPr>
        <w:fldChar w:fldCharType="end"/>
      </w:r>
    </w:p>
    <w:p>
      <w:pPr>
        <w:pStyle w:val="12"/>
        <w:tabs>
          <w:tab w:val="right" w:leader="dot" w:pos="8306"/>
          <w:tab w:val="clear" w:pos="8296"/>
        </w:tabs>
      </w:pPr>
      <w:r>
        <w:rPr>
          <w:smallCaps/>
          <w:szCs w:val="20"/>
        </w:rPr>
        <w:fldChar w:fldCharType="begin"/>
      </w:r>
      <w:r>
        <w:rPr>
          <w:smallCaps/>
          <w:szCs w:val="20"/>
        </w:rPr>
        <w:instrText xml:space="preserve"> HYPERLINK \l _Toc5924 </w:instrText>
      </w:r>
      <w:r>
        <w:rPr>
          <w:smallCaps/>
          <w:szCs w:val="20"/>
        </w:rPr>
        <w:fldChar w:fldCharType="separate"/>
      </w:r>
      <w:r>
        <w:rPr>
          <w:rFonts w:hint="eastAsia" w:ascii="黑体" w:hAnsi="黑体" w:eastAsia="黑体" w:cs="黑体"/>
        </w:rPr>
        <w:t>第三部分 名词解释</w:t>
      </w:r>
      <w:r>
        <w:tab/>
      </w:r>
      <w:r>
        <w:fldChar w:fldCharType="begin"/>
      </w:r>
      <w:r>
        <w:instrText xml:space="preserve"> PAGEREF _Toc5924 \h </w:instrText>
      </w:r>
      <w:r>
        <w:fldChar w:fldCharType="separate"/>
      </w:r>
      <w:r>
        <w:t>13</w:t>
      </w:r>
      <w:r>
        <w:fldChar w:fldCharType="end"/>
      </w:r>
      <w:r>
        <w:rPr>
          <w:smallCaps/>
          <w:szCs w:val="20"/>
        </w:rPr>
        <w:fldChar w:fldCharType="end"/>
      </w:r>
    </w:p>
    <w:p>
      <w:pPr>
        <w:pStyle w:val="12"/>
        <w:tabs>
          <w:tab w:val="right" w:leader="dot" w:pos="8306"/>
          <w:tab w:val="clear" w:pos="8296"/>
        </w:tabs>
      </w:pPr>
      <w:r>
        <w:rPr>
          <w:smallCaps/>
          <w:szCs w:val="20"/>
        </w:rPr>
        <w:fldChar w:fldCharType="begin"/>
      </w:r>
      <w:r>
        <w:rPr>
          <w:smallCaps/>
          <w:szCs w:val="20"/>
        </w:rPr>
        <w:instrText xml:space="preserve"> HYPERLINK \l _Toc13946 </w:instrText>
      </w:r>
      <w:r>
        <w:rPr>
          <w:smallCaps/>
          <w:szCs w:val="20"/>
        </w:rPr>
        <w:fldChar w:fldCharType="separate"/>
      </w:r>
      <w:r>
        <w:rPr>
          <w:rFonts w:hint="eastAsia" w:ascii="黑体" w:hAnsi="黑体" w:eastAsia="黑体" w:cs="黑体"/>
        </w:rPr>
        <w:t>第四部分 附件</w:t>
      </w:r>
      <w:r>
        <w:tab/>
      </w:r>
      <w:r>
        <w:fldChar w:fldCharType="begin"/>
      </w:r>
      <w:r>
        <w:instrText xml:space="preserve"> PAGEREF _Toc13946 \h </w:instrText>
      </w:r>
      <w:r>
        <w:fldChar w:fldCharType="separate"/>
      </w:r>
      <w:r>
        <w:t>15</w:t>
      </w:r>
      <w:r>
        <w:fldChar w:fldCharType="end"/>
      </w:r>
      <w:r>
        <w:rPr>
          <w:smallCaps/>
          <w:szCs w:val="20"/>
        </w:rPr>
        <w:fldChar w:fldCharType="end"/>
      </w:r>
    </w:p>
    <w:p>
      <w:pPr>
        <w:pStyle w:val="12"/>
        <w:tabs>
          <w:tab w:val="right" w:leader="dot" w:pos="8306"/>
          <w:tab w:val="clear" w:pos="8296"/>
        </w:tabs>
      </w:pPr>
      <w:r>
        <w:rPr>
          <w:smallCaps/>
          <w:szCs w:val="20"/>
        </w:rPr>
        <w:fldChar w:fldCharType="begin"/>
      </w:r>
      <w:r>
        <w:rPr>
          <w:smallCaps/>
          <w:szCs w:val="20"/>
        </w:rPr>
        <w:instrText xml:space="preserve"> HYPERLINK \l _Toc3397 </w:instrText>
      </w:r>
      <w:r>
        <w:rPr>
          <w:smallCaps/>
          <w:szCs w:val="20"/>
        </w:rPr>
        <w:fldChar w:fldCharType="separate"/>
      </w:r>
      <w:r>
        <w:rPr>
          <w:rFonts w:hint="eastAsia" w:ascii="黑体" w:hAnsi="黑体" w:eastAsia="黑体" w:cs="黑体"/>
        </w:rPr>
        <w:t>第五部分 附表</w:t>
      </w:r>
      <w:r>
        <w:tab/>
      </w:r>
      <w:r>
        <w:fldChar w:fldCharType="begin"/>
      </w:r>
      <w:r>
        <w:instrText xml:space="preserve"> PAGEREF _Toc3397 \h </w:instrText>
      </w:r>
      <w:r>
        <w:fldChar w:fldCharType="separate"/>
      </w:r>
      <w:r>
        <w:t>16</w:t>
      </w:r>
      <w:r>
        <w:fldChar w:fldCharType="end"/>
      </w:r>
      <w:r>
        <w:rPr>
          <w:smallCaps/>
          <w:szCs w:val="20"/>
        </w:rPr>
        <w:fldChar w:fldCharType="end"/>
      </w:r>
    </w:p>
    <w:p>
      <w:pPr>
        <w:pStyle w:val="14"/>
        <w:tabs>
          <w:tab w:val="right" w:leader="dot" w:pos="8306"/>
          <w:tab w:val="clear" w:pos="8296"/>
        </w:tabs>
      </w:pPr>
      <w:r>
        <w:rPr>
          <w:smallCaps/>
          <w:szCs w:val="20"/>
        </w:rPr>
        <w:fldChar w:fldCharType="begin"/>
      </w:r>
      <w:r>
        <w:rPr>
          <w:smallCaps/>
          <w:szCs w:val="20"/>
        </w:rPr>
        <w:instrText xml:space="preserve"> HYPERLINK \l _Toc16172 </w:instrText>
      </w:r>
      <w:r>
        <w:rPr>
          <w:smallCaps/>
          <w:szCs w:val="20"/>
        </w:rPr>
        <w:fldChar w:fldCharType="separate"/>
      </w:r>
      <w:r>
        <w:rPr>
          <w:rFonts w:hint="eastAsia" w:ascii="黑体" w:eastAsia="黑体" w:cs="Times New Roman"/>
          <w:bCs w:val="0"/>
        </w:rPr>
        <w:t>一、收入支出决算总表</w:t>
      </w:r>
      <w:r>
        <w:tab/>
      </w:r>
      <w:r>
        <w:fldChar w:fldCharType="begin"/>
      </w:r>
      <w:r>
        <w:instrText xml:space="preserve"> PAGEREF _Toc16172 \h </w:instrText>
      </w:r>
      <w:r>
        <w:fldChar w:fldCharType="separate"/>
      </w:r>
      <w:r>
        <w:t>16</w:t>
      </w:r>
      <w:r>
        <w:fldChar w:fldCharType="end"/>
      </w:r>
      <w:r>
        <w:rPr>
          <w:smallCaps/>
          <w:szCs w:val="20"/>
        </w:rPr>
        <w:fldChar w:fldCharType="end"/>
      </w:r>
    </w:p>
    <w:p>
      <w:pPr>
        <w:pStyle w:val="14"/>
        <w:tabs>
          <w:tab w:val="right" w:leader="dot" w:pos="8306"/>
          <w:tab w:val="clear" w:pos="8296"/>
        </w:tabs>
      </w:pPr>
      <w:r>
        <w:rPr>
          <w:smallCaps/>
          <w:szCs w:val="20"/>
        </w:rPr>
        <w:fldChar w:fldCharType="begin"/>
      </w:r>
      <w:r>
        <w:rPr>
          <w:smallCaps/>
          <w:szCs w:val="20"/>
        </w:rPr>
        <w:instrText xml:space="preserve"> HYPERLINK \l _Toc18577 </w:instrText>
      </w:r>
      <w:r>
        <w:rPr>
          <w:smallCaps/>
          <w:szCs w:val="20"/>
        </w:rPr>
        <w:fldChar w:fldCharType="separate"/>
      </w:r>
      <w:r>
        <w:rPr>
          <w:rFonts w:hint="eastAsia" w:ascii="黑体" w:eastAsia="黑体" w:cs="Times New Roman"/>
          <w:bCs w:val="0"/>
        </w:rPr>
        <w:t>二、收入决算表</w:t>
      </w:r>
      <w:r>
        <w:tab/>
      </w:r>
      <w:r>
        <w:fldChar w:fldCharType="begin"/>
      </w:r>
      <w:r>
        <w:instrText xml:space="preserve"> PAGEREF _Toc18577 \h </w:instrText>
      </w:r>
      <w:r>
        <w:fldChar w:fldCharType="separate"/>
      </w:r>
      <w:r>
        <w:t>16</w:t>
      </w:r>
      <w:r>
        <w:fldChar w:fldCharType="end"/>
      </w:r>
      <w:r>
        <w:rPr>
          <w:smallCaps/>
          <w:szCs w:val="20"/>
        </w:rPr>
        <w:fldChar w:fldCharType="end"/>
      </w:r>
    </w:p>
    <w:p>
      <w:pPr>
        <w:pStyle w:val="14"/>
        <w:tabs>
          <w:tab w:val="right" w:leader="dot" w:pos="8306"/>
          <w:tab w:val="clear" w:pos="8296"/>
        </w:tabs>
      </w:pPr>
      <w:r>
        <w:rPr>
          <w:smallCaps/>
          <w:szCs w:val="20"/>
        </w:rPr>
        <w:fldChar w:fldCharType="begin"/>
      </w:r>
      <w:r>
        <w:rPr>
          <w:smallCaps/>
          <w:szCs w:val="20"/>
        </w:rPr>
        <w:instrText xml:space="preserve"> HYPERLINK \l _Toc18759 </w:instrText>
      </w:r>
      <w:r>
        <w:rPr>
          <w:smallCaps/>
          <w:szCs w:val="20"/>
        </w:rPr>
        <w:fldChar w:fldCharType="separate"/>
      </w:r>
      <w:r>
        <w:rPr>
          <w:rFonts w:hint="eastAsia" w:ascii="黑体" w:eastAsia="黑体" w:cs="Times New Roman"/>
          <w:bCs w:val="0"/>
        </w:rPr>
        <w:t>三、支出决算表</w:t>
      </w:r>
      <w:r>
        <w:tab/>
      </w:r>
      <w:r>
        <w:fldChar w:fldCharType="begin"/>
      </w:r>
      <w:r>
        <w:instrText xml:space="preserve"> PAGEREF _Toc18759 \h </w:instrText>
      </w:r>
      <w:r>
        <w:fldChar w:fldCharType="separate"/>
      </w:r>
      <w:r>
        <w:t>16</w:t>
      </w:r>
      <w:r>
        <w:fldChar w:fldCharType="end"/>
      </w:r>
      <w:r>
        <w:rPr>
          <w:smallCaps/>
          <w:szCs w:val="20"/>
        </w:rPr>
        <w:fldChar w:fldCharType="end"/>
      </w:r>
    </w:p>
    <w:p>
      <w:pPr>
        <w:pStyle w:val="14"/>
        <w:tabs>
          <w:tab w:val="right" w:leader="dot" w:pos="8306"/>
          <w:tab w:val="clear" w:pos="8296"/>
        </w:tabs>
      </w:pPr>
      <w:r>
        <w:rPr>
          <w:smallCaps/>
          <w:szCs w:val="20"/>
        </w:rPr>
        <w:fldChar w:fldCharType="begin"/>
      </w:r>
      <w:r>
        <w:rPr>
          <w:smallCaps/>
          <w:szCs w:val="20"/>
        </w:rPr>
        <w:instrText xml:space="preserve"> HYPERLINK \l _Toc16869 </w:instrText>
      </w:r>
      <w:r>
        <w:rPr>
          <w:smallCaps/>
          <w:szCs w:val="20"/>
        </w:rPr>
        <w:fldChar w:fldCharType="separate"/>
      </w:r>
      <w:r>
        <w:rPr>
          <w:rFonts w:hint="eastAsia" w:ascii="黑体" w:eastAsia="黑体" w:cs="Times New Roman"/>
          <w:bCs w:val="0"/>
        </w:rPr>
        <w:t>四、财政拨款收入支出决算总表</w:t>
      </w:r>
      <w:r>
        <w:tab/>
      </w:r>
      <w:r>
        <w:fldChar w:fldCharType="begin"/>
      </w:r>
      <w:r>
        <w:instrText xml:space="preserve"> PAGEREF _Toc16869 \h </w:instrText>
      </w:r>
      <w:r>
        <w:fldChar w:fldCharType="separate"/>
      </w:r>
      <w:r>
        <w:t>16</w:t>
      </w:r>
      <w:r>
        <w:fldChar w:fldCharType="end"/>
      </w:r>
      <w:r>
        <w:rPr>
          <w:smallCaps/>
          <w:szCs w:val="20"/>
        </w:rPr>
        <w:fldChar w:fldCharType="end"/>
      </w:r>
    </w:p>
    <w:p>
      <w:pPr>
        <w:pStyle w:val="14"/>
        <w:tabs>
          <w:tab w:val="right" w:leader="dot" w:pos="8306"/>
          <w:tab w:val="clear" w:pos="8296"/>
        </w:tabs>
      </w:pPr>
      <w:r>
        <w:rPr>
          <w:smallCaps/>
          <w:szCs w:val="20"/>
        </w:rPr>
        <w:fldChar w:fldCharType="begin"/>
      </w:r>
      <w:r>
        <w:rPr>
          <w:smallCaps/>
          <w:szCs w:val="20"/>
        </w:rPr>
        <w:instrText xml:space="preserve"> HYPERLINK \l _Toc13179 </w:instrText>
      </w:r>
      <w:r>
        <w:rPr>
          <w:smallCaps/>
          <w:szCs w:val="20"/>
        </w:rPr>
        <w:fldChar w:fldCharType="separate"/>
      </w:r>
      <w:r>
        <w:rPr>
          <w:rFonts w:hint="eastAsia" w:ascii="黑体" w:eastAsia="黑体" w:cs="Times New Roman"/>
          <w:bCs w:val="0"/>
        </w:rPr>
        <w:t>五、财政拨款支出决算明细表</w:t>
      </w:r>
      <w:r>
        <w:tab/>
      </w:r>
      <w:r>
        <w:fldChar w:fldCharType="begin"/>
      </w:r>
      <w:r>
        <w:instrText xml:space="preserve"> PAGEREF _Toc13179 \h </w:instrText>
      </w:r>
      <w:r>
        <w:fldChar w:fldCharType="separate"/>
      </w:r>
      <w:r>
        <w:t>16</w:t>
      </w:r>
      <w:r>
        <w:fldChar w:fldCharType="end"/>
      </w:r>
      <w:r>
        <w:rPr>
          <w:smallCaps/>
          <w:szCs w:val="20"/>
        </w:rPr>
        <w:fldChar w:fldCharType="end"/>
      </w:r>
    </w:p>
    <w:p>
      <w:pPr>
        <w:pStyle w:val="14"/>
        <w:tabs>
          <w:tab w:val="right" w:leader="dot" w:pos="8306"/>
          <w:tab w:val="clear" w:pos="8296"/>
        </w:tabs>
      </w:pPr>
      <w:r>
        <w:rPr>
          <w:smallCaps/>
          <w:szCs w:val="20"/>
        </w:rPr>
        <w:fldChar w:fldCharType="begin"/>
      </w:r>
      <w:r>
        <w:rPr>
          <w:smallCaps/>
          <w:szCs w:val="20"/>
        </w:rPr>
        <w:instrText xml:space="preserve"> HYPERLINK \l _Toc10578 </w:instrText>
      </w:r>
      <w:r>
        <w:rPr>
          <w:smallCaps/>
          <w:szCs w:val="20"/>
        </w:rPr>
        <w:fldChar w:fldCharType="separate"/>
      </w:r>
      <w:r>
        <w:rPr>
          <w:rFonts w:hint="eastAsia" w:ascii="黑体" w:eastAsia="黑体" w:cs="Times New Roman"/>
          <w:bCs w:val="0"/>
        </w:rPr>
        <w:t>六、一般公共预算财政拨款支出决算表</w:t>
      </w:r>
      <w:r>
        <w:tab/>
      </w:r>
      <w:r>
        <w:fldChar w:fldCharType="begin"/>
      </w:r>
      <w:r>
        <w:instrText xml:space="preserve"> PAGEREF _Toc10578 \h </w:instrText>
      </w:r>
      <w:r>
        <w:fldChar w:fldCharType="separate"/>
      </w:r>
      <w:r>
        <w:t>16</w:t>
      </w:r>
      <w:r>
        <w:fldChar w:fldCharType="end"/>
      </w:r>
      <w:r>
        <w:rPr>
          <w:smallCaps/>
          <w:szCs w:val="20"/>
        </w:rPr>
        <w:fldChar w:fldCharType="end"/>
      </w:r>
    </w:p>
    <w:p>
      <w:pPr>
        <w:pStyle w:val="14"/>
        <w:tabs>
          <w:tab w:val="right" w:leader="dot" w:pos="8306"/>
          <w:tab w:val="clear" w:pos="8296"/>
        </w:tabs>
      </w:pPr>
      <w:r>
        <w:rPr>
          <w:smallCaps/>
          <w:szCs w:val="20"/>
        </w:rPr>
        <w:fldChar w:fldCharType="begin"/>
      </w:r>
      <w:r>
        <w:rPr>
          <w:smallCaps/>
          <w:szCs w:val="20"/>
        </w:rPr>
        <w:instrText xml:space="preserve"> HYPERLINK \l _Toc4404 </w:instrText>
      </w:r>
      <w:r>
        <w:rPr>
          <w:smallCaps/>
          <w:szCs w:val="20"/>
        </w:rPr>
        <w:fldChar w:fldCharType="separate"/>
      </w:r>
      <w:r>
        <w:rPr>
          <w:rFonts w:hint="eastAsia" w:ascii="黑体" w:eastAsia="黑体" w:cs="Times New Roman"/>
          <w:bCs w:val="0"/>
        </w:rPr>
        <w:t>七、一般公共预算财政拨款支出决算明细表</w:t>
      </w:r>
      <w:r>
        <w:tab/>
      </w:r>
      <w:r>
        <w:fldChar w:fldCharType="begin"/>
      </w:r>
      <w:r>
        <w:instrText xml:space="preserve"> PAGEREF _Toc4404 \h </w:instrText>
      </w:r>
      <w:r>
        <w:fldChar w:fldCharType="separate"/>
      </w:r>
      <w:r>
        <w:t>16</w:t>
      </w:r>
      <w:r>
        <w:fldChar w:fldCharType="end"/>
      </w:r>
      <w:r>
        <w:rPr>
          <w:smallCaps/>
          <w:szCs w:val="20"/>
        </w:rPr>
        <w:fldChar w:fldCharType="end"/>
      </w:r>
    </w:p>
    <w:p>
      <w:pPr>
        <w:pStyle w:val="14"/>
        <w:tabs>
          <w:tab w:val="right" w:leader="dot" w:pos="8306"/>
          <w:tab w:val="clear" w:pos="8296"/>
        </w:tabs>
      </w:pPr>
      <w:r>
        <w:rPr>
          <w:smallCaps/>
          <w:szCs w:val="20"/>
        </w:rPr>
        <w:fldChar w:fldCharType="begin"/>
      </w:r>
      <w:r>
        <w:rPr>
          <w:smallCaps/>
          <w:szCs w:val="20"/>
        </w:rPr>
        <w:instrText xml:space="preserve"> HYPERLINK \l _Toc16845 </w:instrText>
      </w:r>
      <w:r>
        <w:rPr>
          <w:smallCaps/>
          <w:szCs w:val="20"/>
        </w:rPr>
        <w:fldChar w:fldCharType="separate"/>
      </w:r>
      <w:r>
        <w:rPr>
          <w:rFonts w:hint="eastAsia" w:ascii="黑体" w:eastAsia="黑体" w:cs="Times New Roman"/>
          <w:bCs w:val="0"/>
        </w:rPr>
        <w:t>八、一般公共预算财政拨款基本支出决算表</w:t>
      </w:r>
      <w:r>
        <w:tab/>
      </w:r>
      <w:r>
        <w:fldChar w:fldCharType="begin"/>
      </w:r>
      <w:r>
        <w:instrText xml:space="preserve"> PAGEREF _Toc16845 \h </w:instrText>
      </w:r>
      <w:r>
        <w:fldChar w:fldCharType="separate"/>
      </w:r>
      <w:r>
        <w:t>16</w:t>
      </w:r>
      <w:r>
        <w:fldChar w:fldCharType="end"/>
      </w:r>
      <w:r>
        <w:rPr>
          <w:smallCaps/>
          <w:szCs w:val="20"/>
        </w:rPr>
        <w:fldChar w:fldCharType="end"/>
      </w:r>
    </w:p>
    <w:p>
      <w:pPr>
        <w:pStyle w:val="14"/>
        <w:tabs>
          <w:tab w:val="right" w:leader="dot" w:pos="8306"/>
          <w:tab w:val="clear" w:pos="8296"/>
        </w:tabs>
      </w:pPr>
      <w:r>
        <w:rPr>
          <w:smallCaps/>
          <w:szCs w:val="20"/>
        </w:rPr>
        <w:fldChar w:fldCharType="begin"/>
      </w:r>
      <w:r>
        <w:rPr>
          <w:smallCaps/>
          <w:szCs w:val="20"/>
        </w:rPr>
        <w:instrText xml:space="preserve"> HYPERLINK \l _Toc27130 </w:instrText>
      </w:r>
      <w:r>
        <w:rPr>
          <w:smallCaps/>
          <w:szCs w:val="20"/>
        </w:rPr>
        <w:fldChar w:fldCharType="separate"/>
      </w:r>
      <w:r>
        <w:rPr>
          <w:rFonts w:hint="eastAsia" w:ascii="黑体" w:eastAsia="黑体" w:cs="Times New Roman"/>
          <w:bCs w:val="0"/>
        </w:rPr>
        <w:t>九、一般公共预算财政拨款项目支出决算表</w:t>
      </w:r>
      <w:r>
        <w:tab/>
      </w:r>
      <w:r>
        <w:fldChar w:fldCharType="begin"/>
      </w:r>
      <w:r>
        <w:instrText xml:space="preserve"> PAGEREF _Toc27130 \h </w:instrText>
      </w:r>
      <w:r>
        <w:fldChar w:fldCharType="separate"/>
      </w:r>
      <w:r>
        <w:t>16</w:t>
      </w:r>
      <w:r>
        <w:fldChar w:fldCharType="end"/>
      </w:r>
      <w:r>
        <w:rPr>
          <w:smallCaps/>
          <w:szCs w:val="20"/>
        </w:rPr>
        <w:fldChar w:fldCharType="end"/>
      </w:r>
    </w:p>
    <w:p>
      <w:pPr>
        <w:pStyle w:val="14"/>
        <w:tabs>
          <w:tab w:val="right" w:leader="dot" w:pos="8306"/>
          <w:tab w:val="clear" w:pos="8296"/>
        </w:tabs>
      </w:pPr>
      <w:r>
        <w:rPr>
          <w:smallCaps/>
          <w:szCs w:val="20"/>
        </w:rPr>
        <w:fldChar w:fldCharType="begin"/>
      </w:r>
      <w:r>
        <w:rPr>
          <w:smallCaps/>
          <w:szCs w:val="20"/>
        </w:rPr>
        <w:instrText xml:space="preserve"> HYPERLINK \l _Toc11127 </w:instrText>
      </w:r>
      <w:r>
        <w:rPr>
          <w:smallCaps/>
          <w:szCs w:val="20"/>
        </w:rPr>
        <w:fldChar w:fldCharType="separate"/>
      </w:r>
      <w:r>
        <w:rPr>
          <w:rFonts w:hint="eastAsia" w:ascii="黑体" w:eastAsia="黑体" w:cs="Times New Roman"/>
          <w:bCs w:val="0"/>
        </w:rPr>
        <w:t>十、一般公共预算财政拨款“三公”经费支出决算表</w:t>
      </w:r>
      <w:r>
        <w:tab/>
      </w:r>
      <w:r>
        <w:fldChar w:fldCharType="begin"/>
      </w:r>
      <w:r>
        <w:instrText xml:space="preserve"> PAGEREF _Toc11127 \h </w:instrText>
      </w:r>
      <w:r>
        <w:fldChar w:fldCharType="separate"/>
      </w:r>
      <w:r>
        <w:t>16</w:t>
      </w:r>
      <w:r>
        <w:fldChar w:fldCharType="end"/>
      </w:r>
      <w:r>
        <w:rPr>
          <w:smallCaps/>
          <w:szCs w:val="20"/>
        </w:rPr>
        <w:fldChar w:fldCharType="end"/>
      </w:r>
    </w:p>
    <w:p>
      <w:pPr>
        <w:pStyle w:val="14"/>
        <w:tabs>
          <w:tab w:val="right" w:leader="dot" w:pos="8306"/>
          <w:tab w:val="clear" w:pos="8296"/>
        </w:tabs>
      </w:pPr>
      <w:r>
        <w:rPr>
          <w:smallCaps/>
          <w:szCs w:val="20"/>
        </w:rPr>
        <w:fldChar w:fldCharType="begin"/>
      </w:r>
      <w:r>
        <w:rPr>
          <w:smallCaps/>
          <w:szCs w:val="20"/>
        </w:rPr>
        <w:instrText xml:space="preserve"> HYPERLINK \l _Toc16676 </w:instrText>
      </w:r>
      <w:r>
        <w:rPr>
          <w:smallCaps/>
          <w:szCs w:val="20"/>
        </w:rPr>
        <w:fldChar w:fldCharType="separate"/>
      </w:r>
      <w:r>
        <w:rPr>
          <w:rFonts w:hint="eastAsia" w:ascii="黑体" w:eastAsia="黑体" w:cs="Times New Roman"/>
          <w:bCs w:val="0"/>
        </w:rPr>
        <w:t>十一、政府性基金预算财政拨款收入支出决算表</w:t>
      </w:r>
      <w:r>
        <w:tab/>
      </w:r>
      <w:r>
        <w:fldChar w:fldCharType="begin"/>
      </w:r>
      <w:r>
        <w:instrText xml:space="preserve"> PAGEREF _Toc16676 \h </w:instrText>
      </w:r>
      <w:r>
        <w:fldChar w:fldCharType="separate"/>
      </w:r>
      <w:r>
        <w:t>16</w:t>
      </w:r>
      <w:r>
        <w:fldChar w:fldCharType="end"/>
      </w:r>
      <w:r>
        <w:rPr>
          <w:smallCaps/>
          <w:szCs w:val="20"/>
        </w:rPr>
        <w:fldChar w:fldCharType="end"/>
      </w:r>
    </w:p>
    <w:p>
      <w:pPr>
        <w:pStyle w:val="14"/>
        <w:tabs>
          <w:tab w:val="right" w:leader="dot" w:pos="8306"/>
          <w:tab w:val="clear" w:pos="8296"/>
        </w:tabs>
      </w:pPr>
      <w:r>
        <w:rPr>
          <w:smallCaps/>
          <w:szCs w:val="20"/>
        </w:rPr>
        <w:fldChar w:fldCharType="begin"/>
      </w:r>
      <w:r>
        <w:rPr>
          <w:smallCaps/>
          <w:szCs w:val="20"/>
        </w:rPr>
        <w:instrText xml:space="preserve"> HYPERLINK \l _Toc6435 </w:instrText>
      </w:r>
      <w:r>
        <w:rPr>
          <w:smallCaps/>
          <w:szCs w:val="20"/>
        </w:rPr>
        <w:fldChar w:fldCharType="separate"/>
      </w:r>
      <w:r>
        <w:rPr>
          <w:rFonts w:hint="eastAsia" w:ascii="黑体" w:eastAsia="黑体" w:cs="Times New Roman"/>
          <w:bCs w:val="0"/>
        </w:rPr>
        <w:t>十二、政府性基金预算财政拨款“三公”经费支出决算表</w:t>
      </w:r>
      <w:r>
        <w:tab/>
      </w:r>
      <w:r>
        <w:fldChar w:fldCharType="begin"/>
      </w:r>
      <w:r>
        <w:instrText xml:space="preserve"> PAGEREF _Toc6435 \h </w:instrText>
      </w:r>
      <w:r>
        <w:fldChar w:fldCharType="separate"/>
      </w:r>
      <w:r>
        <w:t>16</w:t>
      </w:r>
      <w:r>
        <w:fldChar w:fldCharType="end"/>
      </w:r>
      <w:r>
        <w:rPr>
          <w:smallCaps/>
          <w:szCs w:val="20"/>
        </w:rPr>
        <w:fldChar w:fldCharType="end"/>
      </w:r>
    </w:p>
    <w:p>
      <w:pPr>
        <w:pStyle w:val="14"/>
        <w:tabs>
          <w:tab w:val="right" w:leader="dot" w:pos="8306"/>
          <w:tab w:val="clear" w:pos="8296"/>
        </w:tabs>
      </w:pPr>
      <w:r>
        <w:rPr>
          <w:smallCaps/>
          <w:szCs w:val="20"/>
        </w:rPr>
        <w:fldChar w:fldCharType="begin"/>
      </w:r>
      <w:r>
        <w:rPr>
          <w:smallCaps/>
          <w:szCs w:val="20"/>
        </w:rPr>
        <w:instrText xml:space="preserve"> HYPERLINK \l _Toc4035 </w:instrText>
      </w:r>
      <w:r>
        <w:rPr>
          <w:smallCaps/>
          <w:szCs w:val="20"/>
        </w:rPr>
        <w:fldChar w:fldCharType="separate"/>
      </w:r>
      <w:r>
        <w:rPr>
          <w:rFonts w:hint="eastAsia" w:ascii="黑体" w:eastAsia="黑体" w:cs="Times New Roman"/>
          <w:bCs w:val="0"/>
        </w:rPr>
        <w:t>十三、国有资本经营预算财政拨款收入支出决算表</w:t>
      </w:r>
      <w:r>
        <w:tab/>
      </w:r>
      <w:r>
        <w:fldChar w:fldCharType="begin"/>
      </w:r>
      <w:r>
        <w:instrText xml:space="preserve"> PAGEREF _Toc4035 \h </w:instrText>
      </w:r>
      <w:r>
        <w:fldChar w:fldCharType="separate"/>
      </w:r>
      <w:r>
        <w:t>16</w:t>
      </w:r>
      <w:r>
        <w:fldChar w:fldCharType="end"/>
      </w:r>
      <w:r>
        <w:rPr>
          <w:smallCaps/>
          <w:szCs w:val="20"/>
        </w:rPr>
        <w:fldChar w:fldCharType="end"/>
      </w:r>
    </w:p>
    <w:p>
      <w:pPr>
        <w:pStyle w:val="14"/>
        <w:tabs>
          <w:tab w:val="right" w:leader="dot" w:pos="8306"/>
          <w:tab w:val="clear" w:pos="8296"/>
        </w:tabs>
      </w:pPr>
      <w:r>
        <w:rPr>
          <w:smallCaps/>
          <w:szCs w:val="20"/>
        </w:rPr>
        <w:fldChar w:fldCharType="begin"/>
      </w:r>
      <w:r>
        <w:rPr>
          <w:smallCaps/>
          <w:szCs w:val="20"/>
        </w:rPr>
        <w:instrText xml:space="preserve"> HYPERLINK \l _Toc4862 </w:instrText>
      </w:r>
      <w:r>
        <w:rPr>
          <w:smallCaps/>
          <w:szCs w:val="20"/>
        </w:rPr>
        <w:fldChar w:fldCharType="separate"/>
      </w:r>
      <w:r>
        <w:rPr>
          <w:rFonts w:hint="eastAsia" w:ascii="黑体" w:eastAsia="黑体" w:cs="Times New Roman"/>
          <w:bCs w:val="0"/>
        </w:rPr>
        <w:t>十四、国有资本经营预算财政拨款支出决算表</w:t>
      </w:r>
      <w:r>
        <w:tab/>
      </w:r>
      <w:r>
        <w:fldChar w:fldCharType="begin"/>
      </w:r>
      <w:r>
        <w:instrText xml:space="preserve"> PAGEREF _Toc4862 \h </w:instrText>
      </w:r>
      <w:r>
        <w:fldChar w:fldCharType="separate"/>
      </w:r>
      <w:r>
        <w:t>16</w:t>
      </w:r>
      <w:r>
        <w:fldChar w:fldCharType="end"/>
      </w:r>
      <w:r>
        <w:rPr>
          <w:smallCaps/>
          <w:szCs w:val="20"/>
        </w:rPr>
        <w:fldChar w:fldCharType="end"/>
      </w:r>
    </w:p>
    <w:p>
      <w:pPr>
        <w:pStyle w:val="5"/>
      </w:pPr>
      <w:r>
        <w:rPr>
          <w:smallCaps/>
          <w:szCs w:val="20"/>
        </w:rPr>
        <w:fldChar w:fldCharType="end"/>
      </w:r>
    </w:p>
    <w:p>
      <w:pPr>
        <w:pStyle w:val="2"/>
        <w:jc w:val="center"/>
        <w:rPr>
          <w:rFonts w:ascii="黑体" w:hAnsi="黑体" w:eastAsia="黑体" w:cs="黑体"/>
          <w:b w:val="0"/>
          <w:bCs w:val="0"/>
        </w:rPr>
      </w:pPr>
      <w:bookmarkStart w:id="13" w:name="_Toc28280"/>
      <w:bookmarkStart w:id="14" w:name="_Toc111208495"/>
      <w:r>
        <w:rPr>
          <w:rFonts w:hint="eastAsia" w:ascii="黑体" w:hAnsi="黑体" w:eastAsia="黑体" w:cs="黑体"/>
        </w:rPr>
        <w:t xml:space="preserve">第一部分 </w:t>
      </w:r>
      <w:r>
        <w:rPr>
          <w:rStyle w:val="28"/>
          <w:rFonts w:hint="eastAsia" w:ascii="黑体" w:hAnsi="黑体" w:eastAsia="黑体" w:cs="黑体"/>
          <w:b/>
          <w:bCs w:val="0"/>
        </w:rPr>
        <w:t>部门概况</w:t>
      </w:r>
      <w:bookmarkEnd w:id="12"/>
      <w:bookmarkEnd w:id="13"/>
      <w:bookmarkEnd w:id="14"/>
    </w:p>
    <w:p>
      <w:pPr>
        <w:pStyle w:val="3"/>
        <w:ind w:firstLine="643" w:firstLineChars="200"/>
        <w:rPr>
          <w:rFonts w:ascii="黑体" w:eastAsia="黑体" w:cs="Times New Roman"/>
          <w:bCs w:val="0"/>
          <w:color w:val="000000"/>
        </w:rPr>
      </w:pPr>
      <w:bookmarkStart w:id="15" w:name="_Toc111208496"/>
      <w:bookmarkStart w:id="16" w:name="_Toc15377197"/>
      <w:bookmarkStart w:id="17" w:name="_Toc29382"/>
      <w:r>
        <w:rPr>
          <w:rFonts w:hint="eastAsia" w:ascii="黑体" w:eastAsia="黑体" w:cs="Times New Roman"/>
          <w:bCs w:val="0"/>
          <w:color w:val="000000"/>
        </w:rPr>
        <w:t>一、</w:t>
      </w:r>
      <w:bookmarkEnd w:id="15"/>
      <w:bookmarkEnd w:id="16"/>
      <w:bookmarkStart w:id="18" w:name="_Toc15377198"/>
      <w:bookmarkStart w:id="19" w:name="_Toc15378445"/>
      <w:r>
        <w:rPr>
          <w:rFonts w:hint="eastAsia" w:ascii="黑体" w:eastAsia="黑体" w:cs="Times New Roman"/>
          <w:bCs w:val="0"/>
          <w:color w:val="000000"/>
        </w:rPr>
        <w:t>部门职责</w:t>
      </w:r>
      <w:bookmarkEnd w:id="17"/>
    </w:p>
    <w:bookmarkEnd w:id="18"/>
    <w:bookmarkEnd w:id="19"/>
    <w:p>
      <w:pPr>
        <w:rPr>
          <w:rFonts w:ascii="仿宋" w:hAnsi="仿宋" w:eastAsia="仿宋"/>
          <w:color w:val="000000"/>
          <w:sz w:val="32"/>
          <w:szCs w:val="32"/>
        </w:rPr>
      </w:pPr>
      <w:r>
        <w:rPr>
          <w:rFonts w:ascii="仿宋" w:hAnsi="仿宋" w:eastAsia="仿宋"/>
          <w:color w:val="000000"/>
          <w:sz w:val="32"/>
          <w:szCs w:val="32"/>
        </w:rPr>
        <w:cr/>
      </w:r>
      <w:r>
        <w:rPr>
          <w:rFonts w:ascii="仿宋" w:hAnsi="仿宋" w:eastAsia="仿宋"/>
          <w:color w:val="000000"/>
          <w:sz w:val="32"/>
          <w:szCs w:val="32"/>
        </w:rPr>
        <w:t>1.乡镇卫生院以公共卫生服务为主，提供预防、保健、基本医疗等综合服务。</w:t>
      </w:r>
      <w:r>
        <w:rPr>
          <w:rFonts w:ascii="仿宋" w:hAnsi="仿宋" w:eastAsia="仿宋"/>
          <w:color w:val="000000"/>
          <w:sz w:val="32"/>
          <w:szCs w:val="32"/>
        </w:rPr>
        <w:cr/>
      </w:r>
      <w:r>
        <w:rPr>
          <w:rFonts w:ascii="仿宋" w:hAnsi="仿宋" w:eastAsia="仿宋"/>
          <w:color w:val="000000"/>
          <w:sz w:val="32"/>
          <w:szCs w:val="32"/>
        </w:rPr>
        <w:t>2.加强农村疫病防控，防治农村突发公共卫生事件报告工作，重点控制传染病、地方病，对农民健康、职业病、寄生虫病等重大疾病造成严重损害。</w:t>
      </w:r>
      <w:r>
        <w:rPr>
          <w:rFonts w:ascii="仿宋" w:hAnsi="仿宋" w:eastAsia="仿宋"/>
          <w:color w:val="000000"/>
          <w:sz w:val="32"/>
          <w:szCs w:val="32"/>
        </w:rPr>
        <w:cr/>
      </w:r>
      <w:r>
        <w:rPr>
          <w:rFonts w:ascii="仿宋" w:hAnsi="仿宋" w:eastAsia="仿宋"/>
          <w:color w:val="000000"/>
          <w:sz w:val="32"/>
          <w:szCs w:val="32"/>
        </w:rPr>
        <w:t>3.认真执行儿童计划免疫。积极开展慢性非传染性疾病防控工作。</w:t>
      </w:r>
      <w:r>
        <w:rPr>
          <w:rFonts w:ascii="仿宋" w:hAnsi="仿宋" w:eastAsia="仿宋"/>
          <w:color w:val="000000"/>
          <w:sz w:val="32"/>
          <w:szCs w:val="32"/>
        </w:rPr>
        <w:cr/>
      </w:r>
      <w:r>
        <w:rPr>
          <w:rFonts w:ascii="仿宋" w:hAnsi="仿宋" w:eastAsia="仿宋"/>
          <w:color w:val="000000"/>
          <w:sz w:val="32"/>
          <w:szCs w:val="32"/>
        </w:rPr>
        <w:t>4.做好农村妇幼保健工作，提高医院产生率，改善儿童营养状况。</w:t>
      </w:r>
      <w:r>
        <w:rPr>
          <w:rFonts w:ascii="仿宋" w:hAnsi="仿宋" w:eastAsia="仿宋"/>
          <w:color w:val="000000"/>
          <w:sz w:val="32"/>
          <w:szCs w:val="32"/>
        </w:rPr>
        <w:cr/>
      </w:r>
      <w:r>
        <w:rPr>
          <w:rFonts w:ascii="仿宋" w:hAnsi="仿宋" w:eastAsia="仿宋"/>
          <w:color w:val="000000"/>
          <w:sz w:val="32"/>
          <w:szCs w:val="32"/>
        </w:rPr>
        <w:t>5.积极开展新型农村合作医疗、计划生育技术指导和康复工作。</w:t>
      </w:r>
      <w:r>
        <w:rPr>
          <w:rFonts w:ascii="仿宋" w:hAnsi="仿宋" w:eastAsia="仿宋"/>
          <w:color w:val="000000"/>
          <w:sz w:val="32"/>
          <w:szCs w:val="32"/>
        </w:rPr>
        <w:cr/>
      </w:r>
      <w:r>
        <w:rPr>
          <w:rFonts w:ascii="仿宋" w:hAnsi="仿宋" w:eastAsia="仿宋"/>
          <w:color w:val="000000"/>
          <w:sz w:val="32"/>
          <w:szCs w:val="32"/>
        </w:rPr>
        <w:t>6.开展爱国卫生运动，普及疾病预防和卫生知识，引导群众改善住房、食品、饮水、卫生条件，引导和帮助农民建立良好卫生。</w:t>
      </w:r>
      <w:bookmarkStart w:id="20" w:name="_Toc15377200"/>
    </w:p>
    <w:p>
      <w:pPr>
        <w:pStyle w:val="3"/>
        <w:ind w:firstLine="643" w:firstLineChars="200"/>
        <w:rPr>
          <w:rFonts w:ascii="黑体" w:eastAsia="黑体" w:cs="Times New Roman"/>
          <w:bCs w:val="0"/>
          <w:color w:val="000000"/>
        </w:rPr>
      </w:pPr>
      <w:bookmarkStart w:id="21" w:name="_Toc111208497"/>
      <w:bookmarkStart w:id="22" w:name="_Toc7982"/>
      <w:r>
        <w:rPr>
          <w:rFonts w:hint="eastAsia" w:ascii="黑体" w:eastAsia="黑体" w:cs="Times New Roman"/>
          <w:bCs w:val="0"/>
          <w:color w:val="000000"/>
        </w:rPr>
        <w:t>二、机构设置</w:t>
      </w:r>
      <w:bookmarkEnd w:id="20"/>
      <w:bookmarkEnd w:id="21"/>
      <w:bookmarkEnd w:id="22"/>
    </w:p>
    <w:p>
      <w:pPr>
        <w:rPr>
          <w:rFonts w:ascii="仿宋" w:hAnsi="仿宋" w:eastAsia="仿宋"/>
          <w:color w:val="000000"/>
          <w:sz w:val="32"/>
          <w:szCs w:val="32"/>
        </w:rPr>
      </w:pPr>
      <w:r>
        <w:rPr>
          <w:rFonts w:ascii="仿宋" w:hAnsi="仿宋" w:eastAsia="仿宋"/>
          <w:color w:val="000000"/>
          <w:sz w:val="32"/>
          <w:szCs w:val="32"/>
        </w:rPr>
        <w:cr/>
      </w:r>
      <w:r>
        <w:rPr>
          <w:rFonts w:ascii="仿宋" w:hAnsi="仿宋" w:eastAsia="仿宋"/>
          <w:color w:val="000000"/>
          <w:sz w:val="32"/>
          <w:szCs w:val="32"/>
        </w:rPr>
        <w:t>科室：药房 治疗室 计免室 HIV实验室 儿童保健室 病房 办公室。</w:t>
      </w:r>
      <w:r>
        <w:rPr>
          <w:rFonts w:ascii="仿宋" w:hAnsi="仿宋" w:eastAsia="仿宋"/>
          <w:color w:val="000000"/>
          <w:sz w:val="32"/>
          <w:szCs w:val="32"/>
        </w:rPr>
        <w:cr/>
      </w:r>
      <w:r>
        <w:rPr>
          <w:rFonts w:ascii="仿宋" w:hAnsi="仿宋" w:eastAsia="仿宋"/>
          <w:color w:val="000000"/>
          <w:sz w:val="32"/>
          <w:szCs w:val="32"/>
        </w:rPr>
        <w:t>人员：医生3名   护士3名  药学人员1名  驾驶员1名</w:t>
      </w:r>
    </w:p>
    <w:p>
      <w:pPr>
        <w:widowControl/>
        <w:jc w:val="left"/>
        <w:rPr>
          <w:rFonts w:ascii="仿宋_GB2312" w:hAnsi="黑体" w:eastAsia="仿宋_GB2312"/>
          <w:b/>
          <w:bCs/>
          <w:color w:val="000000"/>
          <w:kern w:val="44"/>
          <w:sz w:val="44"/>
          <w:szCs w:val="44"/>
        </w:rPr>
      </w:pPr>
      <w:bookmarkStart w:id="23" w:name="_Toc15377204"/>
      <w:r>
        <w:rPr>
          <w:rFonts w:ascii="仿宋_GB2312" w:hAnsi="黑体" w:eastAsia="仿宋_GB2312"/>
          <w:color w:val="000000"/>
        </w:rPr>
        <w:br w:type="page"/>
      </w:r>
    </w:p>
    <w:p>
      <w:pPr>
        <w:pStyle w:val="2"/>
        <w:jc w:val="center"/>
        <w:rPr>
          <w:rFonts w:ascii="黑体" w:hAnsi="黑体" w:eastAsia="黑体" w:cs="黑体"/>
        </w:rPr>
      </w:pPr>
      <w:bookmarkStart w:id="24" w:name="_Toc111208498"/>
      <w:bookmarkStart w:id="25" w:name="_Toc3119"/>
      <w:r>
        <w:rPr>
          <w:rFonts w:hint="eastAsia" w:ascii="黑体" w:hAnsi="黑体" w:eastAsia="黑体" w:cs="黑体"/>
        </w:rPr>
        <w:t>第二部分</w:t>
      </w:r>
      <w:r>
        <w:rPr>
          <w:rFonts w:ascii="黑体" w:hAnsi="黑体" w:eastAsia="黑体" w:cs="黑体"/>
        </w:rPr>
        <w:t xml:space="preserve"> </w:t>
      </w:r>
      <w:r>
        <w:rPr>
          <w:rFonts w:hint="eastAsia" w:ascii="黑体" w:hAnsi="黑体" w:eastAsia="黑体" w:cs="黑体"/>
        </w:rPr>
        <w:t>2022</w:t>
      </w:r>
      <w:r>
        <w:rPr>
          <w:rFonts w:ascii="黑体" w:hAnsi="黑体" w:eastAsia="黑体" w:cs="黑体"/>
          <w:u w:color="auto"/>
        </w:rPr>
        <w:t>年度部门决算情况说明</w:t>
      </w:r>
      <w:bookmarkEnd w:id="23"/>
      <w:bookmarkEnd w:id="24"/>
      <w:bookmarkEnd w:id="25"/>
    </w:p>
    <w:p>
      <w:pPr>
        <w:pStyle w:val="3"/>
        <w:ind w:firstLine="643" w:firstLineChars="200"/>
        <w:rPr>
          <w:rFonts w:ascii="黑体" w:eastAsia="黑体" w:cs="Times New Roman"/>
          <w:bCs w:val="0"/>
          <w:color w:val="000000"/>
        </w:rPr>
      </w:pPr>
      <w:bookmarkStart w:id="26" w:name="_Toc15377205"/>
      <w:bookmarkStart w:id="27" w:name="_Toc21486"/>
      <w:bookmarkStart w:id="28" w:name="_Toc111208499"/>
      <w:r>
        <w:rPr>
          <w:rFonts w:hint="eastAsia" w:ascii="黑体" w:eastAsia="黑体" w:cs="Times New Roman"/>
          <w:bCs w:val="0"/>
          <w:color w:val="000000"/>
        </w:rPr>
        <w:t>一、收入支出决算总体情况说</w:t>
      </w:r>
      <w:bookmarkEnd w:id="26"/>
      <w:r>
        <w:rPr>
          <w:rFonts w:hint="eastAsia" w:ascii="黑体" w:eastAsia="黑体" w:cs="Times New Roman"/>
          <w:bCs w:val="0"/>
          <w:color w:val="000000"/>
        </w:rPr>
        <w:t>明</w:t>
      </w:r>
      <w:bookmarkEnd w:id="27"/>
      <w:bookmarkEnd w:id="28"/>
    </w:p>
    <w:p>
      <w:pPr>
        <w:spacing w:line="600" w:lineRule="exact"/>
        <w:ind w:firstLine="640" w:firstLineChars="200"/>
        <w:rPr>
          <w:rFonts w:ascii="仿宋_GB2312" w:hAnsi="仿宋" w:eastAsia="仿宋_GB2312"/>
          <w:color w:val="00B0F0"/>
          <w:sz w:val="32"/>
          <w:szCs w:val="32"/>
        </w:rPr>
      </w:pPr>
      <w:r>
        <w:rPr>
          <w:rFonts w:ascii="仿宋" w:hAnsi="仿宋" w:eastAsia="仿宋"/>
          <w:color w:val="000000"/>
          <w:sz w:val="32"/>
          <w:szCs w:val="32"/>
        </w:rPr>
        <w:t>2022</w:t>
      </w:r>
      <w:r>
        <w:rPr>
          <w:rFonts w:hint="eastAsia" w:ascii="仿宋" w:hAnsi="仿宋" w:eastAsia="仿宋"/>
          <w:color w:val="000000"/>
          <w:sz w:val="32"/>
          <w:szCs w:val="32"/>
        </w:rPr>
        <w:t>年度收、支总计</w:t>
      </w:r>
      <w:r>
        <w:rPr>
          <w:rFonts w:ascii="仿宋" w:hAnsi="仿宋" w:eastAsia="仿宋"/>
          <w:color w:val="000000"/>
          <w:sz w:val="32"/>
          <w:szCs w:val="32"/>
        </w:rPr>
        <w:t>217.91</w:t>
      </w:r>
      <w:r>
        <w:rPr>
          <w:rFonts w:hint="eastAsia" w:ascii="仿宋" w:hAnsi="仿宋" w:eastAsia="仿宋"/>
          <w:color w:val="000000"/>
          <w:sz w:val="32"/>
          <w:szCs w:val="32"/>
        </w:rPr>
        <w:t>万元。与</w:t>
      </w:r>
      <w:r>
        <w:rPr>
          <w:rFonts w:ascii="仿宋" w:hAnsi="仿宋" w:eastAsia="仿宋"/>
          <w:color w:val="000000"/>
          <w:sz w:val="32"/>
          <w:szCs w:val="32"/>
        </w:rPr>
        <w:t>2021</w:t>
      </w:r>
      <w:r>
        <w:rPr>
          <w:rFonts w:hint="eastAsia" w:ascii="仿宋" w:hAnsi="仿宋" w:eastAsia="仿宋"/>
          <w:color w:val="000000"/>
          <w:sz w:val="32"/>
          <w:szCs w:val="32"/>
        </w:rPr>
        <w:t>年相比，收、支总计各</w:t>
      </w:r>
      <w:r>
        <w:rPr>
          <w:rFonts w:ascii="仿宋" w:hAnsi="仿宋" w:eastAsia="仿宋"/>
          <w:color w:val="000000"/>
          <w:sz w:val="32"/>
          <w:szCs w:val="32"/>
        </w:rPr>
        <w:t>增加0.00</w:t>
      </w:r>
      <w:r>
        <w:rPr>
          <w:rFonts w:hint="eastAsia" w:ascii="仿宋" w:hAnsi="仿宋" w:eastAsia="仿宋"/>
          <w:color w:val="000000"/>
          <w:sz w:val="32"/>
          <w:szCs w:val="32"/>
        </w:rPr>
        <w:t>万元，</w:t>
      </w:r>
      <w:r>
        <w:rPr>
          <w:rFonts w:ascii="仿宋" w:hAnsi="仿宋" w:eastAsia="仿宋"/>
          <w:color w:val="000000"/>
          <w:sz w:val="32"/>
          <w:szCs w:val="32"/>
        </w:rPr>
        <w:t>增加0.00</w:t>
      </w:r>
      <w:r>
        <w:rPr>
          <w:rFonts w:hint="eastAsia" w:ascii="仿宋" w:hAnsi="仿宋" w:eastAsia="仿宋"/>
          <w:color w:val="000000"/>
          <w:sz w:val="32"/>
          <w:szCs w:val="32"/>
        </w:rPr>
        <w:t xml:space="preserve"> %。</w:t>
      </w:r>
      <w:r>
        <w:rPr>
          <w:rFonts w:ascii="仿宋" w:hAnsi="仿宋" w:eastAsia="仿宋"/>
          <w:color w:val="000000"/>
          <w:sz w:val="32"/>
          <w:u w:color="auto"/>
        </w:rPr>
        <w:t>主要变动原因是上年统一上报，今年分单位上报无上年数</w:t>
      </w:r>
    </w:p>
    <w:p>
      <w:pPr>
        <w:spacing w:line="600" w:lineRule="exact"/>
        <w:ind w:firstLine="640" w:firstLineChars="200"/>
        <w:jc w:val="right"/>
        <w:rPr>
          <w:rFonts w:ascii="仿宋_GB2312" w:hAnsi="仿宋" w:eastAsia="仿宋_GB2312"/>
          <w:color w:val="000000" w:themeColor="text1"/>
          <w:sz w:val="28"/>
          <w:szCs w:val="28"/>
          <w14:textFill>
            <w14:solidFill>
              <w14:schemeClr w14:val="tx1"/>
            </w14:solidFill>
          </w14:textFill>
        </w:rPr>
      </w:pPr>
      <w:r>
        <w:rPr>
          <w:rFonts w:hint="eastAsia" w:ascii="仿宋" w:hAnsi="仿宋" w:eastAsia="仿宋"/>
          <w:color w:val="000000"/>
          <w:sz w:val="32"/>
          <w:szCs w:val="32"/>
        </w:rPr>
        <w:t>（图1：收、支决算总计变动情况图）</w:t>
      </w:r>
    </w:p>
    <w:p>
      <w:pPr>
        <w:spacing w:line="600" w:lineRule="exact"/>
        <w:ind w:firstLine="560" w:firstLineChars="200"/>
        <w:jc w:val="center"/>
        <w:rPr>
          <w:rFonts w:ascii="仿宋_GB2312" w:eastAsia="仿宋_GB2312"/>
          <w:color w:val="000000"/>
          <w:sz w:val="28"/>
          <w:szCs w:val="28"/>
        </w:rPr>
      </w:pPr>
    </w:p>
    <w:p>
      <w:pPr>
        <w:pStyle w:val="5"/>
      </w:pPr>
      <w:r>
        <w:drawing>
          <wp:inline distT="0" distB="0" distL="114300" distR="114300">
            <wp:extent cx="5343525" cy="2933700"/>
            <wp:effectExtent l="0" t="0" r="9525" b="0"/>
            <wp:docPr id="1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3"/>
        <w:ind w:firstLine="643" w:firstLineChars="200"/>
        <w:rPr>
          <w:rFonts w:ascii="黑体" w:eastAsia="黑体" w:cs="Times New Roman"/>
          <w:bCs w:val="0"/>
          <w:color w:val="000000"/>
        </w:rPr>
      </w:pPr>
      <w:bookmarkStart w:id="29" w:name="_Toc15377206"/>
      <w:bookmarkStart w:id="30" w:name="_Toc24609"/>
      <w:bookmarkStart w:id="31" w:name="_Toc111208500"/>
      <w:r>
        <w:rPr>
          <w:rFonts w:hint="eastAsia" w:ascii="黑体" w:eastAsia="黑体" w:cs="Times New Roman"/>
          <w:bCs w:val="0"/>
          <w:color w:val="000000"/>
        </w:rPr>
        <w:t>二、收入决算情况说明</w:t>
      </w:r>
      <w:bookmarkEnd w:id="29"/>
      <w:bookmarkEnd w:id="30"/>
      <w:bookmarkEnd w:id="31"/>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2022</w:t>
      </w:r>
      <w:r>
        <w:rPr>
          <w:rFonts w:ascii="仿宋" w:hAnsi="仿宋" w:eastAsia="仿宋"/>
          <w:color w:val="000000"/>
          <w:sz w:val="32"/>
          <w:u w:color="auto"/>
        </w:rPr>
        <w:t>年本年收入合计217.91万元，其中：一般公共预算财政拨款收入217.91万元，占100.00%；政府性基金预算财政拨款收入0.00万元，占0.00%；国有资本经营预算财政拨款收入0.00万元，占0.00%；上级补助收入0.00万元，占0.00%；事业收入0.00万元，占%；经营收入0.00万元，占0.00%；附属单位上缴收入0.00万元，占0.00%；其他收入0.00万元，占0.00%。</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（图2：收入决算结构图）</w:t>
      </w:r>
    </w:p>
    <w:p>
      <w:pPr>
        <w:pStyle w:val="13"/>
        <w:ind w:left="1060" w:hanging="640"/>
        <w:jc w:val="center"/>
      </w:pPr>
      <w:r>
        <w:rPr>
          <w:rFonts w:hint="eastAsia" w:ascii="仿宋_GB2312" w:eastAsia="仿宋_GB2312"/>
          <w:color w:val="FF0000"/>
          <w:sz w:val="32"/>
          <w:szCs w:val="32"/>
        </w:rPr>
        <w:drawing>
          <wp:inline distT="0" distB="0" distL="114300" distR="114300">
            <wp:extent cx="5332730" cy="3400425"/>
            <wp:effectExtent l="0" t="0" r="1270" b="952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3"/>
        <w:ind w:firstLine="643" w:firstLineChars="200"/>
        <w:rPr>
          <w:rFonts w:ascii="黑体" w:eastAsia="黑体" w:cs="Times New Roman"/>
          <w:bCs w:val="0"/>
          <w:color w:val="000000"/>
        </w:rPr>
      </w:pPr>
      <w:bookmarkStart w:id="32" w:name="_Toc8745"/>
      <w:bookmarkStart w:id="33" w:name="_Toc15377207"/>
      <w:bookmarkStart w:id="34" w:name="_Toc111208501"/>
      <w:r>
        <w:rPr>
          <w:rFonts w:hint="eastAsia" w:ascii="黑体" w:eastAsia="黑体" w:cs="Times New Roman"/>
          <w:bCs w:val="0"/>
          <w:color w:val="000000"/>
        </w:rPr>
        <w:t>三、支出决算情况说明</w:t>
      </w:r>
      <w:bookmarkEnd w:id="32"/>
      <w:bookmarkEnd w:id="33"/>
      <w:bookmarkEnd w:id="34"/>
    </w:p>
    <w:p>
      <w:pPr>
        <w:pStyle w:val="5"/>
        <w:rPr>
          <w:rFonts w:ascii="仿宋" w:hAnsi="仿宋" w:eastAsia="仿宋"/>
          <w:color w:val="000000"/>
          <w:sz w:val="32"/>
          <w:szCs w:val="32"/>
        </w:rPr>
      </w:pPr>
      <w:r>
        <w:rPr>
          <w:rFonts w:hint="eastAsia" w:ascii="仿宋" w:hAnsi="仿宋" w:eastAsia="仿宋"/>
          <w:color w:val="000000"/>
          <w:sz w:val="32"/>
          <w:szCs w:val="32"/>
        </w:rPr>
        <w:t>2022</w:t>
      </w:r>
      <w:r>
        <w:rPr>
          <w:rFonts w:ascii="仿宋" w:hAnsi="仿宋" w:eastAsia="仿宋"/>
          <w:color w:val="000000"/>
          <w:sz w:val="32"/>
          <w:szCs w:val="32"/>
        </w:rPr>
        <w:t>年本年支出合计</w:t>
      </w:r>
      <w:r>
        <w:rPr>
          <w:rFonts w:hint="eastAsia" w:ascii="仿宋" w:hAnsi="仿宋" w:eastAsia="仿宋"/>
          <w:color w:val="000000"/>
          <w:sz w:val="32"/>
          <w:szCs w:val="32"/>
        </w:rPr>
        <w:t>217.91</w:t>
      </w:r>
      <w:r>
        <w:rPr>
          <w:rFonts w:ascii="仿宋" w:hAnsi="仿宋" w:eastAsia="仿宋"/>
          <w:color w:val="000000"/>
          <w:sz w:val="32"/>
          <w:szCs w:val="32"/>
        </w:rPr>
        <w:t>万元，其中：基本支出</w:t>
      </w:r>
      <w:r>
        <w:rPr>
          <w:rFonts w:hint="eastAsia" w:ascii="仿宋" w:hAnsi="仿宋" w:eastAsia="仿宋"/>
          <w:color w:val="000000"/>
          <w:sz w:val="32"/>
          <w:szCs w:val="32"/>
        </w:rPr>
        <w:t>185.13</w:t>
      </w:r>
      <w:r>
        <w:rPr>
          <w:rFonts w:ascii="仿宋" w:hAnsi="仿宋" w:eastAsia="仿宋"/>
          <w:color w:val="000000"/>
          <w:sz w:val="32"/>
          <w:szCs w:val="32"/>
        </w:rPr>
        <w:t>万元，占</w:t>
      </w:r>
      <w:r>
        <w:rPr>
          <w:rFonts w:hint="eastAsia" w:ascii="仿宋" w:hAnsi="仿宋" w:eastAsia="仿宋"/>
          <w:color w:val="000000"/>
          <w:sz w:val="32"/>
          <w:szCs w:val="32"/>
        </w:rPr>
        <w:t>84.96</w:t>
      </w:r>
      <w:r>
        <w:rPr>
          <w:rFonts w:ascii="仿宋" w:hAnsi="仿宋" w:eastAsia="仿宋"/>
          <w:color w:val="000000"/>
          <w:sz w:val="32"/>
          <w:szCs w:val="32"/>
        </w:rPr>
        <w:t>%；项目支出</w:t>
      </w:r>
      <w:r>
        <w:rPr>
          <w:rFonts w:hint="eastAsia" w:ascii="仿宋" w:hAnsi="仿宋" w:eastAsia="仿宋"/>
          <w:color w:val="000000"/>
          <w:sz w:val="32"/>
          <w:szCs w:val="32"/>
        </w:rPr>
        <w:t>32.78</w:t>
      </w:r>
      <w:r>
        <w:rPr>
          <w:rFonts w:ascii="仿宋" w:hAnsi="仿宋" w:eastAsia="仿宋"/>
          <w:color w:val="000000"/>
          <w:sz w:val="32"/>
          <w:szCs w:val="32"/>
        </w:rPr>
        <w:t>万元，占</w:t>
      </w:r>
      <w:r>
        <w:rPr>
          <w:rFonts w:hint="eastAsia" w:ascii="仿宋" w:hAnsi="仿宋" w:eastAsia="仿宋"/>
          <w:color w:val="000000"/>
          <w:sz w:val="32"/>
          <w:szCs w:val="32"/>
        </w:rPr>
        <w:t>15.04</w:t>
      </w:r>
      <w:r>
        <w:rPr>
          <w:rFonts w:ascii="仿宋" w:hAnsi="仿宋" w:eastAsia="仿宋"/>
          <w:color w:val="000000"/>
          <w:sz w:val="32"/>
          <w:szCs w:val="32"/>
        </w:rPr>
        <w:t>%；上缴上级支出</w:t>
      </w:r>
      <w:r>
        <w:rPr>
          <w:rFonts w:hint="eastAsia" w:ascii="仿宋" w:hAnsi="仿宋" w:eastAsia="仿宋"/>
          <w:color w:val="000000"/>
          <w:sz w:val="32"/>
          <w:szCs w:val="32"/>
        </w:rPr>
        <w:t>0.00</w:t>
      </w:r>
      <w:r>
        <w:rPr>
          <w:rFonts w:ascii="仿宋" w:hAnsi="仿宋" w:eastAsia="仿宋"/>
          <w:color w:val="000000"/>
          <w:sz w:val="32"/>
          <w:szCs w:val="32"/>
        </w:rPr>
        <w:t>万元，占</w:t>
      </w:r>
      <w:r>
        <w:rPr>
          <w:rFonts w:hint="eastAsia" w:ascii="仿宋" w:hAnsi="仿宋" w:eastAsia="仿宋"/>
          <w:color w:val="000000"/>
          <w:sz w:val="32"/>
          <w:szCs w:val="32"/>
        </w:rPr>
        <w:t>0.00</w:t>
      </w:r>
      <w:r>
        <w:rPr>
          <w:rFonts w:ascii="仿宋" w:hAnsi="仿宋" w:eastAsia="仿宋"/>
          <w:color w:val="000000"/>
          <w:sz w:val="32"/>
          <w:szCs w:val="32"/>
        </w:rPr>
        <w:t>%；经营支出</w:t>
      </w:r>
      <w:r>
        <w:rPr>
          <w:rFonts w:hint="eastAsia" w:ascii="仿宋" w:hAnsi="仿宋" w:eastAsia="仿宋"/>
          <w:color w:val="000000"/>
          <w:sz w:val="32"/>
          <w:szCs w:val="32"/>
        </w:rPr>
        <w:t>0.00</w:t>
      </w:r>
      <w:r>
        <w:rPr>
          <w:rFonts w:ascii="仿宋" w:hAnsi="仿宋" w:eastAsia="仿宋"/>
          <w:color w:val="000000"/>
          <w:sz w:val="32"/>
          <w:szCs w:val="32"/>
        </w:rPr>
        <w:t>万元，占</w:t>
      </w:r>
      <w:r>
        <w:rPr>
          <w:rFonts w:hint="eastAsia" w:ascii="仿宋" w:hAnsi="仿宋" w:eastAsia="仿宋"/>
          <w:color w:val="000000"/>
          <w:sz w:val="32"/>
          <w:szCs w:val="32"/>
        </w:rPr>
        <w:t>0.00</w:t>
      </w:r>
      <w:r>
        <w:rPr>
          <w:rFonts w:ascii="仿宋" w:hAnsi="仿宋" w:eastAsia="仿宋"/>
          <w:color w:val="000000"/>
          <w:sz w:val="32"/>
          <w:szCs w:val="32"/>
        </w:rPr>
        <w:t>%；对附属单位补助支出</w:t>
      </w:r>
      <w:r>
        <w:rPr>
          <w:rFonts w:hint="eastAsia" w:ascii="仿宋" w:hAnsi="仿宋" w:eastAsia="仿宋"/>
          <w:color w:val="000000"/>
          <w:sz w:val="32"/>
          <w:szCs w:val="32"/>
        </w:rPr>
        <w:t>0.00</w:t>
      </w:r>
      <w:r>
        <w:rPr>
          <w:rFonts w:ascii="仿宋" w:hAnsi="仿宋" w:eastAsia="仿宋"/>
          <w:color w:val="000000"/>
          <w:sz w:val="32"/>
          <w:szCs w:val="32"/>
        </w:rPr>
        <w:t>万元，占</w:t>
      </w:r>
      <w:r>
        <w:rPr>
          <w:rFonts w:hint="eastAsia" w:ascii="仿宋" w:hAnsi="仿宋" w:eastAsia="仿宋"/>
          <w:color w:val="000000"/>
          <w:sz w:val="32"/>
          <w:szCs w:val="32"/>
        </w:rPr>
        <w:t>0.00</w:t>
      </w:r>
      <w:r>
        <w:rPr>
          <w:rFonts w:ascii="仿宋" w:hAnsi="仿宋" w:eastAsia="仿宋"/>
          <w:color w:val="000000"/>
          <w:sz w:val="32"/>
          <w:szCs w:val="32"/>
        </w:rPr>
        <w:t>%。</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（图3：支出决算结构图）</w:t>
      </w:r>
    </w:p>
    <w:p>
      <w:pPr>
        <w:jc w:val="center"/>
        <w:rPr>
          <w:rFonts w:ascii="仿宋_GB2312" w:eastAsia="仿宋_GB2312"/>
          <w:color w:val="FF0000"/>
          <w:sz w:val="32"/>
          <w:szCs w:val="32"/>
        </w:rPr>
      </w:pPr>
      <w:r>
        <w:rPr>
          <w:rFonts w:hint="eastAsia" w:ascii="仿宋_GB2312" w:eastAsia="仿宋_GB2312"/>
          <w:color w:val="FF0000"/>
          <w:sz w:val="32"/>
          <w:szCs w:val="32"/>
        </w:rPr>
        <w:drawing>
          <wp:inline distT="0" distB="0" distL="114300" distR="114300">
            <wp:extent cx="5304155" cy="3429000"/>
            <wp:effectExtent l="0" t="0" r="10795" b="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5"/>
      </w:pPr>
    </w:p>
    <w:p>
      <w:pPr>
        <w:pStyle w:val="3"/>
        <w:ind w:firstLine="643" w:firstLineChars="200"/>
        <w:rPr>
          <w:rFonts w:ascii="黑体" w:eastAsia="黑体" w:cs="Times New Roman"/>
          <w:bCs w:val="0"/>
          <w:color w:val="000000"/>
        </w:rPr>
      </w:pPr>
      <w:bookmarkStart w:id="35" w:name="_Toc13661"/>
      <w:bookmarkStart w:id="36" w:name="_Toc111208502"/>
      <w:bookmarkStart w:id="37" w:name="_Toc15377208"/>
      <w:r>
        <w:rPr>
          <w:rFonts w:hint="eastAsia" w:ascii="黑体" w:eastAsia="黑体" w:cs="Times New Roman"/>
          <w:bCs w:val="0"/>
          <w:color w:val="000000"/>
        </w:rPr>
        <w:t>四、财政拨款收入支出决算总体情况说明</w:t>
      </w:r>
      <w:bookmarkEnd w:id="35"/>
      <w:bookmarkEnd w:id="36"/>
      <w:bookmarkEnd w:id="37"/>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2022</w:t>
      </w:r>
      <w:r>
        <w:rPr>
          <w:rFonts w:ascii="仿宋" w:hAnsi="仿宋" w:eastAsia="仿宋"/>
          <w:color w:val="000000"/>
          <w:sz w:val="32"/>
          <w:u w:color="auto"/>
        </w:rPr>
        <w:t>年财政拨款收、支总计217.91万元。与2021年相比，财政拨款收、支总计各增加0.00万元，增加0.00 %。主要变动原因是上年统一上报，今年分单位上报无上年数</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（图4：财政拨款收、支决算总计变动情况）</w:t>
      </w:r>
    </w:p>
    <w:p>
      <w:pPr>
        <w:pStyle w:val="5"/>
        <w:ind w:firstLine="0"/>
      </w:pPr>
    </w:p>
    <w:p>
      <w:pPr>
        <w:pStyle w:val="5"/>
        <w:jc w:val="left"/>
      </w:pPr>
      <w:r>
        <w:rPr>
          <w:rFonts w:hint="eastAsia" w:ascii="仿宋_GB2312" w:hAnsi="仿宋" w:eastAsia="仿宋_GB2312"/>
          <w:color w:val="000000"/>
          <w:sz w:val="32"/>
          <w:szCs w:val="32"/>
        </w:rPr>
        <w:drawing>
          <wp:inline distT="0" distB="0" distL="0" distR="0">
            <wp:extent cx="4981575" cy="3171825"/>
            <wp:effectExtent l="0" t="0" r="9525" b="9525"/>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5"/>
        <w:jc w:val="center"/>
      </w:pPr>
    </w:p>
    <w:p>
      <w:pPr>
        <w:pStyle w:val="3"/>
        <w:ind w:firstLine="643" w:firstLineChars="200"/>
        <w:rPr>
          <w:rFonts w:ascii="黑体" w:eastAsia="黑体" w:cs="Times New Roman"/>
          <w:bCs w:val="0"/>
          <w:color w:val="000000"/>
        </w:rPr>
      </w:pPr>
      <w:bookmarkStart w:id="38" w:name="_Toc15377209"/>
      <w:bookmarkStart w:id="39" w:name="_Toc2126"/>
      <w:bookmarkStart w:id="40" w:name="_Toc111208503"/>
      <w:r>
        <w:rPr>
          <w:rFonts w:hint="eastAsia" w:ascii="黑体" w:eastAsia="黑体" w:cs="Times New Roman"/>
          <w:bCs w:val="0"/>
          <w:color w:val="000000"/>
        </w:rPr>
        <w:t>五、一般公共预算财政拨款支出决算情况说</w:t>
      </w:r>
      <w:bookmarkEnd w:id="38"/>
      <w:r>
        <w:rPr>
          <w:rFonts w:hint="eastAsia" w:ascii="黑体" w:eastAsia="黑体" w:cs="Times New Roman"/>
          <w:bCs w:val="0"/>
          <w:color w:val="000000"/>
        </w:rPr>
        <w:t>明</w:t>
      </w:r>
      <w:bookmarkEnd w:id="39"/>
      <w:bookmarkEnd w:id="40"/>
    </w:p>
    <w:p>
      <w:pPr>
        <w:spacing w:line="600" w:lineRule="exact"/>
        <w:ind w:firstLine="643" w:firstLineChars="200"/>
        <w:outlineLvl w:val="2"/>
        <w:rPr>
          <w:rFonts w:ascii="仿宋" w:hAnsi="仿宋" w:eastAsia="仿宋"/>
          <w:b/>
          <w:color w:val="000000"/>
          <w:sz w:val="32"/>
          <w:szCs w:val="32"/>
        </w:rPr>
      </w:pPr>
      <w:bookmarkStart w:id="41" w:name="_Toc15377210"/>
      <w:r>
        <w:rPr>
          <w:rFonts w:hint="eastAsia" w:ascii="仿宋" w:hAnsi="仿宋" w:eastAsia="仿宋"/>
          <w:b/>
          <w:color w:val="000000"/>
          <w:sz w:val="32"/>
          <w:szCs w:val="32"/>
        </w:rPr>
        <w:t>（一）一般公共预算财政拨款支出决算总体情况</w:t>
      </w:r>
      <w:bookmarkEnd w:id="41"/>
    </w:p>
    <w:p>
      <w:pPr>
        <w:spacing w:line="600" w:lineRule="exact"/>
        <w:ind w:firstLine="640" w:firstLineChars="200"/>
        <w:rPr>
          <w:rFonts w:ascii="仿宋_GB2312" w:hAnsi="仿宋" w:eastAsia="仿宋_GB2312"/>
          <w:color w:val="000000"/>
          <w:sz w:val="32"/>
          <w:szCs w:val="32"/>
        </w:rPr>
      </w:pPr>
      <w:bookmarkStart w:id="42" w:name="_Toc15377211"/>
      <w:r>
        <w:rPr>
          <w:rFonts w:hint="eastAsia" w:ascii="仿宋" w:hAnsi="仿宋" w:eastAsia="仿宋"/>
          <w:color w:val="000000"/>
          <w:sz w:val="32"/>
          <w:szCs w:val="32"/>
        </w:rPr>
        <w:t>2022</w:t>
      </w:r>
      <w:r>
        <w:rPr>
          <w:rFonts w:ascii="仿宋" w:hAnsi="仿宋" w:eastAsia="仿宋"/>
          <w:color w:val="000000"/>
          <w:sz w:val="32"/>
          <w:u w:color="auto"/>
        </w:rPr>
        <w:t>年一般公共预算财政拨款支出217.91</w:t>
      </w:r>
      <w:r>
        <w:rPr>
          <w:rFonts w:hint="eastAsia" w:ascii="仿宋" w:hAnsi="仿宋" w:eastAsia="仿宋"/>
          <w:color w:val="000000"/>
          <w:sz w:val="32"/>
          <w:szCs w:val="32"/>
        </w:rPr>
        <w:t>万元，占本年支出合计的</w:t>
      </w:r>
      <w:r>
        <w:rPr>
          <w:rFonts w:ascii="仿宋" w:hAnsi="仿宋" w:eastAsia="仿宋"/>
          <w:color w:val="000000"/>
          <w:sz w:val="32"/>
          <w:u w:color="auto"/>
        </w:rPr>
        <w:t>100.00</w:t>
      </w:r>
      <w:r>
        <w:rPr>
          <w:rFonts w:hint="eastAsia" w:ascii="仿宋" w:hAnsi="仿宋" w:eastAsia="仿宋"/>
          <w:color w:val="000000"/>
          <w:sz w:val="32"/>
          <w:szCs w:val="32"/>
        </w:rPr>
        <w:t>%。与</w:t>
      </w:r>
      <w:r>
        <w:rPr>
          <w:rFonts w:ascii="仿宋" w:hAnsi="仿宋" w:eastAsia="仿宋"/>
          <w:color w:val="000000"/>
          <w:sz w:val="32"/>
          <w:u w:color="auto"/>
        </w:rPr>
        <w:t>2021相比，一般公共预算财政拨款增加217.91</w:t>
      </w:r>
      <w:r>
        <w:rPr>
          <w:rFonts w:hint="eastAsia" w:ascii="仿宋" w:hAnsi="仿宋" w:eastAsia="仿宋"/>
          <w:color w:val="000000"/>
          <w:sz w:val="32"/>
          <w:szCs w:val="32"/>
        </w:rPr>
        <w:t>万元，</w:t>
      </w:r>
      <w:r>
        <w:rPr>
          <w:rFonts w:ascii="仿宋" w:hAnsi="仿宋" w:eastAsia="仿宋"/>
          <w:color w:val="000000"/>
          <w:sz w:val="32"/>
          <w:u w:color="auto"/>
        </w:rPr>
        <w:t>增加100.00</w:t>
      </w:r>
      <w:r>
        <w:rPr>
          <w:rFonts w:hint="eastAsia" w:ascii="仿宋" w:hAnsi="仿宋" w:eastAsia="仿宋"/>
          <w:color w:val="000000"/>
          <w:sz w:val="32"/>
          <w:szCs w:val="32"/>
        </w:rPr>
        <w:t xml:space="preserve"> %。</w:t>
      </w:r>
      <w:r>
        <w:rPr>
          <w:rFonts w:ascii="仿宋" w:hAnsi="仿宋" w:eastAsia="仿宋"/>
          <w:color w:val="000000"/>
          <w:sz w:val="32"/>
          <w:u w:color="auto"/>
        </w:rPr>
        <w:t>主要变动原因是上年统一上报，今年分单位上报无上年数</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（图5：一般公共预算财政拨款支出决算变动情况）</w:t>
      </w:r>
    </w:p>
    <w:p>
      <w:pPr>
        <w:pStyle w:val="5"/>
        <w:ind w:firstLine="0"/>
        <w:rPr>
          <w:rFonts w:ascii="仿宋_GB2312" w:hAnsi="仿宋" w:eastAsia="仿宋_GB2312"/>
          <w:b/>
          <w:color w:val="000000"/>
          <w:sz w:val="32"/>
          <w:szCs w:val="32"/>
        </w:rPr>
      </w:pPr>
    </w:p>
    <w:p>
      <w:pPr>
        <w:pStyle w:val="5"/>
        <w:ind w:firstLine="0"/>
        <w:rPr>
          <w:rFonts w:ascii="仿宋_GB2312" w:hAnsi="仿宋" w:eastAsia="仿宋_GB2312"/>
          <w:b/>
          <w:color w:val="000000"/>
          <w:sz w:val="32"/>
          <w:szCs w:val="32"/>
        </w:rPr>
      </w:pPr>
      <w:r>
        <w:rPr>
          <w:rFonts w:hint="eastAsia" w:ascii="仿宋_GB2312" w:hAnsi="仿宋" w:eastAsia="仿宋_GB2312"/>
          <w:b/>
          <w:color w:val="000000"/>
          <w:sz w:val="32"/>
          <w:szCs w:val="32"/>
        </w:rPr>
        <w:drawing>
          <wp:inline distT="0" distB="0" distL="0" distR="0">
            <wp:extent cx="4905375" cy="3569970"/>
            <wp:effectExtent l="0" t="0" r="9525" b="1143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Style w:val="5"/>
        <w:ind w:firstLine="0"/>
        <w:rPr>
          <w:rFonts w:ascii="仿宋_GB2312" w:hAnsi="仿宋" w:eastAsia="仿宋_GB2312"/>
          <w:b/>
          <w:color w:val="000000"/>
          <w:sz w:val="32"/>
          <w:szCs w:val="32"/>
        </w:rPr>
      </w:pPr>
    </w:p>
    <w:p>
      <w:pPr>
        <w:spacing w:line="600"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（二）一般公共预算财政拨款支出决算结构情况</w:t>
      </w:r>
      <w:bookmarkEnd w:id="42"/>
      <w:r>
        <w:rPr>
          <w:rFonts w:hint="eastAsia" w:ascii="仿宋" w:hAnsi="仿宋" w:eastAsia="仿宋"/>
          <w:b/>
          <w:color w:val="000000"/>
          <w:sz w:val="32"/>
          <w:szCs w:val="32"/>
        </w:rPr>
        <w:t>（一般公共预算收支表）</w:t>
      </w:r>
    </w:p>
    <w:p>
      <w:pPr>
        <w:spacing w:line="600"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 w:hAnsi="仿宋" w:eastAsia="仿宋"/>
          <w:color w:val="000000"/>
          <w:sz w:val="32"/>
          <w:szCs w:val="32"/>
        </w:rPr>
        <w:t>2022</w:t>
      </w:r>
      <w:r>
        <w:rPr>
          <w:rFonts w:ascii="仿宋" w:hAnsi="仿宋" w:eastAsia="仿宋"/>
          <w:color w:val="000000"/>
          <w:sz w:val="32"/>
          <w:u w:color="auto"/>
        </w:rPr>
        <w:t>年一般公共预算财政拨款支出217.91</w:t>
      </w:r>
      <w:r>
        <w:rPr>
          <w:rFonts w:hint="eastAsia" w:ascii="仿宋" w:hAnsi="仿宋" w:eastAsia="仿宋"/>
          <w:color w:val="000000"/>
          <w:sz w:val="32"/>
          <w:szCs w:val="32"/>
        </w:rPr>
        <w:t>万元，主要用于以下方面</w:t>
      </w:r>
      <w:r>
        <w:rPr>
          <w:rFonts w:hint="eastAsia" w:ascii="仿宋" w:hAnsi="仿宋" w:eastAsia="仿宋"/>
          <w:color w:val="000000"/>
          <w:sz w:val="32"/>
          <w:szCs w:val="32"/>
          <w:lang w:eastAsia="zh-CN"/>
        </w:rPr>
        <w:t>：</w:t>
      </w:r>
      <w:r>
        <w:rPr>
          <w:rFonts w:hint="eastAsia" w:ascii="仿宋" w:hAnsi="仿宋" w:eastAsia="仿宋"/>
          <w:color w:val="000000"/>
          <w:sz w:val="32"/>
          <w:szCs w:val="32"/>
        </w:rPr>
        <w:t xml:space="preserve"> </w:t>
      </w:r>
      <w:r>
        <w:rPr>
          <w:rFonts w:ascii="仿宋" w:hAnsi="仿宋" w:eastAsia="仿宋"/>
          <w:color w:val="000000"/>
          <w:sz w:val="32"/>
          <w:u w:color="auto"/>
        </w:rPr>
        <w:t>社会保障和就业支出28.53万元，占13.09%；卫生健康支出176.45万元，占80.97%；住房保障支出12.94万元，占5.94%。</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（图6：一般公共预算财政拨款支出决算结构）</w:t>
      </w:r>
      <w:bookmarkStart w:id="43" w:name="_Toc15377212"/>
    </w:p>
    <w:p>
      <w:pPr>
        <w:pStyle w:val="5"/>
      </w:pPr>
      <w:r>
        <w:drawing>
          <wp:inline distT="0" distB="0" distL="0" distR="0">
            <wp:extent cx="4333240" cy="2886075"/>
            <wp:effectExtent l="0" t="0" r="10160" b="952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（三）一般公共预算财政拨款支出决算具体情况</w:t>
      </w:r>
      <w:bookmarkEnd w:id="43"/>
    </w:p>
    <w:p>
      <w:pPr>
        <w:spacing w:line="600" w:lineRule="exact"/>
        <w:ind w:firstLine="640"/>
        <w:rPr>
          <w:rFonts w:ascii="仿宋" w:hAnsi="仿宋" w:eastAsia="仿宋"/>
          <w:color w:val="000000"/>
          <w:sz w:val="32"/>
          <w:szCs w:val="32"/>
        </w:rPr>
      </w:pPr>
      <w:bookmarkStart w:id="44" w:name="_Toc15377444"/>
      <w:bookmarkStart w:id="45" w:name="_Toc15378460"/>
      <w:bookmarkStart w:id="46" w:name="_Toc15377213"/>
      <w:r>
        <w:rPr>
          <w:rFonts w:hint="eastAsia" w:ascii="仿宋" w:hAnsi="仿宋" w:eastAsia="仿宋"/>
          <w:color w:val="000000"/>
          <w:sz w:val="32"/>
          <w:szCs w:val="32"/>
        </w:rPr>
        <w:t>2022</w:t>
      </w:r>
      <w:r>
        <w:rPr>
          <w:rFonts w:ascii="仿宋" w:hAnsi="仿宋" w:eastAsia="仿宋"/>
          <w:color w:val="000000"/>
          <w:sz w:val="32"/>
          <w:u w:color="auto"/>
        </w:rPr>
        <w:t>年一般公共预算支出决算数为217.91</w:t>
      </w:r>
      <w:r>
        <w:rPr>
          <w:rFonts w:hint="eastAsia" w:ascii="仿宋" w:hAnsi="仿宋" w:eastAsia="仿宋"/>
          <w:color w:val="000000"/>
          <w:sz w:val="32"/>
          <w:szCs w:val="32"/>
        </w:rPr>
        <w:t>万，完成预算100%。其中：</w:t>
      </w:r>
      <w:bookmarkEnd w:id="44"/>
      <w:bookmarkEnd w:id="45"/>
      <w:bookmarkEnd w:id="46"/>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1.社会保障和就业支出（208）行政事业单位养老支出（20805）机关事业单位基本养老保险缴费支出（2080505）支出决算13.56万元，完成预算100%。</w:t>
      </w:r>
      <w:r>
        <w:rPr>
          <w:rFonts w:hint="eastAsia" w:ascii="仿宋" w:hAnsi="仿宋" w:eastAsia="仿宋"/>
          <w:color w:val="000000"/>
          <w:sz w:val="32"/>
          <w:szCs w:val="32"/>
        </w:rPr>
        <w:cr/>
      </w:r>
      <w:r>
        <w:rPr>
          <w:rFonts w:hint="eastAsia" w:ascii="仿宋" w:hAnsi="仿宋" w:eastAsia="仿宋"/>
          <w:color w:val="000000"/>
          <w:sz w:val="32"/>
          <w:szCs w:val="32"/>
        </w:rPr>
        <w:t>2.社会保障和就业支出（208）行政事业单位养老支出（20805）机关事业单位职业年金缴费支出（2080506）支出决算14.96万元，完成预算100%。</w:t>
      </w:r>
      <w:r>
        <w:rPr>
          <w:rFonts w:hint="eastAsia" w:ascii="仿宋" w:hAnsi="仿宋" w:eastAsia="仿宋"/>
          <w:color w:val="000000"/>
          <w:sz w:val="32"/>
          <w:szCs w:val="32"/>
        </w:rPr>
        <w:cr/>
      </w:r>
      <w:r>
        <w:rPr>
          <w:rFonts w:hint="eastAsia" w:ascii="仿宋" w:hAnsi="仿宋" w:eastAsia="仿宋"/>
          <w:color w:val="000000"/>
          <w:sz w:val="32"/>
          <w:szCs w:val="32"/>
        </w:rPr>
        <w:t>3.卫生健康支出（210）基层医疗卫生机构（21003）乡镇卫生院（2100302）支出决算135.39万元，完成预算100%。</w:t>
      </w:r>
      <w:r>
        <w:rPr>
          <w:rFonts w:hint="eastAsia" w:ascii="仿宋" w:hAnsi="仿宋" w:eastAsia="仿宋"/>
          <w:color w:val="000000"/>
          <w:sz w:val="32"/>
          <w:szCs w:val="32"/>
        </w:rPr>
        <w:cr/>
      </w:r>
      <w:r>
        <w:rPr>
          <w:rFonts w:hint="eastAsia" w:ascii="仿宋" w:hAnsi="仿宋" w:eastAsia="仿宋"/>
          <w:color w:val="000000"/>
          <w:sz w:val="32"/>
          <w:szCs w:val="32"/>
        </w:rPr>
        <w:t>4.卫生健康支出（210）基层医疗卫生机构（21003）其他基层医疗卫生机构支出（2100399）支出决算3.81万元，完成预算100%。</w:t>
      </w:r>
      <w:r>
        <w:rPr>
          <w:rFonts w:hint="eastAsia" w:ascii="仿宋" w:hAnsi="仿宋" w:eastAsia="仿宋"/>
          <w:color w:val="000000"/>
          <w:sz w:val="32"/>
          <w:szCs w:val="32"/>
        </w:rPr>
        <w:cr/>
      </w:r>
      <w:r>
        <w:rPr>
          <w:rFonts w:hint="eastAsia" w:ascii="仿宋" w:hAnsi="仿宋" w:eastAsia="仿宋"/>
          <w:color w:val="000000"/>
          <w:sz w:val="32"/>
          <w:szCs w:val="32"/>
        </w:rPr>
        <w:t>5.卫生健康支出（210）公共卫生（21004）基本公共卫生服务（2100408）支出决算28.98万元，完成预算100%。</w:t>
      </w:r>
      <w:r>
        <w:rPr>
          <w:rFonts w:hint="eastAsia" w:ascii="仿宋" w:hAnsi="仿宋" w:eastAsia="仿宋"/>
          <w:color w:val="000000"/>
          <w:sz w:val="32"/>
          <w:szCs w:val="32"/>
        </w:rPr>
        <w:cr/>
      </w:r>
      <w:r>
        <w:rPr>
          <w:rFonts w:hint="eastAsia" w:ascii="仿宋" w:hAnsi="仿宋" w:eastAsia="仿宋"/>
          <w:color w:val="000000"/>
          <w:sz w:val="32"/>
          <w:szCs w:val="32"/>
        </w:rPr>
        <w:t>6.卫生健康支出（210）行政事业单位医疗（21011）事业单位医疗（2101102）支出决算8.28万元，完成预算100%。</w:t>
      </w:r>
      <w:r>
        <w:rPr>
          <w:rFonts w:hint="eastAsia" w:ascii="仿宋" w:hAnsi="仿宋" w:eastAsia="仿宋"/>
          <w:color w:val="000000"/>
          <w:sz w:val="32"/>
          <w:szCs w:val="32"/>
        </w:rPr>
        <w:cr/>
      </w:r>
      <w:r>
        <w:rPr>
          <w:rFonts w:hint="eastAsia" w:ascii="仿宋" w:hAnsi="仿宋" w:eastAsia="仿宋"/>
          <w:color w:val="000000"/>
          <w:sz w:val="32"/>
          <w:szCs w:val="32"/>
        </w:rPr>
        <w:t>7.住房保障支出（221）住房改革支出（22102）住房公积金（2210201）支出决算12.94万元，完成预算100%。</w:t>
      </w:r>
    </w:p>
    <w:p>
      <w:pPr>
        <w:pStyle w:val="3"/>
        <w:ind w:firstLine="643" w:firstLineChars="200"/>
        <w:rPr>
          <w:rFonts w:ascii="黑体" w:eastAsia="黑体" w:cs="Times New Roman"/>
          <w:b w:val="0"/>
          <w:color w:val="000000"/>
        </w:rPr>
      </w:pPr>
      <w:bookmarkStart w:id="47" w:name="_Toc15377214"/>
      <w:bookmarkStart w:id="48" w:name="_Toc111208504"/>
      <w:bookmarkStart w:id="49" w:name="_Toc24703"/>
      <w:r>
        <w:rPr>
          <w:rFonts w:hint="eastAsia" w:ascii="黑体" w:eastAsia="黑体" w:cs="Times New Roman"/>
          <w:bCs w:val="0"/>
          <w:color w:val="000000"/>
        </w:rPr>
        <w:t>六、一般公共预算财政拨款基本支出决算情况说</w:t>
      </w:r>
      <w:bookmarkEnd w:id="47"/>
      <w:r>
        <w:rPr>
          <w:rFonts w:hint="eastAsia" w:ascii="黑体" w:eastAsia="黑体" w:cs="Times New Roman"/>
          <w:bCs w:val="0"/>
          <w:color w:val="000000"/>
        </w:rPr>
        <w:t>明</w:t>
      </w:r>
      <w:bookmarkEnd w:id="48"/>
      <w:bookmarkEnd w:id="49"/>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2022</w:t>
      </w:r>
      <w:r>
        <w:rPr>
          <w:rFonts w:ascii="仿宋" w:hAnsi="仿宋" w:eastAsia="仿宋"/>
          <w:color w:val="000000"/>
          <w:sz w:val="32"/>
          <w:u w:color="auto"/>
        </w:rPr>
        <w:t>年一般公共预算财政拨款基本支出185.13</w:t>
      </w:r>
      <w:r>
        <w:rPr>
          <w:rFonts w:hint="eastAsia" w:ascii="仿宋" w:hAnsi="仿宋" w:eastAsia="仿宋"/>
          <w:color w:val="000000"/>
          <w:sz w:val="32"/>
          <w:szCs w:val="32"/>
        </w:rPr>
        <w:t>万元，其中：</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人员经费</w:t>
      </w:r>
      <w:r>
        <w:rPr>
          <w:rFonts w:ascii="仿宋" w:hAnsi="仿宋" w:eastAsia="仿宋"/>
          <w:color w:val="000000"/>
          <w:sz w:val="32"/>
          <w:u w:color="auto"/>
        </w:rPr>
        <w:t>183.43</w:t>
      </w:r>
      <w:r>
        <w:rPr>
          <w:rFonts w:hint="eastAsia" w:ascii="仿宋" w:hAnsi="仿宋" w:eastAsia="仿宋"/>
          <w:color w:val="000000"/>
          <w:sz w:val="32"/>
          <w:szCs w:val="32"/>
        </w:rPr>
        <w:t>万元，主要包括：</w:t>
      </w:r>
      <w:r>
        <w:rPr>
          <w:rFonts w:ascii="仿宋" w:hAnsi="仿宋" w:eastAsia="仿宋"/>
          <w:color w:val="000000"/>
          <w:sz w:val="32"/>
          <w:u w:color="auto"/>
        </w:rPr>
        <w:t>基本工资31.96万元、津贴补贴32.36万元、奖金49.20万元、绩效工资19.41万元、机关事业单位基本养老保险缴费13.56万元、职业年金缴费14.96万元、职工基本医疗保险缴费8.28万元、其他社会保障缴费0.75万元、住房公积金12.94万元、奖励金0.01万元。</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公用经费</w:t>
      </w:r>
      <w:r>
        <w:rPr>
          <w:rFonts w:ascii="仿宋" w:hAnsi="仿宋" w:eastAsia="仿宋"/>
          <w:color w:val="000000"/>
          <w:sz w:val="32"/>
          <w:u w:color="auto"/>
        </w:rPr>
        <w:t>1.70</w:t>
      </w:r>
      <w:r>
        <w:rPr>
          <w:rFonts w:hint="eastAsia" w:ascii="仿宋" w:hAnsi="仿宋" w:eastAsia="仿宋"/>
          <w:color w:val="000000"/>
          <w:sz w:val="32"/>
          <w:szCs w:val="32"/>
        </w:rPr>
        <w:t>万元，主要包括：</w:t>
      </w:r>
      <w:r>
        <w:rPr>
          <w:rFonts w:ascii="仿宋" w:hAnsi="仿宋" w:eastAsia="仿宋"/>
          <w:color w:val="000000"/>
          <w:sz w:val="32"/>
          <w:u w:color="auto"/>
        </w:rPr>
        <w:t>工会经费1.70万元</w:t>
      </w:r>
      <w:r>
        <w:rPr>
          <w:rFonts w:hint="eastAsia" w:ascii="仿宋" w:hAnsi="仿宋" w:eastAsia="仿宋"/>
          <w:color w:val="000000"/>
          <w:sz w:val="32"/>
          <w:szCs w:val="32"/>
        </w:rPr>
        <w:t>。</w:t>
      </w:r>
    </w:p>
    <w:p>
      <w:pPr>
        <w:pStyle w:val="3"/>
        <w:ind w:firstLine="643" w:firstLineChars="200"/>
        <w:rPr>
          <w:rFonts w:ascii="黑体" w:eastAsia="黑体" w:cs="Times New Roman"/>
          <w:bCs w:val="0"/>
          <w:color w:val="000000"/>
        </w:rPr>
      </w:pPr>
      <w:bookmarkStart w:id="50" w:name="_Toc15377215"/>
      <w:bookmarkStart w:id="51" w:name="_Toc16585"/>
      <w:bookmarkStart w:id="52" w:name="_Toc111208505"/>
      <w:r>
        <w:rPr>
          <w:rFonts w:hint="eastAsia" w:ascii="黑体" w:eastAsia="黑体" w:cs="Times New Roman"/>
          <w:bCs w:val="0"/>
          <w:color w:val="000000"/>
        </w:rPr>
        <w:t>七、“三公”经费财政拨款支出决算情况说明</w:t>
      </w:r>
      <w:bookmarkEnd w:id="50"/>
      <w:bookmarkEnd w:id="51"/>
      <w:bookmarkEnd w:id="52"/>
    </w:p>
    <w:p>
      <w:pPr>
        <w:spacing w:line="600" w:lineRule="exact"/>
        <w:ind w:firstLine="643" w:firstLineChars="200"/>
        <w:outlineLvl w:val="2"/>
        <w:rPr>
          <w:rFonts w:ascii="仿宋" w:hAnsi="仿宋" w:eastAsia="仿宋"/>
          <w:b/>
          <w:color w:val="000000"/>
          <w:sz w:val="32"/>
          <w:szCs w:val="32"/>
        </w:rPr>
      </w:pPr>
      <w:bookmarkStart w:id="53" w:name="_Toc15377216"/>
      <w:r>
        <w:rPr>
          <w:rFonts w:hint="eastAsia" w:ascii="仿宋" w:hAnsi="仿宋" w:eastAsia="仿宋"/>
          <w:b/>
          <w:color w:val="000000"/>
          <w:sz w:val="32"/>
          <w:szCs w:val="32"/>
        </w:rPr>
        <w:t>（一）“三公”经费财政拨款支出决算总体情况说明</w:t>
      </w:r>
      <w:bookmarkEnd w:id="53"/>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2022</w:t>
      </w:r>
      <w:r>
        <w:rPr>
          <w:rFonts w:ascii="仿宋" w:hAnsi="仿宋" w:eastAsia="仿宋"/>
          <w:color w:val="000000"/>
          <w:sz w:val="32"/>
          <w:u w:color="auto"/>
        </w:rPr>
        <w:t>年“三公”经费财政拨款支出决算为0.00</w:t>
      </w:r>
      <w:r>
        <w:rPr>
          <w:rFonts w:hint="eastAsia" w:ascii="仿宋" w:hAnsi="仿宋" w:eastAsia="仿宋"/>
          <w:color w:val="000000"/>
          <w:sz w:val="32"/>
          <w:szCs w:val="32"/>
        </w:rPr>
        <w:t>万元，完成预算</w:t>
      </w:r>
      <w:r>
        <w:rPr>
          <w:rFonts w:ascii="仿宋" w:hAnsi="仿宋" w:eastAsia="仿宋"/>
          <w:color w:val="000000"/>
          <w:sz w:val="32"/>
          <w:u w:color="auto"/>
        </w:rPr>
        <w:t>0.00</w:t>
      </w:r>
      <w:r>
        <w:rPr>
          <w:rFonts w:hint="eastAsia" w:ascii="仿宋" w:hAnsi="仿宋" w:eastAsia="仿宋"/>
          <w:color w:val="000000"/>
          <w:sz w:val="32"/>
          <w:szCs w:val="32"/>
        </w:rPr>
        <w:t>%。</w:t>
      </w:r>
      <w:bookmarkStart w:id="54" w:name="_Toc15377217"/>
    </w:p>
    <w:p>
      <w:pPr>
        <w:spacing w:line="600"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（二）“三公”经费财政拨款支出决算具体情况说明</w:t>
      </w:r>
      <w:bookmarkEnd w:id="54"/>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2022</w:t>
      </w:r>
      <w:r>
        <w:rPr>
          <w:rFonts w:ascii="仿宋" w:hAnsi="仿宋" w:eastAsia="仿宋"/>
          <w:color w:val="000000"/>
          <w:sz w:val="32"/>
          <w:u w:color="auto"/>
        </w:rPr>
        <w:t>年“三公”经费财政拨款支出0.00</w:t>
      </w:r>
      <w:r>
        <w:rPr>
          <w:rFonts w:hint="eastAsia" w:ascii="仿宋" w:hAnsi="仿宋" w:eastAsia="仿宋"/>
          <w:color w:val="000000"/>
          <w:sz w:val="32"/>
          <w:u w:color="auto"/>
          <w:lang w:eastAsia="zh-CN"/>
        </w:rPr>
        <w:t>万元</w:t>
      </w:r>
      <w:r>
        <w:rPr>
          <w:rFonts w:hint="eastAsia" w:ascii="仿宋" w:hAnsi="仿宋" w:eastAsia="仿宋"/>
          <w:color w:val="000000"/>
          <w:sz w:val="32"/>
          <w:szCs w:val="32"/>
        </w:rPr>
        <w:t>，因公出国（境）费支出决算</w:t>
      </w:r>
      <w:r>
        <w:rPr>
          <w:rFonts w:ascii="仿宋" w:hAnsi="仿宋" w:eastAsia="仿宋"/>
          <w:color w:val="000000"/>
          <w:sz w:val="32"/>
          <w:u w:color="auto"/>
        </w:rPr>
        <w:t>0.00</w:t>
      </w:r>
      <w:r>
        <w:rPr>
          <w:rFonts w:hint="eastAsia" w:ascii="仿宋" w:hAnsi="仿宋" w:eastAsia="仿宋"/>
          <w:color w:val="000000"/>
          <w:sz w:val="32"/>
          <w:szCs w:val="32"/>
        </w:rPr>
        <w:t>万元，占</w:t>
      </w:r>
      <w:r>
        <w:rPr>
          <w:rFonts w:ascii="仿宋" w:hAnsi="仿宋" w:eastAsia="仿宋"/>
          <w:color w:val="000000"/>
          <w:sz w:val="32"/>
          <w:u w:color="auto"/>
        </w:rPr>
        <w:t>0.00</w:t>
      </w:r>
      <w:r>
        <w:rPr>
          <w:rFonts w:hint="eastAsia" w:ascii="仿宋" w:hAnsi="仿宋" w:eastAsia="仿宋"/>
          <w:color w:val="000000"/>
          <w:sz w:val="32"/>
          <w:szCs w:val="32"/>
        </w:rPr>
        <w:t>%；公务用车购置及运行维护费支出决算</w:t>
      </w:r>
      <w:r>
        <w:rPr>
          <w:rFonts w:ascii="仿宋" w:hAnsi="仿宋" w:eastAsia="仿宋"/>
          <w:color w:val="000000"/>
          <w:sz w:val="32"/>
          <w:u w:color="auto"/>
        </w:rPr>
        <w:t>0.00</w:t>
      </w:r>
      <w:r>
        <w:rPr>
          <w:rFonts w:hint="eastAsia" w:ascii="仿宋" w:hAnsi="仿宋" w:eastAsia="仿宋"/>
          <w:color w:val="000000"/>
          <w:sz w:val="32"/>
          <w:szCs w:val="32"/>
        </w:rPr>
        <w:t>万元，占</w:t>
      </w:r>
      <w:r>
        <w:rPr>
          <w:rFonts w:ascii="仿宋" w:hAnsi="仿宋" w:eastAsia="仿宋"/>
          <w:color w:val="000000"/>
          <w:sz w:val="32"/>
          <w:u w:color="auto"/>
        </w:rPr>
        <w:t>0.00</w:t>
      </w:r>
      <w:r>
        <w:rPr>
          <w:rFonts w:hint="eastAsia" w:ascii="仿宋" w:hAnsi="仿宋" w:eastAsia="仿宋"/>
          <w:color w:val="000000"/>
          <w:sz w:val="32"/>
          <w:szCs w:val="32"/>
        </w:rPr>
        <w:t>%；公务接待费支出决算</w:t>
      </w:r>
      <w:r>
        <w:rPr>
          <w:rFonts w:ascii="仿宋" w:hAnsi="仿宋" w:eastAsia="仿宋"/>
          <w:color w:val="000000"/>
          <w:sz w:val="32"/>
          <w:u w:color="auto"/>
        </w:rPr>
        <w:t>0.00</w:t>
      </w:r>
      <w:r>
        <w:rPr>
          <w:rFonts w:hint="eastAsia" w:ascii="仿宋" w:hAnsi="仿宋" w:eastAsia="仿宋"/>
          <w:color w:val="000000"/>
          <w:sz w:val="32"/>
          <w:szCs w:val="32"/>
        </w:rPr>
        <w:t>万元，占</w:t>
      </w:r>
      <w:r>
        <w:rPr>
          <w:rFonts w:ascii="仿宋" w:hAnsi="仿宋" w:eastAsia="仿宋"/>
          <w:color w:val="000000"/>
          <w:sz w:val="32"/>
          <w:u w:color="auto"/>
        </w:rPr>
        <w:t>0.00</w:t>
      </w:r>
      <w:r>
        <w:rPr>
          <w:rFonts w:hint="eastAsia" w:ascii="仿宋" w:hAnsi="仿宋" w:eastAsia="仿宋"/>
          <w:color w:val="000000"/>
          <w:sz w:val="32"/>
          <w:szCs w:val="32"/>
        </w:rPr>
        <w:t>%。具体情况如下：</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（图7：“三公”经费财政拨款支出结构）</w:t>
      </w:r>
    </w:p>
    <w:p>
      <w:pPr>
        <w:pStyle w:val="5"/>
        <w:rPr>
          <w:rFonts w:ascii="仿宋_GB2312" w:hAnsi="仿宋" w:eastAsia="仿宋_GB2312"/>
          <w:color w:val="000000"/>
          <w:sz w:val="32"/>
          <w:szCs w:val="32"/>
        </w:rPr>
      </w:pPr>
      <w:r>
        <w:drawing>
          <wp:inline distT="0" distB="0" distL="0" distR="0">
            <wp:extent cx="4333240" cy="2886075"/>
            <wp:effectExtent l="0" t="0" r="10160" b="952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1.因公出国（境）经费支出</w:t>
      </w:r>
      <w:r>
        <w:rPr>
          <w:rFonts w:ascii="仿宋" w:hAnsi="仿宋" w:eastAsia="仿宋"/>
          <w:color w:val="000000"/>
          <w:sz w:val="32"/>
          <w:u w:color="auto"/>
        </w:rPr>
        <w:t>0.00</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w:t>
      </w:r>
      <w:r>
        <w:rPr>
          <w:rFonts w:hint="eastAsia" w:ascii="仿宋" w:hAnsi="仿宋" w:eastAsia="仿宋"/>
          <w:color w:val="000000"/>
          <w:sz w:val="32"/>
          <w:szCs w:val="32"/>
        </w:rPr>
        <w:t>完成预算100%。全年安排因公出国（境）团组</w:t>
      </w:r>
      <w:r>
        <w:rPr>
          <w:rFonts w:ascii="仿宋" w:hAnsi="仿宋" w:eastAsia="仿宋"/>
          <w:color w:val="000000"/>
          <w:sz w:val="32"/>
          <w:u w:color="auto"/>
        </w:rPr>
        <w:t>0</w:t>
      </w:r>
      <w:r>
        <w:rPr>
          <w:rFonts w:hint="eastAsia" w:ascii="仿宋" w:hAnsi="仿宋" w:eastAsia="仿宋"/>
          <w:color w:val="000000"/>
          <w:sz w:val="32"/>
          <w:szCs w:val="32"/>
        </w:rPr>
        <w:t>次，出国（境）</w:t>
      </w:r>
      <w:r>
        <w:rPr>
          <w:rFonts w:ascii="仿宋" w:hAnsi="仿宋" w:eastAsia="仿宋"/>
          <w:color w:val="000000"/>
          <w:sz w:val="32"/>
          <w:u w:color="auto"/>
        </w:rPr>
        <w:t>0</w:t>
      </w:r>
      <w:r>
        <w:rPr>
          <w:rFonts w:hint="eastAsia" w:ascii="仿宋" w:hAnsi="仿宋" w:eastAsia="仿宋"/>
          <w:color w:val="000000"/>
          <w:sz w:val="32"/>
          <w:szCs w:val="32"/>
        </w:rPr>
        <w:t>人。因公出国（境）支出决算比</w:t>
      </w:r>
      <w:r>
        <w:rPr>
          <w:rFonts w:ascii="仿宋" w:hAnsi="仿宋" w:eastAsia="仿宋"/>
          <w:color w:val="000000"/>
          <w:sz w:val="32"/>
          <w:u w:color="auto"/>
        </w:rPr>
        <w:t>2021年增加0.00</w:t>
      </w:r>
      <w:r>
        <w:rPr>
          <w:rFonts w:hint="eastAsia" w:ascii="仿宋" w:hAnsi="仿宋" w:eastAsia="仿宋"/>
          <w:color w:val="000000"/>
          <w:sz w:val="32"/>
          <w:szCs w:val="32"/>
        </w:rPr>
        <w:t>万元，</w:t>
      </w:r>
      <w:r>
        <w:rPr>
          <w:rFonts w:ascii="仿宋" w:hAnsi="仿宋" w:eastAsia="仿宋"/>
          <w:color w:val="000000"/>
          <w:sz w:val="32"/>
          <w:u w:color="auto"/>
        </w:rPr>
        <w:t>增加100.00</w:t>
      </w:r>
      <w:r>
        <w:rPr>
          <w:rFonts w:hint="eastAsia" w:ascii="仿宋" w:hAnsi="仿宋" w:eastAsia="仿宋"/>
          <w:color w:val="000000"/>
          <w:sz w:val="32"/>
          <w:szCs w:val="32"/>
        </w:rPr>
        <w:t xml:space="preserve"> %。</w:t>
      </w:r>
      <w:r>
        <w:rPr>
          <w:rFonts w:ascii="仿宋" w:hAnsi="仿宋" w:eastAsia="仿宋"/>
          <w:color w:val="000000"/>
          <w:sz w:val="32"/>
          <w:u w:color="auto"/>
        </w:rPr>
        <w:t xml:space="preserve"> </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2.公务用车购置及运行维护费支出</w:t>
      </w:r>
      <w:r>
        <w:rPr>
          <w:rFonts w:ascii="仿宋" w:hAnsi="仿宋" w:eastAsia="仿宋"/>
          <w:color w:val="000000"/>
          <w:sz w:val="32"/>
          <w:u w:color="auto"/>
        </w:rPr>
        <w:t>0.00</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w:t>
      </w:r>
      <w:r>
        <w:rPr>
          <w:rFonts w:hint="eastAsia" w:ascii="仿宋" w:hAnsi="仿宋" w:eastAsia="仿宋"/>
          <w:color w:val="000000"/>
          <w:sz w:val="32"/>
          <w:szCs w:val="32"/>
        </w:rPr>
        <w:t>完成预算</w:t>
      </w:r>
      <w:r>
        <w:rPr>
          <w:rFonts w:ascii="仿宋" w:hAnsi="仿宋" w:eastAsia="仿宋"/>
          <w:color w:val="000000"/>
          <w:sz w:val="32"/>
          <w:u w:color="auto"/>
        </w:rPr>
        <w:t>0.00</w:t>
      </w:r>
      <w:r>
        <w:rPr>
          <w:rFonts w:hint="eastAsia" w:ascii="仿宋" w:hAnsi="仿宋" w:eastAsia="仿宋"/>
          <w:color w:val="000000"/>
          <w:sz w:val="32"/>
          <w:szCs w:val="32"/>
        </w:rPr>
        <w:t>%。公务用车购置及运行维护费支出决算比</w:t>
      </w:r>
      <w:r>
        <w:rPr>
          <w:rFonts w:ascii="仿宋" w:hAnsi="仿宋" w:eastAsia="仿宋"/>
          <w:color w:val="000000"/>
          <w:sz w:val="32"/>
          <w:u w:color="auto"/>
        </w:rPr>
        <w:t>2021年增加0.00</w:t>
      </w:r>
      <w:r>
        <w:rPr>
          <w:rFonts w:hint="eastAsia" w:ascii="仿宋" w:hAnsi="仿宋" w:eastAsia="仿宋"/>
          <w:color w:val="000000"/>
          <w:sz w:val="32"/>
          <w:szCs w:val="32"/>
        </w:rPr>
        <w:t>万元，</w:t>
      </w:r>
      <w:r>
        <w:rPr>
          <w:rFonts w:ascii="仿宋" w:hAnsi="仿宋" w:eastAsia="仿宋"/>
          <w:color w:val="000000"/>
          <w:sz w:val="32"/>
          <w:u w:color="auto"/>
        </w:rPr>
        <w:t>增加0</w:t>
      </w:r>
      <w:r>
        <w:rPr>
          <w:rFonts w:hint="eastAsia" w:ascii="仿宋" w:hAnsi="仿宋" w:eastAsia="仿宋"/>
          <w:color w:val="000000"/>
          <w:sz w:val="32"/>
          <w:szCs w:val="32"/>
        </w:rPr>
        <w:t>%。</w:t>
      </w:r>
      <w:r>
        <w:rPr>
          <w:rFonts w:ascii="仿宋" w:hAnsi="仿宋" w:eastAsia="仿宋"/>
          <w:color w:val="000000"/>
          <w:sz w:val="32"/>
          <w:u w:color="auto"/>
        </w:rPr>
        <w:t xml:space="preserve"> </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其中：公务用车购置支出</w:t>
      </w:r>
      <w:r>
        <w:rPr>
          <w:rFonts w:ascii="仿宋" w:hAnsi="仿宋" w:eastAsia="仿宋"/>
          <w:color w:val="000000"/>
          <w:sz w:val="32"/>
          <w:u w:color="auto"/>
        </w:rPr>
        <w:t>0.00万元。全年按规定更新购置公务用车1辆，其中：轿车0辆、金额0.00万元，越野车0辆、金额0.00万元，载客汽车0辆、金额0.00万元。截至</w:t>
      </w:r>
      <w:r>
        <w:rPr>
          <w:rFonts w:ascii="仿宋" w:hAnsi="仿宋" w:eastAsia="仿宋"/>
          <w:color w:val="000000"/>
          <w:sz w:val="32"/>
          <w:szCs w:val="32"/>
        </w:rPr>
        <w:t>20</w:t>
      </w:r>
      <w:r>
        <w:rPr>
          <w:rFonts w:hint="eastAsia" w:ascii="仿宋" w:hAnsi="仿宋" w:eastAsia="仿宋"/>
          <w:color w:val="000000"/>
          <w:sz w:val="32"/>
          <w:szCs w:val="32"/>
        </w:rPr>
        <w:t>21年</w:t>
      </w:r>
      <w:r>
        <w:rPr>
          <w:rFonts w:ascii="仿宋" w:hAnsi="仿宋" w:eastAsia="仿宋"/>
          <w:color w:val="000000"/>
          <w:sz w:val="32"/>
          <w:szCs w:val="32"/>
        </w:rPr>
        <w:t>12</w:t>
      </w:r>
      <w:r>
        <w:rPr>
          <w:rFonts w:hint="eastAsia" w:ascii="仿宋" w:hAnsi="仿宋" w:eastAsia="仿宋"/>
          <w:color w:val="000000"/>
          <w:sz w:val="32"/>
          <w:szCs w:val="32"/>
        </w:rPr>
        <w:t>月底，单位共有公务用车</w:t>
      </w:r>
      <w:r>
        <w:rPr>
          <w:rFonts w:ascii="仿宋" w:hAnsi="仿宋" w:eastAsia="仿宋"/>
          <w:color w:val="000000"/>
          <w:sz w:val="32"/>
          <w:u w:color="auto"/>
        </w:rPr>
        <w:t>1</w:t>
      </w:r>
      <w:r>
        <w:rPr>
          <w:rFonts w:hint="eastAsia" w:ascii="仿宋" w:hAnsi="仿宋" w:eastAsia="仿宋"/>
          <w:color w:val="000000"/>
          <w:sz w:val="32"/>
          <w:szCs w:val="32"/>
        </w:rPr>
        <w:t>辆，其中：轿车</w:t>
      </w:r>
      <w:r>
        <w:rPr>
          <w:rFonts w:ascii="仿宋" w:hAnsi="仿宋" w:eastAsia="仿宋"/>
          <w:color w:val="000000"/>
          <w:sz w:val="32"/>
          <w:u w:color="auto"/>
        </w:rPr>
        <w:t>0辆、越野车0辆、载客汽车0辆。</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公务用车运行维护费支出</w:t>
      </w:r>
      <w:r>
        <w:rPr>
          <w:rFonts w:ascii="仿宋" w:hAnsi="仿宋" w:eastAsia="仿宋"/>
          <w:color w:val="000000"/>
          <w:sz w:val="32"/>
          <w:u w:color="auto"/>
        </w:rPr>
        <w:t>0.00</w:t>
      </w:r>
      <w:r>
        <w:rPr>
          <w:rFonts w:hint="eastAsia" w:ascii="仿宋" w:hAnsi="仿宋" w:eastAsia="仿宋"/>
          <w:color w:val="000000"/>
          <w:sz w:val="32"/>
          <w:szCs w:val="32"/>
        </w:rPr>
        <w:t>万元。</w:t>
      </w:r>
      <w:r>
        <w:rPr>
          <w:rFonts w:ascii="仿宋" w:hAnsi="仿宋" w:eastAsia="仿宋"/>
          <w:color w:val="000000"/>
          <w:sz w:val="32"/>
          <w:u w:color="auto"/>
        </w:rPr>
        <w:t xml:space="preserve"> </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3.公务接待费支出</w:t>
      </w:r>
      <w:r>
        <w:rPr>
          <w:rFonts w:ascii="仿宋" w:hAnsi="仿宋" w:eastAsia="仿宋"/>
          <w:color w:val="000000"/>
          <w:sz w:val="32"/>
          <w:u w:color="auto"/>
        </w:rPr>
        <w:t>0.00万元，完成预算0.00</w:t>
      </w:r>
      <w:r>
        <w:rPr>
          <w:rFonts w:hint="eastAsia" w:ascii="仿宋" w:hAnsi="仿宋" w:eastAsia="仿宋"/>
          <w:color w:val="000000"/>
          <w:sz w:val="32"/>
          <w:szCs w:val="32"/>
        </w:rPr>
        <w:t>%。公务接待费支出决算比</w:t>
      </w:r>
      <w:r>
        <w:rPr>
          <w:rFonts w:ascii="仿宋" w:hAnsi="仿宋" w:eastAsia="仿宋"/>
          <w:color w:val="000000"/>
          <w:sz w:val="32"/>
          <w:u w:color="auto"/>
        </w:rPr>
        <w:t>2021年增加0.00</w:t>
      </w:r>
      <w:r>
        <w:rPr>
          <w:rFonts w:hint="eastAsia" w:ascii="仿宋" w:hAnsi="仿宋" w:eastAsia="仿宋"/>
          <w:color w:val="000000"/>
          <w:sz w:val="32"/>
          <w:szCs w:val="32"/>
        </w:rPr>
        <w:t>万元，</w:t>
      </w:r>
      <w:r>
        <w:rPr>
          <w:rFonts w:ascii="仿宋" w:hAnsi="仿宋" w:eastAsia="仿宋"/>
          <w:color w:val="000000"/>
          <w:sz w:val="32"/>
          <w:u w:color="auto"/>
        </w:rPr>
        <w:t>增加0.00</w:t>
      </w:r>
      <w:r>
        <w:rPr>
          <w:rFonts w:ascii="仿宋" w:hAnsi="仿宋" w:eastAsia="仿宋"/>
          <w:color w:val="000000"/>
          <w:sz w:val="32"/>
          <w:szCs w:val="32"/>
        </w:rPr>
        <w:t>%</w:t>
      </w:r>
      <w:r>
        <w:rPr>
          <w:rFonts w:hint="eastAsia" w:ascii="仿宋" w:hAnsi="仿宋" w:eastAsia="仿宋"/>
          <w:color w:val="000000"/>
          <w:sz w:val="32"/>
          <w:szCs w:val="32"/>
        </w:rPr>
        <w:t>。</w:t>
      </w:r>
      <w:bookmarkStart w:id="55" w:name="_Toc15377218"/>
      <w:r>
        <w:rPr>
          <w:rFonts w:hint="eastAsia" w:ascii="仿宋" w:hAnsi="仿宋" w:eastAsia="仿宋"/>
          <w:color w:val="000000"/>
          <w:sz w:val="32"/>
          <w:szCs w:val="32"/>
        </w:rPr>
        <w:t xml:space="preserve"> </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国内公务接待支出</w:t>
      </w:r>
      <w:r>
        <w:rPr>
          <w:rFonts w:ascii="仿宋" w:hAnsi="仿宋" w:eastAsia="仿宋"/>
          <w:color w:val="000000"/>
          <w:sz w:val="32"/>
          <w:u w:color="auto"/>
        </w:rPr>
        <w:t>0.00万元。国内公务接待0批次，0人次（不包括陪同人员），共计支出0.00万元。</w:t>
      </w:r>
    </w:p>
    <w:p>
      <w:pPr>
        <w:pStyle w:val="5"/>
        <w:rPr>
          <w:rFonts w:ascii="仿宋" w:hAnsi="仿宋" w:eastAsia="仿宋"/>
          <w:color w:val="000000"/>
          <w:sz w:val="32"/>
          <w:szCs w:val="32"/>
        </w:rPr>
      </w:pPr>
      <w:r>
        <w:rPr>
          <w:rFonts w:hint="eastAsia" w:ascii="仿宋" w:hAnsi="仿宋" w:eastAsia="仿宋"/>
          <w:color w:val="000000"/>
          <w:sz w:val="32"/>
          <w:szCs w:val="32"/>
        </w:rPr>
        <w:t>外事接待支出</w:t>
      </w:r>
      <w:r>
        <w:rPr>
          <w:rFonts w:ascii="仿宋" w:hAnsi="仿宋" w:eastAsia="仿宋"/>
          <w:color w:val="000000"/>
          <w:sz w:val="32"/>
          <w:u w:color="auto"/>
        </w:rPr>
        <w:t>0.00万元，外事接待0批次，0人，共计支出0.00万元。</w:t>
      </w:r>
    </w:p>
    <w:p>
      <w:pPr>
        <w:pStyle w:val="3"/>
        <w:ind w:firstLine="643" w:firstLineChars="200"/>
        <w:rPr>
          <w:rFonts w:ascii="黑体" w:eastAsia="黑体" w:cs="Times New Roman"/>
          <w:bCs w:val="0"/>
          <w:color w:val="000000"/>
        </w:rPr>
      </w:pPr>
      <w:bookmarkStart w:id="56" w:name="_Toc111208506"/>
      <w:bookmarkStart w:id="57" w:name="_Toc4484"/>
      <w:r>
        <w:rPr>
          <w:rFonts w:hint="eastAsia" w:ascii="黑体" w:eastAsia="黑体" w:cs="Times New Roman"/>
          <w:bCs w:val="0"/>
          <w:color w:val="000000"/>
        </w:rPr>
        <w:t>八、政府性基金预算支出决算情况说明</w:t>
      </w:r>
      <w:bookmarkEnd w:id="55"/>
      <w:bookmarkEnd w:id="56"/>
      <w:bookmarkEnd w:id="57"/>
    </w:p>
    <w:p>
      <w:pPr>
        <w:spacing w:line="600" w:lineRule="exact"/>
        <w:ind w:firstLine="640"/>
        <w:rPr>
          <w:rFonts w:ascii="仿宋" w:hAnsi="仿宋" w:eastAsia="仿宋"/>
        </w:rPr>
      </w:pPr>
      <w:r>
        <w:rPr>
          <w:rFonts w:hint="eastAsia" w:ascii="仿宋" w:hAnsi="仿宋" w:eastAsia="仿宋"/>
          <w:color w:val="000000"/>
          <w:sz w:val="32"/>
          <w:szCs w:val="32"/>
        </w:rPr>
        <w:t>2022</w:t>
      </w:r>
      <w:r>
        <w:rPr>
          <w:rFonts w:ascii="仿宋" w:hAnsi="仿宋" w:eastAsia="仿宋"/>
          <w:color w:val="000000"/>
          <w:sz w:val="32"/>
          <w:u w:color="auto"/>
        </w:rPr>
        <w:t>年政府性基金预算拨款支出0.00</w:t>
      </w:r>
      <w:r>
        <w:rPr>
          <w:rFonts w:hint="eastAsia" w:ascii="仿宋" w:hAnsi="仿宋" w:eastAsia="仿宋"/>
          <w:color w:val="000000"/>
          <w:sz w:val="32"/>
          <w:szCs w:val="32"/>
        </w:rPr>
        <w:t>万元。</w:t>
      </w:r>
      <w:bookmarkStart w:id="58" w:name="_Toc15377219"/>
    </w:p>
    <w:p>
      <w:pPr>
        <w:pStyle w:val="3"/>
        <w:ind w:firstLine="643" w:firstLineChars="200"/>
        <w:rPr>
          <w:rFonts w:ascii="黑体" w:eastAsia="黑体" w:cs="Times New Roman"/>
          <w:bCs w:val="0"/>
          <w:color w:val="000000"/>
        </w:rPr>
      </w:pPr>
      <w:bookmarkStart w:id="59" w:name="_Toc111208507"/>
      <w:bookmarkStart w:id="60" w:name="_Toc1532"/>
      <w:r>
        <w:rPr>
          <w:rFonts w:hint="eastAsia" w:ascii="黑体" w:eastAsia="黑体" w:cs="Times New Roman"/>
          <w:bCs w:val="0"/>
          <w:color w:val="000000"/>
        </w:rPr>
        <w:t>九、国有资本经营预算支出决算情况说明</w:t>
      </w:r>
      <w:bookmarkEnd w:id="58"/>
      <w:bookmarkEnd w:id="59"/>
      <w:bookmarkEnd w:id="60"/>
    </w:p>
    <w:p>
      <w:pPr>
        <w:spacing w:line="600" w:lineRule="exact"/>
        <w:ind w:firstLine="640"/>
        <w:rPr>
          <w:rFonts w:ascii="仿宋" w:hAnsi="仿宋" w:eastAsia="仿宋"/>
        </w:rPr>
      </w:pPr>
      <w:r>
        <w:rPr>
          <w:rFonts w:hint="eastAsia" w:ascii="仿宋" w:hAnsi="仿宋" w:eastAsia="仿宋"/>
          <w:color w:val="000000"/>
          <w:sz w:val="32"/>
          <w:szCs w:val="32"/>
        </w:rPr>
        <w:t>2022</w:t>
      </w:r>
      <w:r>
        <w:rPr>
          <w:rFonts w:ascii="仿宋" w:hAnsi="仿宋" w:eastAsia="仿宋"/>
          <w:color w:val="000000"/>
          <w:sz w:val="32"/>
          <w:u w:color="auto"/>
        </w:rPr>
        <w:t>年国有资本经营预算拨款支出0.00</w:t>
      </w:r>
      <w:r>
        <w:rPr>
          <w:rFonts w:hint="eastAsia" w:ascii="仿宋" w:hAnsi="仿宋" w:eastAsia="仿宋"/>
          <w:color w:val="000000"/>
          <w:sz w:val="32"/>
          <w:szCs w:val="32"/>
        </w:rPr>
        <w:t>万元。</w:t>
      </w:r>
    </w:p>
    <w:p>
      <w:pPr>
        <w:pStyle w:val="3"/>
        <w:ind w:firstLine="643" w:firstLineChars="200"/>
        <w:rPr>
          <w:rFonts w:ascii="黑体" w:eastAsia="黑体" w:cs="Times New Roman"/>
          <w:bCs w:val="0"/>
          <w:color w:val="000000"/>
        </w:rPr>
      </w:pPr>
      <w:bookmarkStart w:id="61" w:name="_Toc111208508"/>
      <w:bookmarkStart w:id="62" w:name="_Toc587"/>
      <w:bookmarkStart w:id="63" w:name="_Toc15377221"/>
      <w:r>
        <w:rPr>
          <w:rFonts w:hint="eastAsia" w:ascii="黑体" w:eastAsia="黑体" w:cs="Times New Roman"/>
          <w:bCs w:val="0"/>
          <w:color w:val="000000"/>
        </w:rPr>
        <w:t>十、其他重要事项的情况说明</w:t>
      </w:r>
      <w:bookmarkEnd w:id="61"/>
      <w:bookmarkEnd w:id="62"/>
      <w:bookmarkEnd w:id="63"/>
    </w:p>
    <w:p>
      <w:pPr>
        <w:spacing w:line="600" w:lineRule="exact"/>
        <w:ind w:firstLine="643" w:firstLineChars="200"/>
        <w:outlineLvl w:val="2"/>
        <w:rPr>
          <w:rFonts w:ascii="仿宋" w:hAnsi="仿宋" w:eastAsia="仿宋"/>
          <w:b/>
          <w:color w:val="000000"/>
          <w:sz w:val="32"/>
          <w:szCs w:val="32"/>
        </w:rPr>
      </w:pPr>
      <w:bookmarkStart w:id="64" w:name="_Toc15377222"/>
      <w:r>
        <w:rPr>
          <w:rFonts w:hint="eastAsia" w:ascii="仿宋" w:hAnsi="仿宋" w:eastAsia="仿宋"/>
          <w:b/>
          <w:color w:val="000000"/>
          <w:sz w:val="32"/>
          <w:szCs w:val="32"/>
        </w:rPr>
        <w:t>（一）机关运行经费支出情况</w:t>
      </w:r>
      <w:bookmarkEnd w:id="64"/>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2022</w:t>
      </w:r>
      <w:r>
        <w:rPr>
          <w:rFonts w:ascii="仿宋" w:hAnsi="仿宋" w:eastAsia="仿宋"/>
          <w:color w:val="000000"/>
          <w:sz w:val="32"/>
          <w:u w:color="auto"/>
        </w:rPr>
        <w:t>年，机关运行经费支出0.00</w:t>
      </w:r>
      <w:r>
        <w:rPr>
          <w:rFonts w:hint="eastAsia" w:ascii="仿宋" w:hAnsi="仿宋" w:eastAsia="仿宋"/>
          <w:color w:val="000000"/>
          <w:sz w:val="32"/>
          <w:szCs w:val="32"/>
        </w:rPr>
        <w:t>万元，比</w:t>
      </w:r>
      <w:r>
        <w:rPr>
          <w:rFonts w:ascii="仿宋" w:hAnsi="仿宋" w:eastAsia="仿宋"/>
          <w:color w:val="000000"/>
          <w:sz w:val="32"/>
          <w:u w:color="auto"/>
        </w:rPr>
        <w:t>2021年增加0.00</w:t>
      </w:r>
      <w:r>
        <w:rPr>
          <w:rFonts w:hint="eastAsia" w:ascii="仿宋" w:hAnsi="仿宋" w:eastAsia="仿宋"/>
          <w:color w:val="000000"/>
          <w:sz w:val="32"/>
          <w:szCs w:val="32"/>
        </w:rPr>
        <w:t>万元，</w:t>
      </w:r>
      <w:r>
        <w:rPr>
          <w:rFonts w:ascii="仿宋" w:hAnsi="仿宋" w:eastAsia="仿宋"/>
          <w:color w:val="000000"/>
          <w:sz w:val="32"/>
          <w:u w:color="auto"/>
        </w:rPr>
        <w:t xml:space="preserve">增加0 %。 </w:t>
      </w:r>
    </w:p>
    <w:p>
      <w:pPr>
        <w:spacing w:line="600" w:lineRule="exact"/>
        <w:ind w:firstLine="643" w:firstLineChars="200"/>
        <w:outlineLvl w:val="2"/>
        <w:rPr>
          <w:rFonts w:ascii="仿宋" w:hAnsi="仿宋" w:eastAsia="仿宋"/>
          <w:b/>
          <w:color w:val="000000"/>
          <w:sz w:val="32"/>
          <w:szCs w:val="32"/>
        </w:rPr>
      </w:pPr>
      <w:bookmarkStart w:id="65" w:name="_Toc15377223"/>
      <w:r>
        <w:rPr>
          <w:rFonts w:hint="eastAsia" w:ascii="仿宋" w:hAnsi="仿宋" w:eastAsia="仿宋"/>
          <w:b/>
          <w:color w:val="000000"/>
          <w:sz w:val="32"/>
          <w:szCs w:val="32"/>
        </w:rPr>
        <w:t>（二）政府采购支出情况</w:t>
      </w:r>
      <w:bookmarkEnd w:id="65"/>
      <w:r>
        <w:rPr>
          <w:rFonts w:hint="eastAsia" w:ascii="仿宋" w:hAnsi="仿宋" w:eastAsia="仿宋"/>
          <w:b/>
          <w:color w:val="000000"/>
          <w:sz w:val="32"/>
          <w:szCs w:val="32"/>
          <w:lang w:eastAsia="zh-CN"/>
        </w:rPr>
        <w:t>（</w:t>
      </w:r>
      <w:r>
        <w:rPr>
          <w:rFonts w:hint="eastAsia" w:ascii="仿宋" w:hAnsi="仿宋" w:eastAsia="仿宋"/>
          <w:b/>
          <w:color w:val="000000"/>
          <w:sz w:val="32"/>
          <w:szCs w:val="32"/>
        </w:rPr>
        <w:t>机构运行信息表</w:t>
      </w:r>
      <w:r>
        <w:rPr>
          <w:rFonts w:hint="eastAsia" w:ascii="仿宋" w:hAnsi="仿宋" w:eastAsia="仿宋"/>
          <w:b/>
          <w:color w:val="000000"/>
          <w:sz w:val="32"/>
          <w:szCs w:val="32"/>
          <w:lang w:eastAsia="zh-CN"/>
        </w:rPr>
        <w:t>）</w:t>
      </w:r>
    </w:p>
    <w:p>
      <w:pPr>
        <w:spacing w:line="600" w:lineRule="exact"/>
        <w:ind w:firstLine="640"/>
        <w:rPr>
          <w:rFonts w:ascii="仿宋_GB2312" w:eastAsia="仿宋_GB2312"/>
          <w:color w:val="000000"/>
          <w:sz w:val="32"/>
          <w:szCs w:val="32"/>
        </w:rPr>
      </w:pPr>
      <w:r>
        <w:rPr>
          <w:rFonts w:hint="eastAsia" w:ascii="仿宋" w:hAnsi="仿宋" w:eastAsia="仿宋"/>
          <w:color w:val="000000"/>
          <w:sz w:val="32"/>
          <w:szCs w:val="32"/>
        </w:rPr>
        <w:t>2022</w:t>
      </w:r>
      <w:r>
        <w:rPr>
          <w:rFonts w:ascii="仿宋" w:hAnsi="仿宋" w:eastAsia="仿宋"/>
          <w:color w:val="000000"/>
          <w:sz w:val="32"/>
          <w:u w:color="auto"/>
        </w:rPr>
        <w:t>年，政府采购支出总额0.00</w:t>
      </w:r>
      <w:r>
        <w:rPr>
          <w:rFonts w:hint="eastAsia" w:ascii="仿宋" w:hAnsi="仿宋" w:eastAsia="仿宋"/>
          <w:color w:val="000000"/>
          <w:sz w:val="32"/>
          <w:szCs w:val="32"/>
        </w:rPr>
        <w:t>万元，其中：政府采购货物支出</w:t>
      </w:r>
      <w:r>
        <w:rPr>
          <w:rFonts w:ascii="仿宋" w:hAnsi="仿宋" w:eastAsia="仿宋"/>
          <w:color w:val="000000"/>
          <w:sz w:val="32"/>
          <w:u w:color="auto"/>
        </w:rPr>
        <w:t>0.00</w:t>
      </w:r>
      <w:r>
        <w:rPr>
          <w:rFonts w:hint="eastAsia" w:ascii="仿宋" w:hAnsi="仿宋" w:eastAsia="仿宋"/>
          <w:color w:val="000000"/>
          <w:sz w:val="32"/>
          <w:szCs w:val="32"/>
        </w:rPr>
        <w:t>万元、政府采购工程支出</w:t>
      </w:r>
      <w:r>
        <w:rPr>
          <w:rFonts w:ascii="仿宋" w:hAnsi="仿宋" w:eastAsia="仿宋"/>
          <w:color w:val="000000"/>
          <w:sz w:val="32"/>
          <w:u w:color="auto"/>
        </w:rPr>
        <w:t>0.00</w:t>
      </w:r>
      <w:r>
        <w:rPr>
          <w:rFonts w:hint="eastAsia" w:ascii="仿宋" w:hAnsi="仿宋" w:eastAsia="仿宋"/>
          <w:color w:val="000000"/>
          <w:sz w:val="32"/>
          <w:szCs w:val="32"/>
        </w:rPr>
        <w:t>万元、政府采购服务支出</w:t>
      </w:r>
      <w:r>
        <w:rPr>
          <w:rFonts w:ascii="仿宋" w:hAnsi="仿宋" w:eastAsia="仿宋"/>
          <w:color w:val="000000"/>
          <w:sz w:val="32"/>
          <w:u w:color="auto"/>
        </w:rPr>
        <w:t>0.00</w:t>
      </w:r>
      <w:r>
        <w:rPr>
          <w:rFonts w:hint="eastAsia" w:ascii="仿宋" w:hAnsi="仿宋" w:eastAsia="仿宋"/>
          <w:color w:val="000000"/>
          <w:sz w:val="32"/>
          <w:szCs w:val="32"/>
        </w:rPr>
        <w:t>万元。授予中小企业合同金额</w:t>
      </w:r>
      <w:r>
        <w:rPr>
          <w:rFonts w:ascii="仿宋" w:hAnsi="仿宋" w:eastAsia="仿宋"/>
          <w:color w:val="000000"/>
          <w:sz w:val="32"/>
          <w:u w:color="auto"/>
        </w:rPr>
        <w:t>0.00</w:t>
      </w:r>
      <w:r>
        <w:rPr>
          <w:rFonts w:hint="eastAsia" w:ascii="仿宋" w:hAnsi="仿宋" w:eastAsia="仿宋"/>
          <w:color w:val="000000"/>
          <w:sz w:val="32"/>
          <w:szCs w:val="32"/>
        </w:rPr>
        <w:t>万元，其中：授予小微企业合同金额</w:t>
      </w:r>
      <w:r>
        <w:rPr>
          <w:rFonts w:ascii="仿宋" w:hAnsi="仿宋" w:eastAsia="仿宋"/>
          <w:color w:val="000000"/>
          <w:sz w:val="32"/>
          <w:u w:color="auto"/>
        </w:rPr>
        <w:t>0.00</w:t>
      </w:r>
      <w:r>
        <w:rPr>
          <w:rFonts w:hint="eastAsia" w:ascii="仿宋" w:hAnsi="仿宋" w:eastAsia="仿宋"/>
          <w:color w:val="000000"/>
          <w:sz w:val="32"/>
          <w:szCs w:val="32"/>
        </w:rPr>
        <w:t>万元，占总合同的</w:t>
      </w:r>
      <w:r>
        <w:rPr>
          <w:rFonts w:ascii="仿宋" w:hAnsi="仿宋" w:eastAsia="仿宋"/>
          <w:color w:val="000000"/>
          <w:sz w:val="32"/>
          <w:u w:color="auto"/>
        </w:rPr>
        <w:t>0.00</w:t>
      </w:r>
      <w:r>
        <w:rPr>
          <w:rFonts w:hint="eastAsia" w:ascii="仿宋" w:hAnsi="仿宋" w:eastAsia="仿宋"/>
          <w:color w:val="000000"/>
          <w:sz w:val="32"/>
          <w:szCs w:val="32"/>
        </w:rPr>
        <w:t>%。</w:t>
      </w:r>
    </w:p>
    <w:p>
      <w:pPr>
        <w:spacing w:line="600" w:lineRule="exact"/>
        <w:ind w:firstLine="643" w:firstLineChars="200"/>
        <w:outlineLvl w:val="2"/>
        <w:rPr>
          <w:rFonts w:ascii="仿宋" w:hAnsi="仿宋" w:eastAsia="仿宋"/>
          <w:b/>
          <w:color w:val="000000"/>
          <w:sz w:val="32"/>
          <w:szCs w:val="32"/>
        </w:rPr>
      </w:pPr>
      <w:bookmarkStart w:id="66" w:name="_Toc15377224"/>
      <w:r>
        <w:rPr>
          <w:rFonts w:hint="eastAsia" w:ascii="仿宋" w:hAnsi="仿宋" w:eastAsia="仿宋"/>
          <w:b/>
          <w:color w:val="000000"/>
          <w:sz w:val="32"/>
          <w:szCs w:val="32"/>
        </w:rPr>
        <w:t>（三）国有资产占有使用情况</w:t>
      </w:r>
      <w:bookmarkEnd w:id="66"/>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截至</w:t>
      </w:r>
      <w:r>
        <w:rPr>
          <w:rFonts w:ascii="仿宋" w:hAnsi="仿宋" w:eastAsia="仿宋"/>
          <w:color w:val="000000"/>
          <w:sz w:val="32"/>
          <w:u w:color="auto"/>
        </w:rPr>
        <w:t>2022年</w:t>
      </w:r>
      <w:r>
        <w:rPr>
          <w:rFonts w:ascii="仿宋" w:hAnsi="仿宋" w:eastAsia="仿宋"/>
          <w:color w:val="000000"/>
          <w:sz w:val="32"/>
          <w:szCs w:val="32"/>
        </w:rPr>
        <w:t>12</w:t>
      </w:r>
      <w:r>
        <w:rPr>
          <w:rFonts w:hint="eastAsia" w:ascii="仿宋" w:hAnsi="仿宋" w:eastAsia="仿宋"/>
          <w:color w:val="000000"/>
          <w:sz w:val="32"/>
          <w:szCs w:val="32"/>
        </w:rPr>
        <w:t>月</w:t>
      </w:r>
      <w:r>
        <w:rPr>
          <w:rFonts w:ascii="仿宋" w:hAnsi="仿宋" w:eastAsia="仿宋"/>
          <w:color w:val="000000"/>
          <w:sz w:val="32"/>
          <w:szCs w:val="32"/>
        </w:rPr>
        <w:t>31</w:t>
      </w:r>
      <w:r>
        <w:rPr>
          <w:rFonts w:hint="eastAsia" w:ascii="仿宋" w:hAnsi="仿宋" w:eastAsia="仿宋"/>
          <w:color w:val="000000"/>
          <w:sz w:val="32"/>
          <w:szCs w:val="32"/>
        </w:rPr>
        <w:t>日，共有车辆</w:t>
      </w:r>
      <w:r>
        <w:rPr>
          <w:rFonts w:ascii="仿宋" w:hAnsi="仿宋" w:eastAsia="仿宋"/>
          <w:color w:val="000000"/>
          <w:sz w:val="32"/>
          <w:u w:color="auto"/>
        </w:rPr>
        <w:t>1辆，其中：主要领导干部用车0</w:t>
      </w:r>
      <w:r>
        <w:rPr>
          <w:rFonts w:hint="eastAsia" w:ascii="仿宋" w:hAnsi="仿宋" w:eastAsia="仿宋"/>
          <w:color w:val="000000"/>
          <w:sz w:val="32"/>
          <w:szCs w:val="32"/>
        </w:rPr>
        <w:t>辆、机要通信用车</w:t>
      </w:r>
      <w:r>
        <w:rPr>
          <w:rFonts w:ascii="仿宋" w:hAnsi="仿宋" w:eastAsia="仿宋"/>
          <w:color w:val="000000"/>
          <w:sz w:val="32"/>
          <w:u w:color="auto"/>
        </w:rPr>
        <w:t>0</w:t>
      </w:r>
      <w:r>
        <w:rPr>
          <w:rFonts w:hint="eastAsia" w:ascii="仿宋" w:hAnsi="仿宋" w:eastAsia="仿宋"/>
          <w:color w:val="000000"/>
          <w:sz w:val="32"/>
          <w:szCs w:val="32"/>
        </w:rPr>
        <w:t>辆、应急保障用车</w:t>
      </w:r>
      <w:r>
        <w:rPr>
          <w:rFonts w:ascii="仿宋" w:hAnsi="仿宋" w:eastAsia="仿宋"/>
          <w:color w:val="000000"/>
          <w:sz w:val="32"/>
          <w:u w:color="auto"/>
        </w:rPr>
        <w:t>0</w:t>
      </w:r>
      <w:r>
        <w:rPr>
          <w:rFonts w:hint="eastAsia" w:ascii="仿宋" w:hAnsi="仿宋" w:eastAsia="仿宋"/>
          <w:color w:val="000000"/>
          <w:sz w:val="32"/>
          <w:szCs w:val="32"/>
        </w:rPr>
        <w:t>辆、其他用车</w:t>
      </w:r>
      <w:r>
        <w:rPr>
          <w:rFonts w:ascii="仿宋" w:hAnsi="仿宋" w:eastAsia="仿宋"/>
          <w:color w:val="000000"/>
          <w:sz w:val="32"/>
          <w:u w:color="auto"/>
        </w:rPr>
        <w:t>1</w:t>
      </w:r>
      <w:r>
        <w:rPr>
          <w:rFonts w:hint="eastAsia" w:ascii="仿宋" w:hAnsi="仿宋" w:eastAsia="仿宋"/>
          <w:color w:val="000000"/>
          <w:sz w:val="32"/>
          <w:szCs w:val="32"/>
        </w:rPr>
        <w:t>辆。单价</w:t>
      </w:r>
      <w:r>
        <w:rPr>
          <w:rFonts w:ascii="仿宋" w:hAnsi="仿宋" w:eastAsia="仿宋"/>
          <w:color w:val="000000"/>
          <w:sz w:val="32"/>
          <w:szCs w:val="32"/>
        </w:rPr>
        <w:t>50</w:t>
      </w:r>
      <w:r>
        <w:rPr>
          <w:rFonts w:hint="eastAsia" w:ascii="仿宋" w:hAnsi="仿宋" w:eastAsia="仿宋"/>
          <w:color w:val="000000"/>
          <w:sz w:val="32"/>
          <w:szCs w:val="32"/>
        </w:rPr>
        <w:t>万元以上通用设备</w:t>
      </w:r>
      <w:r>
        <w:rPr>
          <w:rFonts w:ascii="仿宋" w:hAnsi="仿宋" w:eastAsia="仿宋"/>
          <w:color w:val="000000"/>
          <w:sz w:val="32"/>
          <w:u w:color="auto"/>
        </w:rPr>
        <w:t>0</w:t>
      </w:r>
      <w:r>
        <w:rPr>
          <w:rFonts w:hint="eastAsia" w:ascii="仿宋" w:hAnsi="仿宋" w:eastAsia="仿宋"/>
          <w:color w:val="000000"/>
          <w:sz w:val="32"/>
          <w:szCs w:val="32"/>
        </w:rPr>
        <w:t>台（套），单价</w:t>
      </w:r>
      <w:r>
        <w:rPr>
          <w:rFonts w:ascii="仿宋" w:hAnsi="仿宋" w:eastAsia="仿宋"/>
          <w:color w:val="000000"/>
          <w:sz w:val="32"/>
          <w:szCs w:val="32"/>
        </w:rPr>
        <w:t>100</w:t>
      </w:r>
      <w:r>
        <w:rPr>
          <w:rFonts w:hint="eastAsia" w:ascii="仿宋" w:hAnsi="仿宋" w:eastAsia="仿宋"/>
          <w:color w:val="000000"/>
          <w:sz w:val="32"/>
          <w:szCs w:val="32"/>
        </w:rPr>
        <w:t>万元以上专用设备</w:t>
      </w:r>
      <w:r>
        <w:rPr>
          <w:rFonts w:ascii="仿宋" w:hAnsi="仿宋" w:eastAsia="仿宋"/>
          <w:color w:val="000000"/>
          <w:sz w:val="32"/>
          <w:u w:color="auto"/>
        </w:rPr>
        <w:t>—</w:t>
      </w:r>
      <w:r>
        <w:rPr>
          <w:rFonts w:hint="eastAsia" w:ascii="仿宋" w:hAnsi="仿宋" w:eastAsia="仿宋"/>
          <w:color w:val="000000"/>
          <w:sz w:val="32"/>
          <w:szCs w:val="32"/>
        </w:rPr>
        <w:t>台（套）。</w:t>
      </w:r>
    </w:p>
    <w:p>
      <w:pPr>
        <w:spacing w:line="600"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pPr>
        <w:pStyle w:val="5"/>
      </w:pPr>
      <w:r>
        <w:rPr>
          <w:rFonts w:hint="eastAsia"/>
        </w:rPr>
        <w:t xml:space="preserve"> </w:t>
      </w:r>
    </w:p>
    <w:p>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highlight w:val="none"/>
          <w:shd w:val="clear" w:color="auto" w:fill="FFFFFF"/>
          <w:lang w:val="zh-CN"/>
        </w:rPr>
      </w:pPr>
      <w:r>
        <w:rPr>
          <w:rFonts w:hint="eastAsia" w:ascii="仿宋" w:hAnsi="仿宋" w:eastAsia="仿宋" w:cs="仿宋"/>
          <w:color w:val="000000"/>
          <w:kern w:val="0"/>
          <w:sz w:val="32"/>
          <w:szCs w:val="32"/>
          <w:highlight w:val="none"/>
          <w:shd w:val="clear" w:color="auto" w:fill="FFFFFF"/>
        </w:rPr>
        <w:t>一、</w:t>
      </w:r>
      <w:r>
        <w:rPr>
          <w:rFonts w:hint="eastAsia" w:ascii="仿宋" w:hAnsi="仿宋" w:eastAsia="仿宋" w:cs="仿宋"/>
          <w:color w:val="000000"/>
          <w:kern w:val="0"/>
          <w:sz w:val="32"/>
          <w:szCs w:val="32"/>
          <w:highlight w:val="none"/>
          <w:shd w:val="clear" w:color="auto" w:fill="FFFFFF"/>
          <w:lang w:val="zh-CN"/>
        </w:rPr>
        <w:t>部门（单位）概况</w:t>
      </w:r>
    </w:p>
    <w:p>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highlight w:val="none"/>
          <w:shd w:val="clear" w:color="auto" w:fill="FFFFFF"/>
          <w:lang w:val="zh-CN"/>
        </w:rPr>
      </w:pPr>
      <w:r>
        <w:rPr>
          <w:rFonts w:hint="eastAsia" w:ascii="仿宋" w:hAnsi="仿宋" w:eastAsia="仿宋" w:cs="仿宋"/>
          <w:color w:val="000000"/>
          <w:kern w:val="0"/>
          <w:sz w:val="32"/>
          <w:szCs w:val="32"/>
          <w:highlight w:val="none"/>
          <w:shd w:val="clear" w:color="auto" w:fill="FFFFFF"/>
          <w:lang w:val="zh-CN"/>
        </w:rPr>
        <w:t>（一）机构组成。</w:t>
      </w:r>
    </w:p>
    <w:p>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highlight w:val="none"/>
          <w:shd w:val="clear" w:color="auto" w:fill="FFFFFF"/>
          <w:lang w:val="zh-CN"/>
        </w:rPr>
      </w:pPr>
      <w:r>
        <w:rPr>
          <w:rFonts w:hint="eastAsia" w:ascii="仿宋" w:hAnsi="仿宋" w:eastAsia="仿宋" w:cs="仿宋"/>
          <w:color w:val="000000"/>
          <w:sz w:val="32"/>
          <w:szCs w:val="32"/>
          <w:highlight w:val="none"/>
          <w:lang w:eastAsia="zh-CN"/>
        </w:rPr>
        <w:t>松潘县</w:t>
      </w:r>
      <w:r>
        <w:rPr>
          <w:rFonts w:hint="eastAsia" w:ascii="仿宋" w:hAnsi="仿宋" w:eastAsia="仿宋" w:cs="仿宋"/>
          <w:color w:val="000000"/>
          <w:sz w:val="32"/>
          <w:szCs w:val="32"/>
          <w:highlight w:val="none"/>
          <w:lang w:val="en-US" w:eastAsia="zh-CN"/>
        </w:rPr>
        <w:t>安宏乡卫生院</w:t>
      </w:r>
      <w:r>
        <w:rPr>
          <w:rFonts w:hint="eastAsia" w:ascii="仿宋" w:hAnsi="仿宋" w:eastAsia="仿宋" w:cs="仿宋"/>
          <w:color w:val="000000"/>
          <w:sz w:val="32"/>
          <w:szCs w:val="32"/>
          <w:highlight w:val="none"/>
          <w:lang w:eastAsia="zh-CN"/>
        </w:rPr>
        <w:t>属</w:t>
      </w:r>
      <w:r>
        <w:rPr>
          <w:rFonts w:hint="eastAsia" w:ascii="仿宋" w:hAnsi="仿宋" w:eastAsia="仿宋" w:cs="仿宋"/>
          <w:color w:val="000000"/>
          <w:sz w:val="32"/>
          <w:szCs w:val="32"/>
          <w:highlight w:val="none"/>
          <w:lang w:val="en-US" w:eastAsia="zh-CN"/>
        </w:rPr>
        <w:t>事业</w:t>
      </w:r>
      <w:r>
        <w:rPr>
          <w:rFonts w:hint="eastAsia" w:ascii="仿宋" w:hAnsi="仿宋" w:eastAsia="仿宋" w:cs="仿宋"/>
          <w:color w:val="000000"/>
          <w:sz w:val="32"/>
          <w:szCs w:val="32"/>
          <w:highlight w:val="none"/>
          <w:lang w:eastAsia="zh-CN"/>
        </w:rPr>
        <w:t>单位</w:t>
      </w:r>
    </w:p>
    <w:p>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highlight w:val="none"/>
          <w:shd w:val="clear" w:color="auto" w:fill="FFFFFF"/>
          <w:lang w:val="zh-CN"/>
        </w:rPr>
      </w:pPr>
      <w:r>
        <w:rPr>
          <w:rFonts w:hint="eastAsia" w:ascii="仿宋" w:hAnsi="仿宋" w:eastAsia="仿宋" w:cs="仿宋"/>
          <w:color w:val="000000"/>
          <w:kern w:val="0"/>
          <w:sz w:val="32"/>
          <w:szCs w:val="32"/>
          <w:highlight w:val="none"/>
          <w:shd w:val="clear" w:color="auto" w:fill="FFFFFF"/>
          <w:lang w:val="zh-CN"/>
        </w:rPr>
        <w:t>（二）机构职能。</w:t>
      </w:r>
    </w:p>
    <w:p>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highlight w:val="none"/>
          <w:shd w:val="clear" w:color="auto" w:fill="FFFFFF"/>
          <w:lang w:val="en-US" w:eastAsia="zh-CN"/>
        </w:rPr>
      </w:pPr>
      <w:r>
        <w:rPr>
          <w:rFonts w:hint="eastAsia" w:ascii="仿宋" w:hAnsi="仿宋" w:eastAsia="仿宋" w:cs="仿宋"/>
          <w:color w:val="000000"/>
          <w:kern w:val="0"/>
          <w:sz w:val="32"/>
          <w:szCs w:val="32"/>
          <w:highlight w:val="none"/>
          <w:shd w:val="clear" w:color="auto" w:fill="FFFFFF"/>
          <w:lang w:val="en-US" w:eastAsia="zh-CN"/>
        </w:rPr>
        <w:t>1、负责本乡镇的卫生工作法律法规、政策的贯彻，卫生事业发展规划和工作计划的制定，社会公共卫生工作的组织和实施。</w:t>
      </w:r>
    </w:p>
    <w:p>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highlight w:val="none"/>
          <w:shd w:val="clear" w:color="auto" w:fill="FFFFFF"/>
          <w:lang w:val="en-US" w:eastAsia="zh-CN"/>
        </w:rPr>
      </w:pPr>
      <w:r>
        <w:rPr>
          <w:rFonts w:hint="eastAsia" w:ascii="仿宋" w:hAnsi="仿宋" w:eastAsia="仿宋" w:cs="仿宋"/>
          <w:color w:val="000000"/>
          <w:kern w:val="0"/>
          <w:sz w:val="32"/>
          <w:szCs w:val="32"/>
          <w:highlight w:val="none"/>
          <w:shd w:val="clear" w:color="auto" w:fill="FFFFFF"/>
          <w:lang w:val="en-US" w:eastAsia="zh-CN"/>
        </w:rPr>
        <w:t>2、负责本乡镇的基本医疗服务。</w:t>
      </w:r>
    </w:p>
    <w:p>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highlight w:val="none"/>
          <w:shd w:val="clear" w:color="auto" w:fill="FFFFFF"/>
          <w:lang w:val="en-US" w:eastAsia="zh-CN"/>
        </w:rPr>
      </w:pPr>
      <w:r>
        <w:rPr>
          <w:rFonts w:hint="eastAsia" w:ascii="仿宋" w:hAnsi="仿宋" w:eastAsia="仿宋" w:cs="仿宋"/>
          <w:color w:val="000000"/>
          <w:kern w:val="0"/>
          <w:sz w:val="32"/>
          <w:szCs w:val="32"/>
          <w:highlight w:val="none"/>
          <w:shd w:val="clear" w:color="auto" w:fill="FFFFFF"/>
          <w:lang w:val="en-US" w:eastAsia="zh-CN"/>
        </w:rPr>
        <w:t>3、负责本乡镇突发公共卫生事件的报告，并依据上级部门要求组织实施处置。</w:t>
      </w:r>
    </w:p>
    <w:p>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highlight w:val="none"/>
          <w:shd w:val="clear" w:color="auto" w:fill="FFFFFF"/>
          <w:lang w:val="en-US" w:eastAsia="zh-CN"/>
        </w:rPr>
      </w:pPr>
      <w:r>
        <w:rPr>
          <w:rFonts w:hint="eastAsia" w:ascii="仿宋" w:hAnsi="仿宋" w:eastAsia="仿宋" w:cs="仿宋"/>
          <w:color w:val="000000"/>
          <w:kern w:val="0"/>
          <w:sz w:val="32"/>
          <w:szCs w:val="32"/>
          <w:highlight w:val="none"/>
          <w:shd w:val="clear" w:color="auto" w:fill="FFFFFF"/>
          <w:lang w:val="en-US" w:eastAsia="zh-CN"/>
        </w:rPr>
        <w:t>4、负责本乡镇辖区内的卫生信息统计、分析、上报。</w:t>
      </w:r>
    </w:p>
    <w:p>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highlight w:val="none"/>
          <w:shd w:val="clear" w:color="auto" w:fill="FFFFFF"/>
          <w:lang w:val="en-US" w:eastAsia="zh-CN"/>
        </w:rPr>
      </w:pPr>
      <w:r>
        <w:rPr>
          <w:rFonts w:hint="eastAsia" w:ascii="仿宋" w:hAnsi="仿宋" w:eastAsia="仿宋" w:cs="仿宋"/>
          <w:color w:val="000000"/>
          <w:kern w:val="0"/>
          <w:sz w:val="32"/>
          <w:szCs w:val="32"/>
          <w:highlight w:val="none"/>
          <w:shd w:val="clear" w:color="auto" w:fill="FFFFFF"/>
          <w:lang w:val="en-US" w:eastAsia="zh-CN"/>
        </w:rPr>
        <w:t>5、负责对本乡镇辖区内村级卫生组织和乡村医生的业务指导和培训。</w:t>
      </w:r>
    </w:p>
    <w:p>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highlight w:val="none"/>
          <w:shd w:val="clear" w:color="auto" w:fill="FFFFFF"/>
          <w:lang w:val="en-US" w:eastAsia="zh-CN"/>
        </w:rPr>
      </w:pPr>
      <w:r>
        <w:rPr>
          <w:rFonts w:hint="eastAsia" w:ascii="仿宋" w:hAnsi="仿宋" w:eastAsia="仿宋" w:cs="仿宋"/>
          <w:color w:val="000000"/>
          <w:kern w:val="0"/>
          <w:sz w:val="32"/>
          <w:szCs w:val="32"/>
          <w:highlight w:val="none"/>
          <w:shd w:val="clear" w:color="auto" w:fill="FFFFFF"/>
          <w:lang w:val="en-US" w:eastAsia="zh-CN"/>
        </w:rPr>
        <w:t>6、负责承办政府卫生行政部门委托的相关业务和事项，负责上级卫生行政部门下达的其他工作。</w:t>
      </w:r>
    </w:p>
    <w:p>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highlight w:val="none"/>
          <w:shd w:val="clear" w:color="auto" w:fill="FFFFFF"/>
          <w:lang w:val="en-US" w:eastAsia="zh-CN"/>
        </w:rPr>
      </w:pPr>
    </w:p>
    <w:p>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highlight w:val="none"/>
          <w:shd w:val="clear" w:color="auto" w:fill="FFFFFF"/>
          <w:lang w:val="zh-CN"/>
        </w:rPr>
      </w:pPr>
      <w:r>
        <w:rPr>
          <w:rFonts w:hint="eastAsia" w:ascii="仿宋" w:hAnsi="仿宋" w:eastAsia="仿宋" w:cs="仿宋"/>
          <w:color w:val="000000"/>
          <w:kern w:val="0"/>
          <w:sz w:val="32"/>
          <w:szCs w:val="32"/>
          <w:highlight w:val="none"/>
          <w:shd w:val="clear" w:color="auto" w:fill="FFFFFF"/>
          <w:lang w:val="zh-CN"/>
        </w:rPr>
        <w:t>（三）人员概况。</w:t>
      </w:r>
    </w:p>
    <w:p>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highlight w:val="none"/>
          <w:shd w:val="clear" w:color="auto" w:fill="FFFFFF"/>
          <w:lang w:val="zh-CN"/>
        </w:rPr>
      </w:pPr>
      <w:r>
        <w:rPr>
          <w:rFonts w:hint="eastAsia" w:ascii="仿宋" w:hAnsi="仿宋" w:eastAsia="仿宋" w:cs="仿宋"/>
          <w:color w:val="000000"/>
          <w:kern w:val="0"/>
          <w:sz w:val="32"/>
          <w:szCs w:val="32"/>
          <w:highlight w:val="none"/>
          <w:shd w:val="clear" w:color="auto" w:fill="FFFFFF"/>
          <w:lang w:val="zh-CN"/>
        </w:rPr>
        <w:t>202</w:t>
      </w:r>
      <w:r>
        <w:rPr>
          <w:rFonts w:hint="eastAsia" w:ascii="仿宋" w:hAnsi="仿宋" w:eastAsia="仿宋" w:cs="仿宋"/>
          <w:color w:val="000000"/>
          <w:kern w:val="0"/>
          <w:sz w:val="32"/>
          <w:szCs w:val="32"/>
          <w:highlight w:val="none"/>
          <w:shd w:val="clear" w:color="auto" w:fill="FFFFFF"/>
          <w:lang w:val="en-US" w:eastAsia="zh-CN"/>
        </w:rPr>
        <w:t>2</w:t>
      </w:r>
      <w:r>
        <w:rPr>
          <w:rFonts w:hint="eastAsia" w:ascii="仿宋" w:hAnsi="仿宋" w:eastAsia="仿宋" w:cs="仿宋"/>
          <w:color w:val="000000"/>
          <w:kern w:val="0"/>
          <w:sz w:val="32"/>
          <w:szCs w:val="32"/>
          <w:highlight w:val="none"/>
          <w:shd w:val="clear" w:color="auto" w:fill="FFFFFF"/>
          <w:lang w:val="zh-CN"/>
        </w:rPr>
        <w:t>年</w:t>
      </w:r>
      <w:r>
        <w:rPr>
          <w:rFonts w:hint="eastAsia" w:ascii="仿宋" w:hAnsi="仿宋" w:eastAsia="仿宋" w:cs="仿宋"/>
          <w:color w:val="000000"/>
          <w:kern w:val="0"/>
          <w:sz w:val="32"/>
          <w:szCs w:val="32"/>
          <w:highlight w:val="none"/>
          <w:shd w:val="clear" w:color="auto" w:fill="FFFFFF"/>
          <w:lang w:val="en-US" w:eastAsia="zh-CN"/>
        </w:rPr>
        <w:t>安宏卫生院</w:t>
      </w:r>
      <w:r>
        <w:rPr>
          <w:rFonts w:hint="eastAsia" w:ascii="仿宋" w:hAnsi="仿宋" w:eastAsia="仿宋" w:cs="仿宋"/>
          <w:color w:val="000000"/>
          <w:kern w:val="0"/>
          <w:sz w:val="32"/>
          <w:szCs w:val="32"/>
          <w:highlight w:val="none"/>
          <w:shd w:val="clear" w:color="auto" w:fill="FFFFFF"/>
          <w:lang w:val="zh-CN"/>
        </w:rPr>
        <w:t>在职人数</w:t>
      </w:r>
      <w:r>
        <w:rPr>
          <w:rFonts w:hint="eastAsia" w:ascii="仿宋" w:hAnsi="仿宋" w:eastAsia="仿宋" w:cs="仿宋"/>
          <w:color w:val="000000"/>
          <w:kern w:val="0"/>
          <w:sz w:val="32"/>
          <w:szCs w:val="32"/>
          <w:highlight w:val="none"/>
          <w:shd w:val="clear" w:color="auto" w:fill="FFFFFF"/>
          <w:lang w:val="en-US" w:eastAsia="zh-CN"/>
        </w:rPr>
        <w:t>8</w:t>
      </w:r>
      <w:r>
        <w:rPr>
          <w:rFonts w:hint="eastAsia" w:ascii="仿宋" w:hAnsi="仿宋" w:eastAsia="仿宋" w:cs="仿宋"/>
          <w:color w:val="000000"/>
          <w:kern w:val="0"/>
          <w:sz w:val="32"/>
          <w:szCs w:val="32"/>
          <w:highlight w:val="none"/>
          <w:shd w:val="clear" w:color="auto" w:fill="FFFFFF"/>
          <w:lang w:val="zh-CN"/>
        </w:rPr>
        <w:t>人。</w:t>
      </w:r>
    </w:p>
    <w:p>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highlight w:val="none"/>
          <w:shd w:val="clear" w:color="auto" w:fill="FFFFFF"/>
        </w:rPr>
      </w:pPr>
      <w:r>
        <w:rPr>
          <w:rFonts w:hint="eastAsia" w:ascii="仿宋" w:hAnsi="仿宋" w:eastAsia="仿宋" w:cs="仿宋"/>
          <w:color w:val="000000"/>
          <w:kern w:val="0"/>
          <w:sz w:val="32"/>
          <w:szCs w:val="32"/>
          <w:highlight w:val="none"/>
          <w:shd w:val="clear" w:color="auto" w:fill="FFFFFF"/>
        </w:rPr>
        <w:t>二、部门财政资金收支情况</w:t>
      </w:r>
    </w:p>
    <w:p>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highlight w:val="none"/>
          <w:shd w:val="clear" w:color="auto" w:fill="FFFFFF"/>
          <w:lang w:val="zh-CN"/>
        </w:rPr>
      </w:pPr>
      <w:r>
        <w:rPr>
          <w:rFonts w:hint="eastAsia" w:ascii="仿宋" w:hAnsi="仿宋" w:eastAsia="仿宋" w:cs="仿宋"/>
          <w:color w:val="000000"/>
          <w:kern w:val="0"/>
          <w:sz w:val="32"/>
          <w:szCs w:val="32"/>
          <w:highlight w:val="none"/>
          <w:shd w:val="clear" w:color="auto" w:fill="FFFFFF"/>
          <w:lang w:val="zh-CN"/>
        </w:rPr>
        <w:t>（一）部门财政资金收入情况。</w:t>
      </w:r>
    </w:p>
    <w:p>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highlight w:val="none"/>
          <w:shd w:val="clear" w:color="auto" w:fill="FFFFFF"/>
          <w:lang w:val="zh-CN"/>
        </w:rPr>
      </w:pPr>
      <w:r>
        <w:rPr>
          <w:rFonts w:hint="eastAsia" w:ascii="仿宋" w:hAnsi="仿宋" w:eastAsia="仿宋" w:cs="仿宋"/>
          <w:color w:val="000000"/>
          <w:kern w:val="0"/>
          <w:sz w:val="32"/>
          <w:szCs w:val="32"/>
          <w:highlight w:val="none"/>
          <w:shd w:val="clear" w:color="auto" w:fill="FFFFFF"/>
          <w:lang w:val="zh-CN"/>
        </w:rPr>
        <w:t>202</w:t>
      </w:r>
      <w:r>
        <w:rPr>
          <w:rFonts w:hint="eastAsia" w:ascii="仿宋" w:hAnsi="仿宋" w:eastAsia="仿宋" w:cs="仿宋"/>
          <w:color w:val="000000"/>
          <w:kern w:val="0"/>
          <w:sz w:val="32"/>
          <w:szCs w:val="32"/>
          <w:highlight w:val="none"/>
          <w:shd w:val="clear" w:color="auto" w:fill="FFFFFF"/>
          <w:lang w:val="en-US" w:eastAsia="zh-CN"/>
        </w:rPr>
        <w:t>2</w:t>
      </w:r>
      <w:r>
        <w:rPr>
          <w:rFonts w:hint="eastAsia" w:ascii="仿宋" w:hAnsi="仿宋" w:eastAsia="仿宋" w:cs="仿宋"/>
          <w:color w:val="000000"/>
          <w:kern w:val="0"/>
          <w:sz w:val="32"/>
          <w:szCs w:val="32"/>
          <w:highlight w:val="none"/>
          <w:shd w:val="clear" w:color="auto" w:fill="FFFFFF"/>
          <w:lang w:val="zh-CN"/>
        </w:rPr>
        <w:t>年度财政拨款收入总计</w:t>
      </w:r>
      <w:r>
        <w:rPr>
          <w:rFonts w:hint="eastAsia" w:ascii="仿宋" w:hAnsi="仿宋" w:eastAsia="仿宋" w:cs="仿宋"/>
          <w:color w:val="000000"/>
          <w:kern w:val="0"/>
          <w:sz w:val="32"/>
          <w:szCs w:val="32"/>
          <w:highlight w:val="none"/>
          <w:shd w:val="clear" w:color="auto" w:fill="FFFFFF"/>
          <w:lang w:val="en-US" w:eastAsia="zh-CN"/>
        </w:rPr>
        <w:t>220.63</w:t>
      </w:r>
      <w:r>
        <w:rPr>
          <w:rFonts w:hint="eastAsia" w:ascii="仿宋" w:hAnsi="仿宋" w:eastAsia="仿宋" w:cs="仿宋"/>
          <w:color w:val="000000"/>
          <w:kern w:val="0"/>
          <w:sz w:val="32"/>
          <w:szCs w:val="32"/>
          <w:highlight w:val="none"/>
          <w:shd w:val="clear" w:color="auto" w:fill="FFFFFF"/>
          <w:lang w:val="zh-CN"/>
        </w:rPr>
        <w:t>万元（</w:t>
      </w:r>
      <w:r>
        <w:rPr>
          <w:rFonts w:hint="eastAsia" w:ascii="仿宋" w:hAnsi="仿宋" w:eastAsia="仿宋" w:cs="仿宋"/>
          <w:color w:val="000000"/>
          <w:kern w:val="0"/>
          <w:sz w:val="32"/>
          <w:szCs w:val="32"/>
          <w:highlight w:val="none"/>
          <w:shd w:val="clear" w:color="auto" w:fill="FFFFFF"/>
          <w:lang w:val="en-US" w:eastAsia="zh-CN"/>
        </w:rPr>
        <w:t>2021年以前所有卫生院资金合并在大平台未分开）。</w:t>
      </w:r>
    </w:p>
    <w:p>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highlight w:val="none"/>
          <w:shd w:val="clear" w:color="auto" w:fill="FFFFFF"/>
          <w:lang w:val="zh-CN"/>
        </w:rPr>
      </w:pPr>
      <w:r>
        <w:rPr>
          <w:rFonts w:hint="eastAsia" w:ascii="仿宋" w:hAnsi="仿宋" w:eastAsia="仿宋" w:cs="仿宋"/>
          <w:color w:val="000000"/>
          <w:kern w:val="0"/>
          <w:sz w:val="32"/>
          <w:szCs w:val="32"/>
          <w:highlight w:val="none"/>
          <w:shd w:val="clear" w:color="auto" w:fill="FFFFFF"/>
          <w:lang w:val="zh-CN"/>
        </w:rPr>
        <w:t>202</w:t>
      </w:r>
      <w:r>
        <w:rPr>
          <w:rFonts w:hint="eastAsia" w:ascii="仿宋" w:hAnsi="仿宋" w:eastAsia="仿宋" w:cs="仿宋"/>
          <w:color w:val="000000"/>
          <w:kern w:val="0"/>
          <w:sz w:val="32"/>
          <w:szCs w:val="32"/>
          <w:highlight w:val="none"/>
          <w:shd w:val="clear" w:color="auto" w:fill="FFFFFF"/>
          <w:lang w:val="en-US" w:eastAsia="zh-CN"/>
        </w:rPr>
        <w:t>3</w:t>
      </w:r>
      <w:r>
        <w:rPr>
          <w:rFonts w:hint="eastAsia" w:ascii="仿宋" w:hAnsi="仿宋" w:eastAsia="仿宋" w:cs="仿宋"/>
          <w:color w:val="000000"/>
          <w:kern w:val="0"/>
          <w:sz w:val="32"/>
          <w:szCs w:val="32"/>
          <w:highlight w:val="none"/>
          <w:shd w:val="clear" w:color="auto" w:fill="FFFFFF"/>
          <w:lang w:val="zh-CN"/>
        </w:rPr>
        <w:t>年1-6月公共预算财政拨款收入</w:t>
      </w:r>
      <w:r>
        <w:rPr>
          <w:rFonts w:hint="eastAsia" w:ascii="仿宋" w:hAnsi="仿宋" w:eastAsia="仿宋" w:cs="仿宋"/>
          <w:color w:val="000000"/>
          <w:kern w:val="0"/>
          <w:sz w:val="32"/>
          <w:szCs w:val="32"/>
          <w:highlight w:val="none"/>
          <w:shd w:val="clear" w:color="auto" w:fill="FFFFFF"/>
          <w:lang w:val="en-US" w:eastAsia="zh-CN"/>
        </w:rPr>
        <w:t>181.98</w:t>
      </w:r>
      <w:r>
        <w:rPr>
          <w:rFonts w:hint="eastAsia" w:ascii="仿宋" w:hAnsi="仿宋" w:eastAsia="仿宋" w:cs="仿宋"/>
          <w:color w:val="000000"/>
          <w:kern w:val="0"/>
          <w:sz w:val="32"/>
          <w:szCs w:val="32"/>
          <w:highlight w:val="none"/>
          <w:shd w:val="clear" w:color="auto" w:fill="FFFFFF"/>
          <w:lang w:val="zh-CN"/>
        </w:rPr>
        <w:t>万元</w:t>
      </w:r>
    </w:p>
    <w:p>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highlight w:val="none"/>
          <w:shd w:val="clear" w:color="auto" w:fill="FFFFFF"/>
          <w:lang w:val="zh-CN"/>
        </w:rPr>
      </w:pPr>
      <w:r>
        <w:rPr>
          <w:rFonts w:hint="eastAsia" w:ascii="仿宋" w:hAnsi="仿宋" w:eastAsia="仿宋" w:cs="仿宋"/>
          <w:color w:val="000000"/>
          <w:kern w:val="0"/>
          <w:sz w:val="32"/>
          <w:szCs w:val="32"/>
          <w:highlight w:val="none"/>
          <w:shd w:val="clear" w:color="auto" w:fill="FFFFFF"/>
          <w:lang w:val="zh-CN"/>
        </w:rPr>
        <w:t>（二）部门财政资金支出情况。</w:t>
      </w:r>
    </w:p>
    <w:p>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highlight w:val="none"/>
          <w:shd w:val="clear" w:color="auto" w:fill="FFFFFF"/>
          <w:lang w:val="zh-CN"/>
        </w:rPr>
      </w:pPr>
      <w:r>
        <w:rPr>
          <w:rFonts w:hint="eastAsia" w:ascii="仿宋" w:hAnsi="仿宋" w:eastAsia="仿宋" w:cs="仿宋"/>
          <w:color w:val="000000"/>
          <w:kern w:val="0"/>
          <w:sz w:val="32"/>
          <w:szCs w:val="32"/>
          <w:highlight w:val="none"/>
          <w:shd w:val="clear" w:color="auto" w:fill="FFFFFF"/>
          <w:lang w:val="zh-CN"/>
        </w:rPr>
        <w:t>202</w:t>
      </w:r>
      <w:r>
        <w:rPr>
          <w:rFonts w:hint="eastAsia" w:ascii="仿宋" w:hAnsi="仿宋" w:eastAsia="仿宋" w:cs="仿宋"/>
          <w:color w:val="000000"/>
          <w:kern w:val="0"/>
          <w:sz w:val="32"/>
          <w:szCs w:val="32"/>
          <w:highlight w:val="none"/>
          <w:shd w:val="clear" w:color="auto" w:fill="FFFFFF"/>
          <w:lang w:val="en-US" w:eastAsia="zh-CN"/>
        </w:rPr>
        <w:t>2</w:t>
      </w:r>
      <w:r>
        <w:rPr>
          <w:rFonts w:hint="eastAsia" w:ascii="仿宋" w:hAnsi="仿宋" w:eastAsia="仿宋" w:cs="仿宋"/>
          <w:color w:val="000000"/>
          <w:kern w:val="0"/>
          <w:sz w:val="32"/>
          <w:szCs w:val="32"/>
          <w:highlight w:val="none"/>
          <w:shd w:val="clear" w:color="auto" w:fill="FFFFFF"/>
          <w:lang w:val="zh-CN"/>
        </w:rPr>
        <w:t>年度财政拨款支出</w:t>
      </w:r>
      <w:r>
        <w:rPr>
          <w:rFonts w:hint="eastAsia" w:ascii="仿宋" w:hAnsi="仿宋" w:eastAsia="仿宋" w:cs="仿宋"/>
          <w:color w:val="000000"/>
          <w:kern w:val="0"/>
          <w:sz w:val="32"/>
          <w:szCs w:val="32"/>
          <w:highlight w:val="none"/>
          <w:shd w:val="clear" w:color="auto" w:fill="FFFFFF"/>
          <w:lang w:val="en-US" w:eastAsia="zh-CN"/>
        </w:rPr>
        <w:t>217.97</w:t>
      </w:r>
      <w:r>
        <w:rPr>
          <w:rFonts w:hint="eastAsia" w:ascii="仿宋" w:hAnsi="仿宋" w:eastAsia="仿宋" w:cs="仿宋"/>
          <w:color w:val="000000"/>
          <w:kern w:val="0"/>
          <w:sz w:val="32"/>
          <w:szCs w:val="32"/>
          <w:highlight w:val="none"/>
          <w:shd w:val="clear" w:color="auto" w:fill="FFFFFF"/>
          <w:lang w:val="zh-CN"/>
        </w:rPr>
        <w:t>万元（</w:t>
      </w:r>
      <w:r>
        <w:rPr>
          <w:rFonts w:hint="eastAsia" w:ascii="仿宋" w:hAnsi="仿宋" w:eastAsia="仿宋" w:cs="仿宋"/>
          <w:color w:val="000000"/>
          <w:kern w:val="0"/>
          <w:sz w:val="32"/>
          <w:szCs w:val="32"/>
          <w:highlight w:val="none"/>
          <w:shd w:val="clear" w:color="auto" w:fill="FFFFFF"/>
          <w:lang w:val="en-US" w:eastAsia="zh-CN"/>
        </w:rPr>
        <w:t>2021年以前所有卫生院资金合并在大平台未分开）</w:t>
      </w:r>
      <w:r>
        <w:rPr>
          <w:rFonts w:hint="eastAsia" w:ascii="仿宋" w:hAnsi="仿宋" w:eastAsia="仿宋" w:cs="仿宋"/>
          <w:color w:val="000000"/>
          <w:kern w:val="0"/>
          <w:sz w:val="32"/>
          <w:szCs w:val="32"/>
          <w:highlight w:val="none"/>
          <w:shd w:val="clear" w:color="auto" w:fill="FFFFFF"/>
          <w:lang w:val="zh-CN"/>
        </w:rPr>
        <w:t>。</w:t>
      </w:r>
    </w:p>
    <w:p>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highlight w:val="none"/>
          <w:shd w:val="clear" w:color="auto" w:fill="FFFFFF"/>
          <w:lang w:val="zh-CN"/>
        </w:rPr>
      </w:pPr>
      <w:r>
        <w:rPr>
          <w:rFonts w:hint="eastAsia" w:ascii="仿宋" w:hAnsi="仿宋" w:eastAsia="仿宋" w:cs="仿宋"/>
          <w:color w:val="000000"/>
          <w:kern w:val="0"/>
          <w:sz w:val="32"/>
          <w:szCs w:val="32"/>
          <w:highlight w:val="none"/>
          <w:shd w:val="clear" w:color="auto" w:fill="FFFFFF"/>
          <w:lang w:val="zh-CN"/>
        </w:rPr>
        <w:t>1、202</w:t>
      </w:r>
      <w:r>
        <w:rPr>
          <w:rFonts w:hint="eastAsia" w:ascii="仿宋" w:hAnsi="仿宋" w:eastAsia="仿宋" w:cs="仿宋"/>
          <w:color w:val="000000"/>
          <w:kern w:val="0"/>
          <w:sz w:val="32"/>
          <w:szCs w:val="32"/>
          <w:highlight w:val="none"/>
          <w:shd w:val="clear" w:color="auto" w:fill="FFFFFF"/>
          <w:lang w:val="en-US" w:eastAsia="zh-CN"/>
        </w:rPr>
        <w:t>2</w:t>
      </w:r>
      <w:r>
        <w:rPr>
          <w:rFonts w:hint="eastAsia" w:ascii="仿宋" w:hAnsi="仿宋" w:eastAsia="仿宋" w:cs="仿宋"/>
          <w:color w:val="000000"/>
          <w:kern w:val="0"/>
          <w:sz w:val="32"/>
          <w:szCs w:val="32"/>
          <w:highlight w:val="none"/>
          <w:shd w:val="clear" w:color="auto" w:fill="FFFFFF"/>
          <w:lang w:val="zh-CN"/>
        </w:rPr>
        <w:t>年度一般公共预算财政拨款基本支出</w:t>
      </w:r>
      <w:r>
        <w:rPr>
          <w:rFonts w:hint="eastAsia" w:ascii="仿宋" w:hAnsi="仿宋" w:eastAsia="仿宋" w:cs="仿宋"/>
          <w:color w:val="000000"/>
          <w:kern w:val="0"/>
          <w:sz w:val="32"/>
          <w:szCs w:val="32"/>
          <w:highlight w:val="none"/>
          <w:shd w:val="clear" w:color="auto" w:fill="FFFFFF"/>
          <w:lang w:val="en-US" w:eastAsia="zh-CN"/>
        </w:rPr>
        <w:t>185.19</w:t>
      </w:r>
      <w:r>
        <w:rPr>
          <w:rFonts w:hint="eastAsia" w:ascii="仿宋" w:hAnsi="仿宋" w:eastAsia="仿宋" w:cs="仿宋"/>
          <w:color w:val="000000"/>
          <w:kern w:val="0"/>
          <w:sz w:val="32"/>
          <w:szCs w:val="32"/>
          <w:highlight w:val="none"/>
          <w:shd w:val="clear" w:color="auto" w:fill="FFFFFF"/>
          <w:lang w:val="zh-CN"/>
        </w:rPr>
        <w:t>万元，其中：</w:t>
      </w:r>
    </w:p>
    <w:p>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highlight w:val="none"/>
          <w:shd w:val="clear" w:color="auto" w:fill="FFFFFF"/>
          <w:lang w:val="zh-CN"/>
        </w:rPr>
      </w:pPr>
      <w:r>
        <w:rPr>
          <w:rFonts w:hint="eastAsia" w:ascii="仿宋" w:hAnsi="仿宋" w:eastAsia="仿宋" w:cs="仿宋"/>
          <w:color w:val="000000"/>
          <w:kern w:val="0"/>
          <w:sz w:val="32"/>
          <w:szCs w:val="32"/>
          <w:highlight w:val="none"/>
          <w:shd w:val="clear" w:color="auto" w:fill="FFFFFF"/>
          <w:lang w:val="zh-CN"/>
        </w:rPr>
        <w:t>人员经费</w:t>
      </w:r>
      <w:r>
        <w:rPr>
          <w:rFonts w:hint="eastAsia" w:ascii="仿宋" w:hAnsi="仿宋" w:eastAsia="仿宋" w:cs="仿宋"/>
          <w:color w:val="000000"/>
          <w:kern w:val="0"/>
          <w:sz w:val="32"/>
          <w:szCs w:val="32"/>
          <w:highlight w:val="none"/>
          <w:shd w:val="clear" w:color="auto" w:fill="FFFFFF"/>
          <w:lang w:val="en-US" w:eastAsia="zh-CN"/>
        </w:rPr>
        <w:t>183.49</w:t>
      </w:r>
      <w:r>
        <w:rPr>
          <w:rFonts w:hint="eastAsia" w:ascii="仿宋" w:hAnsi="仿宋" w:eastAsia="仿宋" w:cs="仿宋"/>
          <w:color w:val="000000"/>
          <w:kern w:val="0"/>
          <w:sz w:val="32"/>
          <w:szCs w:val="32"/>
          <w:highlight w:val="none"/>
          <w:shd w:val="clear" w:color="auto" w:fill="FFFFFF"/>
          <w:lang w:val="zh-CN"/>
        </w:rPr>
        <w:t>万元，主要包括：基本工资、津贴补贴、奖金、伙食补助费、绩效工资、机关事业单位基本养老保险缴费、职业年金缴费、其他社会保障缴费、其他工资福利支出、离休费、退休费、抚恤金、生活补助、医疗费、奖励金、住房公积金、提租补贴、购房补贴、其他对个人和家庭的补助支出等。</w:t>
      </w:r>
    </w:p>
    <w:p>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highlight w:val="none"/>
          <w:shd w:val="clear" w:color="auto" w:fill="FFFFFF"/>
          <w:lang w:val="en-US" w:eastAsia="zh-CN"/>
        </w:rPr>
      </w:pPr>
      <w:r>
        <w:rPr>
          <w:rFonts w:hint="eastAsia" w:ascii="仿宋" w:hAnsi="仿宋" w:eastAsia="仿宋" w:cs="仿宋"/>
          <w:color w:val="000000"/>
          <w:kern w:val="0"/>
          <w:sz w:val="32"/>
          <w:szCs w:val="32"/>
          <w:highlight w:val="none"/>
          <w:shd w:val="clear" w:color="auto" w:fill="FFFFFF"/>
          <w:lang w:val="zh-CN"/>
        </w:rPr>
        <w:t>公用经费</w:t>
      </w:r>
      <w:r>
        <w:rPr>
          <w:rFonts w:hint="eastAsia" w:ascii="仿宋" w:hAnsi="仿宋" w:eastAsia="仿宋" w:cs="仿宋"/>
          <w:color w:val="000000"/>
          <w:kern w:val="0"/>
          <w:sz w:val="32"/>
          <w:szCs w:val="32"/>
          <w:highlight w:val="none"/>
          <w:shd w:val="clear" w:color="auto" w:fill="FFFFFF"/>
          <w:lang w:val="en-US" w:eastAsia="zh-CN"/>
        </w:rPr>
        <w:t>1.7</w:t>
      </w:r>
      <w:r>
        <w:rPr>
          <w:rFonts w:hint="eastAsia" w:ascii="仿宋" w:hAnsi="仿宋" w:eastAsia="仿宋" w:cs="仿宋"/>
          <w:color w:val="000000"/>
          <w:kern w:val="0"/>
          <w:sz w:val="32"/>
          <w:szCs w:val="32"/>
          <w:highlight w:val="none"/>
          <w:shd w:val="clear" w:color="auto" w:fill="FFFFFF"/>
          <w:lang w:val="zh-CN"/>
        </w:rPr>
        <w:t>万元，主要包括：工会经费</w:t>
      </w:r>
      <w:r>
        <w:rPr>
          <w:rFonts w:hint="eastAsia" w:ascii="仿宋" w:hAnsi="仿宋" w:eastAsia="仿宋" w:cs="仿宋"/>
          <w:color w:val="000000"/>
          <w:kern w:val="0"/>
          <w:sz w:val="32"/>
          <w:szCs w:val="32"/>
          <w:highlight w:val="none"/>
          <w:shd w:val="clear" w:color="auto" w:fill="FFFFFF"/>
          <w:lang w:val="en-US" w:eastAsia="zh-CN"/>
        </w:rPr>
        <w:t>.</w:t>
      </w:r>
    </w:p>
    <w:p>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highlight w:val="none"/>
          <w:shd w:val="clear" w:color="auto" w:fill="FFFFFF"/>
          <w:lang w:val="en-US" w:eastAsia="zh-CN"/>
        </w:rPr>
      </w:pPr>
      <w:r>
        <w:rPr>
          <w:rFonts w:hint="eastAsia" w:ascii="仿宋" w:hAnsi="仿宋" w:eastAsia="仿宋" w:cs="仿宋"/>
          <w:color w:val="000000"/>
          <w:kern w:val="0"/>
          <w:sz w:val="32"/>
          <w:szCs w:val="32"/>
          <w:highlight w:val="none"/>
          <w:shd w:val="clear" w:color="auto" w:fill="FFFFFF"/>
          <w:lang w:val="en-US" w:eastAsia="zh-CN"/>
        </w:rPr>
        <w:t>2、</w:t>
      </w:r>
      <w:r>
        <w:rPr>
          <w:rFonts w:hint="eastAsia" w:ascii="仿宋" w:hAnsi="仿宋" w:eastAsia="仿宋" w:cs="仿宋"/>
          <w:color w:val="000000"/>
          <w:kern w:val="0"/>
          <w:sz w:val="32"/>
          <w:szCs w:val="32"/>
          <w:highlight w:val="none"/>
          <w:shd w:val="clear" w:color="auto" w:fill="FFFFFF"/>
          <w:lang w:val="zh-CN"/>
        </w:rPr>
        <w:t>202</w:t>
      </w:r>
      <w:r>
        <w:rPr>
          <w:rFonts w:hint="eastAsia" w:ascii="仿宋" w:hAnsi="仿宋" w:eastAsia="仿宋" w:cs="仿宋"/>
          <w:color w:val="000000"/>
          <w:kern w:val="0"/>
          <w:sz w:val="32"/>
          <w:szCs w:val="32"/>
          <w:highlight w:val="none"/>
          <w:shd w:val="clear" w:color="auto" w:fill="FFFFFF"/>
          <w:lang w:val="en-US" w:eastAsia="zh-CN"/>
        </w:rPr>
        <w:t>2</w:t>
      </w:r>
      <w:r>
        <w:rPr>
          <w:rFonts w:hint="eastAsia" w:ascii="仿宋" w:hAnsi="仿宋" w:eastAsia="仿宋" w:cs="仿宋"/>
          <w:color w:val="000000"/>
          <w:kern w:val="0"/>
          <w:sz w:val="32"/>
          <w:szCs w:val="32"/>
          <w:highlight w:val="none"/>
          <w:shd w:val="clear" w:color="auto" w:fill="FFFFFF"/>
          <w:lang w:val="zh-CN"/>
        </w:rPr>
        <w:t>年项目支付</w:t>
      </w:r>
      <w:r>
        <w:rPr>
          <w:rFonts w:hint="eastAsia" w:ascii="仿宋" w:hAnsi="仿宋" w:eastAsia="仿宋" w:cs="仿宋"/>
          <w:color w:val="000000"/>
          <w:kern w:val="0"/>
          <w:sz w:val="32"/>
          <w:szCs w:val="32"/>
          <w:highlight w:val="none"/>
          <w:shd w:val="clear" w:color="auto" w:fill="FFFFFF"/>
          <w:lang w:val="en-US" w:eastAsia="zh-CN"/>
        </w:rPr>
        <w:t>32.78</w:t>
      </w:r>
      <w:r>
        <w:rPr>
          <w:rFonts w:hint="eastAsia" w:ascii="仿宋" w:hAnsi="仿宋" w:eastAsia="仿宋" w:cs="仿宋"/>
          <w:color w:val="000000"/>
          <w:kern w:val="0"/>
          <w:sz w:val="32"/>
          <w:szCs w:val="32"/>
          <w:highlight w:val="none"/>
          <w:shd w:val="clear" w:color="auto" w:fill="FFFFFF"/>
          <w:lang w:val="zh-CN"/>
        </w:rPr>
        <w:t>万元，</w:t>
      </w:r>
      <w:r>
        <w:rPr>
          <w:rFonts w:hint="eastAsia" w:ascii="仿宋" w:hAnsi="仿宋" w:eastAsia="仿宋" w:cs="仿宋"/>
          <w:color w:val="000000"/>
          <w:kern w:val="0"/>
          <w:sz w:val="32"/>
          <w:szCs w:val="32"/>
          <w:highlight w:val="none"/>
          <w:shd w:val="clear" w:color="auto" w:fill="FFFFFF"/>
          <w:lang w:val="en-US" w:eastAsia="zh-CN"/>
        </w:rPr>
        <w:t>主要包括：基本药物补助资金，基本公共卫生服务补助资金。</w:t>
      </w:r>
    </w:p>
    <w:p>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highlight w:val="none"/>
          <w:shd w:val="clear" w:color="auto" w:fill="FFFFFF"/>
          <w:lang w:val="zh-CN"/>
        </w:rPr>
      </w:pPr>
      <w:r>
        <w:rPr>
          <w:rFonts w:hint="eastAsia" w:ascii="仿宋" w:hAnsi="仿宋" w:eastAsia="仿宋" w:cs="仿宋"/>
          <w:color w:val="000000"/>
          <w:kern w:val="0"/>
          <w:sz w:val="32"/>
          <w:szCs w:val="32"/>
          <w:highlight w:val="none"/>
          <w:shd w:val="clear" w:color="auto" w:fill="FFFFFF"/>
          <w:lang w:val="zh-CN"/>
        </w:rPr>
        <w:t>202</w:t>
      </w:r>
      <w:r>
        <w:rPr>
          <w:rFonts w:hint="eastAsia" w:ascii="仿宋" w:hAnsi="仿宋" w:eastAsia="仿宋" w:cs="仿宋"/>
          <w:color w:val="000000"/>
          <w:kern w:val="0"/>
          <w:sz w:val="32"/>
          <w:szCs w:val="32"/>
          <w:highlight w:val="none"/>
          <w:shd w:val="clear" w:color="auto" w:fill="FFFFFF"/>
          <w:lang w:val="en-US" w:eastAsia="zh-CN"/>
        </w:rPr>
        <w:t>3</w:t>
      </w:r>
      <w:r>
        <w:rPr>
          <w:rFonts w:hint="eastAsia" w:ascii="仿宋" w:hAnsi="仿宋" w:eastAsia="仿宋" w:cs="仿宋"/>
          <w:color w:val="000000"/>
          <w:kern w:val="0"/>
          <w:sz w:val="32"/>
          <w:szCs w:val="32"/>
          <w:highlight w:val="none"/>
          <w:shd w:val="clear" w:color="auto" w:fill="FFFFFF"/>
          <w:lang w:val="zh-CN"/>
        </w:rPr>
        <w:t>年1-6月公共预算财政拨款支出</w:t>
      </w:r>
      <w:r>
        <w:rPr>
          <w:rFonts w:hint="eastAsia" w:ascii="仿宋" w:hAnsi="仿宋" w:eastAsia="仿宋" w:cs="仿宋"/>
          <w:color w:val="000000"/>
          <w:kern w:val="0"/>
          <w:sz w:val="32"/>
          <w:szCs w:val="32"/>
          <w:highlight w:val="none"/>
          <w:shd w:val="clear" w:color="auto" w:fill="FFFFFF"/>
          <w:lang w:val="en-US" w:eastAsia="zh-CN"/>
        </w:rPr>
        <w:t>93.65</w:t>
      </w:r>
      <w:r>
        <w:rPr>
          <w:rFonts w:hint="eastAsia" w:ascii="仿宋" w:hAnsi="仿宋" w:eastAsia="仿宋" w:cs="仿宋"/>
          <w:color w:val="000000"/>
          <w:kern w:val="0"/>
          <w:sz w:val="32"/>
          <w:szCs w:val="32"/>
          <w:highlight w:val="none"/>
          <w:shd w:val="clear" w:color="auto" w:fill="FFFFFF"/>
          <w:lang w:val="zh-CN"/>
        </w:rPr>
        <w:t>万元。</w:t>
      </w:r>
    </w:p>
    <w:p>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highlight w:val="none"/>
          <w:shd w:val="clear" w:color="auto" w:fill="FFFFFF"/>
        </w:rPr>
      </w:pPr>
      <w:r>
        <w:rPr>
          <w:rFonts w:hint="eastAsia" w:ascii="仿宋" w:hAnsi="仿宋" w:eastAsia="仿宋" w:cs="仿宋"/>
          <w:color w:val="000000"/>
          <w:kern w:val="0"/>
          <w:sz w:val="32"/>
          <w:szCs w:val="32"/>
          <w:highlight w:val="none"/>
          <w:shd w:val="clear" w:color="auto" w:fill="FFFFFF"/>
        </w:rPr>
        <w:t>三、部门整体预算绩效管理情况（根据适用指标体系进行调整</w:t>
      </w:r>
      <w:r>
        <w:rPr>
          <w:rFonts w:hint="eastAsia" w:ascii="仿宋" w:hAnsi="仿宋" w:eastAsia="仿宋" w:cs="仿宋"/>
          <w:color w:val="000000"/>
          <w:kern w:val="0"/>
          <w:sz w:val="32"/>
          <w:szCs w:val="32"/>
          <w:highlight w:val="none"/>
          <w:shd w:val="clear" w:color="auto" w:fill="FFFFFF"/>
          <w:lang w:eastAsia="zh-CN"/>
        </w:rPr>
        <w:t>，涉及有专项预算的部门，专项预算项目自评报告根据要求另行单独报送</w:t>
      </w:r>
      <w:r>
        <w:rPr>
          <w:rFonts w:hint="eastAsia" w:ascii="仿宋" w:hAnsi="仿宋" w:eastAsia="仿宋" w:cs="仿宋"/>
          <w:color w:val="000000"/>
          <w:kern w:val="0"/>
          <w:sz w:val="32"/>
          <w:szCs w:val="32"/>
          <w:highlight w:val="none"/>
          <w:shd w:val="clear" w:color="auto" w:fill="FFFFFF"/>
        </w:rPr>
        <w:t>）</w:t>
      </w:r>
    </w:p>
    <w:p>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highlight w:val="none"/>
          <w:shd w:val="clear" w:color="auto" w:fill="FFFFFF"/>
          <w:lang w:val="zh-CN"/>
        </w:rPr>
      </w:pPr>
      <w:r>
        <w:rPr>
          <w:rFonts w:hint="eastAsia" w:ascii="仿宋" w:hAnsi="仿宋" w:eastAsia="仿宋" w:cs="仿宋"/>
          <w:color w:val="000000"/>
          <w:kern w:val="0"/>
          <w:sz w:val="32"/>
          <w:szCs w:val="32"/>
          <w:highlight w:val="none"/>
          <w:shd w:val="clear" w:color="auto" w:fill="FFFFFF"/>
          <w:lang w:val="zh-CN"/>
        </w:rPr>
        <w:t>（</w:t>
      </w:r>
      <w:r>
        <w:rPr>
          <w:rFonts w:hint="eastAsia" w:ascii="仿宋" w:hAnsi="仿宋" w:eastAsia="仿宋" w:cs="仿宋"/>
          <w:color w:val="000000"/>
          <w:kern w:val="0"/>
          <w:sz w:val="32"/>
          <w:szCs w:val="32"/>
          <w:highlight w:val="none"/>
          <w:shd w:val="clear" w:color="auto" w:fill="FFFFFF"/>
          <w:lang w:val="en-US" w:eastAsia="zh-CN"/>
        </w:rPr>
        <w:t>一</w:t>
      </w:r>
      <w:r>
        <w:rPr>
          <w:rFonts w:hint="eastAsia" w:ascii="仿宋" w:hAnsi="仿宋" w:eastAsia="仿宋" w:cs="仿宋"/>
          <w:color w:val="000000"/>
          <w:kern w:val="0"/>
          <w:sz w:val="32"/>
          <w:szCs w:val="32"/>
          <w:highlight w:val="none"/>
          <w:shd w:val="clear" w:color="auto" w:fill="FFFFFF"/>
          <w:lang w:val="zh-CN"/>
        </w:rPr>
        <w:t>）预算编制情况。</w:t>
      </w:r>
    </w:p>
    <w:p>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highlight w:val="none"/>
          <w:shd w:val="clear" w:color="auto" w:fill="FFFFFF"/>
          <w:lang w:val="zh-CN"/>
        </w:rPr>
      </w:pPr>
      <w:r>
        <w:rPr>
          <w:rFonts w:hint="eastAsia" w:ascii="仿宋" w:hAnsi="仿宋" w:eastAsia="仿宋" w:cs="仿宋"/>
          <w:color w:val="000000"/>
          <w:kern w:val="0"/>
          <w:sz w:val="32"/>
          <w:szCs w:val="32"/>
          <w:highlight w:val="none"/>
          <w:shd w:val="clear" w:color="auto" w:fill="FFFFFF"/>
          <w:lang w:val="zh-CN"/>
        </w:rPr>
        <w:t>包括预算编制质量、绩效目标填报、转移支付提前下达及专项转移支付分地区分项目编制情况等。</w:t>
      </w:r>
    </w:p>
    <w:p>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highlight w:val="none"/>
          <w:shd w:val="clear" w:color="auto" w:fill="FFFFFF"/>
          <w:lang w:val="zh-CN"/>
        </w:rPr>
      </w:pPr>
      <w:r>
        <w:rPr>
          <w:rFonts w:hint="eastAsia" w:ascii="仿宋" w:hAnsi="仿宋" w:eastAsia="仿宋" w:cs="仿宋"/>
          <w:color w:val="000000"/>
          <w:kern w:val="0"/>
          <w:sz w:val="32"/>
          <w:szCs w:val="32"/>
          <w:highlight w:val="none"/>
          <w:shd w:val="clear" w:color="auto" w:fill="FFFFFF"/>
          <w:lang w:val="zh-CN"/>
        </w:rPr>
        <w:t>（</w:t>
      </w:r>
      <w:r>
        <w:rPr>
          <w:rFonts w:hint="eastAsia" w:ascii="仿宋" w:hAnsi="仿宋" w:eastAsia="仿宋" w:cs="仿宋"/>
          <w:color w:val="000000"/>
          <w:kern w:val="0"/>
          <w:sz w:val="32"/>
          <w:szCs w:val="32"/>
          <w:highlight w:val="none"/>
          <w:shd w:val="clear" w:color="auto" w:fill="FFFFFF"/>
          <w:lang w:val="en-US" w:eastAsia="zh-CN"/>
        </w:rPr>
        <w:t>二</w:t>
      </w:r>
      <w:r>
        <w:rPr>
          <w:rFonts w:hint="eastAsia" w:ascii="仿宋" w:hAnsi="仿宋" w:eastAsia="仿宋" w:cs="仿宋"/>
          <w:color w:val="000000"/>
          <w:kern w:val="0"/>
          <w:sz w:val="32"/>
          <w:szCs w:val="32"/>
          <w:highlight w:val="none"/>
          <w:shd w:val="clear" w:color="auto" w:fill="FFFFFF"/>
          <w:lang w:val="zh-CN"/>
        </w:rPr>
        <w:t>）执行管理情况。</w:t>
      </w:r>
      <w:r>
        <w:rPr>
          <w:rFonts w:hint="eastAsia" w:ascii="仿宋" w:hAnsi="仿宋" w:eastAsia="仿宋" w:cs="仿宋"/>
          <w:color w:val="000000"/>
          <w:kern w:val="0"/>
          <w:sz w:val="32"/>
          <w:szCs w:val="32"/>
          <w:highlight w:val="none"/>
          <w:shd w:val="clear" w:color="auto" w:fill="FFFFFF"/>
          <w:lang w:val="zh-CN"/>
        </w:rPr>
        <w:tab/>
      </w:r>
    </w:p>
    <w:p>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highlight w:val="none"/>
          <w:shd w:val="clear" w:color="auto" w:fill="FFFFFF"/>
          <w:lang w:val="zh-CN"/>
        </w:rPr>
      </w:pPr>
      <w:r>
        <w:rPr>
          <w:rFonts w:hint="eastAsia" w:ascii="仿宋" w:hAnsi="仿宋" w:eastAsia="仿宋" w:cs="仿宋"/>
          <w:color w:val="000000"/>
          <w:kern w:val="0"/>
          <w:sz w:val="32"/>
          <w:szCs w:val="32"/>
          <w:highlight w:val="none"/>
          <w:shd w:val="clear" w:color="auto" w:fill="FFFFFF"/>
          <w:lang w:val="zh-CN"/>
        </w:rPr>
        <w:t>从整体情况来看，我</w:t>
      </w:r>
      <w:r>
        <w:rPr>
          <w:rFonts w:hint="eastAsia" w:ascii="仿宋" w:hAnsi="仿宋" w:eastAsia="仿宋" w:cs="仿宋"/>
          <w:color w:val="000000"/>
          <w:kern w:val="0"/>
          <w:sz w:val="32"/>
          <w:szCs w:val="32"/>
          <w:highlight w:val="none"/>
          <w:shd w:val="clear" w:color="auto" w:fill="FFFFFF"/>
          <w:lang w:val="en-US" w:eastAsia="zh-CN"/>
        </w:rPr>
        <w:t>单位</w:t>
      </w:r>
      <w:r>
        <w:rPr>
          <w:rFonts w:hint="eastAsia" w:ascii="仿宋" w:hAnsi="仿宋" w:eastAsia="仿宋" w:cs="仿宋"/>
          <w:color w:val="000000"/>
          <w:kern w:val="0"/>
          <w:sz w:val="32"/>
          <w:szCs w:val="32"/>
          <w:highlight w:val="none"/>
          <w:shd w:val="clear" w:color="auto" w:fill="FFFFFF"/>
          <w:lang w:val="zh-CN"/>
        </w:rPr>
        <w:t>严格按照年初预算进行部门整体支出。在支出过程中，能严格遵守各项规章制度。实行了先有预算、后有执行、“用钱必问效、无效必问责”的新常态。</w:t>
      </w:r>
    </w:p>
    <w:p>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highlight w:val="none"/>
          <w:shd w:val="clear" w:color="auto" w:fill="FFFFFF"/>
          <w:lang w:val="zh-CN"/>
        </w:rPr>
      </w:pPr>
      <w:r>
        <w:rPr>
          <w:rFonts w:hint="eastAsia" w:ascii="仿宋" w:hAnsi="仿宋" w:eastAsia="仿宋" w:cs="仿宋"/>
          <w:color w:val="000000"/>
          <w:kern w:val="0"/>
          <w:sz w:val="32"/>
          <w:szCs w:val="32"/>
          <w:highlight w:val="none"/>
          <w:shd w:val="clear" w:color="auto" w:fill="FFFFFF"/>
          <w:lang w:val="zh-CN"/>
        </w:rPr>
        <w:t>（</w:t>
      </w:r>
      <w:r>
        <w:rPr>
          <w:rFonts w:hint="eastAsia" w:ascii="仿宋" w:hAnsi="仿宋" w:eastAsia="仿宋" w:cs="仿宋"/>
          <w:color w:val="000000"/>
          <w:kern w:val="0"/>
          <w:sz w:val="32"/>
          <w:szCs w:val="32"/>
          <w:highlight w:val="none"/>
          <w:shd w:val="clear" w:color="auto" w:fill="FFFFFF"/>
          <w:lang w:val="en-US" w:eastAsia="zh-CN"/>
        </w:rPr>
        <w:t>三</w:t>
      </w:r>
      <w:r>
        <w:rPr>
          <w:rFonts w:hint="eastAsia" w:ascii="仿宋" w:hAnsi="仿宋" w:eastAsia="仿宋" w:cs="仿宋"/>
          <w:color w:val="000000"/>
          <w:kern w:val="0"/>
          <w:sz w:val="32"/>
          <w:szCs w:val="32"/>
          <w:highlight w:val="none"/>
          <w:shd w:val="clear" w:color="auto" w:fill="FFFFFF"/>
          <w:lang w:val="zh-CN"/>
        </w:rPr>
        <w:t>）综合管理情况。</w:t>
      </w:r>
    </w:p>
    <w:p>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highlight w:val="none"/>
          <w:shd w:val="clear" w:color="auto" w:fill="FFFFFF"/>
          <w:lang w:val="zh-CN"/>
        </w:rPr>
      </w:pPr>
      <w:r>
        <w:rPr>
          <w:rFonts w:hint="eastAsia" w:ascii="仿宋" w:hAnsi="仿宋" w:eastAsia="仿宋" w:cs="仿宋"/>
          <w:color w:val="000000"/>
          <w:kern w:val="0"/>
          <w:sz w:val="32"/>
          <w:szCs w:val="32"/>
          <w:highlight w:val="none"/>
          <w:shd w:val="clear" w:color="auto" w:fill="FFFFFF"/>
          <w:lang w:val="zh-CN"/>
        </w:rPr>
        <w:t>预决算公开：</w:t>
      </w:r>
      <w:r>
        <w:rPr>
          <w:rFonts w:hint="eastAsia" w:ascii="仿宋" w:hAnsi="仿宋" w:eastAsia="仿宋" w:cs="仿宋"/>
          <w:color w:val="000000"/>
          <w:kern w:val="0"/>
          <w:sz w:val="32"/>
          <w:szCs w:val="32"/>
          <w:highlight w:val="none"/>
          <w:shd w:val="clear" w:color="auto" w:fill="FFFFFF"/>
          <w:lang w:val="en-US" w:eastAsia="zh-CN"/>
        </w:rPr>
        <w:t>2022</w:t>
      </w:r>
      <w:r>
        <w:rPr>
          <w:rFonts w:hint="eastAsia" w:ascii="仿宋" w:hAnsi="仿宋" w:eastAsia="仿宋" w:cs="仿宋"/>
          <w:color w:val="000000"/>
          <w:kern w:val="0"/>
          <w:sz w:val="32"/>
          <w:szCs w:val="32"/>
          <w:highlight w:val="none"/>
          <w:shd w:val="clear" w:color="auto" w:fill="FFFFFF"/>
          <w:lang w:val="zh-CN"/>
        </w:rPr>
        <w:t>年，我</w:t>
      </w:r>
      <w:r>
        <w:rPr>
          <w:rFonts w:hint="eastAsia" w:ascii="仿宋" w:hAnsi="仿宋" w:eastAsia="仿宋" w:cs="仿宋"/>
          <w:color w:val="000000"/>
          <w:kern w:val="0"/>
          <w:sz w:val="32"/>
          <w:szCs w:val="32"/>
          <w:highlight w:val="none"/>
          <w:shd w:val="clear" w:color="auto" w:fill="FFFFFF"/>
          <w:lang w:val="en-US" w:eastAsia="zh-CN"/>
        </w:rPr>
        <w:t>单位</w:t>
      </w:r>
      <w:r>
        <w:rPr>
          <w:rFonts w:hint="eastAsia" w:ascii="仿宋" w:hAnsi="仿宋" w:eastAsia="仿宋" w:cs="仿宋"/>
          <w:color w:val="000000"/>
          <w:kern w:val="0"/>
          <w:sz w:val="32"/>
          <w:szCs w:val="32"/>
          <w:highlight w:val="none"/>
          <w:shd w:val="clear" w:color="auto" w:fill="FFFFFF"/>
          <w:lang w:val="zh-CN"/>
        </w:rPr>
        <w:t>按照财政要求，在网站上进行了预决算公开。</w:t>
      </w:r>
    </w:p>
    <w:p>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highlight w:val="none"/>
          <w:shd w:val="clear" w:color="auto" w:fill="FFFFFF"/>
          <w:lang w:val="zh-CN"/>
        </w:rPr>
      </w:pPr>
      <w:r>
        <w:rPr>
          <w:rFonts w:hint="eastAsia" w:ascii="仿宋" w:hAnsi="仿宋" w:eastAsia="仿宋" w:cs="仿宋"/>
          <w:color w:val="000000"/>
          <w:kern w:val="0"/>
          <w:sz w:val="32"/>
          <w:szCs w:val="32"/>
          <w:highlight w:val="none"/>
          <w:shd w:val="clear" w:color="auto" w:fill="FFFFFF"/>
          <w:lang w:val="zh-CN"/>
        </w:rPr>
        <w:t>资产管理：202</w:t>
      </w:r>
      <w:r>
        <w:rPr>
          <w:rFonts w:hint="eastAsia" w:ascii="仿宋" w:hAnsi="仿宋" w:eastAsia="仿宋" w:cs="仿宋"/>
          <w:color w:val="000000"/>
          <w:kern w:val="0"/>
          <w:sz w:val="32"/>
          <w:szCs w:val="32"/>
          <w:highlight w:val="none"/>
          <w:shd w:val="clear" w:color="auto" w:fill="FFFFFF"/>
          <w:lang w:val="en-US" w:eastAsia="zh-CN"/>
        </w:rPr>
        <w:t>2</w:t>
      </w:r>
      <w:r>
        <w:rPr>
          <w:rFonts w:hint="eastAsia" w:ascii="仿宋" w:hAnsi="仿宋" w:eastAsia="仿宋" w:cs="仿宋"/>
          <w:color w:val="000000"/>
          <w:kern w:val="0"/>
          <w:sz w:val="32"/>
          <w:szCs w:val="32"/>
          <w:highlight w:val="none"/>
          <w:shd w:val="clear" w:color="auto" w:fill="FFFFFF"/>
          <w:lang w:val="zh-CN"/>
        </w:rPr>
        <w:t>年进行全面的资产清查，并就清查中发现的问题进行全面整改。完善了单位财务管理制度，确保各项资产核算准确、账实相符、管理到位。</w:t>
      </w:r>
    </w:p>
    <w:p>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highlight w:val="none"/>
          <w:shd w:val="clear" w:color="auto" w:fill="FFFFFF"/>
          <w:lang w:val="zh-CN"/>
        </w:rPr>
      </w:pPr>
      <w:r>
        <w:rPr>
          <w:rFonts w:hint="eastAsia" w:ascii="仿宋" w:hAnsi="仿宋" w:eastAsia="仿宋" w:cs="仿宋"/>
          <w:color w:val="000000"/>
          <w:kern w:val="0"/>
          <w:sz w:val="32"/>
          <w:szCs w:val="32"/>
          <w:highlight w:val="none"/>
          <w:shd w:val="clear" w:color="auto" w:fill="FFFFFF"/>
          <w:lang w:val="zh-CN"/>
        </w:rPr>
        <w:t>“三公经费”控制情况：贯彻落实上级有关精神，严格控制“三公经费”支出。我单位202</w:t>
      </w:r>
      <w:r>
        <w:rPr>
          <w:rFonts w:hint="eastAsia" w:ascii="仿宋" w:hAnsi="仿宋" w:eastAsia="仿宋" w:cs="仿宋"/>
          <w:color w:val="000000"/>
          <w:kern w:val="0"/>
          <w:sz w:val="32"/>
          <w:szCs w:val="32"/>
          <w:highlight w:val="none"/>
          <w:shd w:val="clear" w:color="auto" w:fill="FFFFFF"/>
          <w:lang w:val="en-US" w:eastAsia="zh-CN"/>
        </w:rPr>
        <w:t>2</w:t>
      </w:r>
      <w:r>
        <w:rPr>
          <w:rFonts w:hint="eastAsia" w:ascii="仿宋" w:hAnsi="仿宋" w:eastAsia="仿宋" w:cs="仿宋"/>
          <w:color w:val="000000"/>
          <w:kern w:val="0"/>
          <w:sz w:val="32"/>
          <w:szCs w:val="32"/>
          <w:highlight w:val="none"/>
          <w:shd w:val="clear" w:color="auto" w:fill="FFFFFF"/>
          <w:lang w:val="zh-CN"/>
        </w:rPr>
        <w:t>年</w:t>
      </w:r>
      <w:r>
        <w:rPr>
          <w:rFonts w:hint="eastAsia" w:ascii="仿宋" w:hAnsi="仿宋" w:eastAsia="仿宋" w:cs="仿宋"/>
          <w:color w:val="000000"/>
          <w:kern w:val="0"/>
          <w:sz w:val="32"/>
          <w:szCs w:val="32"/>
          <w:highlight w:val="none"/>
          <w:shd w:val="clear" w:color="auto" w:fill="FFFFFF"/>
          <w:lang w:val="en-US" w:eastAsia="zh-CN"/>
        </w:rPr>
        <w:t>无</w:t>
      </w:r>
      <w:r>
        <w:rPr>
          <w:rFonts w:hint="eastAsia" w:ascii="仿宋" w:hAnsi="仿宋" w:eastAsia="仿宋" w:cs="仿宋"/>
          <w:color w:val="000000"/>
          <w:kern w:val="0"/>
          <w:sz w:val="32"/>
          <w:szCs w:val="32"/>
          <w:highlight w:val="none"/>
          <w:shd w:val="clear" w:color="auto" w:fill="FFFFFF"/>
          <w:lang w:val="zh-CN"/>
        </w:rPr>
        <w:t>“三公”经费支出。内部管理制度建设情况：近年来，我</w:t>
      </w:r>
      <w:r>
        <w:rPr>
          <w:rFonts w:hint="eastAsia" w:ascii="仿宋" w:hAnsi="仿宋" w:eastAsia="仿宋" w:cs="仿宋"/>
          <w:color w:val="000000"/>
          <w:kern w:val="0"/>
          <w:sz w:val="32"/>
          <w:szCs w:val="32"/>
          <w:highlight w:val="none"/>
          <w:shd w:val="clear" w:color="auto" w:fill="FFFFFF"/>
          <w:lang w:val="en-US" w:eastAsia="zh-CN"/>
        </w:rPr>
        <w:t>单位</w:t>
      </w:r>
      <w:r>
        <w:rPr>
          <w:rFonts w:hint="eastAsia" w:ascii="仿宋" w:hAnsi="仿宋" w:eastAsia="仿宋" w:cs="仿宋"/>
          <w:color w:val="000000"/>
          <w:kern w:val="0"/>
          <w:sz w:val="32"/>
          <w:szCs w:val="32"/>
          <w:highlight w:val="none"/>
          <w:shd w:val="clear" w:color="auto" w:fill="FFFFFF"/>
          <w:lang w:val="zh-CN"/>
        </w:rPr>
        <w:t>制定、完善了财务管理制度、车辆管理制度、差旅费管理实施办法等内部制度。</w:t>
      </w:r>
    </w:p>
    <w:p>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highlight w:val="none"/>
          <w:shd w:val="clear" w:color="auto" w:fill="FFFFFF"/>
          <w:lang w:val="zh-CN"/>
        </w:rPr>
      </w:pPr>
      <w:r>
        <w:rPr>
          <w:rFonts w:hint="eastAsia" w:ascii="仿宋" w:hAnsi="仿宋" w:eastAsia="仿宋" w:cs="仿宋"/>
          <w:color w:val="000000"/>
          <w:kern w:val="0"/>
          <w:sz w:val="32"/>
          <w:szCs w:val="32"/>
          <w:highlight w:val="none"/>
          <w:shd w:val="clear" w:color="auto" w:fill="FFFFFF"/>
          <w:lang w:val="zh-CN"/>
        </w:rPr>
        <w:t>（</w:t>
      </w:r>
      <w:r>
        <w:rPr>
          <w:rFonts w:hint="eastAsia" w:ascii="仿宋" w:hAnsi="仿宋" w:eastAsia="仿宋" w:cs="仿宋"/>
          <w:color w:val="000000"/>
          <w:kern w:val="0"/>
          <w:sz w:val="32"/>
          <w:szCs w:val="32"/>
          <w:highlight w:val="none"/>
          <w:shd w:val="clear" w:color="auto" w:fill="FFFFFF"/>
          <w:lang w:val="en-US" w:eastAsia="zh-CN"/>
        </w:rPr>
        <w:t>四</w:t>
      </w:r>
      <w:r>
        <w:rPr>
          <w:rFonts w:hint="eastAsia" w:ascii="仿宋" w:hAnsi="仿宋" w:eastAsia="仿宋" w:cs="仿宋"/>
          <w:color w:val="000000"/>
          <w:kern w:val="0"/>
          <w:sz w:val="32"/>
          <w:szCs w:val="32"/>
          <w:highlight w:val="none"/>
          <w:shd w:val="clear" w:color="auto" w:fill="FFFFFF"/>
          <w:lang w:val="zh-CN"/>
        </w:rPr>
        <w:t>）绩效评价目的：</w:t>
      </w:r>
    </w:p>
    <w:p>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highlight w:val="none"/>
          <w:shd w:val="clear" w:color="auto" w:fill="FFFFFF"/>
          <w:lang w:val="zh-CN"/>
        </w:rPr>
      </w:pPr>
      <w:r>
        <w:rPr>
          <w:rFonts w:hint="eastAsia" w:ascii="仿宋" w:hAnsi="仿宋" w:eastAsia="仿宋" w:cs="仿宋"/>
          <w:color w:val="000000"/>
          <w:kern w:val="0"/>
          <w:sz w:val="32"/>
          <w:szCs w:val="32"/>
          <w:highlight w:val="none"/>
          <w:shd w:val="clear" w:color="auto" w:fill="FFFFFF"/>
          <w:lang w:val="zh-CN"/>
        </w:rPr>
        <w:t>此次绩效评价的目的是：严格落实《</w:t>
      </w:r>
      <w:r>
        <w:rPr>
          <w:rFonts w:hint="eastAsia" w:ascii="仿宋" w:hAnsi="仿宋" w:eastAsia="仿宋" w:cs="仿宋"/>
          <w:color w:val="000000"/>
          <w:kern w:val="0"/>
          <w:sz w:val="32"/>
          <w:szCs w:val="32"/>
          <w:highlight w:val="none"/>
          <w:shd w:val="clear" w:color="auto" w:fill="FFFFFF"/>
          <w:lang w:val="en-US" w:eastAsia="zh-CN"/>
        </w:rPr>
        <w:t>中华人民共和国</w:t>
      </w:r>
      <w:bookmarkStart w:id="76" w:name="_GoBack"/>
      <w:bookmarkEnd w:id="76"/>
      <w:r>
        <w:rPr>
          <w:rFonts w:hint="eastAsia" w:ascii="仿宋" w:hAnsi="仿宋" w:eastAsia="仿宋" w:cs="仿宋"/>
          <w:color w:val="000000"/>
          <w:kern w:val="0"/>
          <w:sz w:val="32"/>
          <w:szCs w:val="32"/>
          <w:highlight w:val="none"/>
          <w:shd w:val="clear" w:color="auto" w:fill="FFFFFF"/>
          <w:lang w:val="zh-CN"/>
        </w:rPr>
        <w:t>预算法》及省、州绩效管理工作的有关规定，进一步规范财政资金的管理，强化财政支出绩效理念，提升部门责任意识，提高资金使用效益，促进民政事业的发展。</w:t>
      </w:r>
    </w:p>
    <w:p>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highlight w:val="none"/>
          <w:shd w:val="clear" w:color="auto" w:fill="FFFFFF"/>
          <w:lang w:val="zh-CN"/>
        </w:rPr>
      </w:pPr>
      <w:r>
        <w:rPr>
          <w:rFonts w:hint="eastAsia" w:ascii="仿宋" w:hAnsi="仿宋" w:eastAsia="仿宋" w:cs="仿宋"/>
          <w:color w:val="000000"/>
          <w:kern w:val="0"/>
          <w:sz w:val="32"/>
          <w:szCs w:val="32"/>
          <w:highlight w:val="none"/>
          <w:shd w:val="clear" w:color="auto" w:fill="FFFFFF"/>
          <w:lang w:val="zh-CN"/>
        </w:rPr>
        <w:t>（</w:t>
      </w:r>
      <w:r>
        <w:rPr>
          <w:rFonts w:hint="eastAsia" w:ascii="仿宋" w:hAnsi="仿宋" w:eastAsia="仿宋" w:cs="仿宋"/>
          <w:color w:val="000000"/>
          <w:kern w:val="0"/>
          <w:sz w:val="32"/>
          <w:szCs w:val="32"/>
          <w:highlight w:val="none"/>
          <w:shd w:val="clear" w:color="auto" w:fill="FFFFFF"/>
          <w:lang w:val="en-US" w:eastAsia="zh-CN"/>
        </w:rPr>
        <w:t>五</w:t>
      </w:r>
      <w:r>
        <w:rPr>
          <w:rFonts w:hint="eastAsia" w:ascii="仿宋" w:hAnsi="仿宋" w:eastAsia="仿宋" w:cs="仿宋"/>
          <w:color w:val="000000"/>
          <w:kern w:val="0"/>
          <w:sz w:val="32"/>
          <w:szCs w:val="32"/>
          <w:highlight w:val="none"/>
          <w:shd w:val="clear" w:color="auto" w:fill="FFFFFF"/>
          <w:lang w:val="zh-CN"/>
        </w:rPr>
        <w:t>）绩效评价的主要过程：</w:t>
      </w:r>
    </w:p>
    <w:p>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highlight w:val="none"/>
          <w:shd w:val="clear" w:color="auto" w:fill="FFFFFF"/>
          <w:lang w:val="zh-CN"/>
        </w:rPr>
      </w:pPr>
      <w:r>
        <w:rPr>
          <w:rFonts w:hint="eastAsia" w:ascii="仿宋" w:hAnsi="仿宋" w:eastAsia="仿宋" w:cs="仿宋"/>
          <w:color w:val="000000"/>
          <w:kern w:val="0"/>
          <w:sz w:val="32"/>
          <w:szCs w:val="32"/>
          <w:highlight w:val="none"/>
          <w:shd w:val="clear" w:color="auto" w:fill="FFFFFF"/>
          <w:lang w:val="zh-CN"/>
        </w:rPr>
        <w:t>根据绩效评价的要求，我们成立了自评工作领导小组，对照自评方案进行研究和部署，按照自评方案的要求，对照各实施项目的内容逐条逐项自评。在自评过程发现问题，查找原因，及时纠正偏差，为下一步工作夯实基础。</w:t>
      </w:r>
    </w:p>
    <w:p>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highlight w:val="none"/>
          <w:shd w:val="clear" w:color="auto" w:fill="FFFFFF"/>
        </w:rPr>
      </w:pPr>
      <w:r>
        <w:rPr>
          <w:rFonts w:hint="eastAsia" w:ascii="仿宋" w:hAnsi="仿宋" w:eastAsia="仿宋" w:cs="仿宋"/>
          <w:color w:val="000000"/>
          <w:kern w:val="0"/>
          <w:sz w:val="32"/>
          <w:szCs w:val="32"/>
          <w:highlight w:val="none"/>
          <w:shd w:val="clear" w:color="auto" w:fill="FFFFFF"/>
        </w:rPr>
        <w:t>四、评价结论及建议</w:t>
      </w:r>
    </w:p>
    <w:p>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highlight w:val="none"/>
          <w:shd w:val="clear" w:color="auto" w:fill="FFFFFF"/>
          <w:lang w:val="zh-CN"/>
        </w:rPr>
      </w:pPr>
      <w:r>
        <w:rPr>
          <w:rFonts w:hint="eastAsia" w:ascii="仿宋" w:hAnsi="仿宋" w:eastAsia="仿宋" w:cs="仿宋"/>
          <w:color w:val="000000"/>
          <w:kern w:val="0"/>
          <w:sz w:val="32"/>
          <w:szCs w:val="32"/>
          <w:highlight w:val="none"/>
          <w:shd w:val="clear" w:color="auto" w:fill="FFFFFF"/>
          <w:lang w:val="zh-CN"/>
        </w:rPr>
        <w:t>（一）评价结论。</w:t>
      </w:r>
    </w:p>
    <w:p>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highlight w:val="none"/>
          <w:shd w:val="clear" w:color="auto" w:fill="FFFFFF"/>
          <w:lang w:val="zh-CN"/>
        </w:rPr>
      </w:pPr>
      <w:r>
        <w:rPr>
          <w:rFonts w:hint="eastAsia" w:ascii="仿宋" w:hAnsi="仿宋" w:eastAsia="仿宋" w:cs="仿宋"/>
          <w:color w:val="000000"/>
          <w:kern w:val="0"/>
          <w:sz w:val="32"/>
          <w:szCs w:val="32"/>
          <w:highlight w:val="none"/>
          <w:shd w:val="clear" w:color="auto" w:fill="FFFFFF"/>
          <w:lang w:val="zh-CN"/>
        </w:rPr>
        <w:t>规范了财政资金的管理，强化财政支出绩效理念，提升责任意识，提高资金使用效益。</w:t>
      </w:r>
    </w:p>
    <w:p>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highlight w:val="none"/>
          <w:shd w:val="clear" w:color="auto" w:fill="FFFFFF"/>
          <w:lang w:val="zh-CN"/>
        </w:rPr>
      </w:pPr>
      <w:r>
        <w:rPr>
          <w:rFonts w:hint="eastAsia" w:ascii="仿宋" w:hAnsi="仿宋" w:eastAsia="仿宋" w:cs="仿宋"/>
          <w:color w:val="000000"/>
          <w:kern w:val="0"/>
          <w:sz w:val="32"/>
          <w:szCs w:val="32"/>
          <w:highlight w:val="none"/>
          <w:shd w:val="clear" w:color="auto" w:fill="FFFFFF"/>
          <w:lang w:val="zh-CN"/>
        </w:rPr>
        <w:t>（二）存在问题。</w:t>
      </w:r>
    </w:p>
    <w:p>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highlight w:val="none"/>
          <w:shd w:val="clear" w:color="auto" w:fill="FFFFFF"/>
          <w:lang w:val="zh-CN"/>
        </w:rPr>
      </w:pPr>
      <w:r>
        <w:rPr>
          <w:rFonts w:hint="eastAsia" w:ascii="仿宋" w:hAnsi="仿宋" w:eastAsia="仿宋" w:cs="仿宋"/>
          <w:color w:val="000000"/>
          <w:kern w:val="0"/>
          <w:sz w:val="32"/>
          <w:szCs w:val="32"/>
          <w:highlight w:val="none"/>
          <w:shd w:val="clear" w:color="auto" w:fill="FFFFFF"/>
          <w:lang w:val="zh-CN"/>
        </w:rPr>
        <w:t>（三）改进建议。</w:t>
      </w:r>
    </w:p>
    <w:p>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highlight w:val="none"/>
          <w:shd w:val="clear" w:color="auto" w:fill="FFFFFF"/>
          <w:lang w:val="zh-CN"/>
        </w:rPr>
      </w:pPr>
      <w:r>
        <w:rPr>
          <w:rFonts w:hint="eastAsia" w:ascii="仿宋" w:hAnsi="仿宋" w:eastAsia="仿宋" w:cs="仿宋"/>
          <w:color w:val="000000"/>
          <w:kern w:val="0"/>
          <w:sz w:val="32"/>
          <w:szCs w:val="32"/>
          <w:highlight w:val="none"/>
          <w:shd w:val="clear" w:color="auto" w:fill="FFFFFF"/>
          <w:lang w:val="zh-CN"/>
        </w:rPr>
        <w:t>严肃财经纪律、规范财务管理、筑牢财政资金安全防线、防范财政资金管理风险。把财经纪律执行工作的各项任务落到实处。</w:t>
      </w:r>
    </w:p>
    <w:p>
      <w:pPr>
        <w:widowControl/>
        <w:jc w:val="left"/>
        <w:rPr>
          <w:rFonts w:ascii="仿宋_GB2312" w:eastAsia="仿宋_GB2312"/>
          <w:b/>
          <w:color w:val="000000"/>
          <w:sz w:val="32"/>
          <w:szCs w:val="32"/>
        </w:rPr>
      </w:pPr>
    </w:p>
    <w:p>
      <w:pPr>
        <w:pStyle w:val="2"/>
        <w:numPr>
          <w:ilvl w:val="0"/>
          <w:numId w:val="1"/>
        </w:numPr>
        <w:jc w:val="center"/>
      </w:pPr>
      <w:bookmarkStart w:id="67" w:name="_Toc15377225"/>
      <w:bookmarkStart w:id="68" w:name="_Toc5924"/>
      <w:bookmarkStart w:id="69" w:name="_Toc111208509"/>
      <w:r>
        <w:rPr>
          <w:rFonts w:hint="eastAsia" w:ascii="黑体" w:hAnsi="黑体" w:eastAsia="黑体" w:cs="黑体"/>
        </w:rPr>
        <w:t>名词解释</w:t>
      </w:r>
      <w:bookmarkEnd w:id="67"/>
      <w:bookmarkEnd w:id="68"/>
      <w:bookmarkEnd w:id="69"/>
    </w:p>
    <w:p>
      <w:pPr>
        <w:widowControl/>
        <w:adjustRightInd w:val="0"/>
        <w:snapToGrid w:val="0"/>
        <w:spacing w:line="580" w:lineRule="exact"/>
        <w:ind w:firstLine="640" w:firstLineChars="200"/>
        <w:contextualSpacing/>
        <w:jc w:val="left"/>
        <w:rPr>
          <w:rFonts w:ascii="仿宋" w:hAnsi="仿宋" w:eastAsia="仿宋"/>
          <w:color w:val="000000"/>
          <w:sz w:val="32"/>
          <w:szCs w:val="32"/>
        </w:rPr>
      </w:pPr>
      <w:r>
        <w:rPr>
          <w:rFonts w:ascii="仿宋" w:hAnsi="仿宋" w:eastAsia="仿宋"/>
          <w:color w:val="000000"/>
          <w:sz w:val="32"/>
          <w:szCs w:val="32"/>
        </w:rPr>
        <w:t>1.</w:t>
      </w:r>
      <w:r>
        <w:rPr>
          <w:rFonts w:hint="eastAsia" w:ascii="仿宋" w:hAnsi="仿宋" w:eastAsia="仿宋"/>
          <w:color w:val="000000"/>
          <w:sz w:val="32"/>
          <w:szCs w:val="32"/>
        </w:rPr>
        <w:t>财政拨款收入：指单位从同级财政部门取得的财政预算资金。</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t>2.</w:t>
      </w:r>
      <w:r>
        <w:rPr>
          <w:rFonts w:hint="eastAsia" w:ascii="仿宋" w:hAnsi="仿宋" w:eastAsia="仿宋"/>
          <w:color w:val="000000"/>
          <w:sz w:val="32"/>
          <w:szCs w:val="32"/>
        </w:rPr>
        <w:t>事业收入：指事业单位开展专业业务活动及辅助活动取得的收入。</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t>3.</w:t>
      </w:r>
      <w:r>
        <w:rPr>
          <w:rFonts w:hint="eastAsia" w:ascii="仿宋" w:hAnsi="仿宋" w:eastAsia="仿宋"/>
          <w:color w:val="000000"/>
          <w:sz w:val="32"/>
          <w:szCs w:val="32"/>
        </w:rPr>
        <w:t>经营收入：指事业单位在专业业务活动及其辅助活动之外开展非独立核算经营活动取得的收入</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t>4.</w:t>
      </w:r>
      <w:r>
        <w:rPr>
          <w:rFonts w:hint="eastAsia" w:ascii="仿宋" w:hAnsi="仿宋" w:eastAsia="仿宋"/>
          <w:color w:val="000000"/>
          <w:sz w:val="32"/>
          <w:szCs w:val="32"/>
        </w:rPr>
        <w:t>其他收入：指单位取得的除上述收入以外的各项收入。</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t>5.</w:t>
      </w:r>
      <w:r>
        <w:rPr>
          <w:rFonts w:hint="eastAsia" w:ascii="仿宋" w:hAnsi="仿宋" w:eastAsia="仿宋"/>
          <w:color w:val="000000"/>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 w:hAnsi="仿宋" w:eastAsia="仿宋"/>
          <w:color w:val="000000"/>
          <w:sz w:val="32"/>
          <w:szCs w:val="32"/>
        </w:rPr>
        <w:t xml:space="preserve"> </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t>6.</w:t>
      </w:r>
      <w:r>
        <w:rPr>
          <w:rFonts w:hint="eastAsia" w:ascii="仿宋" w:hAnsi="仿宋" w:eastAsia="仿宋"/>
          <w:color w:val="000000"/>
          <w:sz w:val="32"/>
          <w:szCs w:val="32"/>
        </w:rPr>
        <w:t>年初结转和结余：指以前年度尚未完成、结转到本年按有关规定继续使用的资金。</w:t>
      </w:r>
      <w:r>
        <w:rPr>
          <w:rFonts w:ascii="仿宋" w:hAnsi="仿宋" w:eastAsia="仿宋"/>
          <w:color w:val="000000"/>
          <w:sz w:val="32"/>
          <w:szCs w:val="32"/>
        </w:rPr>
        <w:t xml:space="preserve"> </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t>7.</w:t>
      </w:r>
      <w:r>
        <w:rPr>
          <w:rFonts w:hint="eastAsia" w:ascii="仿宋" w:hAnsi="仿宋" w:eastAsia="仿宋"/>
          <w:color w:val="000000"/>
          <w:sz w:val="32"/>
          <w:szCs w:val="32"/>
        </w:rPr>
        <w:t>结余分配：指事业单位按照事业单位会计制度的规定从非财政补助结余中分配的事业基金和职工福利基金等。</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t>8</w:t>
      </w:r>
      <w:r>
        <w:rPr>
          <w:rFonts w:hint="eastAsia" w:ascii="仿宋" w:hAnsi="仿宋" w:eastAsia="仿宋"/>
          <w:color w:val="000000"/>
          <w:sz w:val="32"/>
          <w:szCs w:val="32"/>
        </w:rPr>
        <w:t>.年末结转和结余：指单位按有关规定结转到下年或以后年度继续使用的资金。</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9.社会保障和就业支出（208）行政事业单位养老支出（20805）机关事业单位基本养老保险缴费支出（2080505）：反映机关事业单位实施养老保险制度由单位缴纳的基本养老保险费支出。</w:t>
      </w:r>
      <w:r>
        <w:rPr>
          <w:rFonts w:hint="eastAsia" w:ascii="仿宋" w:hAnsi="仿宋" w:eastAsia="仿宋"/>
          <w:color w:val="000000"/>
          <w:sz w:val="32"/>
          <w:szCs w:val="32"/>
        </w:rPr>
        <w:cr/>
      </w:r>
      <w:r>
        <w:rPr>
          <w:rFonts w:hint="eastAsia" w:ascii="仿宋" w:hAnsi="仿宋" w:eastAsia="仿宋"/>
          <w:color w:val="000000"/>
          <w:sz w:val="32"/>
          <w:szCs w:val="32"/>
        </w:rPr>
        <w:t>10.社会保障和就业支出（208）行政事业单位养老支出（20805）机关事业单位职业年金缴费支出（2080506）：反映机关事业单位实施养老保险制度由单位实际缴纳的职业年金支出。</w:t>
      </w:r>
      <w:r>
        <w:rPr>
          <w:rFonts w:hint="eastAsia" w:ascii="仿宋" w:hAnsi="仿宋" w:eastAsia="仿宋"/>
          <w:color w:val="000000"/>
          <w:sz w:val="32"/>
          <w:szCs w:val="32"/>
        </w:rPr>
        <w:cr/>
      </w:r>
      <w:r>
        <w:rPr>
          <w:rFonts w:hint="eastAsia" w:ascii="仿宋" w:hAnsi="仿宋" w:eastAsia="仿宋"/>
          <w:color w:val="000000"/>
          <w:sz w:val="32"/>
          <w:szCs w:val="32"/>
        </w:rPr>
        <w:t>11.卫生健康支出（210）基层医疗卫生机构（21003）乡镇卫生院（2100302）：反映用于乡镇卫生院的支出。</w:t>
      </w:r>
      <w:r>
        <w:rPr>
          <w:rFonts w:hint="eastAsia" w:ascii="仿宋" w:hAnsi="仿宋" w:eastAsia="仿宋"/>
          <w:color w:val="000000"/>
          <w:sz w:val="32"/>
          <w:szCs w:val="32"/>
        </w:rPr>
        <w:cr/>
      </w:r>
      <w:r>
        <w:rPr>
          <w:rFonts w:hint="eastAsia" w:ascii="仿宋" w:hAnsi="仿宋" w:eastAsia="仿宋"/>
          <w:color w:val="000000"/>
          <w:sz w:val="32"/>
          <w:szCs w:val="32"/>
        </w:rPr>
        <w:t>12.卫生健康支出（210）基层医疗卫生机构（21003）其他基层医疗卫生机构支出（2100399）：反映除上述项目以外的其他用于基层医疗卫生机构的支出。</w:t>
      </w:r>
      <w:r>
        <w:rPr>
          <w:rFonts w:hint="eastAsia" w:ascii="仿宋" w:hAnsi="仿宋" w:eastAsia="仿宋"/>
          <w:color w:val="000000"/>
          <w:sz w:val="32"/>
          <w:szCs w:val="32"/>
        </w:rPr>
        <w:cr/>
      </w:r>
      <w:r>
        <w:rPr>
          <w:rFonts w:hint="eastAsia" w:ascii="仿宋" w:hAnsi="仿宋" w:eastAsia="仿宋"/>
          <w:color w:val="000000"/>
          <w:sz w:val="32"/>
          <w:szCs w:val="32"/>
        </w:rPr>
        <w:t>13.卫生健康支出（210）公共卫生（21004）基本公共卫生服务（2100408）：反映基本公共卫生服务支出。</w:t>
      </w:r>
      <w:r>
        <w:rPr>
          <w:rFonts w:hint="eastAsia" w:ascii="仿宋" w:hAnsi="仿宋" w:eastAsia="仿宋"/>
          <w:color w:val="000000"/>
          <w:sz w:val="32"/>
          <w:szCs w:val="32"/>
        </w:rPr>
        <w:cr/>
      </w:r>
      <w:r>
        <w:rPr>
          <w:rFonts w:hint="eastAsia" w:ascii="仿宋" w:hAnsi="仿宋" w:eastAsia="仿宋"/>
          <w:color w:val="000000"/>
          <w:sz w:val="32"/>
          <w:szCs w:val="32"/>
        </w:rPr>
        <w:t>14.卫生健康支出（210）行政事业单位医疗（21011）事业单位医疗（2101102）：反映财政部门安排的事业单位基本医疗保险缴费经费，未参加医疗保险的事业单位的公费医疗经费，按国家规定享受离休人员待遇的医疗经费。</w:t>
      </w:r>
      <w:r>
        <w:rPr>
          <w:rFonts w:hint="eastAsia" w:ascii="仿宋" w:hAnsi="仿宋" w:eastAsia="仿宋"/>
          <w:color w:val="000000"/>
          <w:sz w:val="32"/>
          <w:szCs w:val="32"/>
        </w:rPr>
        <w:cr/>
      </w:r>
      <w:r>
        <w:rPr>
          <w:rFonts w:hint="eastAsia" w:ascii="仿宋" w:hAnsi="仿宋" w:eastAsia="仿宋"/>
          <w:color w:val="000000"/>
          <w:sz w:val="32"/>
          <w:szCs w:val="32"/>
        </w:rPr>
        <w:t>15.住房保障支出（221）住房改革支出（22102）住房公积金（2210201）：反映行政事业单位按人力资源和社会保障部、财政部规定的基本工资和津贴补贴以及规定比例为职工缴纳的住房公积金。</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16.基本支出：指为保障机构正常运转、完成日常工作任务而发生的人员支出和公用支出。</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 xml:space="preserve">25.项目支出：指在基本支出之外为完成特定行政任务和事业发展目标所发生的支出。 </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17.经营支出：指事业单位在专业业务活动及其辅助活动之外开展非独立核算经营活动发生的支出。</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18.“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19.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ind w:firstLine="640"/>
        <w:rPr>
          <w:rFonts w:hint="eastAsia" w:ascii="仿宋_GB2312" w:eastAsia="仿宋" w:cs="黑体"/>
          <w:sz w:val="32"/>
          <w:szCs w:val="32"/>
          <w:lang w:eastAsia="zh-CN"/>
        </w:rPr>
      </w:pPr>
      <w:r>
        <w:rPr>
          <w:rFonts w:hint="eastAsia" w:ascii="仿宋" w:hAnsi="仿宋" w:eastAsia="仿宋"/>
          <w:color w:val="000000"/>
          <w:sz w:val="32"/>
          <w:szCs w:val="32"/>
        </w:rPr>
        <w:t>20.财政应返还额度：为行政事业单位会计核算科目</w:t>
      </w:r>
      <w:r>
        <w:rPr>
          <w:rFonts w:hint="eastAsia" w:ascii="仿宋" w:hAnsi="仿宋" w:eastAsia="仿宋"/>
          <w:color w:val="000000"/>
          <w:sz w:val="32"/>
          <w:szCs w:val="32"/>
          <w:lang w:eastAsia="zh-CN"/>
        </w:rPr>
        <w:t>。</w:t>
      </w:r>
    </w:p>
    <w:p>
      <w:pPr>
        <w:widowControl/>
        <w:jc w:val="left"/>
        <w:rPr>
          <w:rStyle w:val="28"/>
          <w:rFonts w:ascii="黑体" w:hAnsi="黑体" w:eastAsia="黑体"/>
        </w:rPr>
      </w:pPr>
      <w:r>
        <w:rPr>
          <w:rStyle w:val="28"/>
          <w:rFonts w:ascii="黑体" w:hAnsi="黑体" w:eastAsia="黑体"/>
        </w:rPr>
        <w:br w:type="page"/>
      </w:r>
    </w:p>
    <w:p>
      <w:pPr>
        <w:pStyle w:val="2"/>
        <w:numPr>
          <w:ilvl w:val="0"/>
          <w:numId w:val="2"/>
        </w:numPr>
        <w:jc w:val="center"/>
      </w:pPr>
      <w:bookmarkStart w:id="70" w:name="_Toc111208510"/>
      <w:bookmarkStart w:id="71" w:name="_Toc13946"/>
      <w:r>
        <w:rPr>
          <w:rFonts w:hint="eastAsia" w:ascii="黑体" w:hAnsi="黑体" w:eastAsia="黑体" w:cs="黑体"/>
        </w:rPr>
        <w:t>附件</w:t>
      </w:r>
      <w:bookmarkEnd w:id="70"/>
      <w:bookmarkEnd w:id="71"/>
    </w:p>
    <w:p>
      <w:r>
        <w:object>
          <v:shape id="_x0000_i1025" o:spt="75" type="#_x0000_t75" style="height:665.55pt;width:400.5pt;" o:ole="t" filled="f" o:preferrelative="t" stroked="f" coordsize="21600,21600">
            <v:path/>
            <v:fill on="f" focussize="0,0"/>
            <v:stroke on="f"/>
            <v:imagedata r:id="rId14" o:title=""/>
            <o:lock v:ext="edit" aspectratio="f"/>
            <w10:wrap type="none"/>
            <w10:anchorlock/>
          </v:shape>
          <o:OLEObject Type="Embed" ProgID="Excel.Sheet.12" ShapeID="_x0000_i1025" DrawAspect="Content" ObjectID="_1468075725" r:id="rId13">
            <o:LockedField>false</o:LockedField>
          </o:OLEObject>
        </w:object>
      </w:r>
    </w:p>
    <w:p>
      <w:pPr>
        <w:pStyle w:val="5"/>
      </w:pPr>
      <w:r>
        <w:object>
          <v:shape id="_x0000_i1026" o:spt="75" type="#_x0000_t75" style="height:625.65pt;width:414.8pt;" o:ole="t" filled="f" o:preferrelative="t" stroked="f" coordsize="21600,21600">
            <v:path/>
            <v:fill on="f" focussize="0,0"/>
            <v:stroke on="f"/>
            <v:imagedata r:id="rId16" o:title=""/>
            <o:lock v:ext="edit" aspectratio="f"/>
            <w10:wrap type="none"/>
            <w10:anchorlock/>
          </v:shape>
          <o:OLEObject Type="Embed" ProgID="Excel.Sheet.12" ShapeID="_x0000_i1026" DrawAspect="Content" ObjectID="_1468075726" r:id="rId15">
            <o:LockedField>false</o:LockedField>
          </o:OLEObject>
        </w:object>
      </w:r>
    </w:p>
    <w:p>
      <w:pPr>
        <w:pStyle w:val="5"/>
      </w:pPr>
    </w:p>
    <w:p>
      <w:pPr>
        <w:pStyle w:val="5"/>
        <w:ind w:left="0" w:leftChars="0" w:firstLine="0" w:firstLineChars="0"/>
      </w:pPr>
    </w:p>
    <w:p>
      <w:pPr>
        <w:pStyle w:val="2"/>
        <w:jc w:val="center"/>
        <w:rPr>
          <w:rFonts w:ascii="黑体" w:hAnsi="黑体" w:eastAsia="黑体" w:cs="黑体"/>
        </w:rPr>
      </w:pPr>
      <w:bookmarkStart w:id="72" w:name="_Toc111208512"/>
      <w:bookmarkStart w:id="73" w:name="_Toc79163635"/>
      <w:bookmarkStart w:id="74" w:name="_Toc3397"/>
      <w:bookmarkStart w:id="75" w:name="_Toc79163885"/>
      <w:r>
        <w:rPr>
          <w:rFonts w:hint="eastAsia" w:ascii="黑体" w:hAnsi="黑体" w:eastAsia="黑体" w:cs="黑体"/>
        </w:rPr>
        <w:t>第五部分 附表</w:t>
      </w:r>
      <w:bookmarkEnd w:id="72"/>
      <w:bookmarkEnd w:id="73"/>
      <w:bookmarkEnd w:id="74"/>
      <w:bookmarkEnd w:id="75"/>
    </w:p>
    <w:p>
      <w:pPr>
        <w:pStyle w:val="3"/>
        <w:ind w:firstLine="643" w:firstLineChars="200"/>
        <w:rPr>
          <w:rFonts w:hint="eastAsia" w:ascii="黑体" w:eastAsia="黑体" w:cs="Times New Roman"/>
          <w:bCs w:val="0"/>
          <w:color w:val="000000"/>
        </w:rPr>
      </w:pPr>
      <w:r>
        <w:rPr>
          <w:rFonts w:hint="eastAsia" w:ascii="黑体" w:eastAsia="黑体" w:cs="Times New Roman"/>
          <w:bCs w:val="0"/>
          <w:color w:val="000000"/>
        </w:rPr>
        <w:t>一、收入支出决算总表</w:t>
      </w:r>
    </w:p>
    <w:p>
      <w:pPr>
        <w:pStyle w:val="3"/>
        <w:ind w:firstLine="643" w:firstLineChars="200"/>
        <w:rPr>
          <w:rFonts w:hint="eastAsia" w:ascii="黑体" w:eastAsia="黑体" w:cs="Times New Roman"/>
          <w:bCs w:val="0"/>
          <w:color w:val="000000"/>
        </w:rPr>
      </w:pPr>
      <w:r>
        <w:rPr>
          <w:rFonts w:hint="eastAsia" w:ascii="黑体" w:eastAsia="黑体" w:cs="Times New Roman"/>
          <w:bCs w:val="0"/>
          <w:color w:val="000000"/>
        </w:rPr>
        <w:t>二、收入决算表</w:t>
      </w:r>
    </w:p>
    <w:p>
      <w:pPr>
        <w:pStyle w:val="3"/>
        <w:ind w:firstLine="643" w:firstLineChars="200"/>
        <w:rPr>
          <w:rFonts w:hint="eastAsia" w:ascii="黑体" w:eastAsia="黑体" w:cs="Times New Roman"/>
          <w:bCs w:val="0"/>
          <w:color w:val="000000"/>
        </w:rPr>
      </w:pPr>
      <w:r>
        <w:rPr>
          <w:rFonts w:hint="eastAsia" w:ascii="黑体" w:eastAsia="黑体" w:cs="Times New Roman"/>
          <w:bCs w:val="0"/>
          <w:color w:val="000000"/>
        </w:rPr>
        <w:t>三、支出决算表</w:t>
      </w:r>
    </w:p>
    <w:p>
      <w:pPr>
        <w:pStyle w:val="3"/>
        <w:ind w:firstLine="643" w:firstLineChars="200"/>
        <w:rPr>
          <w:rFonts w:hint="eastAsia" w:ascii="黑体" w:eastAsia="黑体" w:cs="Times New Roman"/>
          <w:bCs w:val="0"/>
          <w:color w:val="000000"/>
        </w:rPr>
      </w:pPr>
      <w:r>
        <w:rPr>
          <w:rFonts w:hint="eastAsia" w:ascii="黑体" w:eastAsia="黑体" w:cs="Times New Roman"/>
          <w:bCs w:val="0"/>
          <w:color w:val="000000"/>
        </w:rPr>
        <w:t>四、财政拨款收入支出决算总表</w:t>
      </w:r>
    </w:p>
    <w:p>
      <w:pPr>
        <w:pStyle w:val="3"/>
        <w:ind w:firstLine="643" w:firstLineChars="200"/>
        <w:rPr>
          <w:rFonts w:hint="eastAsia" w:ascii="黑体" w:eastAsia="黑体" w:cs="Times New Roman"/>
          <w:bCs w:val="0"/>
          <w:color w:val="000000"/>
        </w:rPr>
      </w:pPr>
      <w:r>
        <w:rPr>
          <w:rFonts w:hint="eastAsia" w:ascii="黑体" w:eastAsia="黑体" w:cs="Times New Roman"/>
          <w:bCs w:val="0"/>
          <w:color w:val="000000"/>
        </w:rPr>
        <w:t>五、财政拨款支出决算明细表</w:t>
      </w:r>
    </w:p>
    <w:p>
      <w:pPr>
        <w:pStyle w:val="3"/>
        <w:ind w:firstLine="643" w:firstLineChars="200"/>
        <w:rPr>
          <w:rFonts w:hint="eastAsia" w:ascii="黑体" w:eastAsia="黑体" w:cs="Times New Roman"/>
          <w:bCs w:val="0"/>
          <w:color w:val="000000"/>
        </w:rPr>
      </w:pPr>
      <w:r>
        <w:rPr>
          <w:rFonts w:hint="eastAsia" w:ascii="黑体" w:eastAsia="黑体" w:cs="Times New Roman"/>
          <w:bCs w:val="0"/>
          <w:color w:val="000000"/>
        </w:rPr>
        <w:t>六、一般公共预算财政拨款支出决算表</w:t>
      </w:r>
    </w:p>
    <w:p>
      <w:pPr>
        <w:pStyle w:val="3"/>
        <w:ind w:firstLine="643" w:firstLineChars="200"/>
        <w:rPr>
          <w:rFonts w:hint="eastAsia" w:ascii="黑体" w:eastAsia="黑体" w:cs="Times New Roman"/>
          <w:bCs w:val="0"/>
          <w:color w:val="000000"/>
        </w:rPr>
      </w:pPr>
      <w:r>
        <w:rPr>
          <w:rFonts w:hint="eastAsia" w:ascii="黑体" w:eastAsia="黑体" w:cs="Times New Roman"/>
          <w:bCs w:val="0"/>
          <w:color w:val="000000"/>
        </w:rPr>
        <w:t>七、一般公共预算财政拨款支出决算明细表</w:t>
      </w:r>
    </w:p>
    <w:p>
      <w:pPr>
        <w:pStyle w:val="3"/>
        <w:ind w:firstLine="643" w:firstLineChars="200"/>
        <w:rPr>
          <w:rFonts w:hint="eastAsia" w:ascii="黑体" w:eastAsia="黑体" w:cs="Times New Roman"/>
          <w:bCs w:val="0"/>
          <w:color w:val="000000"/>
        </w:rPr>
      </w:pPr>
      <w:r>
        <w:rPr>
          <w:rFonts w:hint="eastAsia" w:ascii="黑体" w:eastAsia="黑体" w:cs="Times New Roman"/>
          <w:bCs w:val="0"/>
          <w:color w:val="000000"/>
        </w:rPr>
        <w:t>八、一般公共预算财政拨款基本支出决算表</w:t>
      </w:r>
    </w:p>
    <w:p>
      <w:pPr>
        <w:pStyle w:val="3"/>
        <w:ind w:firstLine="643" w:firstLineChars="200"/>
        <w:rPr>
          <w:rFonts w:hint="eastAsia" w:ascii="黑体" w:eastAsia="黑体" w:cs="Times New Roman"/>
          <w:bCs w:val="0"/>
          <w:color w:val="000000"/>
        </w:rPr>
      </w:pPr>
      <w:r>
        <w:rPr>
          <w:rFonts w:hint="eastAsia" w:ascii="黑体" w:eastAsia="黑体" w:cs="Times New Roman"/>
          <w:bCs w:val="0"/>
          <w:color w:val="000000"/>
        </w:rPr>
        <w:t>九、一般公共预算财政拨款项目支出决算表</w:t>
      </w:r>
    </w:p>
    <w:p>
      <w:pPr>
        <w:pStyle w:val="3"/>
        <w:ind w:firstLine="643" w:firstLineChars="200"/>
        <w:rPr>
          <w:rFonts w:hint="eastAsia" w:ascii="黑体" w:eastAsia="黑体" w:cs="Times New Roman"/>
          <w:bCs w:val="0"/>
          <w:color w:val="000000"/>
        </w:rPr>
      </w:pPr>
      <w:r>
        <w:rPr>
          <w:rFonts w:hint="eastAsia" w:ascii="黑体" w:eastAsia="黑体" w:cs="Times New Roman"/>
          <w:bCs w:val="0"/>
          <w:color w:val="000000"/>
        </w:rPr>
        <w:t>十、政府性基金预算财政拨款收入支出决算表</w:t>
      </w:r>
    </w:p>
    <w:p>
      <w:pPr>
        <w:pStyle w:val="3"/>
        <w:ind w:firstLine="643" w:firstLineChars="200"/>
        <w:rPr>
          <w:rFonts w:hint="eastAsia" w:ascii="黑体" w:eastAsia="黑体" w:cs="Times New Roman"/>
          <w:bCs w:val="0"/>
          <w:color w:val="000000"/>
        </w:rPr>
      </w:pPr>
      <w:r>
        <w:rPr>
          <w:rFonts w:hint="eastAsia" w:ascii="黑体" w:eastAsia="黑体" w:cs="Times New Roman"/>
          <w:bCs w:val="0"/>
          <w:color w:val="000000"/>
        </w:rPr>
        <w:t>十一、国有资本经营预算财政拨款收入支出决算表</w:t>
      </w:r>
    </w:p>
    <w:p>
      <w:pPr>
        <w:pStyle w:val="3"/>
        <w:ind w:firstLine="643" w:firstLineChars="200"/>
        <w:rPr>
          <w:rFonts w:hint="eastAsia" w:ascii="黑体" w:eastAsia="黑体" w:cs="Times New Roman"/>
          <w:bCs w:val="0"/>
          <w:color w:val="000000"/>
        </w:rPr>
      </w:pPr>
      <w:r>
        <w:rPr>
          <w:rFonts w:hint="eastAsia" w:ascii="黑体" w:eastAsia="黑体" w:cs="Times New Roman"/>
          <w:bCs w:val="0"/>
          <w:color w:val="000000"/>
        </w:rPr>
        <w:t>十二、国有资本经营预算财政拨款支出决算表</w:t>
      </w:r>
    </w:p>
    <w:p>
      <w:pPr>
        <w:pStyle w:val="3"/>
        <w:ind w:firstLine="643" w:firstLineChars="200"/>
        <w:rPr>
          <w:rFonts w:ascii="黑体" w:eastAsia="黑体" w:cs="Times New Roman"/>
          <w:b w:val="0"/>
          <w:color w:val="000000"/>
        </w:rPr>
      </w:pPr>
      <w:r>
        <w:rPr>
          <w:rFonts w:hint="eastAsia" w:ascii="黑体" w:eastAsia="黑体" w:cs="Times New Roman"/>
          <w:bCs w:val="0"/>
          <w:color w:val="000000"/>
        </w:rPr>
        <w:t>十三、财政拨款“三公”经费支出决算表</w:t>
      </w:r>
    </w:p>
    <w:sectPr>
      <w:headerReference r:id="rId3" w:type="default"/>
      <w:footerReference r:id="rId4" w:type="default"/>
      <w:pgSz w:w="11906" w:h="16838"/>
      <w:pgMar w:top="873" w:right="1800" w:bottom="1440" w:left="1800" w:header="397" w:footer="992" w:gutter="0"/>
      <w:pgNumType w:start="1"/>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0"/>
          <w:jc w:val="center"/>
        </w:pPr>
        <w:r>
          <w:fldChar w:fldCharType="begin"/>
        </w:r>
        <w:r>
          <w:instrText xml:space="preserve">PAGE   \* MERGEFORMAT</w:instrText>
        </w:r>
        <w:r>
          <w:fldChar w:fldCharType="separate"/>
        </w:r>
        <w:r>
          <w:rPr>
            <w:lang w:val="zh-CN"/>
          </w:rPr>
          <w:t>4</w:t>
        </w:r>
        <w:r>
          <w:fldChar w:fldCharType="end"/>
        </w:r>
      </w:p>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08F600"/>
    <w:multiLevelType w:val="singleLevel"/>
    <w:tmpl w:val="0C08F600"/>
    <w:lvl w:ilvl="0" w:tentative="0">
      <w:start w:val="3"/>
      <w:numFmt w:val="chineseCounting"/>
      <w:suff w:val="space"/>
      <w:lvlText w:val="第%1部分"/>
      <w:lvlJc w:val="left"/>
      <w:rPr>
        <w:rFonts w:hint="eastAsia"/>
      </w:rPr>
    </w:lvl>
  </w:abstractNum>
  <w:abstractNum w:abstractNumId="1">
    <w:nsid w:val="3636264B"/>
    <w:multiLevelType w:val="singleLevel"/>
    <w:tmpl w:val="3636264B"/>
    <w:lvl w:ilvl="0" w:tentative="0">
      <w:start w:val="4"/>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U1MWNhN2ZmY2ZhZmY3ODhlYTg0MWU5OGMyY2QwZmUifQ=="/>
  </w:docVars>
  <w:rsids>
    <w:rsidRoot w:val="00F1361C"/>
    <w:rsid w:val="000000BC"/>
    <w:rsid w:val="00000665"/>
    <w:rsid w:val="00000B38"/>
    <w:rsid w:val="000015A2"/>
    <w:rsid w:val="00002628"/>
    <w:rsid w:val="00003E5B"/>
    <w:rsid w:val="00004806"/>
    <w:rsid w:val="00007EA6"/>
    <w:rsid w:val="00012FB7"/>
    <w:rsid w:val="00013357"/>
    <w:rsid w:val="00013C9E"/>
    <w:rsid w:val="00015450"/>
    <w:rsid w:val="000175E6"/>
    <w:rsid w:val="00017F98"/>
    <w:rsid w:val="00020F07"/>
    <w:rsid w:val="000222C6"/>
    <w:rsid w:val="00022FC0"/>
    <w:rsid w:val="000230B2"/>
    <w:rsid w:val="0002359B"/>
    <w:rsid w:val="00023DEB"/>
    <w:rsid w:val="00025226"/>
    <w:rsid w:val="0002549F"/>
    <w:rsid w:val="00025F1E"/>
    <w:rsid w:val="0002749D"/>
    <w:rsid w:val="0003013F"/>
    <w:rsid w:val="00031598"/>
    <w:rsid w:val="00031926"/>
    <w:rsid w:val="000326D5"/>
    <w:rsid w:val="00033414"/>
    <w:rsid w:val="00034ABC"/>
    <w:rsid w:val="00034D1D"/>
    <w:rsid w:val="00034D24"/>
    <w:rsid w:val="00035A69"/>
    <w:rsid w:val="000366B3"/>
    <w:rsid w:val="00036E57"/>
    <w:rsid w:val="00047195"/>
    <w:rsid w:val="00047C09"/>
    <w:rsid w:val="00052D93"/>
    <w:rsid w:val="000551CF"/>
    <w:rsid w:val="000571AC"/>
    <w:rsid w:val="00063AA8"/>
    <w:rsid w:val="0006487A"/>
    <w:rsid w:val="00065F8F"/>
    <w:rsid w:val="00066365"/>
    <w:rsid w:val="00066A65"/>
    <w:rsid w:val="00070C93"/>
    <w:rsid w:val="00070D58"/>
    <w:rsid w:val="00070F40"/>
    <w:rsid w:val="00071796"/>
    <w:rsid w:val="00072BEC"/>
    <w:rsid w:val="00073345"/>
    <w:rsid w:val="000768F2"/>
    <w:rsid w:val="00077C80"/>
    <w:rsid w:val="00081156"/>
    <w:rsid w:val="000815F6"/>
    <w:rsid w:val="00083B72"/>
    <w:rsid w:val="000846FF"/>
    <w:rsid w:val="0008503A"/>
    <w:rsid w:val="000851B4"/>
    <w:rsid w:val="000859F0"/>
    <w:rsid w:val="00087C06"/>
    <w:rsid w:val="00090134"/>
    <w:rsid w:val="00090DB7"/>
    <w:rsid w:val="0009184B"/>
    <w:rsid w:val="00091AAC"/>
    <w:rsid w:val="000925CB"/>
    <w:rsid w:val="0009389E"/>
    <w:rsid w:val="0009593C"/>
    <w:rsid w:val="000A1370"/>
    <w:rsid w:val="000A17C4"/>
    <w:rsid w:val="000A37A2"/>
    <w:rsid w:val="000A500C"/>
    <w:rsid w:val="000B007F"/>
    <w:rsid w:val="000B047F"/>
    <w:rsid w:val="000B071C"/>
    <w:rsid w:val="000B1716"/>
    <w:rsid w:val="000B202D"/>
    <w:rsid w:val="000B26BE"/>
    <w:rsid w:val="000B2D44"/>
    <w:rsid w:val="000B2FD8"/>
    <w:rsid w:val="000B44F0"/>
    <w:rsid w:val="000B5923"/>
    <w:rsid w:val="000B5A48"/>
    <w:rsid w:val="000B6FF3"/>
    <w:rsid w:val="000C0A06"/>
    <w:rsid w:val="000C148A"/>
    <w:rsid w:val="000C2B6A"/>
    <w:rsid w:val="000C3467"/>
    <w:rsid w:val="000C3CA6"/>
    <w:rsid w:val="000C4E3D"/>
    <w:rsid w:val="000C7136"/>
    <w:rsid w:val="000D1267"/>
    <w:rsid w:val="000D1D50"/>
    <w:rsid w:val="000D304F"/>
    <w:rsid w:val="000D4033"/>
    <w:rsid w:val="000D5782"/>
    <w:rsid w:val="000D620F"/>
    <w:rsid w:val="000D74AA"/>
    <w:rsid w:val="000E3AC5"/>
    <w:rsid w:val="000E4C84"/>
    <w:rsid w:val="000E6613"/>
    <w:rsid w:val="000E6663"/>
    <w:rsid w:val="000E7119"/>
    <w:rsid w:val="000E75B2"/>
    <w:rsid w:val="000F0D1B"/>
    <w:rsid w:val="000F3E1D"/>
    <w:rsid w:val="000F7336"/>
    <w:rsid w:val="00101546"/>
    <w:rsid w:val="00106B75"/>
    <w:rsid w:val="0010727E"/>
    <w:rsid w:val="00107CCA"/>
    <w:rsid w:val="00110310"/>
    <w:rsid w:val="0011211B"/>
    <w:rsid w:val="00112787"/>
    <w:rsid w:val="00114E9B"/>
    <w:rsid w:val="0011649B"/>
    <w:rsid w:val="00116E5E"/>
    <w:rsid w:val="0012218E"/>
    <w:rsid w:val="0012398F"/>
    <w:rsid w:val="00124113"/>
    <w:rsid w:val="00124BFE"/>
    <w:rsid w:val="0012516D"/>
    <w:rsid w:val="00125224"/>
    <w:rsid w:val="00130F18"/>
    <w:rsid w:val="00133C7A"/>
    <w:rsid w:val="0013434B"/>
    <w:rsid w:val="00137E3C"/>
    <w:rsid w:val="001418EE"/>
    <w:rsid w:val="00142F42"/>
    <w:rsid w:val="00143AE1"/>
    <w:rsid w:val="00143C8F"/>
    <w:rsid w:val="001446FE"/>
    <w:rsid w:val="00144A59"/>
    <w:rsid w:val="00146A3D"/>
    <w:rsid w:val="0014729F"/>
    <w:rsid w:val="00147410"/>
    <w:rsid w:val="001506F6"/>
    <w:rsid w:val="00151128"/>
    <w:rsid w:val="0015213E"/>
    <w:rsid w:val="001544D9"/>
    <w:rsid w:val="00156D25"/>
    <w:rsid w:val="00156D5D"/>
    <w:rsid w:val="00157BAB"/>
    <w:rsid w:val="0016151A"/>
    <w:rsid w:val="00163B54"/>
    <w:rsid w:val="001654D1"/>
    <w:rsid w:val="00166A14"/>
    <w:rsid w:val="00166F25"/>
    <w:rsid w:val="0016730C"/>
    <w:rsid w:val="0017190C"/>
    <w:rsid w:val="00174145"/>
    <w:rsid w:val="0018106D"/>
    <w:rsid w:val="0018125C"/>
    <w:rsid w:val="00181856"/>
    <w:rsid w:val="00183B64"/>
    <w:rsid w:val="00184B52"/>
    <w:rsid w:val="001877A7"/>
    <w:rsid w:val="00187CD2"/>
    <w:rsid w:val="00191536"/>
    <w:rsid w:val="00191B2C"/>
    <w:rsid w:val="001927B3"/>
    <w:rsid w:val="00193E73"/>
    <w:rsid w:val="00193FE2"/>
    <w:rsid w:val="001959D9"/>
    <w:rsid w:val="00195AB7"/>
    <w:rsid w:val="00196687"/>
    <w:rsid w:val="001A0107"/>
    <w:rsid w:val="001A0B9F"/>
    <w:rsid w:val="001A0EA2"/>
    <w:rsid w:val="001A1DBF"/>
    <w:rsid w:val="001A41F1"/>
    <w:rsid w:val="001A5CF3"/>
    <w:rsid w:val="001A63BB"/>
    <w:rsid w:val="001B1840"/>
    <w:rsid w:val="001B1FA9"/>
    <w:rsid w:val="001B2FB3"/>
    <w:rsid w:val="001B6640"/>
    <w:rsid w:val="001B7FF7"/>
    <w:rsid w:val="001C0962"/>
    <w:rsid w:val="001C1941"/>
    <w:rsid w:val="001C1A81"/>
    <w:rsid w:val="001C38A5"/>
    <w:rsid w:val="001C597C"/>
    <w:rsid w:val="001C6464"/>
    <w:rsid w:val="001C746B"/>
    <w:rsid w:val="001D14B6"/>
    <w:rsid w:val="001D342B"/>
    <w:rsid w:val="001D6C1E"/>
    <w:rsid w:val="001D7531"/>
    <w:rsid w:val="001E0A1B"/>
    <w:rsid w:val="001E1402"/>
    <w:rsid w:val="001E2922"/>
    <w:rsid w:val="001E3680"/>
    <w:rsid w:val="001E6926"/>
    <w:rsid w:val="001E737D"/>
    <w:rsid w:val="001F0592"/>
    <w:rsid w:val="001F0C89"/>
    <w:rsid w:val="001F7506"/>
    <w:rsid w:val="002006CD"/>
    <w:rsid w:val="0020075A"/>
    <w:rsid w:val="00202B36"/>
    <w:rsid w:val="00202C44"/>
    <w:rsid w:val="00202F80"/>
    <w:rsid w:val="002030A5"/>
    <w:rsid w:val="00204B7A"/>
    <w:rsid w:val="00206616"/>
    <w:rsid w:val="0020689D"/>
    <w:rsid w:val="00206B0E"/>
    <w:rsid w:val="00207949"/>
    <w:rsid w:val="0021101A"/>
    <w:rsid w:val="0021190F"/>
    <w:rsid w:val="0021334C"/>
    <w:rsid w:val="00216B50"/>
    <w:rsid w:val="00220536"/>
    <w:rsid w:val="00220C02"/>
    <w:rsid w:val="00224F1D"/>
    <w:rsid w:val="00225CB7"/>
    <w:rsid w:val="0023060C"/>
    <w:rsid w:val="00234E40"/>
    <w:rsid w:val="00235629"/>
    <w:rsid w:val="00237AE4"/>
    <w:rsid w:val="00240C43"/>
    <w:rsid w:val="00240C5D"/>
    <w:rsid w:val="00243589"/>
    <w:rsid w:val="002527B1"/>
    <w:rsid w:val="0025301B"/>
    <w:rsid w:val="00253FF8"/>
    <w:rsid w:val="00260A32"/>
    <w:rsid w:val="00260C38"/>
    <w:rsid w:val="00260F84"/>
    <w:rsid w:val="002616C0"/>
    <w:rsid w:val="002620C0"/>
    <w:rsid w:val="002662AA"/>
    <w:rsid w:val="00267E1C"/>
    <w:rsid w:val="00272FB2"/>
    <w:rsid w:val="0027313F"/>
    <w:rsid w:val="00273F8B"/>
    <w:rsid w:val="002740FA"/>
    <w:rsid w:val="0027692F"/>
    <w:rsid w:val="0027703A"/>
    <w:rsid w:val="00277BF4"/>
    <w:rsid w:val="002803BD"/>
    <w:rsid w:val="00280496"/>
    <w:rsid w:val="00283D63"/>
    <w:rsid w:val="00283E91"/>
    <w:rsid w:val="002856F9"/>
    <w:rsid w:val="002866CA"/>
    <w:rsid w:val="00286C21"/>
    <w:rsid w:val="002875BF"/>
    <w:rsid w:val="0029076F"/>
    <w:rsid w:val="0029094E"/>
    <w:rsid w:val="00291DC2"/>
    <w:rsid w:val="00292626"/>
    <w:rsid w:val="00292E6B"/>
    <w:rsid w:val="00295495"/>
    <w:rsid w:val="002A0D55"/>
    <w:rsid w:val="002A0E88"/>
    <w:rsid w:val="002A1940"/>
    <w:rsid w:val="002A3F4C"/>
    <w:rsid w:val="002A70D7"/>
    <w:rsid w:val="002A77B7"/>
    <w:rsid w:val="002A7AE1"/>
    <w:rsid w:val="002B133E"/>
    <w:rsid w:val="002B1B6D"/>
    <w:rsid w:val="002B2613"/>
    <w:rsid w:val="002B2C2A"/>
    <w:rsid w:val="002B2F51"/>
    <w:rsid w:val="002B44FC"/>
    <w:rsid w:val="002B5438"/>
    <w:rsid w:val="002B544A"/>
    <w:rsid w:val="002B5F40"/>
    <w:rsid w:val="002B79B7"/>
    <w:rsid w:val="002C00BF"/>
    <w:rsid w:val="002C0137"/>
    <w:rsid w:val="002C1004"/>
    <w:rsid w:val="002C1E97"/>
    <w:rsid w:val="002C4022"/>
    <w:rsid w:val="002C5275"/>
    <w:rsid w:val="002C6074"/>
    <w:rsid w:val="002D1F9E"/>
    <w:rsid w:val="002D30E8"/>
    <w:rsid w:val="002E0F9C"/>
    <w:rsid w:val="002E1F75"/>
    <w:rsid w:val="002E202A"/>
    <w:rsid w:val="002E5C3A"/>
    <w:rsid w:val="002E64D0"/>
    <w:rsid w:val="002F1818"/>
    <w:rsid w:val="002F1A28"/>
    <w:rsid w:val="002F2C84"/>
    <w:rsid w:val="002F335F"/>
    <w:rsid w:val="002F567B"/>
    <w:rsid w:val="002F66D8"/>
    <w:rsid w:val="002F7353"/>
    <w:rsid w:val="0030080A"/>
    <w:rsid w:val="0030298F"/>
    <w:rsid w:val="00302AF1"/>
    <w:rsid w:val="00305126"/>
    <w:rsid w:val="0030593B"/>
    <w:rsid w:val="00310306"/>
    <w:rsid w:val="0031156F"/>
    <w:rsid w:val="00317FD1"/>
    <w:rsid w:val="00321358"/>
    <w:rsid w:val="003216A9"/>
    <w:rsid w:val="00322D89"/>
    <w:rsid w:val="00325332"/>
    <w:rsid w:val="00325856"/>
    <w:rsid w:val="00325985"/>
    <w:rsid w:val="003278AA"/>
    <w:rsid w:val="00332726"/>
    <w:rsid w:val="0033309F"/>
    <w:rsid w:val="00335ED6"/>
    <w:rsid w:val="00337694"/>
    <w:rsid w:val="003431B7"/>
    <w:rsid w:val="0034381A"/>
    <w:rsid w:val="003440C6"/>
    <w:rsid w:val="00350C26"/>
    <w:rsid w:val="003515CF"/>
    <w:rsid w:val="00353569"/>
    <w:rsid w:val="00354D51"/>
    <w:rsid w:val="0035612F"/>
    <w:rsid w:val="00356A32"/>
    <w:rsid w:val="0035779A"/>
    <w:rsid w:val="00360394"/>
    <w:rsid w:val="0036392A"/>
    <w:rsid w:val="003663FE"/>
    <w:rsid w:val="0036688B"/>
    <w:rsid w:val="00366A86"/>
    <w:rsid w:val="00367683"/>
    <w:rsid w:val="00367B91"/>
    <w:rsid w:val="0037013F"/>
    <w:rsid w:val="00373FCE"/>
    <w:rsid w:val="00377A4C"/>
    <w:rsid w:val="003802FF"/>
    <w:rsid w:val="00380C92"/>
    <w:rsid w:val="00383877"/>
    <w:rsid w:val="00385025"/>
    <w:rsid w:val="00386455"/>
    <w:rsid w:val="00390D36"/>
    <w:rsid w:val="00390F3B"/>
    <w:rsid w:val="0039111A"/>
    <w:rsid w:val="003936B4"/>
    <w:rsid w:val="00393AFD"/>
    <w:rsid w:val="003A079E"/>
    <w:rsid w:val="003A10FA"/>
    <w:rsid w:val="003A163E"/>
    <w:rsid w:val="003A32EC"/>
    <w:rsid w:val="003A36AE"/>
    <w:rsid w:val="003A3ACA"/>
    <w:rsid w:val="003A4404"/>
    <w:rsid w:val="003A484F"/>
    <w:rsid w:val="003A4F96"/>
    <w:rsid w:val="003A5540"/>
    <w:rsid w:val="003B0BE0"/>
    <w:rsid w:val="003B0C1A"/>
    <w:rsid w:val="003B0C1B"/>
    <w:rsid w:val="003B5601"/>
    <w:rsid w:val="003B688C"/>
    <w:rsid w:val="003C0291"/>
    <w:rsid w:val="003C2ECB"/>
    <w:rsid w:val="003C350E"/>
    <w:rsid w:val="003C39AE"/>
    <w:rsid w:val="003C6D0D"/>
    <w:rsid w:val="003C76CC"/>
    <w:rsid w:val="003C7B60"/>
    <w:rsid w:val="003D0821"/>
    <w:rsid w:val="003D1FB2"/>
    <w:rsid w:val="003D2303"/>
    <w:rsid w:val="003D3CC9"/>
    <w:rsid w:val="003D4221"/>
    <w:rsid w:val="003D644D"/>
    <w:rsid w:val="003D66DA"/>
    <w:rsid w:val="003E10D3"/>
    <w:rsid w:val="003E1310"/>
    <w:rsid w:val="003E2E1C"/>
    <w:rsid w:val="003E5BD3"/>
    <w:rsid w:val="003E6348"/>
    <w:rsid w:val="003E6F55"/>
    <w:rsid w:val="003F133D"/>
    <w:rsid w:val="003F2794"/>
    <w:rsid w:val="003F339D"/>
    <w:rsid w:val="003F363F"/>
    <w:rsid w:val="003F3A2A"/>
    <w:rsid w:val="003F3DED"/>
    <w:rsid w:val="003F3E94"/>
    <w:rsid w:val="003F44B8"/>
    <w:rsid w:val="003F7CD6"/>
    <w:rsid w:val="00400549"/>
    <w:rsid w:val="00401C71"/>
    <w:rsid w:val="004026F9"/>
    <w:rsid w:val="00402FCE"/>
    <w:rsid w:val="00405639"/>
    <w:rsid w:val="00406254"/>
    <w:rsid w:val="004071E0"/>
    <w:rsid w:val="00407AD0"/>
    <w:rsid w:val="00410C16"/>
    <w:rsid w:val="00422023"/>
    <w:rsid w:val="004223DE"/>
    <w:rsid w:val="004234B2"/>
    <w:rsid w:val="00426FA8"/>
    <w:rsid w:val="00427162"/>
    <w:rsid w:val="0043341C"/>
    <w:rsid w:val="004343F3"/>
    <w:rsid w:val="00434489"/>
    <w:rsid w:val="0043475E"/>
    <w:rsid w:val="0043497B"/>
    <w:rsid w:val="00435137"/>
    <w:rsid w:val="00436E88"/>
    <w:rsid w:val="00437085"/>
    <w:rsid w:val="004370D1"/>
    <w:rsid w:val="00440872"/>
    <w:rsid w:val="00440A29"/>
    <w:rsid w:val="00441C18"/>
    <w:rsid w:val="004422EF"/>
    <w:rsid w:val="00443880"/>
    <w:rsid w:val="00444CE1"/>
    <w:rsid w:val="0044578E"/>
    <w:rsid w:val="0044581C"/>
    <w:rsid w:val="004464F4"/>
    <w:rsid w:val="00446FA9"/>
    <w:rsid w:val="00447035"/>
    <w:rsid w:val="00450BFF"/>
    <w:rsid w:val="00454FA9"/>
    <w:rsid w:val="004571F2"/>
    <w:rsid w:val="0045723A"/>
    <w:rsid w:val="00460A67"/>
    <w:rsid w:val="00461A98"/>
    <w:rsid w:val="00462B33"/>
    <w:rsid w:val="0046346E"/>
    <w:rsid w:val="004708B9"/>
    <w:rsid w:val="00471401"/>
    <w:rsid w:val="00471CBB"/>
    <w:rsid w:val="00473F31"/>
    <w:rsid w:val="00474218"/>
    <w:rsid w:val="004750E8"/>
    <w:rsid w:val="00476F1B"/>
    <w:rsid w:val="0047729B"/>
    <w:rsid w:val="0048263A"/>
    <w:rsid w:val="0048368B"/>
    <w:rsid w:val="0048372E"/>
    <w:rsid w:val="00483F46"/>
    <w:rsid w:val="00484CD3"/>
    <w:rsid w:val="004857E4"/>
    <w:rsid w:val="00486073"/>
    <w:rsid w:val="0048694C"/>
    <w:rsid w:val="00486E3E"/>
    <w:rsid w:val="00487E5D"/>
    <w:rsid w:val="00491181"/>
    <w:rsid w:val="00492070"/>
    <w:rsid w:val="004941B6"/>
    <w:rsid w:val="00497E59"/>
    <w:rsid w:val="004A2A48"/>
    <w:rsid w:val="004A4A66"/>
    <w:rsid w:val="004A4B01"/>
    <w:rsid w:val="004A5576"/>
    <w:rsid w:val="004A6B85"/>
    <w:rsid w:val="004A711F"/>
    <w:rsid w:val="004A7B2B"/>
    <w:rsid w:val="004B01AE"/>
    <w:rsid w:val="004B199D"/>
    <w:rsid w:val="004B2279"/>
    <w:rsid w:val="004B25B9"/>
    <w:rsid w:val="004B3F00"/>
    <w:rsid w:val="004B4690"/>
    <w:rsid w:val="004B7108"/>
    <w:rsid w:val="004B778F"/>
    <w:rsid w:val="004B785F"/>
    <w:rsid w:val="004C01B1"/>
    <w:rsid w:val="004C062D"/>
    <w:rsid w:val="004C4638"/>
    <w:rsid w:val="004C5745"/>
    <w:rsid w:val="004C5DBD"/>
    <w:rsid w:val="004C62FA"/>
    <w:rsid w:val="004C6FB9"/>
    <w:rsid w:val="004D1DC6"/>
    <w:rsid w:val="004D31FB"/>
    <w:rsid w:val="004D4BB1"/>
    <w:rsid w:val="004D4D6E"/>
    <w:rsid w:val="004D4DA3"/>
    <w:rsid w:val="004D798C"/>
    <w:rsid w:val="004D7AEF"/>
    <w:rsid w:val="004E028C"/>
    <w:rsid w:val="004E0815"/>
    <w:rsid w:val="004E0A2D"/>
    <w:rsid w:val="004E206B"/>
    <w:rsid w:val="004E3DEC"/>
    <w:rsid w:val="004E67E0"/>
    <w:rsid w:val="004E6DF7"/>
    <w:rsid w:val="004F0FBD"/>
    <w:rsid w:val="00501436"/>
    <w:rsid w:val="00501B3E"/>
    <w:rsid w:val="00502053"/>
    <w:rsid w:val="005020BB"/>
    <w:rsid w:val="00505843"/>
    <w:rsid w:val="00505A47"/>
    <w:rsid w:val="0050679E"/>
    <w:rsid w:val="0051166F"/>
    <w:rsid w:val="0051173A"/>
    <w:rsid w:val="00512FDA"/>
    <w:rsid w:val="00513ED7"/>
    <w:rsid w:val="0051467D"/>
    <w:rsid w:val="00520DA0"/>
    <w:rsid w:val="005225FC"/>
    <w:rsid w:val="00524AC4"/>
    <w:rsid w:val="0052729E"/>
    <w:rsid w:val="0052733D"/>
    <w:rsid w:val="00530E19"/>
    <w:rsid w:val="00530F71"/>
    <w:rsid w:val="005322EB"/>
    <w:rsid w:val="0053459C"/>
    <w:rsid w:val="00550726"/>
    <w:rsid w:val="00550F95"/>
    <w:rsid w:val="0055106D"/>
    <w:rsid w:val="005559A4"/>
    <w:rsid w:val="0056304B"/>
    <w:rsid w:val="005651E3"/>
    <w:rsid w:val="00565D17"/>
    <w:rsid w:val="005664BB"/>
    <w:rsid w:val="00566C08"/>
    <w:rsid w:val="0056722F"/>
    <w:rsid w:val="00567B67"/>
    <w:rsid w:val="00570C62"/>
    <w:rsid w:val="00572EB1"/>
    <w:rsid w:val="00572EC9"/>
    <w:rsid w:val="00573576"/>
    <w:rsid w:val="0057481D"/>
    <w:rsid w:val="0057798B"/>
    <w:rsid w:val="00577A75"/>
    <w:rsid w:val="00577DF2"/>
    <w:rsid w:val="00580D35"/>
    <w:rsid w:val="0058486E"/>
    <w:rsid w:val="00584F2B"/>
    <w:rsid w:val="005935E9"/>
    <w:rsid w:val="005939BC"/>
    <w:rsid w:val="00593D4E"/>
    <w:rsid w:val="005975DB"/>
    <w:rsid w:val="00597919"/>
    <w:rsid w:val="005A0204"/>
    <w:rsid w:val="005A0CF8"/>
    <w:rsid w:val="005A324B"/>
    <w:rsid w:val="005B186A"/>
    <w:rsid w:val="005B553C"/>
    <w:rsid w:val="005B57DB"/>
    <w:rsid w:val="005B58F9"/>
    <w:rsid w:val="005B5ACB"/>
    <w:rsid w:val="005B76E6"/>
    <w:rsid w:val="005C0AF7"/>
    <w:rsid w:val="005C0B82"/>
    <w:rsid w:val="005C0D5C"/>
    <w:rsid w:val="005C4A4C"/>
    <w:rsid w:val="005C52C6"/>
    <w:rsid w:val="005C7204"/>
    <w:rsid w:val="005D1C8B"/>
    <w:rsid w:val="005D5CED"/>
    <w:rsid w:val="005D6054"/>
    <w:rsid w:val="005E1522"/>
    <w:rsid w:val="005E3365"/>
    <w:rsid w:val="005E5517"/>
    <w:rsid w:val="005F0705"/>
    <w:rsid w:val="005F0C83"/>
    <w:rsid w:val="005F1A4C"/>
    <w:rsid w:val="005F1F76"/>
    <w:rsid w:val="005F2C70"/>
    <w:rsid w:val="005F32B6"/>
    <w:rsid w:val="005F4162"/>
    <w:rsid w:val="005F44C7"/>
    <w:rsid w:val="005F632F"/>
    <w:rsid w:val="00600946"/>
    <w:rsid w:val="006044AC"/>
    <w:rsid w:val="00604551"/>
    <w:rsid w:val="00605688"/>
    <w:rsid w:val="006070AF"/>
    <w:rsid w:val="00607816"/>
    <w:rsid w:val="00607E6C"/>
    <w:rsid w:val="006101B1"/>
    <w:rsid w:val="00611AD3"/>
    <w:rsid w:val="00612209"/>
    <w:rsid w:val="00614423"/>
    <w:rsid w:val="00614E44"/>
    <w:rsid w:val="006155B0"/>
    <w:rsid w:val="006205F4"/>
    <w:rsid w:val="00620717"/>
    <w:rsid w:val="00622830"/>
    <w:rsid w:val="006256DB"/>
    <w:rsid w:val="00630AEF"/>
    <w:rsid w:val="00630BB3"/>
    <w:rsid w:val="006325F8"/>
    <w:rsid w:val="00633AE4"/>
    <w:rsid w:val="006348B1"/>
    <w:rsid w:val="00634C9A"/>
    <w:rsid w:val="00635FC7"/>
    <w:rsid w:val="00636040"/>
    <w:rsid w:val="00642529"/>
    <w:rsid w:val="0064301E"/>
    <w:rsid w:val="00643322"/>
    <w:rsid w:val="00643C0A"/>
    <w:rsid w:val="006440E4"/>
    <w:rsid w:val="00645301"/>
    <w:rsid w:val="00645F78"/>
    <w:rsid w:val="0064753B"/>
    <w:rsid w:val="00650D36"/>
    <w:rsid w:val="00650F17"/>
    <w:rsid w:val="006511E7"/>
    <w:rsid w:val="0065182B"/>
    <w:rsid w:val="00660339"/>
    <w:rsid w:val="00660F57"/>
    <w:rsid w:val="00661830"/>
    <w:rsid w:val="0066343B"/>
    <w:rsid w:val="00663BDD"/>
    <w:rsid w:val="00664777"/>
    <w:rsid w:val="00664ED7"/>
    <w:rsid w:val="0066615D"/>
    <w:rsid w:val="00666366"/>
    <w:rsid w:val="0066748A"/>
    <w:rsid w:val="0067155A"/>
    <w:rsid w:val="00671D25"/>
    <w:rsid w:val="00672345"/>
    <w:rsid w:val="00673381"/>
    <w:rsid w:val="006740AB"/>
    <w:rsid w:val="00674446"/>
    <w:rsid w:val="006748A4"/>
    <w:rsid w:val="006757D8"/>
    <w:rsid w:val="00680EF7"/>
    <w:rsid w:val="00683E73"/>
    <w:rsid w:val="0068590F"/>
    <w:rsid w:val="00686CF0"/>
    <w:rsid w:val="00687CAC"/>
    <w:rsid w:val="00691D82"/>
    <w:rsid w:val="006931FE"/>
    <w:rsid w:val="006947FC"/>
    <w:rsid w:val="006950FD"/>
    <w:rsid w:val="00695AD3"/>
    <w:rsid w:val="00696ACE"/>
    <w:rsid w:val="006A01D3"/>
    <w:rsid w:val="006A04FE"/>
    <w:rsid w:val="006A0C2C"/>
    <w:rsid w:val="006A0C51"/>
    <w:rsid w:val="006A1E7E"/>
    <w:rsid w:val="006A2BCD"/>
    <w:rsid w:val="006A3141"/>
    <w:rsid w:val="006A5E34"/>
    <w:rsid w:val="006A75B7"/>
    <w:rsid w:val="006B0ABA"/>
    <w:rsid w:val="006B2422"/>
    <w:rsid w:val="006B2B9A"/>
    <w:rsid w:val="006B2E2F"/>
    <w:rsid w:val="006B471C"/>
    <w:rsid w:val="006B4C59"/>
    <w:rsid w:val="006B533E"/>
    <w:rsid w:val="006C04D7"/>
    <w:rsid w:val="006C1937"/>
    <w:rsid w:val="006C397F"/>
    <w:rsid w:val="006C6427"/>
    <w:rsid w:val="006C76DB"/>
    <w:rsid w:val="006D1F0B"/>
    <w:rsid w:val="006D42C6"/>
    <w:rsid w:val="006E0081"/>
    <w:rsid w:val="006E3700"/>
    <w:rsid w:val="006E6C66"/>
    <w:rsid w:val="006F020C"/>
    <w:rsid w:val="006F3DF7"/>
    <w:rsid w:val="006F7849"/>
    <w:rsid w:val="006F7CBD"/>
    <w:rsid w:val="0070094B"/>
    <w:rsid w:val="007040F2"/>
    <w:rsid w:val="00705B7C"/>
    <w:rsid w:val="00705E24"/>
    <w:rsid w:val="00707EEC"/>
    <w:rsid w:val="007115FE"/>
    <w:rsid w:val="007127B7"/>
    <w:rsid w:val="00713977"/>
    <w:rsid w:val="00714DBE"/>
    <w:rsid w:val="007220F2"/>
    <w:rsid w:val="007231D9"/>
    <w:rsid w:val="007244D2"/>
    <w:rsid w:val="00725B08"/>
    <w:rsid w:val="007355BA"/>
    <w:rsid w:val="0074019B"/>
    <w:rsid w:val="007403C2"/>
    <w:rsid w:val="007410FA"/>
    <w:rsid w:val="007416B6"/>
    <w:rsid w:val="007426C0"/>
    <w:rsid w:val="00746F48"/>
    <w:rsid w:val="0074730D"/>
    <w:rsid w:val="0075129E"/>
    <w:rsid w:val="00751951"/>
    <w:rsid w:val="00751EE9"/>
    <w:rsid w:val="007522D6"/>
    <w:rsid w:val="007525C3"/>
    <w:rsid w:val="007537B3"/>
    <w:rsid w:val="00753DC2"/>
    <w:rsid w:val="0075404D"/>
    <w:rsid w:val="0075503D"/>
    <w:rsid w:val="0076078E"/>
    <w:rsid w:val="00760D5E"/>
    <w:rsid w:val="0076182A"/>
    <w:rsid w:val="00763BC1"/>
    <w:rsid w:val="0076499D"/>
    <w:rsid w:val="007656DB"/>
    <w:rsid w:val="007676D8"/>
    <w:rsid w:val="00767A7D"/>
    <w:rsid w:val="00767B7E"/>
    <w:rsid w:val="00767BE6"/>
    <w:rsid w:val="00775A39"/>
    <w:rsid w:val="00776900"/>
    <w:rsid w:val="007770C3"/>
    <w:rsid w:val="00780AAA"/>
    <w:rsid w:val="00781060"/>
    <w:rsid w:val="0078143E"/>
    <w:rsid w:val="0078201F"/>
    <w:rsid w:val="007820E1"/>
    <w:rsid w:val="00784D24"/>
    <w:rsid w:val="00784D4C"/>
    <w:rsid w:val="00784E42"/>
    <w:rsid w:val="00785FBA"/>
    <w:rsid w:val="00786E4A"/>
    <w:rsid w:val="007875EB"/>
    <w:rsid w:val="00787E51"/>
    <w:rsid w:val="00792C26"/>
    <w:rsid w:val="0079426B"/>
    <w:rsid w:val="00794D8C"/>
    <w:rsid w:val="00794F74"/>
    <w:rsid w:val="0079655C"/>
    <w:rsid w:val="007A0619"/>
    <w:rsid w:val="007A762F"/>
    <w:rsid w:val="007B0CA2"/>
    <w:rsid w:val="007B5C15"/>
    <w:rsid w:val="007B6032"/>
    <w:rsid w:val="007B6B9B"/>
    <w:rsid w:val="007C014E"/>
    <w:rsid w:val="007C0C20"/>
    <w:rsid w:val="007C0E0A"/>
    <w:rsid w:val="007C2008"/>
    <w:rsid w:val="007C26C9"/>
    <w:rsid w:val="007C57E7"/>
    <w:rsid w:val="007C6362"/>
    <w:rsid w:val="007C70B5"/>
    <w:rsid w:val="007C72D0"/>
    <w:rsid w:val="007D028D"/>
    <w:rsid w:val="007D0AE2"/>
    <w:rsid w:val="007D0C80"/>
    <w:rsid w:val="007D312A"/>
    <w:rsid w:val="007D3F19"/>
    <w:rsid w:val="007D40BF"/>
    <w:rsid w:val="007D598F"/>
    <w:rsid w:val="007D7F29"/>
    <w:rsid w:val="007E0391"/>
    <w:rsid w:val="007E2118"/>
    <w:rsid w:val="007E23B0"/>
    <w:rsid w:val="007E30F0"/>
    <w:rsid w:val="007E4E9E"/>
    <w:rsid w:val="007E4F63"/>
    <w:rsid w:val="007E5C1C"/>
    <w:rsid w:val="007E6821"/>
    <w:rsid w:val="007E6A33"/>
    <w:rsid w:val="007E6D1B"/>
    <w:rsid w:val="007F0CD6"/>
    <w:rsid w:val="007F0EAA"/>
    <w:rsid w:val="007F1991"/>
    <w:rsid w:val="007F1E4C"/>
    <w:rsid w:val="007F2C2F"/>
    <w:rsid w:val="007F2D6D"/>
    <w:rsid w:val="007F55FC"/>
    <w:rsid w:val="007F5665"/>
    <w:rsid w:val="007F57B1"/>
    <w:rsid w:val="007F5B1E"/>
    <w:rsid w:val="007F703A"/>
    <w:rsid w:val="007F772D"/>
    <w:rsid w:val="007F78DE"/>
    <w:rsid w:val="00800112"/>
    <w:rsid w:val="0080112E"/>
    <w:rsid w:val="008014B3"/>
    <w:rsid w:val="008031B0"/>
    <w:rsid w:val="008068DA"/>
    <w:rsid w:val="00806B6F"/>
    <w:rsid w:val="00807797"/>
    <w:rsid w:val="0081195D"/>
    <w:rsid w:val="00811C29"/>
    <w:rsid w:val="00812255"/>
    <w:rsid w:val="00813AEF"/>
    <w:rsid w:val="00815AF8"/>
    <w:rsid w:val="008169F8"/>
    <w:rsid w:val="00820AF4"/>
    <w:rsid w:val="008212F9"/>
    <w:rsid w:val="008244FA"/>
    <w:rsid w:val="008248EC"/>
    <w:rsid w:val="00824C90"/>
    <w:rsid w:val="00824CEE"/>
    <w:rsid w:val="008253BB"/>
    <w:rsid w:val="008273C2"/>
    <w:rsid w:val="00830A33"/>
    <w:rsid w:val="00830F24"/>
    <w:rsid w:val="0083234B"/>
    <w:rsid w:val="00833D7A"/>
    <w:rsid w:val="008347A0"/>
    <w:rsid w:val="00835B31"/>
    <w:rsid w:val="00836025"/>
    <w:rsid w:val="0083706E"/>
    <w:rsid w:val="00840550"/>
    <w:rsid w:val="008423A5"/>
    <w:rsid w:val="00843431"/>
    <w:rsid w:val="00845501"/>
    <w:rsid w:val="008503A5"/>
    <w:rsid w:val="00850625"/>
    <w:rsid w:val="008511F3"/>
    <w:rsid w:val="00851894"/>
    <w:rsid w:val="0085265B"/>
    <w:rsid w:val="00852C5C"/>
    <w:rsid w:val="00853718"/>
    <w:rsid w:val="00855221"/>
    <w:rsid w:val="00855AF5"/>
    <w:rsid w:val="00855E16"/>
    <w:rsid w:val="00857B79"/>
    <w:rsid w:val="00860645"/>
    <w:rsid w:val="00860C44"/>
    <w:rsid w:val="0086131A"/>
    <w:rsid w:val="00862A9D"/>
    <w:rsid w:val="00863483"/>
    <w:rsid w:val="00863CF0"/>
    <w:rsid w:val="00863D72"/>
    <w:rsid w:val="00865F20"/>
    <w:rsid w:val="00867695"/>
    <w:rsid w:val="00870000"/>
    <w:rsid w:val="00870C33"/>
    <w:rsid w:val="00871F71"/>
    <w:rsid w:val="008722FB"/>
    <w:rsid w:val="00872F95"/>
    <w:rsid w:val="00873D8F"/>
    <w:rsid w:val="0087464B"/>
    <w:rsid w:val="00875814"/>
    <w:rsid w:val="0088122F"/>
    <w:rsid w:val="00885AF4"/>
    <w:rsid w:val="00886435"/>
    <w:rsid w:val="008875FA"/>
    <w:rsid w:val="00887A58"/>
    <w:rsid w:val="008918AA"/>
    <w:rsid w:val="008918C9"/>
    <w:rsid w:val="008939CD"/>
    <w:rsid w:val="00893E7C"/>
    <w:rsid w:val="00895862"/>
    <w:rsid w:val="00896814"/>
    <w:rsid w:val="00897199"/>
    <w:rsid w:val="008A04BB"/>
    <w:rsid w:val="008A6293"/>
    <w:rsid w:val="008A6BC0"/>
    <w:rsid w:val="008A7CE3"/>
    <w:rsid w:val="008B045D"/>
    <w:rsid w:val="008B2B26"/>
    <w:rsid w:val="008B5614"/>
    <w:rsid w:val="008B6287"/>
    <w:rsid w:val="008B69A5"/>
    <w:rsid w:val="008B768C"/>
    <w:rsid w:val="008B7992"/>
    <w:rsid w:val="008C1D33"/>
    <w:rsid w:val="008C33D9"/>
    <w:rsid w:val="008C4DB1"/>
    <w:rsid w:val="008C4EAF"/>
    <w:rsid w:val="008C5176"/>
    <w:rsid w:val="008C7FD0"/>
    <w:rsid w:val="008D06D5"/>
    <w:rsid w:val="008D08E5"/>
    <w:rsid w:val="008D2C92"/>
    <w:rsid w:val="008D2DE2"/>
    <w:rsid w:val="008D55A6"/>
    <w:rsid w:val="008E0EF3"/>
    <w:rsid w:val="008E1DC6"/>
    <w:rsid w:val="008E1DE7"/>
    <w:rsid w:val="008E2847"/>
    <w:rsid w:val="008E380B"/>
    <w:rsid w:val="008E707C"/>
    <w:rsid w:val="008E7651"/>
    <w:rsid w:val="008F24AB"/>
    <w:rsid w:val="00900B08"/>
    <w:rsid w:val="00901E1C"/>
    <w:rsid w:val="00902155"/>
    <w:rsid w:val="00902BCF"/>
    <w:rsid w:val="00902FA3"/>
    <w:rsid w:val="009109D0"/>
    <w:rsid w:val="00910FAA"/>
    <w:rsid w:val="00912DEB"/>
    <w:rsid w:val="00913706"/>
    <w:rsid w:val="00913A29"/>
    <w:rsid w:val="00915BE4"/>
    <w:rsid w:val="009205F5"/>
    <w:rsid w:val="009215C3"/>
    <w:rsid w:val="00923564"/>
    <w:rsid w:val="0092392E"/>
    <w:rsid w:val="00923F58"/>
    <w:rsid w:val="00924FB0"/>
    <w:rsid w:val="00930109"/>
    <w:rsid w:val="00930E8F"/>
    <w:rsid w:val="009315F9"/>
    <w:rsid w:val="009337F3"/>
    <w:rsid w:val="009339C3"/>
    <w:rsid w:val="00934AB8"/>
    <w:rsid w:val="00935D57"/>
    <w:rsid w:val="00936283"/>
    <w:rsid w:val="00940B88"/>
    <w:rsid w:val="00940F73"/>
    <w:rsid w:val="0094526A"/>
    <w:rsid w:val="00945399"/>
    <w:rsid w:val="00945492"/>
    <w:rsid w:val="00945EEC"/>
    <w:rsid w:val="009461EE"/>
    <w:rsid w:val="00946945"/>
    <w:rsid w:val="00947929"/>
    <w:rsid w:val="00947BF1"/>
    <w:rsid w:val="009500E2"/>
    <w:rsid w:val="00951248"/>
    <w:rsid w:val="0095152F"/>
    <w:rsid w:val="009534A8"/>
    <w:rsid w:val="009540C0"/>
    <w:rsid w:val="00954C49"/>
    <w:rsid w:val="00955EAD"/>
    <w:rsid w:val="0095708C"/>
    <w:rsid w:val="00957098"/>
    <w:rsid w:val="00960F20"/>
    <w:rsid w:val="009620B2"/>
    <w:rsid w:val="00962131"/>
    <w:rsid w:val="00962556"/>
    <w:rsid w:val="00964305"/>
    <w:rsid w:val="0096477D"/>
    <w:rsid w:val="00964EBA"/>
    <w:rsid w:val="0097099F"/>
    <w:rsid w:val="009710DA"/>
    <w:rsid w:val="00971997"/>
    <w:rsid w:val="00971FFC"/>
    <w:rsid w:val="00972A49"/>
    <w:rsid w:val="00973726"/>
    <w:rsid w:val="00974188"/>
    <w:rsid w:val="0098033F"/>
    <w:rsid w:val="00985645"/>
    <w:rsid w:val="0098595E"/>
    <w:rsid w:val="00985C49"/>
    <w:rsid w:val="0098660A"/>
    <w:rsid w:val="009869AA"/>
    <w:rsid w:val="009931C3"/>
    <w:rsid w:val="00995CE3"/>
    <w:rsid w:val="009B2C43"/>
    <w:rsid w:val="009B4EAE"/>
    <w:rsid w:val="009B6C92"/>
    <w:rsid w:val="009B7573"/>
    <w:rsid w:val="009C0EF0"/>
    <w:rsid w:val="009C1B2D"/>
    <w:rsid w:val="009C22F4"/>
    <w:rsid w:val="009C2AE3"/>
    <w:rsid w:val="009C2E98"/>
    <w:rsid w:val="009C5896"/>
    <w:rsid w:val="009C6399"/>
    <w:rsid w:val="009D3447"/>
    <w:rsid w:val="009D3AA6"/>
    <w:rsid w:val="009D4711"/>
    <w:rsid w:val="009D5EF4"/>
    <w:rsid w:val="009E0018"/>
    <w:rsid w:val="009E2320"/>
    <w:rsid w:val="009E576A"/>
    <w:rsid w:val="009E7FBF"/>
    <w:rsid w:val="009F1185"/>
    <w:rsid w:val="009F178D"/>
    <w:rsid w:val="009F18CD"/>
    <w:rsid w:val="009F2021"/>
    <w:rsid w:val="009F2A13"/>
    <w:rsid w:val="009F4A42"/>
    <w:rsid w:val="009F4D78"/>
    <w:rsid w:val="009F6A87"/>
    <w:rsid w:val="009F6B63"/>
    <w:rsid w:val="009F6F4A"/>
    <w:rsid w:val="00A02DD4"/>
    <w:rsid w:val="00A04EB0"/>
    <w:rsid w:val="00A05E7E"/>
    <w:rsid w:val="00A06741"/>
    <w:rsid w:val="00A06EF8"/>
    <w:rsid w:val="00A07DE7"/>
    <w:rsid w:val="00A07E24"/>
    <w:rsid w:val="00A1247B"/>
    <w:rsid w:val="00A13443"/>
    <w:rsid w:val="00A13CC1"/>
    <w:rsid w:val="00A15286"/>
    <w:rsid w:val="00A1571F"/>
    <w:rsid w:val="00A1637E"/>
    <w:rsid w:val="00A16684"/>
    <w:rsid w:val="00A16847"/>
    <w:rsid w:val="00A1745F"/>
    <w:rsid w:val="00A2301F"/>
    <w:rsid w:val="00A237D8"/>
    <w:rsid w:val="00A25634"/>
    <w:rsid w:val="00A268C4"/>
    <w:rsid w:val="00A27771"/>
    <w:rsid w:val="00A300FE"/>
    <w:rsid w:val="00A307CD"/>
    <w:rsid w:val="00A3233A"/>
    <w:rsid w:val="00A35068"/>
    <w:rsid w:val="00A3556D"/>
    <w:rsid w:val="00A35870"/>
    <w:rsid w:val="00A35FE0"/>
    <w:rsid w:val="00A40A00"/>
    <w:rsid w:val="00A4142F"/>
    <w:rsid w:val="00A41D4A"/>
    <w:rsid w:val="00A43522"/>
    <w:rsid w:val="00A4622C"/>
    <w:rsid w:val="00A462AA"/>
    <w:rsid w:val="00A46A63"/>
    <w:rsid w:val="00A47A0F"/>
    <w:rsid w:val="00A50F96"/>
    <w:rsid w:val="00A514F8"/>
    <w:rsid w:val="00A52260"/>
    <w:rsid w:val="00A53D20"/>
    <w:rsid w:val="00A54687"/>
    <w:rsid w:val="00A54CE0"/>
    <w:rsid w:val="00A55073"/>
    <w:rsid w:val="00A55447"/>
    <w:rsid w:val="00A55ED8"/>
    <w:rsid w:val="00A56DF2"/>
    <w:rsid w:val="00A56E1B"/>
    <w:rsid w:val="00A57F63"/>
    <w:rsid w:val="00A61738"/>
    <w:rsid w:val="00A62ECF"/>
    <w:rsid w:val="00A63814"/>
    <w:rsid w:val="00A64138"/>
    <w:rsid w:val="00A64421"/>
    <w:rsid w:val="00A659FC"/>
    <w:rsid w:val="00A65DE6"/>
    <w:rsid w:val="00A67AB5"/>
    <w:rsid w:val="00A70317"/>
    <w:rsid w:val="00A72FA8"/>
    <w:rsid w:val="00A76B3A"/>
    <w:rsid w:val="00A77CB7"/>
    <w:rsid w:val="00A804D8"/>
    <w:rsid w:val="00A85003"/>
    <w:rsid w:val="00A85A0C"/>
    <w:rsid w:val="00A91460"/>
    <w:rsid w:val="00A91760"/>
    <w:rsid w:val="00A93902"/>
    <w:rsid w:val="00A93B00"/>
    <w:rsid w:val="00A93C21"/>
    <w:rsid w:val="00A94004"/>
    <w:rsid w:val="00A95D33"/>
    <w:rsid w:val="00A96D42"/>
    <w:rsid w:val="00AA1212"/>
    <w:rsid w:val="00AA14EC"/>
    <w:rsid w:val="00AA2E83"/>
    <w:rsid w:val="00AA6693"/>
    <w:rsid w:val="00AA6D23"/>
    <w:rsid w:val="00AA7B07"/>
    <w:rsid w:val="00AB1A65"/>
    <w:rsid w:val="00AB26EC"/>
    <w:rsid w:val="00AB2A36"/>
    <w:rsid w:val="00AB5E60"/>
    <w:rsid w:val="00AB5E86"/>
    <w:rsid w:val="00AB6DD7"/>
    <w:rsid w:val="00AC20D9"/>
    <w:rsid w:val="00AC3237"/>
    <w:rsid w:val="00AC3A9E"/>
    <w:rsid w:val="00AC3C6A"/>
    <w:rsid w:val="00AC40DA"/>
    <w:rsid w:val="00AC6A20"/>
    <w:rsid w:val="00AD013F"/>
    <w:rsid w:val="00AD1561"/>
    <w:rsid w:val="00AD1E04"/>
    <w:rsid w:val="00AD4E89"/>
    <w:rsid w:val="00AD5090"/>
    <w:rsid w:val="00AD55F4"/>
    <w:rsid w:val="00AD5620"/>
    <w:rsid w:val="00AD654C"/>
    <w:rsid w:val="00AD712A"/>
    <w:rsid w:val="00AD7C1B"/>
    <w:rsid w:val="00AE16BA"/>
    <w:rsid w:val="00AE1B18"/>
    <w:rsid w:val="00AE1EBE"/>
    <w:rsid w:val="00AE3F47"/>
    <w:rsid w:val="00AE5217"/>
    <w:rsid w:val="00AE57E5"/>
    <w:rsid w:val="00AE5ACD"/>
    <w:rsid w:val="00AE7003"/>
    <w:rsid w:val="00AE78D4"/>
    <w:rsid w:val="00AF334F"/>
    <w:rsid w:val="00AF567D"/>
    <w:rsid w:val="00B03C9D"/>
    <w:rsid w:val="00B03D45"/>
    <w:rsid w:val="00B03DEF"/>
    <w:rsid w:val="00B04041"/>
    <w:rsid w:val="00B046DB"/>
    <w:rsid w:val="00B059FA"/>
    <w:rsid w:val="00B060AE"/>
    <w:rsid w:val="00B06EEB"/>
    <w:rsid w:val="00B07376"/>
    <w:rsid w:val="00B10406"/>
    <w:rsid w:val="00B10517"/>
    <w:rsid w:val="00B1323D"/>
    <w:rsid w:val="00B1364D"/>
    <w:rsid w:val="00B13D51"/>
    <w:rsid w:val="00B13F34"/>
    <w:rsid w:val="00B14E76"/>
    <w:rsid w:val="00B15718"/>
    <w:rsid w:val="00B15757"/>
    <w:rsid w:val="00B161B8"/>
    <w:rsid w:val="00B2048C"/>
    <w:rsid w:val="00B22224"/>
    <w:rsid w:val="00B22E19"/>
    <w:rsid w:val="00B268D9"/>
    <w:rsid w:val="00B30B06"/>
    <w:rsid w:val="00B310B9"/>
    <w:rsid w:val="00B3183E"/>
    <w:rsid w:val="00B330FA"/>
    <w:rsid w:val="00B35211"/>
    <w:rsid w:val="00B35F3F"/>
    <w:rsid w:val="00B36CBB"/>
    <w:rsid w:val="00B370EB"/>
    <w:rsid w:val="00B40532"/>
    <w:rsid w:val="00B425E0"/>
    <w:rsid w:val="00B440AA"/>
    <w:rsid w:val="00B44B70"/>
    <w:rsid w:val="00B47B8F"/>
    <w:rsid w:val="00B50563"/>
    <w:rsid w:val="00B507B7"/>
    <w:rsid w:val="00B51BBE"/>
    <w:rsid w:val="00B53703"/>
    <w:rsid w:val="00B53C56"/>
    <w:rsid w:val="00B53E4F"/>
    <w:rsid w:val="00B54341"/>
    <w:rsid w:val="00B545A6"/>
    <w:rsid w:val="00B5556B"/>
    <w:rsid w:val="00B60A7E"/>
    <w:rsid w:val="00B6427E"/>
    <w:rsid w:val="00B67CE3"/>
    <w:rsid w:val="00B706F1"/>
    <w:rsid w:val="00B725E6"/>
    <w:rsid w:val="00B736DE"/>
    <w:rsid w:val="00B74FE7"/>
    <w:rsid w:val="00B753E0"/>
    <w:rsid w:val="00B7569F"/>
    <w:rsid w:val="00B75C09"/>
    <w:rsid w:val="00B76674"/>
    <w:rsid w:val="00B77EA6"/>
    <w:rsid w:val="00B80439"/>
    <w:rsid w:val="00B80BAB"/>
    <w:rsid w:val="00B81598"/>
    <w:rsid w:val="00B82F7D"/>
    <w:rsid w:val="00B839DA"/>
    <w:rsid w:val="00B83EE2"/>
    <w:rsid w:val="00B841F1"/>
    <w:rsid w:val="00B8480B"/>
    <w:rsid w:val="00B91D3E"/>
    <w:rsid w:val="00B92400"/>
    <w:rsid w:val="00B93AA8"/>
    <w:rsid w:val="00B944D6"/>
    <w:rsid w:val="00B96CD2"/>
    <w:rsid w:val="00BA054C"/>
    <w:rsid w:val="00BA0777"/>
    <w:rsid w:val="00BA0AED"/>
    <w:rsid w:val="00BA22CD"/>
    <w:rsid w:val="00BA3028"/>
    <w:rsid w:val="00BA3356"/>
    <w:rsid w:val="00BA49E7"/>
    <w:rsid w:val="00BA5298"/>
    <w:rsid w:val="00BB1990"/>
    <w:rsid w:val="00BB2D7E"/>
    <w:rsid w:val="00BB4C52"/>
    <w:rsid w:val="00BB4DF0"/>
    <w:rsid w:val="00BC0AE4"/>
    <w:rsid w:val="00BC1202"/>
    <w:rsid w:val="00BC1A97"/>
    <w:rsid w:val="00BC2731"/>
    <w:rsid w:val="00BC289F"/>
    <w:rsid w:val="00BC5361"/>
    <w:rsid w:val="00BC5460"/>
    <w:rsid w:val="00BC6B50"/>
    <w:rsid w:val="00BD0E25"/>
    <w:rsid w:val="00BD2458"/>
    <w:rsid w:val="00BD5121"/>
    <w:rsid w:val="00BD6D67"/>
    <w:rsid w:val="00BD6E57"/>
    <w:rsid w:val="00BE01DE"/>
    <w:rsid w:val="00BE218A"/>
    <w:rsid w:val="00BE39F0"/>
    <w:rsid w:val="00BE5FB5"/>
    <w:rsid w:val="00BE7259"/>
    <w:rsid w:val="00BF060C"/>
    <w:rsid w:val="00BF2962"/>
    <w:rsid w:val="00BF2E85"/>
    <w:rsid w:val="00BF5BD6"/>
    <w:rsid w:val="00BF6316"/>
    <w:rsid w:val="00BF718F"/>
    <w:rsid w:val="00C01DBE"/>
    <w:rsid w:val="00C03E31"/>
    <w:rsid w:val="00C05BAF"/>
    <w:rsid w:val="00C05CAD"/>
    <w:rsid w:val="00C05F29"/>
    <w:rsid w:val="00C06A2B"/>
    <w:rsid w:val="00C11626"/>
    <w:rsid w:val="00C137AD"/>
    <w:rsid w:val="00C13B26"/>
    <w:rsid w:val="00C1480D"/>
    <w:rsid w:val="00C1658B"/>
    <w:rsid w:val="00C23BFD"/>
    <w:rsid w:val="00C24603"/>
    <w:rsid w:val="00C259D0"/>
    <w:rsid w:val="00C30983"/>
    <w:rsid w:val="00C30D73"/>
    <w:rsid w:val="00C313B9"/>
    <w:rsid w:val="00C31B41"/>
    <w:rsid w:val="00C33276"/>
    <w:rsid w:val="00C33E72"/>
    <w:rsid w:val="00C3423D"/>
    <w:rsid w:val="00C342CE"/>
    <w:rsid w:val="00C34C84"/>
    <w:rsid w:val="00C34EED"/>
    <w:rsid w:val="00C354B2"/>
    <w:rsid w:val="00C35554"/>
    <w:rsid w:val="00C36831"/>
    <w:rsid w:val="00C4133E"/>
    <w:rsid w:val="00C41611"/>
    <w:rsid w:val="00C41EB1"/>
    <w:rsid w:val="00C426CE"/>
    <w:rsid w:val="00C42709"/>
    <w:rsid w:val="00C516E5"/>
    <w:rsid w:val="00C5216D"/>
    <w:rsid w:val="00C533CC"/>
    <w:rsid w:val="00C54531"/>
    <w:rsid w:val="00C5751C"/>
    <w:rsid w:val="00C61BFC"/>
    <w:rsid w:val="00C62B85"/>
    <w:rsid w:val="00C634C6"/>
    <w:rsid w:val="00C63DE6"/>
    <w:rsid w:val="00C65438"/>
    <w:rsid w:val="00C65FA1"/>
    <w:rsid w:val="00C663B4"/>
    <w:rsid w:val="00C66789"/>
    <w:rsid w:val="00C677E0"/>
    <w:rsid w:val="00C71C3C"/>
    <w:rsid w:val="00C73C9E"/>
    <w:rsid w:val="00C77033"/>
    <w:rsid w:val="00C77575"/>
    <w:rsid w:val="00C77955"/>
    <w:rsid w:val="00C77D11"/>
    <w:rsid w:val="00C80BE1"/>
    <w:rsid w:val="00C80E5E"/>
    <w:rsid w:val="00C87773"/>
    <w:rsid w:val="00C91BEF"/>
    <w:rsid w:val="00C91CBB"/>
    <w:rsid w:val="00C94460"/>
    <w:rsid w:val="00C94755"/>
    <w:rsid w:val="00C9494C"/>
    <w:rsid w:val="00C976D8"/>
    <w:rsid w:val="00C9779E"/>
    <w:rsid w:val="00CA1D7E"/>
    <w:rsid w:val="00CA4889"/>
    <w:rsid w:val="00CA6417"/>
    <w:rsid w:val="00CA7A47"/>
    <w:rsid w:val="00CA7CBE"/>
    <w:rsid w:val="00CB2258"/>
    <w:rsid w:val="00CB37D6"/>
    <w:rsid w:val="00CB5AA7"/>
    <w:rsid w:val="00CC09B6"/>
    <w:rsid w:val="00CC2ECC"/>
    <w:rsid w:val="00CC42AE"/>
    <w:rsid w:val="00CC5828"/>
    <w:rsid w:val="00CC666F"/>
    <w:rsid w:val="00CD0159"/>
    <w:rsid w:val="00CD1E3F"/>
    <w:rsid w:val="00CD2CD4"/>
    <w:rsid w:val="00CD2F8E"/>
    <w:rsid w:val="00CD33CA"/>
    <w:rsid w:val="00CD41F7"/>
    <w:rsid w:val="00CD7039"/>
    <w:rsid w:val="00CE07D1"/>
    <w:rsid w:val="00CE10F5"/>
    <w:rsid w:val="00CE245D"/>
    <w:rsid w:val="00CE298B"/>
    <w:rsid w:val="00CE41E9"/>
    <w:rsid w:val="00CE4476"/>
    <w:rsid w:val="00CE44F6"/>
    <w:rsid w:val="00CE49DA"/>
    <w:rsid w:val="00CE6166"/>
    <w:rsid w:val="00CE7B61"/>
    <w:rsid w:val="00CF0C95"/>
    <w:rsid w:val="00CF303D"/>
    <w:rsid w:val="00CF32A8"/>
    <w:rsid w:val="00CF47D0"/>
    <w:rsid w:val="00CF537A"/>
    <w:rsid w:val="00CF5A38"/>
    <w:rsid w:val="00D00095"/>
    <w:rsid w:val="00D007A3"/>
    <w:rsid w:val="00D00CD9"/>
    <w:rsid w:val="00D01872"/>
    <w:rsid w:val="00D01D1C"/>
    <w:rsid w:val="00D03F76"/>
    <w:rsid w:val="00D07457"/>
    <w:rsid w:val="00D120DF"/>
    <w:rsid w:val="00D12260"/>
    <w:rsid w:val="00D14981"/>
    <w:rsid w:val="00D17582"/>
    <w:rsid w:val="00D20620"/>
    <w:rsid w:val="00D21AB8"/>
    <w:rsid w:val="00D21B96"/>
    <w:rsid w:val="00D21FCA"/>
    <w:rsid w:val="00D23CC1"/>
    <w:rsid w:val="00D253CD"/>
    <w:rsid w:val="00D26091"/>
    <w:rsid w:val="00D26765"/>
    <w:rsid w:val="00D30031"/>
    <w:rsid w:val="00D34E7C"/>
    <w:rsid w:val="00D35489"/>
    <w:rsid w:val="00D41FB4"/>
    <w:rsid w:val="00D42D3C"/>
    <w:rsid w:val="00D43BB3"/>
    <w:rsid w:val="00D4531F"/>
    <w:rsid w:val="00D5056E"/>
    <w:rsid w:val="00D51276"/>
    <w:rsid w:val="00D577F9"/>
    <w:rsid w:val="00D6086D"/>
    <w:rsid w:val="00D60B63"/>
    <w:rsid w:val="00D6672E"/>
    <w:rsid w:val="00D66F3E"/>
    <w:rsid w:val="00D67949"/>
    <w:rsid w:val="00D70080"/>
    <w:rsid w:val="00D7035F"/>
    <w:rsid w:val="00D70D9E"/>
    <w:rsid w:val="00D7255A"/>
    <w:rsid w:val="00D729A5"/>
    <w:rsid w:val="00D7311E"/>
    <w:rsid w:val="00D74434"/>
    <w:rsid w:val="00D74948"/>
    <w:rsid w:val="00D75E52"/>
    <w:rsid w:val="00D769DB"/>
    <w:rsid w:val="00D8058B"/>
    <w:rsid w:val="00D811F1"/>
    <w:rsid w:val="00D81CF0"/>
    <w:rsid w:val="00D86259"/>
    <w:rsid w:val="00D87885"/>
    <w:rsid w:val="00D9128F"/>
    <w:rsid w:val="00D938FB"/>
    <w:rsid w:val="00D95A81"/>
    <w:rsid w:val="00DA2414"/>
    <w:rsid w:val="00DA2E7B"/>
    <w:rsid w:val="00DA376F"/>
    <w:rsid w:val="00DA4CF4"/>
    <w:rsid w:val="00DA517E"/>
    <w:rsid w:val="00DA64CE"/>
    <w:rsid w:val="00DA65AC"/>
    <w:rsid w:val="00DA73F4"/>
    <w:rsid w:val="00DB1913"/>
    <w:rsid w:val="00DB23A2"/>
    <w:rsid w:val="00DB31AE"/>
    <w:rsid w:val="00DB469B"/>
    <w:rsid w:val="00DB6217"/>
    <w:rsid w:val="00DB6D81"/>
    <w:rsid w:val="00DB7682"/>
    <w:rsid w:val="00DB774B"/>
    <w:rsid w:val="00DB7B27"/>
    <w:rsid w:val="00DB7ED3"/>
    <w:rsid w:val="00DC1D19"/>
    <w:rsid w:val="00DC29F0"/>
    <w:rsid w:val="00DC410D"/>
    <w:rsid w:val="00DC482F"/>
    <w:rsid w:val="00DC4E3B"/>
    <w:rsid w:val="00DC53AB"/>
    <w:rsid w:val="00DC68CA"/>
    <w:rsid w:val="00DC7CBA"/>
    <w:rsid w:val="00DD0F4D"/>
    <w:rsid w:val="00DD109B"/>
    <w:rsid w:val="00DD2D64"/>
    <w:rsid w:val="00DD73B7"/>
    <w:rsid w:val="00DE28E8"/>
    <w:rsid w:val="00DE57ED"/>
    <w:rsid w:val="00DE6D3D"/>
    <w:rsid w:val="00DF0369"/>
    <w:rsid w:val="00DF256A"/>
    <w:rsid w:val="00DF28BC"/>
    <w:rsid w:val="00DF2BBE"/>
    <w:rsid w:val="00DF34B9"/>
    <w:rsid w:val="00DF36DA"/>
    <w:rsid w:val="00DF4EE4"/>
    <w:rsid w:val="00DF69F2"/>
    <w:rsid w:val="00E00C0C"/>
    <w:rsid w:val="00E01053"/>
    <w:rsid w:val="00E032C4"/>
    <w:rsid w:val="00E03AB5"/>
    <w:rsid w:val="00E04FF6"/>
    <w:rsid w:val="00E07ACF"/>
    <w:rsid w:val="00E07C49"/>
    <w:rsid w:val="00E1142E"/>
    <w:rsid w:val="00E11EA9"/>
    <w:rsid w:val="00E13C23"/>
    <w:rsid w:val="00E17451"/>
    <w:rsid w:val="00E176E0"/>
    <w:rsid w:val="00E20F23"/>
    <w:rsid w:val="00E21189"/>
    <w:rsid w:val="00E22344"/>
    <w:rsid w:val="00E22D73"/>
    <w:rsid w:val="00E24A28"/>
    <w:rsid w:val="00E2598A"/>
    <w:rsid w:val="00E26D43"/>
    <w:rsid w:val="00E2719A"/>
    <w:rsid w:val="00E331A1"/>
    <w:rsid w:val="00E33202"/>
    <w:rsid w:val="00E336A9"/>
    <w:rsid w:val="00E339F9"/>
    <w:rsid w:val="00E34D61"/>
    <w:rsid w:val="00E352AD"/>
    <w:rsid w:val="00E35DF9"/>
    <w:rsid w:val="00E36162"/>
    <w:rsid w:val="00E4020E"/>
    <w:rsid w:val="00E41572"/>
    <w:rsid w:val="00E42E24"/>
    <w:rsid w:val="00E4326C"/>
    <w:rsid w:val="00E43716"/>
    <w:rsid w:val="00E43E83"/>
    <w:rsid w:val="00E4418C"/>
    <w:rsid w:val="00E442E7"/>
    <w:rsid w:val="00E47FEC"/>
    <w:rsid w:val="00E50624"/>
    <w:rsid w:val="00E50EC1"/>
    <w:rsid w:val="00E559C8"/>
    <w:rsid w:val="00E559F4"/>
    <w:rsid w:val="00E568DF"/>
    <w:rsid w:val="00E6091E"/>
    <w:rsid w:val="00E63E1C"/>
    <w:rsid w:val="00E64269"/>
    <w:rsid w:val="00E648BF"/>
    <w:rsid w:val="00E67B9B"/>
    <w:rsid w:val="00E70395"/>
    <w:rsid w:val="00E71182"/>
    <w:rsid w:val="00E7180C"/>
    <w:rsid w:val="00E71EE8"/>
    <w:rsid w:val="00E759C7"/>
    <w:rsid w:val="00E778AF"/>
    <w:rsid w:val="00E82267"/>
    <w:rsid w:val="00E82D19"/>
    <w:rsid w:val="00E8382C"/>
    <w:rsid w:val="00E84714"/>
    <w:rsid w:val="00E879E6"/>
    <w:rsid w:val="00E9375F"/>
    <w:rsid w:val="00E938AA"/>
    <w:rsid w:val="00E95984"/>
    <w:rsid w:val="00E96D03"/>
    <w:rsid w:val="00EA010F"/>
    <w:rsid w:val="00EA039B"/>
    <w:rsid w:val="00EA2455"/>
    <w:rsid w:val="00EA262D"/>
    <w:rsid w:val="00EA4AA3"/>
    <w:rsid w:val="00EA4BCA"/>
    <w:rsid w:val="00EA545A"/>
    <w:rsid w:val="00EA5E4F"/>
    <w:rsid w:val="00EB2461"/>
    <w:rsid w:val="00EC1C2C"/>
    <w:rsid w:val="00EC25B6"/>
    <w:rsid w:val="00EC38BD"/>
    <w:rsid w:val="00EC3F04"/>
    <w:rsid w:val="00ED1B63"/>
    <w:rsid w:val="00ED29E6"/>
    <w:rsid w:val="00ED29EA"/>
    <w:rsid w:val="00ED360C"/>
    <w:rsid w:val="00ED3C1F"/>
    <w:rsid w:val="00ED4085"/>
    <w:rsid w:val="00ED420E"/>
    <w:rsid w:val="00ED6AD8"/>
    <w:rsid w:val="00ED71DF"/>
    <w:rsid w:val="00EE0963"/>
    <w:rsid w:val="00EE1FC9"/>
    <w:rsid w:val="00EE24E3"/>
    <w:rsid w:val="00EE2F57"/>
    <w:rsid w:val="00EE6332"/>
    <w:rsid w:val="00EF132A"/>
    <w:rsid w:val="00EF4C34"/>
    <w:rsid w:val="00EF5291"/>
    <w:rsid w:val="00EF64E8"/>
    <w:rsid w:val="00EF659B"/>
    <w:rsid w:val="00EF77C6"/>
    <w:rsid w:val="00EF7BDE"/>
    <w:rsid w:val="00EF7CA7"/>
    <w:rsid w:val="00F022B4"/>
    <w:rsid w:val="00F0292C"/>
    <w:rsid w:val="00F05438"/>
    <w:rsid w:val="00F0746A"/>
    <w:rsid w:val="00F110A1"/>
    <w:rsid w:val="00F113D8"/>
    <w:rsid w:val="00F118C3"/>
    <w:rsid w:val="00F1361C"/>
    <w:rsid w:val="00F14902"/>
    <w:rsid w:val="00F160C7"/>
    <w:rsid w:val="00F16FDE"/>
    <w:rsid w:val="00F20320"/>
    <w:rsid w:val="00F20532"/>
    <w:rsid w:val="00F21001"/>
    <w:rsid w:val="00F228F9"/>
    <w:rsid w:val="00F248A8"/>
    <w:rsid w:val="00F24E3F"/>
    <w:rsid w:val="00F26D60"/>
    <w:rsid w:val="00F30138"/>
    <w:rsid w:val="00F301B6"/>
    <w:rsid w:val="00F31EA1"/>
    <w:rsid w:val="00F3294D"/>
    <w:rsid w:val="00F354A9"/>
    <w:rsid w:val="00F36D8F"/>
    <w:rsid w:val="00F3744E"/>
    <w:rsid w:val="00F40698"/>
    <w:rsid w:val="00F406E9"/>
    <w:rsid w:val="00F417B1"/>
    <w:rsid w:val="00F460AB"/>
    <w:rsid w:val="00F50AC5"/>
    <w:rsid w:val="00F53E68"/>
    <w:rsid w:val="00F5454E"/>
    <w:rsid w:val="00F559FA"/>
    <w:rsid w:val="00F57903"/>
    <w:rsid w:val="00F602DF"/>
    <w:rsid w:val="00F6390A"/>
    <w:rsid w:val="00F6529E"/>
    <w:rsid w:val="00F6641D"/>
    <w:rsid w:val="00F75CC0"/>
    <w:rsid w:val="00F75CCC"/>
    <w:rsid w:val="00F75F9D"/>
    <w:rsid w:val="00F81FD9"/>
    <w:rsid w:val="00F82490"/>
    <w:rsid w:val="00F8281D"/>
    <w:rsid w:val="00F835D4"/>
    <w:rsid w:val="00F841AA"/>
    <w:rsid w:val="00F845B5"/>
    <w:rsid w:val="00F86932"/>
    <w:rsid w:val="00F875DB"/>
    <w:rsid w:val="00F87E73"/>
    <w:rsid w:val="00F905A4"/>
    <w:rsid w:val="00F92C70"/>
    <w:rsid w:val="00F93633"/>
    <w:rsid w:val="00F93DF5"/>
    <w:rsid w:val="00FA0947"/>
    <w:rsid w:val="00FA23E8"/>
    <w:rsid w:val="00FA2F5B"/>
    <w:rsid w:val="00FA4421"/>
    <w:rsid w:val="00FA4B00"/>
    <w:rsid w:val="00FA525F"/>
    <w:rsid w:val="00FA77AD"/>
    <w:rsid w:val="00FB0BBA"/>
    <w:rsid w:val="00FB1FF4"/>
    <w:rsid w:val="00FB55E6"/>
    <w:rsid w:val="00FC124C"/>
    <w:rsid w:val="00FC1E02"/>
    <w:rsid w:val="00FC3048"/>
    <w:rsid w:val="00FC4660"/>
    <w:rsid w:val="00FC46BC"/>
    <w:rsid w:val="00FC7DEF"/>
    <w:rsid w:val="00FD020D"/>
    <w:rsid w:val="00FD3016"/>
    <w:rsid w:val="00FD3828"/>
    <w:rsid w:val="00FD3CC1"/>
    <w:rsid w:val="00FD5BFE"/>
    <w:rsid w:val="00FE17BC"/>
    <w:rsid w:val="00FE2AD1"/>
    <w:rsid w:val="00FE4DB0"/>
    <w:rsid w:val="00FE5493"/>
    <w:rsid w:val="00FE625C"/>
    <w:rsid w:val="00FF1E02"/>
    <w:rsid w:val="00FF30B4"/>
    <w:rsid w:val="00FF66E8"/>
    <w:rsid w:val="01CF32DE"/>
    <w:rsid w:val="01D74DB7"/>
    <w:rsid w:val="01D86637"/>
    <w:rsid w:val="01F04616"/>
    <w:rsid w:val="03F359AA"/>
    <w:rsid w:val="0463543B"/>
    <w:rsid w:val="04A56E6E"/>
    <w:rsid w:val="051A6F96"/>
    <w:rsid w:val="06951176"/>
    <w:rsid w:val="07001BE1"/>
    <w:rsid w:val="07267DE7"/>
    <w:rsid w:val="079F4048"/>
    <w:rsid w:val="089C4B49"/>
    <w:rsid w:val="09081517"/>
    <w:rsid w:val="091B747D"/>
    <w:rsid w:val="0A19737C"/>
    <w:rsid w:val="0B7218AA"/>
    <w:rsid w:val="0B99373B"/>
    <w:rsid w:val="0BA37CB5"/>
    <w:rsid w:val="0D0429D6"/>
    <w:rsid w:val="0D093B48"/>
    <w:rsid w:val="0D322E51"/>
    <w:rsid w:val="0D6C338E"/>
    <w:rsid w:val="0DB37F58"/>
    <w:rsid w:val="0E0C3751"/>
    <w:rsid w:val="0F5E6610"/>
    <w:rsid w:val="10C055FF"/>
    <w:rsid w:val="11D56DF6"/>
    <w:rsid w:val="11ED6591"/>
    <w:rsid w:val="13367661"/>
    <w:rsid w:val="16BB723D"/>
    <w:rsid w:val="17BC7656"/>
    <w:rsid w:val="17EA348C"/>
    <w:rsid w:val="1840212F"/>
    <w:rsid w:val="184656CF"/>
    <w:rsid w:val="19943114"/>
    <w:rsid w:val="1AB026BC"/>
    <w:rsid w:val="1ABB32B6"/>
    <w:rsid w:val="1B9B47D3"/>
    <w:rsid w:val="1BF70747"/>
    <w:rsid w:val="1C06153F"/>
    <w:rsid w:val="1C986C96"/>
    <w:rsid w:val="1D7371C3"/>
    <w:rsid w:val="1DDC2BB3"/>
    <w:rsid w:val="1E34479D"/>
    <w:rsid w:val="1EF81F78"/>
    <w:rsid w:val="1F170E3B"/>
    <w:rsid w:val="1F620905"/>
    <w:rsid w:val="201A6AB0"/>
    <w:rsid w:val="203B66A0"/>
    <w:rsid w:val="211A679A"/>
    <w:rsid w:val="21D559FE"/>
    <w:rsid w:val="23902475"/>
    <w:rsid w:val="240371BF"/>
    <w:rsid w:val="2435534E"/>
    <w:rsid w:val="24534F10"/>
    <w:rsid w:val="24DF6C66"/>
    <w:rsid w:val="253D03DB"/>
    <w:rsid w:val="25A20B86"/>
    <w:rsid w:val="25B1070F"/>
    <w:rsid w:val="25DD571A"/>
    <w:rsid w:val="265C1D1F"/>
    <w:rsid w:val="26BB36DB"/>
    <w:rsid w:val="271C5A93"/>
    <w:rsid w:val="276F1834"/>
    <w:rsid w:val="27B459F9"/>
    <w:rsid w:val="27C51E91"/>
    <w:rsid w:val="28513369"/>
    <w:rsid w:val="28BF6D42"/>
    <w:rsid w:val="29FD04D3"/>
    <w:rsid w:val="2CAE1BBE"/>
    <w:rsid w:val="2CCF04B2"/>
    <w:rsid w:val="2E4C04E0"/>
    <w:rsid w:val="2F803D16"/>
    <w:rsid w:val="31810DA9"/>
    <w:rsid w:val="31903F88"/>
    <w:rsid w:val="319F7F4E"/>
    <w:rsid w:val="329448A6"/>
    <w:rsid w:val="32F45598"/>
    <w:rsid w:val="35244754"/>
    <w:rsid w:val="364D41F6"/>
    <w:rsid w:val="36FD0156"/>
    <w:rsid w:val="38F8371D"/>
    <w:rsid w:val="39226F5F"/>
    <w:rsid w:val="39902098"/>
    <w:rsid w:val="3A3A0F35"/>
    <w:rsid w:val="3A4E1148"/>
    <w:rsid w:val="3C8D2F9D"/>
    <w:rsid w:val="3CE0510E"/>
    <w:rsid w:val="3D1927CA"/>
    <w:rsid w:val="3D1E4B3E"/>
    <w:rsid w:val="3D8344ED"/>
    <w:rsid w:val="3E03620E"/>
    <w:rsid w:val="3E343C22"/>
    <w:rsid w:val="3F512FA9"/>
    <w:rsid w:val="3FAC4683"/>
    <w:rsid w:val="3FEA5DFB"/>
    <w:rsid w:val="401C35B7"/>
    <w:rsid w:val="4119235A"/>
    <w:rsid w:val="41677310"/>
    <w:rsid w:val="422C2C46"/>
    <w:rsid w:val="4251506E"/>
    <w:rsid w:val="43684120"/>
    <w:rsid w:val="444F07DA"/>
    <w:rsid w:val="44601E28"/>
    <w:rsid w:val="475E72DC"/>
    <w:rsid w:val="47F514AF"/>
    <w:rsid w:val="4839282C"/>
    <w:rsid w:val="48FD75BD"/>
    <w:rsid w:val="4A745623"/>
    <w:rsid w:val="4D135D42"/>
    <w:rsid w:val="4D846266"/>
    <w:rsid w:val="4D8D78A2"/>
    <w:rsid w:val="4DF123A8"/>
    <w:rsid w:val="4E832A53"/>
    <w:rsid w:val="4F6F7A34"/>
    <w:rsid w:val="4FD74194"/>
    <w:rsid w:val="4FDA49F5"/>
    <w:rsid w:val="50AE413E"/>
    <w:rsid w:val="51E1640E"/>
    <w:rsid w:val="51EE42CA"/>
    <w:rsid w:val="52302EF2"/>
    <w:rsid w:val="52ED6284"/>
    <w:rsid w:val="5322283B"/>
    <w:rsid w:val="532B0C13"/>
    <w:rsid w:val="53BE2B80"/>
    <w:rsid w:val="541505F1"/>
    <w:rsid w:val="54992FD0"/>
    <w:rsid w:val="55872E29"/>
    <w:rsid w:val="56D0674C"/>
    <w:rsid w:val="58BA52C3"/>
    <w:rsid w:val="59E11CD3"/>
    <w:rsid w:val="5BE202EA"/>
    <w:rsid w:val="5CFA7F1D"/>
    <w:rsid w:val="5E2506F8"/>
    <w:rsid w:val="5EA316D6"/>
    <w:rsid w:val="5F3A07D2"/>
    <w:rsid w:val="5F593A88"/>
    <w:rsid w:val="60651EAC"/>
    <w:rsid w:val="60BB3927"/>
    <w:rsid w:val="62A42EE2"/>
    <w:rsid w:val="630D013F"/>
    <w:rsid w:val="63347FC4"/>
    <w:rsid w:val="63604CB9"/>
    <w:rsid w:val="64A36D0B"/>
    <w:rsid w:val="64C656C1"/>
    <w:rsid w:val="65DF63C9"/>
    <w:rsid w:val="662A7F2C"/>
    <w:rsid w:val="68DA2DB6"/>
    <w:rsid w:val="69725134"/>
    <w:rsid w:val="6B4666B6"/>
    <w:rsid w:val="6B914FAF"/>
    <w:rsid w:val="6CC85DA9"/>
    <w:rsid w:val="6D8F2D6B"/>
    <w:rsid w:val="6DC31436"/>
    <w:rsid w:val="6ECB49CF"/>
    <w:rsid w:val="6ECB5A2B"/>
    <w:rsid w:val="70202A42"/>
    <w:rsid w:val="72227D09"/>
    <w:rsid w:val="72E476B5"/>
    <w:rsid w:val="73BE3A62"/>
    <w:rsid w:val="746C7E4B"/>
    <w:rsid w:val="750E6C6B"/>
    <w:rsid w:val="755E374E"/>
    <w:rsid w:val="76377F56"/>
    <w:rsid w:val="76387922"/>
    <w:rsid w:val="764B35A7"/>
    <w:rsid w:val="78A4106B"/>
    <w:rsid w:val="79975481"/>
    <w:rsid w:val="79F60BE5"/>
    <w:rsid w:val="7A1B4027"/>
    <w:rsid w:val="7A965738"/>
    <w:rsid w:val="7ABC1C9C"/>
    <w:rsid w:val="7B022DCE"/>
    <w:rsid w:val="7B272834"/>
    <w:rsid w:val="7B8F71DF"/>
    <w:rsid w:val="7CB2612E"/>
    <w:rsid w:val="7CC25607"/>
    <w:rsid w:val="7DE859ED"/>
    <w:rsid w:val="7E4C610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Normal Indent"/>
    <w:basedOn w:val="1"/>
    <w:unhideWhenUsed/>
    <w:qFormat/>
    <w:uiPriority w:val="99"/>
    <w:pPr>
      <w:ind w:firstLine="680"/>
    </w:pPr>
  </w:style>
  <w:style w:type="paragraph" w:styleId="6">
    <w:name w:val="annotation text"/>
    <w:basedOn w:val="1"/>
    <w:semiHidden/>
    <w:unhideWhenUsed/>
    <w:qFormat/>
    <w:uiPriority w:val="99"/>
    <w:pPr>
      <w:jc w:val="left"/>
    </w:pPr>
  </w:style>
  <w:style w:type="paragraph" w:styleId="7">
    <w:name w:val="Body Text"/>
    <w:basedOn w:val="1"/>
    <w:link w:val="26"/>
    <w:qFormat/>
    <w:uiPriority w:val="99"/>
    <w:pPr>
      <w:spacing w:beforeLines="30"/>
    </w:pPr>
    <w:rPr>
      <w:rFonts w:ascii="仿宋_GB2312" w:eastAsia="仿宋_GB2312"/>
      <w:kern w:val="0"/>
      <w:sz w:val="30"/>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semiHidden/>
    <w:unhideWhenUsed/>
    <w:qFormat/>
    <w:uiPriority w:val="99"/>
    <w:rPr>
      <w:sz w:val="18"/>
      <w:szCs w:val="18"/>
    </w:rPr>
  </w:style>
  <w:style w:type="paragraph" w:styleId="10">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able of figures"/>
    <w:basedOn w:val="1"/>
    <w:next w:val="1"/>
    <w:qFormat/>
    <w:uiPriority w:val="0"/>
    <w:pPr>
      <w:ind w:left="200" w:leftChars="200" w:hanging="200" w:hangingChars="200"/>
    </w:p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character" w:styleId="19">
    <w:name w:val="annotation reference"/>
    <w:basedOn w:val="16"/>
    <w:semiHidden/>
    <w:unhideWhenUsed/>
    <w:qFormat/>
    <w:uiPriority w:val="99"/>
    <w:rPr>
      <w:sz w:val="21"/>
      <w:szCs w:val="21"/>
    </w:rPr>
  </w:style>
  <w:style w:type="paragraph" w:customStyle="1" w:styleId="20">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21">
    <w:name w:val="Header Char"/>
    <w:basedOn w:val="16"/>
    <w:semiHidden/>
    <w:qFormat/>
    <w:uiPriority w:val="99"/>
    <w:rPr>
      <w:rFonts w:ascii="Times New Roman" w:hAnsi="Times New Roman"/>
      <w:sz w:val="18"/>
      <w:szCs w:val="18"/>
    </w:rPr>
  </w:style>
  <w:style w:type="character" w:customStyle="1" w:styleId="22">
    <w:name w:val="页眉 字符"/>
    <w:link w:val="11"/>
    <w:semiHidden/>
    <w:qFormat/>
    <w:locked/>
    <w:uiPriority w:val="99"/>
    <w:rPr>
      <w:sz w:val="18"/>
    </w:rPr>
  </w:style>
  <w:style w:type="character" w:customStyle="1" w:styleId="23">
    <w:name w:val="Footer Char"/>
    <w:basedOn w:val="16"/>
    <w:semiHidden/>
    <w:qFormat/>
    <w:uiPriority w:val="99"/>
    <w:rPr>
      <w:rFonts w:ascii="Times New Roman" w:hAnsi="Times New Roman"/>
      <w:sz w:val="18"/>
      <w:szCs w:val="18"/>
    </w:rPr>
  </w:style>
  <w:style w:type="character" w:customStyle="1" w:styleId="24">
    <w:name w:val="页脚 字符"/>
    <w:link w:val="10"/>
    <w:qFormat/>
    <w:locked/>
    <w:uiPriority w:val="99"/>
    <w:rPr>
      <w:sz w:val="18"/>
    </w:rPr>
  </w:style>
  <w:style w:type="character" w:customStyle="1" w:styleId="25">
    <w:name w:val="Body Text Char"/>
    <w:basedOn w:val="16"/>
    <w:semiHidden/>
    <w:qFormat/>
    <w:uiPriority w:val="99"/>
    <w:rPr>
      <w:rFonts w:ascii="Times New Roman" w:hAnsi="Times New Roman"/>
      <w:szCs w:val="24"/>
    </w:rPr>
  </w:style>
  <w:style w:type="character" w:customStyle="1" w:styleId="26">
    <w:name w:val="正文文本 字符"/>
    <w:link w:val="7"/>
    <w:qFormat/>
    <w:locked/>
    <w:uiPriority w:val="99"/>
    <w:rPr>
      <w:rFonts w:ascii="仿宋_GB2312" w:hAnsi="Times New Roman" w:eastAsia="仿宋_GB2312"/>
      <w:sz w:val="24"/>
    </w:rPr>
  </w:style>
  <w:style w:type="paragraph" w:styleId="27">
    <w:name w:val="List Paragraph"/>
    <w:basedOn w:val="1"/>
    <w:qFormat/>
    <w:uiPriority w:val="34"/>
    <w:pPr>
      <w:ind w:firstLine="420" w:firstLineChars="200"/>
    </w:pPr>
  </w:style>
  <w:style w:type="character" w:customStyle="1" w:styleId="28">
    <w:name w:val="标题 1 字符"/>
    <w:basedOn w:val="16"/>
    <w:link w:val="2"/>
    <w:qFormat/>
    <w:uiPriority w:val="9"/>
    <w:rPr>
      <w:rFonts w:ascii="Times New Roman" w:hAnsi="Times New Roman"/>
      <w:b/>
      <w:bCs/>
      <w:kern w:val="44"/>
      <w:sz w:val="44"/>
      <w:szCs w:val="44"/>
    </w:rPr>
  </w:style>
  <w:style w:type="character" w:customStyle="1" w:styleId="29">
    <w:name w:val="标题 2 字符"/>
    <w:basedOn w:val="16"/>
    <w:link w:val="3"/>
    <w:qFormat/>
    <w:uiPriority w:val="9"/>
    <w:rPr>
      <w:rFonts w:asciiTheme="majorHAnsi" w:hAnsiTheme="majorHAnsi" w:eastAsiaTheme="majorEastAsia" w:cstheme="majorBidi"/>
      <w:b/>
      <w:bCs/>
      <w:kern w:val="2"/>
      <w:sz w:val="32"/>
      <w:szCs w:val="32"/>
    </w:rPr>
  </w:style>
  <w:style w:type="paragraph" w:customStyle="1" w:styleId="30">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字符"/>
    <w:basedOn w:val="16"/>
    <w:link w:val="9"/>
    <w:semiHidden/>
    <w:qFormat/>
    <w:uiPriority w:val="99"/>
    <w:rPr>
      <w:rFonts w:ascii="Times New Roman" w:hAnsi="Times New Roman"/>
      <w:kern w:val="2"/>
      <w:sz w:val="18"/>
      <w:szCs w:val="18"/>
    </w:rPr>
  </w:style>
  <w:style w:type="character" w:customStyle="1" w:styleId="32">
    <w:name w:val="标题 3 字符"/>
    <w:basedOn w:val="16"/>
    <w:link w:val="4"/>
    <w:qFormat/>
    <w:uiPriority w:val="9"/>
    <w:rPr>
      <w:rFonts w:ascii="Times New Roman" w:hAnsi="Times New Roman"/>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numbering" Target="numbering.xml"/><Relationship Id="rId16" Type="http://schemas.openxmlformats.org/officeDocument/2006/relationships/image" Target="media/image2.emf"/><Relationship Id="rId15" Type="http://schemas.openxmlformats.org/officeDocument/2006/relationships/oleObject" Target="embeddings/oleObject2.bin"/><Relationship Id="rId14" Type="http://schemas.openxmlformats.org/officeDocument/2006/relationships/image" Target="media/image1.emf"/><Relationship Id="rId13" Type="http://schemas.openxmlformats.org/officeDocument/2006/relationships/oleObject" Target="embeddings/oleObject1.bin"/><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收、支决算总计变动情况图</a:t>
            </a:r>
            <a:endParaRPr lang="en-US" sz="1100"/>
          </a:p>
        </c:rich>
      </c:tx>
      <c:layout/>
      <c:overlay val="0"/>
    </c:title>
    <c:autoTitleDeleted val="0"/>
    <c:plotArea>
      <c:layout>
        <c:manualLayout>
          <c:layoutTarget val="inner"/>
          <c:xMode val="edge"/>
          <c:yMode val="edge"/>
          <c:x val="0.0559816218099468"/>
          <c:y val="0.247865112907836"/>
          <c:w val="0.800713012477719"/>
          <c:h val="0.654027777777778"/>
        </c:manualLayout>
      </c:layout>
      <c:barChart>
        <c:barDir val="col"/>
        <c:grouping val="clustered"/>
        <c:varyColors val="0"/>
        <c:ser>
          <c:idx val="1"/>
          <c:order val="0"/>
          <c:tx>
            <c:strRef>
              <c:f>收入</c:f>
              <c:strCache>
                <c:ptCount val="1"/>
                <c:pt idx="0">
                  <c:v>收入</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{"2021","2022"}</c:f>
              <c:strCache>
                <c:ptCount val="2"/>
                <c:pt idx="0">
                  <c:v>2021</c:v>
                </c:pt>
                <c:pt idx="1">
                  <c:v>2022</c:v>
                </c:pt>
              </c:strCache>
            </c:strRef>
          </c:cat>
          <c:val>
            <c:numRef>
              <c:f>{217.91,217.91}</c:f>
              <c:numCache>
                <c:formatCode>General</c:formatCode>
                <c:ptCount val="2"/>
                <c:pt idx="0">
                  <c:v>217.91</c:v>
                </c:pt>
                <c:pt idx="1">
                  <c:v>217.91</c:v>
                </c:pt>
              </c:numCache>
            </c:numRef>
          </c:val>
        </c:ser>
        <c:ser>
          <c:idx val="2"/>
          <c:order val="1"/>
          <c:tx>
            <c:strRef>
              <c:f>支出</c:f>
              <c:strCache>
                <c:ptCount val="1"/>
                <c:pt idx="0">
                  <c:v>支出</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{"2021","2022"}</c:f>
              <c:strCache>
                <c:ptCount val="2"/>
                <c:pt idx="0">
                  <c:v>2021</c:v>
                </c:pt>
                <c:pt idx="1">
                  <c:v>2022</c:v>
                </c:pt>
              </c:strCache>
            </c:strRef>
          </c:cat>
          <c:val>
            <c:numRef>
              <c:f>{217.91,217.91}</c:f>
              <c:numCache>
                <c:formatCode>General</c:formatCode>
                <c:ptCount val="2"/>
                <c:pt idx="0">
                  <c:v>217.91</c:v>
                </c:pt>
                <c:pt idx="1">
                  <c:v>217.91</c:v>
                </c:pt>
              </c:numCache>
            </c:numRef>
          </c:val>
        </c:ser>
        <c:dLbls>
          <c:showLegendKey val="0"/>
          <c:showVal val="1"/>
          <c:showCatName val="0"/>
          <c:showSerName val="0"/>
          <c:showPercent val="0"/>
          <c:showBubbleSize val="0"/>
        </c:dLbls>
        <c:gapWidth val="41"/>
        <c:axId val="261387392"/>
        <c:axId val="261388928"/>
      </c:barChart>
      <c:catAx>
        <c:axId val="261387392"/>
        <c:scaling>
          <c:orientation val="minMax"/>
        </c:scaling>
        <c:delete val="0"/>
        <c:axPos val="b"/>
        <c:title>
          <c:tx>
            <c:rich>
              <a:bodyPr rot="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单位：万元</a:t>
                </a:r>
                <a:endParaRPr lang="en-US" sz="1100"/>
              </a:p>
            </c:rich>
          </c:tx>
          <c:layout/>
          <c:overlay val="0"/>
        </c:title>
        <c:numFmt formatCode="General" sourceLinked="0"/>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dk1">
                    <a:lumMod val="65000"/>
                    <a:lumOff val="35000"/>
                  </a:schemeClr>
                </a:solidFill>
                <a:effectLst/>
                <a:latin typeface="+mn-lt"/>
                <a:ea typeface="+mn-ea"/>
                <a:cs typeface="+mn-cs"/>
              </a:defRPr>
            </a:pPr>
          </a:p>
        </c:txPr>
        <c:crossAx val="261388928"/>
        <c:crosses val="autoZero"/>
        <c:auto val="1"/>
        <c:lblAlgn val="ctr"/>
        <c:lblOffset val="100"/>
        <c:noMultiLvlLbl val="0"/>
      </c:catAx>
      <c:valAx>
        <c:axId val="261388928"/>
        <c:scaling>
          <c:orientation val="minMax"/>
        </c:scaling>
        <c:delete val="1"/>
        <c:axPos val="l"/>
        <c:title>
          <c:tx>
            <c:rich>
              <a:bodyPr rot="-540000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 </a:t>
                </a:r>
                <a:endParaRPr lang="en-US" sz="1100"/>
              </a:p>
            </c:rich>
          </c:tx>
          <c:layout/>
          <c:overlay val="0"/>
        </c:title>
        <c:numFmt formatCode="General" sourceLinked="1"/>
        <c:majorTickMark val="none"/>
        <c:minorTickMark val="none"/>
        <c:tickLblPos val="none"/>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61387392"/>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legend>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收入决算结构图</a:t>
            </a:r>
            <a:endParaRPr lang="en-US" sz="1100"/>
          </a:p>
        </c:rich>
      </c:tx>
      <c:layout/>
      <c:overlay val="0"/>
    </c:title>
    <c:autoTitleDeleted val="0"/>
    <c:plotArea>
      <c:layout/>
      <c:pieChart>
        <c:varyColors val="1"/>
        <c:ser>
          <c:idx val="1"/>
          <c:order val="0"/>
          <c:explosion val="0"/>
          <c:dPt>
            <c:idx val="0"/>
            <c:bubble3D val="0"/>
          </c:dPt>
          <c:dPt>
            <c:idx val="1"/>
            <c:bubble3D val="0"/>
          </c:dPt>
          <c:dPt>
            <c:idx val="2"/>
            <c:bubble3D val="0"/>
          </c:dPt>
          <c:dPt>
            <c:idx val="3"/>
            <c:bubble3D val="0"/>
          </c:dPt>
          <c:dPt>
            <c:idx val="4"/>
            <c:bubble3D val="0"/>
          </c:dPt>
          <c:dPt>
            <c:idx val="5"/>
            <c:bubble3D val="0"/>
          </c:dPt>
          <c:dPt>
            <c:idx val="6"/>
            <c:bubble3D val="0"/>
          </c:dPt>
          <c:dPt>
            <c:idx val="7"/>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{"一般公共预算财政拨款收入","政府性基金预算财政拨款收入","国有资本经营预算财政拨款收入","上级补助收入","事业收入","经营收入","附属单位上缴收入","其他收入"}</c:f>
              <c:strCache>
                <c:ptCount val="8"/>
                <c:pt idx="0">
                  <c:v>一般公共预算财政拨款收入</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{2179133.4,0,0,0,0,0,0,0}</c:f>
              <c:numCache>
                <c:formatCode>General</c:formatCode>
                <c:ptCount val="8"/>
                <c:pt idx="0">
                  <c:v>2179133.4</c:v>
                </c:pt>
                <c:pt idx="1">
                  <c:v>0</c:v>
                </c:pt>
                <c:pt idx="2">
                  <c:v>0</c:v>
                </c:pt>
                <c:pt idx="3">
                  <c:v>0</c:v>
                </c:pt>
                <c:pt idx="4">
                  <c:v>0</c:v>
                </c:pt>
                <c:pt idx="5">
                  <c:v>0</c:v>
                </c:pt>
                <c:pt idx="6">
                  <c:v>0</c:v>
                </c:pt>
                <c:pt idx="7">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支出决算结构图</a:t>
            </a:r>
            <a:endParaRPr lang="en-US" sz="1100"/>
          </a:p>
        </c:rich>
      </c:tx>
      <c:layout/>
      <c:overlay val="0"/>
    </c:title>
    <c:autoTitleDeleted val="0"/>
    <c:plotArea>
      <c:layout/>
      <c:pieChart>
        <c:varyColors val="1"/>
        <c:ser>
          <c:idx val="1"/>
          <c:order val="0"/>
          <c:explosion val="0"/>
          <c:dPt>
            <c:idx val="0"/>
            <c:bubble3D val="0"/>
          </c:dPt>
          <c:dPt>
            <c:idx val="1"/>
            <c:bubble3D val="0"/>
          </c:dPt>
          <c:dPt>
            <c:idx val="2"/>
            <c:bubble3D val="0"/>
          </c:dPt>
          <c:dPt>
            <c:idx val="3"/>
            <c:bubble3D val="0"/>
          </c:dPt>
          <c:dPt>
            <c:idx val="4"/>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{"基本支出","项目支出","上缴上级支出","经营支出","对附属单位补助支出"}</c:f>
              <c:strCache>
                <c:ptCount val="5"/>
                <c:pt idx="0">
                  <c:v>基本支出</c:v>
                </c:pt>
                <c:pt idx="1">
                  <c:v>项目支出</c:v>
                </c:pt>
                <c:pt idx="2">
                  <c:v>上缴上级支出</c:v>
                </c:pt>
                <c:pt idx="3">
                  <c:v>经营支出</c:v>
                </c:pt>
                <c:pt idx="4">
                  <c:v>对附属单位补助支出</c:v>
                </c:pt>
              </c:strCache>
            </c:strRef>
          </c:cat>
          <c:val>
            <c:numRef>
              <c:f>{1851312.51,327820.89,0,0,0}</c:f>
              <c:numCache>
                <c:formatCode>General</c:formatCode>
                <c:ptCount val="5"/>
                <c:pt idx="0">
                  <c:v>1851312.51</c:v>
                </c:pt>
                <c:pt idx="1">
                  <c:v>327820.89</c:v>
                </c:pt>
                <c:pt idx="2">
                  <c:v>0</c:v>
                </c:pt>
                <c:pt idx="3">
                  <c:v>0</c:v>
                </c:pt>
                <c:pt idx="4">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600" b="1" i="0" u="none" strike="noStrike" kern="1200" baseline="0">
                <a:solidFill>
                  <a:schemeClr val="tx2"/>
                </a:solidFill>
                <a:latin typeface="+mn-lt"/>
                <a:ea typeface="+mn-ea"/>
                <a:cs typeface="+mn-cs"/>
              </a:defRPr>
            </a:pPr>
            <a:r>
              <a:rPr lang="en-US" altLang="zh-CN"/>
              <a:t>财政拨款收、支决算总计变动情况</a:t>
            </a:r>
            <a:endParaRPr lang="en-US" altLang="zh-CN"/>
          </a:p>
        </c:rich>
      </c:tx>
      <c:layout/>
      <c:overlay val="0"/>
      <c:spPr>
        <a:noFill/>
        <a:ln>
          <a:noFill/>
        </a:ln>
        <a:effectLst/>
      </c:spPr>
    </c:title>
    <c:autoTitleDeleted val="0"/>
    <c:plotArea>
      <c:layout/>
      <c:barChart>
        <c:barDir val="col"/>
        <c:grouping val="clustered"/>
        <c:varyColors val="0"/>
        <c:ser>
          <c:idx val="1"/>
          <c:order val="0"/>
          <c:tx>
            <c:strRef>
              <c:f>收入</c:f>
              <c:strCache>
                <c:ptCount val="1"/>
                <c:pt idx="0">
                  <c:v>收入</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{"2021","2022"}</c:f>
              <c:strCache>
                <c:ptCount val="2"/>
                <c:pt idx="0">
                  <c:v>2021</c:v>
                </c:pt>
                <c:pt idx="1">
                  <c:v>2022</c:v>
                </c:pt>
              </c:strCache>
            </c:strRef>
          </c:cat>
          <c:val>
            <c:numRef>
              <c:f>{217.91,217.91}</c:f>
              <c:numCache>
                <c:formatCode>General</c:formatCode>
                <c:ptCount val="2"/>
                <c:pt idx="0">
                  <c:v>217.91</c:v>
                </c:pt>
                <c:pt idx="1">
                  <c:v>217.91</c:v>
                </c:pt>
              </c:numCache>
            </c:numRef>
          </c:val>
        </c:ser>
        <c:ser>
          <c:idx val="2"/>
          <c:order val="1"/>
          <c:tx>
            <c:strRef>
              <c:f>支出</c:f>
              <c:strCache>
                <c:ptCount val="1"/>
                <c:pt idx="0">
                  <c:v>支出</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{"2021","2022"}</c:f>
              <c:strCache>
                <c:ptCount val="2"/>
                <c:pt idx="0">
                  <c:v>2021</c:v>
                </c:pt>
                <c:pt idx="1">
                  <c:v>2022</c:v>
                </c:pt>
              </c:strCache>
            </c:strRef>
          </c:cat>
          <c:val>
            <c:numRef>
              <c:f>{217.91,217.91}</c:f>
              <c:numCache>
                <c:formatCode>General</c:formatCode>
                <c:ptCount val="2"/>
                <c:pt idx="0">
                  <c:v>217.91</c:v>
                </c:pt>
                <c:pt idx="1">
                  <c:v>217.91</c:v>
                </c:pt>
              </c:numCache>
            </c:numRef>
          </c:val>
        </c:ser>
        <c:dLbls>
          <c:showLegendKey val="0"/>
          <c:showVal val="1"/>
          <c:showCatName val="0"/>
          <c:showSerName val="0"/>
          <c:showPercent val="0"/>
          <c:showBubbleSize val="0"/>
        </c:dLbls>
        <c:gapWidth val="100"/>
        <c:overlap val="-24"/>
        <c:axId val="263359104"/>
        <c:axId val="263373184"/>
      </c:barChart>
      <c:catAx>
        <c:axId val="263359104"/>
        <c:scaling>
          <c:orientation val="minMax"/>
        </c:scaling>
        <c:delete val="0"/>
        <c:axPos val="b"/>
        <c:title>
          <c:tx>
            <c:rich>
              <a:bodyPr rot="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单位：万元</a:t>
                </a:r>
                <a:endParaRPr lang="en-US" sz="1100"/>
              </a:p>
            </c:rich>
          </c:tx>
          <c:layout/>
          <c:overlay val="0"/>
        </c:title>
        <c:numFmt formatCode="General" sourceLinked="0"/>
        <c:majorTickMark val="none"/>
        <c:minorTickMark val="none"/>
        <c:tickLblPos val="nextTo"/>
        <c:spPr>
          <a:noFill/>
          <a:ln w="9525" cap="flat" cmpd="sng" algn="ctr">
            <a:solidFill>
              <a:schemeClr val="tx2">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2"/>
                </a:solidFill>
                <a:latin typeface="+mn-lt"/>
                <a:ea typeface="+mn-ea"/>
                <a:cs typeface="+mn-cs"/>
              </a:defRPr>
            </a:pPr>
          </a:p>
        </c:txPr>
        <c:crossAx val="263373184"/>
        <c:crosses val="autoZero"/>
        <c:auto val="1"/>
        <c:lblAlgn val="ctr"/>
        <c:lblOffset val="100"/>
        <c:noMultiLvlLbl val="0"/>
      </c:catAx>
      <c:valAx>
        <c:axId val="263373184"/>
        <c:scaling>
          <c:orientation val="minMax"/>
        </c:scaling>
        <c:delete val="0"/>
        <c:axPos val="l"/>
        <c:majorGridlines>
          <c:spPr>
            <a:ln w="9525" cap="flat" cmpd="sng" algn="ctr">
              <a:solidFill>
                <a:schemeClr val="tx2">
                  <a:lumMod val="15000"/>
                  <a:lumOff val="85000"/>
                </a:schemeClr>
              </a:solidFill>
              <a:prstDash val="solid"/>
              <a:round/>
            </a:ln>
            <a:effectLst/>
          </c:spPr>
        </c:majorGridlines>
        <c:title>
          <c:tx>
            <c:rich>
              <a:bodyPr rot="-540000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 </a:t>
                </a:r>
                <a:endParaRPr lang="en-US" sz="1100"/>
              </a:p>
            </c:rich>
          </c:tx>
          <c:layout/>
          <c:overlay val="0"/>
        </c:title>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2"/>
                </a:solidFill>
                <a:latin typeface="+mn-lt"/>
                <a:ea typeface="+mn-ea"/>
                <a:cs typeface="+mn-cs"/>
              </a:defRPr>
            </a:pPr>
          </a:p>
        </c:txPr>
        <c:crossAx val="263359104"/>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2"/>
              </a:solidFill>
              <a:latin typeface="+mn-lt"/>
              <a:ea typeface="+mn-ea"/>
              <a:cs typeface="+mn-cs"/>
            </a:defRPr>
          </a:pPr>
        </a:p>
      </c:txPr>
    </c:legend>
    <c:plotVisOnly val="1"/>
    <c:dispBlanksAs val="gap"/>
    <c:showDLblsOverMax val="0"/>
  </c:chart>
  <c:spPr>
    <a:solidFill>
      <a:schemeClr val="bg1"/>
    </a:solidFill>
    <a:ln w="9525" cap="flat" cmpd="sng" algn="ctr">
      <a:solidFill>
        <a:schemeClr val="tx2">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600" b="1" i="0" u="none" strike="noStrike" kern="1200" baseline="0">
                <a:solidFill>
                  <a:schemeClr val="tx1">
                    <a:lumMod val="65000"/>
                    <a:lumOff val="35000"/>
                  </a:schemeClr>
                </a:solidFill>
                <a:latin typeface="+mn-lt"/>
                <a:ea typeface="+mn-ea"/>
                <a:cs typeface="+mn-cs"/>
              </a:defRPr>
            </a:pPr>
            <a:r>
              <a:rPr lang="zh-CN" altLang="en-US" sz="1200"/>
              <a:t>一般公共预算财政拨款支出</a:t>
            </a:r>
            <a:endParaRPr lang="zh-CN" altLang="en-US" sz="1200"/>
          </a:p>
        </c:rich>
      </c:tx>
      <c:layout/>
      <c:overlay val="0"/>
      <c:spPr>
        <a:noFill/>
        <a:ln>
          <a:noFill/>
        </a:ln>
        <a:effectLst/>
      </c:spPr>
    </c:title>
    <c:autoTitleDeleted val="0"/>
    <c:plotArea>
      <c:layout>
        <c:manualLayout>
          <c:layoutTarget val="inner"/>
          <c:xMode val="edge"/>
          <c:yMode val="edge"/>
          <c:x val="0.0736333103993069"/>
          <c:y val="0.199582873033408"/>
          <c:w val="0.767623678108199"/>
          <c:h val="0.708506514060342"/>
        </c:manualLayout>
      </c:layout>
      <c:barChart>
        <c:barDir val="col"/>
        <c:grouping val="clustered"/>
        <c:varyColors val="0"/>
        <c:ser>
          <c:idx val="1"/>
          <c:order val="0"/>
          <c:tx>
            <c:strRef>
              <c:f>2021</c:f>
              <c:strCache>
                <c:ptCount val="1"/>
                <c:pt idx="0">
                  <c:v>2021</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{"一般公共预算财政拨款支出"}</c:f>
              <c:strCache>
                <c:ptCount val="1"/>
                <c:pt idx="0">
                  <c:v>一般公共预算财政拨款支出</c:v>
                </c:pt>
              </c:strCache>
            </c:strRef>
          </c:cat>
          <c:val>
            <c:numRef>
              <c:f>{0}</c:f>
              <c:numCache>
                <c:formatCode>General</c:formatCode>
                <c:ptCount val="1"/>
                <c:pt idx="0">
                  <c:v>0</c:v>
                </c:pt>
              </c:numCache>
            </c:numRef>
          </c:val>
        </c:ser>
        <c:ser>
          <c:idx val="2"/>
          <c:order val="1"/>
          <c:tx>
            <c:strRef>
              <c:f>2022</c:f>
              <c:strCache>
                <c:ptCount val="1"/>
                <c:pt idx="0">
                  <c:v>2022</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{"一般公共预算财政拨款支出"}</c:f>
              <c:strCache>
                <c:ptCount val="1"/>
                <c:pt idx="0">
                  <c:v>一般公共预算财政拨款支出</c:v>
                </c:pt>
              </c:strCache>
            </c:strRef>
          </c:cat>
          <c:val>
            <c:numRef>
              <c:f>{217.91}</c:f>
              <c:numCache>
                <c:formatCode>General</c:formatCode>
                <c:ptCount val="1"/>
                <c:pt idx="0">
                  <c:v>217.91</c:v>
                </c:pt>
              </c:numCache>
            </c:numRef>
          </c:val>
        </c:ser>
        <c:dLbls>
          <c:showLegendKey val="0"/>
          <c:showVal val="1"/>
          <c:showCatName val="0"/>
          <c:showSerName val="0"/>
          <c:showPercent val="0"/>
          <c:showBubbleSize val="0"/>
        </c:dLbls>
        <c:gapWidth val="100"/>
        <c:overlap val="-24"/>
        <c:axId val="263440640"/>
        <c:axId val="263135232"/>
      </c:barChart>
      <c:catAx>
        <c:axId val="263440640"/>
        <c:scaling>
          <c:orientation val="minMax"/>
        </c:scaling>
        <c:delete val="1"/>
        <c:axPos val="b"/>
        <c:title>
          <c:tx>
            <c:rich>
              <a:bodyPr rot="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单位：万元</a:t>
                </a:r>
                <a:endParaRPr lang="en-US" sz="1100"/>
              </a:p>
            </c:rich>
          </c:tx>
          <c:layout/>
          <c:overlay val="0"/>
        </c:title>
        <c:numFmt formatCode="General" sourceLinked="0"/>
        <c:majorTickMark val="none"/>
        <c:minorTickMark val="none"/>
        <c:tickLblPos val="none"/>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63135232"/>
        <c:crosses val="autoZero"/>
        <c:auto val="1"/>
        <c:lblAlgn val="ctr"/>
        <c:lblOffset val="100"/>
        <c:noMultiLvlLbl val="0"/>
      </c:catAx>
      <c:valAx>
        <c:axId val="263135232"/>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 </a:t>
                </a:r>
                <a:endParaRPr lang="en-US" sz="1100"/>
              </a:p>
            </c:rich>
          </c:tx>
          <c:layout/>
          <c:overlay val="0"/>
        </c:title>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3440640"/>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一般公共预算财政拨款支出</a:t>
            </a:r>
            <a:endParaRPr lang="en-US" sz="1100"/>
          </a:p>
        </c:rich>
      </c:tx>
      <c:layout/>
      <c:overlay val="0"/>
    </c:title>
    <c:autoTitleDeleted val="0"/>
    <c:plotArea>
      <c:layout/>
      <c:pieChart>
        <c:varyColors val="1"/>
        <c:ser>
          <c:idx val="1"/>
          <c:order val="0"/>
          <c:explosion val="0"/>
          <c:dPt>
            <c:idx val="0"/>
            <c:bubble3D val="0"/>
          </c:dPt>
          <c:dPt>
            <c:idx val="1"/>
            <c:bubble3D val="0"/>
          </c:dPt>
          <c:dPt>
            <c:idx val="2"/>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{"社会保障和就业支出","卫生健康支出","住房保障支出"}</c:f>
              <c:strCache>
                <c:ptCount val="3"/>
                <c:pt idx="0">
                  <c:v>社会保障和就业支出</c:v>
                </c:pt>
                <c:pt idx="1">
                  <c:v>卫生健康支出</c:v>
                </c:pt>
                <c:pt idx="2">
                  <c:v>住房保障支出</c:v>
                </c:pt>
              </c:strCache>
            </c:strRef>
          </c:cat>
          <c:val>
            <c:numRef>
              <c:f>{28.53,176.45,12.94}</c:f>
              <c:numCache>
                <c:formatCode>General</c:formatCode>
                <c:ptCount val="3"/>
                <c:pt idx="0">
                  <c:v>28.53</c:v>
                </c:pt>
                <c:pt idx="1">
                  <c:v>176.45</c:v>
                </c:pt>
                <c:pt idx="2">
                  <c:v>12.94</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三公经费</a:t>
            </a:r>
            <a:endParaRPr lang="en-US" sz="1100"/>
          </a:p>
        </c:rich>
      </c:tx>
      <c:layout/>
      <c:overlay val="0"/>
    </c:title>
    <c:autoTitleDeleted val="0"/>
    <c:plotArea>
      <c:layout/>
      <c:pieChart>
        <c:varyColors val="1"/>
        <c:ser>
          <c:idx val="1"/>
          <c:order val="0"/>
          <c:explosion val="0"/>
          <c:dPt>
            <c:idx val="0"/>
            <c:bubble3D val="0"/>
          </c:dPt>
          <c:dPt>
            <c:idx val="1"/>
            <c:bubble3D val="0"/>
          </c:dPt>
          <c:dPt>
            <c:idx val="2"/>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{"因公出国（境）费","公务用车购置及运行维护费","公务接待费"}</c:f>
              <c:strCache>
                <c:ptCount val="3"/>
                <c:pt idx="0">
                  <c:v>因公出国（境）费</c:v>
                </c:pt>
                <c:pt idx="1">
                  <c:v>公务用车购置及运行维护费</c:v>
                </c:pt>
                <c:pt idx="2">
                  <c:v>公务接待费</c:v>
                </c:pt>
              </c:strCache>
            </c:strRef>
          </c:cat>
          <c:val>
            <c:numRef>
              <c:f>{0,0,0}</c:f>
              <c:numCache>
                <c:formatCode>General</c:formatCode>
                <c:ptCount val="3"/>
                <c:pt idx="0">
                  <c:v>0</c:v>
                </c:pt>
                <c:pt idx="1">
                  <c:v>0</c:v>
                </c:pt>
                <c:pt idx="2">
                  <c:v>0</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4FC5A5-8DE4-4565-B639-6D345C1D7E6D}">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23</Pages>
  <Words>5992</Words>
  <Characters>6814</Characters>
  <Lines>51</Lines>
  <Paragraphs>14</Paragraphs>
  <TotalTime>3</TotalTime>
  <ScaleCrop>false</ScaleCrop>
  <LinksUpToDate>false</LinksUpToDate>
  <CharactersWithSpaces>6883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2023-08-18T07:28:00Z</dcterms:created>
  <dc:creator>pjf</dc:creator>
  <cp:lastModifiedBy>奕夕^_^</cp:lastModifiedBy>
  <cp:lastPrinted>2021-09-26T08:39:00Z</cp:lastPrinted>
  <dcterms:modified xsi:type="dcterms:W3CDTF">2023-09-12T09:22:35Z</dcterms:modified>
  <dc:title>四川省决算编制说明</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106FAD529D1B4D46B53F4ACB7C0AF612_13</vt:lpwstr>
  </property>
</Properties>
</file>