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b/>
          <w:sz w:val="72"/>
          <w:szCs w:val="72"/>
        </w:rPr>
      </w:pPr>
      <w:bookmarkStart w:id="0" w:name="_Toc15396475"/>
      <w:bookmarkStart w:id="1" w:name="_Toc15378441"/>
      <w:bookmarkStart w:id="2" w:name="_Toc15396597"/>
      <w:bookmarkStart w:id="3" w:name="_Toc15377425"/>
      <w:bookmarkStart w:id="4" w:name="_Toc15377193"/>
      <w:bookmarkStart w:id="5" w:name="_Toc15306267"/>
    </w:p>
    <w:p>
      <w:pPr>
        <w:pStyle w:val="2"/>
        <w:ind w:firstLine="0"/>
      </w:pPr>
    </w:p>
    <w:p>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2022</w:t>
      </w:r>
      <w:r>
        <w:rPr>
          <w:b/>
          <w:sz w:val="72"/>
          <w:u w:color="auto"/>
        </w:rPr>
        <w:t>年度</w:t>
      </w:r>
      <w:bookmarkEnd w:id="0"/>
      <w:bookmarkEnd w:id="1"/>
      <w:bookmarkEnd w:id="2"/>
      <w:bookmarkEnd w:id="3"/>
      <w:bookmarkEnd w:id="4"/>
    </w:p>
    <w:bookmarkEnd w:id="5"/>
    <w:p>
      <w:pPr>
        <w:jc w:val="center"/>
        <w:rPr>
          <w:rFonts w:asciiTheme="minorEastAsia" w:hAnsiTheme="minorEastAsia" w:eastAsiaTheme="minorEastAsia"/>
          <w:b/>
          <w:sz w:val="72"/>
          <w:szCs w:val="72"/>
        </w:rPr>
      </w:pPr>
      <w:bookmarkStart w:id="6" w:name="_Toc15377426"/>
      <w:bookmarkStart w:id="7" w:name="_Toc15396598"/>
      <w:bookmarkStart w:id="8" w:name="_Toc15377194"/>
      <w:bookmarkStart w:id="9" w:name="_Toc15378442"/>
      <w:bookmarkStart w:id="10" w:name="_Toc15396476"/>
      <w:bookmarkStart w:id="11" w:name="_Toc15306268"/>
      <w:r>
        <w:rPr>
          <w:rFonts w:asciiTheme="minorEastAsia" w:hAnsiTheme="minorEastAsia" w:eastAsiaTheme="minorEastAsia"/>
          <w:b/>
          <w:sz w:val="72"/>
          <w:szCs w:val="72"/>
        </w:rPr>
        <w:t>阿坝州松潘县白羊乡卫生院</w:t>
      </w:r>
      <w:r>
        <w:rPr>
          <w:rFonts w:hint="eastAsia" w:asciiTheme="minorEastAsia" w:hAnsiTheme="minorEastAsia" w:eastAsiaTheme="minorEastAsia"/>
          <w:b/>
          <w:sz w:val="72"/>
          <w:szCs w:val="72"/>
        </w:rPr>
        <w:t>部门决算</w:t>
      </w:r>
      <w:bookmarkEnd w:id="6"/>
      <w:bookmarkEnd w:id="7"/>
      <w:bookmarkEnd w:id="8"/>
      <w:bookmarkEnd w:id="9"/>
      <w:bookmarkEnd w:id="10"/>
      <w:bookmarkEnd w:id="11"/>
      <w:r>
        <w:rPr>
          <w:rFonts w:hint="eastAsia" w:asciiTheme="minorEastAsia" w:hAnsiTheme="minorEastAsia" w:eastAsiaTheme="minorEastAsia"/>
          <w:b/>
          <w:sz w:val="72"/>
          <w:szCs w:val="72"/>
        </w:rPr>
        <w:t>编制说明</w:t>
      </w: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tabs>
          <w:tab w:val="left" w:pos="3600"/>
        </w:tabs>
      </w:pPr>
      <w:r>
        <w:tab/>
      </w: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autoSpaceDE w:val="0"/>
        <w:autoSpaceDN w:val="0"/>
        <w:adjustRightInd w:val="0"/>
        <w:ind w:left="420" w:leftChars="200"/>
        <w:jc w:val="left"/>
        <w:rPr>
          <w:rFonts w:ascii="宋体" w:hAnsi="宋体"/>
          <w:sz w:val="32"/>
          <w:szCs w:val="32"/>
        </w:rPr>
      </w:pPr>
      <w:r>
        <w:rPr>
          <w:rFonts w:hint="eastAsia" w:ascii="宋体" w:hAnsi="宋体" w:cs="仿宋_GB2312"/>
          <w:sz w:val="32"/>
          <w:szCs w:val="32"/>
        </w:rPr>
        <w:t>保密审查情况：已审查，内容审定</w:t>
      </w:r>
    </w:p>
    <w:p>
      <w:pPr>
        <w:autoSpaceDE w:val="0"/>
        <w:autoSpaceDN w:val="0"/>
        <w:adjustRightInd w:val="0"/>
        <w:ind w:left="420" w:leftChars="200"/>
        <w:jc w:val="left"/>
        <w:rPr>
          <w:rFonts w:ascii="宋体" w:hAnsi="宋体"/>
          <w:sz w:val="32"/>
          <w:szCs w:val="32"/>
        </w:rPr>
      </w:pPr>
      <w:r>
        <w:rPr>
          <w:rFonts w:hint="eastAsia" w:ascii="宋体" w:hAnsi="宋体" w:cs="仿宋_GB2312"/>
          <w:sz w:val="32"/>
          <w:szCs w:val="32"/>
        </w:rPr>
        <w:t>部门主要负责人审签情况：已审签，同意对外公开</w:t>
      </w:r>
    </w:p>
    <w:p>
      <w:pPr>
        <w:widowControl/>
        <w:jc w:val="center"/>
        <w:rPr>
          <w:rFonts w:ascii="方正小标宋简体" w:hAnsi="宋体" w:eastAsia="方正小标宋简体"/>
          <w:color w:val="000000"/>
          <w:sz w:val="36"/>
          <w:szCs w:val="36"/>
        </w:rPr>
      </w:pPr>
    </w:p>
    <w:p>
      <w:pPr>
        <w:widowControl/>
        <w:jc w:val="center"/>
        <w:rPr>
          <w:rFonts w:ascii="方正小标宋简体" w:hAnsi="宋体" w:eastAsia="方正小标宋简体"/>
          <w:color w:val="000000"/>
          <w:sz w:val="36"/>
          <w:szCs w:val="36"/>
        </w:rPr>
      </w:pPr>
    </w:p>
    <w:p>
      <w:pPr>
        <w:widowControl/>
        <w:jc w:val="center"/>
        <w:rPr>
          <w:rFonts w:ascii="方正小标宋简体" w:hAnsi="宋体" w:eastAsia="方正小标宋简体"/>
          <w:color w:val="000000"/>
          <w:sz w:val="36"/>
          <w:szCs w:val="36"/>
        </w:rPr>
      </w:pPr>
    </w:p>
    <w:p>
      <w:pPr>
        <w:widowControl/>
        <w:jc w:val="center"/>
        <w:rPr>
          <w:rFonts w:ascii="黑体" w:hAnsi="黑体" w:eastAsia="黑体"/>
          <w:color w:val="000000"/>
          <w:sz w:val="48"/>
          <w:szCs w:val="48"/>
        </w:rPr>
      </w:pPr>
      <w:r>
        <w:rPr>
          <w:rFonts w:hint="eastAsia" w:ascii="方正小标宋简体" w:hAnsi="宋体" w:eastAsia="方正小标宋简体"/>
          <w:color w:val="000000"/>
          <w:sz w:val="36"/>
          <w:szCs w:val="36"/>
          <w:lang w:val="en-US" w:eastAsia="zh-CN"/>
        </w:rPr>
        <w:t>公开时间：2023年9月</w:t>
      </w:r>
      <w:r>
        <w:rPr>
          <w:rFonts w:ascii="方正小标宋简体" w:hAnsi="宋体" w:eastAsia="方正小标宋简体"/>
          <w:color w:val="000000"/>
          <w:sz w:val="36"/>
          <w:szCs w:val="36"/>
        </w:rPr>
        <w:br w:type="page"/>
      </w:r>
      <w:r>
        <w:rPr>
          <w:rFonts w:hint="eastAsia" w:ascii="黑体" w:hAnsi="黑体" w:eastAsia="黑体"/>
          <w:color w:val="000000"/>
          <w:sz w:val="48"/>
          <w:szCs w:val="48"/>
        </w:rPr>
        <w:t>目录</w:t>
      </w:r>
      <w:bookmarkStart w:id="12" w:name="_Toc15377196"/>
    </w:p>
    <w:p>
      <w:pPr>
        <w:pStyle w:val="13"/>
        <w:tabs>
          <w:tab w:val="right" w:leader="dot" w:pos="8306"/>
          <w:tab w:val="clear" w:pos="8296"/>
        </w:tabs>
      </w:pPr>
      <w:r>
        <w:rPr>
          <w:smallCaps/>
          <w:sz w:val="20"/>
          <w:szCs w:val="20"/>
        </w:rPr>
        <w:fldChar w:fldCharType="begin"/>
      </w:r>
      <w:r>
        <w:rPr>
          <w:smallCaps/>
          <w:sz w:val="20"/>
          <w:szCs w:val="20"/>
        </w:rPr>
        <w:instrText xml:space="preserve"> TOC \o "1-2" \h \z \u </w:instrText>
      </w:r>
      <w:r>
        <w:rPr>
          <w:smallCaps/>
          <w:sz w:val="20"/>
          <w:szCs w:val="20"/>
        </w:rPr>
        <w:fldChar w:fldCharType="separate"/>
      </w:r>
      <w:r>
        <w:rPr>
          <w:smallCaps/>
          <w:szCs w:val="20"/>
        </w:rPr>
        <w:fldChar w:fldCharType="begin"/>
      </w:r>
      <w:r>
        <w:rPr>
          <w:smallCaps/>
          <w:szCs w:val="20"/>
        </w:rPr>
        <w:instrText xml:space="preserve"> HYPERLINK \l _Toc1816 </w:instrText>
      </w:r>
      <w:r>
        <w:rPr>
          <w:smallCaps/>
          <w:szCs w:val="20"/>
        </w:rPr>
        <w:fldChar w:fldCharType="separate"/>
      </w:r>
      <w:r>
        <w:rPr>
          <w:rFonts w:hint="eastAsia" w:ascii="黑体" w:hAnsi="黑体" w:eastAsia="黑体" w:cs="黑体"/>
        </w:rPr>
        <w:t xml:space="preserve">第一部分 </w:t>
      </w:r>
      <w:r>
        <w:rPr>
          <w:rFonts w:hint="eastAsia" w:ascii="黑体" w:hAnsi="黑体" w:eastAsia="黑体" w:cs="黑体"/>
          <w:bCs w:val="0"/>
        </w:rPr>
        <w:t>部门概况</w:t>
      </w:r>
      <w:r>
        <w:tab/>
      </w:r>
      <w:r>
        <w:fldChar w:fldCharType="begin"/>
      </w:r>
      <w:r>
        <w:instrText xml:space="preserve"> PAGEREF _Toc1816 \h </w:instrText>
      </w:r>
      <w:r>
        <w:fldChar w:fldCharType="separate"/>
      </w:r>
      <w:r>
        <w:t>3</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_Toc24373 </w:instrText>
      </w:r>
      <w:r>
        <w:rPr>
          <w:smallCaps/>
          <w:szCs w:val="20"/>
        </w:rPr>
        <w:fldChar w:fldCharType="separate"/>
      </w:r>
      <w:r>
        <w:rPr>
          <w:rFonts w:hint="eastAsia" w:ascii="黑体" w:eastAsia="黑体" w:cs="Times New Roman"/>
          <w:bCs w:val="0"/>
        </w:rPr>
        <w:t>一、部门职责</w:t>
      </w:r>
      <w:r>
        <w:tab/>
      </w:r>
      <w:r>
        <w:fldChar w:fldCharType="begin"/>
      </w:r>
      <w:r>
        <w:instrText xml:space="preserve"> PAGEREF _Toc24373 \h </w:instrText>
      </w:r>
      <w:r>
        <w:fldChar w:fldCharType="separate"/>
      </w:r>
      <w:r>
        <w:t>3</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_Toc31790 </w:instrText>
      </w:r>
      <w:r>
        <w:rPr>
          <w:smallCaps/>
          <w:szCs w:val="20"/>
        </w:rPr>
        <w:fldChar w:fldCharType="separate"/>
      </w:r>
      <w:r>
        <w:rPr>
          <w:rFonts w:hint="eastAsia" w:ascii="黑体" w:eastAsia="黑体" w:cs="Times New Roman"/>
          <w:bCs w:val="0"/>
        </w:rPr>
        <w:t>二、机构设置</w:t>
      </w:r>
      <w:r>
        <w:tab/>
      </w:r>
      <w:r>
        <w:fldChar w:fldCharType="begin"/>
      </w:r>
      <w:r>
        <w:instrText xml:space="preserve"> PAGEREF _Toc31790 \h </w:instrText>
      </w:r>
      <w:r>
        <w:fldChar w:fldCharType="separate"/>
      </w:r>
      <w:r>
        <w:t>3</w:t>
      </w:r>
      <w:r>
        <w:fldChar w:fldCharType="end"/>
      </w:r>
      <w:r>
        <w:rPr>
          <w:smallCaps/>
          <w:szCs w:val="20"/>
        </w:rPr>
        <w:fldChar w:fldCharType="end"/>
      </w:r>
    </w:p>
    <w:p>
      <w:pPr>
        <w:pStyle w:val="13"/>
        <w:tabs>
          <w:tab w:val="right" w:leader="dot" w:pos="8306"/>
          <w:tab w:val="clear" w:pos="8296"/>
        </w:tabs>
      </w:pPr>
      <w:r>
        <w:rPr>
          <w:smallCaps/>
          <w:szCs w:val="20"/>
        </w:rPr>
        <w:fldChar w:fldCharType="begin"/>
      </w:r>
      <w:r>
        <w:rPr>
          <w:smallCaps/>
          <w:szCs w:val="20"/>
        </w:rPr>
        <w:instrText xml:space="preserve"> HYPERLINK \l _Toc16001 </w:instrText>
      </w:r>
      <w:r>
        <w:rPr>
          <w:smallCaps/>
          <w:szCs w:val="20"/>
        </w:rPr>
        <w:fldChar w:fldCharType="separate"/>
      </w:r>
      <w:r>
        <w:rPr>
          <w:rFonts w:hint="eastAsia" w:ascii="黑体" w:hAnsi="黑体" w:eastAsia="黑体" w:cs="黑体"/>
        </w:rPr>
        <w:t>第二部分</w:t>
      </w:r>
      <w:r>
        <w:rPr>
          <w:rFonts w:ascii="黑体" w:hAnsi="黑体" w:eastAsia="黑体" w:cs="黑体"/>
        </w:rPr>
        <w:t xml:space="preserve"> </w:t>
      </w:r>
      <w:r>
        <w:rPr>
          <w:rFonts w:hint="eastAsia" w:ascii="黑体" w:hAnsi="黑体" w:eastAsia="黑体" w:cs="黑体"/>
        </w:rPr>
        <w:t>2022</w:t>
      </w:r>
      <w:r>
        <w:rPr>
          <w:rFonts w:ascii="黑体" w:hAnsi="黑体" w:eastAsia="黑体" w:cs="黑体"/>
          <w:u w:color="auto"/>
        </w:rPr>
        <w:t>年度部门决算情况说明</w:t>
      </w:r>
      <w:r>
        <w:tab/>
      </w:r>
      <w:r>
        <w:fldChar w:fldCharType="begin"/>
      </w:r>
      <w:r>
        <w:instrText xml:space="preserve"> PAGEREF _Toc16001 \h </w:instrText>
      </w:r>
      <w:r>
        <w:fldChar w:fldCharType="separate"/>
      </w:r>
      <w:r>
        <w:t>4</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_Toc20541 </w:instrText>
      </w:r>
      <w:r>
        <w:rPr>
          <w:smallCaps/>
          <w:szCs w:val="20"/>
        </w:rPr>
        <w:fldChar w:fldCharType="separate"/>
      </w:r>
      <w:r>
        <w:rPr>
          <w:rFonts w:hint="eastAsia" w:ascii="黑体" w:eastAsia="黑体" w:cs="Times New Roman"/>
          <w:bCs w:val="0"/>
        </w:rPr>
        <w:t>一、收入支出决算总体情况说明</w:t>
      </w:r>
      <w:r>
        <w:tab/>
      </w:r>
      <w:r>
        <w:fldChar w:fldCharType="begin"/>
      </w:r>
      <w:r>
        <w:instrText xml:space="preserve"> PAGEREF _Toc20541 \h </w:instrText>
      </w:r>
      <w:r>
        <w:fldChar w:fldCharType="separate"/>
      </w:r>
      <w:r>
        <w:t>4</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_Toc25498 </w:instrText>
      </w:r>
      <w:r>
        <w:rPr>
          <w:smallCaps/>
          <w:szCs w:val="20"/>
        </w:rPr>
        <w:fldChar w:fldCharType="separate"/>
      </w:r>
      <w:r>
        <w:rPr>
          <w:rFonts w:hint="eastAsia" w:ascii="黑体" w:eastAsia="黑体" w:cs="Times New Roman"/>
          <w:bCs w:val="0"/>
        </w:rPr>
        <w:t>二、收入决算情况说明</w:t>
      </w:r>
      <w:r>
        <w:tab/>
      </w:r>
      <w:r>
        <w:fldChar w:fldCharType="begin"/>
      </w:r>
      <w:r>
        <w:instrText xml:space="preserve"> PAGEREF _Toc25498 \h </w:instrText>
      </w:r>
      <w:r>
        <w:fldChar w:fldCharType="separate"/>
      </w:r>
      <w:r>
        <w:t>4</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_Toc6080 </w:instrText>
      </w:r>
      <w:r>
        <w:rPr>
          <w:smallCaps/>
          <w:szCs w:val="20"/>
        </w:rPr>
        <w:fldChar w:fldCharType="separate"/>
      </w:r>
      <w:r>
        <w:rPr>
          <w:rFonts w:hint="eastAsia" w:ascii="黑体" w:eastAsia="黑体" w:cs="Times New Roman"/>
          <w:bCs w:val="0"/>
        </w:rPr>
        <w:t>三、支出决算情况说明</w:t>
      </w:r>
      <w:r>
        <w:tab/>
      </w:r>
      <w:r>
        <w:fldChar w:fldCharType="begin"/>
      </w:r>
      <w:r>
        <w:instrText xml:space="preserve"> PAGEREF _Toc6080 \h </w:instrText>
      </w:r>
      <w:r>
        <w:fldChar w:fldCharType="separate"/>
      </w:r>
      <w:r>
        <w:t>5</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_Toc6346 </w:instrText>
      </w:r>
      <w:r>
        <w:rPr>
          <w:smallCaps/>
          <w:szCs w:val="20"/>
        </w:rPr>
        <w:fldChar w:fldCharType="separate"/>
      </w:r>
      <w:r>
        <w:rPr>
          <w:rFonts w:hint="eastAsia" w:ascii="黑体" w:eastAsia="黑体" w:cs="Times New Roman"/>
          <w:bCs w:val="0"/>
        </w:rPr>
        <w:t>四、财政拨款收入支出决算总体情况说明</w:t>
      </w:r>
      <w:r>
        <w:tab/>
      </w:r>
      <w:r>
        <w:fldChar w:fldCharType="begin"/>
      </w:r>
      <w:r>
        <w:instrText xml:space="preserve"> PAGEREF _Toc6346 \h </w:instrText>
      </w:r>
      <w:r>
        <w:fldChar w:fldCharType="separate"/>
      </w:r>
      <w:r>
        <w:t>6</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_Toc17578 </w:instrText>
      </w:r>
      <w:r>
        <w:rPr>
          <w:smallCaps/>
          <w:szCs w:val="20"/>
        </w:rPr>
        <w:fldChar w:fldCharType="separate"/>
      </w:r>
      <w:r>
        <w:rPr>
          <w:rFonts w:hint="eastAsia" w:ascii="黑体" w:eastAsia="黑体" w:cs="Times New Roman"/>
          <w:bCs w:val="0"/>
        </w:rPr>
        <w:t>五、一般公共预算财政拨款支出决算情况说明</w:t>
      </w:r>
      <w:r>
        <w:tab/>
      </w:r>
      <w:r>
        <w:fldChar w:fldCharType="begin"/>
      </w:r>
      <w:r>
        <w:instrText xml:space="preserve"> PAGEREF _Toc17578 \h </w:instrText>
      </w:r>
      <w:r>
        <w:fldChar w:fldCharType="separate"/>
      </w:r>
      <w:r>
        <w:t>7</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_Toc24000 </w:instrText>
      </w:r>
      <w:r>
        <w:rPr>
          <w:smallCaps/>
          <w:szCs w:val="20"/>
        </w:rPr>
        <w:fldChar w:fldCharType="separate"/>
      </w:r>
      <w:r>
        <w:rPr>
          <w:rFonts w:hint="eastAsia" w:ascii="黑体" w:eastAsia="黑体" w:cs="Times New Roman"/>
          <w:bCs w:val="0"/>
        </w:rPr>
        <w:t>六、一般公共预算财政拨款基本支出决算情况说明</w:t>
      </w:r>
      <w:r>
        <w:tab/>
      </w:r>
      <w:r>
        <w:fldChar w:fldCharType="begin"/>
      </w:r>
      <w:r>
        <w:instrText xml:space="preserve"> PAGEREF _Toc24000 \h </w:instrText>
      </w:r>
      <w:r>
        <w:fldChar w:fldCharType="separate"/>
      </w:r>
      <w:r>
        <w:t>10</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_Toc32593 </w:instrText>
      </w:r>
      <w:r>
        <w:rPr>
          <w:smallCaps/>
          <w:szCs w:val="20"/>
        </w:rPr>
        <w:fldChar w:fldCharType="separate"/>
      </w:r>
      <w:r>
        <w:rPr>
          <w:rFonts w:hint="eastAsia" w:ascii="黑体" w:eastAsia="黑体" w:cs="Times New Roman"/>
          <w:bCs w:val="0"/>
        </w:rPr>
        <w:t>七、“三公”经费财政拨款支出决算情况说明</w:t>
      </w:r>
      <w:r>
        <w:tab/>
      </w:r>
      <w:r>
        <w:fldChar w:fldCharType="begin"/>
      </w:r>
      <w:r>
        <w:instrText xml:space="preserve"> PAGEREF _Toc32593 \h </w:instrText>
      </w:r>
      <w:r>
        <w:fldChar w:fldCharType="separate"/>
      </w:r>
      <w:r>
        <w:t>10</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_Toc19281 </w:instrText>
      </w:r>
      <w:r>
        <w:rPr>
          <w:smallCaps/>
          <w:szCs w:val="20"/>
        </w:rPr>
        <w:fldChar w:fldCharType="separate"/>
      </w:r>
      <w:r>
        <w:rPr>
          <w:rFonts w:hint="eastAsia" w:ascii="黑体" w:eastAsia="黑体" w:cs="Times New Roman"/>
          <w:bCs w:val="0"/>
        </w:rPr>
        <w:t>八、政府性基金预算支出决算情况说明</w:t>
      </w:r>
      <w:r>
        <w:tab/>
      </w:r>
      <w:r>
        <w:fldChar w:fldCharType="begin"/>
      </w:r>
      <w:r>
        <w:instrText xml:space="preserve"> PAGEREF _Toc19281 \h </w:instrText>
      </w:r>
      <w:r>
        <w:fldChar w:fldCharType="separate"/>
      </w:r>
      <w:r>
        <w:t>12</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_Toc12199 </w:instrText>
      </w:r>
      <w:r>
        <w:rPr>
          <w:smallCaps/>
          <w:szCs w:val="20"/>
        </w:rPr>
        <w:fldChar w:fldCharType="separate"/>
      </w:r>
      <w:r>
        <w:rPr>
          <w:rFonts w:hint="eastAsia" w:ascii="黑体" w:eastAsia="黑体" w:cs="Times New Roman"/>
          <w:bCs w:val="0"/>
        </w:rPr>
        <w:t>九、国有资本经营预算支出决算情况说明</w:t>
      </w:r>
      <w:r>
        <w:tab/>
      </w:r>
      <w:r>
        <w:fldChar w:fldCharType="begin"/>
      </w:r>
      <w:r>
        <w:instrText xml:space="preserve"> PAGEREF _Toc12199 \h </w:instrText>
      </w:r>
      <w:r>
        <w:fldChar w:fldCharType="separate"/>
      </w:r>
      <w:r>
        <w:t>12</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_Toc23126 </w:instrText>
      </w:r>
      <w:r>
        <w:rPr>
          <w:smallCaps/>
          <w:szCs w:val="20"/>
        </w:rPr>
        <w:fldChar w:fldCharType="separate"/>
      </w:r>
      <w:r>
        <w:rPr>
          <w:rFonts w:hint="eastAsia" w:ascii="黑体" w:eastAsia="黑体" w:cs="Times New Roman"/>
          <w:bCs w:val="0"/>
        </w:rPr>
        <w:t>十、其他重要事项的情况说明</w:t>
      </w:r>
      <w:r>
        <w:tab/>
      </w:r>
      <w:r>
        <w:fldChar w:fldCharType="begin"/>
      </w:r>
      <w:r>
        <w:instrText xml:space="preserve"> PAGEREF _Toc23126 \h </w:instrText>
      </w:r>
      <w:r>
        <w:fldChar w:fldCharType="separate"/>
      </w:r>
      <w:r>
        <w:t>12</w:t>
      </w:r>
      <w:r>
        <w:fldChar w:fldCharType="end"/>
      </w:r>
      <w:r>
        <w:rPr>
          <w:smallCaps/>
          <w:szCs w:val="20"/>
        </w:rPr>
        <w:fldChar w:fldCharType="end"/>
      </w:r>
    </w:p>
    <w:p>
      <w:pPr>
        <w:pStyle w:val="13"/>
        <w:tabs>
          <w:tab w:val="right" w:leader="dot" w:pos="8306"/>
          <w:tab w:val="clear" w:pos="8296"/>
        </w:tabs>
      </w:pPr>
      <w:r>
        <w:rPr>
          <w:smallCaps/>
          <w:szCs w:val="20"/>
        </w:rPr>
        <w:fldChar w:fldCharType="begin"/>
      </w:r>
      <w:r>
        <w:rPr>
          <w:smallCaps/>
          <w:szCs w:val="20"/>
        </w:rPr>
        <w:instrText xml:space="preserve"> HYPERLINK \l _Toc288 </w:instrText>
      </w:r>
      <w:r>
        <w:rPr>
          <w:smallCaps/>
          <w:szCs w:val="20"/>
        </w:rPr>
        <w:fldChar w:fldCharType="separate"/>
      </w:r>
      <w:r>
        <w:rPr>
          <w:rFonts w:hint="eastAsia" w:ascii="黑体" w:hAnsi="黑体" w:eastAsia="黑体" w:cs="黑体"/>
        </w:rPr>
        <w:t>第三部分 名词解释</w:t>
      </w:r>
      <w:r>
        <w:tab/>
      </w:r>
      <w:r>
        <w:fldChar w:fldCharType="begin"/>
      </w:r>
      <w:r>
        <w:instrText xml:space="preserve"> PAGEREF _Toc288 \h </w:instrText>
      </w:r>
      <w:r>
        <w:fldChar w:fldCharType="separate"/>
      </w:r>
      <w:r>
        <w:t>15</w:t>
      </w:r>
      <w:r>
        <w:fldChar w:fldCharType="end"/>
      </w:r>
      <w:r>
        <w:rPr>
          <w:smallCaps/>
          <w:szCs w:val="20"/>
        </w:rPr>
        <w:fldChar w:fldCharType="end"/>
      </w:r>
    </w:p>
    <w:p>
      <w:pPr>
        <w:pStyle w:val="13"/>
        <w:tabs>
          <w:tab w:val="right" w:leader="dot" w:pos="8306"/>
          <w:tab w:val="clear" w:pos="8296"/>
        </w:tabs>
      </w:pPr>
      <w:r>
        <w:rPr>
          <w:smallCaps/>
          <w:szCs w:val="20"/>
        </w:rPr>
        <w:fldChar w:fldCharType="begin"/>
      </w:r>
      <w:r>
        <w:rPr>
          <w:smallCaps/>
          <w:szCs w:val="20"/>
        </w:rPr>
        <w:instrText xml:space="preserve"> HYPERLINK \l _Toc20076 </w:instrText>
      </w:r>
      <w:r>
        <w:rPr>
          <w:smallCaps/>
          <w:szCs w:val="20"/>
        </w:rPr>
        <w:fldChar w:fldCharType="separate"/>
      </w:r>
      <w:r>
        <w:rPr>
          <w:rFonts w:hint="eastAsia" w:ascii="黑体" w:hAnsi="黑体" w:eastAsia="黑体" w:cs="黑体"/>
        </w:rPr>
        <w:t>第四部分 附件</w:t>
      </w:r>
      <w:r>
        <w:tab/>
      </w:r>
      <w:r>
        <w:fldChar w:fldCharType="begin"/>
      </w:r>
      <w:r>
        <w:instrText xml:space="preserve"> PAGEREF _Toc20076 \h </w:instrText>
      </w:r>
      <w:r>
        <w:fldChar w:fldCharType="separate"/>
      </w:r>
      <w:r>
        <w:t>19</w:t>
      </w:r>
      <w:r>
        <w:fldChar w:fldCharType="end"/>
      </w:r>
      <w:r>
        <w:rPr>
          <w:smallCaps/>
          <w:szCs w:val="20"/>
        </w:rPr>
        <w:fldChar w:fldCharType="end"/>
      </w:r>
    </w:p>
    <w:p>
      <w:pPr>
        <w:pStyle w:val="13"/>
        <w:tabs>
          <w:tab w:val="right" w:leader="dot" w:pos="8306"/>
          <w:tab w:val="clear" w:pos="8296"/>
        </w:tabs>
      </w:pPr>
      <w:r>
        <w:rPr>
          <w:smallCaps/>
          <w:szCs w:val="20"/>
        </w:rPr>
        <w:fldChar w:fldCharType="begin"/>
      </w:r>
      <w:r>
        <w:rPr>
          <w:smallCaps/>
          <w:szCs w:val="20"/>
        </w:rPr>
        <w:instrText xml:space="preserve"> HYPERLINK \l _Toc16128 </w:instrText>
      </w:r>
      <w:r>
        <w:rPr>
          <w:smallCaps/>
          <w:szCs w:val="20"/>
        </w:rPr>
        <w:fldChar w:fldCharType="separate"/>
      </w:r>
      <w:r>
        <w:rPr>
          <w:rFonts w:hint="eastAsia" w:ascii="黑体" w:hAnsi="黑体" w:eastAsia="黑体" w:cs="黑体"/>
        </w:rPr>
        <w:t>第五部分 附表</w:t>
      </w:r>
      <w:r>
        <w:tab/>
      </w:r>
      <w:r>
        <w:fldChar w:fldCharType="begin"/>
      </w:r>
      <w:r>
        <w:instrText xml:space="preserve"> PAGEREF _Toc16128 \h </w:instrText>
      </w:r>
      <w:r>
        <w:fldChar w:fldCharType="separate"/>
      </w:r>
      <w:r>
        <w:t>25</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_Toc19345 </w:instrText>
      </w:r>
      <w:r>
        <w:rPr>
          <w:smallCaps/>
          <w:szCs w:val="20"/>
        </w:rPr>
        <w:fldChar w:fldCharType="separate"/>
      </w:r>
      <w:r>
        <w:rPr>
          <w:rFonts w:hint="eastAsia" w:ascii="黑体" w:eastAsia="黑体" w:cs="Times New Roman"/>
          <w:bCs w:val="0"/>
        </w:rPr>
        <w:t>一、收入支出决算总表</w:t>
      </w:r>
      <w:r>
        <w:tab/>
      </w:r>
      <w:r>
        <w:fldChar w:fldCharType="begin"/>
      </w:r>
      <w:r>
        <w:instrText xml:space="preserve"> PAGEREF _Toc19345 \h </w:instrText>
      </w:r>
      <w:r>
        <w:fldChar w:fldCharType="separate"/>
      </w:r>
      <w:r>
        <w:t>25</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_Toc5091 </w:instrText>
      </w:r>
      <w:r>
        <w:rPr>
          <w:smallCaps/>
          <w:szCs w:val="20"/>
        </w:rPr>
        <w:fldChar w:fldCharType="separate"/>
      </w:r>
      <w:r>
        <w:rPr>
          <w:rFonts w:hint="eastAsia" w:ascii="黑体" w:eastAsia="黑体" w:cs="Times New Roman"/>
          <w:bCs w:val="0"/>
        </w:rPr>
        <w:t>二、收入决算表</w:t>
      </w:r>
      <w:r>
        <w:tab/>
      </w:r>
      <w:r>
        <w:fldChar w:fldCharType="begin"/>
      </w:r>
      <w:r>
        <w:instrText xml:space="preserve"> PAGEREF _Toc5091 \h </w:instrText>
      </w:r>
      <w:r>
        <w:fldChar w:fldCharType="separate"/>
      </w:r>
      <w:r>
        <w:t>25</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_Toc5639 </w:instrText>
      </w:r>
      <w:r>
        <w:rPr>
          <w:smallCaps/>
          <w:szCs w:val="20"/>
        </w:rPr>
        <w:fldChar w:fldCharType="separate"/>
      </w:r>
      <w:r>
        <w:rPr>
          <w:rFonts w:hint="eastAsia" w:ascii="黑体" w:eastAsia="黑体" w:cs="Times New Roman"/>
          <w:bCs w:val="0"/>
        </w:rPr>
        <w:t>三、支出决算表</w:t>
      </w:r>
      <w:r>
        <w:tab/>
      </w:r>
      <w:r>
        <w:fldChar w:fldCharType="begin"/>
      </w:r>
      <w:r>
        <w:instrText xml:space="preserve"> PAGEREF _Toc5639 \h </w:instrText>
      </w:r>
      <w:r>
        <w:fldChar w:fldCharType="separate"/>
      </w:r>
      <w:r>
        <w:t>25</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_Toc20160 </w:instrText>
      </w:r>
      <w:r>
        <w:rPr>
          <w:smallCaps/>
          <w:szCs w:val="20"/>
        </w:rPr>
        <w:fldChar w:fldCharType="separate"/>
      </w:r>
      <w:r>
        <w:rPr>
          <w:rFonts w:hint="eastAsia" w:ascii="黑体" w:eastAsia="黑体" w:cs="Times New Roman"/>
          <w:bCs w:val="0"/>
        </w:rPr>
        <w:t>四、财政拨款收入支出决算总表</w:t>
      </w:r>
      <w:r>
        <w:tab/>
      </w:r>
      <w:r>
        <w:fldChar w:fldCharType="begin"/>
      </w:r>
      <w:r>
        <w:instrText xml:space="preserve"> PAGEREF _Toc20160 \h </w:instrText>
      </w:r>
      <w:r>
        <w:fldChar w:fldCharType="separate"/>
      </w:r>
      <w:r>
        <w:t>25</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_Toc13786 </w:instrText>
      </w:r>
      <w:r>
        <w:rPr>
          <w:smallCaps/>
          <w:szCs w:val="20"/>
        </w:rPr>
        <w:fldChar w:fldCharType="separate"/>
      </w:r>
      <w:r>
        <w:rPr>
          <w:rFonts w:hint="eastAsia" w:ascii="黑体" w:eastAsia="黑体" w:cs="Times New Roman"/>
          <w:bCs w:val="0"/>
        </w:rPr>
        <w:t>五、财政拨款支出决算明细表</w:t>
      </w:r>
      <w:r>
        <w:tab/>
      </w:r>
      <w:r>
        <w:fldChar w:fldCharType="begin"/>
      </w:r>
      <w:r>
        <w:instrText xml:space="preserve"> PAGEREF _Toc13786 \h </w:instrText>
      </w:r>
      <w:r>
        <w:fldChar w:fldCharType="separate"/>
      </w:r>
      <w:r>
        <w:t>25</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_Toc8367 </w:instrText>
      </w:r>
      <w:r>
        <w:rPr>
          <w:smallCaps/>
          <w:szCs w:val="20"/>
        </w:rPr>
        <w:fldChar w:fldCharType="separate"/>
      </w:r>
      <w:r>
        <w:rPr>
          <w:rFonts w:hint="eastAsia" w:ascii="黑体" w:eastAsia="黑体" w:cs="Times New Roman"/>
          <w:bCs w:val="0"/>
        </w:rPr>
        <w:t>六、一般公共预算财政拨款支出决算表</w:t>
      </w:r>
      <w:r>
        <w:tab/>
      </w:r>
      <w:r>
        <w:fldChar w:fldCharType="begin"/>
      </w:r>
      <w:r>
        <w:instrText xml:space="preserve"> PAGEREF _Toc8367 \h </w:instrText>
      </w:r>
      <w:r>
        <w:fldChar w:fldCharType="separate"/>
      </w:r>
      <w:r>
        <w:t>25</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_Toc17399 </w:instrText>
      </w:r>
      <w:r>
        <w:rPr>
          <w:smallCaps/>
          <w:szCs w:val="20"/>
        </w:rPr>
        <w:fldChar w:fldCharType="separate"/>
      </w:r>
      <w:r>
        <w:rPr>
          <w:rFonts w:hint="eastAsia" w:ascii="黑体" w:eastAsia="黑体" w:cs="Times New Roman"/>
          <w:bCs w:val="0"/>
        </w:rPr>
        <w:t>七、一般公共预算财政拨款支出决算明细表</w:t>
      </w:r>
      <w:r>
        <w:tab/>
      </w:r>
      <w:r>
        <w:fldChar w:fldCharType="begin"/>
      </w:r>
      <w:r>
        <w:instrText xml:space="preserve"> PAGEREF _Toc17399 \h </w:instrText>
      </w:r>
      <w:r>
        <w:fldChar w:fldCharType="separate"/>
      </w:r>
      <w:r>
        <w:t>25</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_Toc8764 </w:instrText>
      </w:r>
      <w:r>
        <w:rPr>
          <w:smallCaps/>
          <w:szCs w:val="20"/>
        </w:rPr>
        <w:fldChar w:fldCharType="separate"/>
      </w:r>
      <w:r>
        <w:rPr>
          <w:rFonts w:hint="eastAsia" w:ascii="黑体" w:eastAsia="黑体" w:cs="Times New Roman"/>
          <w:bCs w:val="0"/>
        </w:rPr>
        <w:t>八、一般公共预算财政拨款基本支出决算表</w:t>
      </w:r>
      <w:r>
        <w:tab/>
      </w:r>
      <w:r>
        <w:fldChar w:fldCharType="begin"/>
      </w:r>
      <w:r>
        <w:instrText xml:space="preserve"> PAGEREF _Toc8764 \h </w:instrText>
      </w:r>
      <w:r>
        <w:fldChar w:fldCharType="separate"/>
      </w:r>
      <w:r>
        <w:t>25</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_Toc5316 </w:instrText>
      </w:r>
      <w:r>
        <w:rPr>
          <w:smallCaps/>
          <w:szCs w:val="20"/>
        </w:rPr>
        <w:fldChar w:fldCharType="separate"/>
      </w:r>
      <w:r>
        <w:rPr>
          <w:rFonts w:hint="eastAsia" w:ascii="黑体" w:eastAsia="黑体" w:cs="Times New Roman"/>
          <w:bCs w:val="0"/>
        </w:rPr>
        <w:t>九、一般公共预算财政拨款项目支出决算表</w:t>
      </w:r>
      <w:r>
        <w:tab/>
      </w:r>
      <w:r>
        <w:fldChar w:fldCharType="begin"/>
      </w:r>
      <w:r>
        <w:instrText xml:space="preserve"> PAGEREF _Toc5316 \h </w:instrText>
      </w:r>
      <w:r>
        <w:fldChar w:fldCharType="separate"/>
      </w:r>
      <w:r>
        <w:t>25</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_Toc9239 </w:instrText>
      </w:r>
      <w:r>
        <w:rPr>
          <w:smallCaps/>
          <w:szCs w:val="20"/>
        </w:rPr>
        <w:fldChar w:fldCharType="separate"/>
      </w:r>
      <w:r>
        <w:rPr>
          <w:rFonts w:hint="eastAsia" w:ascii="黑体" w:eastAsia="黑体" w:cs="Times New Roman"/>
          <w:bCs w:val="0"/>
        </w:rPr>
        <w:t>十、政府性基金预算财政拨款收入支出决算表</w:t>
      </w:r>
      <w:r>
        <w:tab/>
      </w:r>
      <w:r>
        <w:fldChar w:fldCharType="begin"/>
      </w:r>
      <w:r>
        <w:instrText xml:space="preserve"> PAGEREF _Toc9239 \h </w:instrText>
      </w:r>
      <w:r>
        <w:fldChar w:fldCharType="separate"/>
      </w:r>
      <w:r>
        <w:t>25</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_Toc21643 </w:instrText>
      </w:r>
      <w:r>
        <w:rPr>
          <w:smallCaps/>
          <w:szCs w:val="20"/>
        </w:rPr>
        <w:fldChar w:fldCharType="separate"/>
      </w:r>
      <w:r>
        <w:rPr>
          <w:rFonts w:hint="eastAsia" w:ascii="黑体" w:eastAsia="黑体" w:cs="Times New Roman"/>
          <w:bCs w:val="0"/>
        </w:rPr>
        <w:t>十一、国有资本经营预算财政拨款收入支出决算表</w:t>
      </w:r>
      <w:r>
        <w:tab/>
      </w:r>
      <w:r>
        <w:fldChar w:fldCharType="begin"/>
      </w:r>
      <w:r>
        <w:instrText xml:space="preserve"> PAGEREF _Toc21643 \h </w:instrText>
      </w:r>
      <w:r>
        <w:fldChar w:fldCharType="separate"/>
      </w:r>
      <w:r>
        <w:t>25</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_Toc11859 </w:instrText>
      </w:r>
      <w:r>
        <w:rPr>
          <w:smallCaps/>
          <w:szCs w:val="20"/>
        </w:rPr>
        <w:fldChar w:fldCharType="separate"/>
      </w:r>
      <w:r>
        <w:rPr>
          <w:rFonts w:hint="eastAsia" w:ascii="黑体" w:eastAsia="黑体" w:cs="Times New Roman"/>
          <w:bCs w:val="0"/>
        </w:rPr>
        <w:t>十二、国有资本经营预算财政拨款支出决算表</w:t>
      </w:r>
      <w:r>
        <w:tab/>
      </w:r>
      <w:r>
        <w:fldChar w:fldCharType="begin"/>
      </w:r>
      <w:r>
        <w:instrText xml:space="preserve"> PAGEREF _Toc11859 \h </w:instrText>
      </w:r>
      <w:r>
        <w:fldChar w:fldCharType="separate"/>
      </w:r>
      <w:r>
        <w:t>25</w:t>
      </w:r>
      <w:r>
        <w:fldChar w:fldCharType="end"/>
      </w:r>
      <w:r>
        <w:rPr>
          <w:smallCaps/>
          <w:szCs w:val="20"/>
        </w:rPr>
        <w:fldChar w:fldCharType="end"/>
      </w:r>
    </w:p>
    <w:p>
      <w:pPr>
        <w:pStyle w:val="15"/>
        <w:tabs>
          <w:tab w:val="right" w:leader="dot" w:pos="8306"/>
          <w:tab w:val="clear" w:pos="8296"/>
        </w:tabs>
      </w:pPr>
      <w:r>
        <w:rPr>
          <w:smallCaps/>
          <w:szCs w:val="20"/>
        </w:rPr>
        <w:fldChar w:fldCharType="begin"/>
      </w:r>
      <w:r>
        <w:rPr>
          <w:smallCaps/>
          <w:szCs w:val="20"/>
        </w:rPr>
        <w:instrText xml:space="preserve"> HYPERLINK \l _Toc3136 </w:instrText>
      </w:r>
      <w:r>
        <w:rPr>
          <w:smallCaps/>
          <w:szCs w:val="20"/>
        </w:rPr>
        <w:fldChar w:fldCharType="separate"/>
      </w:r>
      <w:r>
        <w:rPr>
          <w:rFonts w:hint="eastAsia" w:ascii="黑体" w:eastAsia="黑体" w:cs="Times New Roman"/>
          <w:bCs w:val="0"/>
        </w:rPr>
        <w:t>十三、财政拨款“三公”经费支出决算表</w:t>
      </w:r>
      <w:r>
        <w:tab/>
      </w:r>
      <w:r>
        <w:fldChar w:fldCharType="begin"/>
      </w:r>
      <w:r>
        <w:instrText xml:space="preserve"> PAGEREF _Toc3136 \h </w:instrText>
      </w:r>
      <w:r>
        <w:fldChar w:fldCharType="separate"/>
      </w:r>
      <w:r>
        <w:t>25</w:t>
      </w:r>
      <w:r>
        <w:fldChar w:fldCharType="end"/>
      </w:r>
      <w:r>
        <w:rPr>
          <w:smallCaps/>
          <w:szCs w:val="20"/>
        </w:rPr>
        <w:fldChar w:fldCharType="end"/>
      </w:r>
    </w:p>
    <w:p>
      <w:pPr>
        <w:pStyle w:val="2"/>
      </w:pPr>
      <w:r>
        <w:rPr>
          <w:smallCaps/>
          <w:szCs w:val="20"/>
        </w:rPr>
        <w:fldChar w:fldCharType="end"/>
      </w:r>
    </w:p>
    <w:p>
      <w:pPr>
        <w:pStyle w:val="3"/>
        <w:jc w:val="center"/>
        <w:rPr>
          <w:rFonts w:ascii="黑体" w:hAnsi="黑体" w:eastAsia="黑体" w:cs="黑体"/>
          <w:b w:val="0"/>
          <w:bCs w:val="0"/>
        </w:rPr>
      </w:pPr>
      <w:bookmarkStart w:id="13" w:name="_Toc1816"/>
      <w:bookmarkStart w:id="14" w:name="_Toc111208495"/>
      <w:r>
        <w:rPr>
          <w:rFonts w:hint="eastAsia" w:ascii="黑体" w:hAnsi="黑体" w:eastAsia="黑体" w:cs="黑体"/>
        </w:rPr>
        <w:t xml:space="preserve">第一部分 </w:t>
      </w:r>
      <w:r>
        <w:rPr>
          <w:rStyle w:val="30"/>
          <w:rFonts w:hint="eastAsia" w:ascii="黑体" w:hAnsi="黑体" w:eastAsia="黑体" w:cs="黑体"/>
          <w:b/>
          <w:bCs w:val="0"/>
        </w:rPr>
        <w:t>部门概况</w:t>
      </w:r>
      <w:bookmarkEnd w:id="12"/>
      <w:bookmarkEnd w:id="13"/>
      <w:bookmarkEnd w:id="14"/>
    </w:p>
    <w:p>
      <w:pPr>
        <w:pStyle w:val="4"/>
        <w:ind w:firstLine="643" w:firstLineChars="200"/>
        <w:rPr>
          <w:rFonts w:ascii="黑体" w:eastAsia="黑体" w:cs="Times New Roman"/>
          <w:bCs w:val="0"/>
          <w:color w:val="000000"/>
        </w:rPr>
      </w:pPr>
      <w:bookmarkStart w:id="15" w:name="_Toc111208496"/>
      <w:bookmarkStart w:id="16" w:name="_Toc15377197"/>
      <w:bookmarkStart w:id="17" w:name="_Toc24373"/>
      <w:r>
        <w:rPr>
          <w:rFonts w:hint="eastAsia" w:ascii="黑体" w:eastAsia="黑体" w:cs="Times New Roman"/>
          <w:bCs w:val="0"/>
          <w:color w:val="000000"/>
        </w:rPr>
        <w:t>一、</w:t>
      </w:r>
      <w:bookmarkEnd w:id="15"/>
      <w:bookmarkEnd w:id="16"/>
      <w:bookmarkStart w:id="18" w:name="_Toc15377198"/>
      <w:bookmarkStart w:id="19" w:name="_Toc15378445"/>
      <w:r>
        <w:rPr>
          <w:rFonts w:hint="eastAsia" w:ascii="黑体" w:eastAsia="黑体" w:cs="Times New Roman"/>
          <w:bCs w:val="0"/>
          <w:color w:val="000000"/>
        </w:rPr>
        <w:t>部门职责</w:t>
      </w:r>
      <w:bookmarkEnd w:id="17"/>
    </w:p>
    <w:bookmarkEnd w:id="18"/>
    <w:bookmarkEnd w:id="19"/>
    <w:p>
      <w:pPr>
        <w:rPr>
          <w:rFonts w:ascii="仿宋" w:hAnsi="仿宋" w:eastAsia="仿宋"/>
          <w:color w:val="000000"/>
          <w:sz w:val="32"/>
          <w:szCs w:val="32"/>
        </w:rPr>
      </w:pPr>
      <w:r>
        <w:rPr>
          <w:rFonts w:ascii="仿宋" w:hAnsi="仿宋" w:eastAsia="仿宋"/>
          <w:color w:val="000000"/>
          <w:sz w:val="32"/>
          <w:szCs w:val="32"/>
        </w:rPr>
        <w:cr/>
      </w:r>
      <w:r>
        <w:rPr>
          <w:rFonts w:ascii="仿宋" w:hAnsi="仿宋" w:eastAsia="仿宋"/>
          <w:color w:val="000000"/>
          <w:sz w:val="32"/>
          <w:szCs w:val="32"/>
        </w:rPr>
        <w:t>1、负责本乡镇的卫生工作</w:t>
      </w:r>
      <w:r>
        <w:rPr>
          <w:rFonts w:hint="eastAsia" w:ascii="仿宋" w:hAnsi="仿宋" w:eastAsia="仿宋"/>
          <w:color w:val="000000"/>
          <w:sz w:val="32"/>
          <w:szCs w:val="32"/>
          <w:lang w:eastAsia="zh-CN"/>
        </w:rPr>
        <w:t>法律法规</w:t>
      </w:r>
      <w:r>
        <w:rPr>
          <w:rFonts w:ascii="仿宋" w:hAnsi="仿宋" w:eastAsia="仿宋"/>
          <w:color w:val="000000"/>
          <w:sz w:val="32"/>
          <w:szCs w:val="32"/>
        </w:rPr>
        <w:t>、政策的贯彻，卫生事业发展规划和工作计划的</w:t>
      </w:r>
      <w:r>
        <w:rPr>
          <w:rFonts w:hint="eastAsia" w:ascii="仿宋" w:hAnsi="仿宋" w:eastAsia="仿宋"/>
          <w:color w:val="000000"/>
          <w:sz w:val="32"/>
          <w:szCs w:val="32"/>
          <w:lang w:eastAsia="zh-CN"/>
        </w:rPr>
        <w:t>制定</w:t>
      </w:r>
      <w:r>
        <w:rPr>
          <w:rFonts w:ascii="仿宋" w:hAnsi="仿宋" w:eastAsia="仿宋"/>
          <w:color w:val="000000"/>
          <w:sz w:val="32"/>
          <w:szCs w:val="32"/>
        </w:rPr>
        <w:t>，社会公共卫生工作的组织和实施。</w:t>
      </w:r>
      <w:r>
        <w:rPr>
          <w:rFonts w:ascii="仿宋" w:hAnsi="仿宋" w:eastAsia="仿宋"/>
          <w:color w:val="000000"/>
          <w:sz w:val="32"/>
          <w:szCs w:val="32"/>
        </w:rPr>
        <w:cr/>
      </w:r>
      <w:r>
        <w:rPr>
          <w:rFonts w:ascii="仿宋" w:hAnsi="仿宋" w:eastAsia="仿宋"/>
          <w:color w:val="000000"/>
          <w:sz w:val="32"/>
          <w:szCs w:val="32"/>
        </w:rPr>
        <w:t>2、负责本乡镇的基本医疗服务。</w:t>
      </w:r>
      <w:r>
        <w:rPr>
          <w:rFonts w:ascii="仿宋" w:hAnsi="仿宋" w:eastAsia="仿宋"/>
          <w:color w:val="000000"/>
          <w:sz w:val="32"/>
          <w:szCs w:val="32"/>
        </w:rPr>
        <w:cr/>
      </w:r>
      <w:r>
        <w:rPr>
          <w:rFonts w:ascii="仿宋" w:hAnsi="仿宋" w:eastAsia="仿宋"/>
          <w:color w:val="000000"/>
          <w:sz w:val="32"/>
          <w:szCs w:val="32"/>
        </w:rPr>
        <w:t>3、负责本乡镇突发公共卫生事件的报告，并依据上级部门要求组织实施处置。</w:t>
      </w:r>
      <w:r>
        <w:rPr>
          <w:rFonts w:ascii="仿宋" w:hAnsi="仿宋" w:eastAsia="仿宋"/>
          <w:color w:val="000000"/>
          <w:sz w:val="32"/>
          <w:szCs w:val="32"/>
        </w:rPr>
        <w:cr/>
      </w:r>
      <w:r>
        <w:rPr>
          <w:rFonts w:ascii="仿宋" w:hAnsi="仿宋" w:eastAsia="仿宋"/>
          <w:color w:val="000000"/>
          <w:sz w:val="32"/>
          <w:szCs w:val="32"/>
        </w:rPr>
        <w:t>4、负责本乡镇辖区内的卫生信息统计、分析、上报。</w:t>
      </w:r>
      <w:r>
        <w:rPr>
          <w:rFonts w:ascii="仿宋" w:hAnsi="仿宋" w:eastAsia="仿宋"/>
          <w:color w:val="000000"/>
          <w:sz w:val="32"/>
          <w:szCs w:val="32"/>
        </w:rPr>
        <w:cr/>
      </w:r>
      <w:r>
        <w:rPr>
          <w:rFonts w:ascii="仿宋" w:hAnsi="仿宋" w:eastAsia="仿宋"/>
          <w:color w:val="000000"/>
          <w:sz w:val="32"/>
          <w:szCs w:val="32"/>
        </w:rPr>
        <w:t>5、负责对本乡镇辖区内村级卫生组织和乡村医生的业务指导和培训。</w:t>
      </w:r>
      <w:r>
        <w:rPr>
          <w:rFonts w:ascii="仿宋" w:hAnsi="仿宋" w:eastAsia="仿宋"/>
          <w:color w:val="000000"/>
          <w:sz w:val="32"/>
          <w:szCs w:val="32"/>
        </w:rPr>
        <w:cr/>
      </w:r>
      <w:r>
        <w:rPr>
          <w:rFonts w:ascii="仿宋" w:hAnsi="仿宋" w:eastAsia="仿宋"/>
          <w:color w:val="000000"/>
          <w:sz w:val="32"/>
          <w:szCs w:val="32"/>
        </w:rPr>
        <w:t>6、负责承办政府卫生行政部门委托的相关业务和事项，负责上级卫生行政部门下达的其他工作。</w:t>
      </w:r>
      <w:r>
        <w:rPr>
          <w:rFonts w:ascii="仿宋" w:hAnsi="仿宋" w:eastAsia="仿宋"/>
          <w:color w:val="000000"/>
          <w:sz w:val="32"/>
          <w:szCs w:val="32"/>
        </w:rPr>
        <w:cr/>
      </w:r>
      <w:bookmarkStart w:id="20" w:name="_Toc15377200"/>
    </w:p>
    <w:p>
      <w:pPr>
        <w:pStyle w:val="4"/>
        <w:ind w:firstLine="643" w:firstLineChars="200"/>
        <w:rPr>
          <w:rFonts w:ascii="黑体" w:eastAsia="黑体" w:cs="Times New Roman"/>
          <w:bCs w:val="0"/>
          <w:color w:val="000000"/>
        </w:rPr>
      </w:pPr>
      <w:bookmarkStart w:id="21" w:name="_Toc31790"/>
      <w:bookmarkStart w:id="22" w:name="_Toc111208497"/>
      <w:r>
        <w:rPr>
          <w:rFonts w:hint="eastAsia" w:ascii="黑体" w:eastAsia="黑体" w:cs="Times New Roman"/>
          <w:bCs w:val="0"/>
          <w:color w:val="000000"/>
        </w:rPr>
        <w:t>二、机构设置</w:t>
      </w:r>
      <w:bookmarkEnd w:id="20"/>
      <w:bookmarkEnd w:id="21"/>
      <w:bookmarkEnd w:id="22"/>
    </w:p>
    <w:p>
      <w:pPr>
        <w:rPr>
          <w:rFonts w:ascii="仿宋" w:hAnsi="仿宋" w:eastAsia="仿宋"/>
          <w:color w:val="000000"/>
          <w:sz w:val="32"/>
          <w:szCs w:val="32"/>
        </w:rPr>
      </w:pPr>
      <w:r>
        <w:rPr>
          <w:rFonts w:ascii="仿宋" w:hAnsi="仿宋" w:eastAsia="仿宋"/>
          <w:color w:val="000000"/>
          <w:sz w:val="32"/>
          <w:szCs w:val="32"/>
        </w:rPr>
        <w:cr/>
      </w:r>
      <w:r>
        <w:rPr>
          <w:rFonts w:ascii="仿宋" w:hAnsi="仿宋" w:eastAsia="仿宋"/>
          <w:color w:val="000000"/>
          <w:sz w:val="32"/>
          <w:szCs w:val="32"/>
        </w:rPr>
        <w:t>预防保健科、内科、外科、妇产科、妇女保健科、儿科、中医科</w:t>
      </w:r>
    </w:p>
    <w:p>
      <w:pPr>
        <w:widowControl/>
        <w:jc w:val="left"/>
        <w:rPr>
          <w:rFonts w:ascii="仿宋_GB2312" w:hAnsi="黑体" w:eastAsia="仿宋_GB2312"/>
          <w:b/>
          <w:bCs/>
          <w:color w:val="000000"/>
          <w:kern w:val="44"/>
          <w:sz w:val="44"/>
          <w:szCs w:val="44"/>
        </w:rPr>
      </w:pPr>
      <w:bookmarkStart w:id="23" w:name="_Toc15377204"/>
      <w:r>
        <w:rPr>
          <w:rFonts w:ascii="仿宋_GB2312" w:hAnsi="黑体" w:eastAsia="仿宋_GB2312"/>
          <w:color w:val="000000"/>
        </w:rPr>
        <w:br w:type="page"/>
      </w:r>
    </w:p>
    <w:p>
      <w:pPr>
        <w:pStyle w:val="3"/>
        <w:jc w:val="center"/>
        <w:rPr>
          <w:rFonts w:ascii="黑体" w:hAnsi="黑体" w:eastAsia="黑体" w:cs="黑体"/>
        </w:rPr>
      </w:pPr>
      <w:bookmarkStart w:id="24" w:name="_Toc111208498"/>
      <w:bookmarkStart w:id="25" w:name="_Toc16001"/>
      <w:r>
        <w:rPr>
          <w:rFonts w:hint="eastAsia" w:ascii="黑体" w:hAnsi="黑体" w:eastAsia="黑体" w:cs="黑体"/>
        </w:rPr>
        <w:t>第二部分</w:t>
      </w:r>
      <w:r>
        <w:rPr>
          <w:rFonts w:ascii="黑体" w:hAnsi="黑体" w:eastAsia="黑体" w:cs="黑体"/>
        </w:rPr>
        <w:t xml:space="preserve"> </w:t>
      </w:r>
      <w:r>
        <w:rPr>
          <w:rFonts w:hint="eastAsia" w:ascii="黑体" w:hAnsi="黑体" w:eastAsia="黑体" w:cs="黑体"/>
        </w:rPr>
        <w:t>2022</w:t>
      </w:r>
      <w:r>
        <w:rPr>
          <w:rFonts w:ascii="黑体" w:hAnsi="黑体" w:eastAsia="黑体" w:cs="黑体"/>
          <w:u w:color="auto"/>
        </w:rPr>
        <w:t>年度部门决算情况说明</w:t>
      </w:r>
      <w:bookmarkEnd w:id="23"/>
      <w:bookmarkEnd w:id="24"/>
      <w:bookmarkEnd w:id="25"/>
    </w:p>
    <w:p>
      <w:pPr>
        <w:pStyle w:val="4"/>
        <w:ind w:firstLine="643" w:firstLineChars="200"/>
        <w:rPr>
          <w:rFonts w:ascii="黑体" w:eastAsia="黑体" w:cs="Times New Roman"/>
          <w:bCs w:val="0"/>
          <w:color w:val="000000"/>
        </w:rPr>
      </w:pPr>
      <w:bookmarkStart w:id="26" w:name="_Toc15377205"/>
      <w:bookmarkStart w:id="27" w:name="_Toc111208499"/>
      <w:bookmarkStart w:id="28" w:name="_Toc20541"/>
      <w:r>
        <w:rPr>
          <w:rFonts w:hint="eastAsia" w:ascii="黑体" w:eastAsia="黑体" w:cs="Times New Roman"/>
          <w:bCs w:val="0"/>
          <w:color w:val="000000"/>
        </w:rPr>
        <w:t>一、收入支出决算总体情况说</w:t>
      </w:r>
      <w:bookmarkEnd w:id="26"/>
      <w:r>
        <w:rPr>
          <w:rFonts w:hint="eastAsia" w:ascii="黑体" w:eastAsia="黑体" w:cs="Times New Roman"/>
          <w:bCs w:val="0"/>
          <w:color w:val="000000"/>
        </w:rPr>
        <w:t>明</w:t>
      </w:r>
      <w:bookmarkEnd w:id="27"/>
      <w:bookmarkEnd w:id="28"/>
    </w:p>
    <w:p>
      <w:pPr>
        <w:spacing w:line="600" w:lineRule="exact"/>
        <w:ind w:firstLine="640" w:firstLineChars="200"/>
        <w:rPr>
          <w:rFonts w:ascii="仿宋_GB2312" w:hAnsi="仿宋" w:eastAsia="仿宋_GB2312"/>
          <w:color w:val="00B0F0"/>
          <w:sz w:val="32"/>
          <w:szCs w:val="32"/>
        </w:rPr>
      </w:pPr>
      <w:r>
        <w:rPr>
          <w:rFonts w:ascii="仿宋" w:hAnsi="仿宋" w:eastAsia="仿宋"/>
          <w:color w:val="000000"/>
          <w:sz w:val="32"/>
          <w:szCs w:val="32"/>
        </w:rPr>
        <w:t>2022</w:t>
      </w:r>
      <w:r>
        <w:rPr>
          <w:rFonts w:hint="eastAsia" w:ascii="仿宋" w:hAnsi="仿宋" w:eastAsia="仿宋"/>
          <w:color w:val="000000"/>
          <w:sz w:val="32"/>
          <w:szCs w:val="32"/>
        </w:rPr>
        <w:t>年度收、支总计</w:t>
      </w:r>
      <w:r>
        <w:rPr>
          <w:rFonts w:ascii="仿宋" w:hAnsi="仿宋" w:eastAsia="仿宋"/>
          <w:color w:val="000000"/>
          <w:sz w:val="32"/>
          <w:szCs w:val="32"/>
        </w:rPr>
        <w:t>151.74</w:t>
      </w:r>
      <w:r>
        <w:rPr>
          <w:rFonts w:hint="eastAsia" w:ascii="仿宋" w:hAnsi="仿宋" w:eastAsia="仿宋"/>
          <w:color w:val="000000"/>
          <w:sz w:val="32"/>
          <w:szCs w:val="32"/>
        </w:rPr>
        <w:t>万元。与</w:t>
      </w:r>
      <w:r>
        <w:rPr>
          <w:rFonts w:ascii="仿宋" w:hAnsi="仿宋" w:eastAsia="仿宋"/>
          <w:color w:val="000000"/>
          <w:sz w:val="32"/>
          <w:szCs w:val="32"/>
        </w:rPr>
        <w:t>2021</w:t>
      </w:r>
      <w:r>
        <w:rPr>
          <w:rFonts w:hint="eastAsia" w:ascii="仿宋" w:hAnsi="仿宋" w:eastAsia="仿宋"/>
          <w:color w:val="000000"/>
          <w:sz w:val="32"/>
          <w:szCs w:val="32"/>
        </w:rPr>
        <w:t>年相比，收、支总计各</w:t>
      </w:r>
      <w:r>
        <w:rPr>
          <w:rFonts w:ascii="仿宋" w:hAnsi="仿宋" w:eastAsia="仿宋"/>
          <w:color w:val="000000"/>
          <w:sz w:val="32"/>
          <w:szCs w:val="32"/>
        </w:rPr>
        <w:t>增加151.74</w:t>
      </w:r>
      <w:r>
        <w:rPr>
          <w:rFonts w:hint="eastAsia" w:ascii="仿宋" w:hAnsi="仿宋" w:eastAsia="仿宋"/>
          <w:color w:val="000000"/>
          <w:sz w:val="32"/>
          <w:szCs w:val="32"/>
        </w:rPr>
        <w:t>万元，</w:t>
      </w:r>
      <w:r>
        <w:rPr>
          <w:rFonts w:ascii="仿宋" w:hAnsi="仿宋" w:eastAsia="仿宋"/>
          <w:color w:val="000000"/>
          <w:sz w:val="32"/>
          <w:szCs w:val="32"/>
        </w:rPr>
        <w:t>增加100.00</w:t>
      </w:r>
      <w:r>
        <w:rPr>
          <w:rFonts w:hint="eastAsia" w:ascii="仿宋" w:hAnsi="仿宋" w:eastAsia="仿宋"/>
          <w:color w:val="000000"/>
          <w:sz w:val="32"/>
          <w:szCs w:val="32"/>
        </w:rPr>
        <w:t xml:space="preserve"> %。</w:t>
      </w:r>
      <w:r>
        <w:rPr>
          <w:rFonts w:ascii="仿宋" w:hAnsi="仿宋" w:eastAsia="仿宋"/>
          <w:color w:val="000000"/>
          <w:sz w:val="32"/>
          <w:u w:color="auto"/>
        </w:rPr>
        <w:t>主要变动原因是上年汇总到一个卫生院录入</w:t>
      </w:r>
    </w:p>
    <w:p>
      <w:pPr>
        <w:spacing w:line="600" w:lineRule="exact"/>
        <w:ind w:firstLine="640" w:firstLineChars="200"/>
        <w:jc w:val="right"/>
        <w:rPr>
          <w:rFonts w:ascii="仿宋_GB2312" w:hAnsi="仿宋" w:eastAsia="仿宋_GB2312"/>
          <w:color w:val="000000" w:themeColor="text1"/>
          <w:sz w:val="28"/>
          <w:szCs w:val="28"/>
          <w14:textFill>
            <w14:solidFill>
              <w14:schemeClr w14:val="tx1"/>
            </w14:solidFill>
          </w14:textFill>
        </w:rPr>
      </w:pPr>
      <w:r>
        <w:rPr>
          <w:rFonts w:hint="eastAsia" w:ascii="仿宋" w:hAnsi="仿宋" w:eastAsia="仿宋"/>
          <w:color w:val="000000"/>
          <w:sz w:val="32"/>
          <w:szCs w:val="32"/>
        </w:rPr>
        <w:t>（图1：收、支决算总计变动情况图）</w:t>
      </w:r>
    </w:p>
    <w:p>
      <w:pPr>
        <w:spacing w:line="600" w:lineRule="exact"/>
        <w:ind w:firstLine="560" w:firstLineChars="200"/>
        <w:jc w:val="center"/>
        <w:rPr>
          <w:rFonts w:ascii="仿宋_GB2312" w:eastAsia="仿宋_GB2312"/>
          <w:color w:val="000000"/>
          <w:sz w:val="28"/>
          <w:szCs w:val="28"/>
        </w:rPr>
      </w:pPr>
    </w:p>
    <w:p>
      <w:pPr>
        <w:pStyle w:val="2"/>
      </w:pPr>
      <w:r>
        <w:drawing>
          <wp:inline distT="0" distB="0" distL="114300" distR="114300">
            <wp:extent cx="5343525" cy="2933700"/>
            <wp:effectExtent l="0" t="0" r="9525" b="0"/>
            <wp:docPr id="10"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4"/>
        <w:ind w:firstLine="643" w:firstLineChars="200"/>
        <w:rPr>
          <w:rFonts w:ascii="黑体" w:eastAsia="黑体" w:cs="Times New Roman"/>
          <w:bCs w:val="0"/>
          <w:color w:val="000000"/>
        </w:rPr>
      </w:pPr>
      <w:bookmarkStart w:id="29" w:name="_Toc25498"/>
      <w:bookmarkStart w:id="30" w:name="_Toc15377206"/>
      <w:bookmarkStart w:id="31" w:name="_Toc111208500"/>
      <w:r>
        <w:rPr>
          <w:rFonts w:hint="eastAsia" w:ascii="黑体" w:eastAsia="黑体" w:cs="Times New Roman"/>
          <w:bCs w:val="0"/>
          <w:color w:val="000000"/>
        </w:rPr>
        <w:t>二、收入决算情况说明</w:t>
      </w:r>
      <w:bookmarkEnd w:id="29"/>
      <w:bookmarkEnd w:id="30"/>
      <w:bookmarkEnd w:id="31"/>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2022</w:t>
      </w:r>
      <w:r>
        <w:rPr>
          <w:rFonts w:ascii="仿宋" w:hAnsi="仿宋" w:eastAsia="仿宋"/>
          <w:color w:val="000000"/>
          <w:sz w:val="32"/>
          <w:u w:color="auto"/>
        </w:rPr>
        <w:t>年本年收入合计151.74万元，其中：一般公共预算财政拨款收入151.74万元，占100.00%；政府性基金预算财政拨款收入0.00万元，占0.00%；国有资本经营预算财政拨款收入0.00万元，占0.00%；上级补助收入0.00万元，占0.00%；事业收入0.00万元，占%；经营收入0.00万元，占0.00%；附属单位上缴收入0.00万元，占0.00%；其他收入0.00万元，占0.00%。</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（图2：收入决算结构图）</w:t>
      </w:r>
    </w:p>
    <w:p>
      <w:pPr>
        <w:pStyle w:val="14"/>
        <w:ind w:left="1060" w:hanging="640"/>
        <w:jc w:val="center"/>
      </w:pPr>
      <w:r>
        <w:rPr>
          <w:rFonts w:hint="eastAsia" w:ascii="仿宋_GB2312" w:eastAsia="仿宋_GB2312"/>
          <w:color w:val="FF0000"/>
          <w:sz w:val="32"/>
          <w:szCs w:val="32"/>
        </w:rPr>
        <w:drawing>
          <wp:inline distT="0" distB="0" distL="114300" distR="114300">
            <wp:extent cx="5332730" cy="3400425"/>
            <wp:effectExtent l="0" t="0" r="1270" b="952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4"/>
        <w:ind w:firstLine="643" w:firstLineChars="200"/>
        <w:rPr>
          <w:rFonts w:ascii="黑体" w:eastAsia="黑体" w:cs="Times New Roman"/>
          <w:bCs w:val="0"/>
          <w:color w:val="000000"/>
        </w:rPr>
      </w:pPr>
      <w:bookmarkStart w:id="32" w:name="_Toc15377207"/>
      <w:bookmarkStart w:id="33" w:name="_Toc6080"/>
      <w:bookmarkStart w:id="34" w:name="_Toc111208501"/>
      <w:r>
        <w:rPr>
          <w:rFonts w:hint="eastAsia" w:ascii="黑体" w:eastAsia="黑体" w:cs="Times New Roman"/>
          <w:bCs w:val="0"/>
          <w:color w:val="000000"/>
        </w:rPr>
        <w:t>三、支出决算情况说明</w:t>
      </w:r>
      <w:bookmarkEnd w:id="32"/>
      <w:bookmarkEnd w:id="33"/>
      <w:bookmarkEnd w:id="34"/>
    </w:p>
    <w:p>
      <w:pPr>
        <w:pStyle w:val="2"/>
        <w:rPr>
          <w:rFonts w:ascii="仿宋" w:hAnsi="仿宋" w:eastAsia="仿宋"/>
          <w:color w:val="000000"/>
          <w:sz w:val="32"/>
          <w:szCs w:val="32"/>
        </w:rPr>
      </w:pPr>
      <w:r>
        <w:rPr>
          <w:rFonts w:hint="eastAsia" w:ascii="仿宋" w:hAnsi="仿宋" w:eastAsia="仿宋"/>
          <w:color w:val="000000"/>
          <w:sz w:val="32"/>
          <w:szCs w:val="32"/>
        </w:rPr>
        <w:t>2022</w:t>
      </w:r>
      <w:r>
        <w:rPr>
          <w:rFonts w:ascii="仿宋" w:hAnsi="仿宋" w:eastAsia="仿宋"/>
          <w:color w:val="000000"/>
          <w:sz w:val="32"/>
          <w:szCs w:val="32"/>
        </w:rPr>
        <w:t>年本年支出合计</w:t>
      </w:r>
      <w:r>
        <w:rPr>
          <w:rFonts w:hint="eastAsia" w:ascii="仿宋" w:hAnsi="仿宋" w:eastAsia="仿宋"/>
          <w:color w:val="000000"/>
          <w:sz w:val="32"/>
          <w:szCs w:val="32"/>
        </w:rPr>
        <w:t>151.74</w:t>
      </w:r>
      <w:r>
        <w:rPr>
          <w:rFonts w:ascii="仿宋" w:hAnsi="仿宋" w:eastAsia="仿宋"/>
          <w:color w:val="000000"/>
          <w:sz w:val="32"/>
          <w:szCs w:val="32"/>
        </w:rPr>
        <w:t>万元，其中：基本支出</w:t>
      </w:r>
      <w:r>
        <w:rPr>
          <w:rFonts w:hint="eastAsia" w:ascii="仿宋" w:hAnsi="仿宋" w:eastAsia="仿宋"/>
          <w:color w:val="000000"/>
          <w:sz w:val="32"/>
          <w:szCs w:val="32"/>
        </w:rPr>
        <w:t>129.83</w:t>
      </w:r>
      <w:r>
        <w:rPr>
          <w:rFonts w:ascii="仿宋" w:hAnsi="仿宋" w:eastAsia="仿宋"/>
          <w:color w:val="000000"/>
          <w:sz w:val="32"/>
          <w:szCs w:val="32"/>
        </w:rPr>
        <w:t>万元，占</w:t>
      </w:r>
      <w:r>
        <w:rPr>
          <w:rFonts w:hint="eastAsia" w:ascii="仿宋" w:hAnsi="仿宋" w:eastAsia="仿宋"/>
          <w:color w:val="000000"/>
          <w:sz w:val="32"/>
          <w:szCs w:val="32"/>
        </w:rPr>
        <w:t>85.56</w:t>
      </w:r>
      <w:r>
        <w:rPr>
          <w:rFonts w:ascii="仿宋" w:hAnsi="仿宋" w:eastAsia="仿宋"/>
          <w:color w:val="000000"/>
          <w:sz w:val="32"/>
          <w:szCs w:val="32"/>
        </w:rPr>
        <w:t>%；项目支出</w:t>
      </w:r>
      <w:r>
        <w:rPr>
          <w:rFonts w:hint="eastAsia" w:ascii="仿宋" w:hAnsi="仿宋" w:eastAsia="仿宋"/>
          <w:color w:val="000000"/>
          <w:sz w:val="32"/>
          <w:szCs w:val="32"/>
        </w:rPr>
        <w:t>21.91</w:t>
      </w:r>
      <w:r>
        <w:rPr>
          <w:rFonts w:ascii="仿宋" w:hAnsi="仿宋" w:eastAsia="仿宋"/>
          <w:color w:val="000000"/>
          <w:sz w:val="32"/>
          <w:szCs w:val="32"/>
        </w:rPr>
        <w:t>万元，占</w:t>
      </w:r>
      <w:r>
        <w:rPr>
          <w:rFonts w:hint="eastAsia" w:ascii="仿宋" w:hAnsi="仿宋" w:eastAsia="仿宋"/>
          <w:color w:val="000000"/>
          <w:sz w:val="32"/>
          <w:szCs w:val="32"/>
        </w:rPr>
        <w:t>14.44</w:t>
      </w:r>
      <w:r>
        <w:rPr>
          <w:rFonts w:ascii="仿宋" w:hAnsi="仿宋" w:eastAsia="仿宋"/>
          <w:color w:val="000000"/>
          <w:sz w:val="32"/>
          <w:szCs w:val="32"/>
        </w:rPr>
        <w:t>%；上缴上级支出</w:t>
      </w:r>
      <w:r>
        <w:rPr>
          <w:rFonts w:hint="eastAsia" w:ascii="仿宋" w:hAnsi="仿宋" w:eastAsia="仿宋"/>
          <w:color w:val="000000"/>
          <w:sz w:val="32"/>
          <w:szCs w:val="32"/>
        </w:rPr>
        <w:t>0.00</w:t>
      </w:r>
      <w:r>
        <w:rPr>
          <w:rFonts w:ascii="仿宋" w:hAnsi="仿宋" w:eastAsia="仿宋"/>
          <w:color w:val="000000"/>
          <w:sz w:val="32"/>
          <w:szCs w:val="32"/>
        </w:rPr>
        <w:t>万元，占</w:t>
      </w:r>
      <w:r>
        <w:rPr>
          <w:rFonts w:hint="eastAsia" w:ascii="仿宋" w:hAnsi="仿宋" w:eastAsia="仿宋"/>
          <w:color w:val="000000"/>
          <w:sz w:val="32"/>
          <w:szCs w:val="32"/>
        </w:rPr>
        <w:t>0.00</w:t>
      </w:r>
      <w:r>
        <w:rPr>
          <w:rFonts w:ascii="仿宋" w:hAnsi="仿宋" w:eastAsia="仿宋"/>
          <w:color w:val="000000"/>
          <w:sz w:val="32"/>
          <w:szCs w:val="32"/>
        </w:rPr>
        <w:t>%；经营支出</w:t>
      </w:r>
      <w:r>
        <w:rPr>
          <w:rFonts w:hint="eastAsia" w:ascii="仿宋" w:hAnsi="仿宋" w:eastAsia="仿宋"/>
          <w:color w:val="000000"/>
          <w:sz w:val="32"/>
          <w:szCs w:val="32"/>
        </w:rPr>
        <w:t>0.00</w:t>
      </w:r>
      <w:r>
        <w:rPr>
          <w:rFonts w:ascii="仿宋" w:hAnsi="仿宋" w:eastAsia="仿宋"/>
          <w:color w:val="000000"/>
          <w:sz w:val="32"/>
          <w:szCs w:val="32"/>
        </w:rPr>
        <w:t>万元，占</w:t>
      </w:r>
      <w:r>
        <w:rPr>
          <w:rFonts w:hint="eastAsia" w:ascii="仿宋" w:hAnsi="仿宋" w:eastAsia="仿宋"/>
          <w:color w:val="000000"/>
          <w:sz w:val="32"/>
          <w:szCs w:val="32"/>
        </w:rPr>
        <w:t>0.00</w:t>
      </w:r>
      <w:r>
        <w:rPr>
          <w:rFonts w:ascii="仿宋" w:hAnsi="仿宋" w:eastAsia="仿宋"/>
          <w:color w:val="000000"/>
          <w:sz w:val="32"/>
          <w:szCs w:val="32"/>
        </w:rPr>
        <w:t>%；对附属单位补助支出</w:t>
      </w:r>
      <w:r>
        <w:rPr>
          <w:rFonts w:hint="eastAsia" w:ascii="仿宋" w:hAnsi="仿宋" w:eastAsia="仿宋"/>
          <w:color w:val="000000"/>
          <w:sz w:val="32"/>
          <w:szCs w:val="32"/>
        </w:rPr>
        <w:t>0.00</w:t>
      </w:r>
      <w:r>
        <w:rPr>
          <w:rFonts w:ascii="仿宋" w:hAnsi="仿宋" w:eastAsia="仿宋"/>
          <w:color w:val="000000"/>
          <w:sz w:val="32"/>
          <w:szCs w:val="32"/>
        </w:rPr>
        <w:t>万元，占</w:t>
      </w:r>
      <w:r>
        <w:rPr>
          <w:rFonts w:hint="eastAsia" w:ascii="仿宋" w:hAnsi="仿宋" w:eastAsia="仿宋"/>
          <w:color w:val="000000"/>
          <w:sz w:val="32"/>
          <w:szCs w:val="32"/>
        </w:rPr>
        <w:t>0.00</w:t>
      </w:r>
      <w:r>
        <w:rPr>
          <w:rFonts w:ascii="仿宋" w:hAnsi="仿宋" w:eastAsia="仿宋"/>
          <w:color w:val="000000"/>
          <w:sz w:val="32"/>
          <w:szCs w:val="32"/>
        </w:rPr>
        <w:t>%。</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（图3：支出决算结构图）</w:t>
      </w:r>
    </w:p>
    <w:p>
      <w:pPr>
        <w:jc w:val="center"/>
        <w:rPr>
          <w:rFonts w:ascii="仿宋_GB2312" w:eastAsia="仿宋_GB2312"/>
          <w:color w:val="FF0000"/>
          <w:sz w:val="32"/>
          <w:szCs w:val="32"/>
        </w:rPr>
      </w:pPr>
      <w:r>
        <w:rPr>
          <w:rFonts w:hint="eastAsia" w:ascii="仿宋_GB2312" w:eastAsia="仿宋_GB2312"/>
          <w:color w:val="FF0000"/>
          <w:sz w:val="32"/>
          <w:szCs w:val="32"/>
        </w:rPr>
        <w:drawing>
          <wp:inline distT="0" distB="0" distL="114300" distR="114300">
            <wp:extent cx="5304155" cy="3429000"/>
            <wp:effectExtent l="0" t="0" r="10795" b="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pStyle w:val="2"/>
      </w:pPr>
    </w:p>
    <w:p>
      <w:pPr>
        <w:pStyle w:val="4"/>
        <w:ind w:firstLine="643" w:firstLineChars="200"/>
        <w:rPr>
          <w:rFonts w:ascii="黑体" w:eastAsia="黑体" w:cs="Times New Roman"/>
          <w:bCs w:val="0"/>
          <w:color w:val="000000"/>
        </w:rPr>
      </w:pPr>
      <w:bookmarkStart w:id="35" w:name="_Toc111208502"/>
      <w:bookmarkStart w:id="36" w:name="_Toc15377208"/>
      <w:bookmarkStart w:id="37" w:name="_Toc6346"/>
      <w:r>
        <w:rPr>
          <w:rFonts w:hint="eastAsia" w:ascii="黑体" w:eastAsia="黑体" w:cs="Times New Roman"/>
          <w:bCs w:val="0"/>
          <w:color w:val="000000"/>
        </w:rPr>
        <w:t>四、财政拨款收入支出决算总体情况说明</w:t>
      </w:r>
      <w:bookmarkEnd w:id="35"/>
      <w:bookmarkEnd w:id="36"/>
      <w:bookmarkEnd w:id="37"/>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2022</w:t>
      </w:r>
      <w:r>
        <w:rPr>
          <w:rFonts w:ascii="仿宋" w:hAnsi="仿宋" w:eastAsia="仿宋"/>
          <w:color w:val="000000"/>
          <w:sz w:val="32"/>
          <w:u w:color="auto"/>
        </w:rPr>
        <w:t>年财政拨款收、支总计151.74万元。与2021年相比，财政拨款收、支总计各增加151.74万元，增加100.00 %。主要变动原因是上年汇总到一个卫生院录入</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（图4：财政拨款收、支决算总计变动情况）</w:t>
      </w:r>
    </w:p>
    <w:p>
      <w:pPr>
        <w:pStyle w:val="2"/>
        <w:ind w:firstLine="0"/>
      </w:pPr>
    </w:p>
    <w:p>
      <w:pPr>
        <w:pStyle w:val="2"/>
        <w:jc w:val="left"/>
      </w:pPr>
      <w:r>
        <w:rPr>
          <w:rFonts w:hint="eastAsia" w:ascii="仿宋_GB2312" w:hAnsi="仿宋" w:eastAsia="仿宋_GB2312"/>
          <w:color w:val="000000"/>
          <w:sz w:val="32"/>
          <w:szCs w:val="32"/>
        </w:rPr>
        <w:drawing>
          <wp:inline distT="0" distB="0" distL="0" distR="0">
            <wp:extent cx="4981575" cy="3171825"/>
            <wp:effectExtent l="0" t="0" r="9525" b="9525"/>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pStyle w:val="2"/>
        <w:jc w:val="center"/>
      </w:pPr>
    </w:p>
    <w:p>
      <w:pPr>
        <w:pStyle w:val="4"/>
        <w:ind w:firstLine="643" w:firstLineChars="200"/>
        <w:rPr>
          <w:rFonts w:ascii="黑体" w:eastAsia="黑体" w:cs="Times New Roman"/>
          <w:bCs w:val="0"/>
          <w:color w:val="000000"/>
        </w:rPr>
      </w:pPr>
      <w:bookmarkStart w:id="38" w:name="_Toc15377209"/>
      <w:bookmarkStart w:id="39" w:name="_Toc17578"/>
      <w:bookmarkStart w:id="40" w:name="_Toc111208503"/>
      <w:r>
        <w:rPr>
          <w:rFonts w:hint="eastAsia" w:ascii="黑体" w:eastAsia="黑体" w:cs="Times New Roman"/>
          <w:bCs w:val="0"/>
          <w:color w:val="000000"/>
        </w:rPr>
        <w:t>五、一般公共预算财政拨款支出决算情况说</w:t>
      </w:r>
      <w:bookmarkEnd w:id="38"/>
      <w:r>
        <w:rPr>
          <w:rFonts w:hint="eastAsia" w:ascii="黑体" w:eastAsia="黑体" w:cs="Times New Roman"/>
          <w:bCs w:val="0"/>
          <w:color w:val="000000"/>
        </w:rPr>
        <w:t>明</w:t>
      </w:r>
      <w:bookmarkEnd w:id="39"/>
      <w:bookmarkEnd w:id="40"/>
    </w:p>
    <w:p>
      <w:pPr>
        <w:spacing w:line="600" w:lineRule="exact"/>
        <w:ind w:firstLine="643" w:firstLineChars="200"/>
        <w:outlineLvl w:val="2"/>
        <w:rPr>
          <w:rFonts w:ascii="仿宋" w:hAnsi="仿宋" w:eastAsia="仿宋"/>
          <w:b/>
          <w:color w:val="000000"/>
          <w:sz w:val="32"/>
          <w:szCs w:val="32"/>
        </w:rPr>
      </w:pPr>
      <w:bookmarkStart w:id="41" w:name="_Toc15377210"/>
      <w:r>
        <w:rPr>
          <w:rFonts w:hint="eastAsia" w:ascii="仿宋" w:hAnsi="仿宋" w:eastAsia="仿宋"/>
          <w:b/>
          <w:color w:val="000000"/>
          <w:sz w:val="32"/>
          <w:szCs w:val="32"/>
        </w:rPr>
        <w:t>（一）一般公共预算财政拨款支出决算总体情况</w:t>
      </w:r>
      <w:bookmarkEnd w:id="41"/>
    </w:p>
    <w:p>
      <w:pPr>
        <w:spacing w:line="600" w:lineRule="exact"/>
        <w:ind w:firstLine="640" w:firstLineChars="200"/>
        <w:rPr>
          <w:rFonts w:ascii="仿宋_GB2312" w:hAnsi="仿宋" w:eastAsia="仿宋_GB2312"/>
          <w:color w:val="000000"/>
          <w:sz w:val="32"/>
          <w:szCs w:val="32"/>
        </w:rPr>
      </w:pPr>
      <w:bookmarkStart w:id="42" w:name="_Toc15377211"/>
      <w:r>
        <w:rPr>
          <w:rFonts w:hint="eastAsia" w:ascii="仿宋" w:hAnsi="仿宋" w:eastAsia="仿宋"/>
          <w:color w:val="000000"/>
          <w:sz w:val="32"/>
          <w:szCs w:val="32"/>
        </w:rPr>
        <w:t>2022</w:t>
      </w:r>
      <w:r>
        <w:rPr>
          <w:rFonts w:ascii="仿宋" w:hAnsi="仿宋" w:eastAsia="仿宋"/>
          <w:color w:val="000000"/>
          <w:sz w:val="32"/>
          <w:u w:color="auto"/>
        </w:rPr>
        <w:t>年一般公共预算财政拨款支出151.74</w:t>
      </w:r>
      <w:r>
        <w:rPr>
          <w:rFonts w:hint="eastAsia" w:ascii="仿宋" w:hAnsi="仿宋" w:eastAsia="仿宋"/>
          <w:color w:val="000000"/>
          <w:sz w:val="32"/>
          <w:szCs w:val="32"/>
        </w:rPr>
        <w:t>万元，占本年支出合计的</w:t>
      </w:r>
      <w:r>
        <w:rPr>
          <w:rFonts w:ascii="仿宋" w:hAnsi="仿宋" w:eastAsia="仿宋"/>
          <w:color w:val="000000"/>
          <w:sz w:val="32"/>
          <w:u w:color="auto"/>
        </w:rPr>
        <w:t>100.00</w:t>
      </w:r>
      <w:r>
        <w:rPr>
          <w:rFonts w:hint="eastAsia" w:ascii="仿宋" w:hAnsi="仿宋" w:eastAsia="仿宋"/>
          <w:color w:val="000000"/>
          <w:sz w:val="32"/>
          <w:szCs w:val="32"/>
        </w:rPr>
        <w:t>%。与</w:t>
      </w:r>
      <w:r>
        <w:rPr>
          <w:rFonts w:ascii="仿宋" w:hAnsi="仿宋" w:eastAsia="仿宋"/>
          <w:color w:val="000000"/>
          <w:sz w:val="32"/>
          <w:u w:color="auto"/>
        </w:rPr>
        <w:t>2021相比，一般公共预算财政拨款增加151.74</w:t>
      </w:r>
      <w:r>
        <w:rPr>
          <w:rFonts w:hint="eastAsia" w:ascii="仿宋" w:hAnsi="仿宋" w:eastAsia="仿宋"/>
          <w:color w:val="000000"/>
          <w:sz w:val="32"/>
          <w:szCs w:val="32"/>
        </w:rPr>
        <w:t>万元，</w:t>
      </w:r>
      <w:r>
        <w:rPr>
          <w:rFonts w:ascii="仿宋" w:hAnsi="仿宋" w:eastAsia="仿宋"/>
          <w:color w:val="000000"/>
          <w:sz w:val="32"/>
          <w:u w:color="auto"/>
        </w:rPr>
        <w:t>增加100.00</w:t>
      </w:r>
      <w:r>
        <w:rPr>
          <w:rFonts w:hint="eastAsia" w:ascii="仿宋" w:hAnsi="仿宋" w:eastAsia="仿宋"/>
          <w:color w:val="000000"/>
          <w:sz w:val="32"/>
          <w:szCs w:val="32"/>
        </w:rPr>
        <w:t xml:space="preserve"> %。</w:t>
      </w:r>
      <w:r>
        <w:rPr>
          <w:rFonts w:ascii="仿宋" w:hAnsi="仿宋" w:eastAsia="仿宋"/>
          <w:color w:val="000000"/>
          <w:sz w:val="32"/>
          <w:u w:color="auto"/>
        </w:rPr>
        <w:t>主要变动原因是上年汇总到一个卫生院录入</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（图5：一般公共预算财政拨款支出决算变动情况）</w:t>
      </w:r>
    </w:p>
    <w:p>
      <w:pPr>
        <w:pStyle w:val="2"/>
        <w:ind w:firstLine="0"/>
        <w:rPr>
          <w:rFonts w:ascii="仿宋_GB2312" w:hAnsi="仿宋" w:eastAsia="仿宋_GB2312"/>
          <w:b/>
          <w:color w:val="000000"/>
          <w:sz w:val="32"/>
          <w:szCs w:val="32"/>
        </w:rPr>
      </w:pPr>
    </w:p>
    <w:p>
      <w:pPr>
        <w:pStyle w:val="2"/>
        <w:ind w:firstLine="0"/>
        <w:rPr>
          <w:rFonts w:ascii="仿宋_GB2312" w:hAnsi="仿宋" w:eastAsia="仿宋_GB2312"/>
          <w:b/>
          <w:color w:val="000000"/>
          <w:sz w:val="32"/>
          <w:szCs w:val="32"/>
        </w:rPr>
      </w:pPr>
      <w:r>
        <w:rPr>
          <w:rFonts w:hint="eastAsia" w:ascii="仿宋_GB2312" w:hAnsi="仿宋" w:eastAsia="仿宋_GB2312"/>
          <w:b/>
          <w:color w:val="000000"/>
          <w:sz w:val="32"/>
          <w:szCs w:val="32"/>
        </w:rPr>
        <w:drawing>
          <wp:inline distT="0" distB="0" distL="0" distR="0">
            <wp:extent cx="4905375" cy="3569970"/>
            <wp:effectExtent l="0" t="0" r="9525" b="11430"/>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pStyle w:val="2"/>
        <w:ind w:firstLine="0"/>
        <w:rPr>
          <w:rFonts w:ascii="仿宋_GB2312" w:hAnsi="仿宋" w:eastAsia="仿宋_GB2312"/>
          <w:b/>
          <w:color w:val="000000"/>
          <w:sz w:val="32"/>
          <w:szCs w:val="32"/>
        </w:rPr>
      </w:pPr>
    </w:p>
    <w:p>
      <w:pPr>
        <w:spacing w:line="600" w:lineRule="exact"/>
        <w:ind w:firstLine="643" w:firstLineChars="200"/>
        <w:outlineLvl w:val="2"/>
        <w:rPr>
          <w:rFonts w:ascii="仿宋" w:hAnsi="仿宋" w:eastAsia="仿宋"/>
          <w:b/>
          <w:color w:val="000000"/>
          <w:sz w:val="32"/>
          <w:szCs w:val="32"/>
        </w:rPr>
      </w:pPr>
      <w:r>
        <w:rPr>
          <w:rFonts w:hint="eastAsia" w:ascii="仿宋" w:hAnsi="仿宋" w:eastAsia="仿宋"/>
          <w:b/>
          <w:color w:val="000000"/>
          <w:sz w:val="32"/>
          <w:szCs w:val="32"/>
        </w:rPr>
        <w:t>（二）一般公共预算财政拨款支出决算结构情况</w:t>
      </w:r>
      <w:bookmarkEnd w:id="42"/>
      <w:r>
        <w:rPr>
          <w:rFonts w:hint="eastAsia" w:ascii="仿宋" w:hAnsi="仿宋" w:eastAsia="仿宋"/>
          <w:b/>
          <w:color w:val="000000"/>
          <w:sz w:val="32"/>
          <w:szCs w:val="32"/>
        </w:rPr>
        <w:t>（一般公共预算收支表）</w:t>
      </w:r>
    </w:p>
    <w:p>
      <w:pPr>
        <w:spacing w:line="600" w:lineRule="exact"/>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 w:hAnsi="仿宋" w:eastAsia="仿宋"/>
          <w:color w:val="000000"/>
          <w:sz w:val="32"/>
          <w:szCs w:val="32"/>
        </w:rPr>
        <w:t>2022</w:t>
      </w:r>
      <w:r>
        <w:rPr>
          <w:rFonts w:ascii="仿宋" w:hAnsi="仿宋" w:eastAsia="仿宋"/>
          <w:color w:val="000000"/>
          <w:sz w:val="32"/>
          <w:u w:color="auto"/>
        </w:rPr>
        <w:t>年一般公共预算财政拨款支出151.74</w:t>
      </w:r>
      <w:r>
        <w:rPr>
          <w:rFonts w:hint="eastAsia" w:ascii="仿宋" w:hAnsi="仿宋" w:eastAsia="仿宋"/>
          <w:color w:val="000000"/>
          <w:sz w:val="32"/>
          <w:szCs w:val="32"/>
        </w:rPr>
        <w:t>万元，主要用于以下方面</w:t>
      </w:r>
      <w:r>
        <w:rPr>
          <w:rFonts w:hint="eastAsia" w:ascii="仿宋" w:hAnsi="仿宋" w:eastAsia="仿宋"/>
          <w:color w:val="000000"/>
          <w:sz w:val="32"/>
          <w:szCs w:val="32"/>
          <w:lang w:eastAsia="zh-CN"/>
        </w:rPr>
        <w:t>：</w:t>
      </w:r>
      <w:r>
        <w:rPr>
          <w:rFonts w:hint="eastAsia" w:ascii="仿宋" w:hAnsi="仿宋" w:eastAsia="仿宋"/>
          <w:color w:val="000000"/>
          <w:sz w:val="32"/>
          <w:szCs w:val="32"/>
        </w:rPr>
        <w:t xml:space="preserve"> </w:t>
      </w:r>
      <w:r>
        <w:rPr>
          <w:rFonts w:ascii="仿宋" w:hAnsi="仿宋" w:eastAsia="仿宋"/>
          <w:color w:val="000000"/>
          <w:sz w:val="32"/>
          <w:u w:color="auto"/>
        </w:rPr>
        <w:t>社会保障和就业支出26.01万元，占17.14%；卫生健康支出115.09万元，占75.85%；住房保障支出10.64万元，占7.01%。</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（图6：一般公共预算财政拨款支出决算结构）</w:t>
      </w:r>
      <w:bookmarkStart w:id="43" w:name="_Toc15377212"/>
    </w:p>
    <w:p>
      <w:pPr>
        <w:pStyle w:val="2"/>
      </w:pPr>
      <w:r>
        <w:drawing>
          <wp:inline distT="0" distB="0" distL="0" distR="0">
            <wp:extent cx="4333240" cy="2886075"/>
            <wp:effectExtent l="0" t="0" r="10160" b="952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spacing w:line="600" w:lineRule="exact"/>
        <w:ind w:firstLine="643" w:firstLineChars="200"/>
        <w:outlineLvl w:val="2"/>
        <w:rPr>
          <w:rFonts w:ascii="仿宋" w:hAnsi="仿宋" w:eastAsia="仿宋"/>
          <w:b/>
          <w:color w:val="000000"/>
          <w:sz w:val="32"/>
          <w:szCs w:val="32"/>
        </w:rPr>
      </w:pPr>
      <w:r>
        <w:rPr>
          <w:rFonts w:hint="eastAsia" w:ascii="仿宋" w:hAnsi="仿宋" w:eastAsia="仿宋"/>
          <w:b/>
          <w:color w:val="000000"/>
          <w:sz w:val="32"/>
          <w:szCs w:val="32"/>
        </w:rPr>
        <w:t>（三）一般公共预算财政拨款支出决算具体情况</w:t>
      </w:r>
      <w:bookmarkEnd w:id="43"/>
    </w:p>
    <w:p>
      <w:pPr>
        <w:spacing w:line="600" w:lineRule="exact"/>
        <w:ind w:firstLine="640"/>
        <w:rPr>
          <w:rFonts w:ascii="仿宋" w:hAnsi="仿宋" w:eastAsia="仿宋"/>
          <w:color w:val="000000"/>
          <w:sz w:val="32"/>
          <w:szCs w:val="32"/>
        </w:rPr>
      </w:pPr>
      <w:bookmarkStart w:id="44" w:name="_Toc15377213"/>
      <w:bookmarkStart w:id="45" w:name="_Toc15377444"/>
      <w:bookmarkStart w:id="46" w:name="_Toc15378460"/>
      <w:r>
        <w:rPr>
          <w:rFonts w:hint="eastAsia" w:ascii="仿宋" w:hAnsi="仿宋" w:eastAsia="仿宋"/>
          <w:color w:val="000000"/>
          <w:sz w:val="32"/>
          <w:szCs w:val="32"/>
        </w:rPr>
        <w:t>2022</w:t>
      </w:r>
      <w:r>
        <w:rPr>
          <w:rFonts w:ascii="仿宋" w:hAnsi="仿宋" w:eastAsia="仿宋"/>
          <w:color w:val="000000"/>
          <w:sz w:val="32"/>
          <w:u w:color="auto"/>
        </w:rPr>
        <w:t>年一般公共预算支出决算数为151.74</w:t>
      </w:r>
      <w:r>
        <w:rPr>
          <w:rFonts w:hint="eastAsia" w:ascii="仿宋" w:hAnsi="仿宋" w:eastAsia="仿宋"/>
          <w:color w:val="000000"/>
          <w:sz w:val="32"/>
          <w:szCs w:val="32"/>
        </w:rPr>
        <w:t>万，完成预算100%。其中：</w:t>
      </w:r>
      <w:bookmarkEnd w:id="44"/>
      <w:bookmarkEnd w:id="45"/>
      <w:bookmarkEnd w:id="46"/>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1.社会保障和就业支出（208）人力资源和社会保障管理事务（20801）其他人力资源和社会保障管理事务支出（2080199）支出决算8.35万元，完成预算100%。</w:t>
      </w:r>
      <w:r>
        <w:rPr>
          <w:rFonts w:hint="eastAsia" w:ascii="仿宋" w:hAnsi="仿宋" w:eastAsia="仿宋"/>
          <w:color w:val="000000"/>
          <w:sz w:val="32"/>
          <w:szCs w:val="32"/>
        </w:rPr>
        <w:cr/>
      </w:r>
      <w:r>
        <w:rPr>
          <w:rFonts w:hint="eastAsia" w:ascii="仿宋" w:hAnsi="仿宋" w:eastAsia="仿宋"/>
          <w:color w:val="000000"/>
          <w:sz w:val="32"/>
          <w:szCs w:val="32"/>
        </w:rPr>
        <w:t>2.社会保障和就业支出（208）行政事业单位养老支出（20805）机关事业单位基本养老保险缴费支出（2080505）支出决算12.18万元，完成预算100%。</w:t>
      </w:r>
      <w:r>
        <w:rPr>
          <w:rFonts w:hint="eastAsia" w:ascii="仿宋" w:hAnsi="仿宋" w:eastAsia="仿宋"/>
          <w:color w:val="000000"/>
          <w:sz w:val="32"/>
          <w:szCs w:val="32"/>
        </w:rPr>
        <w:cr/>
      </w:r>
      <w:r>
        <w:rPr>
          <w:rFonts w:hint="eastAsia" w:ascii="仿宋" w:hAnsi="仿宋" w:eastAsia="仿宋"/>
          <w:color w:val="000000"/>
          <w:sz w:val="32"/>
          <w:szCs w:val="32"/>
        </w:rPr>
        <w:t>3.社会保障和就业支出（208）行政事业单位养老支出（20805）机关事业单位职业年金缴费支出（2080506）支出决算5.48万元，完成预算100%。</w:t>
      </w:r>
      <w:r>
        <w:rPr>
          <w:rFonts w:hint="eastAsia" w:ascii="仿宋" w:hAnsi="仿宋" w:eastAsia="仿宋"/>
          <w:color w:val="000000"/>
          <w:sz w:val="32"/>
          <w:szCs w:val="32"/>
        </w:rPr>
        <w:cr/>
      </w:r>
      <w:r>
        <w:rPr>
          <w:rFonts w:hint="eastAsia" w:ascii="仿宋" w:hAnsi="仿宋" w:eastAsia="仿宋"/>
          <w:color w:val="000000"/>
          <w:sz w:val="32"/>
          <w:szCs w:val="32"/>
        </w:rPr>
        <w:t>4.卫生健康支出（210）基层医疗卫生机构（21003）乡镇卫生院（2100302）支出决算94.78万元，完成预算100%。</w:t>
      </w:r>
      <w:r>
        <w:rPr>
          <w:rFonts w:hint="eastAsia" w:ascii="仿宋" w:hAnsi="仿宋" w:eastAsia="仿宋"/>
          <w:color w:val="000000"/>
          <w:sz w:val="32"/>
          <w:szCs w:val="32"/>
        </w:rPr>
        <w:cr/>
      </w:r>
      <w:r>
        <w:rPr>
          <w:rFonts w:hint="eastAsia" w:ascii="仿宋" w:hAnsi="仿宋" w:eastAsia="仿宋"/>
          <w:color w:val="000000"/>
          <w:sz w:val="32"/>
          <w:szCs w:val="32"/>
        </w:rPr>
        <w:t>5.卫生健康支出（210）基层医疗卫生机构（21003）其他基层医疗卫生机构支出（2100399）支出决算1.18万元，完成预算100%。</w:t>
      </w:r>
      <w:r>
        <w:rPr>
          <w:rFonts w:hint="eastAsia" w:ascii="仿宋" w:hAnsi="仿宋" w:eastAsia="仿宋"/>
          <w:color w:val="000000"/>
          <w:sz w:val="32"/>
          <w:szCs w:val="32"/>
        </w:rPr>
        <w:cr/>
      </w:r>
      <w:r>
        <w:rPr>
          <w:rFonts w:hint="eastAsia" w:ascii="仿宋" w:hAnsi="仿宋" w:eastAsia="仿宋"/>
          <w:color w:val="000000"/>
          <w:sz w:val="32"/>
          <w:szCs w:val="32"/>
        </w:rPr>
        <w:t>6.卫生健康支出（210）公共卫生（21004）基本公共卫生服务（2100408）支出决算12.38万元，完成预算100%。</w:t>
      </w:r>
      <w:r>
        <w:rPr>
          <w:rFonts w:hint="eastAsia" w:ascii="仿宋" w:hAnsi="仿宋" w:eastAsia="仿宋"/>
          <w:color w:val="000000"/>
          <w:sz w:val="32"/>
          <w:szCs w:val="32"/>
        </w:rPr>
        <w:cr/>
      </w:r>
      <w:r>
        <w:rPr>
          <w:rFonts w:hint="eastAsia" w:ascii="仿宋" w:hAnsi="仿宋" w:eastAsia="仿宋"/>
          <w:color w:val="000000"/>
          <w:sz w:val="32"/>
          <w:szCs w:val="32"/>
        </w:rPr>
        <w:t>7.卫生健康支出（210）行政事业单位医疗（21011）事业单位医疗（2101102）支出决算6.75万元，完成预算100%。</w:t>
      </w:r>
      <w:r>
        <w:rPr>
          <w:rFonts w:hint="eastAsia" w:ascii="仿宋" w:hAnsi="仿宋" w:eastAsia="仿宋"/>
          <w:color w:val="000000"/>
          <w:sz w:val="32"/>
          <w:szCs w:val="32"/>
        </w:rPr>
        <w:cr/>
      </w:r>
      <w:r>
        <w:rPr>
          <w:rFonts w:hint="eastAsia" w:ascii="仿宋" w:hAnsi="仿宋" w:eastAsia="仿宋"/>
          <w:color w:val="000000"/>
          <w:sz w:val="32"/>
          <w:szCs w:val="32"/>
        </w:rPr>
        <w:t>8.住房保障支出（221）住房改革支出（22102）住房公积金（2210201）支出决算10.64万元，完成预算100%。</w:t>
      </w:r>
    </w:p>
    <w:p>
      <w:pPr>
        <w:pStyle w:val="4"/>
        <w:ind w:firstLine="643" w:firstLineChars="200"/>
        <w:rPr>
          <w:rFonts w:ascii="黑体" w:eastAsia="黑体" w:cs="Times New Roman"/>
          <w:b w:val="0"/>
          <w:color w:val="000000"/>
        </w:rPr>
      </w:pPr>
      <w:bookmarkStart w:id="47" w:name="_Toc15377214"/>
      <w:bookmarkStart w:id="48" w:name="_Toc24000"/>
      <w:bookmarkStart w:id="49" w:name="_Toc111208504"/>
      <w:r>
        <w:rPr>
          <w:rFonts w:hint="eastAsia" w:ascii="黑体" w:eastAsia="黑体" w:cs="Times New Roman"/>
          <w:bCs w:val="0"/>
          <w:color w:val="000000"/>
        </w:rPr>
        <w:t>六、一般公共预算财政拨款基本支出决算情况说</w:t>
      </w:r>
      <w:bookmarkEnd w:id="47"/>
      <w:r>
        <w:rPr>
          <w:rFonts w:hint="eastAsia" w:ascii="黑体" w:eastAsia="黑体" w:cs="Times New Roman"/>
          <w:bCs w:val="0"/>
          <w:color w:val="000000"/>
        </w:rPr>
        <w:t>明</w:t>
      </w:r>
      <w:bookmarkEnd w:id="48"/>
      <w:bookmarkEnd w:id="49"/>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2022</w:t>
      </w:r>
      <w:r>
        <w:rPr>
          <w:rFonts w:ascii="仿宋" w:hAnsi="仿宋" w:eastAsia="仿宋"/>
          <w:color w:val="000000"/>
          <w:sz w:val="32"/>
          <w:u w:color="auto"/>
        </w:rPr>
        <w:t>年一般公共预算财政拨款基本支出129.83</w:t>
      </w:r>
      <w:r>
        <w:rPr>
          <w:rFonts w:hint="eastAsia" w:ascii="仿宋" w:hAnsi="仿宋" w:eastAsia="仿宋"/>
          <w:color w:val="000000"/>
          <w:sz w:val="32"/>
          <w:szCs w:val="32"/>
        </w:rPr>
        <w:t>万元，其中：</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人员经费</w:t>
      </w:r>
      <w:r>
        <w:rPr>
          <w:rFonts w:ascii="仿宋" w:hAnsi="仿宋" w:eastAsia="仿宋"/>
          <w:color w:val="000000"/>
          <w:sz w:val="32"/>
          <w:u w:color="auto"/>
        </w:rPr>
        <w:t>129.26</w:t>
      </w:r>
      <w:r>
        <w:rPr>
          <w:rFonts w:hint="eastAsia" w:ascii="仿宋" w:hAnsi="仿宋" w:eastAsia="仿宋"/>
          <w:color w:val="000000"/>
          <w:sz w:val="32"/>
          <w:szCs w:val="32"/>
        </w:rPr>
        <w:t>万元，主要包括：</w:t>
      </w:r>
      <w:r>
        <w:rPr>
          <w:rFonts w:ascii="仿宋" w:hAnsi="仿宋" w:eastAsia="仿宋"/>
          <w:color w:val="000000"/>
          <w:sz w:val="32"/>
          <w:u w:color="auto"/>
        </w:rPr>
        <w:t>基本工资24.00万元、津贴补贴20.40万元、奖金35.20万元、绩效工资13.94万元、机关事业单位基本养老保险缴费12.18万元、职业年金缴费5.48万元、职工基本医疗保险缴费6.75万元、其他社会保障缴费0.67万元、住房公积金10.64万元、奖励金0.01万元。</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公用经费</w:t>
      </w:r>
      <w:r>
        <w:rPr>
          <w:rFonts w:ascii="仿宋" w:hAnsi="仿宋" w:eastAsia="仿宋"/>
          <w:color w:val="000000"/>
          <w:sz w:val="32"/>
          <w:u w:color="auto"/>
        </w:rPr>
        <w:t>0.57</w:t>
      </w:r>
      <w:r>
        <w:rPr>
          <w:rFonts w:hint="eastAsia" w:ascii="仿宋" w:hAnsi="仿宋" w:eastAsia="仿宋"/>
          <w:color w:val="000000"/>
          <w:sz w:val="32"/>
          <w:szCs w:val="32"/>
        </w:rPr>
        <w:t>万元，主要包括：</w:t>
      </w:r>
      <w:r>
        <w:rPr>
          <w:rFonts w:ascii="仿宋" w:hAnsi="仿宋" w:eastAsia="仿宋"/>
          <w:color w:val="000000"/>
          <w:sz w:val="32"/>
          <w:u w:color="auto"/>
        </w:rPr>
        <w:t>工会经费0.57万元</w:t>
      </w:r>
      <w:r>
        <w:rPr>
          <w:rFonts w:hint="eastAsia" w:ascii="仿宋" w:hAnsi="仿宋" w:eastAsia="仿宋"/>
          <w:color w:val="000000"/>
          <w:sz w:val="32"/>
          <w:szCs w:val="32"/>
        </w:rPr>
        <w:t>。</w:t>
      </w:r>
    </w:p>
    <w:p>
      <w:pPr>
        <w:pStyle w:val="4"/>
        <w:ind w:firstLine="643" w:firstLineChars="200"/>
        <w:rPr>
          <w:rFonts w:ascii="黑体" w:eastAsia="黑体" w:cs="Times New Roman"/>
          <w:bCs w:val="0"/>
          <w:color w:val="000000"/>
        </w:rPr>
      </w:pPr>
      <w:bookmarkStart w:id="50" w:name="_Toc111208505"/>
      <w:bookmarkStart w:id="51" w:name="_Toc32593"/>
      <w:bookmarkStart w:id="52" w:name="_Toc15377215"/>
      <w:r>
        <w:rPr>
          <w:rFonts w:hint="eastAsia" w:ascii="黑体" w:eastAsia="黑体" w:cs="Times New Roman"/>
          <w:bCs w:val="0"/>
          <w:color w:val="000000"/>
        </w:rPr>
        <w:t>七、“三公”经费财政拨款支出决算情况说明</w:t>
      </w:r>
      <w:bookmarkEnd w:id="50"/>
      <w:bookmarkEnd w:id="51"/>
      <w:bookmarkEnd w:id="52"/>
    </w:p>
    <w:p>
      <w:pPr>
        <w:spacing w:line="600" w:lineRule="exact"/>
        <w:ind w:firstLine="643" w:firstLineChars="200"/>
        <w:outlineLvl w:val="2"/>
        <w:rPr>
          <w:rFonts w:ascii="仿宋" w:hAnsi="仿宋" w:eastAsia="仿宋"/>
          <w:b/>
          <w:color w:val="000000"/>
          <w:sz w:val="32"/>
          <w:szCs w:val="32"/>
        </w:rPr>
      </w:pPr>
      <w:bookmarkStart w:id="53" w:name="_Toc15377216"/>
      <w:r>
        <w:rPr>
          <w:rFonts w:hint="eastAsia" w:ascii="仿宋" w:hAnsi="仿宋" w:eastAsia="仿宋"/>
          <w:b/>
          <w:color w:val="000000"/>
          <w:sz w:val="32"/>
          <w:szCs w:val="32"/>
        </w:rPr>
        <w:t>（一）“三公”经费财政拨款支出决算总体情况说明</w:t>
      </w:r>
      <w:bookmarkEnd w:id="53"/>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2022</w:t>
      </w:r>
      <w:r>
        <w:rPr>
          <w:rFonts w:ascii="仿宋" w:hAnsi="仿宋" w:eastAsia="仿宋"/>
          <w:color w:val="000000"/>
          <w:sz w:val="32"/>
          <w:u w:color="auto"/>
        </w:rPr>
        <w:t>年“三公”经费财政拨款支出决算为0.00</w:t>
      </w:r>
      <w:r>
        <w:rPr>
          <w:rFonts w:hint="eastAsia" w:ascii="仿宋" w:hAnsi="仿宋" w:eastAsia="仿宋"/>
          <w:color w:val="000000"/>
          <w:sz w:val="32"/>
          <w:szCs w:val="32"/>
        </w:rPr>
        <w:t>万元，完成预算</w:t>
      </w:r>
      <w:r>
        <w:rPr>
          <w:rFonts w:ascii="仿宋" w:hAnsi="仿宋" w:eastAsia="仿宋"/>
          <w:color w:val="000000"/>
          <w:sz w:val="32"/>
          <w:u w:color="auto"/>
        </w:rPr>
        <w:t>0.00</w:t>
      </w:r>
      <w:r>
        <w:rPr>
          <w:rFonts w:hint="eastAsia" w:ascii="仿宋" w:hAnsi="仿宋" w:eastAsia="仿宋"/>
          <w:color w:val="000000"/>
          <w:sz w:val="32"/>
          <w:szCs w:val="32"/>
        </w:rPr>
        <w:t>%。</w:t>
      </w:r>
      <w:bookmarkStart w:id="54" w:name="_Toc15377217"/>
    </w:p>
    <w:p>
      <w:pPr>
        <w:spacing w:line="600" w:lineRule="exact"/>
        <w:ind w:firstLine="643" w:firstLineChars="200"/>
        <w:outlineLvl w:val="2"/>
        <w:rPr>
          <w:rFonts w:ascii="仿宋" w:hAnsi="仿宋" w:eastAsia="仿宋"/>
          <w:b/>
          <w:color w:val="000000"/>
          <w:sz w:val="32"/>
          <w:szCs w:val="32"/>
        </w:rPr>
      </w:pPr>
      <w:r>
        <w:rPr>
          <w:rFonts w:hint="eastAsia" w:ascii="仿宋" w:hAnsi="仿宋" w:eastAsia="仿宋"/>
          <w:b/>
          <w:color w:val="000000"/>
          <w:sz w:val="32"/>
          <w:szCs w:val="32"/>
        </w:rPr>
        <w:t>（二）“三公”经费财政拨款支出决算具体情况说明</w:t>
      </w:r>
      <w:bookmarkEnd w:id="54"/>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2022</w:t>
      </w:r>
      <w:r>
        <w:rPr>
          <w:rFonts w:ascii="仿宋" w:hAnsi="仿宋" w:eastAsia="仿宋"/>
          <w:color w:val="000000"/>
          <w:sz w:val="32"/>
          <w:u w:color="auto"/>
        </w:rPr>
        <w:t>年“三公”经费财政拨款支出0.00</w:t>
      </w:r>
      <w:r>
        <w:rPr>
          <w:rFonts w:hint="eastAsia" w:ascii="仿宋" w:hAnsi="仿宋" w:eastAsia="仿宋"/>
          <w:color w:val="000000"/>
          <w:sz w:val="32"/>
          <w:u w:color="auto"/>
          <w:lang w:eastAsia="zh-CN"/>
        </w:rPr>
        <w:t>万元</w:t>
      </w:r>
      <w:r>
        <w:rPr>
          <w:rFonts w:hint="eastAsia" w:ascii="仿宋" w:hAnsi="仿宋" w:eastAsia="仿宋"/>
          <w:color w:val="000000"/>
          <w:sz w:val="32"/>
          <w:szCs w:val="32"/>
        </w:rPr>
        <w:t>，因公出国（境）费支出决算</w:t>
      </w:r>
      <w:r>
        <w:rPr>
          <w:rFonts w:ascii="仿宋" w:hAnsi="仿宋" w:eastAsia="仿宋"/>
          <w:color w:val="000000"/>
          <w:sz w:val="32"/>
          <w:u w:color="auto"/>
        </w:rPr>
        <w:t>0.00</w:t>
      </w:r>
      <w:r>
        <w:rPr>
          <w:rFonts w:hint="eastAsia" w:ascii="仿宋" w:hAnsi="仿宋" w:eastAsia="仿宋"/>
          <w:color w:val="000000"/>
          <w:sz w:val="32"/>
          <w:szCs w:val="32"/>
        </w:rPr>
        <w:t>万元，占</w:t>
      </w:r>
      <w:r>
        <w:rPr>
          <w:rFonts w:ascii="仿宋" w:hAnsi="仿宋" w:eastAsia="仿宋"/>
          <w:color w:val="000000"/>
          <w:sz w:val="32"/>
          <w:u w:color="auto"/>
        </w:rPr>
        <w:t>0.00</w:t>
      </w:r>
      <w:r>
        <w:rPr>
          <w:rFonts w:hint="eastAsia" w:ascii="仿宋" w:hAnsi="仿宋" w:eastAsia="仿宋"/>
          <w:color w:val="000000"/>
          <w:sz w:val="32"/>
          <w:szCs w:val="32"/>
        </w:rPr>
        <w:t>%；公务用车购置及运行维护费支出决算</w:t>
      </w:r>
      <w:r>
        <w:rPr>
          <w:rFonts w:ascii="仿宋" w:hAnsi="仿宋" w:eastAsia="仿宋"/>
          <w:color w:val="000000"/>
          <w:sz w:val="32"/>
          <w:u w:color="auto"/>
        </w:rPr>
        <w:t>0.00</w:t>
      </w:r>
      <w:r>
        <w:rPr>
          <w:rFonts w:hint="eastAsia" w:ascii="仿宋" w:hAnsi="仿宋" w:eastAsia="仿宋"/>
          <w:color w:val="000000"/>
          <w:sz w:val="32"/>
          <w:szCs w:val="32"/>
        </w:rPr>
        <w:t>万元，占</w:t>
      </w:r>
      <w:r>
        <w:rPr>
          <w:rFonts w:ascii="仿宋" w:hAnsi="仿宋" w:eastAsia="仿宋"/>
          <w:color w:val="000000"/>
          <w:sz w:val="32"/>
          <w:u w:color="auto"/>
        </w:rPr>
        <w:t>0.00</w:t>
      </w:r>
      <w:r>
        <w:rPr>
          <w:rFonts w:hint="eastAsia" w:ascii="仿宋" w:hAnsi="仿宋" w:eastAsia="仿宋"/>
          <w:color w:val="000000"/>
          <w:sz w:val="32"/>
          <w:szCs w:val="32"/>
        </w:rPr>
        <w:t>%；公务接待费支出决算</w:t>
      </w:r>
      <w:r>
        <w:rPr>
          <w:rFonts w:ascii="仿宋" w:hAnsi="仿宋" w:eastAsia="仿宋"/>
          <w:color w:val="000000"/>
          <w:sz w:val="32"/>
          <w:u w:color="auto"/>
        </w:rPr>
        <w:t>0.00</w:t>
      </w:r>
      <w:r>
        <w:rPr>
          <w:rFonts w:hint="eastAsia" w:ascii="仿宋" w:hAnsi="仿宋" w:eastAsia="仿宋"/>
          <w:color w:val="000000"/>
          <w:sz w:val="32"/>
          <w:szCs w:val="32"/>
        </w:rPr>
        <w:t>万元，占</w:t>
      </w:r>
      <w:r>
        <w:rPr>
          <w:rFonts w:ascii="仿宋" w:hAnsi="仿宋" w:eastAsia="仿宋"/>
          <w:color w:val="000000"/>
          <w:sz w:val="32"/>
          <w:u w:color="auto"/>
        </w:rPr>
        <w:t>0.00</w:t>
      </w:r>
      <w:r>
        <w:rPr>
          <w:rFonts w:hint="eastAsia" w:ascii="仿宋" w:hAnsi="仿宋" w:eastAsia="仿宋"/>
          <w:color w:val="000000"/>
          <w:sz w:val="32"/>
          <w:szCs w:val="32"/>
        </w:rPr>
        <w:t>%。具体情况如下：</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（图7：“三公”经费财政拨款支出结构）</w:t>
      </w:r>
    </w:p>
    <w:p>
      <w:pPr>
        <w:pStyle w:val="2"/>
        <w:rPr>
          <w:rFonts w:ascii="仿宋_GB2312" w:hAnsi="仿宋" w:eastAsia="仿宋_GB2312"/>
          <w:color w:val="000000"/>
          <w:sz w:val="32"/>
          <w:szCs w:val="32"/>
        </w:rPr>
      </w:pPr>
      <w:r>
        <w:drawing>
          <wp:inline distT="0" distB="0" distL="0" distR="0">
            <wp:extent cx="4333240" cy="2886075"/>
            <wp:effectExtent l="0" t="0" r="10160" b="9525"/>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1.因公出国（境）经费支出</w:t>
      </w:r>
      <w:r>
        <w:rPr>
          <w:rFonts w:ascii="仿宋" w:hAnsi="仿宋" w:eastAsia="仿宋"/>
          <w:color w:val="000000"/>
          <w:sz w:val="32"/>
          <w:u w:color="auto"/>
        </w:rPr>
        <w:t>0.00</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w:t>
      </w:r>
      <w:r>
        <w:rPr>
          <w:rFonts w:hint="eastAsia" w:ascii="仿宋" w:hAnsi="仿宋" w:eastAsia="仿宋"/>
          <w:color w:val="000000"/>
          <w:sz w:val="32"/>
          <w:szCs w:val="32"/>
        </w:rPr>
        <w:t>完成预算100%。全年安排因公出国（境）团组</w:t>
      </w:r>
      <w:r>
        <w:rPr>
          <w:rFonts w:ascii="仿宋" w:hAnsi="仿宋" w:eastAsia="仿宋"/>
          <w:color w:val="000000"/>
          <w:sz w:val="32"/>
          <w:u w:color="auto"/>
        </w:rPr>
        <w:t>0</w:t>
      </w:r>
      <w:r>
        <w:rPr>
          <w:rFonts w:hint="eastAsia" w:ascii="仿宋" w:hAnsi="仿宋" w:eastAsia="仿宋"/>
          <w:color w:val="000000"/>
          <w:sz w:val="32"/>
          <w:szCs w:val="32"/>
        </w:rPr>
        <w:t>次，出国（境）</w:t>
      </w:r>
      <w:r>
        <w:rPr>
          <w:rFonts w:ascii="仿宋" w:hAnsi="仿宋" w:eastAsia="仿宋"/>
          <w:color w:val="000000"/>
          <w:sz w:val="32"/>
          <w:u w:color="auto"/>
        </w:rPr>
        <w:t>0</w:t>
      </w:r>
      <w:r>
        <w:rPr>
          <w:rFonts w:hint="eastAsia" w:ascii="仿宋" w:hAnsi="仿宋" w:eastAsia="仿宋"/>
          <w:color w:val="000000"/>
          <w:sz w:val="32"/>
          <w:szCs w:val="32"/>
        </w:rPr>
        <w:t>人。因公出国（境）支出决算比</w:t>
      </w:r>
      <w:r>
        <w:rPr>
          <w:rFonts w:ascii="仿宋" w:hAnsi="仿宋" w:eastAsia="仿宋"/>
          <w:color w:val="000000"/>
          <w:sz w:val="32"/>
          <w:u w:color="auto"/>
        </w:rPr>
        <w:t>2021年增加0.00</w:t>
      </w:r>
      <w:r>
        <w:rPr>
          <w:rFonts w:hint="eastAsia" w:ascii="仿宋" w:hAnsi="仿宋" w:eastAsia="仿宋"/>
          <w:color w:val="000000"/>
          <w:sz w:val="32"/>
          <w:szCs w:val="32"/>
        </w:rPr>
        <w:t>万元，</w:t>
      </w:r>
      <w:r>
        <w:rPr>
          <w:rFonts w:ascii="仿宋" w:hAnsi="仿宋" w:eastAsia="仿宋"/>
          <w:color w:val="000000"/>
          <w:sz w:val="32"/>
          <w:u w:color="auto"/>
        </w:rPr>
        <w:t>增加100.00</w:t>
      </w:r>
      <w:r>
        <w:rPr>
          <w:rFonts w:hint="eastAsia" w:ascii="仿宋" w:hAnsi="仿宋" w:eastAsia="仿宋"/>
          <w:color w:val="000000"/>
          <w:sz w:val="32"/>
          <w:szCs w:val="32"/>
        </w:rPr>
        <w:t xml:space="preserve"> %。</w:t>
      </w:r>
      <w:r>
        <w:rPr>
          <w:rFonts w:ascii="仿宋" w:hAnsi="仿宋" w:eastAsia="仿宋"/>
          <w:color w:val="000000"/>
          <w:sz w:val="32"/>
          <w:u w:color="auto"/>
        </w:rPr>
        <w:t xml:space="preserve"> </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2.公务用车购置及运行维护费支出</w:t>
      </w:r>
      <w:r>
        <w:rPr>
          <w:rFonts w:ascii="仿宋" w:hAnsi="仿宋" w:eastAsia="仿宋"/>
          <w:color w:val="000000"/>
          <w:sz w:val="32"/>
          <w:u w:color="auto"/>
        </w:rPr>
        <w:t>0.00</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w:t>
      </w:r>
      <w:r>
        <w:rPr>
          <w:rFonts w:hint="eastAsia" w:ascii="仿宋" w:hAnsi="仿宋" w:eastAsia="仿宋"/>
          <w:color w:val="000000"/>
          <w:sz w:val="32"/>
          <w:szCs w:val="32"/>
        </w:rPr>
        <w:t>完成预算</w:t>
      </w:r>
      <w:r>
        <w:rPr>
          <w:rFonts w:ascii="仿宋" w:hAnsi="仿宋" w:eastAsia="仿宋"/>
          <w:color w:val="000000"/>
          <w:sz w:val="32"/>
          <w:u w:color="auto"/>
        </w:rPr>
        <w:t>0.00</w:t>
      </w:r>
      <w:r>
        <w:rPr>
          <w:rFonts w:hint="eastAsia" w:ascii="仿宋" w:hAnsi="仿宋" w:eastAsia="仿宋"/>
          <w:color w:val="000000"/>
          <w:sz w:val="32"/>
          <w:szCs w:val="32"/>
        </w:rPr>
        <w:t>%。公务用车购置及运行维护费支出决算比</w:t>
      </w:r>
      <w:r>
        <w:rPr>
          <w:rFonts w:ascii="仿宋" w:hAnsi="仿宋" w:eastAsia="仿宋"/>
          <w:color w:val="000000"/>
          <w:sz w:val="32"/>
          <w:u w:color="auto"/>
        </w:rPr>
        <w:t>2021年增加0.00</w:t>
      </w:r>
      <w:r>
        <w:rPr>
          <w:rFonts w:hint="eastAsia" w:ascii="仿宋" w:hAnsi="仿宋" w:eastAsia="仿宋"/>
          <w:color w:val="000000"/>
          <w:sz w:val="32"/>
          <w:szCs w:val="32"/>
        </w:rPr>
        <w:t>万元，</w:t>
      </w:r>
      <w:r>
        <w:rPr>
          <w:rFonts w:ascii="仿宋" w:hAnsi="仿宋" w:eastAsia="仿宋"/>
          <w:color w:val="000000"/>
          <w:sz w:val="32"/>
          <w:u w:color="auto"/>
        </w:rPr>
        <w:t>增加0</w:t>
      </w:r>
      <w:r>
        <w:rPr>
          <w:rFonts w:hint="eastAsia" w:ascii="仿宋" w:hAnsi="仿宋" w:eastAsia="仿宋"/>
          <w:color w:val="000000"/>
          <w:sz w:val="32"/>
          <w:szCs w:val="32"/>
        </w:rPr>
        <w:t>%。</w:t>
      </w:r>
      <w:r>
        <w:rPr>
          <w:rFonts w:ascii="仿宋" w:hAnsi="仿宋" w:eastAsia="仿宋"/>
          <w:color w:val="000000"/>
          <w:sz w:val="32"/>
          <w:u w:color="auto"/>
        </w:rPr>
        <w:t xml:space="preserve"> </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其中：公务用车购置支出</w:t>
      </w:r>
      <w:r>
        <w:rPr>
          <w:rFonts w:ascii="仿宋" w:hAnsi="仿宋" w:eastAsia="仿宋"/>
          <w:color w:val="000000"/>
          <w:sz w:val="32"/>
          <w:u w:color="auto"/>
        </w:rPr>
        <w:t>0.00万元。全年按规定更新购置公务用车1辆，其中：轿车0辆、金额0.00万元，越野车0辆、金额0.00万元，载客汽车0辆、金额0.00万元。截至</w:t>
      </w:r>
      <w:r>
        <w:rPr>
          <w:rFonts w:ascii="仿宋" w:hAnsi="仿宋" w:eastAsia="仿宋"/>
          <w:color w:val="000000"/>
          <w:sz w:val="32"/>
          <w:szCs w:val="32"/>
        </w:rPr>
        <w:t>20</w:t>
      </w:r>
      <w:r>
        <w:rPr>
          <w:rFonts w:hint="eastAsia" w:ascii="仿宋" w:hAnsi="仿宋" w:eastAsia="仿宋"/>
          <w:color w:val="000000"/>
          <w:sz w:val="32"/>
          <w:szCs w:val="32"/>
        </w:rPr>
        <w:t>21年</w:t>
      </w:r>
      <w:r>
        <w:rPr>
          <w:rFonts w:ascii="仿宋" w:hAnsi="仿宋" w:eastAsia="仿宋"/>
          <w:color w:val="000000"/>
          <w:sz w:val="32"/>
          <w:szCs w:val="32"/>
        </w:rPr>
        <w:t>12</w:t>
      </w:r>
      <w:r>
        <w:rPr>
          <w:rFonts w:hint="eastAsia" w:ascii="仿宋" w:hAnsi="仿宋" w:eastAsia="仿宋"/>
          <w:color w:val="000000"/>
          <w:sz w:val="32"/>
          <w:szCs w:val="32"/>
        </w:rPr>
        <w:t>月底，单位共有公务用车</w:t>
      </w:r>
      <w:r>
        <w:rPr>
          <w:rFonts w:ascii="仿宋" w:hAnsi="仿宋" w:eastAsia="仿宋"/>
          <w:color w:val="000000"/>
          <w:sz w:val="32"/>
          <w:u w:color="auto"/>
        </w:rPr>
        <w:t>1</w:t>
      </w:r>
      <w:r>
        <w:rPr>
          <w:rFonts w:hint="eastAsia" w:ascii="仿宋" w:hAnsi="仿宋" w:eastAsia="仿宋"/>
          <w:color w:val="000000"/>
          <w:sz w:val="32"/>
          <w:szCs w:val="32"/>
        </w:rPr>
        <w:t>辆，其中：轿车</w:t>
      </w:r>
      <w:r>
        <w:rPr>
          <w:rFonts w:ascii="仿宋" w:hAnsi="仿宋" w:eastAsia="仿宋"/>
          <w:color w:val="000000"/>
          <w:sz w:val="32"/>
          <w:u w:color="auto"/>
        </w:rPr>
        <w:t>0辆、越野车0辆、载客汽车0辆。</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公务用车运行维护费支出</w:t>
      </w:r>
      <w:r>
        <w:rPr>
          <w:rFonts w:ascii="仿宋" w:hAnsi="仿宋" w:eastAsia="仿宋"/>
          <w:color w:val="000000"/>
          <w:sz w:val="32"/>
          <w:u w:color="auto"/>
        </w:rPr>
        <w:t>0.00</w:t>
      </w:r>
      <w:r>
        <w:rPr>
          <w:rFonts w:hint="eastAsia" w:ascii="仿宋" w:hAnsi="仿宋" w:eastAsia="仿宋"/>
          <w:color w:val="000000"/>
          <w:sz w:val="32"/>
          <w:szCs w:val="32"/>
        </w:rPr>
        <w:t>万元。</w:t>
      </w:r>
      <w:r>
        <w:rPr>
          <w:rFonts w:ascii="仿宋" w:hAnsi="仿宋" w:eastAsia="仿宋"/>
          <w:color w:val="000000"/>
          <w:sz w:val="32"/>
          <w:u w:color="auto"/>
        </w:rPr>
        <w:t xml:space="preserve"> </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3.公务接待费支出</w:t>
      </w:r>
      <w:r>
        <w:rPr>
          <w:rFonts w:ascii="仿宋" w:hAnsi="仿宋" w:eastAsia="仿宋"/>
          <w:color w:val="000000"/>
          <w:sz w:val="32"/>
          <w:u w:color="auto"/>
        </w:rPr>
        <w:t>0.00万元，完成预算0.00</w:t>
      </w:r>
      <w:r>
        <w:rPr>
          <w:rFonts w:hint="eastAsia" w:ascii="仿宋" w:hAnsi="仿宋" w:eastAsia="仿宋"/>
          <w:color w:val="000000"/>
          <w:sz w:val="32"/>
          <w:szCs w:val="32"/>
        </w:rPr>
        <w:t>%。公务接待费支出决算比</w:t>
      </w:r>
      <w:r>
        <w:rPr>
          <w:rFonts w:ascii="仿宋" w:hAnsi="仿宋" w:eastAsia="仿宋"/>
          <w:color w:val="000000"/>
          <w:sz w:val="32"/>
          <w:u w:color="auto"/>
        </w:rPr>
        <w:t>2021年增加0.00</w:t>
      </w:r>
      <w:r>
        <w:rPr>
          <w:rFonts w:hint="eastAsia" w:ascii="仿宋" w:hAnsi="仿宋" w:eastAsia="仿宋"/>
          <w:color w:val="000000"/>
          <w:sz w:val="32"/>
          <w:szCs w:val="32"/>
        </w:rPr>
        <w:t>万元，</w:t>
      </w:r>
      <w:r>
        <w:rPr>
          <w:rFonts w:ascii="仿宋" w:hAnsi="仿宋" w:eastAsia="仿宋"/>
          <w:color w:val="000000"/>
          <w:sz w:val="32"/>
          <w:u w:color="auto"/>
        </w:rPr>
        <w:t>增加100.00</w:t>
      </w:r>
      <w:r>
        <w:rPr>
          <w:rFonts w:ascii="仿宋" w:hAnsi="仿宋" w:eastAsia="仿宋"/>
          <w:color w:val="000000"/>
          <w:sz w:val="32"/>
          <w:szCs w:val="32"/>
        </w:rPr>
        <w:t>%</w:t>
      </w:r>
      <w:r>
        <w:rPr>
          <w:rFonts w:hint="eastAsia" w:ascii="仿宋" w:hAnsi="仿宋" w:eastAsia="仿宋"/>
          <w:color w:val="000000"/>
          <w:sz w:val="32"/>
          <w:szCs w:val="32"/>
        </w:rPr>
        <w:t>。</w:t>
      </w:r>
      <w:bookmarkStart w:id="55" w:name="_Toc15377218"/>
      <w:r>
        <w:rPr>
          <w:rFonts w:hint="eastAsia" w:ascii="仿宋" w:hAnsi="仿宋" w:eastAsia="仿宋"/>
          <w:color w:val="000000"/>
          <w:sz w:val="32"/>
          <w:szCs w:val="32"/>
        </w:rPr>
        <w:t xml:space="preserve"> </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国内公务接待支出</w:t>
      </w:r>
      <w:r>
        <w:rPr>
          <w:rFonts w:ascii="仿宋" w:hAnsi="仿宋" w:eastAsia="仿宋"/>
          <w:color w:val="000000"/>
          <w:sz w:val="32"/>
          <w:u w:color="auto"/>
        </w:rPr>
        <w:t>0.00万元。国内公务接待0批次，0人次（不包括陪同人员），共计支出0.00万元。</w:t>
      </w:r>
    </w:p>
    <w:p>
      <w:pPr>
        <w:pStyle w:val="2"/>
        <w:rPr>
          <w:rFonts w:ascii="仿宋" w:hAnsi="仿宋" w:eastAsia="仿宋"/>
          <w:color w:val="000000"/>
          <w:sz w:val="32"/>
          <w:szCs w:val="32"/>
        </w:rPr>
      </w:pPr>
      <w:r>
        <w:rPr>
          <w:rFonts w:hint="eastAsia" w:ascii="仿宋" w:hAnsi="仿宋" w:eastAsia="仿宋"/>
          <w:color w:val="000000"/>
          <w:sz w:val="32"/>
          <w:szCs w:val="32"/>
        </w:rPr>
        <w:t>外事接待支出</w:t>
      </w:r>
      <w:r>
        <w:rPr>
          <w:rFonts w:ascii="仿宋" w:hAnsi="仿宋" w:eastAsia="仿宋"/>
          <w:color w:val="000000"/>
          <w:sz w:val="32"/>
          <w:u w:color="auto"/>
        </w:rPr>
        <w:t>0.00万元，外事接待0批次，0人，共计支出0.00万元。</w:t>
      </w:r>
    </w:p>
    <w:p>
      <w:pPr>
        <w:pStyle w:val="4"/>
        <w:ind w:firstLine="643" w:firstLineChars="200"/>
        <w:rPr>
          <w:rFonts w:ascii="黑体" w:eastAsia="黑体" w:cs="Times New Roman"/>
          <w:bCs w:val="0"/>
          <w:color w:val="000000"/>
        </w:rPr>
      </w:pPr>
      <w:bookmarkStart w:id="56" w:name="_Toc111208506"/>
      <w:bookmarkStart w:id="57" w:name="_Toc19281"/>
      <w:r>
        <w:rPr>
          <w:rFonts w:hint="eastAsia" w:ascii="黑体" w:eastAsia="黑体" w:cs="Times New Roman"/>
          <w:bCs w:val="0"/>
          <w:color w:val="000000"/>
        </w:rPr>
        <w:t>八、政府性基金预算支出决算情况说明</w:t>
      </w:r>
      <w:bookmarkEnd w:id="55"/>
      <w:bookmarkEnd w:id="56"/>
      <w:bookmarkEnd w:id="57"/>
    </w:p>
    <w:p>
      <w:pPr>
        <w:spacing w:line="600" w:lineRule="exact"/>
        <w:ind w:firstLine="640"/>
        <w:rPr>
          <w:rFonts w:ascii="仿宋" w:hAnsi="仿宋" w:eastAsia="仿宋"/>
        </w:rPr>
      </w:pPr>
      <w:r>
        <w:rPr>
          <w:rFonts w:hint="eastAsia" w:ascii="仿宋" w:hAnsi="仿宋" w:eastAsia="仿宋"/>
          <w:color w:val="000000"/>
          <w:sz w:val="32"/>
          <w:szCs w:val="32"/>
        </w:rPr>
        <w:t>2022</w:t>
      </w:r>
      <w:r>
        <w:rPr>
          <w:rFonts w:ascii="仿宋" w:hAnsi="仿宋" w:eastAsia="仿宋"/>
          <w:color w:val="000000"/>
          <w:sz w:val="32"/>
          <w:u w:color="auto"/>
        </w:rPr>
        <w:t>年政府性基金预算拨款支出0.00</w:t>
      </w:r>
      <w:r>
        <w:rPr>
          <w:rFonts w:hint="eastAsia" w:ascii="仿宋" w:hAnsi="仿宋" w:eastAsia="仿宋"/>
          <w:color w:val="000000"/>
          <w:sz w:val="32"/>
          <w:szCs w:val="32"/>
        </w:rPr>
        <w:t>万元。</w:t>
      </w:r>
      <w:bookmarkStart w:id="58" w:name="_Toc15377219"/>
    </w:p>
    <w:p>
      <w:pPr>
        <w:pStyle w:val="4"/>
        <w:ind w:firstLine="643" w:firstLineChars="200"/>
        <w:rPr>
          <w:rFonts w:ascii="黑体" w:eastAsia="黑体" w:cs="Times New Roman"/>
          <w:bCs w:val="0"/>
          <w:color w:val="000000"/>
        </w:rPr>
      </w:pPr>
      <w:bookmarkStart w:id="59" w:name="_Toc111208507"/>
      <w:bookmarkStart w:id="60" w:name="_Toc12199"/>
      <w:r>
        <w:rPr>
          <w:rFonts w:hint="eastAsia" w:ascii="黑体" w:eastAsia="黑体" w:cs="Times New Roman"/>
          <w:bCs w:val="0"/>
          <w:color w:val="000000"/>
        </w:rPr>
        <w:t>九、国有资本经营预算支出决算情况说明</w:t>
      </w:r>
      <w:bookmarkEnd w:id="58"/>
      <w:bookmarkEnd w:id="59"/>
      <w:bookmarkEnd w:id="60"/>
    </w:p>
    <w:p>
      <w:pPr>
        <w:spacing w:line="600" w:lineRule="exact"/>
        <w:ind w:firstLine="640"/>
        <w:rPr>
          <w:rFonts w:ascii="仿宋" w:hAnsi="仿宋" w:eastAsia="仿宋"/>
        </w:rPr>
      </w:pPr>
      <w:r>
        <w:rPr>
          <w:rFonts w:hint="eastAsia" w:ascii="仿宋" w:hAnsi="仿宋" w:eastAsia="仿宋"/>
          <w:color w:val="000000"/>
          <w:sz w:val="32"/>
          <w:szCs w:val="32"/>
        </w:rPr>
        <w:t>2022</w:t>
      </w:r>
      <w:r>
        <w:rPr>
          <w:rFonts w:ascii="仿宋" w:hAnsi="仿宋" w:eastAsia="仿宋"/>
          <w:color w:val="000000"/>
          <w:sz w:val="32"/>
          <w:u w:color="auto"/>
        </w:rPr>
        <w:t>年国有资本经营预算拨款支出0.00</w:t>
      </w:r>
      <w:r>
        <w:rPr>
          <w:rFonts w:hint="eastAsia" w:ascii="仿宋" w:hAnsi="仿宋" w:eastAsia="仿宋"/>
          <w:color w:val="000000"/>
          <w:sz w:val="32"/>
          <w:szCs w:val="32"/>
        </w:rPr>
        <w:t>万元。</w:t>
      </w:r>
    </w:p>
    <w:p>
      <w:pPr>
        <w:pStyle w:val="4"/>
        <w:ind w:firstLine="643" w:firstLineChars="200"/>
        <w:rPr>
          <w:rFonts w:ascii="黑体" w:eastAsia="黑体" w:cs="Times New Roman"/>
          <w:bCs w:val="0"/>
          <w:color w:val="000000"/>
        </w:rPr>
      </w:pPr>
      <w:bookmarkStart w:id="61" w:name="_Toc15377221"/>
      <w:bookmarkStart w:id="62" w:name="_Toc111208508"/>
      <w:bookmarkStart w:id="63" w:name="_Toc23126"/>
      <w:r>
        <w:rPr>
          <w:rFonts w:hint="eastAsia" w:ascii="黑体" w:eastAsia="黑体" w:cs="Times New Roman"/>
          <w:bCs w:val="0"/>
          <w:color w:val="000000"/>
        </w:rPr>
        <w:t>十、其他重要事项的情况说明</w:t>
      </w:r>
      <w:bookmarkEnd w:id="61"/>
      <w:bookmarkEnd w:id="62"/>
      <w:bookmarkEnd w:id="63"/>
    </w:p>
    <w:p>
      <w:pPr>
        <w:spacing w:line="600" w:lineRule="exact"/>
        <w:ind w:firstLine="643" w:firstLineChars="200"/>
        <w:outlineLvl w:val="2"/>
        <w:rPr>
          <w:rFonts w:ascii="仿宋" w:hAnsi="仿宋" w:eastAsia="仿宋"/>
          <w:b/>
          <w:color w:val="000000"/>
          <w:sz w:val="32"/>
          <w:szCs w:val="32"/>
        </w:rPr>
      </w:pPr>
      <w:bookmarkStart w:id="64" w:name="_Toc15377222"/>
      <w:r>
        <w:rPr>
          <w:rFonts w:hint="eastAsia" w:ascii="仿宋" w:hAnsi="仿宋" w:eastAsia="仿宋"/>
          <w:b/>
          <w:color w:val="000000"/>
          <w:sz w:val="32"/>
          <w:szCs w:val="32"/>
        </w:rPr>
        <w:t>（一）机关运行经费支出情况</w:t>
      </w:r>
      <w:bookmarkEnd w:id="64"/>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2022</w:t>
      </w:r>
      <w:r>
        <w:rPr>
          <w:rFonts w:ascii="仿宋" w:hAnsi="仿宋" w:eastAsia="仿宋"/>
          <w:color w:val="000000"/>
          <w:sz w:val="32"/>
          <w:u w:color="auto"/>
        </w:rPr>
        <w:t>年，机关运行经费支出0.00</w:t>
      </w:r>
      <w:r>
        <w:rPr>
          <w:rFonts w:hint="eastAsia" w:ascii="仿宋" w:hAnsi="仿宋" w:eastAsia="仿宋"/>
          <w:color w:val="000000"/>
          <w:sz w:val="32"/>
          <w:szCs w:val="32"/>
        </w:rPr>
        <w:t>万元，比</w:t>
      </w:r>
      <w:r>
        <w:rPr>
          <w:rFonts w:ascii="仿宋" w:hAnsi="仿宋" w:eastAsia="仿宋"/>
          <w:color w:val="000000"/>
          <w:sz w:val="32"/>
          <w:u w:color="auto"/>
        </w:rPr>
        <w:t>2021年增加0.00</w:t>
      </w:r>
      <w:r>
        <w:rPr>
          <w:rFonts w:hint="eastAsia" w:ascii="仿宋" w:hAnsi="仿宋" w:eastAsia="仿宋"/>
          <w:color w:val="000000"/>
          <w:sz w:val="32"/>
          <w:szCs w:val="32"/>
        </w:rPr>
        <w:t>万元，</w:t>
      </w:r>
      <w:r>
        <w:rPr>
          <w:rFonts w:ascii="仿宋" w:hAnsi="仿宋" w:eastAsia="仿宋"/>
          <w:color w:val="000000"/>
          <w:sz w:val="32"/>
          <w:u w:color="auto"/>
        </w:rPr>
        <w:t xml:space="preserve">增加100.00 %。 </w:t>
      </w:r>
    </w:p>
    <w:p>
      <w:pPr>
        <w:spacing w:line="600" w:lineRule="exact"/>
        <w:ind w:firstLine="643" w:firstLineChars="200"/>
        <w:outlineLvl w:val="2"/>
        <w:rPr>
          <w:rFonts w:ascii="仿宋" w:hAnsi="仿宋" w:eastAsia="仿宋"/>
          <w:b/>
          <w:color w:val="000000"/>
          <w:sz w:val="32"/>
          <w:szCs w:val="32"/>
        </w:rPr>
      </w:pPr>
      <w:bookmarkStart w:id="65" w:name="_Toc15377223"/>
      <w:r>
        <w:rPr>
          <w:rFonts w:hint="eastAsia" w:ascii="仿宋" w:hAnsi="仿宋" w:eastAsia="仿宋"/>
          <w:b/>
          <w:color w:val="000000"/>
          <w:sz w:val="32"/>
          <w:szCs w:val="32"/>
        </w:rPr>
        <w:t>（二）政府采购支出情况</w:t>
      </w:r>
      <w:bookmarkEnd w:id="65"/>
      <w:r>
        <w:rPr>
          <w:rFonts w:hint="eastAsia" w:ascii="仿宋" w:hAnsi="仿宋" w:eastAsia="仿宋"/>
          <w:b/>
          <w:color w:val="000000"/>
          <w:sz w:val="32"/>
          <w:szCs w:val="32"/>
          <w:lang w:eastAsia="zh-CN"/>
        </w:rPr>
        <w:t>（</w:t>
      </w:r>
      <w:r>
        <w:rPr>
          <w:rFonts w:hint="eastAsia" w:ascii="仿宋" w:hAnsi="仿宋" w:eastAsia="仿宋"/>
          <w:b/>
          <w:color w:val="000000"/>
          <w:sz w:val="32"/>
          <w:szCs w:val="32"/>
        </w:rPr>
        <w:t>机构运行信息表</w:t>
      </w:r>
      <w:r>
        <w:rPr>
          <w:rFonts w:hint="eastAsia" w:ascii="仿宋" w:hAnsi="仿宋" w:eastAsia="仿宋"/>
          <w:b/>
          <w:color w:val="000000"/>
          <w:sz w:val="32"/>
          <w:szCs w:val="32"/>
          <w:lang w:eastAsia="zh-CN"/>
        </w:rPr>
        <w:t>）</w:t>
      </w:r>
    </w:p>
    <w:p>
      <w:pPr>
        <w:spacing w:line="600" w:lineRule="exact"/>
        <w:ind w:firstLine="640"/>
        <w:rPr>
          <w:rFonts w:ascii="仿宋_GB2312" w:eastAsia="仿宋_GB2312"/>
          <w:color w:val="000000"/>
          <w:sz w:val="32"/>
          <w:szCs w:val="32"/>
        </w:rPr>
      </w:pPr>
      <w:r>
        <w:rPr>
          <w:rFonts w:hint="eastAsia" w:ascii="仿宋" w:hAnsi="仿宋" w:eastAsia="仿宋"/>
          <w:color w:val="000000"/>
          <w:sz w:val="32"/>
          <w:szCs w:val="32"/>
        </w:rPr>
        <w:t>2022</w:t>
      </w:r>
      <w:r>
        <w:rPr>
          <w:rFonts w:ascii="仿宋" w:hAnsi="仿宋" w:eastAsia="仿宋"/>
          <w:color w:val="000000"/>
          <w:sz w:val="32"/>
          <w:u w:color="auto"/>
        </w:rPr>
        <w:t>年，政府采购支出总额0.00</w:t>
      </w:r>
      <w:r>
        <w:rPr>
          <w:rFonts w:hint="eastAsia" w:ascii="仿宋" w:hAnsi="仿宋" w:eastAsia="仿宋"/>
          <w:color w:val="000000"/>
          <w:sz w:val="32"/>
          <w:szCs w:val="32"/>
        </w:rPr>
        <w:t>万元，其中：政府采购货物支出</w:t>
      </w:r>
      <w:r>
        <w:rPr>
          <w:rFonts w:ascii="仿宋" w:hAnsi="仿宋" w:eastAsia="仿宋"/>
          <w:color w:val="000000"/>
          <w:sz w:val="32"/>
          <w:u w:color="auto"/>
        </w:rPr>
        <w:t>0.00</w:t>
      </w:r>
      <w:r>
        <w:rPr>
          <w:rFonts w:hint="eastAsia" w:ascii="仿宋" w:hAnsi="仿宋" w:eastAsia="仿宋"/>
          <w:color w:val="000000"/>
          <w:sz w:val="32"/>
          <w:szCs w:val="32"/>
        </w:rPr>
        <w:t>万元、政府采购工程支出</w:t>
      </w:r>
      <w:r>
        <w:rPr>
          <w:rFonts w:ascii="仿宋" w:hAnsi="仿宋" w:eastAsia="仿宋"/>
          <w:color w:val="000000"/>
          <w:sz w:val="32"/>
          <w:u w:color="auto"/>
        </w:rPr>
        <w:t>0.00</w:t>
      </w:r>
      <w:r>
        <w:rPr>
          <w:rFonts w:hint="eastAsia" w:ascii="仿宋" w:hAnsi="仿宋" w:eastAsia="仿宋"/>
          <w:color w:val="000000"/>
          <w:sz w:val="32"/>
          <w:szCs w:val="32"/>
        </w:rPr>
        <w:t>万元、政府采购服务支出</w:t>
      </w:r>
      <w:r>
        <w:rPr>
          <w:rFonts w:ascii="仿宋" w:hAnsi="仿宋" w:eastAsia="仿宋"/>
          <w:color w:val="000000"/>
          <w:sz w:val="32"/>
          <w:u w:color="auto"/>
        </w:rPr>
        <w:t>0.00</w:t>
      </w:r>
      <w:r>
        <w:rPr>
          <w:rFonts w:hint="eastAsia" w:ascii="仿宋" w:hAnsi="仿宋" w:eastAsia="仿宋"/>
          <w:color w:val="000000"/>
          <w:sz w:val="32"/>
          <w:szCs w:val="32"/>
        </w:rPr>
        <w:t>万元。授予中小企业合同金额</w:t>
      </w:r>
      <w:r>
        <w:rPr>
          <w:rFonts w:ascii="仿宋" w:hAnsi="仿宋" w:eastAsia="仿宋"/>
          <w:color w:val="000000"/>
          <w:sz w:val="32"/>
          <w:u w:color="auto"/>
        </w:rPr>
        <w:t>0.00</w:t>
      </w:r>
      <w:r>
        <w:rPr>
          <w:rFonts w:hint="eastAsia" w:ascii="仿宋" w:hAnsi="仿宋" w:eastAsia="仿宋"/>
          <w:color w:val="000000"/>
          <w:sz w:val="32"/>
          <w:szCs w:val="32"/>
        </w:rPr>
        <w:t>万元，其中：授予小微企业合同金额</w:t>
      </w:r>
      <w:r>
        <w:rPr>
          <w:rFonts w:ascii="仿宋" w:hAnsi="仿宋" w:eastAsia="仿宋"/>
          <w:color w:val="000000"/>
          <w:sz w:val="32"/>
          <w:u w:color="auto"/>
        </w:rPr>
        <w:t>0.00</w:t>
      </w:r>
      <w:r>
        <w:rPr>
          <w:rFonts w:hint="eastAsia" w:ascii="仿宋" w:hAnsi="仿宋" w:eastAsia="仿宋"/>
          <w:color w:val="000000"/>
          <w:sz w:val="32"/>
          <w:szCs w:val="32"/>
        </w:rPr>
        <w:t>万元，占总合同的</w:t>
      </w:r>
      <w:r>
        <w:rPr>
          <w:rFonts w:ascii="仿宋" w:hAnsi="仿宋" w:eastAsia="仿宋"/>
          <w:color w:val="000000"/>
          <w:sz w:val="32"/>
          <w:u w:color="auto"/>
        </w:rPr>
        <w:t>0.00</w:t>
      </w:r>
      <w:r>
        <w:rPr>
          <w:rFonts w:hint="eastAsia" w:ascii="仿宋" w:hAnsi="仿宋" w:eastAsia="仿宋"/>
          <w:color w:val="000000"/>
          <w:sz w:val="32"/>
          <w:szCs w:val="32"/>
        </w:rPr>
        <w:t>%。</w:t>
      </w:r>
    </w:p>
    <w:p>
      <w:pPr>
        <w:spacing w:line="600" w:lineRule="exact"/>
        <w:ind w:firstLine="643" w:firstLineChars="200"/>
        <w:outlineLvl w:val="2"/>
        <w:rPr>
          <w:rFonts w:ascii="仿宋" w:hAnsi="仿宋" w:eastAsia="仿宋"/>
          <w:b/>
          <w:color w:val="000000"/>
          <w:sz w:val="32"/>
          <w:szCs w:val="32"/>
        </w:rPr>
      </w:pPr>
      <w:bookmarkStart w:id="66" w:name="_Toc15377224"/>
      <w:r>
        <w:rPr>
          <w:rFonts w:hint="eastAsia" w:ascii="仿宋" w:hAnsi="仿宋" w:eastAsia="仿宋"/>
          <w:b/>
          <w:color w:val="000000"/>
          <w:sz w:val="32"/>
          <w:szCs w:val="32"/>
        </w:rPr>
        <w:t>（三）国有资产占有使用情况</w:t>
      </w:r>
      <w:bookmarkEnd w:id="66"/>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截至</w:t>
      </w:r>
      <w:r>
        <w:rPr>
          <w:rFonts w:ascii="仿宋" w:hAnsi="仿宋" w:eastAsia="仿宋"/>
          <w:color w:val="000000"/>
          <w:sz w:val="32"/>
          <w:u w:color="auto"/>
        </w:rPr>
        <w:t>2022年</w:t>
      </w:r>
      <w:r>
        <w:rPr>
          <w:rFonts w:ascii="仿宋" w:hAnsi="仿宋" w:eastAsia="仿宋"/>
          <w:color w:val="000000"/>
          <w:sz w:val="32"/>
          <w:szCs w:val="32"/>
        </w:rPr>
        <w:t>12</w:t>
      </w:r>
      <w:r>
        <w:rPr>
          <w:rFonts w:hint="eastAsia" w:ascii="仿宋" w:hAnsi="仿宋" w:eastAsia="仿宋"/>
          <w:color w:val="000000"/>
          <w:sz w:val="32"/>
          <w:szCs w:val="32"/>
        </w:rPr>
        <w:t>月</w:t>
      </w:r>
      <w:r>
        <w:rPr>
          <w:rFonts w:ascii="仿宋" w:hAnsi="仿宋" w:eastAsia="仿宋"/>
          <w:color w:val="000000"/>
          <w:sz w:val="32"/>
          <w:szCs w:val="32"/>
        </w:rPr>
        <w:t>31</w:t>
      </w:r>
      <w:r>
        <w:rPr>
          <w:rFonts w:hint="eastAsia" w:ascii="仿宋" w:hAnsi="仿宋" w:eastAsia="仿宋"/>
          <w:color w:val="000000"/>
          <w:sz w:val="32"/>
          <w:szCs w:val="32"/>
        </w:rPr>
        <w:t>日，共有车辆</w:t>
      </w:r>
      <w:r>
        <w:rPr>
          <w:rFonts w:ascii="仿宋" w:hAnsi="仿宋" w:eastAsia="仿宋"/>
          <w:color w:val="000000"/>
          <w:sz w:val="32"/>
          <w:u w:color="auto"/>
        </w:rPr>
        <w:t>1辆，其中：主要领导干部用车0</w:t>
      </w:r>
      <w:r>
        <w:rPr>
          <w:rFonts w:hint="eastAsia" w:ascii="仿宋" w:hAnsi="仿宋" w:eastAsia="仿宋"/>
          <w:color w:val="000000"/>
          <w:sz w:val="32"/>
          <w:szCs w:val="32"/>
        </w:rPr>
        <w:t>辆、机要通信用车</w:t>
      </w:r>
      <w:r>
        <w:rPr>
          <w:rFonts w:ascii="仿宋" w:hAnsi="仿宋" w:eastAsia="仿宋"/>
          <w:color w:val="000000"/>
          <w:sz w:val="32"/>
          <w:u w:color="auto"/>
        </w:rPr>
        <w:t>0</w:t>
      </w:r>
      <w:r>
        <w:rPr>
          <w:rFonts w:hint="eastAsia" w:ascii="仿宋" w:hAnsi="仿宋" w:eastAsia="仿宋"/>
          <w:color w:val="000000"/>
          <w:sz w:val="32"/>
          <w:szCs w:val="32"/>
        </w:rPr>
        <w:t>辆、应急保障用车</w:t>
      </w:r>
      <w:r>
        <w:rPr>
          <w:rFonts w:ascii="仿宋" w:hAnsi="仿宋" w:eastAsia="仿宋"/>
          <w:color w:val="000000"/>
          <w:sz w:val="32"/>
          <w:u w:color="auto"/>
        </w:rPr>
        <w:t>0</w:t>
      </w:r>
      <w:r>
        <w:rPr>
          <w:rFonts w:hint="eastAsia" w:ascii="仿宋" w:hAnsi="仿宋" w:eastAsia="仿宋"/>
          <w:color w:val="000000"/>
          <w:sz w:val="32"/>
          <w:szCs w:val="32"/>
        </w:rPr>
        <w:t>辆、其他用车</w:t>
      </w:r>
      <w:r>
        <w:rPr>
          <w:rFonts w:ascii="仿宋" w:hAnsi="仿宋" w:eastAsia="仿宋"/>
          <w:color w:val="000000"/>
          <w:sz w:val="32"/>
          <w:u w:color="auto"/>
        </w:rPr>
        <w:t>1</w:t>
      </w:r>
      <w:r>
        <w:rPr>
          <w:rFonts w:hint="eastAsia" w:ascii="仿宋" w:hAnsi="仿宋" w:eastAsia="仿宋"/>
          <w:color w:val="000000"/>
          <w:sz w:val="32"/>
          <w:szCs w:val="32"/>
        </w:rPr>
        <w:t>辆。单价</w:t>
      </w:r>
      <w:r>
        <w:rPr>
          <w:rFonts w:ascii="仿宋" w:hAnsi="仿宋" w:eastAsia="仿宋"/>
          <w:color w:val="000000"/>
          <w:sz w:val="32"/>
          <w:szCs w:val="32"/>
        </w:rPr>
        <w:t>50</w:t>
      </w:r>
      <w:r>
        <w:rPr>
          <w:rFonts w:hint="eastAsia" w:ascii="仿宋" w:hAnsi="仿宋" w:eastAsia="仿宋"/>
          <w:color w:val="000000"/>
          <w:sz w:val="32"/>
          <w:szCs w:val="32"/>
        </w:rPr>
        <w:t>万元以上通用设备</w:t>
      </w:r>
      <w:r>
        <w:rPr>
          <w:rFonts w:ascii="仿宋" w:hAnsi="仿宋" w:eastAsia="仿宋"/>
          <w:color w:val="000000"/>
          <w:sz w:val="32"/>
          <w:u w:color="auto"/>
        </w:rPr>
        <w:t>0</w:t>
      </w:r>
      <w:r>
        <w:rPr>
          <w:rFonts w:hint="eastAsia" w:ascii="仿宋" w:hAnsi="仿宋" w:eastAsia="仿宋"/>
          <w:color w:val="000000"/>
          <w:sz w:val="32"/>
          <w:szCs w:val="32"/>
        </w:rPr>
        <w:t>台（套），单价</w:t>
      </w:r>
      <w:r>
        <w:rPr>
          <w:rFonts w:ascii="仿宋" w:hAnsi="仿宋" w:eastAsia="仿宋"/>
          <w:color w:val="000000"/>
          <w:sz w:val="32"/>
          <w:szCs w:val="32"/>
        </w:rPr>
        <w:t>100</w:t>
      </w:r>
      <w:r>
        <w:rPr>
          <w:rFonts w:hint="eastAsia" w:ascii="仿宋" w:hAnsi="仿宋" w:eastAsia="仿宋"/>
          <w:color w:val="000000"/>
          <w:sz w:val="32"/>
          <w:szCs w:val="32"/>
        </w:rPr>
        <w:t>万元以上专用设备</w:t>
      </w:r>
      <w:r>
        <w:rPr>
          <w:rFonts w:ascii="仿宋" w:hAnsi="仿宋" w:eastAsia="仿宋"/>
          <w:color w:val="000000"/>
          <w:sz w:val="32"/>
          <w:u w:color="auto"/>
        </w:rPr>
        <w:t>—</w:t>
      </w:r>
      <w:r>
        <w:rPr>
          <w:rFonts w:hint="eastAsia" w:ascii="仿宋" w:hAnsi="仿宋" w:eastAsia="仿宋"/>
          <w:color w:val="000000"/>
          <w:sz w:val="32"/>
          <w:szCs w:val="32"/>
        </w:rPr>
        <w:t>台（套）。</w:t>
      </w:r>
    </w:p>
    <w:p>
      <w:pPr>
        <w:spacing w:line="600" w:lineRule="exact"/>
        <w:ind w:firstLine="643" w:firstLineChars="200"/>
        <w:outlineLvl w:val="2"/>
        <w:rPr>
          <w:rFonts w:ascii="仿宋" w:hAnsi="仿宋" w:eastAsia="仿宋"/>
          <w:b/>
          <w:color w:val="000000"/>
          <w:sz w:val="32"/>
          <w:szCs w:val="32"/>
        </w:rPr>
      </w:pPr>
      <w:r>
        <w:rPr>
          <w:rFonts w:hint="eastAsia" w:ascii="仿宋" w:hAnsi="仿宋" w:eastAsia="仿宋"/>
          <w:b/>
          <w:color w:val="000000"/>
          <w:sz w:val="32"/>
          <w:szCs w:val="32"/>
        </w:rPr>
        <w:t>（四）预算绩效管理情况</w:t>
      </w:r>
    </w:p>
    <w:p>
      <w:pPr>
        <w:widowControl/>
        <w:adjustRightInd w:val="0"/>
        <w:snapToGrid w:val="0"/>
        <w:spacing w:line="580" w:lineRule="exact"/>
        <w:ind w:firstLine="210" w:firstLineChars="100"/>
        <w:contextualSpacing/>
        <w:jc w:val="left"/>
        <w:rPr>
          <w:rFonts w:hint="eastAsia" w:ascii="仿宋_GB2312" w:cs="宋体"/>
          <w:color w:val="000000"/>
          <w:kern w:val="0"/>
          <w:szCs w:val="32"/>
          <w:highlight w:val="none"/>
          <w:shd w:val="clear" w:color="auto" w:fill="FFFFFF"/>
          <w:lang w:val="zh-CN"/>
        </w:rPr>
      </w:pPr>
      <w:r>
        <w:rPr>
          <w:rFonts w:hint="eastAsia" w:ascii="仿宋_GB2312" w:cs="宋体"/>
          <w:color w:val="000000"/>
          <w:kern w:val="0"/>
          <w:szCs w:val="32"/>
          <w:highlight w:val="none"/>
          <w:shd w:val="clear" w:color="auto" w:fill="FFFFFF"/>
          <w:lang w:val="zh-CN"/>
        </w:rPr>
        <w:t>（一）部门财政资金收入情况。</w:t>
      </w:r>
    </w:p>
    <w:p>
      <w:pPr>
        <w:widowControl/>
        <w:adjustRightInd w:val="0"/>
        <w:snapToGrid w:val="0"/>
        <w:spacing w:line="580" w:lineRule="exact"/>
        <w:ind w:firstLine="420" w:firstLineChars="200"/>
        <w:contextualSpacing/>
        <w:jc w:val="left"/>
        <w:rPr>
          <w:rFonts w:hint="eastAsia" w:ascii="仿宋_GB2312" w:cs="宋体"/>
          <w:color w:val="000000"/>
          <w:kern w:val="0"/>
          <w:szCs w:val="32"/>
          <w:highlight w:val="none"/>
          <w:shd w:val="clear" w:color="auto" w:fill="FFFFFF"/>
          <w:lang w:val="zh-CN"/>
        </w:rPr>
      </w:pPr>
      <w:r>
        <w:rPr>
          <w:rFonts w:hint="eastAsia" w:ascii="仿宋_GB2312" w:cs="宋体"/>
          <w:color w:val="000000"/>
          <w:kern w:val="0"/>
          <w:szCs w:val="32"/>
          <w:highlight w:val="none"/>
          <w:shd w:val="clear" w:color="auto" w:fill="FFFFFF"/>
          <w:lang w:val="zh-CN"/>
        </w:rPr>
        <w:t>202</w:t>
      </w:r>
      <w:r>
        <w:rPr>
          <w:rFonts w:hint="eastAsia" w:ascii="仿宋_GB2312" w:cs="宋体"/>
          <w:color w:val="000000"/>
          <w:kern w:val="0"/>
          <w:szCs w:val="32"/>
          <w:highlight w:val="none"/>
          <w:shd w:val="clear" w:color="auto" w:fill="FFFFFF"/>
          <w:lang w:val="en-US" w:eastAsia="zh-CN"/>
        </w:rPr>
        <w:t>2</w:t>
      </w:r>
      <w:r>
        <w:rPr>
          <w:rFonts w:hint="eastAsia" w:ascii="仿宋_GB2312" w:cs="宋体"/>
          <w:color w:val="000000"/>
          <w:kern w:val="0"/>
          <w:szCs w:val="32"/>
          <w:highlight w:val="none"/>
          <w:shd w:val="clear" w:color="auto" w:fill="FFFFFF"/>
          <w:lang w:val="zh-CN"/>
        </w:rPr>
        <w:t>年度财政拨款收入总计</w:t>
      </w:r>
      <w:r>
        <w:rPr>
          <w:rFonts w:hint="eastAsia" w:ascii="仿宋_GB2312" w:cs="宋体"/>
          <w:color w:val="000000"/>
          <w:kern w:val="0"/>
          <w:szCs w:val="32"/>
          <w:highlight w:val="none"/>
          <w:shd w:val="clear" w:color="auto" w:fill="FFFFFF"/>
          <w:lang w:val="en-US" w:eastAsia="zh-CN"/>
        </w:rPr>
        <w:t>155.23</w:t>
      </w:r>
      <w:r>
        <w:rPr>
          <w:rFonts w:hint="eastAsia" w:ascii="仿宋_GB2312" w:cs="宋体"/>
          <w:color w:val="000000"/>
          <w:kern w:val="0"/>
          <w:szCs w:val="32"/>
          <w:highlight w:val="none"/>
          <w:shd w:val="clear" w:color="auto" w:fill="FFFFFF"/>
          <w:lang w:val="zh-CN"/>
        </w:rPr>
        <w:t>万元（</w:t>
      </w:r>
      <w:r>
        <w:rPr>
          <w:rFonts w:hint="eastAsia" w:ascii="仿宋_GB2312" w:cs="宋体"/>
          <w:color w:val="000000"/>
          <w:kern w:val="0"/>
          <w:szCs w:val="32"/>
          <w:highlight w:val="none"/>
          <w:shd w:val="clear" w:color="auto" w:fill="FFFFFF"/>
          <w:lang w:val="en-US" w:eastAsia="zh-CN"/>
        </w:rPr>
        <w:t>2021年以前所有卫生院资金合并在大平台未分开）。</w:t>
      </w:r>
    </w:p>
    <w:p>
      <w:pPr>
        <w:widowControl/>
        <w:adjustRightInd w:val="0"/>
        <w:snapToGrid w:val="0"/>
        <w:spacing w:line="580" w:lineRule="exact"/>
        <w:ind w:firstLine="420" w:firstLineChars="200"/>
        <w:contextualSpacing/>
        <w:jc w:val="left"/>
        <w:rPr>
          <w:rFonts w:hint="eastAsia" w:ascii="仿宋_GB2312" w:cs="宋体"/>
          <w:color w:val="000000"/>
          <w:kern w:val="0"/>
          <w:szCs w:val="32"/>
          <w:highlight w:val="none"/>
          <w:shd w:val="clear" w:color="auto" w:fill="FFFFFF"/>
          <w:lang w:val="zh-CN"/>
        </w:rPr>
      </w:pPr>
      <w:r>
        <w:rPr>
          <w:rFonts w:hint="eastAsia" w:ascii="仿宋_GB2312" w:cs="宋体"/>
          <w:color w:val="000000"/>
          <w:kern w:val="0"/>
          <w:szCs w:val="32"/>
          <w:highlight w:val="none"/>
          <w:shd w:val="clear" w:color="auto" w:fill="FFFFFF"/>
          <w:lang w:val="zh-CN"/>
        </w:rPr>
        <w:t>202</w:t>
      </w:r>
      <w:r>
        <w:rPr>
          <w:rFonts w:hint="eastAsia" w:ascii="仿宋_GB2312" w:cs="宋体"/>
          <w:color w:val="000000"/>
          <w:kern w:val="0"/>
          <w:szCs w:val="32"/>
          <w:highlight w:val="none"/>
          <w:shd w:val="clear" w:color="auto" w:fill="FFFFFF"/>
          <w:lang w:val="en-US" w:eastAsia="zh-CN"/>
        </w:rPr>
        <w:t>3</w:t>
      </w:r>
      <w:r>
        <w:rPr>
          <w:rFonts w:hint="eastAsia" w:ascii="仿宋_GB2312" w:cs="宋体"/>
          <w:color w:val="000000"/>
          <w:kern w:val="0"/>
          <w:szCs w:val="32"/>
          <w:highlight w:val="none"/>
          <w:shd w:val="clear" w:color="auto" w:fill="FFFFFF"/>
          <w:lang w:val="zh-CN"/>
        </w:rPr>
        <w:t>年1-6月公共预算财政拨款收入</w:t>
      </w:r>
      <w:r>
        <w:rPr>
          <w:rFonts w:hint="eastAsia" w:ascii="仿宋_GB2312" w:cs="宋体"/>
          <w:color w:val="000000"/>
          <w:kern w:val="0"/>
          <w:szCs w:val="32"/>
          <w:highlight w:val="none"/>
          <w:shd w:val="clear" w:color="auto" w:fill="FFFFFF"/>
          <w:lang w:val="en-US" w:eastAsia="zh-CN"/>
        </w:rPr>
        <w:t>163.60</w:t>
      </w:r>
      <w:r>
        <w:rPr>
          <w:rFonts w:hint="eastAsia" w:ascii="仿宋_GB2312" w:cs="宋体"/>
          <w:color w:val="000000"/>
          <w:kern w:val="0"/>
          <w:szCs w:val="32"/>
          <w:highlight w:val="none"/>
          <w:shd w:val="clear" w:color="auto" w:fill="FFFFFF"/>
          <w:lang w:val="zh-CN"/>
        </w:rPr>
        <w:t>万元</w:t>
      </w:r>
    </w:p>
    <w:p>
      <w:pPr>
        <w:widowControl/>
        <w:adjustRightInd w:val="0"/>
        <w:snapToGrid w:val="0"/>
        <w:spacing w:line="580" w:lineRule="exact"/>
        <w:ind w:firstLine="420" w:firstLineChars="200"/>
        <w:contextualSpacing/>
        <w:jc w:val="left"/>
        <w:rPr>
          <w:rFonts w:hint="eastAsia" w:ascii="仿宋_GB2312" w:cs="宋体"/>
          <w:color w:val="000000"/>
          <w:kern w:val="0"/>
          <w:szCs w:val="32"/>
          <w:highlight w:val="none"/>
          <w:shd w:val="clear" w:color="auto" w:fill="FFFFFF"/>
          <w:lang w:val="zh-CN"/>
        </w:rPr>
      </w:pPr>
      <w:r>
        <w:rPr>
          <w:rFonts w:hint="eastAsia" w:ascii="仿宋_GB2312" w:cs="宋体"/>
          <w:color w:val="000000"/>
          <w:kern w:val="0"/>
          <w:szCs w:val="32"/>
          <w:highlight w:val="none"/>
          <w:shd w:val="clear" w:color="auto" w:fill="FFFFFF"/>
          <w:lang w:val="zh-CN"/>
        </w:rPr>
        <w:t>（二）部门财政资金支出情况。</w:t>
      </w:r>
    </w:p>
    <w:p>
      <w:pPr>
        <w:widowControl/>
        <w:adjustRightInd w:val="0"/>
        <w:snapToGrid w:val="0"/>
        <w:spacing w:line="580" w:lineRule="exact"/>
        <w:ind w:firstLine="420" w:firstLineChars="200"/>
        <w:contextualSpacing/>
        <w:jc w:val="left"/>
        <w:rPr>
          <w:rFonts w:hint="eastAsia" w:ascii="仿宋_GB2312" w:cs="宋体"/>
          <w:color w:val="000000"/>
          <w:kern w:val="0"/>
          <w:szCs w:val="32"/>
          <w:highlight w:val="none"/>
          <w:shd w:val="clear" w:color="auto" w:fill="FFFFFF"/>
          <w:lang w:val="zh-CN"/>
        </w:rPr>
      </w:pPr>
      <w:r>
        <w:rPr>
          <w:rFonts w:hint="eastAsia" w:ascii="仿宋_GB2312" w:cs="宋体"/>
          <w:color w:val="000000"/>
          <w:kern w:val="0"/>
          <w:szCs w:val="32"/>
          <w:highlight w:val="none"/>
          <w:shd w:val="clear" w:color="auto" w:fill="FFFFFF"/>
          <w:lang w:val="zh-CN"/>
        </w:rPr>
        <w:t>202</w:t>
      </w:r>
      <w:r>
        <w:rPr>
          <w:rFonts w:hint="eastAsia" w:ascii="仿宋_GB2312" w:cs="宋体"/>
          <w:color w:val="000000"/>
          <w:kern w:val="0"/>
          <w:szCs w:val="32"/>
          <w:highlight w:val="none"/>
          <w:shd w:val="clear" w:color="auto" w:fill="FFFFFF"/>
          <w:lang w:val="en-US" w:eastAsia="zh-CN"/>
        </w:rPr>
        <w:t>2</w:t>
      </w:r>
      <w:r>
        <w:rPr>
          <w:rFonts w:hint="eastAsia" w:ascii="仿宋_GB2312" w:cs="宋体"/>
          <w:color w:val="000000"/>
          <w:kern w:val="0"/>
          <w:szCs w:val="32"/>
          <w:highlight w:val="none"/>
          <w:shd w:val="clear" w:color="auto" w:fill="FFFFFF"/>
          <w:lang w:val="zh-CN"/>
        </w:rPr>
        <w:t>年度财政拨款支出</w:t>
      </w:r>
      <w:r>
        <w:rPr>
          <w:rFonts w:hint="eastAsia" w:ascii="仿宋_GB2312" w:cs="宋体"/>
          <w:color w:val="000000"/>
          <w:kern w:val="0"/>
          <w:szCs w:val="32"/>
          <w:highlight w:val="none"/>
          <w:shd w:val="clear" w:color="auto" w:fill="FFFFFF"/>
          <w:lang w:val="en-US" w:eastAsia="zh-CN"/>
        </w:rPr>
        <w:t>151.78</w:t>
      </w:r>
      <w:r>
        <w:rPr>
          <w:rFonts w:hint="eastAsia" w:ascii="仿宋_GB2312" w:cs="宋体"/>
          <w:color w:val="000000"/>
          <w:kern w:val="0"/>
          <w:szCs w:val="32"/>
          <w:highlight w:val="none"/>
          <w:shd w:val="clear" w:color="auto" w:fill="FFFFFF"/>
          <w:lang w:val="zh-CN"/>
        </w:rPr>
        <w:t>万元（</w:t>
      </w:r>
      <w:r>
        <w:rPr>
          <w:rFonts w:hint="eastAsia" w:ascii="仿宋_GB2312" w:cs="宋体"/>
          <w:color w:val="000000"/>
          <w:kern w:val="0"/>
          <w:szCs w:val="32"/>
          <w:highlight w:val="none"/>
          <w:shd w:val="clear" w:color="auto" w:fill="FFFFFF"/>
          <w:lang w:val="en-US" w:eastAsia="zh-CN"/>
        </w:rPr>
        <w:t>2021年以前所有卫生院资金合并在大平台未分开）</w:t>
      </w:r>
      <w:r>
        <w:rPr>
          <w:rFonts w:hint="eastAsia" w:ascii="仿宋_GB2312" w:cs="宋体"/>
          <w:color w:val="000000"/>
          <w:kern w:val="0"/>
          <w:szCs w:val="32"/>
          <w:highlight w:val="none"/>
          <w:shd w:val="clear" w:color="auto" w:fill="FFFFFF"/>
          <w:lang w:val="zh-CN"/>
        </w:rPr>
        <w:t>。</w:t>
      </w:r>
    </w:p>
    <w:p>
      <w:pPr>
        <w:widowControl/>
        <w:adjustRightInd w:val="0"/>
        <w:snapToGrid w:val="0"/>
        <w:spacing w:line="580" w:lineRule="exact"/>
        <w:ind w:firstLine="420" w:firstLineChars="200"/>
        <w:contextualSpacing/>
        <w:jc w:val="left"/>
        <w:rPr>
          <w:rFonts w:hint="eastAsia" w:ascii="仿宋_GB2312" w:cs="宋体"/>
          <w:color w:val="000000"/>
          <w:kern w:val="0"/>
          <w:szCs w:val="32"/>
          <w:highlight w:val="none"/>
          <w:shd w:val="clear" w:color="auto" w:fill="FFFFFF"/>
          <w:lang w:val="zh-CN"/>
        </w:rPr>
      </w:pPr>
      <w:r>
        <w:rPr>
          <w:rFonts w:hint="eastAsia" w:ascii="仿宋_GB2312" w:cs="宋体"/>
          <w:color w:val="000000"/>
          <w:kern w:val="0"/>
          <w:szCs w:val="32"/>
          <w:highlight w:val="none"/>
          <w:shd w:val="clear" w:color="auto" w:fill="FFFFFF"/>
          <w:lang w:val="zh-CN"/>
        </w:rPr>
        <w:t>1、202</w:t>
      </w:r>
      <w:r>
        <w:rPr>
          <w:rFonts w:hint="eastAsia" w:ascii="仿宋_GB2312" w:cs="宋体"/>
          <w:color w:val="000000"/>
          <w:kern w:val="0"/>
          <w:szCs w:val="32"/>
          <w:highlight w:val="none"/>
          <w:shd w:val="clear" w:color="auto" w:fill="FFFFFF"/>
          <w:lang w:val="en-US" w:eastAsia="zh-CN"/>
        </w:rPr>
        <w:t>2</w:t>
      </w:r>
      <w:r>
        <w:rPr>
          <w:rFonts w:hint="eastAsia" w:ascii="仿宋_GB2312" w:cs="宋体"/>
          <w:color w:val="000000"/>
          <w:kern w:val="0"/>
          <w:szCs w:val="32"/>
          <w:highlight w:val="none"/>
          <w:shd w:val="clear" w:color="auto" w:fill="FFFFFF"/>
          <w:lang w:val="zh-CN"/>
        </w:rPr>
        <w:t>年度一般公共预算财政拨款基本支</w:t>
      </w:r>
      <w:r>
        <w:rPr>
          <w:rFonts w:hint="eastAsia" w:ascii="仿宋_GB2312" w:cs="宋体"/>
          <w:color w:val="000000"/>
          <w:kern w:val="0"/>
          <w:szCs w:val="32"/>
          <w:highlight w:val="none"/>
          <w:shd w:val="clear" w:color="auto" w:fill="FFFFFF"/>
          <w:lang w:val="en-US" w:eastAsia="zh-CN"/>
        </w:rPr>
        <w:t>出129.87</w:t>
      </w:r>
      <w:r>
        <w:rPr>
          <w:rFonts w:hint="eastAsia" w:ascii="仿宋_GB2312" w:cs="宋体"/>
          <w:color w:val="000000"/>
          <w:kern w:val="0"/>
          <w:szCs w:val="32"/>
          <w:highlight w:val="none"/>
          <w:shd w:val="clear" w:color="auto" w:fill="FFFFFF"/>
          <w:lang w:val="zh-CN"/>
        </w:rPr>
        <w:t>万元，其中：</w:t>
      </w:r>
    </w:p>
    <w:p>
      <w:pPr>
        <w:widowControl/>
        <w:adjustRightInd w:val="0"/>
        <w:snapToGrid w:val="0"/>
        <w:spacing w:line="580" w:lineRule="exact"/>
        <w:ind w:firstLine="420" w:firstLineChars="200"/>
        <w:contextualSpacing/>
        <w:jc w:val="left"/>
        <w:rPr>
          <w:rFonts w:hint="eastAsia" w:ascii="仿宋_GB2312" w:cs="宋体"/>
          <w:color w:val="000000"/>
          <w:kern w:val="0"/>
          <w:szCs w:val="32"/>
          <w:highlight w:val="none"/>
          <w:shd w:val="clear" w:color="auto" w:fill="FFFFFF"/>
          <w:lang w:val="zh-CN"/>
        </w:rPr>
      </w:pPr>
      <w:r>
        <w:rPr>
          <w:rFonts w:hint="eastAsia" w:ascii="仿宋_GB2312" w:cs="宋体"/>
          <w:color w:val="000000"/>
          <w:kern w:val="0"/>
          <w:szCs w:val="32"/>
          <w:highlight w:val="none"/>
          <w:shd w:val="clear" w:color="auto" w:fill="FFFFFF"/>
          <w:lang w:val="zh-CN"/>
        </w:rPr>
        <w:t>人员经费</w:t>
      </w:r>
      <w:r>
        <w:rPr>
          <w:rFonts w:hint="eastAsia" w:ascii="仿宋_GB2312" w:cs="宋体"/>
          <w:color w:val="000000"/>
          <w:kern w:val="0"/>
          <w:szCs w:val="32"/>
          <w:highlight w:val="none"/>
          <w:shd w:val="clear" w:color="auto" w:fill="FFFFFF"/>
          <w:lang w:val="en-US" w:eastAsia="zh-CN"/>
        </w:rPr>
        <w:t>128.44</w:t>
      </w:r>
      <w:r>
        <w:rPr>
          <w:rFonts w:hint="eastAsia" w:ascii="仿宋_GB2312" w:cs="宋体"/>
          <w:color w:val="000000"/>
          <w:kern w:val="0"/>
          <w:szCs w:val="32"/>
          <w:highlight w:val="none"/>
          <w:shd w:val="clear" w:color="auto" w:fill="FFFFFF"/>
          <w:lang w:val="zh-CN"/>
        </w:rPr>
        <w:t>万元，主要包括：基本工资、津贴补贴、奖金、伙食补助费、绩效工资、机关事业单位基本养老保险缴费、职业年金缴费、其他社会保障缴费、其他工资福利支出、离休费、退休费、抚恤金、生活补助、医疗费、奖励金、住房公积金、提租补贴、购房补贴、其他对个人和家庭的补助支出等。</w:t>
      </w:r>
    </w:p>
    <w:p>
      <w:pPr>
        <w:widowControl/>
        <w:adjustRightInd w:val="0"/>
        <w:snapToGrid w:val="0"/>
        <w:spacing w:line="580" w:lineRule="exact"/>
        <w:ind w:firstLine="420" w:firstLineChars="200"/>
        <w:contextualSpacing/>
        <w:jc w:val="left"/>
        <w:rPr>
          <w:rFonts w:hint="eastAsia" w:ascii="仿宋_GB2312" w:cs="宋体"/>
          <w:color w:val="000000"/>
          <w:kern w:val="0"/>
          <w:szCs w:val="32"/>
          <w:highlight w:val="none"/>
          <w:shd w:val="clear" w:color="auto" w:fill="FFFFFF"/>
          <w:lang w:val="en-US" w:eastAsia="zh-CN"/>
        </w:rPr>
      </w:pPr>
      <w:r>
        <w:rPr>
          <w:rFonts w:hint="eastAsia" w:ascii="仿宋_GB2312" w:cs="宋体"/>
          <w:color w:val="000000"/>
          <w:kern w:val="0"/>
          <w:szCs w:val="32"/>
          <w:highlight w:val="none"/>
          <w:shd w:val="clear" w:color="auto" w:fill="FFFFFF"/>
          <w:lang w:val="zh-CN"/>
        </w:rPr>
        <w:t>公用经费</w:t>
      </w:r>
      <w:r>
        <w:rPr>
          <w:rFonts w:hint="eastAsia" w:ascii="仿宋_GB2312" w:cs="宋体"/>
          <w:color w:val="000000"/>
          <w:kern w:val="0"/>
          <w:szCs w:val="32"/>
          <w:highlight w:val="none"/>
          <w:shd w:val="clear" w:color="auto" w:fill="FFFFFF"/>
          <w:lang w:val="en-US" w:eastAsia="zh-CN"/>
        </w:rPr>
        <w:t>1.43</w:t>
      </w:r>
      <w:r>
        <w:rPr>
          <w:rFonts w:hint="eastAsia" w:ascii="仿宋_GB2312" w:cs="宋体"/>
          <w:color w:val="000000"/>
          <w:kern w:val="0"/>
          <w:szCs w:val="32"/>
          <w:highlight w:val="none"/>
          <w:shd w:val="clear" w:color="auto" w:fill="FFFFFF"/>
          <w:lang w:val="zh-CN"/>
        </w:rPr>
        <w:t>万元，主要包括：工会经费</w:t>
      </w:r>
      <w:r>
        <w:rPr>
          <w:rFonts w:hint="eastAsia" w:ascii="仿宋_GB2312" w:cs="宋体"/>
          <w:color w:val="000000"/>
          <w:kern w:val="0"/>
          <w:szCs w:val="32"/>
          <w:highlight w:val="none"/>
          <w:shd w:val="clear" w:color="auto" w:fill="FFFFFF"/>
          <w:lang w:val="en-US" w:eastAsia="zh-CN"/>
        </w:rPr>
        <w:t>.</w:t>
      </w:r>
    </w:p>
    <w:p>
      <w:pPr>
        <w:widowControl/>
        <w:adjustRightInd w:val="0"/>
        <w:snapToGrid w:val="0"/>
        <w:spacing w:line="580" w:lineRule="exact"/>
        <w:ind w:firstLine="420" w:firstLineChars="200"/>
        <w:contextualSpacing/>
        <w:jc w:val="left"/>
        <w:rPr>
          <w:rFonts w:hint="default" w:ascii="仿宋_GB2312" w:cs="宋体"/>
          <w:color w:val="000000"/>
          <w:kern w:val="0"/>
          <w:szCs w:val="32"/>
          <w:highlight w:val="none"/>
          <w:shd w:val="clear" w:color="auto" w:fill="FFFFFF"/>
          <w:lang w:val="en-US" w:eastAsia="zh-CN"/>
        </w:rPr>
      </w:pPr>
      <w:r>
        <w:rPr>
          <w:rFonts w:hint="eastAsia" w:ascii="仿宋_GB2312" w:cs="宋体"/>
          <w:color w:val="000000"/>
          <w:kern w:val="0"/>
          <w:szCs w:val="32"/>
          <w:highlight w:val="none"/>
          <w:shd w:val="clear" w:color="auto" w:fill="FFFFFF"/>
          <w:lang w:val="en-US" w:eastAsia="zh-CN"/>
        </w:rPr>
        <w:t>2、</w:t>
      </w:r>
      <w:r>
        <w:rPr>
          <w:rFonts w:hint="eastAsia" w:ascii="仿宋_GB2312" w:cs="宋体"/>
          <w:color w:val="000000"/>
          <w:kern w:val="0"/>
          <w:szCs w:val="32"/>
          <w:highlight w:val="none"/>
          <w:shd w:val="clear" w:color="auto" w:fill="FFFFFF"/>
          <w:lang w:val="zh-CN"/>
        </w:rPr>
        <w:t>202</w:t>
      </w:r>
      <w:r>
        <w:rPr>
          <w:rFonts w:hint="eastAsia" w:ascii="仿宋_GB2312" w:cs="宋体"/>
          <w:color w:val="000000"/>
          <w:kern w:val="0"/>
          <w:szCs w:val="32"/>
          <w:highlight w:val="none"/>
          <w:shd w:val="clear" w:color="auto" w:fill="FFFFFF"/>
          <w:lang w:val="en-US" w:eastAsia="zh-CN"/>
        </w:rPr>
        <w:t>2</w:t>
      </w:r>
      <w:r>
        <w:rPr>
          <w:rFonts w:hint="eastAsia" w:ascii="仿宋_GB2312" w:cs="宋体"/>
          <w:color w:val="000000"/>
          <w:kern w:val="0"/>
          <w:szCs w:val="32"/>
          <w:highlight w:val="none"/>
          <w:shd w:val="clear" w:color="auto" w:fill="FFFFFF"/>
          <w:lang w:val="zh-CN"/>
        </w:rPr>
        <w:t>年项目支付</w:t>
      </w:r>
      <w:r>
        <w:rPr>
          <w:rFonts w:hint="eastAsia" w:ascii="仿宋_GB2312" w:cs="宋体"/>
          <w:color w:val="000000"/>
          <w:kern w:val="0"/>
          <w:szCs w:val="32"/>
          <w:highlight w:val="none"/>
          <w:shd w:val="clear" w:color="auto" w:fill="FFFFFF"/>
          <w:lang w:val="en-US" w:eastAsia="zh-CN"/>
        </w:rPr>
        <w:t xml:space="preserve">21.91 </w:t>
      </w:r>
      <w:r>
        <w:rPr>
          <w:rFonts w:hint="eastAsia" w:ascii="仿宋_GB2312" w:cs="宋体"/>
          <w:color w:val="000000"/>
          <w:kern w:val="0"/>
          <w:szCs w:val="32"/>
          <w:highlight w:val="none"/>
          <w:shd w:val="clear" w:color="auto" w:fill="FFFFFF"/>
          <w:lang w:val="zh-CN"/>
        </w:rPr>
        <w:t>万元，</w:t>
      </w:r>
      <w:r>
        <w:rPr>
          <w:rFonts w:hint="eastAsia" w:ascii="仿宋_GB2312" w:cs="宋体"/>
          <w:color w:val="000000"/>
          <w:kern w:val="0"/>
          <w:szCs w:val="32"/>
          <w:highlight w:val="none"/>
          <w:shd w:val="clear" w:color="auto" w:fill="FFFFFF"/>
          <w:lang w:val="en-US" w:eastAsia="zh-CN"/>
        </w:rPr>
        <w:t>主要包括：基本药物补助资金，基本公共卫生服务补助资金。</w:t>
      </w:r>
    </w:p>
    <w:p>
      <w:pPr>
        <w:widowControl/>
        <w:jc w:val="left"/>
        <w:rPr>
          <w:rFonts w:ascii="仿宋_GB2312" w:eastAsia="仿宋_GB2312"/>
          <w:b/>
          <w:color w:val="000000"/>
          <w:sz w:val="32"/>
          <w:szCs w:val="32"/>
        </w:rPr>
      </w:pPr>
      <w:r>
        <w:rPr>
          <w:rFonts w:ascii="仿宋_GB2312" w:eastAsia="仿宋_GB2312"/>
          <w:b/>
          <w:color w:val="000000"/>
          <w:sz w:val="32"/>
          <w:szCs w:val="32"/>
        </w:rPr>
        <w:br w:type="page"/>
      </w:r>
    </w:p>
    <w:p>
      <w:pPr>
        <w:pStyle w:val="3"/>
        <w:jc w:val="center"/>
        <w:rPr>
          <w:rFonts w:ascii="黑体" w:hAnsi="黑体" w:eastAsia="黑体" w:cs="黑体"/>
        </w:rPr>
      </w:pPr>
      <w:bookmarkStart w:id="67" w:name="_Toc288"/>
      <w:bookmarkStart w:id="68" w:name="_Toc15377225"/>
      <w:bookmarkStart w:id="69" w:name="_Toc111208509"/>
      <w:r>
        <w:rPr>
          <w:rFonts w:hint="eastAsia" w:ascii="黑体" w:hAnsi="黑体" w:eastAsia="黑体" w:cs="黑体"/>
        </w:rPr>
        <w:t>第三部分 名词解释</w:t>
      </w:r>
      <w:bookmarkEnd w:id="67"/>
      <w:bookmarkEnd w:id="68"/>
      <w:bookmarkEnd w:id="69"/>
    </w:p>
    <w:p>
      <w:pPr>
        <w:spacing w:line="600" w:lineRule="exact"/>
        <w:ind w:firstLine="640"/>
        <w:rPr>
          <w:rFonts w:ascii="仿宋" w:hAnsi="仿宋" w:eastAsia="仿宋"/>
          <w:color w:val="000000"/>
          <w:sz w:val="32"/>
          <w:szCs w:val="32"/>
        </w:rPr>
      </w:pPr>
      <w:r>
        <w:rPr>
          <w:rFonts w:ascii="仿宋" w:hAnsi="仿宋" w:eastAsia="仿宋"/>
          <w:color w:val="000000"/>
          <w:sz w:val="32"/>
          <w:szCs w:val="32"/>
        </w:rPr>
        <w:t>1.</w:t>
      </w:r>
      <w:r>
        <w:rPr>
          <w:rFonts w:hint="eastAsia" w:ascii="仿宋" w:hAnsi="仿宋" w:eastAsia="仿宋"/>
          <w:color w:val="000000"/>
          <w:sz w:val="32"/>
          <w:szCs w:val="32"/>
        </w:rPr>
        <w:t>财政拨款收入：指单位从同级财政部门取得的财政预算资金。</w:t>
      </w:r>
    </w:p>
    <w:p>
      <w:pPr>
        <w:spacing w:line="600" w:lineRule="exact"/>
        <w:ind w:firstLine="640"/>
        <w:rPr>
          <w:rFonts w:ascii="仿宋" w:hAnsi="仿宋" w:eastAsia="仿宋"/>
          <w:color w:val="000000"/>
          <w:sz w:val="32"/>
          <w:szCs w:val="32"/>
        </w:rPr>
      </w:pPr>
      <w:r>
        <w:rPr>
          <w:rFonts w:ascii="仿宋" w:hAnsi="仿宋" w:eastAsia="仿宋"/>
          <w:color w:val="000000"/>
          <w:sz w:val="32"/>
          <w:szCs w:val="32"/>
        </w:rPr>
        <w:t>2.</w:t>
      </w:r>
      <w:r>
        <w:rPr>
          <w:rFonts w:hint="eastAsia" w:ascii="仿宋" w:hAnsi="仿宋" w:eastAsia="仿宋"/>
          <w:color w:val="000000"/>
          <w:sz w:val="32"/>
          <w:szCs w:val="32"/>
        </w:rPr>
        <w:t>事业收入：指事业单位开展专业业务活动及辅助活动取得的收入。</w:t>
      </w:r>
    </w:p>
    <w:p>
      <w:pPr>
        <w:spacing w:line="600" w:lineRule="exact"/>
        <w:ind w:firstLine="640"/>
        <w:rPr>
          <w:rFonts w:ascii="仿宋" w:hAnsi="仿宋" w:eastAsia="仿宋"/>
          <w:color w:val="000000"/>
          <w:sz w:val="32"/>
          <w:szCs w:val="32"/>
        </w:rPr>
      </w:pPr>
      <w:r>
        <w:rPr>
          <w:rFonts w:ascii="仿宋" w:hAnsi="仿宋" w:eastAsia="仿宋"/>
          <w:color w:val="000000"/>
          <w:sz w:val="32"/>
          <w:szCs w:val="32"/>
        </w:rPr>
        <w:t>3.</w:t>
      </w:r>
      <w:r>
        <w:rPr>
          <w:rFonts w:hint="eastAsia" w:ascii="仿宋" w:hAnsi="仿宋" w:eastAsia="仿宋"/>
          <w:color w:val="000000"/>
          <w:sz w:val="32"/>
          <w:szCs w:val="32"/>
        </w:rPr>
        <w:t>经营收入：指事业单位在专业业务活动及其辅助活动之外开展非独立核算经营活动取得的收入</w:t>
      </w:r>
    </w:p>
    <w:p>
      <w:pPr>
        <w:spacing w:line="600" w:lineRule="exact"/>
        <w:ind w:firstLine="640"/>
        <w:rPr>
          <w:rFonts w:ascii="仿宋" w:hAnsi="仿宋" w:eastAsia="仿宋"/>
          <w:color w:val="000000"/>
          <w:sz w:val="32"/>
          <w:szCs w:val="32"/>
        </w:rPr>
      </w:pPr>
      <w:r>
        <w:rPr>
          <w:rFonts w:ascii="仿宋" w:hAnsi="仿宋" w:eastAsia="仿宋"/>
          <w:color w:val="000000"/>
          <w:sz w:val="32"/>
          <w:szCs w:val="32"/>
        </w:rPr>
        <w:t>4.</w:t>
      </w:r>
      <w:r>
        <w:rPr>
          <w:rFonts w:hint="eastAsia" w:ascii="仿宋" w:hAnsi="仿宋" w:eastAsia="仿宋"/>
          <w:color w:val="000000"/>
          <w:sz w:val="32"/>
          <w:szCs w:val="32"/>
        </w:rPr>
        <w:t>其他收入：指单位取得的除上述收入以外的各项收入。</w:t>
      </w:r>
    </w:p>
    <w:p>
      <w:pPr>
        <w:spacing w:line="600" w:lineRule="exact"/>
        <w:ind w:firstLine="640"/>
        <w:rPr>
          <w:rFonts w:ascii="仿宋" w:hAnsi="仿宋" w:eastAsia="仿宋"/>
          <w:color w:val="000000"/>
          <w:sz w:val="32"/>
          <w:szCs w:val="32"/>
        </w:rPr>
      </w:pPr>
      <w:r>
        <w:rPr>
          <w:rFonts w:ascii="仿宋" w:hAnsi="仿宋" w:eastAsia="仿宋"/>
          <w:color w:val="000000"/>
          <w:sz w:val="32"/>
          <w:szCs w:val="32"/>
        </w:rPr>
        <w:t>5.</w:t>
      </w:r>
      <w:r>
        <w:rPr>
          <w:rFonts w:hint="eastAsia" w:ascii="仿宋" w:hAnsi="仿宋" w:eastAsia="仿宋"/>
          <w:color w:val="000000"/>
          <w:sz w:val="32"/>
          <w:szCs w:val="32"/>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r>
        <w:rPr>
          <w:rFonts w:ascii="仿宋" w:hAnsi="仿宋" w:eastAsia="仿宋"/>
          <w:color w:val="000000"/>
          <w:sz w:val="32"/>
          <w:szCs w:val="32"/>
        </w:rPr>
        <w:t xml:space="preserve"> </w:t>
      </w:r>
    </w:p>
    <w:p>
      <w:pPr>
        <w:spacing w:line="600" w:lineRule="exact"/>
        <w:ind w:firstLine="640"/>
        <w:rPr>
          <w:rFonts w:ascii="仿宋" w:hAnsi="仿宋" w:eastAsia="仿宋"/>
          <w:color w:val="000000"/>
          <w:sz w:val="32"/>
          <w:szCs w:val="32"/>
        </w:rPr>
      </w:pPr>
      <w:r>
        <w:rPr>
          <w:rFonts w:ascii="仿宋" w:hAnsi="仿宋" w:eastAsia="仿宋"/>
          <w:color w:val="000000"/>
          <w:sz w:val="32"/>
          <w:szCs w:val="32"/>
        </w:rPr>
        <w:t>6.</w:t>
      </w:r>
      <w:r>
        <w:rPr>
          <w:rFonts w:hint="eastAsia" w:ascii="仿宋" w:hAnsi="仿宋" w:eastAsia="仿宋"/>
          <w:color w:val="000000"/>
          <w:sz w:val="32"/>
          <w:szCs w:val="32"/>
        </w:rPr>
        <w:t>年初结转和结余：指以前年度尚未完成、结转到本年按有关规定继续使用的资金。</w:t>
      </w:r>
      <w:r>
        <w:rPr>
          <w:rFonts w:ascii="仿宋" w:hAnsi="仿宋" w:eastAsia="仿宋"/>
          <w:color w:val="000000"/>
          <w:sz w:val="32"/>
          <w:szCs w:val="32"/>
        </w:rPr>
        <w:t xml:space="preserve"> </w:t>
      </w:r>
    </w:p>
    <w:p>
      <w:pPr>
        <w:spacing w:line="600" w:lineRule="exact"/>
        <w:ind w:firstLine="640"/>
        <w:rPr>
          <w:rFonts w:ascii="仿宋" w:hAnsi="仿宋" w:eastAsia="仿宋"/>
          <w:color w:val="000000"/>
          <w:sz w:val="32"/>
          <w:szCs w:val="32"/>
        </w:rPr>
      </w:pPr>
      <w:r>
        <w:rPr>
          <w:rFonts w:ascii="仿宋" w:hAnsi="仿宋" w:eastAsia="仿宋"/>
          <w:color w:val="000000"/>
          <w:sz w:val="32"/>
          <w:szCs w:val="32"/>
        </w:rPr>
        <w:t>7.</w:t>
      </w:r>
      <w:r>
        <w:rPr>
          <w:rFonts w:hint="eastAsia" w:ascii="仿宋" w:hAnsi="仿宋" w:eastAsia="仿宋"/>
          <w:color w:val="000000"/>
          <w:sz w:val="32"/>
          <w:szCs w:val="32"/>
        </w:rPr>
        <w:t>结余分配：指事业单位按照事业单位会计制度的规定从非财政补助结余中分配的事业基金和职工福利基金等。</w:t>
      </w:r>
    </w:p>
    <w:p>
      <w:pPr>
        <w:spacing w:line="600" w:lineRule="exact"/>
        <w:ind w:firstLine="640"/>
        <w:rPr>
          <w:rFonts w:ascii="仿宋" w:hAnsi="仿宋" w:eastAsia="仿宋"/>
          <w:color w:val="000000"/>
          <w:sz w:val="32"/>
          <w:szCs w:val="32"/>
        </w:rPr>
      </w:pPr>
      <w:r>
        <w:rPr>
          <w:rFonts w:ascii="仿宋" w:hAnsi="仿宋" w:eastAsia="仿宋"/>
          <w:color w:val="000000"/>
          <w:sz w:val="32"/>
          <w:szCs w:val="32"/>
        </w:rPr>
        <w:t>8</w:t>
      </w:r>
      <w:r>
        <w:rPr>
          <w:rFonts w:hint="eastAsia" w:ascii="仿宋" w:hAnsi="仿宋" w:eastAsia="仿宋"/>
          <w:color w:val="000000"/>
          <w:sz w:val="32"/>
          <w:szCs w:val="32"/>
        </w:rPr>
        <w:t>.年末结转和结余：指单位按有关规定结转到下年或以后年度继续使用的资金。</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9.社会保障和就业支出（208）人力资源和社会保障管理事务（20801）其他人力资源和社会保障管理事务支出（2080199）：反映除上述项目以外其他用于人力资源和社会保障管理事务方面的支出。</w:t>
      </w:r>
      <w:r>
        <w:rPr>
          <w:rFonts w:hint="eastAsia" w:ascii="仿宋" w:hAnsi="仿宋" w:eastAsia="仿宋"/>
          <w:color w:val="000000"/>
          <w:sz w:val="32"/>
          <w:szCs w:val="32"/>
        </w:rPr>
        <w:cr/>
      </w:r>
      <w:r>
        <w:rPr>
          <w:rFonts w:hint="eastAsia" w:ascii="仿宋" w:hAnsi="仿宋" w:eastAsia="仿宋"/>
          <w:color w:val="000000"/>
          <w:sz w:val="32"/>
          <w:szCs w:val="32"/>
        </w:rPr>
        <w:t>10.社会保障和就业支出（208）行政事业单位养老支出（20805）机关事业单位基本养老保险缴费支出（2080505）：反映机关事业单位实施养老保险制度由单位缴纳的基本养老保险费支出。</w:t>
      </w:r>
      <w:r>
        <w:rPr>
          <w:rFonts w:hint="eastAsia" w:ascii="仿宋" w:hAnsi="仿宋" w:eastAsia="仿宋"/>
          <w:color w:val="000000"/>
          <w:sz w:val="32"/>
          <w:szCs w:val="32"/>
        </w:rPr>
        <w:cr/>
      </w:r>
      <w:r>
        <w:rPr>
          <w:rFonts w:hint="eastAsia" w:ascii="仿宋" w:hAnsi="仿宋" w:eastAsia="仿宋"/>
          <w:color w:val="000000"/>
          <w:sz w:val="32"/>
          <w:szCs w:val="32"/>
        </w:rPr>
        <w:t>11.社会保障和就业支出（208）行政事业单位养老支出（20805）机关事业单位职业年金缴费支出（2080506）：反映机关事业单位实施养老保险制度由单位实际缴纳的职业年金支出。</w:t>
      </w:r>
      <w:r>
        <w:rPr>
          <w:rFonts w:hint="eastAsia" w:ascii="仿宋" w:hAnsi="仿宋" w:eastAsia="仿宋"/>
          <w:color w:val="000000"/>
          <w:sz w:val="32"/>
          <w:szCs w:val="32"/>
        </w:rPr>
        <w:cr/>
      </w:r>
      <w:r>
        <w:rPr>
          <w:rFonts w:hint="eastAsia" w:ascii="仿宋" w:hAnsi="仿宋" w:eastAsia="仿宋"/>
          <w:color w:val="000000"/>
          <w:sz w:val="32"/>
          <w:szCs w:val="32"/>
        </w:rPr>
        <w:t>12.卫生健康支出（210）基层医疗卫生机构（21003）乡镇卫生院（2100302）：反映用于乡镇卫生院的支出。</w:t>
      </w:r>
      <w:r>
        <w:rPr>
          <w:rFonts w:hint="eastAsia" w:ascii="仿宋" w:hAnsi="仿宋" w:eastAsia="仿宋"/>
          <w:color w:val="000000"/>
          <w:sz w:val="32"/>
          <w:szCs w:val="32"/>
        </w:rPr>
        <w:cr/>
      </w:r>
      <w:r>
        <w:rPr>
          <w:rFonts w:hint="eastAsia" w:ascii="仿宋" w:hAnsi="仿宋" w:eastAsia="仿宋"/>
          <w:color w:val="000000"/>
          <w:sz w:val="32"/>
          <w:szCs w:val="32"/>
        </w:rPr>
        <w:t>13.卫生健康支出（210）基层医疗卫生机构（21003）其他基层医疗卫生机构支出（2100399）：反映除上述项目以外的其他用于基层医疗卫生机构的支出。</w:t>
      </w:r>
      <w:r>
        <w:rPr>
          <w:rFonts w:hint="eastAsia" w:ascii="仿宋" w:hAnsi="仿宋" w:eastAsia="仿宋"/>
          <w:color w:val="000000"/>
          <w:sz w:val="32"/>
          <w:szCs w:val="32"/>
        </w:rPr>
        <w:cr/>
      </w:r>
      <w:r>
        <w:rPr>
          <w:rFonts w:hint="eastAsia" w:ascii="仿宋" w:hAnsi="仿宋" w:eastAsia="仿宋"/>
          <w:color w:val="000000"/>
          <w:sz w:val="32"/>
          <w:szCs w:val="32"/>
        </w:rPr>
        <w:t>14.卫生健康支出（210）公共卫生（21004）基本公共卫生服务（2100408）：反映基本公共卫生服务支出。</w:t>
      </w:r>
      <w:r>
        <w:rPr>
          <w:rFonts w:hint="eastAsia" w:ascii="仿宋" w:hAnsi="仿宋" w:eastAsia="仿宋"/>
          <w:color w:val="000000"/>
          <w:sz w:val="32"/>
          <w:szCs w:val="32"/>
        </w:rPr>
        <w:cr/>
      </w:r>
      <w:r>
        <w:rPr>
          <w:rFonts w:hint="eastAsia" w:ascii="仿宋" w:hAnsi="仿宋" w:eastAsia="仿宋"/>
          <w:color w:val="000000"/>
          <w:sz w:val="32"/>
          <w:szCs w:val="32"/>
        </w:rPr>
        <w:t>15.卫生健康支出（210）行政事业单位医疗（21011）事业单位医疗（2101102）：反映财政部门安排的事业单位基本医疗保险缴费经费，未参加医疗保险的事业单位的公费医疗经费，按国家规定享受离休人员待遇的医疗经费。</w:t>
      </w:r>
      <w:r>
        <w:rPr>
          <w:rFonts w:hint="eastAsia" w:ascii="仿宋" w:hAnsi="仿宋" w:eastAsia="仿宋"/>
          <w:color w:val="000000"/>
          <w:sz w:val="32"/>
          <w:szCs w:val="32"/>
        </w:rPr>
        <w:cr/>
      </w:r>
      <w:r>
        <w:rPr>
          <w:rFonts w:hint="eastAsia" w:ascii="仿宋" w:hAnsi="仿宋" w:eastAsia="仿宋"/>
          <w:color w:val="000000"/>
          <w:sz w:val="32"/>
          <w:szCs w:val="32"/>
        </w:rPr>
        <w:t>16.住房保障支出（221）住房改革支出（22102）住房公积金（2210201）：反映行政事业单位按人力资源和社会保障部、财政部规定的基本工资和津贴补贴以及规定比例为职工缴纳的住房公积金。</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17.基本支出：指为保障机构正常运转、完成日常工作任务而发生的人员支出和公用支出。</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 xml:space="preserve">25.项目支出：指在基本支出之外为完成特定行政任务和事业发展目标所发生的支出。 </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18.经营支出：指事业单位在专业业务活动及其辅助活动之外开展非独立核算经营活动发生的支出。</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19.“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20.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600" w:lineRule="exact"/>
        <w:ind w:firstLine="640"/>
        <w:rPr>
          <w:rFonts w:hint="eastAsia" w:ascii="仿宋_GB2312" w:eastAsia="仿宋" w:cs="黑体"/>
          <w:sz w:val="32"/>
          <w:szCs w:val="32"/>
          <w:lang w:eastAsia="zh-CN"/>
        </w:rPr>
      </w:pPr>
      <w:r>
        <w:rPr>
          <w:rFonts w:hint="eastAsia" w:ascii="仿宋" w:hAnsi="仿宋" w:eastAsia="仿宋"/>
          <w:color w:val="000000"/>
          <w:sz w:val="32"/>
          <w:szCs w:val="32"/>
        </w:rPr>
        <w:t>21.财政应返还额度：为行政事业单位会计核算科目</w:t>
      </w:r>
      <w:r>
        <w:rPr>
          <w:rFonts w:hint="eastAsia" w:ascii="仿宋" w:hAnsi="仿宋" w:eastAsia="仿宋"/>
          <w:color w:val="000000"/>
          <w:sz w:val="32"/>
          <w:szCs w:val="32"/>
          <w:lang w:eastAsia="zh-CN"/>
        </w:rPr>
        <w:t>。</w:t>
      </w:r>
    </w:p>
    <w:p>
      <w:pPr>
        <w:widowControl/>
        <w:jc w:val="left"/>
        <w:rPr>
          <w:rStyle w:val="30"/>
          <w:rFonts w:ascii="黑体" w:hAnsi="黑体" w:eastAsia="黑体"/>
        </w:rPr>
      </w:pPr>
      <w:r>
        <w:rPr>
          <w:rStyle w:val="30"/>
          <w:rFonts w:ascii="黑体" w:hAnsi="黑体" w:eastAsia="黑体"/>
        </w:rPr>
        <w:br w:type="page"/>
      </w:r>
    </w:p>
    <w:p>
      <w:pPr>
        <w:pStyle w:val="3"/>
        <w:jc w:val="center"/>
        <w:rPr>
          <w:rFonts w:ascii="黑体" w:hAnsi="黑体" w:eastAsia="黑体" w:cs="黑体"/>
        </w:rPr>
      </w:pPr>
      <w:bookmarkStart w:id="70" w:name="_Toc111208510"/>
      <w:bookmarkStart w:id="71" w:name="_Toc20076"/>
      <w:r>
        <w:rPr>
          <w:rFonts w:hint="eastAsia" w:ascii="黑体" w:hAnsi="黑体" w:eastAsia="黑体" w:cs="黑体"/>
        </w:rPr>
        <w:t>第四部分 附件</w:t>
      </w:r>
      <w:bookmarkEnd w:id="70"/>
      <w:bookmarkEnd w:id="71"/>
    </w:p>
    <w:tbl>
      <w:tblPr>
        <w:tblStyle w:val="16"/>
        <w:tblW w:w="22019"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359"/>
        <w:gridCol w:w="2845"/>
        <w:gridCol w:w="1029"/>
        <w:gridCol w:w="1368"/>
        <w:gridCol w:w="1029"/>
        <w:gridCol w:w="1029"/>
        <w:gridCol w:w="1387"/>
        <w:gridCol w:w="523"/>
        <w:gridCol w:w="812"/>
        <w:gridCol w:w="330"/>
        <w:gridCol w:w="1005"/>
        <w:gridCol w:w="1019"/>
        <w:gridCol w:w="991"/>
        <w:gridCol w:w="991"/>
        <w:gridCol w:w="1953"/>
        <w:gridCol w:w="524"/>
        <w:gridCol w:w="865"/>
        <w:gridCol w:w="1361"/>
        <w:gridCol w:w="18"/>
        <w:gridCol w:w="9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2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发文文号</w:t>
            </w:r>
          </w:p>
        </w:tc>
        <w:tc>
          <w:tcPr>
            <w:tcW w:w="2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部门预算支出经济分类细化</w:t>
            </w:r>
          </w:p>
        </w:tc>
        <w:tc>
          <w:tcPr>
            <w:tcW w:w="1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资金到位时间</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资金来源</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是否直达</w:t>
            </w:r>
          </w:p>
        </w:tc>
        <w:tc>
          <w:tcPr>
            <w:tcW w:w="1335"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到位资金</w:t>
            </w: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实际支付</w:t>
            </w: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结余退回财政</w:t>
            </w:r>
          </w:p>
        </w:tc>
        <w:tc>
          <w:tcPr>
            <w:tcW w:w="10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结转次年继续使用</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支付率</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资金分管股室</w:t>
            </w:r>
          </w:p>
        </w:tc>
        <w:tc>
          <w:tcPr>
            <w:tcW w:w="247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项目责任单位</w:t>
            </w:r>
          </w:p>
        </w:tc>
        <w:tc>
          <w:tcPr>
            <w:tcW w:w="224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资金主体单位</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项目完成时限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27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阿州财社〔2022〕01号</w:t>
            </w:r>
          </w:p>
        </w:tc>
        <w:tc>
          <w:tcPr>
            <w:tcW w:w="2739"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12项基本公共卫生服务</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30201-办公费</w:t>
            </w:r>
          </w:p>
        </w:tc>
        <w:tc>
          <w:tcPr>
            <w:tcW w:w="1317"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2022-03-09</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4</w:t>
            </w:r>
            <w:r>
              <w:rPr>
                <w:rFonts w:hint="eastAsia" w:ascii="宋体" w:hAnsi="宋体"/>
                <w:color w:val="000000"/>
                <w:sz w:val="20"/>
                <w:szCs w:val="24"/>
                <w:lang w:eastAsia="zh-CN"/>
              </w:rPr>
              <w:t>－</w:t>
            </w:r>
            <w:r>
              <w:rPr>
                <w:rFonts w:hint="eastAsia" w:ascii="宋体" w:hAnsi="宋体"/>
                <w:color w:val="000000"/>
                <w:sz w:val="20"/>
                <w:szCs w:val="24"/>
              </w:rPr>
              <w:t>市级</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直达</w:t>
            </w:r>
          </w:p>
        </w:tc>
        <w:tc>
          <w:tcPr>
            <w:tcW w:w="1335" w:type="dxa"/>
            <w:tcBorders>
              <w:top w:val="single" w:color="auto" w:sz="6" w:space="0"/>
              <w:left w:val="single" w:color="auto" w:sz="6" w:space="0"/>
              <w:bottom w:val="single" w:color="auto" w:sz="6" w:space="0"/>
              <w:right w:val="single" w:color="auto" w:sz="6" w:space="0"/>
              <w:tl2br w:val="nil"/>
              <w:tr2bl w:val="nil"/>
            </w:tcBorders>
            <w:shd w:val="solid" w:color="FFFF00"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4,084.00</w:t>
            </w:r>
          </w:p>
        </w:tc>
        <w:tc>
          <w:tcPr>
            <w:tcW w:w="1335" w:type="dxa"/>
            <w:gridSpan w:val="2"/>
            <w:tcBorders>
              <w:top w:val="single" w:color="auto" w:sz="6" w:space="0"/>
              <w:left w:val="single" w:color="auto" w:sz="6" w:space="0"/>
              <w:bottom w:val="single" w:color="auto" w:sz="6" w:space="0"/>
              <w:right w:val="single" w:color="auto" w:sz="6" w:space="0"/>
              <w:tl2br w:val="nil"/>
              <w:tr2bl w:val="nil"/>
            </w:tcBorders>
            <w:shd w:val="solid" w:color="FFFF00"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4084</w:t>
            </w:r>
          </w:p>
        </w:tc>
        <w:tc>
          <w:tcPr>
            <w:tcW w:w="1335" w:type="dxa"/>
            <w:gridSpan w:val="2"/>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p>
        </w:tc>
        <w:tc>
          <w:tcPr>
            <w:tcW w:w="1019"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0.00</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100%</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公卫股</w:t>
            </w:r>
          </w:p>
        </w:tc>
        <w:tc>
          <w:tcPr>
            <w:tcW w:w="2477" w:type="dxa"/>
            <w:gridSpan w:val="2"/>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松潘县白羊乡卫生院</w:t>
            </w:r>
          </w:p>
        </w:tc>
        <w:tc>
          <w:tcPr>
            <w:tcW w:w="2244" w:type="dxa"/>
            <w:gridSpan w:val="3"/>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松潘县白羊乡卫生院</w:t>
            </w:r>
          </w:p>
        </w:tc>
        <w:tc>
          <w:tcPr>
            <w:tcW w:w="992"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民生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27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阿州财社〔2022〕29号</w:t>
            </w:r>
          </w:p>
        </w:tc>
        <w:tc>
          <w:tcPr>
            <w:tcW w:w="2739"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12项基本公共卫生服务</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30201-办公费</w:t>
            </w:r>
          </w:p>
        </w:tc>
        <w:tc>
          <w:tcPr>
            <w:tcW w:w="1317"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2022-03-09</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省级资金</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直达</w:t>
            </w:r>
          </w:p>
        </w:tc>
        <w:tc>
          <w:tcPr>
            <w:tcW w:w="1335" w:type="dxa"/>
            <w:tcBorders>
              <w:top w:val="single" w:color="auto" w:sz="6" w:space="0"/>
              <w:left w:val="single" w:color="auto" w:sz="6" w:space="0"/>
              <w:bottom w:val="single" w:color="auto" w:sz="6" w:space="0"/>
              <w:right w:val="single" w:color="auto" w:sz="6" w:space="0"/>
              <w:tl2br w:val="nil"/>
              <w:tr2bl w:val="nil"/>
            </w:tcBorders>
            <w:shd w:val="solid" w:color="FFFF00"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13,811.00</w:t>
            </w:r>
          </w:p>
        </w:tc>
        <w:tc>
          <w:tcPr>
            <w:tcW w:w="1335" w:type="dxa"/>
            <w:gridSpan w:val="2"/>
            <w:tcBorders>
              <w:top w:val="single" w:color="auto" w:sz="6" w:space="0"/>
              <w:left w:val="single" w:color="auto" w:sz="6" w:space="0"/>
              <w:bottom w:val="single" w:color="auto" w:sz="6" w:space="0"/>
              <w:right w:val="single" w:color="auto" w:sz="6" w:space="0"/>
              <w:tl2br w:val="nil"/>
              <w:tr2bl w:val="nil"/>
            </w:tcBorders>
            <w:shd w:val="solid" w:color="FFFF00"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13,811.00</w:t>
            </w:r>
          </w:p>
        </w:tc>
        <w:tc>
          <w:tcPr>
            <w:tcW w:w="1335" w:type="dxa"/>
            <w:gridSpan w:val="2"/>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p>
        </w:tc>
        <w:tc>
          <w:tcPr>
            <w:tcW w:w="1019"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0.00</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100%</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公卫股</w:t>
            </w:r>
          </w:p>
        </w:tc>
        <w:tc>
          <w:tcPr>
            <w:tcW w:w="2477" w:type="dxa"/>
            <w:gridSpan w:val="2"/>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松潘县白羊乡卫生院</w:t>
            </w:r>
          </w:p>
        </w:tc>
        <w:tc>
          <w:tcPr>
            <w:tcW w:w="2244" w:type="dxa"/>
            <w:gridSpan w:val="3"/>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松潘县白羊乡卫生院</w:t>
            </w:r>
          </w:p>
        </w:tc>
        <w:tc>
          <w:tcPr>
            <w:tcW w:w="992"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民生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27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阿州财社〔2022〕29号</w:t>
            </w:r>
          </w:p>
        </w:tc>
        <w:tc>
          <w:tcPr>
            <w:tcW w:w="2739"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12项基本公共卫生服务</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30201-办公费</w:t>
            </w:r>
          </w:p>
        </w:tc>
        <w:tc>
          <w:tcPr>
            <w:tcW w:w="1317"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2022-03-21</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1-中央级</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直达</w:t>
            </w:r>
          </w:p>
        </w:tc>
        <w:tc>
          <w:tcPr>
            <w:tcW w:w="1335" w:type="dxa"/>
            <w:tcBorders>
              <w:top w:val="single" w:color="auto" w:sz="6" w:space="0"/>
              <w:left w:val="single" w:color="auto" w:sz="6" w:space="0"/>
              <w:bottom w:val="single" w:color="auto" w:sz="6" w:space="0"/>
              <w:right w:val="single" w:color="auto" w:sz="6" w:space="0"/>
              <w:tl2br w:val="nil"/>
              <w:tr2bl w:val="nil"/>
            </w:tcBorders>
            <w:shd w:val="solid" w:color="FFFF00"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81,674.00</w:t>
            </w:r>
          </w:p>
        </w:tc>
        <w:tc>
          <w:tcPr>
            <w:tcW w:w="1335" w:type="dxa"/>
            <w:gridSpan w:val="2"/>
            <w:tcBorders>
              <w:top w:val="single" w:color="auto" w:sz="6" w:space="0"/>
              <w:left w:val="single" w:color="auto" w:sz="6" w:space="0"/>
              <w:bottom w:val="single" w:color="auto" w:sz="6" w:space="0"/>
              <w:right w:val="single" w:color="auto" w:sz="6" w:space="0"/>
              <w:tl2br w:val="nil"/>
              <w:tr2bl w:val="nil"/>
            </w:tcBorders>
            <w:shd w:val="solid" w:color="FFFF00"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81,674.00</w:t>
            </w:r>
          </w:p>
        </w:tc>
        <w:tc>
          <w:tcPr>
            <w:tcW w:w="1335" w:type="dxa"/>
            <w:gridSpan w:val="2"/>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p>
        </w:tc>
        <w:tc>
          <w:tcPr>
            <w:tcW w:w="1019"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0.00</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100%</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公卫股</w:t>
            </w:r>
          </w:p>
        </w:tc>
        <w:tc>
          <w:tcPr>
            <w:tcW w:w="2477" w:type="dxa"/>
            <w:gridSpan w:val="2"/>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松潘县白羊乡卫生院</w:t>
            </w:r>
          </w:p>
        </w:tc>
        <w:tc>
          <w:tcPr>
            <w:tcW w:w="2244" w:type="dxa"/>
            <w:gridSpan w:val="3"/>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松潘县白羊乡卫生院</w:t>
            </w:r>
          </w:p>
        </w:tc>
        <w:tc>
          <w:tcPr>
            <w:tcW w:w="992"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民生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27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阿州财社（2022）39号</w:t>
            </w:r>
          </w:p>
        </w:tc>
        <w:tc>
          <w:tcPr>
            <w:tcW w:w="2739"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12项基本公共卫生服务（涉藏）</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30201-办公费</w:t>
            </w:r>
          </w:p>
        </w:tc>
        <w:tc>
          <w:tcPr>
            <w:tcW w:w="1317"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2022-04-26</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省级资金</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非直达</w:t>
            </w:r>
          </w:p>
        </w:tc>
        <w:tc>
          <w:tcPr>
            <w:tcW w:w="1335" w:type="dxa"/>
            <w:tcBorders>
              <w:top w:val="single" w:color="auto" w:sz="6" w:space="0"/>
              <w:left w:val="single" w:color="auto" w:sz="6" w:space="0"/>
              <w:bottom w:val="single" w:color="auto" w:sz="6" w:space="0"/>
              <w:right w:val="single" w:color="auto" w:sz="6" w:space="0"/>
              <w:tl2br w:val="nil"/>
              <w:tr2bl w:val="nil"/>
            </w:tcBorders>
            <w:shd w:val="solid" w:color="FFFF00"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8,103.00</w:t>
            </w:r>
          </w:p>
        </w:tc>
        <w:tc>
          <w:tcPr>
            <w:tcW w:w="1335" w:type="dxa"/>
            <w:gridSpan w:val="2"/>
            <w:tcBorders>
              <w:top w:val="single" w:color="auto" w:sz="6" w:space="0"/>
              <w:left w:val="single" w:color="auto" w:sz="6" w:space="0"/>
              <w:bottom w:val="single" w:color="auto" w:sz="6" w:space="0"/>
              <w:right w:val="single" w:color="auto" w:sz="6" w:space="0"/>
              <w:tl2br w:val="nil"/>
              <w:tr2bl w:val="nil"/>
            </w:tcBorders>
            <w:shd w:val="solid" w:color="FFFF00"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8,103.00</w:t>
            </w:r>
          </w:p>
        </w:tc>
        <w:tc>
          <w:tcPr>
            <w:tcW w:w="1335" w:type="dxa"/>
            <w:gridSpan w:val="2"/>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p>
        </w:tc>
        <w:tc>
          <w:tcPr>
            <w:tcW w:w="1019"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0.00</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100%</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公卫股</w:t>
            </w:r>
          </w:p>
        </w:tc>
        <w:tc>
          <w:tcPr>
            <w:tcW w:w="2477" w:type="dxa"/>
            <w:gridSpan w:val="2"/>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松潘县白羊乡卫生院</w:t>
            </w:r>
          </w:p>
        </w:tc>
        <w:tc>
          <w:tcPr>
            <w:tcW w:w="2244" w:type="dxa"/>
            <w:gridSpan w:val="3"/>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松潘县白羊乡卫生院</w:t>
            </w:r>
          </w:p>
        </w:tc>
        <w:tc>
          <w:tcPr>
            <w:tcW w:w="992"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27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阿州财社（2022）113号</w:t>
            </w:r>
          </w:p>
        </w:tc>
        <w:tc>
          <w:tcPr>
            <w:tcW w:w="2739"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12项基本公共卫生服务</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30201-办公费</w:t>
            </w:r>
          </w:p>
        </w:tc>
        <w:tc>
          <w:tcPr>
            <w:tcW w:w="1317"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2022-10-17</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1-中央级</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直达</w:t>
            </w:r>
          </w:p>
        </w:tc>
        <w:tc>
          <w:tcPr>
            <w:tcW w:w="1335" w:type="dxa"/>
            <w:tcBorders>
              <w:top w:val="single" w:color="auto" w:sz="6" w:space="0"/>
              <w:left w:val="single" w:color="auto" w:sz="6" w:space="0"/>
              <w:bottom w:val="single" w:color="auto" w:sz="6" w:space="0"/>
              <w:right w:val="single" w:color="auto" w:sz="6" w:space="0"/>
              <w:tl2br w:val="nil"/>
              <w:tr2bl w:val="nil"/>
            </w:tcBorders>
            <w:shd w:val="solid" w:color="FFFF00"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16,130.00</w:t>
            </w:r>
          </w:p>
        </w:tc>
        <w:tc>
          <w:tcPr>
            <w:tcW w:w="1335" w:type="dxa"/>
            <w:gridSpan w:val="2"/>
            <w:tcBorders>
              <w:top w:val="single" w:color="auto" w:sz="6" w:space="0"/>
              <w:left w:val="single" w:color="auto" w:sz="6" w:space="0"/>
              <w:bottom w:val="single" w:color="auto" w:sz="6" w:space="0"/>
              <w:right w:val="single" w:color="auto" w:sz="6" w:space="0"/>
              <w:tl2br w:val="nil"/>
              <w:tr2bl w:val="nil"/>
            </w:tcBorders>
            <w:shd w:val="solid" w:color="FFFF00"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16,130.00</w:t>
            </w:r>
          </w:p>
        </w:tc>
        <w:tc>
          <w:tcPr>
            <w:tcW w:w="1335" w:type="dxa"/>
            <w:gridSpan w:val="2"/>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p>
        </w:tc>
        <w:tc>
          <w:tcPr>
            <w:tcW w:w="1019"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0.00</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100%</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公卫股</w:t>
            </w:r>
          </w:p>
        </w:tc>
        <w:tc>
          <w:tcPr>
            <w:tcW w:w="2477" w:type="dxa"/>
            <w:gridSpan w:val="2"/>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松潘县白羊乡卫生院</w:t>
            </w:r>
          </w:p>
        </w:tc>
        <w:tc>
          <w:tcPr>
            <w:tcW w:w="2244" w:type="dxa"/>
            <w:gridSpan w:val="3"/>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松潘县白羊乡卫生院</w:t>
            </w:r>
          </w:p>
        </w:tc>
        <w:tc>
          <w:tcPr>
            <w:tcW w:w="992"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民生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27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right"/>
              <w:rPr>
                <w:rFonts w:hint="eastAsia" w:ascii="宋体" w:hAnsi="宋体"/>
                <w:color w:val="000000"/>
                <w:sz w:val="20"/>
                <w:szCs w:val="24"/>
              </w:rPr>
            </w:pPr>
          </w:p>
        </w:tc>
        <w:tc>
          <w:tcPr>
            <w:tcW w:w="2739"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p>
        </w:tc>
        <w:tc>
          <w:tcPr>
            <w:tcW w:w="1317"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p>
        </w:tc>
        <w:tc>
          <w:tcPr>
            <w:tcW w:w="1335" w:type="dxa"/>
            <w:tcBorders>
              <w:top w:val="single" w:color="auto" w:sz="6" w:space="0"/>
              <w:left w:val="single" w:color="auto" w:sz="6" w:space="0"/>
              <w:bottom w:val="single" w:color="auto" w:sz="6" w:space="0"/>
              <w:right w:val="single" w:color="auto" w:sz="6" w:space="0"/>
              <w:tl2br w:val="nil"/>
              <w:tr2bl w:val="nil"/>
            </w:tcBorders>
            <w:shd w:val="solid" w:color="FFFF00"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123,802.00</w:t>
            </w:r>
          </w:p>
        </w:tc>
        <w:tc>
          <w:tcPr>
            <w:tcW w:w="1335" w:type="dxa"/>
            <w:gridSpan w:val="2"/>
            <w:tcBorders>
              <w:top w:val="single" w:color="auto" w:sz="6" w:space="0"/>
              <w:left w:val="single" w:color="auto" w:sz="6" w:space="0"/>
              <w:bottom w:val="single" w:color="auto" w:sz="6" w:space="0"/>
              <w:right w:val="single" w:color="auto" w:sz="6" w:space="0"/>
              <w:tl2br w:val="nil"/>
              <w:tr2bl w:val="nil"/>
            </w:tcBorders>
            <w:shd w:val="solid" w:color="FFFF00"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123,802.00</w:t>
            </w:r>
          </w:p>
        </w:tc>
        <w:tc>
          <w:tcPr>
            <w:tcW w:w="1335" w:type="dxa"/>
            <w:gridSpan w:val="2"/>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0.00</w:t>
            </w:r>
          </w:p>
        </w:tc>
        <w:tc>
          <w:tcPr>
            <w:tcW w:w="1019"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r>
              <w:rPr>
                <w:rFonts w:hint="eastAsia" w:ascii="宋体" w:hAnsi="宋体"/>
                <w:color w:val="000000"/>
                <w:sz w:val="20"/>
                <w:szCs w:val="24"/>
              </w:rPr>
              <w:t>0.00</w:t>
            </w: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center"/>
              <w:rPr>
                <w:rFonts w:hint="eastAsia" w:ascii="宋体" w:hAnsi="宋体"/>
                <w:color w:val="000000"/>
                <w:sz w:val="20"/>
                <w:szCs w:val="24"/>
              </w:rPr>
            </w:pPr>
          </w:p>
        </w:tc>
        <w:tc>
          <w:tcPr>
            <w:tcW w:w="99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p>
        </w:tc>
        <w:tc>
          <w:tcPr>
            <w:tcW w:w="2477" w:type="dxa"/>
            <w:gridSpan w:val="2"/>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b/>
                <w:color w:val="000000"/>
                <w:sz w:val="20"/>
                <w:szCs w:val="24"/>
              </w:rPr>
            </w:pPr>
            <w:r>
              <w:rPr>
                <w:rFonts w:hint="eastAsia" w:ascii="宋体" w:hAnsi="宋体"/>
                <w:b/>
                <w:color w:val="000000"/>
                <w:sz w:val="20"/>
                <w:szCs w:val="24"/>
              </w:rPr>
              <w:t>松潘县白羊乡卫生院 汇总</w:t>
            </w:r>
          </w:p>
        </w:tc>
        <w:tc>
          <w:tcPr>
            <w:tcW w:w="2244" w:type="dxa"/>
            <w:gridSpan w:val="3"/>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p>
        </w:tc>
        <w:tc>
          <w:tcPr>
            <w:tcW w:w="992"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top"/>
          </w:tcPr>
          <w:p>
            <w:pPr>
              <w:spacing w:beforeLines="0" w:afterLines="0"/>
              <w:jc w:val="left"/>
              <w:rPr>
                <w:rFonts w:hint="eastAsia" w:ascii="宋体" w:hAnsi="宋体"/>
                <w:color w:val="000000"/>
                <w:sz w:val="20"/>
                <w:szCs w:val="24"/>
              </w:rPr>
            </w:pPr>
            <w:r>
              <w:rPr>
                <w:rFonts w:hint="eastAsia" w:ascii="宋体" w:hAnsi="宋体"/>
                <w:color w:val="000000"/>
                <w:sz w:val="20"/>
                <w:szCs w:val="24"/>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阿州财社（2022)82号</w:t>
            </w:r>
          </w:p>
        </w:tc>
        <w:tc>
          <w:tcPr>
            <w:tcW w:w="2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基层医疗卫生机构实施国家基本药物制度</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30218－专用材料费</w:t>
            </w:r>
          </w:p>
        </w:tc>
        <w:tc>
          <w:tcPr>
            <w:tcW w:w="1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2022-07-27</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1-中央级</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直达</w:t>
            </w:r>
          </w:p>
        </w:tc>
        <w:tc>
          <w:tcPr>
            <w:tcW w:w="1335"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842.00</w:t>
            </w: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FFFF00"/>
            <w:noWrap/>
            <w:vAlign w:val="center"/>
          </w:tcPr>
          <w:p>
            <w:pPr>
              <w:jc w:val="center"/>
              <w:rPr>
                <w:rFonts w:hint="eastAsia" w:ascii="宋体" w:hAnsi="宋体" w:eastAsia="宋体" w:cs="宋体"/>
                <w:i w:val="0"/>
                <w:iCs w:val="0"/>
                <w:color w:val="000000"/>
                <w:sz w:val="20"/>
                <w:szCs w:val="20"/>
                <w:u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842</w:t>
            </w:r>
          </w:p>
        </w:tc>
        <w:tc>
          <w:tcPr>
            <w:tcW w:w="10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医政股</w:t>
            </w:r>
          </w:p>
        </w:tc>
        <w:tc>
          <w:tcPr>
            <w:tcW w:w="24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松潘县白羊乡卫生院</w:t>
            </w:r>
          </w:p>
        </w:tc>
        <w:tc>
          <w:tcPr>
            <w:tcW w:w="224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松潘县白羊乡卫生院</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阿州财社（2022)82号</w:t>
            </w:r>
          </w:p>
        </w:tc>
        <w:tc>
          <w:tcPr>
            <w:tcW w:w="2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村卫生室实施国家基本药物制度补助</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30218－专用材料费</w:t>
            </w:r>
          </w:p>
        </w:tc>
        <w:tc>
          <w:tcPr>
            <w:tcW w:w="1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2022-07-27</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1-中央级</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直达</w:t>
            </w:r>
          </w:p>
        </w:tc>
        <w:tc>
          <w:tcPr>
            <w:tcW w:w="1335"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1,748.00</w:t>
            </w: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FFFF00"/>
            <w:noWrap/>
            <w:vAlign w:val="center"/>
          </w:tcPr>
          <w:p>
            <w:pPr>
              <w:jc w:val="center"/>
              <w:rPr>
                <w:rFonts w:hint="eastAsia" w:ascii="宋体" w:hAnsi="宋体" w:eastAsia="宋体" w:cs="宋体"/>
                <w:i w:val="0"/>
                <w:iCs w:val="0"/>
                <w:color w:val="000000"/>
                <w:sz w:val="20"/>
                <w:szCs w:val="20"/>
                <w:u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1,748.00</w:t>
            </w:r>
          </w:p>
        </w:tc>
        <w:tc>
          <w:tcPr>
            <w:tcW w:w="10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医政股</w:t>
            </w:r>
          </w:p>
        </w:tc>
        <w:tc>
          <w:tcPr>
            <w:tcW w:w="24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松潘县白羊乡卫生院</w:t>
            </w:r>
          </w:p>
        </w:tc>
        <w:tc>
          <w:tcPr>
            <w:tcW w:w="224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松潘县白羊乡卫生院</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阿州财社〔2022〕01号</w:t>
            </w:r>
          </w:p>
        </w:tc>
        <w:tc>
          <w:tcPr>
            <w:tcW w:w="2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基层医疗卫生机构实施基本药物制度</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30218－专用材料费</w:t>
            </w:r>
          </w:p>
        </w:tc>
        <w:tc>
          <w:tcPr>
            <w:tcW w:w="1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2022-03-10</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4－市级</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非直达</w:t>
            </w:r>
          </w:p>
        </w:tc>
        <w:tc>
          <w:tcPr>
            <w:tcW w:w="1335"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3,241.00</w:t>
            </w: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3,241.00</w:t>
            </w: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医政股</w:t>
            </w:r>
          </w:p>
        </w:tc>
        <w:tc>
          <w:tcPr>
            <w:tcW w:w="24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松潘县白羊乡卫生院</w:t>
            </w:r>
          </w:p>
        </w:tc>
        <w:tc>
          <w:tcPr>
            <w:tcW w:w="224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松潘县白羊乡卫生院</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阿州财社〔2022〕04号 </w:t>
            </w:r>
          </w:p>
        </w:tc>
        <w:tc>
          <w:tcPr>
            <w:tcW w:w="2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基层医疗卫生机构实施国家基本药物制度</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30218－专用材料费</w:t>
            </w:r>
          </w:p>
        </w:tc>
        <w:tc>
          <w:tcPr>
            <w:tcW w:w="1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2022-03-07</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省级资金</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直达</w:t>
            </w:r>
          </w:p>
        </w:tc>
        <w:tc>
          <w:tcPr>
            <w:tcW w:w="1335"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3,241.00</w:t>
            </w: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FFFF00"/>
            <w:noWrap/>
            <w:vAlign w:val="center"/>
          </w:tcPr>
          <w:p>
            <w:pPr>
              <w:jc w:val="center"/>
              <w:rPr>
                <w:rFonts w:hint="eastAsia" w:ascii="宋体" w:hAnsi="宋体" w:eastAsia="宋体" w:cs="宋体"/>
                <w:i w:val="0"/>
                <w:iCs w:val="0"/>
                <w:color w:val="000000"/>
                <w:sz w:val="20"/>
                <w:szCs w:val="20"/>
                <w:u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3,241.00</w:t>
            </w:r>
          </w:p>
        </w:tc>
        <w:tc>
          <w:tcPr>
            <w:tcW w:w="10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医政股</w:t>
            </w:r>
          </w:p>
        </w:tc>
        <w:tc>
          <w:tcPr>
            <w:tcW w:w="24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松潘县白羊乡卫生院</w:t>
            </w:r>
          </w:p>
        </w:tc>
        <w:tc>
          <w:tcPr>
            <w:tcW w:w="224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松潘县白羊乡卫生院</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阿州财社〔2022〕04号 </w:t>
            </w:r>
          </w:p>
        </w:tc>
        <w:tc>
          <w:tcPr>
            <w:tcW w:w="2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基层医疗卫生机构实施国家基本药物制度</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30218－专用材料费</w:t>
            </w:r>
          </w:p>
        </w:tc>
        <w:tc>
          <w:tcPr>
            <w:tcW w:w="1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2022-03-07</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1-中央级</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直达</w:t>
            </w:r>
          </w:p>
        </w:tc>
        <w:tc>
          <w:tcPr>
            <w:tcW w:w="1335"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8,872.00</w:t>
            </w: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8,583.80</w:t>
            </w: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288.20</w:t>
            </w:r>
          </w:p>
        </w:tc>
        <w:tc>
          <w:tcPr>
            <w:tcW w:w="10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97%</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医政股</w:t>
            </w:r>
          </w:p>
        </w:tc>
        <w:tc>
          <w:tcPr>
            <w:tcW w:w="24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松潘县白羊乡卫生院</w:t>
            </w:r>
          </w:p>
        </w:tc>
        <w:tc>
          <w:tcPr>
            <w:tcW w:w="224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松潘县白羊乡卫生院</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阿州财社〔2022〕04号 </w:t>
            </w:r>
          </w:p>
        </w:tc>
        <w:tc>
          <w:tcPr>
            <w:tcW w:w="2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村卫生室实施国家基本药物制度补助</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30218－专用材料费</w:t>
            </w:r>
          </w:p>
        </w:tc>
        <w:tc>
          <w:tcPr>
            <w:tcW w:w="1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2022-03-07</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1-中央级</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直达</w:t>
            </w:r>
          </w:p>
        </w:tc>
        <w:tc>
          <w:tcPr>
            <w:tcW w:w="1335"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21,633.00</w:t>
            </w: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FFFF00"/>
            <w:noWrap/>
            <w:vAlign w:val="center"/>
          </w:tcPr>
          <w:p>
            <w:pPr>
              <w:jc w:val="center"/>
              <w:rPr>
                <w:rFonts w:hint="eastAsia" w:ascii="宋体" w:hAnsi="宋体" w:eastAsia="宋体" w:cs="宋体"/>
                <w:i w:val="0"/>
                <w:iCs w:val="0"/>
                <w:color w:val="000000"/>
                <w:sz w:val="20"/>
                <w:szCs w:val="20"/>
                <w:u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21,633.00</w:t>
            </w:r>
          </w:p>
        </w:tc>
        <w:tc>
          <w:tcPr>
            <w:tcW w:w="10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医政股</w:t>
            </w:r>
          </w:p>
        </w:tc>
        <w:tc>
          <w:tcPr>
            <w:tcW w:w="24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松潘县白羊乡卫生院</w:t>
            </w:r>
          </w:p>
        </w:tc>
        <w:tc>
          <w:tcPr>
            <w:tcW w:w="224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松潘县白羊乡卫生院</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0"/>
                <w:szCs w:val="20"/>
                <w:u w:val="none"/>
              </w:rPr>
            </w:pPr>
          </w:p>
        </w:tc>
        <w:tc>
          <w:tcPr>
            <w:tcW w:w="2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20"/>
                <w:szCs w:val="20"/>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39,577.00</w:t>
            </w: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11,824.80</w:t>
            </w: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27,752.20</w:t>
            </w:r>
          </w:p>
        </w:tc>
        <w:tc>
          <w:tcPr>
            <w:tcW w:w="10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20"/>
                <w:szCs w:val="20"/>
                <w:u w:val="none"/>
              </w:rPr>
            </w:pPr>
          </w:p>
        </w:tc>
        <w:tc>
          <w:tcPr>
            <w:tcW w:w="24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松潘县白羊乡卫生院 汇总</w:t>
            </w:r>
          </w:p>
        </w:tc>
        <w:tc>
          <w:tcPr>
            <w:tcW w:w="224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14758" w:type="dxa"/>
            <w:gridSpan w:val="2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中央对地方专项转移支付绩效自评表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793" w:type="dxa"/>
            <w:gridSpan w:val="10"/>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项目名称</w:t>
            </w:r>
          </w:p>
        </w:tc>
        <w:tc>
          <w:tcPr>
            <w:tcW w:w="1196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2022年基本公共卫生服务项目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793" w:type="dxa"/>
            <w:gridSpan w:val="10"/>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中央主管部门</w:t>
            </w:r>
          </w:p>
        </w:tc>
        <w:tc>
          <w:tcPr>
            <w:tcW w:w="1196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793" w:type="dxa"/>
            <w:gridSpan w:val="10"/>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地方主管部门</w:t>
            </w:r>
          </w:p>
        </w:tc>
        <w:tc>
          <w:tcPr>
            <w:tcW w:w="5103" w:type="dxa"/>
            <w:gridSpan w:val="4"/>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953"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实施单位</w:t>
            </w:r>
          </w:p>
        </w:tc>
        <w:tc>
          <w:tcPr>
            <w:tcW w:w="490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松潘县卫健局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128" w:type="dxa"/>
            <w:gridSpan w:val="7"/>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基本公共卫生服务项目资金（万元）</w:t>
            </w:r>
          </w:p>
        </w:tc>
        <w:tc>
          <w:tcPr>
            <w:tcW w:w="3453"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w:t>
            </w:r>
          </w:p>
        </w:tc>
        <w:tc>
          <w:tcPr>
            <w:tcW w:w="33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全年预算（A）</w:t>
            </w:r>
          </w:p>
        </w:tc>
        <w:tc>
          <w:tcPr>
            <w:tcW w:w="33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全年执行数（B）</w:t>
            </w:r>
          </w:p>
        </w:tc>
        <w:tc>
          <w:tcPr>
            <w:tcW w:w="352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执行率（B/A）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3453"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年度资金总额</w:t>
            </w:r>
          </w:p>
        </w:tc>
        <w:tc>
          <w:tcPr>
            <w:tcW w:w="33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33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12.3802</w:t>
            </w:r>
          </w:p>
        </w:tc>
        <w:tc>
          <w:tcPr>
            <w:tcW w:w="352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345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其中：中央补助</w:t>
            </w:r>
          </w:p>
        </w:tc>
        <w:tc>
          <w:tcPr>
            <w:tcW w:w="33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9.7804</w:t>
            </w:r>
          </w:p>
        </w:tc>
        <w:tc>
          <w:tcPr>
            <w:tcW w:w="33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9.7804</w:t>
            </w:r>
          </w:p>
        </w:tc>
        <w:tc>
          <w:tcPr>
            <w:tcW w:w="352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345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地方资金</w:t>
            </w:r>
          </w:p>
        </w:tc>
        <w:tc>
          <w:tcPr>
            <w:tcW w:w="33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52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345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其他资金</w:t>
            </w:r>
          </w:p>
        </w:tc>
        <w:tc>
          <w:tcPr>
            <w:tcW w:w="33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c>
          <w:tcPr>
            <w:tcW w:w="33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352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28"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345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33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c>
          <w:tcPr>
            <w:tcW w:w="33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全年执行数（B）</w:t>
            </w:r>
          </w:p>
        </w:tc>
        <w:tc>
          <w:tcPr>
            <w:tcW w:w="352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执行率（B/A）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gridSpan w:val="7"/>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基层基本公共卫生服务项目（12类）资金（万元）</w:t>
            </w:r>
          </w:p>
        </w:tc>
        <w:tc>
          <w:tcPr>
            <w:tcW w:w="345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年度资金总额：</w:t>
            </w:r>
          </w:p>
        </w:tc>
        <w:tc>
          <w:tcPr>
            <w:tcW w:w="33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12.3802</w:t>
            </w:r>
          </w:p>
        </w:tc>
        <w:tc>
          <w:tcPr>
            <w:tcW w:w="33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12.3802</w:t>
            </w:r>
          </w:p>
        </w:tc>
        <w:tc>
          <w:tcPr>
            <w:tcW w:w="352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45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其中：中央补助</w:t>
            </w:r>
          </w:p>
        </w:tc>
        <w:tc>
          <w:tcPr>
            <w:tcW w:w="33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9.7804</w:t>
            </w:r>
          </w:p>
        </w:tc>
        <w:tc>
          <w:tcPr>
            <w:tcW w:w="33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9.7804</w:t>
            </w:r>
          </w:p>
        </w:tc>
        <w:tc>
          <w:tcPr>
            <w:tcW w:w="352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45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地方资金</w:t>
            </w:r>
          </w:p>
        </w:tc>
        <w:tc>
          <w:tcPr>
            <w:tcW w:w="33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52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45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其他资金</w:t>
            </w:r>
          </w:p>
        </w:tc>
        <w:tc>
          <w:tcPr>
            <w:tcW w:w="33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c>
          <w:tcPr>
            <w:tcW w:w="33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c>
          <w:tcPr>
            <w:tcW w:w="352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28" w:type="dxa"/>
            <w:gridSpan w:val="7"/>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年度总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体目标</w:t>
            </w:r>
          </w:p>
        </w:tc>
        <w:tc>
          <w:tcPr>
            <w:tcW w:w="6768"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年初设定目标</w:t>
            </w:r>
          </w:p>
        </w:tc>
        <w:tc>
          <w:tcPr>
            <w:tcW w:w="6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年度目标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768" w:type="dxa"/>
            <w:gridSpan w:val="7"/>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国家基本公共卫生服务规范（2017年第三版）》14大类的具体要求，规范开展基本公共卫生服务工作，使我县公共卫生服务能力进一步提高，居民健康档案、健康教育、预防接种、传染病及突发公共卫生事件报告与处置、0－2岁儿童健康管理、3-6岁儿童健康管理、孕产妇健康管理、老年人健康管理、高血压患者健康管理、2型糖尿病患者健康管理、严重精神障碍患者健康管理、中医药管理、结核病管理、卫生监督协管等工作</w:t>
            </w:r>
          </w:p>
        </w:tc>
        <w:tc>
          <w:tcPr>
            <w:tcW w:w="6862"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国家基本公共卫生服务规范（2017年第三版）》14大类的具体要求，规范开展基本公共卫生服务工作，使我县公共卫生服务能力进一步提高，居民健康档案、健康教育、预防接种、传染病及突发公共卫生事件报告与处置、0－2岁儿童健康管理、3-6岁儿童健康管理、孕产妇健康管理、老年人健康管理、高血压患者健康管理、2型糖尿病患者健康管理、严重精神障碍患者健康管理、中医药管理、结核病管理、卫生监督协管等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128" w:type="dxa"/>
            <w:gridSpan w:val="7"/>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标</w:t>
            </w:r>
          </w:p>
        </w:tc>
        <w:tc>
          <w:tcPr>
            <w:tcW w:w="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指标</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二级指标</w:t>
            </w: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三级指标</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年度指标</w:t>
            </w: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全年完成值</w:t>
            </w: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未完成原因和改进措施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产出指标</w:t>
            </w:r>
          </w:p>
        </w:tc>
        <w:tc>
          <w:tcPr>
            <w:tcW w:w="114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数量指标</w:t>
            </w: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健康档案建档数2402。</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健康档案建档率99%。</w:t>
            </w: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健康档案建档数2371，99.7%</w:t>
            </w: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稳定提高使用率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健康教育设置健康教育宣传栏12期，健康教育咨询活动举办12次，健康教育讲座开展16次</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健康教育设置健康教育宣传栏12期，健康教育宣传活动举办12次，健康教育讲座开展16次</w:t>
            </w: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指标2：健康教育设置健康教育宣传栏12期，健康教育咨询活动举办12次，健康教育讲座开展16次</w:t>
            </w: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加强健康教育讲座的开展，全年完成16次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“五苗”单苗接种率均达到90%以上</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“五苗”单苗接种率均达到90%以上</w:t>
            </w: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“五苗”单苗接种率均达到90%以上</w:t>
            </w: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传染病报告发病率564.85/10万</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传染病报告发病率564.85/10万</w:t>
            </w: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传染病报告发病率564.85/10万</w:t>
            </w: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65岁以上的老年人规范管理率48.8%（应管430人实际管理210）</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65岁以上的老年人规范管理率48.8%</w:t>
            </w: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65岁以上的老年人规范管理率48.8%（应管430人实际管理210）</w:t>
            </w: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加强老年人规范管理，及时完成年度体检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高血压患者管理率76%（管理125人，规范管理95）、2型糖尿病患者管理率81.8％（管理22人，规范管理18）。</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高血压患者管理率76%、2型糖尿病患者管理率81.8％</w:t>
            </w: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指标6：高血压患者管理率76%（管理125人，规范管理125）、2型糖尿病患者管理率81.8％（管理22人，规范管理18）。</w:t>
            </w: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严重精神障碍患者规范管理率80%（应管5人，规范管理4）。</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严重精神障碍患者规范管理率80%</w:t>
            </w: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严重精神障碍患者规范管理率80%（应管5人，规范管理4）</w:t>
            </w: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加强重精患者服药率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孕产妇系统管理率达87.73%。</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孕产妇系统管理率达90%。</w:t>
            </w: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孕产妇系统管理率达87.73%。</w:t>
            </w: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提高早孕建册率及产后访视率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0-6岁儿童系统管理率达到65%。</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0-6岁儿童系统管理率达到65%。</w:t>
            </w: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0-6岁儿童系统管理率达到65%。</w:t>
            </w: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加强新生儿访视及0-6岁儿童健康管理。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质量指标</w:t>
            </w: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时效指标</w:t>
            </w: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项目完成时限</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年内</w:t>
            </w: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年内</w:t>
            </w: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成本指标</w:t>
            </w: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效益指标</w:t>
            </w:r>
          </w:p>
        </w:tc>
        <w:tc>
          <w:tcPr>
            <w:tcW w:w="114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经济效益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指标</w:t>
            </w: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社会效益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指标</w:t>
            </w: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城乡居民公共卫生差距</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不断缩小</w:t>
            </w: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不断缩小</w:t>
            </w: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居民健康保健意识和健康知识知晓率</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建档立卡贫困人口健康保健意识和健康知识知晓率</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可持续影响指标</w:t>
            </w: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基本公共卫生服务水平</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不断提高</w:t>
            </w: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不断提高</w:t>
            </w: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114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服务对象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满意度指标</w:t>
            </w: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服务对象满意度</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不断提高</w:t>
            </w: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不断提高</w:t>
            </w: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4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居民满意度、建档立卡贫困户满意度。</w:t>
            </w:r>
          </w:p>
        </w:tc>
        <w:tc>
          <w:tcPr>
            <w:tcW w:w="1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2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4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28"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tbl>
            <w:tblPr>
              <w:tblStyle w:val="16"/>
              <w:tblW w:w="10830" w:type="dxa"/>
              <w:tblInd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
              <w:gridCol w:w="525"/>
              <w:gridCol w:w="5"/>
              <w:gridCol w:w="503"/>
              <w:gridCol w:w="5"/>
              <w:gridCol w:w="1005"/>
              <w:gridCol w:w="5"/>
              <w:gridCol w:w="2197"/>
              <w:gridCol w:w="5"/>
              <w:gridCol w:w="1668"/>
              <w:gridCol w:w="5"/>
              <w:gridCol w:w="1328"/>
              <w:gridCol w:w="5"/>
              <w:gridCol w:w="1464"/>
              <w:gridCol w:w="5"/>
              <w:gridCol w:w="2096"/>
              <w:gridCol w:w="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dxa"/>
                <w:trHeight w:val="330" w:hRule="atLeast"/>
              </w:trPr>
              <w:tc>
                <w:tcPr>
                  <w:tcW w:w="509" w:type="dxa"/>
                  <w:gridSpan w:val="2"/>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8"/>
                      <w:szCs w:val="28"/>
                      <w:u w:val="none"/>
                    </w:rPr>
                  </w:pPr>
                  <w:r>
                    <w:rPr>
                      <w:rStyle w:val="37"/>
                      <w:lang w:val="en-US" w:eastAsia="zh-CN" w:bidi="ar"/>
                    </w:rPr>
                    <w:t>附件</w:t>
                  </w:r>
                  <w:r>
                    <w:rPr>
                      <w:rStyle w:val="38"/>
                      <w:rFonts w:eastAsia="宋体"/>
                      <w:lang w:val="en-US" w:eastAsia="zh-CN" w:bidi="ar"/>
                    </w:rPr>
                    <w:t>2</w:t>
                  </w:r>
                </w:p>
              </w:tc>
              <w:tc>
                <w:tcPr>
                  <w:tcW w:w="509" w:type="dxa"/>
                  <w:gridSpan w:val="2"/>
                  <w:tcBorders>
                    <w:top w:val="nil"/>
                    <w:left w:val="nil"/>
                    <w:bottom w:val="nil"/>
                    <w:right w:val="nil"/>
                  </w:tcBorders>
                  <w:shd w:val="clear" w:color="auto" w:fill="auto"/>
                  <w:vAlign w:val="center"/>
                </w:tcPr>
                <w:p>
                  <w:pPr>
                    <w:rPr>
                      <w:rFonts w:hint="eastAsia" w:ascii="黑体" w:hAnsi="宋体" w:eastAsia="黑体" w:cs="黑体"/>
                      <w:i w:val="0"/>
                      <w:iCs w:val="0"/>
                      <w:color w:val="000000"/>
                      <w:sz w:val="24"/>
                      <w:szCs w:val="24"/>
                      <w:u w:val="none"/>
                    </w:rPr>
                  </w:pPr>
                </w:p>
              </w:tc>
              <w:tc>
                <w:tcPr>
                  <w:tcW w:w="1012" w:type="dxa"/>
                  <w:gridSpan w:val="2"/>
                  <w:tcBorders>
                    <w:top w:val="nil"/>
                    <w:left w:val="nil"/>
                    <w:bottom w:val="nil"/>
                    <w:right w:val="nil"/>
                  </w:tcBorders>
                  <w:shd w:val="clear" w:color="auto" w:fill="auto"/>
                  <w:vAlign w:val="center"/>
                </w:tcPr>
                <w:p>
                  <w:pPr>
                    <w:rPr>
                      <w:rFonts w:hint="eastAsia" w:ascii="黑体" w:hAnsi="宋体" w:eastAsia="黑体" w:cs="黑体"/>
                      <w:i w:val="0"/>
                      <w:iCs w:val="0"/>
                      <w:color w:val="000000"/>
                      <w:sz w:val="24"/>
                      <w:szCs w:val="24"/>
                      <w:u w:val="none"/>
                    </w:rPr>
                  </w:pPr>
                </w:p>
              </w:tc>
              <w:tc>
                <w:tcPr>
                  <w:tcW w:w="2211" w:type="dxa"/>
                  <w:gridSpan w:val="2"/>
                  <w:tcBorders>
                    <w:top w:val="nil"/>
                    <w:left w:val="nil"/>
                    <w:bottom w:val="nil"/>
                    <w:right w:val="nil"/>
                  </w:tcBorders>
                  <w:shd w:val="clear" w:color="auto" w:fill="auto"/>
                  <w:vAlign w:val="center"/>
                </w:tcPr>
                <w:p>
                  <w:pPr>
                    <w:rPr>
                      <w:rFonts w:hint="eastAsia" w:ascii="黑体" w:hAnsi="宋体" w:eastAsia="黑体" w:cs="黑体"/>
                      <w:i w:val="0"/>
                      <w:iCs w:val="0"/>
                      <w:color w:val="000000"/>
                      <w:sz w:val="24"/>
                      <w:szCs w:val="24"/>
                      <w:u w:val="none"/>
                    </w:rPr>
                  </w:pPr>
                </w:p>
              </w:tc>
              <w:tc>
                <w:tcPr>
                  <w:tcW w:w="1678" w:type="dxa"/>
                  <w:gridSpan w:val="2"/>
                  <w:tcBorders>
                    <w:top w:val="nil"/>
                    <w:left w:val="nil"/>
                    <w:bottom w:val="nil"/>
                    <w:right w:val="nil"/>
                  </w:tcBorders>
                  <w:shd w:val="clear" w:color="auto" w:fill="auto"/>
                  <w:vAlign w:val="center"/>
                </w:tcPr>
                <w:p>
                  <w:pPr>
                    <w:rPr>
                      <w:rFonts w:hint="eastAsia" w:ascii="宋体" w:hAnsi="宋体" w:eastAsia="宋体" w:cs="宋体"/>
                      <w:i w:val="0"/>
                      <w:iCs w:val="0"/>
                      <w:color w:val="000000"/>
                      <w:sz w:val="24"/>
                      <w:szCs w:val="24"/>
                      <w:u w:val="none"/>
                    </w:rPr>
                  </w:pPr>
                </w:p>
              </w:tc>
              <w:tc>
                <w:tcPr>
                  <w:tcW w:w="1337" w:type="dxa"/>
                  <w:gridSpan w:val="2"/>
                  <w:tcBorders>
                    <w:top w:val="nil"/>
                    <w:left w:val="nil"/>
                    <w:bottom w:val="nil"/>
                    <w:right w:val="nil"/>
                  </w:tcBorders>
                  <w:shd w:val="clear" w:color="auto" w:fill="auto"/>
                  <w:vAlign w:val="center"/>
                </w:tcPr>
                <w:p>
                  <w:pPr>
                    <w:rPr>
                      <w:rFonts w:hint="eastAsia" w:ascii="宋体" w:hAnsi="宋体" w:eastAsia="宋体" w:cs="宋体"/>
                      <w:i w:val="0"/>
                      <w:iCs w:val="0"/>
                      <w:color w:val="000000"/>
                      <w:sz w:val="24"/>
                      <w:szCs w:val="24"/>
                      <w:u w:val="none"/>
                    </w:rPr>
                  </w:pPr>
                </w:p>
              </w:tc>
              <w:tc>
                <w:tcPr>
                  <w:tcW w:w="1474" w:type="dxa"/>
                  <w:gridSpan w:val="2"/>
                  <w:tcBorders>
                    <w:top w:val="nil"/>
                    <w:left w:val="nil"/>
                    <w:bottom w:val="nil"/>
                    <w:right w:val="nil"/>
                  </w:tcBorders>
                  <w:shd w:val="clear" w:color="auto" w:fill="auto"/>
                  <w:vAlign w:val="center"/>
                </w:tcPr>
                <w:p>
                  <w:pPr>
                    <w:rPr>
                      <w:rFonts w:hint="eastAsia" w:ascii="宋体" w:hAnsi="宋体" w:eastAsia="宋体" w:cs="宋体"/>
                      <w:i w:val="0"/>
                      <w:iCs w:val="0"/>
                      <w:color w:val="000000"/>
                      <w:sz w:val="24"/>
                      <w:szCs w:val="24"/>
                      <w:u w:val="none"/>
                    </w:rPr>
                  </w:pPr>
                </w:p>
              </w:tc>
              <w:tc>
                <w:tcPr>
                  <w:tcW w:w="2104" w:type="dxa"/>
                  <w:gridSpan w:val="2"/>
                  <w:tcBorders>
                    <w:top w:val="nil"/>
                    <w:left w:val="nil"/>
                    <w:bottom w:val="nil"/>
                    <w:right w:val="nil"/>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dxa"/>
                <w:trHeight w:val="600" w:hRule="atLeast"/>
              </w:trPr>
              <w:tc>
                <w:tcPr>
                  <w:tcW w:w="10834" w:type="dxa"/>
                  <w:gridSpan w:val="16"/>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32"/>
                      <w:szCs w:val="32"/>
                      <w:u w:val="none"/>
                    </w:rPr>
                  </w:pPr>
                  <w:r>
                    <w:rPr>
                      <w:rFonts w:hint="default" w:ascii="方正小标宋简体" w:hAnsi="方正小标宋简体" w:eastAsia="方正小标宋简体" w:cs="方正小标宋简体"/>
                      <w:i w:val="0"/>
                      <w:iCs w:val="0"/>
                      <w:color w:val="000000"/>
                      <w:kern w:val="0"/>
                      <w:sz w:val="32"/>
                      <w:szCs w:val="32"/>
                      <w:u w:val="none"/>
                      <w:lang w:val="en-US" w:eastAsia="zh-CN" w:bidi="ar"/>
                    </w:rPr>
                    <w:t>转移支付区域（项目）绩效目标自评表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320" w:hRule="atLeast"/>
              </w:trPr>
              <w:tc>
                <w:tcPr>
                  <w:tcW w:w="10834" w:type="dxa"/>
                  <w:gridSpan w:val="16"/>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（2022年度）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52" w:hRule="atLeast"/>
              </w:trPr>
              <w:tc>
                <w:tcPr>
                  <w:tcW w:w="203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转移支付（项目）名称</w:t>
                  </w:r>
                </w:p>
              </w:tc>
              <w:tc>
                <w:tcPr>
                  <w:tcW w:w="880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基本药物制度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323" w:hRule="atLeast"/>
              </w:trPr>
              <w:tc>
                <w:tcPr>
                  <w:tcW w:w="203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中央主管部门</w:t>
                  </w:r>
                </w:p>
              </w:tc>
              <w:tc>
                <w:tcPr>
                  <w:tcW w:w="880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323" w:hRule="atLeast"/>
              </w:trPr>
              <w:tc>
                <w:tcPr>
                  <w:tcW w:w="203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地方主管部门</w:t>
                  </w: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松潘县卫生健康局</w:t>
                  </w: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资金使用单位</w:t>
                  </w:r>
                </w:p>
              </w:tc>
              <w:tc>
                <w:tcPr>
                  <w:tcW w:w="357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各基层医疗机构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20" w:hRule="atLeast"/>
              </w:trPr>
              <w:tc>
                <w:tcPr>
                  <w:tcW w:w="2030"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资金投入情况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（万元）</w:t>
                  </w:r>
                </w:p>
              </w:tc>
              <w:tc>
                <w:tcPr>
                  <w:tcW w:w="22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281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预算执行率（B/A×100%）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323" w:hRule="atLeast"/>
              </w:trPr>
              <w:tc>
                <w:tcPr>
                  <w:tcW w:w="2030"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1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3.9577</w:t>
                  </w:r>
                </w:p>
              </w:tc>
              <w:tc>
                <w:tcPr>
                  <w:tcW w:w="281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1.18248</w:t>
                  </w: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323" w:hRule="atLeast"/>
              </w:trPr>
              <w:tc>
                <w:tcPr>
                  <w:tcW w:w="2030"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39"/>
                      <w:lang w:val="en-US" w:eastAsia="zh-CN" w:bidi="ar"/>
                    </w:rPr>
                    <w:t xml:space="preserve"> </w:t>
                  </w:r>
                  <w:r>
                    <w:rPr>
                      <w:rStyle w:val="40"/>
                      <w:lang w:val="en-US" w:eastAsia="zh-CN" w:bidi="ar"/>
                    </w:rPr>
                    <w:t>其中：中央财政资金</w:t>
                  </w:r>
                </w:p>
              </w:tc>
              <w:tc>
                <w:tcPr>
                  <w:tcW w:w="1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3.6336</w:t>
                  </w:r>
                </w:p>
              </w:tc>
              <w:tc>
                <w:tcPr>
                  <w:tcW w:w="281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1.85838</w:t>
                  </w: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323" w:hRule="atLeast"/>
              </w:trPr>
              <w:tc>
                <w:tcPr>
                  <w:tcW w:w="2030"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39"/>
                      <w:lang w:val="en-US" w:eastAsia="zh-CN" w:bidi="ar"/>
                    </w:rPr>
                    <w:t xml:space="preserve"> </w:t>
                  </w:r>
                  <w:r>
                    <w:rPr>
                      <w:rStyle w:val="41"/>
                      <w:lang w:val="en-US" w:eastAsia="zh-CN" w:bidi="ar"/>
                    </w:rPr>
                    <w:t xml:space="preserve">      地方资金</w:t>
                  </w:r>
                </w:p>
              </w:tc>
              <w:tc>
                <w:tcPr>
                  <w:tcW w:w="1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81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gridAfter w:val="1"/>
                <w:wAfter w:w="5" w:type="dxa"/>
                <w:trHeight w:val="323" w:hRule="atLeast"/>
              </w:trPr>
              <w:tc>
                <w:tcPr>
                  <w:tcW w:w="2030"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Style w:val="42"/>
                      <w:lang w:val="en-US" w:eastAsia="zh-CN" w:bidi="ar"/>
                    </w:rPr>
                    <w:t xml:space="preserve">      </w:t>
                  </w:r>
                  <w:r>
                    <w:rPr>
                      <w:rStyle w:val="40"/>
                      <w:lang w:val="en-US" w:eastAsia="zh-CN" w:bidi="ar"/>
                    </w:rPr>
                    <w:t xml:space="preserve">  其他资金</w:t>
                  </w:r>
                </w:p>
              </w:tc>
              <w:tc>
                <w:tcPr>
                  <w:tcW w:w="1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81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323" w:hRule="atLeast"/>
              </w:trPr>
              <w:tc>
                <w:tcPr>
                  <w:tcW w:w="2030"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资金管理情况</w:t>
                  </w:r>
                </w:p>
              </w:tc>
              <w:tc>
                <w:tcPr>
                  <w:tcW w:w="22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448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情况说明</w:t>
                  </w: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存在问题和改进措施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323" w:hRule="atLeast"/>
              </w:trPr>
              <w:tc>
                <w:tcPr>
                  <w:tcW w:w="2030"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分配科学性</w:t>
                  </w:r>
                </w:p>
              </w:tc>
              <w:tc>
                <w:tcPr>
                  <w:tcW w:w="448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323" w:hRule="atLeast"/>
              </w:trPr>
              <w:tc>
                <w:tcPr>
                  <w:tcW w:w="2030"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下达及时性</w:t>
                  </w:r>
                </w:p>
              </w:tc>
              <w:tc>
                <w:tcPr>
                  <w:tcW w:w="448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323" w:hRule="atLeast"/>
              </w:trPr>
              <w:tc>
                <w:tcPr>
                  <w:tcW w:w="2030"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拨付合规性</w:t>
                  </w:r>
                </w:p>
              </w:tc>
              <w:tc>
                <w:tcPr>
                  <w:tcW w:w="448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323" w:hRule="atLeast"/>
              </w:trPr>
              <w:tc>
                <w:tcPr>
                  <w:tcW w:w="2030"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使用规范性</w:t>
                  </w:r>
                </w:p>
              </w:tc>
              <w:tc>
                <w:tcPr>
                  <w:tcW w:w="448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323" w:hRule="atLeast"/>
              </w:trPr>
              <w:tc>
                <w:tcPr>
                  <w:tcW w:w="2030"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执行准确性</w:t>
                  </w:r>
                </w:p>
              </w:tc>
              <w:tc>
                <w:tcPr>
                  <w:tcW w:w="448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323" w:hRule="atLeast"/>
              </w:trPr>
              <w:tc>
                <w:tcPr>
                  <w:tcW w:w="2030"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预算绩效管理情况</w:t>
                  </w:r>
                </w:p>
              </w:tc>
              <w:tc>
                <w:tcPr>
                  <w:tcW w:w="448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323" w:hRule="atLeast"/>
              </w:trPr>
              <w:tc>
                <w:tcPr>
                  <w:tcW w:w="2030"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支出责任履行情况</w:t>
                  </w:r>
                </w:p>
              </w:tc>
              <w:tc>
                <w:tcPr>
                  <w:tcW w:w="448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323" w:hRule="atLeast"/>
              </w:trPr>
              <w:tc>
                <w:tcPr>
                  <w:tcW w:w="509" w:type="dxa"/>
                  <w:gridSpan w:val="2"/>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总体目标完成情况</w:t>
                  </w:r>
                </w:p>
              </w:tc>
              <w:tc>
                <w:tcPr>
                  <w:tcW w:w="5410" w:type="dxa"/>
                  <w:gridSpan w:val="8"/>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总体目标</w:t>
                  </w:r>
                </w:p>
              </w:tc>
              <w:tc>
                <w:tcPr>
                  <w:tcW w:w="4915" w:type="dxa"/>
                  <w:gridSpan w:val="6"/>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1260" w:hRule="atLeast"/>
              </w:trPr>
              <w:tc>
                <w:tcPr>
                  <w:tcW w:w="509" w:type="dxa"/>
                  <w:gridSpan w:val="2"/>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41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目标1：基层医疗卫生机构按要求实施基本药物制度。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目标2：基本药物制度在村卫生室顺利实施。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目标3：基层医疗卫生机构服务质量进一步提高。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目标4：紧密型医共体等基层卫生综合改革在县域内稳步推进。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目标5：对基本药物制度补助满意度进一步提高。</w:t>
                  </w:r>
                </w:p>
              </w:tc>
              <w:tc>
                <w:tcPr>
                  <w:tcW w:w="49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522" w:hRule="atLeast"/>
              </w:trPr>
              <w:tc>
                <w:tcPr>
                  <w:tcW w:w="50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5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指标</w:t>
                  </w:r>
                </w:p>
              </w:tc>
              <w:tc>
                <w:tcPr>
                  <w:tcW w:w="1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指标值</w:t>
                  </w: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全年实际完成值</w:t>
                  </w: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未完成原因和改进措施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标</w:t>
                  </w:r>
                </w:p>
              </w:tc>
              <w:tc>
                <w:tcPr>
                  <w:tcW w:w="101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政府办基层医疗卫生机构实施国家基本药物制度覆盖率</w:t>
                  </w: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村卫生室实施国家基本药物制度覆盖率</w:t>
                  </w: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标</w:t>
                  </w:r>
                </w:p>
              </w:tc>
              <w:tc>
                <w:tcPr>
                  <w:tcW w:w="101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指标</w:t>
                  </w: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指标</w:t>
                  </w: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乡村医生收入</w:t>
                  </w: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保持稳定</w:t>
                  </w: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保持稳定</w:t>
                  </w: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指标</w:t>
                  </w: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国家基本药物制度在基层持续实施</w:t>
                  </w: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中长期</w:t>
                  </w: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中长期</w:t>
                  </w: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医共体建设符合“紧密型”“</w:t>
                  </w:r>
                  <w:bookmarkStart w:id="89" w:name="_GoBack"/>
                  <w:bookmarkEnd w:id="89"/>
                  <w:r>
                    <w:rPr>
                      <w:rFonts w:hint="eastAsia" w:ascii="宋体" w:hAnsi="宋体" w:eastAsia="宋体" w:cs="宋体"/>
                      <w:i w:val="0"/>
                      <w:iCs w:val="0"/>
                      <w:color w:val="000000"/>
                      <w:kern w:val="0"/>
                      <w:sz w:val="20"/>
                      <w:szCs w:val="20"/>
                      <w:u w:val="none"/>
                      <w:lang w:val="en-US" w:eastAsia="zh-CN" w:bidi="ar"/>
                    </w:rPr>
                    <w:t>控费型 ”“同质化”“促分工”发展方向</w:t>
                  </w: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稳步发展</w:t>
                  </w: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稳步发展</w:t>
                  </w: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101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服务对象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满意度指标</w:t>
                  </w: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医院医务人员满意度</w:t>
                  </w: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较上一年提高</w:t>
                  </w: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较上一年提高</w:t>
                  </w: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263" w:hRule="atLeast"/>
              </w:trPr>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5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38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4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323" w:hRule="atLeast"/>
              </w:trPr>
              <w:tc>
                <w:tcPr>
                  <w:tcW w:w="5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说明</w:t>
                  </w:r>
                </w:p>
              </w:tc>
              <w:tc>
                <w:tcPr>
                  <w:tcW w:w="10325" w:type="dxa"/>
                  <w:gridSpan w:val="1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请在此处简要说明中央巡视、各级审计和财政监督中发现的问题及其所涉及的金额，如没有请填无。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dxa"/>
                <w:trHeight w:val="260" w:hRule="atLeast"/>
              </w:trPr>
              <w:tc>
                <w:tcPr>
                  <w:tcW w:w="10834" w:type="dxa"/>
                  <w:gridSpan w:val="16"/>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注：1.资金使用单位按项目绩效目标填报，主管部门汇总时按区域绩效目标填报。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dxa"/>
                <w:trHeight w:val="520" w:hRule="atLeast"/>
              </w:trPr>
              <w:tc>
                <w:tcPr>
                  <w:tcW w:w="10834" w:type="dxa"/>
                  <w:gridSpan w:val="16"/>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2.其他资金包括与中央财政资金、地方财政资金共同投入到同一项目的自有资金、社会资金，以及以前年度的结转结余资金等。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dxa"/>
                <w:trHeight w:val="340" w:hRule="atLeast"/>
              </w:trPr>
              <w:tc>
                <w:tcPr>
                  <w:tcW w:w="10834" w:type="dxa"/>
                  <w:gridSpan w:val="16"/>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3.全年执行数是指按照国库集中支付制度要求所形成的实际支出。</w:t>
                  </w:r>
                </w:p>
              </w:tc>
            </w:tr>
          </w:tbl>
          <w:p>
            <w:pPr>
              <w:jc w:val="both"/>
              <w:rPr>
                <w:rFonts w:hint="eastAsia" w:ascii="宋体" w:hAnsi="宋体" w:eastAsia="宋体" w:cs="宋体"/>
                <w:i w:val="0"/>
                <w:iCs w:val="0"/>
                <w:color w:val="000000"/>
                <w:sz w:val="24"/>
                <w:szCs w:val="24"/>
                <w:u w:val="none"/>
              </w:rPr>
            </w:pPr>
          </w:p>
        </w:tc>
        <w:tc>
          <w:tcPr>
            <w:tcW w:w="52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28"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4"/>
                <w:szCs w:val="24"/>
                <w:u w:val="none"/>
              </w:rPr>
            </w:pPr>
          </w:p>
        </w:tc>
        <w:tc>
          <w:tcPr>
            <w:tcW w:w="52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c>
          <w:tcPr>
            <w:tcW w:w="2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21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bl>
    <w:p/>
    <w:p>
      <w:pPr>
        <w:pStyle w:val="3"/>
        <w:jc w:val="center"/>
        <w:rPr>
          <w:rFonts w:ascii="黑体" w:hAnsi="黑体" w:eastAsia="黑体" w:cs="黑体"/>
        </w:rPr>
      </w:pPr>
      <w:bookmarkStart w:id="72" w:name="_Toc79163635"/>
      <w:bookmarkStart w:id="73" w:name="_Toc79163885"/>
      <w:bookmarkStart w:id="74" w:name="_Toc111208512"/>
      <w:bookmarkStart w:id="75" w:name="_Toc16128"/>
      <w:r>
        <w:rPr>
          <w:rFonts w:hint="eastAsia" w:ascii="黑体" w:hAnsi="黑体" w:eastAsia="黑体" w:cs="黑体"/>
        </w:rPr>
        <w:t>第五部分 附表</w:t>
      </w:r>
      <w:bookmarkEnd w:id="72"/>
      <w:bookmarkEnd w:id="73"/>
      <w:bookmarkEnd w:id="74"/>
      <w:bookmarkEnd w:id="75"/>
    </w:p>
    <w:p>
      <w:pPr>
        <w:pStyle w:val="4"/>
        <w:ind w:firstLine="643" w:firstLineChars="200"/>
        <w:rPr>
          <w:rFonts w:hint="eastAsia" w:ascii="黑体" w:eastAsia="黑体" w:cs="Times New Roman"/>
          <w:bCs w:val="0"/>
          <w:color w:val="000000"/>
        </w:rPr>
      </w:pPr>
      <w:bookmarkStart w:id="76" w:name="_Toc19345"/>
      <w:r>
        <w:rPr>
          <w:rFonts w:hint="eastAsia" w:ascii="黑体" w:eastAsia="黑体" w:cs="Times New Roman"/>
          <w:bCs w:val="0"/>
          <w:color w:val="000000"/>
        </w:rPr>
        <w:t>一、收入支出决算总表</w:t>
      </w:r>
      <w:bookmarkEnd w:id="76"/>
    </w:p>
    <w:p>
      <w:pPr>
        <w:pStyle w:val="4"/>
        <w:ind w:firstLine="643" w:firstLineChars="200"/>
        <w:rPr>
          <w:rFonts w:hint="eastAsia" w:ascii="黑体" w:eastAsia="黑体" w:cs="Times New Roman"/>
          <w:bCs w:val="0"/>
          <w:color w:val="000000"/>
        </w:rPr>
      </w:pPr>
      <w:bookmarkStart w:id="77" w:name="_Toc5091"/>
      <w:r>
        <w:rPr>
          <w:rFonts w:hint="eastAsia" w:ascii="黑体" w:eastAsia="黑体" w:cs="Times New Roman"/>
          <w:bCs w:val="0"/>
          <w:color w:val="000000"/>
        </w:rPr>
        <w:t>二、收入决算表</w:t>
      </w:r>
      <w:bookmarkEnd w:id="77"/>
    </w:p>
    <w:p>
      <w:pPr>
        <w:pStyle w:val="4"/>
        <w:ind w:firstLine="643" w:firstLineChars="200"/>
        <w:rPr>
          <w:rFonts w:hint="eastAsia" w:ascii="黑体" w:eastAsia="黑体" w:cs="Times New Roman"/>
          <w:bCs w:val="0"/>
          <w:color w:val="000000"/>
        </w:rPr>
      </w:pPr>
      <w:bookmarkStart w:id="78" w:name="_Toc5639"/>
      <w:r>
        <w:rPr>
          <w:rFonts w:hint="eastAsia" w:ascii="黑体" w:eastAsia="黑体" w:cs="Times New Roman"/>
          <w:bCs w:val="0"/>
          <w:color w:val="000000"/>
        </w:rPr>
        <w:t>三、支出决算表</w:t>
      </w:r>
      <w:bookmarkEnd w:id="78"/>
    </w:p>
    <w:p>
      <w:pPr>
        <w:pStyle w:val="4"/>
        <w:ind w:firstLine="643" w:firstLineChars="200"/>
        <w:rPr>
          <w:rFonts w:hint="eastAsia" w:ascii="黑体" w:eastAsia="黑体" w:cs="Times New Roman"/>
          <w:bCs w:val="0"/>
          <w:color w:val="000000"/>
        </w:rPr>
      </w:pPr>
      <w:bookmarkStart w:id="79" w:name="_Toc20160"/>
      <w:r>
        <w:rPr>
          <w:rFonts w:hint="eastAsia" w:ascii="黑体" w:eastAsia="黑体" w:cs="Times New Roman"/>
          <w:bCs w:val="0"/>
          <w:color w:val="000000"/>
        </w:rPr>
        <w:t>四、财政拨款收入支出决算总表</w:t>
      </w:r>
      <w:bookmarkEnd w:id="79"/>
    </w:p>
    <w:p>
      <w:pPr>
        <w:pStyle w:val="4"/>
        <w:ind w:firstLine="643" w:firstLineChars="200"/>
        <w:rPr>
          <w:rFonts w:hint="eastAsia" w:ascii="黑体" w:eastAsia="黑体" w:cs="Times New Roman"/>
          <w:bCs w:val="0"/>
          <w:color w:val="000000"/>
        </w:rPr>
      </w:pPr>
      <w:bookmarkStart w:id="80" w:name="_Toc13786"/>
      <w:r>
        <w:rPr>
          <w:rFonts w:hint="eastAsia" w:ascii="黑体" w:eastAsia="黑体" w:cs="Times New Roman"/>
          <w:bCs w:val="0"/>
          <w:color w:val="000000"/>
        </w:rPr>
        <w:t>五、财政拨款支出决算明细表</w:t>
      </w:r>
      <w:bookmarkEnd w:id="80"/>
    </w:p>
    <w:p>
      <w:pPr>
        <w:pStyle w:val="4"/>
        <w:ind w:firstLine="643" w:firstLineChars="200"/>
        <w:rPr>
          <w:rFonts w:hint="eastAsia" w:ascii="黑体" w:eastAsia="黑体" w:cs="Times New Roman"/>
          <w:bCs w:val="0"/>
          <w:color w:val="000000"/>
        </w:rPr>
      </w:pPr>
      <w:bookmarkStart w:id="81" w:name="_Toc8367"/>
      <w:r>
        <w:rPr>
          <w:rFonts w:hint="eastAsia" w:ascii="黑体" w:eastAsia="黑体" w:cs="Times New Roman"/>
          <w:bCs w:val="0"/>
          <w:color w:val="000000"/>
        </w:rPr>
        <w:t>六、一般公共预算财政拨款支出决算表</w:t>
      </w:r>
      <w:bookmarkEnd w:id="81"/>
    </w:p>
    <w:p>
      <w:pPr>
        <w:pStyle w:val="4"/>
        <w:ind w:firstLine="643" w:firstLineChars="200"/>
        <w:rPr>
          <w:rFonts w:hint="eastAsia" w:ascii="黑体" w:eastAsia="黑体" w:cs="Times New Roman"/>
          <w:bCs w:val="0"/>
          <w:color w:val="000000"/>
        </w:rPr>
      </w:pPr>
      <w:bookmarkStart w:id="82" w:name="_Toc17399"/>
      <w:r>
        <w:rPr>
          <w:rFonts w:hint="eastAsia" w:ascii="黑体" w:eastAsia="黑体" w:cs="Times New Roman"/>
          <w:bCs w:val="0"/>
          <w:color w:val="000000"/>
        </w:rPr>
        <w:t>七、一般公共预算财政拨款支出决算明细表</w:t>
      </w:r>
      <w:bookmarkEnd w:id="82"/>
    </w:p>
    <w:p>
      <w:pPr>
        <w:pStyle w:val="4"/>
        <w:ind w:firstLine="643" w:firstLineChars="200"/>
        <w:rPr>
          <w:rFonts w:hint="eastAsia" w:ascii="黑体" w:eastAsia="黑体" w:cs="Times New Roman"/>
          <w:bCs w:val="0"/>
          <w:color w:val="000000"/>
        </w:rPr>
      </w:pPr>
      <w:bookmarkStart w:id="83" w:name="_Toc8764"/>
      <w:r>
        <w:rPr>
          <w:rFonts w:hint="eastAsia" w:ascii="黑体" w:eastAsia="黑体" w:cs="Times New Roman"/>
          <w:bCs w:val="0"/>
          <w:color w:val="000000"/>
        </w:rPr>
        <w:t>八、一般公共预算财政拨款基本支出决算表</w:t>
      </w:r>
      <w:bookmarkEnd w:id="83"/>
    </w:p>
    <w:p>
      <w:pPr>
        <w:pStyle w:val="4"/>
        <w:ind w:firstLine="643" w:firstLineChars="200"/>
        <w:rPr>
          <w:rFonts w:hint="eastAsia" w:ascii="黑体" w:eastAsia="黑体" w:cs="Times New Roman"/>
          <w:bCs w:val="0"/>
          <w:color w:val="000000"/>
        </w:rPr>
      </w:pPr>
      <w:bookmarkStart w:id="84" w:name="_Toc5316"/>
      <w:r>
        <w:rPr>
          <w:rFonts w:hint="eastAsia" w:ascii="黑体" w:eastAsia="黑体" w:cs="Times New Roman"/>
          <w:bCs w:val="0"/>
          <w:color w:val="000000"/>
        </w:rPr>
        <w:t>九、一般公共预算财政拨款项目支出决算表</w:t>
      </w:r>
      <w:bookmarkEnd w:id="84"/>
    </w:p>
    <w:p>
      <w:pPr>
        <w:pStyle w:val="4"/>
        <w:ind w:firstLine="643" w:firstLineChars="200"/>
        <w:rPr>
          <w:rFonts w:hint="eastAsia" w:ascii="黑体" w:eastAsia="黑体" w:cs="Times New Roman"/>
          <w:bCs w:val="0"/>
          <w:color w:val="000000"/>
        </w:rPr>
      </w:pPr>
      <w:bookmarkStart w:id="85" w:name="_Toc9239"/>
      <w:r>
        <w:rPr>
          <w:rFonts w:hint="eastAsia" w:ascii="黑体" w:eastAsia="黑体" w:cs="Times New Roman"/>
          <w:bCs w:val="0"/>
          <w:color w:val="000000"/>
        </w:rPr>
        <w:t>十、政府性基金预算财政拨款收入支出决算表</w:t>
      </w:r>
      <w:bookmarkEnd w:id="85"/>
    </w:p>
    <w:p>
      <w:pPr>
        <w:pStyle w:val="4"/>
        <w:ind w:firstLine="643" w:firstLineChars="200"/>
        <w:rPr>
          <w:rFonts w:hint="eastAsia" w:ascii="黑体" w:eastAsia="黑体" w:cs="Times New Roman"/>
          <w:bCs w:val="0"/>
          <w:color w:val="000000"/>
        </w:rPr>
      </w:pPr>
      <w:bookmarkStart w:id="86" w:name="_Toc21643"/>
      <w:r>
        <w:rPr>
          <w:rFonts w:hint="eastAsia" w:ascii="黑体" w:eastAsia="黑体" w:cs="Times New Roman"/>
          <w:bCs w:val="0"/>
          <w:color w:val="000000"/>
        </w:rPr>
        <w:t>十一、国有资本经营预算财政拨款收入支出决算表</w:t>
      </w:r>
      <w:bookmarkEnd w:id="86"/>
    </w:p>
    <w:p>
      <w:pPr>
        <w:pStyle w:val="4"/>
        <w:ind w:firstLine="643" w:firstLineChars="200"/>
        <w:rPr>
          <w:rFonts w:hint="eastAsia" w:ascii="黑体" w:eastAsia="黑体" w:cs="Times New Roman"/>
          <w:bCs w:val="0"/>
          <w:color w:val="000000"/>
        </w:rPr>
      </w:pPr>
      <w:bookmarkStart w:id="87" w:name="_Toc11859"/>
      <w:r>
        <w:rPr>
          <w:rFonts w:hint="eastAsia" w:ascii="黑体" w:eastAsia="黑体" w:cs="Times New Roman"/>
          <w:bCs w:val="0"/>
          <w:color w:val="000000"/>
        </w:rPr>
        <w:t>十二、国有资本经营预算财政拨款支出决算表</w:t>
      </w:r>
      <w:bookmarkEnd w:id="87"/>
    </w:p>
    <w:p>
      <w:pPr>
        <w:pStyle w:val="4"/>
        <w:ind w:firstLine="643" w:firstLineChars="200"/>
        <w:rPr>
          <w:rFonts w:ascii="黑体" w:eastAsia="黑体" w:cs="Times New Roman"/>
          <w:b w:val="0"/>
          <w:color w:val="000000"/>
        </w:rPr>
      </w:pPr>
      <w:bookmarkStart w:id="88" w:name="_Toc3136"/>
      <w:r>
        <w:rPr>
          <w:rFonts w:hint="eastAsia" w:ascii="黑体" w:eastAsia="黑体" w:cs="Times New Roman"/>
          <w:bCs w:val="0"/>
          <w:color w:val="000000"/>
        </w:rPr>
        <w:t>十三、财政拨款“三公”经费支出决算表</w:t>
      </w:r>
      <w:bookmarkEnd w:id="88"/>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
    <w:altName w:val="Segoe Print"/>
    <w:panose1 w:val="00000000000000000000"/>
    <w:charset w:val="00"/>
    <w:family w:val="auto"/>
    <w:pitch w:val="default"/>
    <w:sig w:usb0="00000000" w:usb1="00000000" w:usb2="00000000" w:usb3="00000000" w:csb0="00000000"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pPr>
          <w:pStyle w:val="11"/>
          <w:jc w:val="center"/>
        </w:pPr>
        <w:r>
          <w:fldChar w:fldCharType="begin"/>
        </w:r>
        <w:r>
          <w:instrText xml:space="preserve">PAGE   \* MERGEFORMAT</w:instrText>
        </w:r>
        <w:r>
          <w:fldChar w:fldCharType="separate"/>
        </w:r>
        <w:r>
          <w:rPr>
            <w:lang w:val="zh-CN"/>
          </w:rPr>
          <w:t>4</w:t>
        </w:r>
        <w:r>
          <w:fldChar w:fldCharType="end"/>
        </w:r>
      </w:p>
    </w:sdtContent>
  </w:sdt>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U1MWNhN2ZmY2ZhZmY3ODhlYTg0MWU5OGMyY2QwZmUifQ=="/>
  </w:docVars>
  <w:rsids>
    <w:rsidRoot w:val="00F1361C"/>
    <w:rsid w:val="000000BC"/>
    <w:rsid w:val="00000665"/>
    <w:rsid w:val="00000B38"/>
    <w:rsid w:val="000015A2"/>
    <w:rsid w:val="00002628"/>
    <w:rsid w:val="00003E5B"/>
    <w:rsid w:val="00004806"/>
    <w:rsid w:val="00007EA6"/>
    <w:rsid w:val="00012FB7"/>
    <w:rsid w:val="00013357"/>
    <w:rsid w:val="00013C9E"/>
    <w:rsid w:val="00015450"/>
    <w:rsid w:val="000175E6"/>
    <w:rsid w:val="00017F98"/>
    <w:rsid w:val="00020F07"/>
    <w:rsid w:val="000222C6"/>
    <w:rsid w:val="00022FC0"/>
    <w:rsid w:val="000230B2"/>
    <w:rsid w:val="0002359B"/>
    <w:rsid w:val="00023DEB"/>
    <w:rsid w:val="00025226"/>
    <w:rsid w:val="0002549F"/>
    <w:rsid w:val="00025F1E"/>
    <w:rsid w:val="0002749D"/>
    <w:rsid w:val="0003013F"/>
    <w:rsid w:val="00031598"/>
    <w:rsid w:val="00031926"/>
    <w:rsid w:val="000326D5"/>
    <w:rsid w:val="00033414"/>
    <w:rsid w:val="00034ABC"/>
    <w:rsid w:val="00034D1D"/>
    <w:rsid w:val="00034D24"/>
    <w:rsid w:val="00035A69"/>
    <w:rsid w:val="000366B3"/>
    <w:rsid w:val="00036E57"/>
    <w:rsid w:val="00047195"/>
    <w:rsid w:val="00047C09"/>
    <w:rsid w:val="00052D93"/>
    <w:rsid w:val="000551CF"/>
    <w:rsid w:val="000571AC"/>
    <w:rsid w:val="00063AA8"/>
    <w:rsid w:val="0006487A"/>
    <w:rsid w:val="00065F8F"/>
    <w:rsid w:val="00066365"/>
    <w:rsid w:val="00066A65"/>
    <w:rsid w:val="00070C93"/>
    <w:rsid w:val="00070D58"/>
    <w:rsid w:val="00070F40"/>
    <w:rsid w:val="00071796"/>
    <w:rsid w:val="00072BEC"/>
    <w:rsid w:val="00073345"/>
    <w:rsid w:val="000768F2"/>
    <w:rsid w:val="00077C80"/>
    <w:rsid w:val="00081156"/>
    <w:rsid w:val="000815F6"/>
    <w:rsid w:val="00083B72"/>
    <w:rsid w:val="000846FF"/>
    <w:rsid w:val="0008503A"/>
    <w:rsid w:val="000851B4"/>
    <w:rsid w:val="000859F0"/>
    <w:rsid w:val="00087C06"/>
    <w:rsid w:val="00090134"/>
    <w:rsid w:val="00090DB7"/>
    <w:rsid w:val="0009184B"/>
    <w:rsid w:val="00091AAC"/>
    <w:rsid w:val="000925CB"/>
    <w:rsid w:val="0009389E"/>
    <w:rsid w:val="0009593C"/>
    <w:rsid w:val="000A1370"/>
    <w:rsid w:val="000A17C4"/>
    <w:rsid w:val="000A37A2"/>
    <w:rsid w:val="000A500C"/>
    <w:rsid w:val="000B007F"/>
    <w:rsid w:val="000B047F"/>
    <w:rsid w:val="000B071C"/>
    <w:rsid w:val="000B1716"/>
    <w:rsid w:val="000B202D"/>
    <w:rsid w:val="000B26BE"/>
    <w:rsid w:val="000B2D44"/>
    <w:rsid w:val="000B2FD8"/>
    <w:rsid w:val="000B44F0"/>
    <w:rsid w:val="000B5923"/>
    <w:rsid w:val="000B5A48"/>
    <w:rsid w:val="000B6FF3"/>
    <w:rsid w:val="000C0A06"/>
    <w:rsid w:val="000C148A"/>
    <w:rsid w:val="000C2B6A"/>
    <w:rsid w:val="000C3467"/>
    <w:rsid w:val="000C3CA6"/>
    <w:rsid w:val="000C4E3D"/>
    <w:rsid w:val="000C7136"/>
    <w:rsid w:val="000D1267"/>
    <w:rsid w:val="000D1D50"/>
    <w:rsid w:val="000D304F"/>
    <w:rsid w:val="000D4033"/>
    <w:rsid w:val="000D5782"/>
    <w:rsid w:val="000D620F"/>
    <w:rsid w:val="000D74AA"/>
    <w:rsid w:val="000E3AC5"/>
    <w:rsid w:val="000E4C84"/>
    <w:rsid w:val="000E6613"/>
    <w:rsid w:val="000E6663"/>
    <w:rsid w:val="000E7119"/>
    <w:rsid w:val="000E75B2"/>
    <w:rsid w:val="000F0D1B"/>
    <w:rsid w:val="000F3E1D"/>
    <w:rsid w:val="000F7336"/>
    <w:rsid w:val="00101546"/>
    <w:rsid w:val="00106B75"/>
    <w:rsid w:val="0010727E"/>
    <w:rsid w:val="00107CCA"/>
    <w:rsid w:val="00110310"/>
    <w:rsid w:val="0011211B"/>
    <w:rsid w:val="00112787"/>
    <w:rsid w:val="00114E9B"/>
    <w:rsid w:val="0011649B"/>
    <w:rsid w:val="00116E5E"/>
    <w:rsid w:val="0012218E"/>
    <w:rsid w:val="0012398F"/>
    <w:rsid w:val="00124113"/>
    <w:rsid w:val="00124BFE"/>
    <w:rsid w:val="0012516D"/>
    <w:rsid w:val="00125224"/>
    <w:rsid w:val="00130F18"/>
    <w:rsid w:val="00133C7A"/>
    <w:rsid w:val="0013434B"/>
    <w:rsid w:val="00137E3C"/>
    <w:rsid w:val="001418EE"/>
    <w:rsid w:val="00142F42"/>
    <w:rsid w:val="00143AE1"/>
    <w:rsid w:val="00143C8F"/>
    <w:rsid w:val="001446FE"/>
    <w:rsid w:val="00144A59"/>
    <w:rsid w:val="00146A3D"/>
    <w:rsid w:val="0014729F"/>
    <w:rsid w:val="00147410"/>
    <w:rsid w:val="001506F6"/>
    <w:rsid w:val="00151128"/>
    <w:rsid w:val="0015213E"/>
    <w:rsid w:val="001544D9"/>
    <w:rsid w:val="00156D25"/>
    <w:rsid w:val="00156D5D"/>
    <w:rsid w:val="00157BAB"/>
    <w:rsid w:val="0016151A"/>
    <w:rsid w:val="00163B54"/>
    <w:rsid w:val="001654D1"/>
    <w:rsid w:val="00166A14"/>
    <w:rsid w:val="00166F25"/>
    <w:rsid w:val="0016730C"/>
    <w:rsid w:val="0017190C"/>
    <w:rsid w:val="00174145"/>
    <w:rsid w:val="0018106D"/>
    <w:rsid w:val="0018125C"/>
    <w:rsid w:val="00181856"/>
    <w:rsid w:val="00183B64"/>
    <w:rsid w:val="00184B52"/>
    <w:rsid w:val="001877A7"/>
    <w:rsid w:val="00187CD2"/>
    <w:rsid w:val="00191536"/>
    <w:rsid w:val="00191B2C"/>
    <w:rsid w:val="001927B3"/>
    <w:rsid w:val="00193E73"/>
    <w:rsid w:val="00193FE2"/>
    <w:rsid w:val="001959D9"/>
    <w:rsid w:val="00195AB7"/>
    <w:rsid w:val="00196687"/>
    <w:rsid w:val="001A0107"/>
    <w:rsid w:val="001A0B9F"/>
    <w:rsid w:val="001A0EA2"/>
    <w:rsid w:val="001A1DBF"/>
    <w:rsid w:val="001A41F1"/>
    <w:rsid w:val="001A5CF3"/>
    <w:rsid w:val="001A63BB"/>
    <w:rsid w:val="001B1840"/>
    <w:rsid w:val="001B1FA9"/>
    <w:rsid w:val="001B2FB3"/>
    <w:rsid w:val="001B6640"/>
    <w:rsid w:val="001B7FF7"/>
    <w:rsid w:val="001C0962"/>
    <w:rsid w:val="001C1941"/>
    <w:rsid w:val="001C1A81"/>
    <w:rsid w:val="001C38A5"/>
    <w:rsid w:val="001C597C"/>
    <w:rsid w:val="001C6464"/>
    <w:rsid w:val="001C746B"/>
    <w:rsid w:val="001D14B6"/>
    <w:rsid w:val="001D342B"/>
    <w:rsid w:val="001D6C1E"/>
    <w:rsid w:val="001D7531"/>
    <w:rsid w:val="001E0A1B"/>
    <w:rsid w:val="001E1402"/>
    <w:rsid w:val="001E2922"/>
    <w:rsid w:val="001E3680"/>
    <w:rsid w:val="001E6926"/>
    <w:rsid w:val="001E737D"/>
    <w:rsid w:val="001F0592"/>
    <w:rsid w:val="001F0C89"/>
    <w:rsid w:val="001F7506"/>
    <w:rsid w:val="002006CD"/>
    <w:rsid w:val="0020075A"/>
    <w:rsid w:val="00202B36"/>
    <w:rsid w:val="00202C44"/>
    <w:rsid w:val="00202F80"/>
    <w:rsid w:val="002030A5"/>
    <w:rsid w:val="00204B7A"/>
    <w:rsid w:val="00206616"/>
    <w:rsid w:val="0020689D"/>
    <w:rsid w:val="00206B0E"/>
    <w:rsid w:val="00207949"/>
    <w:rsid w:val="0021101A"/>
    <w:rsid w:val="0021190F"/>
    <w:rsid w:val="0021334C"/>
    <w:rsid w:val="00216B50"/>
    <w:rsid w:val="00220536"/>
    <w:rsid w:val="00220C02"/>
    <w:rsid w:val="00224F1D"/>
    <w:rsid w:val="00225CB7"/>
    <w:rsid w:val="0023060C"/>
    <w:rsid w:val="00234E40"/>
    <w:rsid w:val="00235629"/>
    <w:rsid w:val="00237AE4"/>
    <w:rsid w:val="00240C43"/>
    <w:rsid w:val="00240C5D"/>
    <w:rsid w:val="00243589"/>
    <w:rsid w:val="002527B1"/>
    <w:rsid w:val="0025301B"/>
    <w:rsid w:val="00253FF8"/>
    <w:rsid w:val="00260A32"/>
    <w:rsid w:val="00260C38"/>
    <w:rsid w:val="00260F84"/>
    <w:rsid w:val="002616C0"/>
    <w:rsid w:val="002620C0"/>
    <w:rsid w:val="002662AA"/>
    <w:rsid w:val="00267E1C"/>
    <w:rsid w:val="00272FB2"/>
    <w:rsid w:val="0027313F"/>
    <w:rsid w:val="00273F8B"/>
    <w:rsid w:val="002740FA"/>
    <w:rsid w:val="0027692F"/>
    <w:rsid w:val="0027703A"/>
    <w:rsid w:val="00277BF4"/>
    <w:rsid w:val="002803BD"/>
    <w:rsid w:val="00280496"/>
    <w:rsid w:val="00283D63"/>
    <w:rsid w:val="00283E91"/>
    <w:rsid w:val="002856F9"/>
    <w:rsid w:val="002866CA"/>
    <w:rsid w:val="00286C21"/>
    <w:rsid w:val="002875BF"/>
    <w:rsid w:val="0029076F"/>
    <w:rsid w:val="0029094E"/>
    <w:rsid w:val="00291DC2"/>
    <w:rsid w:val="00292626"/>
    <w:rsid w:val="00292E6B"/>
    <w:rsid w:val="00295495"/>
    <w:rsid w:val="002A0D55"/>
    <w:rsid w:val="002A0E88"/>
    <w:rsid w:val="002A1940"/>
    <w:rsid w:val="002A3F4C"/>
    <w:rsid w:val="002A70D7"/>
    <w:rsid w:val="002A77B7"/>
    <w:rsid w:val="002A7AE1"/>
    <w:rsid w:val="002B133E"/>
    <w:rsid w:val="002B1B6D"/>
    <w:rsid w:val="002B2613"/>
    <w:rsid w:val="002B2C2A"/>
    <w:rsid w:val="002B2F51"/>
    <w:rsid w:val="002B44FC"/>
    <w:rsid w:val="002B5438"/>
    <w:rsid w:val="002B544A"/>
    <w:rsid w:val="002B5F40"/>
    <w:rsid w:val="002B79B7"/>
    <w:rsid w:val="002C00BF"/>
    <w:rsid w:val="002C0137"/>
    <w:rsid w:val="002C1004"/>
    <w:rsid w:val="002C1E97"/>
    <w:rsid w:val="002C4022"/>
    <w:rsid w:val="002C5275"/>
    <w:rsid w:val="002C6074"/>
    <w:rsid w:val="002D1F9E"/>
    <w:rsid w:val="002D30E8"/>
    <w:rsid w:val="002E0F9C"/>
    <w:rsid w:val="002E1F75"/>
    <w:rsid w:val="002E202A"/>
    <w:rsid w:val="002E5C3A"/>
    <w:rsid w:val="002E64D0"/>
    <w:rsid w:val="002F1818"/>
    <w:rsid w:val="002F1A28"/>
    <w:rsid w:val="002F2C84"/>
    <w:rsid w:val="002F335F"/>
    <w:rsid w:val="002F567B"/>
    <w:rsid w:val="002F66D8"/>
    <w:rsid w:val="002F7353"/>
    <w:rsid w:val="0030080A"/>
    <w:rsid w:val="0030298F"/>
    <w:rsid w:val="00302AF1"/>
    <w:rsid w:val="00305126"/>
    <w:rsid w:val="0030593B"/>
    <w:rsid w:val="00310306"/>
    <w:rsid w:val="0031156F"/>
    <w:rsid w:val="00317FD1"/>
    <w:rsid w:val="00321358"/>
    <w:rsid w:val="003216A9"/>
    <w:rsid w:val="00322D89"/>
    <w:rsid w:val="00325332"/>
    <w:rsid w:val="00325856"/>
    <w:rsid w:val="00325985"/>
    <w:rsid w:val="003278AA"/>
    <w:rsid w:val="00332726"/>
    <w:rsid w:val="0033309F"/>
    <w:rsid w:val="00335ED6"/>
    <w:rsid w:val="00337694"/>
    <w:rsid w:val="003431B7"/>
    <w:rsid w:val="0034381A"/>
    <w:rsid w:val="003440C6"/>
    <w:rsid w:val="00350C26"/>
    <w:rsid w:val="003515CF"/>
    <w:rsid w:val="00353569"/>
    <w:rsid w:val="00354D51"/>
    <w:rsid w:val="0035612F"/>
    <w:rsid w:val="00356A32"/>
    <w:rsid w:val="0035779A"/>
    <w:rsid w:val="00360394"/>
    <w:rsid w:val="0036392A"/>
    <w:rsid w:val="003663FE"/>
    <w:rsid w:val="0036688B"/>
    <w:rsid w:val="00366A86"/>
    <w:rsid w:val="00367683"/>
    <w:rsid w:val="00367B91"/>
    <w:rsid w:val="0037013F"/>
    <w:rsid w:val="00373FCE"/>
    <w:rsid w:val="00377A4C"/>
    <w:rsid w:val="003802FF"/>
    <w:rsid w:val="00380C92"/>
    <w:rsid w:val="00383877"/>
    <w:rsid w:val="00385025"/>
    <w:rsid w:val="00386455"/>
    <w:rsid w:val="00390D36"/>
    <w:rsid w:val="00390F3B"/>
    <w:rsid w:val="0039111A"/>
    <w:rsid w:val="003936B4"/>
    <w:rsid w:val="00393AFD"/>
    <w:rsid w:val="003A079E"/>
    <w:rsid w:val="003A10FA"/>
    <w:rsid w:val="003A163E"/>
    <w:rsid w:val="003A32EC"/>
    <w:rsid w:val="003A36AE"/>
    <w:rsid w:val="003A3ACA"/>
    <w:rsid w:val="003A4404"/>
    <w:rsid w:val="003A484F"/>
    <w:rsid w:val="003A4F96"/>
    <w:rsid w:val="003A5540"/>
    <w:rsid w:val="003B0BE0"/>
    <w:rsid w:val="003B0C1A"/>
    <w:rsid w:val="003B0C1B"/>
    <w:rsid w:val="003B5601"/>
    <w:rsid w:val="003B688C"/>
    <w:rsid w:val="003C0291"/>
    <w:rsid w:val="003C2ECB"/>
    <w:rsid w:val="003C350E"/>
    <w:rsid w:val="003C39AE"/>
    <w:rsid w:val="003C6D0D"/>
    <w:rsid w:val="003C76CC"/>
    <w:rsid w:val="003C7B60"/>
    <w:rsid w:val="003D0821"/>
    <w:rsid w:val="003D1FB2"/>
    <w:rsid w:val="003D2303"/>
    <w:rsid w:val="003D3CC9"/>
    <w:rsid w:val="003D4221"/>
    <w:rsid w:val="003D644D"/>
    <w:rsid w:val="003D66DA"/>
    <w:rsid w:val="003E10D3"/>
    <w:rsid w:val="003E1310"/>
    <w:rsid w:val="003E2E1C"/>
    <w:rsid w:val="003E5BD3"/>
    <w:rsid w:val="003E6348"/>
    <w:rsid w:val="003E6F55"/>
    <w:rsid w:val="003F133D"/>
    <w:rsid w:val="003F2794"/>
    <w:rsid w:val="003F339D"/>
    <w:rsid w:val="003F363F"/>
    <w:rsid w:val="003F3A2A"/>
    <w:rsid w:val="003F3DED"/>
    <w:rsid w:val="003F3E94"/>
    <w:rsid w:val="003F44B8"/>
    <w:rsid w:val="003F7CD6"/>
    <w:rsid w:val="00400549"/>
    <w:rsid w:val="00401C71"/>
    <w:rsid w:val="004026F9"/>
    <w:rsid w:val="00402FCE"/>
    <w:rsid w:val="00405639"/>
    <w:rsid w:val="00406254"/>
    <w:rsid w:val="004071E0"/>
    <w:rsid w:val="00407AD0"/>
    <w:rsid w:val="00410C16"/>
    <w:rsid w:val="00422023"/>
    <w:rsid w:val="004223DE"/>
    <w:rsid w:val="004234B2"/>
    <w:rsid w:val="00426FA8"/>
    <w:rsid w:val="00427162"/>
    <w:rsid w:val="0043341C"/>
    <w:rsid w:val="004343F3"/>
    <w:rsid w:val="00434489"/>
    <w:rsid w:val="0043475E"/>
    <w:rsid w:val="0043497B"/>
    <w:rsid w:val="00435137"/>
    <w:rsid w:val="00436E88"/>
    <w:rsid w:val="00437085"/>
    <w:rsid w:val="004370D1"/>
    <w:rsid w:val="00440872"/>
    <w:rsid w:val="00440A29"/>
    <w:rsid w:val="00441C18"/>
    <w:rsid w:val="004422EF"/>
    <w:rsid w:val="00443880"/>
    <w:rsid w:val="00444CE1"/>
    <w:rsid w:val="0044578E"/>
    <w:rsid w:val="0044581C"/>
    <w:rsid w:val="004464F4"/>
    <w:rsid w:val="00446FA9"/>
    <w:rsid w:val="00447035"/>
    <w:rsid w:val="00450BFF"/>
    <w:rsid w:val="00454FA9"/>
    <w:rsid w:val="004571F2"/>
    <w:rsid w:val="0045723A"/>
    <w:rsid w:val="00460A67"/>
    <w:rsid w:val="00461A98"/>
    <w:rsid w:val="00462B33"/>
    <w:rsid w:val="0046346E"/>
    <w:rsid w:val="004708B9"/>
    <w:rsid w:val="00471401"/>
    <w:rsid w:val="00471CBB"/>
    <w:rsid w:val="00473F31"/>
    <w:rsid w:val="00474218"/>
    <w:rsid w:val="004750E8"/>
    <w:rsid w:val="00476F1B"/>
    <w:rsid w:val="0047729B"/>
    <w:rsid w:val="0048263A"/>
    <w:rsid w:val="0048368B"/>
    <w:rsid w:val="0048372E"/>
    <w:rsid w:val="00483F46"/>
    <w:rsid w:val="00484CD3"/>
    <w:rsid w:val="004857E4"/>
    <w:rsid w:val="00486073"/>
    <w:rsid w:val="0048694C"/>
    <w:rsid w:val="00486E3E"/>
    <w:rsid w:val="00487E5D"/>
    <w:rsid w:val="00491181"/>
    <w:rsid w:val="00492070"/>
    <w:rsid w:val="004941B6"/>
    <w:rsid w:val="00497E59"/>
    <w:rsid w:val="004A2A48"/>
    <w:rsid w:val="004A4A66"/>
    <w:rsid w:val="004A4B01"/>
    <w:rsid w:val="004A5576"/>
    <w:rsid w:val="004A6B85"/>
    <w:rsid w:val="004A711F"/>
    <w:rsid w:val="004A7B2B"/>
    <w:rsid w:val="004B01AE"/>
    <w:rsid w:val="004B199D"/>
    <w:rsid w:val="004B2279"/>
    <w:rsid w:val="004B25B9"/>
    <w:rsid w:val="004B3F00"/>
    <w:rsid w:val="004B4690"/>
    <w:rsid w:val="004B7108"/>
    <w:rsid w:val="004B778F"/>
    <w:rsid w:val="004B785F"/>
    <w:rsid w:val="004C01B1"/>
    <w:rsid w:val="004C062D"/>
    <w:rsid w:val="004C4638"/>
    <w:rsid w:val="004C5745"/>
    <w:rsid w:val="004C5DBD"/>
    <w:rsid w:val="004C62FA"/>
    <w:rsid w:val="004C6FB9"/>
    <w:rsid w:val="004D1DC6"/>
    <w:rsid w:val="004D31FB"/>
    <w:rsid w:val="004D4BB1"/>
    <w:rsid w:val="004D4D6E"/>
    <w:rsid w:val="004D4DA3"/>
    <w:rsid w:val="004D798C"/>
    <w:rsid w:val="004D7AEF"/>
    <w:rsid w:val="004E028C"/>
    <w:rsid w:val="004E0815"/>
    <w:rsid w:val="004E0A2D"/>
    <w:rsid w:val="004E206B"/>
    <w:rsid w:val="004E3DEC"/>
    <w:rsid w:val="004E67E0"/>
    <w:rsid w:val="004E6DF7"/>
    <w:rsid w:val="004F0FBD"/>
    <w:rsid w:val="00501436"/>
    <w:rsid w:val="00501B3E"/>
    <w:rsid w:val="00502053"/>
    <w:rsid w:val="005020BB"/>
    <w:rsid w:val="00505843"/>
    <w:rsid w:val="00505A47"/>
    <w:rsid w:val="0050679E"/>
    <w:rsid w:val="0051166F"/>
    <w:rsid w:val="0051173A"/>
    <w:rsid w:val="00512FDA"/>
    <w:rsid w:val="00513ED7"/>
    <w:rsid w:val="0051467D"/>
    <w:rsid w:val="00520DA0"/>
    <w:rsid w:val="005225FC"/>
    <w:rsid w:val="00524AC4"/>
    <w:rsid w:val="0052729E"/>
    <w:rsid w:val="0052733D"/>
    <w:rsid w:val="00530E19"/>
    <w:rsid w:val="00530F71"/>
    <w:rsid w:val="005322EB"/>
    <w:rsid w:val="0053459C"/>
    <w:rsid w:val="00550726"/>
    <w:rsid w:val="00550F95"/>
    <w:rsid w:val="0055106D"/>
    <w:rsid w:val="005559A4"/>
    <w:rsid w:val="0056304B"/>
    <w:rsid w:val="005651E3"/>
    <w:rsid w:val="00565D17"/>
    <w:rsid w:val="005664BB"/>
    <w:rsid w:val="00566C08"/>
    <w:rsid w:val="0056722F"/>
    <w:rsid w:val="00567B67"/>
    <w:rsid w:val="00570C62"/>
    <w:rsid w:val="00572EB1"/>
    <w:rsid w:val="00572EC9"/>
    <w:rsid w:val="00573576"/>
    <w:rsid w:val="0057481D"/>
    <w:rsid w:val="0057798B"/>
    <w:rsid w:val="00577A75"/>
    <w:rsid w:val="00577DF2"/>
    <w:rsid w:val="00580D35"/>
    <w:rsid w:val="0058486E"/>
    <w:rsid w:val="00584F2B"/>
    <w:rsid w:val="005935E9"/>
    <w:rsid w:val="005939BC"/>
    <w:rsid w:val="00593D4E"/>
    <w:rsid w:val="005975DB"/>
    <w:rsid w:val="00597919"/>
    <w:rsid w:val="005A0204"/>
    <w:rsid w:val="005A0CF8"/>
    <w:rsid w:val="005A324B"/>
    <w:rsid w:val="005B186A"/>
    <w:rsid w:val="005B553C"/>
    <w:rsid w:val="005B57DB"/>
    <w:rsid w:val="005B58F9"/>
    <w:rsid w:val="005B5ACB"/>
    <w:rsid w:val="005B76E6"/>
    <w:rsid w:val="005C0AF7"/>
    <w:rsid w:val="005C0B82"/>
    <w:rsid w:val="005C0D5C"/>
    <w:rsid w:val="005C4A4C"/>
    <w:rsid w:val="005C52C6"/>
    <w:rsid w:val="005C7204"/>
    <w:rsid w:val="005D1C8B"/>
    <w:rsid w:val="005D5CED"/>
    <w:rsid w:val="005D6054"/>
    <w:rsid w:val="005E1522"/>
    <w:rsid w:val="005E3365"/>
    <w:rsid w:val="005E5517"/>
    <w:rsid w:val="005F0705"/>
    <w:rsid w:val="005F0C83"/>
    <w:rsid w:val="005F1A4C"/>
    <w:rsid w:val="005F1F76"/>
    <w:rsid w:val="005F2C70"/>
    <w:rsid w:val="005F32B6"/>
    <w:rsid w:val="005F4162"/>
    <w:rsid w:val="005F44C7"/>
    <w:rsid w:val="005F632F"/>
    <w:rsid w:val="00600946"/>
    <w:rsid w:val="006044AC"/>
    <w:rsid w:val="00604551"/>
    <w:rsid w:val="00605688"/>
    <w:rsid w:val="006070AF"/>
    <w:rsid w:val="00607816"/>
    <w:rsid w:val="00607E6C"/>
    <w:rsid w:val="006101B1"/>
    <w:rsid w:val="00611AD3"/>
    <w:rsid w:val="00612209"/>
    <w:rsid w:val="00614423"/>
    <w:rsid w:val="00614E44"/>
    <w:rsid w:val="006155B0"/>
    <w:rsid w:val="006205F4"/>
    <w:rsid w:val="00620717"/>
    <w:rsid w:val="00622830"/>
    <w:rsid w:val="006256DB"/>
    <w:rsid w:val="00630AEF"/>
    <w:rsid w:val="00630BB3"/>
    <w:rsid w:val="006325F8"/>
    <w:rsid w:val="00633AE4"/>
    <w:rsid w:val="006348B1"/>
    <w:rsid w:val="00634C9A"/>
    <w:rsid w:val="00635FC7"/>
    <w:rsid w:val="00636040"/>
    <w:rsid w:val="00642529"/>
    <w:rsid w:val="0064301E"/>
    <w:rsid w:val="00643322"/>
    <w:rsid w:val="00643C0A"/>
    <w:rsid w:val="006440E4"/>
    <w:rsid w:val="00645301"/>
    <w:rsid w:val="00645F78"/>
    <w:rsid w:val="0064753B"/>
    <w:rsid w:val="00650D36"/>
    <w:rsid w:val="00650F17"/>
    <w:rsid w:val="006511E7"/>
    <w:rsid w:val="0065182B"/>
    <w:rsid w:val="00660339"/>
    <w:rsid w:val="00660F57"/>
    <w:rsid w:val="00661830"/>
    <w:rsid w:val="0066343B"/>
    <w:rsid w:val="00663BDD"/>
    <w:rsid w:val="00664777"/>
    <w:rsid w:val="00664ED7"/>
    <w:rsid w:val="0066615D"/>
    <w:rsid w:val="00666366"/>
    <w:rsid w:val="0066748A"/>
    <w:rsid w:val="0067155A"/>
    <w:rsid w:val="00671D25"/>
    <w:rsid w:val="00672345"/>
    <w:rsid w:val="00673381"/>
    <w:rsid w:val="006740AB"/>
    <w:rsid w:val="00674446"/>
    <w:rsid w:val="006748A4"/>
    <w:rsid w:val="006757D8"/>
    <w:rsid w:val="00680EF7"/>
    <w:rsid w:val="00683E73"/>
    <w:rsid w:val="0068590F"/>
    <w:rsid w:val="00686CF0"/>
    <w:rsid w:val="00687CAC"/>
    <w:rsid w:val="00691D82"/>
    <w:rsid w:val="006931FE"/>
    <w:rsid w:val="006947FC"/>
    <w:rsid w:val="006950FD"/>
    <w:rsid w:val="00695AD3"/>
    <w:rsid w:val="00696ACE"/>
    <w:rsid w:val="006A01D3"/>
    <w:rsid w:val="006A04FE"/>
    <w:rsid w:val="006A0C2C"/>
    <w:rsid w:val="006A0C51"/>
    <w:rsid w:val="006A1E7E"/>
    <w:rsid w:val="006A2BCD"/>
    <w:rsid w:val="006A3141"/>
    <w:rsid w:val="006A5E34"/>
    <w:rsid w:val="006A75B7"/>
    <w:rsid w:val="006B0ABA"/>
    <w:rsid w:val="006B2422"/>
    <w:rsid w:val="006B2B9A"/>
    <w:rsid w:val="006B2E2F"/>
    <w:rsid w:val="006B471C"/>
    <w:rsid w:val="006B4C59"/>
    <w:rsid w:val="006B533E"/>
    <w:rsid w:val="006C04D7"/>
    <w:rsid w:val="006C1937"/>
    <w:rsid w:val="006C397F"/>
    <w:rsid w:val="006C6427"/>
    <w:rsid w:val="006C76DB"/>
    <w:rsid w:val="006D1F0B"/>
    <w:rsid w:val="006D42C6"/>
    <w:rsid w:val="006E0081"/>
    <w:rsid w:val="006E3700"/>
    <w:rsid w:val="006E6C66"/>
    <w:rsid w:val="006F020C"/>
    <w:rsid w:val="006F3DF7"/>
    <w:rsid w:val="006F7849"/>
    <w:rsid w:val="006F7CBD"/>
    <w:rsid w:val="0070094B"/>
    <w:rsid w:val="007040F2"/>
    <w:rsid w:val="00705B7C"/>
    <w:rsid w:val="00705E24"/>
    <w:rsid w:val="00707EEC"/>
    <w:rsid w:val="007115FE"/>
    <w:rsid w:val="007127B7"/>
    <w:rsid w:val="00713977"/>
    <w:rsid w:val="00714DBE"/>
    <w:rsid w:val="007220F2"/>
    <w:rsid w:val="007231D9"/>
    <w:rsid w:val="007244D2"/>
    <w:rsid w:val="00725B08"/>
    <w:rsid w:val="007355BA"/>
    <w:rsid w:val="0074019B"/>
    <w:rsid w:val="007403C2"/>
    <w:rsid w:val="007410FA"/>
    <w:rsid w:val="007416B6"/>
    <w:rsid w:val="007426C0"/>
    <w:rsid w:val="00746F48"/>
    <w:rsid w:val="0074730D"/>
    <w:rsid w:val="0075129E"/>
    <w:rsid w:val="00751951"/>
    <w:rsid w:val="00751EE9"/>
    <w:rsid w:val="007522D6"/>
    <w:rsid w:val="007525C3"/>
    <w:rsid w:val="007537B3"/>
    <w:rsid w:val="00753DC2"/>
    <w:rsid w:val="0075404D"/>
    <w:rsid w:val="0075503D"/>
    <w:rsid w:val="0076078E"/>
    <w:rsid w:val="00760D5E"/>
    <w:rsid w:val="0076182A"/>
    <w:rsid w:val="00763BC1"/>
    <w:rsid w:val="0076499D"/>
    <w:rsid w:val="007656DB"/>
    <w:rsid w:val="007676D8"/>
    <w:rsid w:val="00767A7D"/>
    <w:rsid w:val="00767B7E"/>
    <w:rsid w:val="00767BE6"/>
    <w:rsid w:val="00775A39"/>
    <w:rsid w:val="00776900"/>
    <w:rsid w:val="007770C3"/>
    <w:rsid w:val="00780AAA"/>
    <w:rsid w:val="00781060"/>
    <w:rsid w:val="0078143E"/>
    <w:rsid w:val="0078201F"/>
    <w:rsid w:val="007820E1"/>
    <w:rsid w:val="00784D24"/>
    <w:rsid w:val="00784D4C"/>
    <w:rsid w:val="00784E42"/>
    <w:rsid w:val="00785FBA"/>
    <w:rsid w:val="00786E4A"/>
    <w:rsid w:val="007875EB"/>
    <w:rsid w:val="00787E51"/>
    <w:rsid w:val="00792C26"/>
    <w:rsid w:val="0079426B"/>
    <w:rsid w:val="00794D8C"/>
    <w:rsid w:val="00794F74"/>
    <w:rsid w:val="0079655C"/>
    <w:rsid w:val="007A0619"/>
    <w:rsid w:val="007A762F"/>
    <w:rsid w:val="007B0CA2"/>
    <w:rsid w:val="007B5C15"/>
    <w:rsid w:val="007B6032"/>
    <w:rsid w:val="007B6B9B"/>
    <w:rsid w:val="007C014E"/>
    <w:rsid w:val="007C0C20"/>
    <w:rsid w:val="007C0E0A"/>
    <w:rsid w:val="007C2008"/>
    <w:rsid w:val="007C26C9"/>
    <w:rsid w:val="007C57E7"/>
    <w:rsid w:val="007C6362"/>
    <w:rsid w:val="007C70B5"/>
    <w:rsid w:val="007C72D0"/>
    <w:rsid w:val="007D028D"/>
    <w:rsid w:val="007D0AE2"/>
    <w:rsid w:val="007D0C80"/>
    <w:rsid w:val="007D312A"/>
    <w:rsid w:val="007D3F19"/>
    <w:rsid w:val="007D40BF"/>
    <w:rsid w:val="007D598F"/>
    <w:rsid w:val="007D7F29"/>
    <w:rsid w:val="007E0391"/>
    <w:rsid w:val="007E2118"/>
    <w:rsid w:val="007E23B0"/>
    <w:rsid w:val="007E30F0"/>
    <w:rsid w:val="007E4E9E"/>
    <w:rsid w:val="007E4F63"/>
    <w:rsid w:val="007E5C1C"/>
    <w:rsid w:val="007E6821"/>
    <w:rsid w:val="007E6A33"/>
    <w:rsid w:val="007E6D1B"/>
    <w:rsid w:val="007F0CD6"/>
    <w:rsid w:val="007F0EAA"/>
    <w:rsid w:val="007F1991"/>
    <w:rsid w:val="007F1E4C"/>
    <w:rsid w:val="007F2C2F"/>
    <w:rsid w:val="007F2D6D"/>
    <w:rsid w:val="007F55FC"/>
    <w:rsid w:val="007F5665"/>
    <w:rsid w:val="007F57B1"/>
    <w:rsid w:val="007F5B1E"/>
    <w:rsid w:val="007F703A"/>
    <w:rsid w:val="007F772D"/>
    <w:rsid w:val="007F78DE"/>
    <w:rsid w:val="00800112"/>
    <w:rsid w:val="0080112E"/>
    <w:rsid w:val="008014B3"/>
    <w:rsid w:val="008031B0"/>
    <w:rsid w:val="008068DA"/>
    <w:rsid w:val="00806B6F"/>
    <w:rsid w:val="00807797"/>
    <w:rsid w:val="0081195D"/>
    <w:rsid w:val="00811C29"/>
    <w:rsid w:val="00812255"/>
    <w:rsid w:val="00813AEF"/>
    <w:rsid w:val="00815AF8"/>
    <w:rsid w:val="008169F8"/>
    <w:rsid w:val="00820AF4"/>
    <w:rsid w:val="008212F9"/>
    <w:rsid w:val="008244FA"/>
    <w:rsid w:val="008248EC"/>
    <w:rsid w:val="00824C90"/>
    <w:rsid w:val="00824CEE"/>
    <w:rsid w:val="008253BB"/>
    <w:rsid w:val="008273C2"/>
    <w:rsid w:val="00830A33"/>
    <w:rsid w:val="00830F24"/>
    <w:rsid w:val="0083234B"/>
    <w:rsid w:val="00833D7A"/>
    <w:rsid w:val="008347A0"/>
    <w:rsid w:val="00835B31"/>
    <w:rsid w:val="00836025"/>
    <w:rsid w:val="0083706E"/>
    <w:rsid w:val="00840550"/>
    <w:rsid w:val="008423A5"/>
    <w:rsid w:val="00843431"/>
    <w:rsid w:val="00845501"/>
    <w:rsid w:val="008503A5"/>
    <w:rsid w:val="00850625"/>
    <w:rsid w:val="008511F3"/>
    <w:rsid w:val="00851894"/>
    <w:rsid w:val="0085265B"/>
    <w:rsid w:val="00852C5C"/>
    <w:rsid w:val="00853718"/>
    <w:rsid w:val="00855221"/>
    <w:rsid w:val="00855AF5"/>
    <w:rsid w:val="00855E16"/>
    <w:rsid w:val="00857B79"/>
    <w:rsid w:val="00860645"/>
    <w:rsid w:val="00860C44"/>
    <w:rsid w:val="0086131A"/>
    <w:rsid w:val="00862A9D"/>
    <w:rsid w:val="00863483"/>
    <w:rsid w:val="00863CF0"/>
    <w:rsid w:val="00863D72"/>
    <w:rsid w:val="00865F20"/>
    <w:rsid w:val="00867695"/>
    <w:rsid w:val="00870000"/>
    <w:rsid w:val="00870C33"/>
    <w:rsid w:val="00871F71"/>
    <w:rsid w:val="008722FB"/>
    <w:rsid w:val="00872F95"/>
    <w:rsid w:val="00873D8F"/>
    <w:rsid w:val="0087464B"/>
    <w:rsid w:val="00875814"/>
    <w:rsid w:val="0088122F"/>
    <w:rsid w:val="00885AF4"/>
    <w:rsid w:val="00886435"/>
    <w:rsid w:val="008875FA"/>
    <w:rsid w:val="00887A58"/>
    <w:rsid w:val="008918AA"/>
    <w:rsid w:val="008918C9"/>
    <w:rsid w:val="008939CD"/>
    <w:rsid w:val="00893E7C"/>
    <w:rsid w:val="00895862"/>
    <w:rsid w:val="00896814"/>
    <w:rsid w:val="00897199"/>
    <w:rsid w:val="008A04BB"/>
    <w:rsid w:val="008A6293"/>
    <w:rsid w:val="008A6BC0"/>
    <w:rsid w:val="008A7CE3"/>
    <w:rsid w:val="008B045D"/>
    <w:rsid w:val="008B2B26"/>
    <w:rsid w:val="008B5614"/>
    <w:rsid w:val="008B6287"/>
    <w:rsid w:val="008B69A5"/>
    <w:rsid w:val="008B768C"/>
    <w:rsid w:val="008B7992"/>
    <w:rsid w:val="008C1D33"/>
    <w:rsid w:val="008C33D9"/>
    <w:rsid w:val="008C4DB1"/>
    <w:rsid w:val="008C4EAF"/>
    <w:rsid w:val="008C5176"/>
    <w:rsid w:val="008C7FD0"/>
    <w:rsid w:val="008D06D5"/>
    <w:rsid w:val="008D08E5"/>
    <w:rsid w:val="008D2C92"/>
    <w:rsid w:val="008D2DE2"/>
    <w:rsid w:val="008D55A6"/>
    <w:rsid w:val="008E0EF3"/>
    <w:rsid w:val="008E1DC6"/>
    <w:rsid w:val="008E1DE7"/>
    <w:rsid w:val="008E2847"/>
    <w:rsid w:val="008E380B"/>
    <w:rsid w:val="008E707C"/>
    <w:rsid w:val="008E7651"/>
    <w:rsid w:val="008F24AB"/>
    <w:rsid w:val="00900B08"/>
    <w:rsid w:val="00901E1C"/>
    <w:rsid w:val="00902155"/>
    <w:rsid w:val="00902BCF"/>
    <w:rsid w:val="00902FA3"/>
    <w:rsid w:val="009109D0"/>
    <w:rsid w:val="00910FAA"/>
    <w:rsid w:val="00912DEB"/>
    <w:rsid w:val="00913706"/>
    <w:rsid w:val="00913A29"/>
    <w:rsid w:val="00915BE4"/>
    <w:rsid w:val="009205F5"/>
    <w:rsid w:val="009215C3"/>
    <w:rsid w:val="00923564"/>
    <w:rsid w:val="0092392E"/>
    <w:rsid w:val="00923F58"/>
    <w:rsid w:val="00924FB0"/>
    <w:rsid w:val="00930109"/>
    <w:rsid w:val="00930E8F"/>
    <w:rsid w:val="009315F9"/>
    <w:rsid w:val="009337F3"/>
    <w:rsid w:val="009339C3"/>
    <w:rsid w:val="00934AB8"/>
    <w:rsid w:val="00935D57"/>
    <w:rsid w:val="00936283"/>
    <w:rsid w:val="00940B88"/>
    <w:rsid w:val="00940F73"/>
    <w:rsid w:val="0094526A"/>
    <w:rsid w:val="00945399"/>
    <w:rsid w:val="00945492"/>
    <w:rsid w:val="00945EEC"/>
    <w:rsid w:val="009461EE"/>
    <w:rsid w:val="00946945"/>
    <w:rsid w:val="00947929"/>
    <w:rsid w:val="00947BF1"/>
    <w:rsid w:val="009500E2"/>
    <w:rsid w:val="00951248"/>
    <w:rsid w:val="0095152F"/>
    <w:rsid w:val="009534A8"/>
    <w:rsid w:val="009540C0"/>
    <w:rsid w:val="00954C49"/>
    <w:rsid w:val="00955EAD"/>
    <w:rsid w:val="0095708C"/>
    <w:rsid w:val="00957098"/>
    <w:rsid w:val="00960F20"/>
    <w:rsid w:val="009620B2"/>
    <w:rsid w:val="00962131"/>
    <w:rsid w:val="00962556"/>
    <w:rsid w:val="00964305"/>
    <w:rsid w:val="0096477D"/>
    <w:rsid w:val="00964EBA"/>
    <w:rsid w:val="0097099F"/>
    <w:rsid w:val="009710DA"/>
    <w:rsid w:val="00971997"/>
    <w:rsid w:val="00971FFC"/>
    <w:rsid w:val="00972A49"/>
    <w:rsid w:val="00973726"/>
    <w:rsid w:val="00974188"/>
    <w:rsid w:val="0098033F"/>
    <w:rsid w:val="00985645"/>
    <w:rsid w:val="0098595E"/>
    <w:rsid w:val="00985C49"/>
    <w:rsid w:val="0098660A"/>
    <w:rsid w:val="009869AA"/>
    <w:rsid w:val="009931C3"/>
    <w:rsid w:val="00995CE3"/>
    <w:rsid w:val="009B2C43"/>
    <w:rsid w:val="009B4EAE"/>
    <w:rsid w:val="009B6C92"/>
    <w:rsid w:val="009B7573"/>
    <w:rsid w:val="009C0EF0"/>
    <w:rsid w:val="009C1B2D"/>
    <w:rsid w:val="009C22F4"/>
    <w:rsid w:val="009C2AE3"/>
    <w:rsid w:val="009C2E98"/>
    <w:rsid w:val="009C5896"/>
    <w:rsid w:val="009C6399"/>
    <w:rsid w:val="009D3447"/>
    <w:rsid w:val="009D3AA6"/>
    <w:rsid w:val="009D4711"/>
    <w:rsid w:val="009D5EF4"/>
    <w:rsid w:val="009E0018"/>
    <w:rsid w:val="009E2320"/>
    <w:rsid w:val="009E576A"/>
    <w:rsid w:val="009E7FBF"/>
    <w:rsid w:val="009F1185"/>
    <w:rsid w:val="009F178D"/>
    <w:rsid w:val="009F18CD"/>
    <w:rsid w:val="009F2021"/>
    <w:rsid w:val="009F2A13"/>
    <w:rsid w:val="009F4A42"/>
    <w:rsid w:val="009F4D78"/>
    <w:rsid w:val="009F6A87"/>
    <w:rsid w:val="009F6B63"/>
    <w:rsid w:val="009F6F4A"/>
    <w:rsid w:val="00A02DD4"/>
    <w:rsid w:val="00A04EB0"/>
    <w:rsid w:val="00A05E7E"/>
    <w:rsid w:val="00A06741"/>
    <w:rsid w:val="00A06EF8"/>
    <w:rsid w:val="00A07DE7"/>
    <w:rsid w:val="00A07E24"/>
    <w:rsid w:val="00A1247B"/>
    <w:rsid w:val="00A13443"/>
    <w:rsid w:val="00A13CC1"/>
    <w:rsid w:val="00A15286"/>
    <w:rsid w:val="00A1571F"/>
    <w:rsid w:val="00A1637E"/>
    <w:rsid w:val="00A16684"/>
    <w:rsid w:val="00A16847"/>
    <w:rsid w:val="00A1745F"/>
    <w:rsid w:val="00A2301F"/>
    <w:rsid w:val="00A237D8"/>
    <w:rsid w:val="00A25634"/>
    <w:rsid w:val="00A268C4"/>
    <w:rsid w:val="00A27771"/>
    <w:rsid w:val="00A300FE"/>
    <w:rsid w:val="00A307CD"/>
    <w:rsid w:val="00A3233A"/>
    <w:rsid w:val="00A35068"/>
    <w:rsid w:val="00A3556D"/>
    <w:rsid w:val="00A35870"/>
    <w:rsid w:val="00A35FE0"/>
    <w:rsid w:val="00A40A00"/>
    <w:rsid w:val="00A4142F"/>
    <w:rsid w:val="00A41D4A"/>
    <w:rsid w:val="00A43522"/>
    <w:rsid w:val="00A4622C"/>
    <w:rsid w:val="00A462AA"/>
    <w:rsid w:val="00A46A63"/>
    <w:rsid w:val="00A47A0F"/>
    <w:rsid w:val="00A50F96"/>
    <w:rsid w:val="00A514F8"/>
    <w:rsid w:val="00A52260"/>
    <w:rsid w:val="00A53D20"/>
    <w:rsid w:val="00A54687"/>
    <w:rsid w:val="00A54CE0"/>
    <w:rsid w:val="00A55073"/>
    <w:rsid w:val="00A55447"/>
    <w:rsid w:val="00A55ED8"/>
    <w:rsid w:val="00A56DF2"/>
    <w:rsid w:val="00A56E1B"/>
    <w:rsid w:val="00A57F63"/>
    <w:rsid w:val="00A61738"/>
    <w:rsid w:val="00A62ECF"/>
    <w:rsid w:val="00A63814"/>
    <w:rsid w:val="00A64138"/>
    <w:rsid w:val="00A64421"/>
    <w:rsid w:val="00A659FC"/>
    <w:rsid w:val="00A65DE6"/>
    <w:rsid w:val="00A67AB5"/>
    <w:rsid w:val="00A70317"/>
    <w:rsid w:val="00A72FA8"/>
    <w:rsid w:val="00A76B3A"/>
    <w:rsid w:val="00A77CB7"/>
    <w:rsid w:val="00A804D8"/>
    <w:rsid w:val="00A85003"/>
    <w:rsid w:val="00A85A0C"/>
    <w:rsid w:val="00A91460"/>
    <w:rsid w:val="00A91760"/>
    <w:rsid w:val="00A93902"/>
    <w:rsid w:val="00A93B00"/>
    <w:rsid w:val="00A93C21"/>
    <w:rsid w:val="00A94004"/>
    <w:rsid w:val="00A95D33"/>
    <w:rsid w:val="00A96D42"/>
    <w:rsid w:val="00AA1212"/>
    <w:rsid w:val="00AA14EC"/>
    <w:rsid w:val="00AA2E83"/>
    <w:rsid w:val="00AA6693"/>
    <w:rsid w:val="00AA6D23"/>
    <w:rsid w:val="00AA7B07"/>
    <w:rsid w:val="00AB1A65"/>
    <w:rsid w:val="00AB26EC"/>
    <w:rsid w:val="00AB2A36"/>
    <w:rsid w:val="00AB5E60"/>
    <w:rsid w:val="00AB5E86"/>
    <w:rsid w:val="00AB6DD7"/>
    <w:rsid w:val="00AC20D9"/>
    <w:rsid w:val="00AC3237"/>
    <w:rsid w:val="00AC3A9E"/>
    <w:rsid w:val="00AC3C6A"/>
    <w:rsid w:val="00AC40DA"/>
    <w:rsid w:val="00AC6A20"/>
    <w:rsid w:val="00AD013F"/>
    <w:rsid w:val="00AD1561"/>
    <w:rsid w:val="00AD1E04"/>
    <w:rsid w:val="00AD4E89"/>
    <w:rsid w:val="00AD5090"/>
    <w:rsid w:val="00AD55F4"/>
    <w:rsid w:val="00AD5620"/>
    <w:rsid w:val="00AD654C"/>
    <w:rsid w:val="00AD712A"/>
    <w:rsid w:val="00AD7C1B"/>
    <w:rsid w:val="00AE16BA"/>
    <w:rsid w:val="00AE1B18"/>
    <w:rsid w:val="00AE1EBE"/>
    <w:rsid w:val="00AE3F47"/>
    <w:rsid w:val="00AE5217"/>
    <w:rsid w:val="00AE57E5"/>
    <w:rsid w:val="00AE5ACD"/>
    <w:rsid w:val="00AE7003"/>
    <w:rsid w:val="00AE78D4"/>
    <w:rsid w:val="00AF334F"/>
    <w:rsid w:val="00AF567D"/>
    <w:rsid w:val="00B03C9D"/>
    <w:rsid w:val="00B03D45"/>
    <w:rsid w:val="00B03DEF"/>
    <w:rsid w:val="00B04041"/>
    <w:rsid w:val="00B046DB"/>
    <w:rsid w:val="00B059FA"/>
    <w:rsid w:val="00B060AE"/>
    <w:rsid w:val="00B06EEB"/>
    <w:rsid w:val="00B07376"/>
    <w:rsid w:val="00B10406"/>
    <w:rsid w:val="00B10517"/>
    <w:rsid w:val="00B1323D"/>
    <w:rsid w:val="00B1364D"/>
    <w:rsid w:val="00B13D51"/>
    <w:rsid w:val="00B13F34"/>
    <w:rsid w:val="00B14E76"/>
    <w:rsid w:val="00B15718"/>
    <w:rsid w:val="00B15757"/>
    <w:rsid w:val="00B161B8"/>
    <w:rsid w:val="00B2048C"/>
    <w:rsid w:val="00B22224"/>
    <w:rsid w:val="00B22E19"/>
    <w:rsid w:val="00B268D9"/>
    <w:rsid w:val="00B30B06"/>
    <w:rsid w:val="00B310B9"/>
    <w:rsid w:val="00B3183E"/>
    <w:rsid w:val="00B330FA"/>
    <w:rsid w:val="00B35211"/>
    <w:rsid w:val="00B35F3F"/>
    <w:rsid w:val="00B36CBB"/>
    <w:rsid w:val="00B370EB"/>
    <w:rsid w:val="00B40532"/>
    <w:rsid w:val="00B425E0"/>
    <w:rsid w:val="00B440AA"/>
    <w:rsid w:val="00B44B70"/>
    <w:rsid w:val="00B47B8F"/>
    <w:rsid w:val="00B50563"/>
    <w:rsid w:val="00B507B7"/>
    <w:rsid w:val="00B51BBE"/>
    <w:rsid w:val="00B53703"/>
    <w:rsid w:val="00B53C56"/>
    <w:rsid w:val="00B53E4F"/>
    <w:rsid w:val="00B54341"/>
    <w:rsid w:val="00B545A6"/>
    <w:rsid w:val="00B5556B"/>
    <w:rsid w:val="00B60A7E"/>
    <w:rsid w:val="00B6427E"/>
    <w:rsid w:val="00B67CE3"/>
    <w:rsid w:val="00B706F1"/>
    <w:rsid w:val="00B725E6"/>
    <w:rsid w:val="00B736DE"/>
    <w:rsid w:val="00B74FE7"/>
    <w:rsid w:val="00B753E0"/>
    <w:rsid w:val="00B7569F"/>
    <w:rsid w:val="00B75C09"/>
    <w:rsid w:val="00B76674"/>
    <w:rsid w:val="00B77EA6"/>
    <w:rsid w:val="00B80439"/>
    <w:rsid w:val="00B80BAB"/>
    <w:rsid w:val="00B81598"/>
    <w:rsid w:val="00B82F7D"/>
    <w:rsid w:val="00B839DA"/>
    <w:rsid w:val="00B83EE2"/>
    <w:rsid w:val="00B841F1"/>
    <w:rsid w:val="00B8480B"/>
    <w:rsid w:val="00B91D3E"/>
    <w:rsid w:val="00B92400"/>
    <w:rsid w:val="00B93AA8"/>
    <w:rsid w:val="00B944D6"/>
    <w:rsid w:val="00B96CD2"/>
    <w:rsid w:val="00BA054C"/>
    <w:rsid w:val="00BA0777"/>
    <w:rsid w:val="00BA0AED"/>
    <w:rsid w:val="00BA22CD"/>
    <w:rsid w:val="00BA3028"/>
    <w:rsid w:val="00BA3356"/>
    <w:rsid w:val="00BA49E7"/>
    <w:rsid w:val="00BA5298"/>
    <w:rsid w:val="00BB1990"/>
    <w:rsid w:val="00BB2D7E"/>
    <w:rsid w:val="00BB4C52"/>
    <w:rsid w:val="00BB4DF0"/>
    <w:rsid w:val="00BC0AE4"/>
    <w:rsid w:val="00BC1202"/>
    <w:rsid w:val="00BC1A97"/>
    <w:rsid w:val="00BC2731"/>
    <w:rsid w:val="00BC289F"/>
    <w:rsid w:val="00BC5361"/>
    <w:rsid w:val="00BC5460"/>
    <w:rsid w:val="00BC6B50"/>
    <w:rsid w:val="00BD0E25"/>
    <w:rsid w:val="00BD2458"/>
    <w:rsid w:val="00BD5121"/>
    <w:rsid w:val="00BD6D67"/>
    <w:rsid w:val="00BD6E57"/>
    <w:rsid w:val="00BE01DE"/>
    <w:rsid w:val="00BE218A"/>
    <w:rsid w:val="00BE39F0"/>
    <w:rsid w:val="00BE5FB5"/>
    <w:rsid w:val="00BE7259"/>
    <w:rsid w:val="00BF060C"/>
    <w:rsid w:val="00BF2962"/>
    <w:rsid w:val="00BF2E85"/>
    <w:rsid w:val="00BF5BD6"/>
    <w:rsid w:val="00BF6316"/>
    <w:rsid w:val="00BF718F"/>
    <w:rsid w:val="00C01DBE"/>
    <w:rsid w:val="00C03E31"/>
    <w:rsid w:val="00C05BAF"/>
    <w:rsid w:val="00C05CAD"/>
    <w:rsid w:val="00C05F29"/>
    <w:rsid w:val="00C06A2B"/>
    <w:rsid w:val="00C11626"/>
    <w:rsid w:val="00C137AD"/>
    <w:rsid w:val="00C13B26"/>
    <w:rsid w:val="00C1480D"/>
    <w:rsid w:val="00C1658B"/>
    <w:rsid w:val="00C23BFD"/>
    <w:rsid w:val="00C24603"/>
    <w:rsid w:val="00C259D0"/>
    <w:rsid w:val="00C30983"/>
    <w:rsid w:val="00C30D73"/>
    <w:rsid w:val="00C313B9"/>
    <w:rsid w:val="00C31B41"/>
    <w:rsid w:val="00C33276"/>
    <w:rsid w:val="00C33E72"/>
    <w:rsid w:val="00C3423D"/>
    <w:rsid w:val="00C342CE"/>
    <w:rsid w:val="00C34C84"/>
    <w:rsid w:val="00C34EED"/>
    <w:rsid w:val="00C354B2"/>
    <w:rsid w:val="00C35554"/>
    <w:rsid w:val="00C36831"/>
    <w:rsid w:val="00C4133E"/>
    <w:rsid w:val="00C41611"/>
    <w:rsid w:val="00C41EB1"/>
    <w:rsid w:val="00C426CE"/>
    <w:rsid w:val="00C42709"/>
    <w:rsid w:val="00C516E5"/>
    <w:rsid w:val="00C5216D"/>
    <w:rsid w:val="00C533CC"/>
    <w:rsid w:val="00C54531"/>
    <w:rsid w:val="00C5751C"/>
    <w:rsid w:val="00C61BFC"/>
    <w:rsid w:val="00C62B85"/>
    <w:rsid w:val="00C634C6"/>
    <w:rsid w:val="00C63DE6"/>
    <w:rsid w:val="00C65438"/>
    <w:rsid w:val="00C65FA1"/>
    <w:rsid w:val="00C663B4"/>
    <w:rsid w:val="00C66789"/>
    <w:rsid w:val="00C677E0"/>
    <w:rsid w:val="00C71C3C"/>
    <w:rsid w:val="00C73C9E"/>
    <w:rsid w:val="00C77033"/>
    <w:rsid w:val="00C77575"/>
    <w:rsid w:val="00C77955"/>
    <w:rsid w:val="00C77D11"/>
    <w:rsid w:val="00C80BE1"/>
    <w:rsid w:val="00C80E5E"/>
    <w:rsid w:val="00C87773"/>
    <w:rsid w:val="00C91BEF"/>
    <w:rsid w:val="00C91CBB"/>
    <w:rsid w:val="00C94460"/>
    <w:rsid w:val="00C94755"/>
    <w:rsid w:val="00C9494C"/>
    <w:rsid w:val="00C976D8"/>
    <w:rsid w:val="00C9779E"/>
    <w:rsid w:val="00CA1D7E"/>
    <w:rsid w:val="00CA4889"/>
    <w:rsid w:val="00CA6417"/>
    <w:rsid w:val="00CA7A47"/>
    <w:rsid w:val="00CA7CBE"/>
    <w:rsid w:val="00CB2258"/>
    <w:rsid w:val="00CB37D6"/>
    <w:rsid w:val="00CB5AA7"/>
    <w:rsid w:val="00CC09B6"/>
    <w:rsid w:val="00CC2ECC"/>
    <w:rsid w:val="00CC42AE"/>
    <w:rsid w:val="00CC5828"/>
    <w:rsid w:val="00CC666F"/>
    <w:rsid w:val="00CD0159"/>
    <w:rsid w:val="00CD1E3F"/>
    <w:rsid w:val="00CD2CD4"/>
    <w:rsid w:val="00CD2F8E"/>
    <w:rsid w:val="00CD33CA"/>
    <w:rsid w:val="00CD41F7"/>
    <w:rsid w:val="00CD7039"/>
    <w:rsid w:val="00CE07D1"/>
    <w:rsid w:val="00CE10F5"/>
    <w:rsid w:val="00CE245D"/>
    <w:rsid w:val="00CE298B"/>
    <w:rsid w:val="00CE41E9"/>
    <w:rsid w:val="00CE4476"/>
    <w:rsid w:val="00CE44F6"/>
    <w:rsid w:val="00CE49DA"/>
    <w:rsid w:val="00CE6166"/>
    <w:rsid w:val="00CE7B61"/>
    <w:rsid w:val="00CF0C95"/>
    <w:rsid w:val="00CF303D"/>
    <w:rsid w:val="00CF32A8"/>
    <w:rsid w:val="00CF47D0"/>
    <w:rsid w:val="00CF537A"/>
    <w:rsid w:val="00CF5A38"/>
    <w:rsid w:val="00D00095"/>
    <w:rsid w:val="00D007A3"/>
    <w:rsid w:val="00D00CD9"/>
    <w:rsid w:val="00D01872"/>
    <w:rsid w:val="00D01D1C"/>
    <w:rsid w:val="00D03F76"/>
    <w:rsid w:val="00D07457"/>
    <w:rsid w:val="00D120DF"/>
    <w:rsid w:val="00D12260"/>
    <w:rsid w:val="00D14981"/>
    <w:rsid w:val="00D17582"/>
    <w:rsid w:val="00D20620"/>
    <w:rsid w:val="00D21AB8"/>
    <w:rsid w:val="00D21B96"/>
    <w:rsid w:val="00D21FCA"/>
    <w:rsid w:val="00D23CC1"/>
    <w:rsid w:val="00D253CD"/>
    <w:rsid w:val="00D26091"/>
    <w:rsid w:val="00D26765"/>
    <w:rsid w:val="00D30031"/>
    <w:rsid w:val="00D34E7C"/>
    <w:rsid w:val="00D35489"/>
    <w:rsid w:val="00D41FB4"/>
    <w:rsid w:val="00D42D3C"/>
    <w:rsid w:val="00D43BB3"/>
    <w:rsid w:val="00D4531F"/>
    <w:rsid w:val="00D5056E"/>
    <w:rsid w:val="00D51276"/>
    <w:rsid w:val="00D577F9"/>
    <w:rsid w:val="00D6086D"/>
    <w:rsid w:val="00D60B63"/>
    <w:rsid w:val="00D6672E"/>
    <w:rsid w:val="00D66F3E"/>
    <w:rsid w:val="00D67949"/>
    <w:rsid w:val="00D70080"/>
    <w:rsid w:val="00D7035F"/>
    <w:rsid w:val="00D70D9E"/>
    <w:rsid w:val="00D7255A"/>
    <w:rsid w:val="00D729A5"/>
    <w:rsid w:val="00D7311E"/>
    <w:rsid w:val="00D74434"/>
    <w:rsid w:val="00D74948"/>
    <w:rsid w:val="00D75E52"/>
    <w:rsid w:val="00D769DB"/>
    <w:rsid w:val="00D8058B"/>
    <w:rsid w:val="00D811F1"/>
    <w:rsid w:val="00D81CF0"/>
    <w:rsid w:val="00D86259"/>
    <w:rsid w:val="00D87885"/>
    <w:rsid w:val="00D9128F"/>
    <w:rsid w:val="00D938FB"/>
    <w:rsid w:val="00D95A81"/>
    <w:rsid w:val="00DA2414"/>
    <w:rsid w:val="00DA2E7B"/>
    <w:rsid w:val="00DA376F"/>
    <w:rsid w:val="00DA4CF4"/>
    <w:rsid w:val="00DA517E"/>
    <w:rsid w:val="00DA64CE"/>
    <w:rsid w:val="00DA65AC"/>
    <w:rsid w:val="00DA73F4"/>
    <w:rsid w:val="00DB1913"/>
    <w:rsid w:val="00DB23A2"/>
    <w:rsid w:val="00DB31AE"/>
    <w:rsid w:val="00DB469B"/>
    <w:rsid w:val="00DB6217"/>
    <w:rsid w:val="00DB6D81"/>
    <w:rsid w:val="00DB7682"/>
    <w:rsid w:val="00DB774B"/>
    <w:rsid w:val="00DB7B27"/>
    <w:rsid w:val="00DB7ED3"/>
    <w:rsid w:val="00DC1D19"/>
    <w:rsid w:val="00DC29F0"/>
    <w:rsid w:val="00DC410D"/>
    <w:rsid w:val="00DC482F"/>
    <w:rsid w:val="00DC4E3B"/>
    <w:rsid w:val="00DC53AB"/>
    <w:rsid w:val="00DC68CA"/>
    <w:rsid w:val="00DC7CBA"/>
    <w:rsid w:val="00DD0F4D"/>
    <w:rsid w:val="00DD109B"/>
    <w:rsid w:val="00DD2D64"/>
    <w:rsid w:val="00DD73B7"/>
    <w:rsid w:val="00DE28E8"/>
    <w:rsid w:val="00DE57ED"/>
    <w:rsid w:val="00DE6D3D"/>
    <w:rsid w:val="00DF0369"/>
    <w:rsid w:val="00DF256A"/>
    <w:rsid w:val="00DF28BC"/>
    <w:rsid w:val="00DF2BBE"/>
    <w:rsid w:val="00DF34B9"/>
    <w:rsid w:val="00DF36DA"/>
    <w:rsid w:val="00DF4EE4"/>
    <w:rsid w:val="00DF69F2"/>
    <w:rsid w:val="00E00C0C"/>
    <w:rsid w:val="00E01053"/>
    <w:rsid w:val="00E032C4"/>
    <w:rsid w:val="00E03AB5"/>
    <w:rsid w:val="00E04FF6"/>
    <w:rsid w:val="00E07ACF"/>
    <w:rsid w:val="00E07C49"/>
    <w:rsid w:val="00E1142E"/>
    <w:rsid w:val="00E11EA9"/>
    <w:rsid w:val="00E13C23"/>
    <w:rsid w:val="00E17451"/>
    <w:rsid w:val="00E176E0"/>
    <w:rsid w:val="00E20F23"/>
    <w:rsid w:val="00E21189"/>
    <w:rsid w:val="00E22344"/>
    <w:rsid w:val="00E22D73"/>
    <w:rsid w:val="00E24A28"/>
    <w:rsid w:val="00E2598A"/>
    <w:rsid w:val="00E26D43"/>
    <w:rsid w:val="00E2719A"/>
    <w:rsid w:val="00E331A1"/>
    <w:rsid w:val="00E33202"/>
    <w:rsid w:val="00E336A9"/>
    <w:rsid w:val="00E339F9"/>
    <w:rsid w:val="00E34D61"/>
    <w:rsid w:val="00E352AD"/>
    <w:rsid w:val="00E35DF9"/>
    <w:rsid w:val="00E36162"/>
    <w:rsid w:val="00E4020E"/>
    <w:rsid w:val="00E41572"/>
    <w:rsid w:val="00E42E24"/>
    <w:rsid w:val="00E4326C"/>
    <w:rsid w:val="00E43716"/>
    <w:rsid w:val="00E43E83"/>
    <w:rsid w:val="00E4418C"/>
    <w:rsid w:val="00E442E7"/>
    <w:rsid w:val="00E47FEC"/>
    <w:rsid w:val="00E50624"/>
    <w:rsid w:val="00E50EC1"/>
    <w:rsid w:val="00E559C8"/>
    <w:rsid w:val="00E559F4"/>
    <w:rsid w:val="00E568DF"/>
    <w:rsid w:val="00E6091E"/>
    <w:rsid w:val="00E63E1C"/>
    <w:rsid w:val="00E64269"/>
    <w:rsid w:val="00E648BF"/>
    <w:rsid w:val="00E67B9B"/>
    <w:rsid w:val="00E70395"/>
    <w:rsid w:val="00E71182"/>
    <w:rsid w:val="00E7180C"/>
    <w:rsid w:val="00E71EE8"/>
    <w:rsid w:val="00E759C7"/>
    <w:rsid w:val="00E778AF"/>
    <w:rsid w:val="00E82267"/>
    <w:rsid w:val="00E82D19"/>
    <w:rsid w:val="00E8382C"/>
    <w:rsid w:val="00E84714"/>
    <w:rsid w:val="00E879E6"/>
    <w:rsid w:val="00E9375F"/>
    <w:rsid w:val="00E938AA"/>
    <w:rsid w:val="00E95984"/>
    <w:rsid w:val="00E96D03"/>
    <w:rsid w:val="00EA010F"/>
    <w:rsid w:val="00EA039B"/>
    <w:rsid w:val="00EA2455"/>
    <w:rsid w:val="00EA262D"/>
    <w:rsid w:val="00EA4AA3"/>
    <w:rsid w:val="00EA4BCA"/>
    <w:rsid w:val="00EA545A"/>
    <w:rsid w:val="00EA5E4F"/>
    <w:rsid w:val="00EB2461"/>
    <w:rsid w:val="00EC1C2C"/>
    <w:rsid w:val="00EC25B6"/>
    <w:rsid w:val="00EC38BD"/>
    <w:rsid w:val="00EC3F04"/>
    <w:rsid w:val="00ED1B63"/>
    <w:rsid w:val="00ED29E6"/>
    <w:rsid w:val="00ED29EA"/>
    <w:rsid w:val="00ED360C"/>
    <w:rsid w:val="00ED3C1F"/>
    <w:rsid w:val="00ED4085"/>
    <w:rsid w:val="00ED420E"/>
    <w:rsid w:val="00ED6AD8"/>
    <w:rsid w:val="00ED71DF"/>
    <w:rsid w:val="00EE0963"/>
    <w:rsid w:val="00EE1FC9"/>
    <w:rsid w:val="00EE24E3"/>
    <w:rsid w:val="00EE2F57"/>
    <w:rsid w:val="00EE6332"/>
    <w:rsid w:val="00EF132A"/>
    <w:rsid w:val="00EF4C34"/>
    <w:rsid w:val="00EF5291"/>
    <w:rsid w:val="00EF64E8"/>
    <w:rsid w:val="00EF659B"/>
    <w:rsid w:val="00EF77C6"/>
    <w:rsid w:val="00EF7BDE"/>
    <w:rsid w:val="00EF7CA7"/>
    <w:rsid w:val="00F022B4"/>
    <w:rsid w:val="00F0292C"/>
    <w:rsid w:val="00F05438"/>
    <w:rsid w:val="00F0746A"/>
    <w:rsid w:val="00F110A1"/>
    <w:rsid w:val="00F113D8"/>
    <w:rsid w:val="00F118C3"/>
    <w:rsid w:val="00F1361C"/>
    <w:rsid w:val="00F14902"/>
    <w:rsid w:val="00F160C7"/>
    <w:rsid w:val="00F16FDE"/>
    <w:rsid w:val="00F20320"/>
    <w:rsid w:val="00F20532"/>
    <w:rsid w:val="00F21001"/>
    <w:rsid w:val="00F228F9"/>
    <w:rsid w:val="00F248A8"/>
    <w:rsid w:val="00F24E3F"/>
    <w:rsid w:val="00F26D60"/>
    <w:rsid w:val="00F30138"/>
    <w:rsid w:val="00F301B6"/>
    <w:rsid w:val="00F31EA1"/>
    <w:rsid w:val="00F3294D"/>
    <w:rsid w:val="00F354A9"/>
    <w:rsid w:val="00F36D8F"/>
    <w:rsid w:val="00F3744E"/>
    <w:rsid w:val="00F40698"/>
    <w:rsid w:val="00F406E9"/>
    <w:rsid w:val="00F417B1"/>
    <w:rsid w:val="00F460AB"/>
    <w:rsid w:val="00F50AC5"/>
    <w:rsid w:val="00F53E68"/>
    <w:rsid w:val="00F5454E"/>
    <w:rsid w:val="00F559FA"/>
    <w:rsid w:val="00F57903"/>
    <w:rsid w:val="00F602DF"/>
    <w:rsid w:val="00F6390A"/>
    <w:rsid w:val="00F6529E"/>
    <w:rsid w:val="00F6641D"/>
    <w:rsid w:val="00F75CC0"/>
    <w:rsid w:val="00F75CCC"/>
    <w:rsid w:val="00F75F9D"/>
    <w:rsid w:val="00F81FD9"/>
    <w:rsid w:val="00F82490"/>
    <w:rsid w:val="00F8281D"/>
    <w:rsid w:val="00F835D4"/>
    <w:rsid w:val="00F841AA"/>
    <w:rsid w:val="00F845B5"/>
    <w:rsid w:val="00F86932"/>
    <w:rsid w:val="00F875DB"/>
    <w:rsid w:val="00F87E73"/>
    <w:rsid w:val="00F905A4"/>
    <w:rsid w:val="00F92C70"/>
    <w:rsid w:val="00F93633"/>
    <w:rsid w:val="00F93DF5"/>
    <w:rsid w:val="00FA0947"/>
    <w:rsid w:val="00FA23E8"/>
    <w:rsid w:val="00FA2F5B"/>
    <w:rsid w:val="00FA4421"/>
    <w:rsid w:val="00FA4B00"/>
    <w:rsid w:val="00FA525F"/>
    <w:rsid w:val="00FA77AD"/>
    <w:rsid w:val="00FB0BBA"/>
    <w:rsid w:val="00FB1FF4"/>
    <w:rsid w:val="00FB55E6"/>
    <w:rsid w:val="00FC124C"/>
    <w:rsid w:val="00FC1E02"/>
    <w:rsid w:val="00FC3048"/>
    <w:rsid w:val="00FC4660"/>
    <w:rsid w:val="00FC46BC"/>
    <w:rsid w:val="00FC7DEF"/>
    <w:rsid w:val="00FD020D"/>
    <w:rsid w:val="00FD3016"/>
    <w:rsid w:val="00FD3828"/>
    <w:rsid w:val="00FD3CC1"/>
    <w:rsid w:val="00FD5BFE"/>
    <w:rsid w:val="00FE17BC"/>
    <w:rsid w:val="00FE2AD1"/>
    <w:rsid w:val="00FE4DB0"/>
    <w:rsid w:val="00FE5493"/>
    <w:rsid w:val="00FE625C"/>
    <w:rsid w:val="00FF1E02"/>
    <w:rsid w:val="00FF30B4"/>
    <w:rsid w:val="00FF66E8"/>
    <w:rsid w:val="01CF32DE"/>
    <w:rsid w:val="01D74DB7"/>
    <w:rsid w:val="01D86637"/>
    <w:rsid w:val="01F04616"/>
    <w:rsid w:val="03F359AA"/>
    <w:rsid w:val="0463543B"/>
    <w:rsid w:val="04A56E6E"/>
    <w:rsid w:val="051A6F96"/>
    <w:rsid w:val="06951176"/>
    <w:rsid w:val="07001BE1"/>
    <w:rsid w:val="07267DE7"/>
    <w:rsid w:val="089C4B49"/>
    <w:rsid w:val="09081517"/>
    <w:rsid w:val="091B747D"/>
    <w:rsid w:val="0A19737C"/>
    <w:rsid w:val="0AF33B70"/>
    <w:rsid w:val="0B7218AA"/>
    <w:rsid w:val="0B99373B"/>
    <w:rsid w:val="0BA37CB5"/>
    <w:rsid w:val="0D0429D6"/>
    <w:rsid w:val="0D093B48"/>
    <w:rsid w:val="0D322E51"/>
    <w:rsid w:val="0D6C338E"/>
    <w:rsid w:val="0DB37F58"/>
    <w:rsid w:val="0F5E6610"/>
    <w:rsid w:val="10C055FF"/>
    <w:rsid w:val="11D56DF6"/>
    <w:rsid w:val="11ED6591"/>
    <w:rsid w:val="13367661"/>
    <w:rsid w:val="16BB723D"/>
    <w:rsid w:val="17BC7656"/>
    <w:rsid w:val="17EA348C"/>
    <w:rsid w:val="1840212F"/>
    <w:rsid w:val="184656CF"/>
    <w:rsid w:val="19943114"/>
    <w:rsid w:val="1AB026BC"/>
    <w:rsid w:val="1ABB32B6"/>
    <w:rsid w:val="1BF70747"/>
    <w:rsid w:val="1C06153F"/>
    <w:rsid w:val="1C986C96"/>
    <w:rsid w:val="1D7371C3"/>
    <w:rsid w:val="1DDC2BB3"/>
    <w:rsid w:val="1E34479D"/>
    <w:rsid w:val="1EF81F78"/>
    <w:rsid w:val="1F620905"/>
    <w:rsid w:val="201A6AB0"/>
    <w:rsid w:val="203B66A0"/>
    <w:rsid w:val="211A679A"/>
    <w:rsid w:val="23902475"/>
    <w:rsid w:val="240371BF"/>
    <w:rsid w:val="2435534E"/>
    <w:rsid w:val="24534F10"/>
    <w:rsid w:val="24DF6C66"/>
    <w:rsid w:val="253D03DB"/>
    <w:rsid w:val="25A20B86"/>
    <w:rsid w:val="25B1070F"/>
    <w:rsid w:val="25DD571A"/>
    <w:rsid w:val="265C1D1F"/>
    <w:rsid w:val="26BB36DB"/>
    <w:rsid w:val="271C5A93"/>
    <w:rsid w:val="276F1834"/>
    <w:rsid w:val="27B459F9"/>
    <w:rsid w:val="27C51E91"/>
    <w:rsid w:val="28513369"/>
    <w:rsid w:val="28BF6D42"/>
    <w:rsid w:val="29FD04D3"/>
    <w:rsid w:val="2CAE1BBE"/>
    <w:rsid w:val="2CCF04B2"/>
    <w:rsid w:val="2E4C04E0"/>
    <w:rsid w:val="2F803D16"/>
    <w:rsid w:val="31810DA9"/>
    <w:rsid w:val="31903F88"/>
    <w:rsid w:val="319F7F4E"/>
    <w:rsid w:val="323A1C2F"/>
    <w:rsid w:val="329448A6"/>
    <w:rsid w:val="32F45598"/>
    <w:rsid w:val="35244754"/>
    <w:rsid w:val="364D41F6"/>
    <w:rsid w:val="36FD0156"/>
    <w:rsid w:val="38F8371D"/>
    <w:rsid w:val="39226F5F"/>
    <w:rsid w:val="39902098"/>
    <w:rsid w:val="3A3A0F35"/>
    <w:rsid w:val="3A4E1148"/>
    <w:rsid w:val="3C8D2F9D"/>
    <w:rsid w:val="3CE0510E"/>
    <w:rsid w:val="3D1927CA"/>
    <w:rsid w:val="3D1E4B3E"/>
    <w:rsid w:val="3D8344ED"/>
    <w:rsid w:val="3E03620E"/>
    <w:rsid w:val="3E343C22"/>
    <w:rsid w:val="3F512FA9"/>
    <w:rsid w:val="3FAC4683"/>
    <w:rsid w:val="3FEA5DFB"/>
    <w:rsid w:val="401C35B7"/>
    <w:rsid w:val="4119235A"/>
    <w:rsid w:val="41677310"/>
    <w:rsid w:val="422C2C46"/>
    <w:rsid w:val="4251506E"/>
    <w:rsid w:val="43684120"/>
    <w:rsid w:val="444F07DA"/>
    <w:rsid w:val="44601E28"/>
    <w:rsid w:val="462F4E88"/>
    <w:rsid w:val="475E72DC"/>
    <w:rsid w:val="47F514AF"/>
    <w:rsid w:val="4839282C"/>
    <w:rsid w:val="48FD75BD"/>
    <w:rsid w:val="4A745623"/>
    <w:rsid w:val="4D135D42"/>
    <w:rsid w:val="4D846266"/>
    <w:rsid w:val="4D8D78A2"/>
    <w:rsid w:val="4DF123A8"/>
    <w:rsid w:val="4E832A53"/>
    <w:rsid w:val="4F6F7A34"/>
    <w:rsid w:val="4FD74194"/>
    <w:rsid w:val="4FDA49F5"/>
    <w:rsid w:val="50AE413E"/>
    <w:rsid w:val="51E1640E"/>
    <w:rsid w:val="51EE42CA"/>
    <w:rsid w:val="52302EF2"/>
    <w:rsid w:val="52ED6284"/>
    <w:rsid w:val="5322283B"/>
    <w:rsid w:val="532B0C13"/>
    <w:rsid w:val="53BE2B80"/>
    <w:rsid w:val="541505F1"/>
    <w:rsid w:val="54992FD0"/>
    <w:rsid w:val="55872E29"/>
    <w:rsid w:val="56D0674C"/>
    <w:rsid w:val="58BA52C3"/>
    <w:rsid w:val="59E11CD3"/>
    <w:rsid w:val="5BE202EA"/>
    <w:rsid w:val="5CFA7F1D"/>
    <w:rsid w:val="5E2506F8"/>
    <w:rsid w:val="5EA316D6"/>
    <w:rsid w:val="5F3A07D2"/>
    <w:rsid w:val="5F593A88"/>
    <w:rsid w:val="60651EAC"/>
    <w:rsid w:val="60BB3927"/>
    <w:rsid w:val="62A42EE2"/>
    <w:rsid w:val="630D013F"/>
    <w:rsid w:val="63347FC4"/>
    <w:rsid w:val="63604CB9"/>
    <w:rsid w:val="64A36D0B"/>
    <w:rsid w:val="64C656C1"/>
    <w:rsid w:val="65DF63C9"/>
    <w:rsid w:val="662A7F2C"/>
    <w:rsid w:val="68DA2DB6"/>
    <w:rsid w:val="69725134"/>
    <w:rsid w:val="6B4666B6"/>
    <w:rsid w:val="6C382B2F"/>
    <w:rsid w:val="6CC85DA9"/>
    <w:rsid w:val="6D8F2D6B"/>
    <w:rsid w:val="6DC31436"/>
    <w:rsid w:val="6ECB49CF"/>
    <w:rsid w:val="6ECB5A2B"/>
    <w:rsid w:val="70202A42"/>
    <w:rsid w:val="72227D09"/>
    <w:rsid w:val="72E476B5"/>
    <w:rsid w:val="73BE3A62"/>
    <w:rsid w:val="746C7E4B"/>
    <w:rsid w:val="750E6C6B"/>
    <w:rsid w:val="755E374E"/>
    <w:rsid w:val="76377F56"/>
    <w:rsid w:val="764B35A7"/>
    <w:rsid w:val="78A4106B"/>
    <w:rsid w:val="79975481"/>
    <w:rsid w:val="79F60BE5"/>
    <w:rsid w:val="7A1B4027"/>
    <w:rsid w:val="7A965738"/>
    <w:rsid w:val="7ABC1C9C"/>
    <w:rsid w:val="7B022DCE"/>
    <w:rsid w:val="7B272834"/>
    <w:rsid w:val="7B8F71DF"/>
    <w:rsid w:val="7CB2612E"/>
    <w:rsid w:val="7CC25607"/>
    <w:rsid w:val="7DE859ED"/>
    <w:rsid w:val="7E44018D"/>
    <w:rsid w:val="7E4C610E"/>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30"/>
    <w:qFormat/>
    <w:uiPriority w:val="0"/>
    <w:pPr>
      <w:keepNext/>
      <w:keepLines/>
      <w:spacing w:before="340" w:after="330" w:line="578" w:lineRule="auto"/>
      <w:outlineLvl w:val="0"/>
    </w:pPr>
    <w:rPr>
      <w:b/>
      <w:bCs/>
      <w:kern w:val="44"/>
      <w:sz w:val="44"/>
    </w:rPr>
  </w:style>
  <w:style w:type="paragraph" w:styleId="4">
    <w:name w:val="heading 2"/>
    <w:basedOn w:val="1"/>
    <w:next w:val="1"/>
    <w:link w:val="31"/>
    <w:qFormat/>
    <w:uiPriority w:val="0"/>
    <w:pPr>
      <w:keepNext/>
      <w:keepLines/>
      <w:spacing w:before="260" w:after="260" w:line="415" w:lineRule="auto"/>
      <w:outlineLvl w:val="1"/>
    </w:pPr>
    <w:rPr>
      <w:rFonts w:ascii="Arial" w:hAnsi="Arial" w:eastAsia="黑体"/>
      <w:b/>
      <w:sz w:val="32"/>
    </w:rPr>
  </w:style>
  <w:style w:type="paragraph" w:styleId="5">
    <w:name w:val="heading 3"/>
    <w:basedOn w:val="1"/>
    <w:next w:val="1"/>
    <w:link w:val="34"/>
    <w:qFormat/>
    <w:uiPriority w:val="0"/>
    <w:pPr>
      <w:keepNext/>
      <w:keepLines/>
      <w:spacing w:before="260" w:after="260" w:line="415" w:lineRule="auto"/>
      <w:outlineLvl w:val="2"/>
    </w:pPr>
    <w:rPr>
      <w:b/>
      <w:sz w:val="32"/>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680"/>
    </w:pPr>
  </w:style>
  <w:style w:type="paragraph" w:styleId="6">
    <w:name w:val="Document Map"/>
    <w:basedOn w:val="1"/>
    <w:qFormat/>
    <w:uiPriority w:val="0"/>
    <w:rPr>
      <w:rFonts w:ascii="宋体" w:eastAsia="宋体"/>
      <w:sz w:val="18"/>
      <w:szCs w:val="18"/>
    </w:rPr>
  </w:style>
  <w:style w:type="paragraph" w:styleId="7">
    <w:name w:val="annotation text"/>
    <w:basedOn w:val="1"/>
    <w:semiHidden/>
    <w:unhideWhenUsed/>
    <w:qFormat/>
    <w:uiPriority w:val="99"/>
    <w:pPr>
      <w:jc w:val="left"/>
    </w:pPr>
  </w:style>
  <w:style w:type="paragraph" w:styleId="8">
    <w:name w:val="Body Text"/>
    <w:basedOn w:val="1"/>
    <w:link w:val="28"/>
    <w:qFormat/>
    <w:uiPriority w:val="99"/>
    <w:pPr>
      <w:spacing w:beforeLines="30"/>
    </w:pPr>
    <w:rPr>
      <w:rFonts w:ascii="仿宋_GB2312" w:eastAsia="仿宋_GB2312"/>
      <w:kern w:val="0"/>
      <w:sz w:val="30"/>
    </w:r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3"/>
    <w:qFormat/>
    <w:uiPriority w:val="0"/>
    <w:rPr>
      <w:sz w:val="18"/>
      <w:szCs w:val="18"/>
    </w:rPr>
  </w:style>
  <w:style w:type="paragraph" w:styleId="11">
    <w:name w:val="footer"/>
    <w:basedOn w:val="1"/>
    <w:link w:val="26"/>
    <w:qFormat/>
    <w:uiPriority w:val="0"/>
    <w:pPr>
      <w:tabs>
        <w:tab w:val="center" w:pos="4153"/>
        <w:tab w:val="right" w:pos="8306"/>
      </w:tabs>
      <w:snapToGrid w:val="0"/>
      <w:jc w:val="left"/>
    </w:pPr>
    <w:rPr>
      <w:rFonts w:eastAsia="宋体"/>
      <w:sz w:val="18"/>
      <w:szCs w:val="18"/>
    </w:rPr>
  </w:style>
  <w:style w:type="paragraph" w:styleId="12">
    <w:name w:val="header"/>
    <w:basedOn w:val="1"/>
    <w:link w:val="24"/>
    <w:qFormat/>
    <w:uiPriority w:val="0"/>
    <w:pPr>
      <w:pBdr>
        <w:bottom w:val="single" w:color="auto" w:sz="6" w:space="1"/>
      </w:pBdr>
      <w:tabs>
        <w:tab w:val="center" w:pos="4153"/>
        <w:tab w:val="right" w:pos="8306"/>
      </w:tabs>
      <w:snapToGrid w:val="0"/>
      <w:jc w:val="center"/>
    </w:pPr>
    <w:rPr>
      <w:rFonts w:eastAsia="宋体"/>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table of figures"/>
    <w:basedOn w:val="1"/>
    <w:next w:val="1"/>
    <w:qFormat/>
    <w:uiPriority w:val="0"/>
    <w:pPr>
      <w:ind w:left="200" w:leftChars="200" w:hanging="200" w:hangingChars="200"/>
    </w:pPr>
  </w:style>
  <w:style w:type="paragraph" w:styleId="15">
    <w:name w:val="toc 2"/>
    <w:basedOn w:val="1"/>
    <w:next w:val="1"/>
    <w:unhideWhenUsed/>
    <w:qFormat/>
    <w:uiPriority w:val="39"/>
    <w:pPr>
      <w:tabs>
        <w:tab w:val="right" w:leader="dot" w:pos="8296"/>
      </w:tabs>
      <w:ind w:left="420" w:leftChars="200"/>
    </w:pPr>
  </w:style>
  <w:style w:type="character" w:styleId="18">
    <w:name w:val="Strong"/>
    <w:basedOn w:val="17"/>
    <w:qFormat/>
    <w:uiPriority w:val="99"/>
    <w:rPr>
      <w:b/>
    </w:rPr>
  </w:style>
  <w:style w:type="character" w:styleId="19">
    <w:name w:val="page number"/>
    <w:basedOn w:val="17"/>
    <w:qFormat/>
    <w:uiPriority w:val="0"/>
  </w:style>
  <w:style w:type="character" w:styleId="20">
    <w:name w:val="Hyperlink"/>
    <w:basedOn w:val="17"/>
    <w:unhideWhenUsed/>
    <w:qFormat/>
    <w:uiPriority w:val="99"/>
    <w:rPr>
      <w:color w:val="0000FF" w:themeColor="hyperlink"/>
      <w:u w:val="single"/>
      <w14:textFill>
        <w14:solidFill>
          <w14:schemeClr w14:val="hlink"/>
        </w14:solidFill>
      </w14:textFill>
    </w:rPr>
  </w:style>
  <w:style w:type="character" w:styleId="21">
    <w:name w:val="annotation reference"/>
    <w:basedOn w:val="17"/>
    <w:semiHidden/>
    <w:unhideWhenUsed/>
    <w:qFormat/>
    <w:uiPriority w:val="99"/>
    <w:rPr>
      <w:sz w:val="21"/>
      <w:szCs w:val="21"/>
    </w:rPr>
  </w:style>
  <w:style w:type="paragraph" w:customStyle="1" w:styleId="22">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character" w:customStyle="1" w:styleId="23">
    <w:name w:val="Header Char"/>
    <w:basedOn w:val="17"/>
    <w:semiHidden/>
    <w:qFormat/>
    <w:uiPriority w:val="99"/>
    <w:rPr>
      <w:rFonts w:ascii="Times New Roman" w:hAnsi="Times New Roman"/>
      <w:sz w:val="18"/>
      <w:szCs w:val="18"/>
    </w:rPr>
  </w:style>
  <w:style w:type="character" w:customStyle="1" w:styleId="24">
    <w:name w:val="页眉 字符"/>
    <w:link w:val="12"/>
    <w:semiHidden/>
    <w:qFormat/>
    <w:locked/>
    <w:uiPriority w:val="99"/>
    <w:rPr>
      <w:sz w:val="18"/>
    </w:rPr>
  </w:style>
  <w:style w:type="character" w:customStyle="1" w:styleId="25">
    <w:name w:val="Footer Char"/>
    <w:basedOn w:val="17"/>
    <w:semiHidden/>
    <w:qFormat/>
    <w:uiPriority w:val="99"/>
    <w:rPr>
      <w:rFonts w:ascii="Times New Roman" w:hAnsi="Times New Roman"/>
      <w:sz w:val="18"/>
      <w:szCs w:val="18"/>
    </w:rPr>
  </w:style>
  <w:style w:type="character" w:customStyle="1" w:styleId="26">
    <w:name w:val="页脚 字符"/>
    <w:link w:val="11"/>
    <w:qFormat/>
    <w:locked/>
    <w:uiPriority w:val="99"/>
    <w:rPr>
      <w:sz w:val="18"/>
    </w:rPr>
  </w:style>
  <w:style w:type="character" w:customStyle="1" w:styleId="27">
    <w:name w:val="Body Text Char"/>
    <w:basedOn w:val="17"/>
    <w:semiHidden/>
    <w:qFormat/>
    <w:uiPriority w:val="99"/>
    <w:rPr>
      <w:rFonts w:ascii="Times New Roman" w:hAnsi="Times New Roman"/>
      <w:szCs w:val="24"/>
    </w:rPr>
  </w:style>
  <w:style w:type="character" w:customStyle="1" w:styleId="28">
    <w:name w:val="正文文本 字符"/>
    <w:link w:val="8"/>
    <w:qFormat/>
    <w:locked/>
    <w:uiPriority w:val="99"/>
    <w:rPr>
      <w:rFonts w:ascii="仿宋_GB2312" w:hAnsi="Times New Roman" w:eastAsia="仿宋_GB2312"/>
      <w:sz w:val="24"/>
    </w:rPr>
  </w:style>
  <w:style w:type="paragraph" w:styleId="29">
    <w:name w:val="List Paragraph"/>
    <w:basedOn w:val="1"/>
    <w:qFormat/>
    <w:uiPriority w:val="34"/>
    <w:pPr>
      <w:ind w:firstLine="420" w:firstLineChars="200"/>
    </w:pPr>
  </w:style>
  <w:style w:type="character" w:customStyle="1" w:styleId="30">
    <w:name w:val="标题 1 字符"/>
    <w:basedOn w:val="17"/>
    <w:link w:val="3"/>
    <w:qFormat/>
    <w:uiPriority w:val="9"/>
    <w:rPr>
      <w:rFonts w:ascii="Times New Roman" w:hAnsi="Times New Roman"/>
      <w:b/>
      <w:bCs/>
      <w:kern w:val="44"/>
      <w:sz w:val="44"/>
      <w:szCs w:val="44"/>
    </w:rPr>
  </w:style>
  <w:style w:type="character" w:customStyle="1" w:styleId="31">
    <w:name w:val="标题 2 字符"/>
    <w:basedOn w:val="17"/>
    <w:link w:val="4"/>
    <w:qFormat/>
    <w:uiPriority w:val="9"/>
    <w:rPr>
      <w:rFonts w:asciiTheme="majorHAnsi" w:hAnsiTheme="majorHAnsi" w:eastAsiaTheme="majorEastAsia" w:cstheme="majorBidi"/>
      <w:b/>
      <w:bCs/>
      <w:kern w:val="2"/>
      <w:sz w:val="32"/>
      <w:szCs w:val="32"/>
    </w:rPr>
  </w:style>
  <w:style w:type="paragraph" w:customStyle="1" w:styleId="32">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3">
    <w:name w:val="批注框文本 字符"/>
    <w:basedOn w:val="17"/>
    <w:link w:val="10"/>
    <w:semiHidden/>
    <w:qFormat/>
    <w:uiPriority w:val="99"/>
    <w:rPr>
      <w:rFonts w:ascii="Times New Roman" w:hAnsi="Times New Roman"/>
      <w:kern w:val="2"/>
      <w:sz w:val="18"/>
      <w:szCs w:val="18"/>
    </w:rPr>
  </w:style>
  <w:style w:type="character" w:customStyle="1" w:styleId="34">
    <w:name w:val="标题 3 字符"/>
    <w:basedOn w:val="17"/>
    <w:link w:val="5"/>
    <w:qFormat/>
    <w:uiPriority w:val="9"/>
    <w:rPr>
      <w:rFonts w:ascii="Times New Roman" w:hAnsi="Times New Roman"/>
      <w:b/>
      <w:bCs/>
      <w:kern w:val="2"/>
      <w:sz w:val="32"/>
      <w:szCs w:val="32"/>
    </w:rPr>
  </w:style>
  <w:style w:type="paragraph" w:customStyle="1" w:styleId="35">
    <w:name w:val="四号正文"/>
    <w:basedOn w:val="1"/>
    <w:qFormat/>
    <w:uiPriority w:val="0"/>
    <w:pPr>
      <w:spacing w:line="360" w:lineRule="auto"/>
    </w:pPr>
    <w:rPr>
      <w:rFonts w:ascii="??" w:hAnsi="??" w:eastAsia="宋体" w:cs="宋体"/>
      <w:color w:val="000000"/>
      <w:kern w:val="0"/>
      <w:sz w:val="28"/>
      <w:szCs w:val="21"/>
    </w:rPr>
  </w:style>
  <w:style w:type="paragraph" w:customStyle="1" w:styleId="36">
    <w:name w:val="a"/>
    <w:basedOn w:val="1"/>
    <w:qFormat/>
    <w:uiPriority w:val="0"/>
    <w:pPr>
      <w:widowControl/>
      <w:spacing w:before="100" w:beforeAutospacing="1" w:after="100" w:afterAutospacing="1"/>
      <w:jc w:val="left"/>
    </w:pPr>
    <w:rPr>
      <w:rFonts w:ascii="宋体" w:eastAsia="宋体" w:cs="宋体"/>
      <w:kern w:val="0"/>
      <w:sz w:val="24"/>
    </w:rPr>
  </w:style>
  <w:style w:type="character" w:customStyle="1" w:styleId="37">
    <w:name w:val="font112"/>
    <w:basedOn w:val="17"/>
    <w:qFormat/>
    <w:uiPriority w:val="0"/>
    <w:rPr>
      <w:rFonts w:ascii="黑体" w:hAnsi="宋体" w:eastAsia="黑体" w:cs="黑体"/>
      <w:color w:val="000000"/>
      <w:sz w:val="28"/>
      <w:szCs w:val="28"/>
      <w:u w:val="none"/>
    </w:rPr>
  </w:style>
  <w:style w:type="character" w:customStyle="1" w:styleId="38">
    <w:name w:val="font31"/>
    <w:basedOn w:val="17"/>
    <w:qFormat/>
    <w:uiPriority w:val="0"/>
    <w:rPr>
      <w:rFonts w:hint="default" w:ascii="Times New Roman" w:hAnsi="Times New Roman" w:cs="Times New Roman"/>
      <w:color w:val="000000"/>
      <w:sz w:val="28"/>
      <w:szCs w:val="28"/>
      <w:u w:val="none"/>
    </w:rPr>
  </w:style>
  <w:style w:type="character" w:customStyle="1" w:styleId="39">
    <w:name w:val="font21"/>
    <w:basedOn w:val="17"/>
    <w:qFormat/>
    <w:uiPriority w:val="0"/>
    <w:rPr>
      <w:rFonts w:hint="eastAsia" w:ascii="宋体" w:hAnsi="宋体" w:eastAsia="宋体" w:cs="宋体"/>
      <w:color w:val="000000"/>
      <w:sz w:val="20"/>
      <w:szCs w:val="20"/>
      <w:u w:val="none"/>
    </w:rPr>
  </w:style>
  <w:style w:type="character" w:customStyle="1" w:styleId="40">
    <w:name w:val="font121"/>
    <w:basedOn w:val="17"/>
    <w:qFormat/>
    <w:uiPriority w:val="0"/>
    <w:rPr>
      <w:rFonts w:hint="eastAsia" w:ascii="宋体" w:hAnsi="宋体" w:eastAsia="宋体" w:cs="宋体"/>
      <w:color w:val="000000"/>
      <w:sz w:val="20"/>
      <w:szCs w:val="20"/>
      <w:u w:val="none"/>
    </w:rPr>
  </w:style>
  <w:style w:type="character" w:customStyle="1" w:styleId="41">
    <w:name w:val="font131"/>
    <w:basedOn w:val="17"/>
    <w:uiPriority w:val="0"/>
    <w:rPr>
      <w:rFonts w:hint="eastAsia" w:ascii="宋体" w:hAnsi="宋体" w:eastAsia="宋体" w:cs="宋体"/>
      <w:color w:val="000000"/>
      <w:sz w:val="20"/>
      <w:szCs w:val="20"/>
      <w:u w:val="none"/>
    </w:rPr>
  </w:style>
  <w:style w:type="character" w:customStyle="1" w:styleId="42">
    <w:name w:val="font91"/>
    <w:basedOn w:val="17"/>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6.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7.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Workbook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收、支决算总计变动情况图</a:t>
            </a:r>
            <a:endParaRPr lang="en-US" sz="1100"/>
          </a:p>
        </c:rich>
      </c:tx>
      <c:layout/>
      <c:overlay val="0"/>
    </c:title>
    <c:autoTitleDeleted val="0"/>
    <c:plotArea>
      <c:layout>
        <c:manualLayout>
          <c:layoutTarget val="inner"/>
          <c:xMode val="edge"/>
          <c:yMode val="edge"/>
          <c:x val="0.0559816218099468"/>
          <c:y val="0.247865112907836"/>
          <c:w val="0.800713012477719"/>
          <c:h val="0.654027777777778"/>
        </c:manualLayout>
      </c:layout>
      <c:barChart>
        <c:barDir val="col"/>
        <c:grouping val="clustered"/>
        <c:varyColors val="0"/>
        <c:ser>
          <c:idx val="1"/>
          <c:order val="0"/>
          <c:tx>
            <c:strRef>
              <c:f>收入</c:f>
              <c:strCache>
                <c:ptCount val="1"/>
                <c:pt idx="0">
                  <c:v>收入</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{"2021","2022"}</c:f>
              <c:strCache>
                <c:ptCount val="2"/>
                <c:pt idx="0">
                  <c:v>2021</c:v>
                </c:pt>
                <c:pt idx="1">
                  <c:v>2022</c:v>
                </c:pt>
              </c:strCache>
            </c:strRef>
          </c:cat>
          <c:val>
            <c:numRef>
              <c:f>{0,151.74}</c:f>
              <c:numCache>
                <c:formatCode>General</c:formatCode>
                <c:ptCount val="2"/>
                <c:pt idx="0">
                  <c:v>0</c:v>
                </c:pt>
                <c:pt idx="1">
                  <c:v>151.74</c:v>
                </c:pt>
              </c:numCache>
            </c:numRef>
          </c:val>
        </c:ser>
        <c:ser>
          <c:idx val="2"/>
          <c:order val="1"/>
          <c:tx>
            <c:strRef>
              <c:f>支出</c:f>
              <c:strCache>
                <c:ptCount val="1"/>
                <c:pt idx="0">
                  <c:v>支出</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{"2021","2022"}</c:f>
              <c:strCache>
                <c:ptCount val="2"/>
                <c:pt idx="0">
                  <c:v>2021</c:v>
                </c:pt>
                <c:pt idx="1">
                  <c:v>2022</c:v>
                </c:pt>
              </c:strCache>
            </c:strRef>
          </c:cat>
          <c:val>
            <c:numRef>
              <c:f>{0,151.74}</c:f>
              <c:numCache>
                <c:formatCode>General</c:formatCode>
                <c:ptCount val="2"/>
                <c:pt idx="0">
                  <c:v>0</c:v>
                </c:pt>
                <c:pt idx="1">
                  <c:v>151.74</c:v>
                </c:pt>
              </c:numCache>
            </c:numRef>
          </c:val>
        </c:ser>
        <c:dLbls>
          <c:showLegendKey val="0"/>
          <c:showVal val="1"/>
          <c:showCatName val="0"/>
          <c:showSerName val="0"/>
          <c:showPercent val="0"/>
          <c:showBubbleSize val="0"/>
        </c:dLbls>
        <c:gapWidth val="41"/>
        <c:axId val="261387392"/>
        <c:axId val="261388928"/>
      </c:barChart>
      <c:catAx>
        <c:axId val="261387392"/>
        <c:scaling>
          <c:orientation val="minMax"/>
        </c:scaling>
        <c:delete val="0"/>
        <c:axPos val="b"/>
        <c:title>
          <c:tx>
            <c:rich>
              <a:bodyPr rot="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单位：万元</a:t>
                </a:r>
                <a:endParaRPr lang="en-US" sz="1100"/>
              </a:p>
            </c:rich>
          </c:tx>
          <c:layout/>
          <c:overlay val="0"/>
        </c:title>
        <c:numFmt formatCode="General" sourceLinked="0"/>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zh-CN" sz="900" b="0" i="0" u="none" strike="noStrike" kern="1200" baseline="0">
                <a:solidFill>
                  <a:schemeClr val="dk1">
                    <a:lumMod val="65000"/>
                    <a:lumOff val="35000"/>
                  </a:schemeClr>
                </a:solidFill>
                <a:effectLst/>
                <a:latin typeface="+mn-lt"/>
                <a:ea typeface="+mn-ea"/>
                <a:cs typeface="+mn-cs"/>
              </a:defRPr>
            </a:pPr>
          </a:p>
        </c:txPr>
        <c:crossAx val="261388928"/>
        <c:crosses val="autoZero"/>
        <c:auto val="1"/>
        <c:lblAlgn val="ctr"/>
        <c:lblOffset val="100"/>
        <c:noMultiLvlLbl val="0"/>
      </c:catAx>
      <c:valAx>
        <c:axId val="261388928"/>
        <c:scaling>
          <c:orientation val="minMax"/>
        </c:scaling>
        <c:delete val="1"/>
        <c:axPos val="l"/>
        <c:title>
          <c:tx>
            <c:rich>
              <a:bodyPr rot="-540000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 </a:t>
                </a:r>
                <a:endParaRPr lang="en-US" sz="1100"/>
              </a:p>
            </c:rich>
          </c:tx>
          <c:layout/>
          <c:overlay val="0"/>
        </c:title>
        <c:numFmt formatCode="General" sourceLinked="1"/>
        <c:majorTickMark val="none"/>
        <c:minorTickMark val="none"/>
        <c:tickLblPos val="none"/>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261387392"/>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dk1">
                  <a:lumMod val="65000"/>
                  <a:lumOff val="35000"/>
                </a:schemeClr>
              </a:solidFill>
              <a:latin typeface="+mn-lt"/>
              <a:ea typeface="+mn-ea"/>
              <a:cs typeface="+mn-cs"/>
            </a:defRPr>
          </a:pPr>
        </a:p>
      </c:txPr>
    </c:legend>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prstDash val="solid"/>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收入决算结构图</a:t>
            </a:r>
            <a:endParaRPr lang="en-US" sz="1100"/>
          </a:p>
        </c:rich>
      </c:tx>
      <c:layout/>
      <c:overlay val="0"/>
    </c:title>
    <c:autoTitleDeleted val="0"/>
    <c:plotArea>
      <c:layout/>
      <c:pieChart>
        <c:varyColors val="1"/>
        <c:ser>
          <c:idx val="1"/>
          <c:order val="0"/>
          <c:explosion val="0"/>
          <c:dPt>
            <c:idx val="0"/>
            <c:bubble3D val="0"/>
          </c:dPt>
          <c:dPt>
            <c:idx val="1"/>
            <c:bubble3D val="0"/>
          </c:dPt>
          <c:dPt>
            <c:idx val="2"/>
            <c:bubble3D val="0"/>
          </c:dPt>
          <c:dPt>
            <c:idx val="3"/>
            <c:bubble3D val="0"/>
          </c:dPt>
          <c:dPt>
            <c:idx val="4"/>
            <c:bubble3D val="0"/>
          </c:dPt>
          <c:dPt>
            <c:idx val="5"/>
            <c:bubble3D val="0"/>
          </c:dPt>
          <c:dPt>
            <c:idx val="6"/>
            <c:bubble3D val="0"/>
          </c:dPt>
          <c:dPt>
            <c:idx val="7"/>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{"一般公共预算财政拨款收入","政府性基金预算财政拨款收入","国有资本经营预算财政拨款收入","上级补助收入","事业收入","经营收入","附属单位上缴收入","其他收入"}</c:f>
              <c:strCache>
                <c:ptCount val="8"/>
                <c:pt idx="0">
                  <c:v>一般公共预算财政拨款收入</c:v>
                </c:pt>
                <c:pt idx="1">
                  <c:v>政府性基金预算财政拨款收入</c:v>
                </c:pt>
                <c:pt idx="2">
                  <c:v>国有资本经营预算财政拨款收入</c:v>
                </c:pt>
                <c:pt idx="3">
                  <c:v>上级补助收入</c:v>
                </c:pt>
                <c:pt idx="4">
                  <c:v>事业收入</c:v>
                </c:pt>
                <c:pt idx="5">
                  <c:v>经营收入</c:v>
                </c:pt>
                <c:pt idx="6">
                  <c:v>附属单位上缴收入</c:v>
                </c:pt>
                <c:pt idx="7">
                  <c:v>其他收入</c:v>
                </c:pt>
              </c:strCache>
            </c:strRef>
          </c:cat>
          <c:val>
            <c:numRef>
              <c:f>{1517445.25,0,0,0,0,0,0,0}</c:f>
              <c:numCache>
                <c:formatCode>General</c:formatCode>
                <c:ptCount val="8"/>
                <c:pt idx="0">
                  <c:v>1517445.25</c:v>
                </c:pt>
                <c:pt idx="1">
                  <c:v>0</c:v>
                </c:pt>
                <c:pt idx="2">
                  <c:v>0</c:v>
                </c:pt>
                <c:pt idx="3">
                  <c:v>0</c:v>
                </c:pt>
                <c:pt idx="4">
                  <c:v>0</c:v>
                </c:pt>
                <c:pt idx="5">
                  <c:v>0</c:v>
                </c:pt>
                <c:pt idx="6">
                  <c:v>0</c:v>
                </c:pt>
                <c:pt idx="7">
                  <c:v>0</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prstDash val="solid"/>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支出决算结构图</a:t>
            </a:r>
            <a:endParaRPr lang="en-US" sz="1100"/>
          </a:p>
        </c:rich>
      </c:tx>
      <c:layout/>
      <c:overlay val="0"/>
    </c:title>
    <c:autoTitleDeleted val="0"/>
    <c:plotArea>
      <c:layout/>
      <c:pieChart>
        <c:varyColors val="1"/>
        <c:ser>
          <c:idx val="1"/>
          <c:order val="0"/>
          <c:explosion val="0"/>
          <c:dPt>
            <c:idx val="0"/>
            <c:bubble3D val="0"/>
          </c:dPt>
          <c:dPt>
            <c:idx val="1"/>
            <c:bubble3D val="0"/>
          </c:dPt>
          <c:dPt>
            <c:idx val="2"/>
            <c:bubble3D val="0"/>
          </c:dPt>
          <c:dPt>
            <c:idx val="3"/>
            <c:bubble3D val="0"/>
          </c:dPt>
          <c:dPt>
            <c:idx val="4"/>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{"基本支出","项目支出","上缴上级支出","经营支出","对附属单位补助支出"}</c:f>
              <c:strCache>
                <c:ptCount val="5"/>
                <c:pt idx="0">
                  <c:v>基本支出</c:v>
                </c:pt>
                <c:pt idx="1">
                  <c:v>项目支出</c:v>
                </c:pt>
                <c:pt idx="2">
                  <c:v>上缴上级支出</c:v>
                </c:pt>
                <c:pt idx="3">
                  <c:v>经营支出</c:v>
                </c:pt>
                <c:pt idx="4">
                  <c:v>对附属单位补助支出</c:v>
                </c:pt>
              </c:strCache>
            </c:strRef>
          </c:cat>
          <c:val>
            <c:numRef>
              <c:f>{1298318.45,219126.8,0,0,0}</c:f>
              <c:numCache>
                <c:formatCode>General</c:formatCode>
                <c:ptCount val="5"/>
                <c:pt idx="0">
                  <c:v>1298318.45</c:v>
                </c:pt>
                <c:pt idx="1">
                  <c:v>219126.8</c:v>
                </c:pt>
                <c:pt idx="2">
                  <c:v>0</c:v>
                </c:pt>
                <c:pt idx="3">
                  <c:v>0</c:v>
                </c:pt>
                <c:pt idx="4">
                  <c:v>0</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prstDash val="solid"/>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600" b="1" i="0" u="none" strike="noStrike" kern="1200" baseline="0">
                <a:solidFill>
                  <a:schemeClr val="tx2"/>
                </a:solidFill>
                <a:latin typeface="+mn-lt"/>
                <a:ea typeface="+mn-ea"/>
                <a:cs typeface="+mn-cs"/>
              </a:defRPr>
            </a:pPr>
            <a:r>
              <a:rPr lang="en-US" altLang="zh-CN"/>
              <a:t>财政拨款收、支决算总计变动情况</a:t>
            </a:r>
            <a:endParaRPr lang="en-US" altLang="zh-CN"/>
          </a:p>
        </c:rich>
      </c:tx>
      <c:layout/>
      <c:overlay val="0"/>
      <c:spPr>
        <a:noFill/>
        <a:ln>
          <a:noFill/>
        </a:ln>
        <a:effectLst/>
      </c:spPr>
    </c:title>
    <c:autoTitleDeleted val="0"/>
    <c:plotArea>
      <c:layout/>
      <c:barChart>
        <c:barDir val="col"/>
        <c:grouping val="clustered"/>
        <c:varyColors val="0"/>
        <c:ser>
          <c:idx val="1"/>
          <c:order val="0"/>
          <c:tx>
            <c:strRef>
              <c:f>收入</c:f>
              <c:strCache>
                <c:ptCount val="1"/>
                <c:pt idx="0">
                  <c:v>收入</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{"2021","2022"}</c:f>
              <c:strCache>
                <c:ptCount val="2"/>
                <c:pt idx="0">
                  <c:v>2021</c:v>
                </c:pt>
                <c:pt idx="1">
                  <c:v>2022</c:v>
                </c:pt>
              </c:strCache>
            </c:strRef>
          </c:cat>
          <c:val>
            <c:numRef>
              <c:f>{0,151.74}</c:f>
              <c:numCache>
                <c:formatCode>General</c:formatCode>
                <c:ptCount val="2"/>
                <c:pt idx="0">
                  <c:v>0</c:v>
                </c:pt>
                <c:pt idx="1">
                  <c:v>151.74</c:v>
                </c:pt>
              </c:numCache>
            </c:numRef>
          </c:val>
        </c:ser>
        <c:ser>
          <c:idx val="2"/>
          <c:order val="1"/>
          <c:tx>
            <c:strRef>
              <c:f>支出</c:f>
              <c:strCache>
                <c:ptCount val="1"/>
                <c:pt idx="0">
                  <c:v>支出</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{"2021","2022"}</c:f>
              <c:strCache>
                <c:ptCount val="2"/>
                <c:pt idx="0">
                  <c:v>2021</c:v>
                </c:pt>
                <c:pt idx="1">
                  <c:v>2022</c:v>
                </c:pt>
              </c:strCache>
            </c:strRef>
          </c:cat>
          <c:val>
            <c:numRef>
              <c:f>{0,151.74}</c:f>
              <c:numCache>
                <c:formatCode>General</c:formatCode>
                <c:ptCount val="2"/>
                <c:pt idx="0">
                  <c:v>0</c:v>
                </c:pt>
                <c:pt idx="1">
                  <c:v>151.74</c:v>
                </c:pt>
              </c:numCache>
            </c:numRef>
          </c:val>
        </c:ser>
        <c:dLbls>
          <c:showLegendKey val="0"/>
          <c:showVal val="1"/>
          <c:showCatName val="0"/>
          <c:showSerName val="0"/>
          <c:showPercent val="0"/>
          <c:showBubbleSize val="0"/>
        </c:dLbls>
        <c:gapWidth val="100"/>
        <c:overlap val="-24"/>
        <c:axId val="263359104"/>
        <c:axId val="263373184"/>
      </c:barChart>
      <c:catAx>
        <c:axId val="263359104"/>
        <c:scaling>
          <c:orientation val="minMax"/>
        </c:scaling>
        <c:delete val="0"/>
        <c:axPos val="b"/>
        <c:title>
          <c:tx>
            <c:rich>
              <a:bodyPr rot="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单位：万元</a:t>
                </a:r>
                <a:endParaRPr lang="en-US" sz="1100"/>
              </a:p>
            </c:rich>
          </c:tx>
          <c:layout/>
          <c:overlay val="0"/>
        </c:title>
        <c:numFmt formatCode="General" sourceLinked="0"/>
        <c:majorTickMark val="none"/>
        <c:minorTickMark val="none"/>
        <c:tickLblPos val="nextTo"/>
        <c:spPr>
          <a:noFill/>
          <a:ln w="9525" cap="flat" cmpd="sng" algn="ctr">
            <a:solidFill>
              <a:schemeClr val="tx2">
                <a:lumMod val="15000"/>
                <a:lumOff val="85000"/>
              </a:schemeClr>
            </a:solidFill>
            <a:prstDash val="solid"/>
            <a:round/>
          </a:ln>
          <a:effectLst/>
        </c:spPr>
        <c:txPr>
          <a:bodyPr rot="-60000000" spcFirstLastPara="1" vertOverflow="ellipsis" vert="horz" wrap="square" anchor="ctr" anchorCtr="1"/>
          <a:lstStyle/>
          <a:p>
            <a:pPr>
              <a:defRPr lang="zh-CN" sz="900" b="0" i="0" u="none" strike="noStrike" kern="1200" baseline="0">
                <a:solidFill>
                  <a:schemeClr val="tx2"/>
                </a:solidFill>
                <a:latin typeface="+mn-lt"/>
                <a:ea typeface="+mn-ea"/>
                <a:cs typeface="+mn-cs"/>
              </a:defRPr>
            </a:pPr>
          </a:p>
        </c:txPr>
        <c:crossAx val="263373184"/>
        <c:crosses val="autoZero"/>
        <c:auto val="1"/>
        <c:lblAlgn val="ctr"/>
        <c:lblOffset val="100"/>
        <c:noMultiLvlLbl val="0"/>
      </c:catAx>
      <c:valAx>
        <c:axId val="263373184"/>
        <c:scaling>
          <c:orientation val="minMax"/>
        </c:scaling>
        <c:delete val="0"/>
        <c:axPos val="l"/>
        <c:majorGridlines>
          <c:spPr>
            <a:ln w="9525" cap="flat" cmpd="sng" algn="ctr">
              <a:solidFill>
                <a:schemeClr val="tx2">
                  <a:lumMod val="15000"/>
                  <a:lumOff val="85000"/>
                </a:schemeClr>
              </a:solidFill>
              <a:prstDash val="solid"/>
              <a:round/>
            </a:ln>
            <a:effectLst/>
          </c:spPr>
        </c:majorGridlines>
        <c:title>
          <c:tx>
            <c:rich>
              <a:bodyPr rot="-540000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 </a:t>
                </a:r>
                <a:endParaRPr lang="en-US" sz="1100"/>
              </a:p>
            </c:rich>
          </c:tx>
          <c:layout/>
          <c:overlay val="0"/>
        </c:title>
        <c:numFmt formatCode="General"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zh-CN" sz="900" b="0" i="0" u="none" strike="noStrike" kern="1200" baseline="0">
                <a:solidFill>
                  <a:schemeClr val="tx2"/>
                </a:solidFill>
                <a:latin typeface="+mn-lt"/>
                <a:ea typeface="+mn-ea"/>
                <a:cs typeface="+mn-cs"/>
              </a:defRPr>
            </a:pPr>
          </a:p>
        </c:txPr>
        <c:crossAx val="263359104"/>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2"/>
              </a:solidFill>
              <a:latin typeface="+mn-lt"/>
              <a:ea typeface="+mn-ea"/>
              <a:cs typeface="+mn-cs"/>
            </a:defRPr>
          </a:pPr>
        </a:p>
      </c:txPr>
    </c:legend>
    <c:plotVisOnly val="1"/>
    <c:dispBlanksAs val="gap"/>
    <c:showDLblsOverMax val="0"/>
  </c:chart>
  <c:spPr>
    <a:solidFill>
      <a:schemeClr val="bg1"/>
    </a:solidFill>
    <a:ln w="9525" cap="flat" cmpd="sng" algn="ctr">
      <a:solidFill>
        <a:schemeClr val="tx2">
          <a:lumMod val="15000"/>
          <a:lumOff val="85000"/>
        </a:schemeClr>
      </a:solidFill>
      <a:prstDash val="solid"/>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600" b="1" i="0" u="none" strike="noStrike" kern="1200" baseline="0">
                <a:solidFill>
                  <a:schemeClr val="tx1">
                    <a:lumMod val="65000"/>
                    <a:lumOff val="35000"/>
                  </a:schemeClr>
                </a:solidFill>
                <a:latin typeface="+mn-lt"/>
                <a:ea typeface="+mn-ea"/>
                <a:cs typeface="+mn-cs"/>
              </a:defRPr>
            </a:pPr>
            <a:r>
              <a:rPr lang="zh-CN" altLang="en-US" sz="1200"/>
              <a:t>一般公共预算财政拨款支出</a:t>
            </a:r>
            <a:endParaRPr lang="zh-CN" altLang="en-US" sz="1200"/>
          </a:p>
        </c:rich>
      </c:tx>
      <c:layout/>
      <c:overlay val="0"/>
      <c:spPr>
        <a:noFill/>
        <a:ln>
          <a:noFill/>
        </a:ln>
        <a:effectLst/>
      </c:spPr>
    </c:title>
    <c:autoTitleDeleted val="0"/>
    <c:plotArea>
      <c:layout>
        <c:manualLayout>
          <c:layoutTarget val="inner"/>
          <c:xMode val="edge"/>
          <c:yMode val="edge"/>
          <c:x val="0.0736333103993069"/>
          <c:y val="0.199582873033408"/>
          <c:w val="0.767623678108199"/>
          <c:h val="0.708506514060342"/>
        </c:manualLayout>
      </c:layout>
      <c:barChart>
        <c:barDir val="col"/>
        <c:grouping val="clustered"/>
        <c:varyColors val="0"/>
        <c:ser>
          <c:idx val="1"/>
          <c:order val="0"/>
          <c:tx>
            <c:strRef>
              <c:f>2021</c:f>
              <c:strCache>
                <c:ptCount val="1"/>
                <c:pt idx="0">
                  <c:v>2021</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{"一般公共预算财政拨款支出"}</c:f>
              <c:strCache>
                <c:ptCount val="1"/>
                <c:pt idx="0">
                  <c:v>一般公共预算财政拨款支出</c:v>
                </c:pt>
              </c:strCache>
            </c:strRef>
          </c:cat>
          <c:val>
            <c:numRef>
              <c:f>{0}</c:f>
              <c:numCache>
                <c:formatCode>General</c:formatCode>
                <c:ptCount val="1"/>
                <c:pt idx="0">
                  <c:v>0</c:v>
                </c:pt>
              </c:numCache>
            </c:numRef>
          </c:val>
        </c:ser>
        <c:ser>
          <c:idx val="2"/>
          <c:order val="1"/>
          <c:tx>
            <c:strRef>
              <c:f>2022</c:f>
              <c:strCache>
                <c:ptCount val="1"/>
                <c:pt idx="0">
                  <c:v>2022</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{"一般公共预算财政拨款支出"}</c:f>
              <c:strCache>
                <c:ptCount val="1"/>
                <c:pt idx="0">
                  <c:v>一般公共预算财政拨款支出</c:v>
                </c:pt>
              </c:strCache>
            </c:strRef>
          </c:cat>
          <c:val>
            <c:numRef>
              <c:f>{151.74}</c:f>
              <c:numCache>
                <c:formatCode>General</c:formatCode>
                <c:ptCount val="1"/>
                <c:pt idx="0">
                  <c:v>151.74</c:v>
                </c:pt>
              </c:numCache>
            </c:numRef>
          </c:val>
        </c:ser>
        <c:dLbls>
          <c:showLegendKey val="0"/>
          <c:showVal val="1"/>
          <c:showCatName val="0"/>
          <c:showSerName val="0"/>
          <c:showPercent val="0"/>
          <c:showBubbleSize val="0"/>
        </c:dLbls>
        <c:gapWidth val="100"/>
        <c:overlap val="-24"/>
        <c:axId val="263440640"/>
        <c:axId val="263135232"/>
      </c:barChart>
      <c:catAx>
        <c:axId val="263440640"/>
        <c:scaling>
          <c:orientation val="minMax"/>
        </c:scaling>
        <c:delete val="1"/>
        <c:axPos val="b"/>
        <c:title>
          <c:tx>
            <c:rich>
              <a:bodyPr rot="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单位：万元</a:t>
                </a:r>
                <a:endParaRPr lang="en-US" sz="1100"/>
              </a:p>
            </c:rich>
          </c:tx>
          <c:layout/>
          <c:overlay val="0"/>
        </c:title>
        <c:numFmt formatCode="General" sourceLinked="0"/>
        <c:majorTickMark val="none"/>
        <c:minorTickMark val="none"/>
        <c:tickLblPos val="none"/>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263135232"/>
        <c:crosses val="autoZero"/>
        <c:auto val="1"/>
        <c:lblAlgn val="ctr"/>
        <c:lblOffset val="100"/>
        <c:noMultiLvlLbl val="0"/>
      </c:catAx>
      <c:valAx>
        <c:axId val="263135232"/>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 </a:t>
                </a:r>
                <a:endParaRPr lang="en-US" sz="1100"/>
              </a:p>
            </c:rich>
          </c:tx>
          <c:layout/>
          <c:overlay val="0"/>
        </c:title>
        <c:numFmt formatCode="General"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63440640"/>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一般公共预算财政拨款支出</a:t>
            </a:r>
            <a:endParaRPr lang="en-US" sz="1100"/>
          </a:p>
        </c:rich>
      </c:tx>
      <c:layout/>
      <c:overlay val="0"/>
    </c:title>
    <c:autoTitleDeleted val="0"/>
    <c:plotArea>
      <c:layout/>
      <c:pieChart>
        <c:varyColors val="1"/>
        <c:ser>
          <c:idx val="1"/>
          <c:order val="0"/>
          <c:explosion val="0"/>
          <c:dPt>
            <c:idx val="0"/>
            <c:bubble3D val="0"/>
          </c:dPt>
          <c:dPt>
            <c:idx val="1"/>
            <c:bubble3D val="0"/>
          </c:dPt>
          <c:dPt>
            <c:idx val="2"/>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{"社会保障和就业支出","卫生健康支出","住房保障支出"}</c:f>
              <c:strCache>
                <c:ptCount val="3"/>
                <c:pt idx="0">
                  <c:v>社会保障和就业支出</c:v>
                </c:pt>
                <c:pt idx="1">
                  <c:v>卫生健康支出</c:v>
                </c:pt>
                <c:pt idx="2">
                  <c:v>住房保障支出</c:v>
                </c:pt>
              </c:strCache>
            </c:strRef>
          </c:cat>
          <c:val>
            <c:numRef>
              <c:f>{26.01,115.09,10.64}</c:f>
              <c:numCache>
                <c:formatCode>General</c:formatCode>
                <c:ptCount val="3"/>
                <c:pt idx="0">
                  <c:v>26.01</c:v>
                </c:pt>
                <c:pt idx="1">
                  <c:v>115.09</c:v>
                </c:pt>
                <c:pt idx="2">
                  <c:v>10.64</c:v>
                </c:pt>
              </c:numCache>
            </c:numRef>
          </c:val>
        </c:ser>
        <c:dLbls>
          <c:showLegendKey val="0"/>
          <c:showVal val="1"/>
          <c:showCatName val="0"/>
          <c:showSerName val="0"/>
          <c:showPercent val="0"/>
          <c:showBubbleSize val="0"/>
          <c:showLeaderLines val="1"/>
        </c:dLbls>
        <c:firstSliceAng val="0"/>
      </c:pieChart>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zero"/>
    <c:showDLblsOverMax val="0"/>
  </c:chart>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三公经费</a:t>
            </a:r>
            <a:endParaRPr lang="en-US" sz="1100"/>
          </a:p>
        </c:rich>
      </c:tx>
      <c:layout/>
      <c:overlay val="0"/>
    </c:title>
    <c:autoTitleDeleted val="0"/>
    <c:plotArea>
      <c:layout/>
      <c:pieChart>
        <c:varyColors val="1"/>
        <c:ser>
          <c:idx val="1"/>
          <c:order val="0"/>
          <c:explosion val="0"/>
          <c:dPt>
            <c:idx val="0"/>
            <c:bubble3D val="0"/>
          </c:dPt>
          <c:dPt>
            <c:idx val="1"/>
            <c:bubble3D val="0"/>
          </c:dPt>
          <c:dPt>
            <c:idx val="2"/>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{"因公出国（境）费","公务用车购置及运行维护费","公务接待费"}</c:f>
              <c:strCache>
                <c:ptCount val="3"/>
                <c:pt idx="0">
                  <c:v>因公出国（境）费</c:v>
                </c:pt>
                <c:pt idx="1">
                  <c:v>公务用车购置及运行维护费</c:v>
                </c:pt>
                <c:pt idx="2">
                  <c:v>公务接待费</c:v>
                </c:pt>
              </c:strCache>
            </c:strRef>
          </c:cat>
          <c:val>
            <c:numRef>
              <c:f>{0,0,0}</c:f>
              <c:numCache>
                <c:formatCode>General</c:formatCode>
                <c:ptCount val="3"/>
                <c:pt idx="0">
                  <c:v>0</c:v>
                </c:pt>
                <c:pt idx="1">
                  <c:v>0</c:v>
                </c:pt>
                <c:pt idx="2">
                  <c:v>0</c:v>
                </c:pt>
              </c:numCache>
            </c:numRef>
          </c:val>
        </c:ser>
        <c:dLbls>
          <c:showLegendKey val="0"/>
          <c:showVal val="1"/>
          <c:showCatName val="0"/>
          <c:showSerName val="0"/>
          <c:showPercent val="0"/>
          <c:showBubbleSize val="0"/>
          <c:showLeaderLines val="1"/>
        </c:dLbls>
        <c:firstSliceAng val="0"/>
      </c:pieChart>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zero"/>
    <c:showDLblsOverMax val="0"/>
  </c:chart>
  <c:txPr>
    <a:bodyPr/>
    <a:lstStyle/>
    <a:p>
      <a:pPr>
        <a:defRPr lang="zh-CN"/>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FC5A5-8DE4-4565-B639-6D345C1D7E6D}">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25</Pages>
  <Words>8018</Words>
  <Characters>9634</Characters>
  <Lines>51</Lines>
  <Paragraphs>14</Paragraphs>
  <TotalTime>2</TotalTime>
  <ScaleCrop>false</ScaleCrop>
  <LinksUpToDate>false</LinksUpToDate>
  <CharactersWithSpaces>9875</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2023-08-18T07:28:00Z</dcterms:created>
  <dc:creator>pjf</dc:creator>
  <cp:lastModifiedBy>奕夕^_^</cp:lastModifiedBy>
  <cp:lastPrinted>2021-09-26T08:39:00Z</cp:lastPrinted>
  <dcterms:modified xsi:type="dcterms:W3CDTF">2023-09-12T09:31:49Z</dcterms:modified>
  <dc:title>四川省决算编制说明</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B93CA6F4BEAD4F359769D1203595D585</vt:lpwstr>
  </property>
</Properties>
</file>