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jc w:val="center"/>
        <w:rPr>
          <w:sz w:val="42"/>
          <w:szCs w:val="42"/>
        </w:rPr>
      </w:pPr>
    </w:p>
    <w:p>
      <w:pPr>
        <w:pStyle w:val="6"/>
        <w:keepNext w:val="0"/>
        <w:keepLines w:val="0"/>
        <w:widowControl/>
        <w:suppressLineNumbers w:val="0"/>
        <w:jc w:val="center"/>
        <w:rPr>
          <w:sz w:val="42"/>
          <w:szCs w:val="42"/>
        </w:rPr>
      </w:pPr>
    </w:p>
    <w:p>
      <w:pPr>
        <w:pStyle w:val="6"/>
        <w:keepNext w:val="0"/>
        <w:keepLines w:val="0"/>
        <w:widowControl/>
        <w:suppressLineNumbers w:val="0"/>
        <w:jc w:val="center"/>
      </w:pPr>
      <w:r>
        <w:rPr>
          <w:sz w:val="42"/>
          <w:szCs w:val="42"/>
        </w:rPr>
        <w:t>2022年度</w:t>
      </w:r>
    </w:p>
    <w:p>
      <w:pPr>
        <w:pStyle w:val="6"/>
        <w:keepNext w:val="0"/>
        <w:keepLines w:val="0"/>
        <w:widowControl/>
        <w:suppressLineNumbers w:val="0"/>
        <w:jc w:val="center"/>
      </w:pPr>
      <w:r>
        <w:rPr>
          <w:sz w:val="42"/>
          <w:szCs w:val="42"/>
        </w:rPr>
        <w:t>阿坝州松潘县卫生和计划生育监督执法大队单位决算</w:t>
      </w:r>
    </w:p>
    <w:p>
      <w:pPr>
        <w:pStyle w:val="6"/>
        <w:keepNext w:val="0"/>
        <w:keepLines w:val="0"/>
        <w:widowControl/>
        <w:suppressLineNumbers w:val="0"/>
        <w:jc w:val="center"/>
      </w:pPr>
      <w:r>
        <w:t> </w:t>
      </w:r>
    </w:p>
    <w:p>
      <w:pPr>
        <w:pStyle w:val="6"/>
        <w:keepNext w:val="0"/>
        <w:keepLines w:val="0"/>
        <w:widowControl/>
        <w:suppressLineNumbers w:val="0"/>
        <w:jc w:val="center"/>
      </w:pPr>
      <w:r>
        <w:t> </w:t>
      </w:r>
    </w:p>
    <w:p>
      <w:pPr>
        <w:pStyle w:val="6"/>
        <w:keepNext w:val="0"/>
        <w:keepLines w:val="0"/>
        <w:widowControl/>
        <w:suppressLineNumbers w:val="0"/>
        <w:jc w:val="center"/>
      </w:pPr>
      <w:r>
        <w:t> </w:t>
      </w:r>
    </w:p>
    <w:p>
      <w:pPr>
        <w:pStyle w:val="6"/>
        <w:keepNext w:val="0"/>
        <w:keepLines w:val="0"/>
        <w:widowControl/>
        <w:suppressLineNumbers w:val="0"/>
        <w:jc w:val="center"/>
      </w:pPr>
      <w:r>
        <w:t> </w:t>
      </w:r>
    </w:p>
    <w:p>
      <w:pPr>
        <w:pStyle w:val="6"/>
        <w:keepNext w:val="0"/>
        <w:keepLines w:val="0"/>
        <w:widowControl/>
        <w:suppressLineNumbers w:val="0"/>
        <w:jc w:val="center"/>
      </w:pPr>
      <w:r>
        <w:t> </w:t>
      </w:r>
    </w:p>
    <w:p>
      <w:pPr>
        <w:pStyle w:val="6"/>
        <w:keepNext w:val="0"/>
        <w:keepLines w:val="0"/>
        <w:widowControl/>
        <w:suppressLineNumbers w:val="0"/>
        <w:jc w:val="center"/>
      </w:pPr>
      <w:r>
        <w:t> </w:t>
      </w:r>
    </w:p>
    <w:p>
      <w:pPr>
        <w:pStyle w:val="6"/>
        <w:keepNext w:val="0"/>
        <w:keepLines w:val="0"/>
        <w:widowControl/>
        <w:suppressLineNumbers w:val="0"/>
        <w:jc w:val="center"/>
      </w:pPr>
      <w:r>
        <w:t> </w:t>
      </w:r>
    </w:p>
    <w:p>
      <w:pPr>
        <w:pStyle w:val="6"/>
        <w:keepNext w:val="0"/>
        <w:keepLines w:val="0"/>
        <w:widowControl/>
        <w:suppressLineNumbers w:val="0"/>
        <w:jc w:val="center"/>
      </w:pPr>
      <w:r>
        <w:t>已经保密审查、内容审定，同意对外公开</w:t>
      </w:r>
    </w:p>
    <w:p>
      <w:pPr>
        <w:pStyle w:val="6"/>
        <w:keepNext w:val="0"/>
        <w:keepLines w:val="0"/>
        <w:widowControl/>
        <w:suppressLineNumbers w:val="0"/>
      </w:pPr>
      <w:r>
        <w:t> </w:t>
      </w:r>
    </w:p>
    <w:p>
      <w:pPr>
        <w:pStyle w:val="6"/>
        <w:keepNext w:val="0"/>
        <w:keepLines w:val="0"/>
        <w:widowControl/>
        <w:suppressLineNumbers w:val="0"/>
      </w:pPr>
      <w:r>
        <w:t> </w:t>
      </w:r>
    </w:p>
    <w:p>
      <w:pPr>
        <w:pStyle w:val="6"/>
        <w:keepNext w:val="0"/>
        <w:keepLines w:val="0"/>
        <w:widowControl/>
        <w:suppressLineNumbers w:val="0"/>
        <w:jc w:val="center"/>
      </w:pPr>
      <w:r>
        <w:t> </w:t>
      </w:r>
    </w:p>
    <w:p>
      <w:pPr>
        <w:pStyle w:val="6"/>
        <w:keepNext w:val="0"/>
        <w:keepLines w:val="0"/>
        <w:widowControl/>
        <w:suppressLineNumbers w:val="0"/>
      </w:pPr>
      <w:r>
        <w:t> </w:t>
      </w:r>
    </w:p>
    <w:p>
      <w:pPr>
        <w:pStyle w:val="6"/>
        <w:keepNext w:val="0"/>
        <w:keepLines w:val="0"/>
        <w:widowControl/>
        <w:suppressLineNumbers w:val="0"/>
        <w:jc w:val="center"/>
      </w:pPr>
      <w:r>
        <w:t> </w:t>
      </w:r>
    </w:p>
    <w:p>
      <w:pPr>
        <w:pStyle w:val="6"/>
        <w:keepNext w:val="0"/>
        <w:keepLines w:val="0"/>
        <w:widowControl/>
        <w:suppressLineNumbers w:val="0"/>
        <w:jc w:val="center"/>
      </w:pPr>
      <w:r>
        <w:t> </w:t>
      </w:r>
    </w:p>
    <w:p>
      <w:pPr>
        <w:pStyle w:val="6"/>
        <w:keepNext w:val="0"/>
        <w:keepLines w:val="0"/>
        <w:widowControl/>
        <w:suppressLineNumbers w:val="0"/>
        <w:jc w:val="center"/>
      </w:pPr>
      <w:r>
        <w:t> </w:t>
      </w:r>
    </w:p>
    <w:p>
      <w:pPr>
        <w:pStyle w:val="6"/>
        <w:keepNext w:val="0"/>
        <w:keepLines w:val="0"/>
        <w:widowControl/>
        <w:suppressLineNumbers w:val="0"/>
        <w:jc w:val="center"/>
      </w:pPr>
      <w:r>
        <w:br w:type="textWrapping"/>
      </w:r>
    </w:p>
    <w:p>
      <w:pPr>
        <w:pStyle w:val="6"/>
        <w:keepNext w:val="0"/>
        <w:keepLines w:val="0"/>
        <w:widowControl/>
        <w:suppressLineNumbers w:val="0"/>
        <w:jc w:val="center"/>
      </w:pPr>
    </w:p>
    <w:p>
      <w:pPr>
        <w:pStyle w:val="6"/>
        <w:keepNext w:val="0"/>
        <w:keepLines w:val="0"/>
        <w:widowControl/>
        <w:suppressLineNumbers w:val="0"/>
        <w:jc w:val="center"/>
      </w:pPr>
    </w:p>
    <w:p>
      <w:pPr>
        <w:pStyle w:val="6"/>
        <w:keepNext w:val="0"/>
        <w:keepLines w:val="0"/>
        <w:widowControl/>
        <w:suppressLineNumbers w:val="0"/>
        <w:jc w:val="center"/>
      </w:pPr>
    </w:p>
    <w:p>
      <w:pPr>
        <w:pStyle w:val="6"/>
        <w:keepNext w:val="0"/>
        <w:keepLines w:val="0"/>
        <w:widowControl/>
        <w:suppressLineNumbers w:val="0"/>
        <w:jc w:val="center"/>
      </w:pPr>
    </w:p>
    <w:p>
      <w:pPr>
        <w:pStyle w:val="6"/>
        <w:keepNext w:val="0"/>
        <w:keepLines w:val="0"/>
        <w:widowControl/>
        <w:suppressLineNumbers w:val="0"/>
        <w:jc w:val="center"/>
      </w:pPr>
      <w:r>
        <w:t>目</w:t>
      </w:r>
      <w:r>
        <w:rPr>
          <w:rFonts w:hint="eastAsia"/>
          <w:lang w:val="en-US" w:eastAsia="zh-CN"/>
        </w:rPr>
        <w:t xml:space="preserve">  </w:t>
      </w:r>
      <w:r>
        <w:t>录</w:t>
      </w:r>
    </w:p>
    <w:p>
      <w:pPr>
        <w:pStyle w:val="6"/>
        <w:keepNext w:val="0"/>
        <w:keepLines w:val="0"/>
        <w:widowControl/>
        <w:suppressLineNumbers w:val="0"/>
        <w:jc w:val="center"/>
      </w:pPr>
      <w:r>
        <w:t> </w:t>
      </w:r>
    </w:p>
    <w:p>
      <w:pPr>
        <w:pStyle w:val="6"/>
        <w:keepNext w:val="0"/>
        <w:keepLines w:val="0"/>
        <w:widowControl/>
        <w:suppressLineNumbers w:val="0"/>
        <w:jc w:val="center"/>
      </w:pPr>
      <w:r>
        <w:t xml:space="preserve">公开时间：2023年  </w:t>
      </w:r>
      <w:r>
        <w:rPr>
          <w:rFonts w:hint="eastAsia"/>
          <w:lang w:val="en-US" w:eastAsia="zh-CN"/>
        </w:rPr>
        <w:t>09</w:t>
      </w:r>
      <w:r>
        <w:t> 月 </w:t>
      </w:r>
      <w:r>
        <w:rPr>
          <w:rFonts w:hint="eastAsia"/>
          <w:lang w:val="en-US" w:eastAsia="zh-CN"/>
        </w:rPr>
        <w:t>10</w:t>
      </w:r>
      <w:r>
        <w:t xml:space="preserve">  日</w:t>
      </w:r>
    </w:p>
    <w:p>
      <w:pPr>
        <w:pStyle w:val="6"/>
        <w:keepNext w:val="0"/>
        <w:keepLines w:val="0"/>
        <w:widowControl/>
        <w:suppressLineNumbers w:val="0"/>
      </w:pPr>
      <w:r>
        <w:t> </w:t>
      </w:r>
    </w:p>
    <w:p>
      <w:pPr>
        <w:pStyle w:val="6"/>
        <w:keepNext w:val="0"/>
        <w:keepLines w:val="0"/>
        <w:widowControl/>
        <w:suppressLineNumbers w:val="0"/>
        <w:jc w:val="left"/>
      </w:pPr>
      <w:r>
        <w:t>第一部分 单位概况</w:t>
      </w:r>
    </w:p>
    <w:p>
      <w:pPr>
        <w:pStyle w:val="6"/>
        <w:keepNext w:val="0"/>
        <w:keepLines w:val="0"/>
        <w:widowControl/>
        <w:suppressLineNumbers w:val="0"/>
        <w:ind w:left="420"/>
        <w:jc w:val="left"/>
      </w:pPr>
      <w:r>
        <w:t>一、主要职责</w:t>
      </w:r>
    </w:p>
    <w:p>
      <w:pPr>
        <w:pStyle w:val="6"/>
        <w:keepNext w:val="0"/>
        <w:keepLines w:val="0"/>
        <w:widowControl/>
        <w:suppressLineNumbers w:val="0"/>
        <w:ind w:left="420"/>
        <w:jc w:val="left"/>
      </w:pPr>
      <w:r>
        <w:t>二、机构设置</w:t>
      </w:r>
    </w:p>
    <w:p>
      <w:pPr>
        <w:pStyle w:val="6"/>
        <w:keepNext w:val="0"/>
        <w:keepLines w:val="0"/>
        <w:widowControl/>
        <w:suppressLineNumbers w:val="0"/>
        <w:jc w:val="left"/>
      </w:pPr>
      <w:r>
        <w:t>第二部分 2022年度单位决算情况说明</w:t>
      </w:r>
    </w:p>
    <w:p>
      <w:pPr>
        <w:pStyle w:val="6"/>
        <w:keepNext w:val="0"/>
        <w:keepLines w:val="0"/>
        <w:widowControl/>
        <w:suppressLineNumbers w:val="0"/>
        <w:ind w:left="420"/>
        <w:jc w:val="left"/>
      </w:pPr>
      <w:r>
        <w:t>一、收入支出决算总体情况说明</w:t>
      </w:r>
    </w:p>
    <w:p>
      <w:pPr>
        <w:pStyle w:val="6"/>
        <w:keepNext w:val="0"/>
        <w:keepLines w:val="0"/>
        <w:widowControl/>
        <w:suppressLineNumbers w:val="0"/>
        <w:ind w:left="420"/>
        <w:jc w:val="left"/>
      </w:pPr>
      <w:r>
        <w:t>二、收入决算情况说明</w:t>
      </w:r>
    </w:p>
    <w:p>
      <w:pPr>
        <w:pStyle w:val="6"/>
        <w:keepNext w:val="0"/>
        <w:keepLines w:val="0"/>
        <w:widowControl/>
        <w:suppressLineNumbers w:val="0"/>
        <w:ind w:left="420"/>
        <w:jc w:val="left"/>
      </w:pPr>
      <w:r>
        <w:t>三、支出决算情况说明</w:t>
      </w:r>
    </w:p>
    <w:p>
      <w:pPr>
        <w:pStyle w:val="6"/>
        <w:keepNext w:val="0"/>
        <w:keepLines w:val="0"/>
        <w:widowControl/>
        <w:suppressLineNumbers w:val="0"/>
        <w:ind w:left="420"/>
        <w:jc w:val="left"/>
      </w:pPr>
      <w:r>
        <w:t>四、财政拨款收入支出决算总体情况说明</w:t>
      </w:r>
    </w:p>
    <w:p>
      <w:pPr>
        <w:pStyle w:val="6"/>
        <w:keepNext w:val="0"/>
        <w:keepLines w:val="0"/>
        <w:widowControl/>
        <w:suppressLineNumbers w:val="0"/>
        <w:ind w:left="420"/>
        <w:jc w:val="left"/>
      </w:pPr>
      <w:r>
        <w:t>五、一般公共预算财政拨款支出决算情况说明</w:t>
      </w:r>
    </w:p>
    <w:p>
      <w:pPr>
        <w:pStyle w:val="6"/>
        <w:keepNext w:val="0"/>
        <w:keepLines w:val="0"/>
        <w:widowControl/>
        <w:suppressLineNumbers w:val="0"/>
        <w:ind w:left="420"/>
        <w:jc w:val="left"/>
      </w:pPr>
      <w:r>
        <w:t>六、一般公共预算财政拨款基本支出决算情况说明</w:t>
      </w:r>
    </w:p>
    <w:p>
      <w:pPr>
        <w:pStyle w:val="6"/>
        <w:keepNext w:val="0"/>
        <w:keepLines w:val="0"/>
        <w:widowControl/>
        <w:suppressLineNumbers w:val="0"/>
        <w:ind w:left="420"/>
        <w:jc w:val="left"/>
      </w:pPr>
      <w:r>
        <w:t>七、财政拨款“三公”经费支出决算情况说明</w:t>
      </w:r>
    </w:p>
    <w:p>
      <w:pPr>
        <w:pStyle w:val="6"/>
        <w:keepNext w:val="0"/>
        <w:keepLines w:val="0"/>
        <w:widowControl/>
        <w:suppressLineNumbers w:val="0"/>
        <w:ind w:left="420"/>
        <w:jc w:val="left"/>
      </w:pPr>
      <w:r>
        <w:t>八、政府性基金预算支出决算情况说明</w:t>
      </w:r>
    </w:p>
    <w:p>
      <w:pPr>
        <w:pStyle w:val="6"/>
        <w:keepNext w:val="0"/>
        <w:keepLines w:val="0"/>
        <w:widowControl/>
        <w:suppressLineNumbers w:val="0"/>
        <w:jc w:val="left"/>
      </w:pPr>
      <w:r>
        <w:t>       九、国有资本经营预算支出决算情况说明</w:t>
      </w:r>
    </w:p>
    <w:p>
      <w:pPr>
        <w:pStyle w:val="6"/>
        <w:keepNext w:val="0"/>
        <w:keepLines w:val="0"/>
        <w:widowControl/>
        <w:suppressLineNumbers w:val="0"/>
        <w:jc w:val="left"/>
      </w:pPr>
      <w:r>
        <w:t>       十、其他重要事项的情况说明 </w:t>
      </w:r>
    </w:p>
    <w:p>
      <w:pPr>
        <w:pStyle w:val="6"/>
        <w:keepNext w:val="0"/>
        <w:keepLines w:val="0"/>
        <w:widowControl/>
        <w:suppressLineNumbers w:val="0"/>
        <w:jc w:val="left"/>
      </w:pPr>
      <w:r>
        <w:t>第三部分 名词解释</w:t>
      </w:r>
    </w:p>
    <w:p>
      <w:pPr>
        <w:pStyle w:val="6"/>
        <w:keepNext w:val="0"/>
        <w:keepLines w:val="0"/>
        <w:widowControl/>
        <w:suppressLineNumbers w:val="0"/>
        <w:jc w:val="left"/>
      </w:pPr>
      <w:r>
        <w:t>第四部分 附件</w:t>
      </w:r>
    </w:p>
    <w:p>
      <w:pPr>
        <w:pStyle w:val="6"/>
        <w:keepNext w:val="0"/>
        <w:keepLines w:val="0"/>
        <w:widowControl/>
        <w:suppressLineNumbers w:val="0"/>
        <w:jc w:val="left"/>
      </w:pPr>
      <w:r>
        <w:t>第五部分 附表</w:t>
      </w:r>
    </w:p>
    <w:p>
      <w:pPr>
        <w:pStyle w:val="6"/>
        <w:keepNext w:val="0"/>
        <w:keepLines w:val="0"/>
        <w:widowControl/>
        <w:suppressLineNumbers w:val="0"/>
        <w:ind w:left="420"/>
        <w:jc w:val="left"/>
      </w:pPr>
      <w:r>
        <w:t>一、收入支出决算总表</w:t>
      </w:r>
    </w:p>
    <w:p>
      <w:pPr>
        <w:pStyle w:val="6"/>
        <w:keepNext w:val="0"/>
        <w:keepLines w:val="0"/>
        <w:widowControl/>
        <w:suppressLineNumbers w:val="0"/>
        <w:ind w:left="420"/>
        <w:jc w:val="left"/>
      </w:pPr>
      <w:r>
        <w:t>二、收入决算表</w:t>
      </w:r>
    </w:p>
    <w:p>
      <w:pPr>
        <w:pStyle w:val="6"/>
        <w:keepNext w:val="0"/>
        <w:keepLines w:val="0"/>
        <w:widowControl/>
        <w:suppressLineNumbers w:val="0"/>
        <w:ind w:left="420"/>
        <w:jc w:val="left"/>
      </w:pPr>
      <w:r>
        <w:t>三、支出决算表</w:t>
      </w:r>
    </w:p>
    <w:p>
      <w:pPr>
        <w:pStyle w:val="6"/>
        <w:keepNext w:val="0"/>
        <w:keepLines w:val="0"/>
        <w:widowControl/>
        <w:suppressLineNumbers w:val="0"/>
        <w:ind w:left="420"/>
        <w:jc w:val="left"/>
      </w:pPr>
      <w:r>
        <w:t>四、财政拨款收入支出决算总表</w:t>
      </w:r>
    </w:p>
    <w:p>
      <w:pPr>
        <w:pStyle w:val="6"/>
        <w:keepNext w:val="0"/>
        <w:keepLines w:val="0"/>
        <w:widowControl/>
        <w:suppressLineNumbers w:val="0"/>
        <w:ind w:left="420"/>
        <w:jc w:val="left"/>
      </w:pPr>
      <w:r>
        <w:t>五、财政拨款支出决算明细表</w:t>
      </w:r>
    </w:p>
    <w:p>
      <w:pPr>
        <w:pStyle w:val="6"/>
        <w:keepNext w:val="0"/>
        <w:keepLines w:val="0"/>
        <w:widowControl/>
        <w:suppressLineNumbers w:val="0"/>
        <w:ind w:left="420"/>
        <w:jc w:val="left"/>
      </w:pPr>
      <w:r>
        <w:t>六、一般公共预算财政拨款支出决算表</w:t>
      </w:r>
    </w:p>
    <w:p>
      <w:pPr>
        <w:pStyle w:val="6"/>
        <w:keepNext w:val="0"/>
        <w:keepLines w:val="0"/>
        <w:widowControl/>
        <w:suppressLineNumbers w:val="0"/>
        <w:ind w:left="420"/>
        <w:jc w:val="left"/>
      </w:pPr>
      <w:r>
        <w:t>七、一般公共预算财政拨款支出决算明细表</w:t>
      </w:r>
    </w:p>
    <w:p>
      <w:pPr>
        <w:pStyle w:val="6"/>
        <w:keepNext w:val="0"/>
        <w:keepLines w:val="0"/>
        <w:widowControl/>
        <w:suppressLineNumbers w:val="0"/>
        <w:ind w:left="420"/>
        <w:jc w:val="left"/>
      </w:pPr>
      <w:r>
        <w:t>八、一般公共预算财政拨款基本支出决算表</w:t>
      </w:r>
    </w:p>
    <w:p>
      <w:pPr>
        <w:pStyle w:val="6"/>
        <w:keepNext w:val="0"/>
        <w:keepLines w:val="0"/>
        <w:widowControl/>
        <w:suppressLineNumbers w:val="0"/>
        <w:ind w:left="420"/>
        <w:jc w:val="left"/>
      </w:pPr>
      <w:r>
        <w:t>九、一般公共预算财政拨款项目支出决算表</w:t>
      </w:r>
    </w:p>
    <w:p>
      <w:pPr>
        <w:pStyle w:val="6"/>
        <w:keepNext w:val="0"/>
        <w:keepLines w:val="0"/>
        <w:widowControl/>
        <w:suppressLineNumbers w:val="0"/>
        <w:ind w:left="420"/>
        <w:jc w:val="left"/>
      </w:pPr>
      <w:r>
        <w:t>十、政府性基金预算财政拨款收入支出决算表</w:t>
      </w:r>
    </w:p>
    <w:p>
      <w:pPr>
        <w:pStyle w:val="6"/>
        <w:keepNext w:val="0"/>
        <w:keepLines w:val="0"/>
        <w:widowControl/>
        <w:suppressLineNumbers w:val="0"/>
        <w:ind w:left="420"/>
        <w:jc w:val="left"/>
      </w:pPr>
      <w:r>
        <w:t>十一、国有资本经营预算财政拨款收入支出决算表</w:t>
      </w:r>
    </w:p>
    <w:p>
      <w:pPr>
        <w:pStyle w:val="6"/>
        <w:keepNext w:val="0"/>
        <w:keepLines w:val="0"/>
        <w:widowControl/>
        <w:suppressLineNumbers w:val="0"/>
        <w:ind w:left="420"/>
        <w:jc w:val="left"/>
      </w:pPr>
      <w:r>
        <w:t>十二、国有资本经营预算财政拨款支出决算表</w:t>
      </w:r>
    </w:p>
    <w:p>
      <w:pPr>
        <w:pStyle w:val="6"/>
        <w:keepNext w:val="0"/>
        <w:keepLines w:val="0"/>
        <w:widowControl/>
        <w:suppressLineNumbers w:val="0"/>
        <w:ind w:left="420"/>
        <w:jc w:val="left"/>
      </w:pPr>
      <w:r>
        <w:t>十三、财政拨款“三公”经费支出决算表</w:t>
      </w:r>
    </w:p>
    <w:p>
      <w:pPr>
        <w:pStyle w:val="6"/>
        <w:keepNext w:val="0"/>
        <w:keepLines w:val="0"/>
        <w:widowControl/>
        <w:suppressLineNumbers w:val="0"/>
        <w:jc w:val="left"/>
      </w:pPr>
      <w:r>
        <w:rPr>
          <w:rFonts w:hint="eastAsia"/>
          <w:lang w:eastAsia="zh-CN"/>
        </w:rPr>
        <w:t>（</w:t>
      </w:r>
      <w:r>
        <w:t>注：请部门根据实际注明页码</w:t>
      </w:r>
      <w:r>
        <w:rPr>
          <w:rFonts w:hint="eastAsia"/>
          <w:lang w:eastAsia="zh-CN"/>
        </w:rPr>
        <w:t>）</w:t>
      </w:r>
    </w:p>
    <w:p>
      <w:pPr>
        <w:pStyle w:val="6"/>
        <w:keepNext w:val="0"/>
        <w:keepLines w:val="0"/>
        <w:widowControl/>
        <w:suppressLineNumbers w:val="0"/>
      </w:pPr>
      <w:r>
        <w:t> </w:t>
      </w:r>
    </w:p>
    <w:p>
      <w:pPr>
        <w:pStyle w:val="6"/>
        <w:keepNext w:val="0"/>
        <w:keepLines w:val="0"/>
        <w:widowControl/>
        <w:suppressLineNumbers w:val="0"/>
        <w:jc w:val="left"/>
      </w:pPr>
      <w:r>
        <w:t> </w:t>
      </w:r>
    </w:p>
    <w:p>
      <w:pPr>
        <w:pStyle w:val="2"/>
        <w:keepNext w:val="0"/>
        <w:keepLines w:val="0"/>
        <w:widowControl/>
        <w:suppressLineNumbers w:val="0"/>
        <w:jc w:val="center"/>
      </w:pPr>
      <w:r>
        <w:t>第一部分 单位概况</w:t>
      </w:r>
    </w:p>
    <w:p>
      <w:pPr>
        <w:pStyle w:val="6"/>
        <w:keepNext w:val="0"/>
        <w:keepLines w:val="0"/>
        <w:widowControl/>
        <w:suppressLineNumbers w:val="0"/>
        <w:jc w:val="left"/>
      </w:pPr>
      <w:r>
        <w:t> </w:t>
      </w:r>
    </w:p>
    <w:p>
      <w:pPr>
        <w:pStyle w:val="3"/>
        <w:keepNext w:val="0"/>
        <w:keepLines w:val="0"/>
        <w:widowControl/>
        <w:suppressLineNumbers w:val="0"/>
      </w:pPr>
      <w:r>
        <w:t>一、主要职责</w:t>
      </w:r>
    </w:p>
    <w:p>
      <w:pPr>
        <w:pStyle w:val="6"/>
        <w:keepNext w:val="0"/>
        <w:keepLines w:val="0"/>
        <w:widowControl/>
        <w:suppressLineNumbers w:val="0"/>
      </w:pPr>
      <w:r>
        <w:t>（一）主要职能。</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松潘县卫生</w:t>
      </w:r>
      <w:r>
        <w:rPr>
          <w:rFonts w:hint="eastAsia" w:asciiTheme="minorEastAsia" w:hAnsiTheme="minorEastAsia" w:eastAsiaTheme="minorEastAsia" w:cstheme="minorEastAsia"/>
          <w:kern w:val="0"/>
          <w:sz w:val="24"/>
          <w:szCs w:val="24"/>
          <w:lang w:eastAsia="zh-CN"/>
        </w:rPr>
        <w:t>和计划生育</w:t>
      </w:r>
      <w:r>
        <w:rPr>
          <w:rFonts w:hint="eastAsia" w:asciiTheme="minorEastAsia" w:hAnsiTheme="minorEastAsia" w:eastAsiaTheme="minorEastAsia" w:cstheme="minorEastAsia"/>
          <w:kern w:val="0"/>
          <w:sz w:val="24"/>
          <w:szCs w:val="24"/>
        </w:rPr>
        <w:t>监督</w:t>
      </w:r>
      <w:r>
        <w:rPr>
          <w:rFonts w:hint="eastAsia" w:asciiTheme="minorEastAsia" w:hAnsiTheme="minorEastAsia" w:eastAsiaTheme="minorEastAsia" w:cstheme="minorEastAsia"/>
          <w:kern w:val="0"/>
          <w:sz w:val="24"/>
          <w:szCs w:val="24"/>
          <w:lang w:eastAsia="zh-CN"/>
        </w:rPr>
        <w:t>执法大队</w:t>
      </w:r>
      <w:r>
        <w:rPr>
          <w:rFonts w:hint="eastAsia" w:asciiTheme="minorEastAsia" w:hAnsiTheme="minorEastAsia" w:eastAsiaTheme="minorEastAsia" w:cstheme="minorEastAsia"/>
          <w:kern w:val="0"/>
          <w:sz w:val="24"/>
          <w:szCs w:val="24"/>
        </w:rPr>
        <w:t>是卫生监督体制改革中新成立的卫生执法机构，经州编委批准，于2003年7月正式成立，属县</w:t>
      </w:r>
      <w:r>
        <w:rPr>
          <w:rFonts w:hint="eastAsia" w:asciiTheme="minorEastAsia" w:hAnsiTheme="minorEastAsia" w:eastAsiaTheme="minorEastAsia" w:cstheme="minorEastAsia"/>
          <w:kern w:val="0"/>
          <w:sz w:val="24"/>
          <w:szCs w:val="24"/>
          <w:lang w:eastAsia="zh-CN"/>
        </w:rPr>
        <w:t>卫生健康局</w:t>
      </w:r>
      <w:r>
        <w:rPr>
          <w:rFonts w:hint="eastAsia" w:asciiTheme="minorEastAsia" w:hAnsiTheme="minorEastAsia" w:eastAsiaTheme="minorEastAsia" w:cstheme="minorEastAsia"/>
          <w:kern w:val="0"/>
          <w:sz w:val="24"/>
          <w:szCs w:val="24"/>
        </w:rPr>
        <w:t>直属单位。单位性质属</w:t>
      </w:r>
      <w:r>
        <w:rPr>
          <w:rFonts w:hint="eastAsia" w:asciiTheme="minorEastAsia" w:hAnsiTheme="minorEastAsia" w:cstheme="minorEastAsia"/>
          <w:kern w:val="0"/>
          <w:sz w:val="24"/>
          <w:szCs w:val="24"/>
          <w:lang w:eastAsia="zh-CN"/>
        </w:rPr>
        <w:t>参公事业单位</w:t>
      </w:r>
      <w:r>
        <w:rPr>
          <w:rFonts w:hint="eastAsia" w:asciiTheme="minorEastAsia" w:hAnsiTheme="minorEastAsia" w:eastAsiaTheme="minorEastAsia" w:cstheme="minorEastAsia"/>
          <w:kern w:val="0"/>
          <w:sz w:val="24"/>
          <w:szCs w:val="24"/>
        </w:rPr>
        <w:t>，我</w:t>
      </w:r>
      <w:r>
        <w:rPr>
          <w:rFonts w:hint="eastAsia" w:asciiTheme="minorEastAsia" w:hAnsiTheme="minorEastAsia" w:eastAsiaTheme="minorEastAsia" w:cstheme="minorEastAsia"/>
          <w:kern w:val="0"/>
          <w:sz w:val="24"/>
          <w:szCs w:val="24"/>
          <w:lang w:eastAsia="zh-CN"/>
        </w:rPr>
        <w:t>大队</w:t>
      </w:r>
      <w:r>
        <w:rPr>
          <w:rFonts w:hint="eastAsia" w:asciiTheme="minorEastAsia" w:hAnsiTheme="minorEastAsia" w:eastAsiaTheme="minorEastAsia" w:cstheme="minorEastAsia"/>
          <w:kern w:val="0"/>
          <w:sz w:val="24"/>
          <w:szCs w:val="24"/>
        </w:rPr>
        <w:t>受县</w:t>
      </w:r>
      <w:r>
        <w:rPr>
          <w:rFonts w:hint="eastAsia" w:asciiTheme="minorEastAsia" w:hAnsiTheme="minorEastAsia" w:eastAsiaTheme="minorEastAsia" w:cstheme="minorEastAsia"/>
          <w:kern w:val="0"/>
          <w:sz w:val="24"/>
          <w:szCs w:val="24"/>
          <w:lang w:eastAsia="zh-CN"/>
        </w:rPr>
        <w:t>卫生健康</w:t>
      </w:r>
      <w:r>
        <w:rPr>
          <w:rFonts w:hint="eastAsia" w:asciiTheme="minorEastAsia" w:hAnsiTheme="minorEastAsia" w:eastAsiaTheme="minorEastAsia" w:cstheme="minorEastAsia"/>
          <w:kern w:val="0"/>
          <w:sz w:val="24"/>
          <w:szCs w:val="24"/>
        </w:rPr>
        <w:t>局委托代表政府依法行使预防性和经常性公共卫生监督职能，负责全县公共场所卫生、学校卫生、生活饮用水卫生、职业卫生、</w:t>
      </w:r>
      <w:r>
        <w:rPr>
          <w:rFonts w:hint="eastAsia" w:asciiTheme="minorEastAsia" w:hAnsiTheme="minorEastAsia" w:eastAsiaTheme="minorEastAsia" w:cstheme="minorEastAsia"/>
          <w:kern w:val="0"/>
          <w:sz w:val="24"/>
          <w:szCs w:val="24"/>
          <w:lang w:eastAsia="zh-CN"/>
        </w:rPr>
        <w:t>职业病防治、</w:t>
      </w:r>
      <w:r>
        <w:rPr>
          <w:rFonts w:hint="eastAsia" w:asciiTheme="minorEastAsia" w:hAnsiTheme="minorEastAsia" w:eastAsiaTheme="minorEastAsia" w:cstheme="minorEastAsia"/>
          <w:kern w:val="0"/>
          <w:sz w:val="24"/>
          <w:szCs w:val="24"/>
        </w:rPr>
        <w:t>放射卫生以及医疗机构、母婴保健机构的监督执法工作。</w:t>
      </w:r>
    </w:p>
    <w:p>
      <w:pPr>
        <w:pStyle w:val="6"/>
        <w:keepNext w:val="0"/>
        <w:keepLines w:val="0"/>
        <w:widowControl/>
        <w:suppressLineNumbers w:val="0"/>
      </w:pPr>
      <w:r>
        <w:t>（二）2022年重点工作完成情况。</w:t>
      </w:r>
    </w:p>
    <w:p>
      <w:pPr>
        <w:pStyle w:val="6"/>
        <w:keepNext w:val="0"/>
        <w:keepLines w:val="0"/>
        <w:widowControl/>
        <w:suppressLineNumbers w:val="0"/>
      </w:pPr>
      <w:r>
        <w:rPr>
          <w:rFonts w:hint="eastAsia" w:ascii="宋体" w:hAnsi="宋体" w:eastAsia="宋体" w:cs="宋体"/>
          <w:sz w:val="24"/>
          <w:szCs w:val="24"/>
        </w:rPr>
        <w:t>一、概述单位工作开展情况及主要事业成效。</w:t>
      </w:r>
    </w:p>
    <w:p>
      <w:pPr>
        <w:spacing w:line="360" w:lineRule="auto"/>
        <w:ind w:firstLine="354" w:firstLineChars="147"/>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1、严把许可关。</w:t>
      </w:r>
      <w:r>
        <w:rPr>
          <w:rFonts w:hint="eastAsia" w:asciiTheme="minorEastAsia" w:hAnsiTheme="minorEastAsia" w:cstheme="minorEastAsia"/>
          <w:sz w:val="24"/>
          <w:szCs w:val="24"/>
          <w:lang w:eastAsia="zh-CN"/>
        </w:rPr>
        <w:t>截至目前</w:t>
      </w:r>
      <w:r>
        <w:rPr>
          <w:rFonts w:hint="eastAsia" w:asciiTheme="minorEastAsia" w:hAnsiTheme="minorEastAsia" w:eastAsiaTheme="minorEastAsia" w:cstheme="minorEastAsia"/>
          <w:sz w:val="24"/>
          <w:szCs w:val="24"/>
        </w:rPr>
        <w:t>，我大队共办理公共场所卫生许可证115件，其中，变更6件，新办51件，延续52件，年审6件。现场审查公共场所147户次，合格一件，办理一件，对不符合许可的提出整改意见进行整改，直到符合许可为止。共出动车辆15台次，执法人员30人次。</w:t>
      </w:r>
    </w:p>
    <w:p>
      <w:pPr>
        <w:spacing w:line="360" w:lineRule="auto"/>
        <w:ind w:firstLine="482" w:firstLineChars="200"/>
        <w:jc w:val="left"/>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2、加强医疗机构监督管理工作。</w:t>
      </w:r>
      <w:r>
        <w:rPr>
          <w:rFonts w:hint="eastAsia" w:asciiTheme="minorEastAsia" w:hAnsiTheme="minorEastAsia" w:eastAsiaTheme="minorEastAsia" w:cstheme="minorEastAsia"/>
          <w:sz w:val="24"/>
          <w:szCs w:val="24"/>
        </w:rPr>
        <w:t>本着规范、发展的原则，全面加强对各级各类医疗机构的日常监督管理，确保监督到位。</w:t>
      </w:r>
      <w:r>
        <w:rPr>
          <w:rFonts w:hint="eastAsia" w:asciiTheme="minorEastAsia" w:hAnsiTheme="minorEastAsia" w:eastAsiaTheme="minorEastAsia" w:cstheme="minorEastAsia"/>
          <w:b/>
          <w:sz w:val="24"/>
          <w:szCs w:val="24"/>
        </w:rPr>
        <w:t>一是医疗器械消毒效果采样抽检工作。</w:t>
      </w:r>
      <w:r>
        <w:rPr>
          <w:rFonts w:hint="eastAsia" w:asciiTheme="minorEastAsia" w:hAnsiTheme="minorEastAsia" w:eastAsiaTheme="minorEastAsia" w:cstheme="minorEastAsia"/>
          <w:sz w:val="24"/>
          <w:szCs w:val="24"/>
        </w:rPr>
        <w:t>与疾控中心一道对全县医务人员手表面、室内空气、物表、医用器械等进行了采样抽检。共抽检医疗机构38家，其中县级医疗机构4家次，乡镇卫生院22家次，村医、诊所12家次，检测结果全部合格，并下发了抽样检测结果告知书。</w:t>
      </w:r>
      <w:r>
        <w:rPr>
          <w:rFonts w:hint="eastAsia" w:asciiTheme="minorEastAsia" w:hAnsiTheme="minorEastAsia" w:eastAsiaTheme="minorEastAsia" w:cstheme="minorEastAsia"/>
          <w:b/>
          <w:sz w:val="24"/>
          <w:szCs w:val="24"/>
        </w:rPr>
        <w:t>二是坚决打击超范围执业、使用非卫生技术人员从事诊疗活动等违法行为。</w:t>
      </w:r>
      <w:r>
        <w:rPr>
          <w:rFonts w:hint="eastAsia" w:asciiTheme="minorEastAsia" w:hAnsiTheme="minorEastAsia" w:eastAsiaTheme="minorEastAsia" w:cstheme="minorEastAsia"/>
          <w:sz w:val="24"/>
          <w:szCs w:val="24"/>
        </w:rPr>
        <w:t>重点加强对个体诊所、</w:t>
      </w:r>
      <w:r>
        <w:rPr>
          <w:rFonts w:hint="eastAsia" w:asciiTheme="minorEastAsia" w:hAnsiTheme="minorEastAsia" w:cstheme="minorEastAsia"/>
          <w:sz w:val="24"/>
          <w:szCs w:val="24"/>
          <w:lang w:eastAsia="zh-CN"/>
        </w:rPr>
        <w:t>涉</w:t>
      </w:r>
      <w:r>
        <w:rPr>
          <w:rFonts w:hint="eastAsia" w:asciiTheme="minorEastAsia" w:hAnsiTheme="minorEastAsia" w:eastAsiaTheme="minorEastAsia" w:cstheme="minorEastAsia"/>
          <w:sz w:val="24"/>
          <w:szCs w:val="24"/>
        </w:rPr>
        <w:t>旅药店等的监管力度，打击“游医”1起，确保了医疗服务市场秩序的安全。</w:t>
      </w:r>
      <w:r>
        <w:rPr>
          <w:rFonts w:hint="eastAsia" w:asciiTheme="minorEastAsia" w:hAnsiTheme="minorEastAsia" w:eastAsiaTheme="minorEastAsia" w:cstheme="minorEastAsia"/>
          <w:b/>
          <w:sz w:val="24"/>
          <w:szCs w:val="24"/>
        </w:rPr>
        <w:t>三是加强医疗机构从业人员的法律法规意识培训，规范其执业行为。</w:t>
      </w:r>
      <w:r>
        <w:rPr>
          <w:rFonts w:hint="eastAsia" w:asciiTheme="minorEastAsia" w:hAnsiTheme="minorEastAsia" w:eastAsiaTheme="minorEastAsia" w:cstheme="minorEastAsia"/>
          <w:sz w:val="24"/>
          <w:szCs w:val="24"/>
        </w:rPr>
        <w:t>依托卫计局培训平台，主要针对依法执业工作、乡村医疗监督和医疗安全、医疗废物管理工作对全县医疗机构及全县村医进行了2次全面培训。</w:t>
      </w:r>
      <w:r>
        <w:rPr>
          <w:rFonts w:hint="eastAsia" w:asciiTheme="minorEastAsia" w:hAnsiTheme="minorEastAsia" w:eastAsiaTheme="minorEastAsia" w:cstheme="minorEastAsia"/>
          <w:b/>
          <w:sz w:val="24"/>
          <w:szCs w:val="24"/>
        </w:rPr>
        <w:t>四是加强医疗机构临床用血的监督管理。</w:t>
      </w:r>
      <w:r>
        <w:rPr>
          <w:rFonts w:hint="eastAsia" w:asciiTheme="minorEastAsia" w:hAnsiTheme="minorEastAsia" w:eastAsiaTheme="minorEastAsia" w:cstheme="minorEastAsia"/>
          <w:sz w:val="24"/>
          <w:szCs w:val="24"/>
        </w:rPr>
        <w:t>严厉打击非法用血和非法采供血行为，积极配合协助相关部门进一步净化医疗服务市场。</w:t>
      </w:r>
      <w:r>
        <w:rPr>
          <w:rFonts w:hint="eastAsia" w:asciiTheme="minorEastAsia" w:hAnsiTheme="minorEastAsia" w:eastAsiaTheme="minorEastAsia" w:cstheme="minorEastAsia"/>
          <w:b/>
          <w:sz w:val="24"/>
          <w:szCs w:val="24"/>
        </w:rPr>
        <w:t>五是加大放射卫生监管力度。</w:t>
      </w:r>
      <w:r>
        <w:rPr>
          <w:rFonts w:hint="eastAsia" w:asciiTheme="minorEastAsia" w:hAnsiTheme="minorEastAsia" w:eastAsiaTheme="minorEastAsia" w:cstheme="minorEastAsia"/>
          <w:sz w:val="24"/>
          <w:szCs w:val="24"/>
        </w:rPr>
        <w:t>贯彻落实《放射诊疗管理规定》和《放射工作人员职业健康管理办法》，加强对放射工作人员的法律法规知识培训教育。</w:t>
      </w:r>
      <w:bookmarkStart w:id="0" w:name="OLE_LINK1"/>
    </w:p>
    <w:p>
      <w:pPr>
        <w:spacing w:line="360" w:lineRule="auto"/>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截至目前</w:t>
      </w:r>
      <w:r>
        <w:rPr>
          <w:rFonts w:hint="eastAsia" w:asciiTheme="minorEastAsia" w:hAnsiTheme="minorEastAsia" w:eastAsiaTheme="minorEastAsia" w:cstheme="minorEastAsia"/>
          <w:sz w:val="24"/>
          <w:szCs w:val="24"/>
        </w:rPr>
        <w:t>，我大队前后4次对全县医疗卫生机构、</w:t>
      </w:r>
      <w:r>
        <w:rPr>
          <w:rFonts w:hint="eastAsia" w:asciiTheme="minorEastAsia" w:hAnsiTheme="minorEastAsia" w:cstheme="minorEastAsia"/>
          <w:sz w:val="24"/>
          <w:szCs w:val="24"/>
          <w:lang w:eastAsia="zh-CN"/>
        </w:rPr>
        <w:t>涉</w:t>
      </w:r>
      <w:r>
        <w:rPr>
          <w:rFonts w:hint="eastAsia" w:asciiTheme="minorEastAsia" w:hAnsiTheme="minorEastAsia" w:eastAsiaTheme="minorEastAsia" w:cstheme="minorEastAsia"/>
          <w:sz w:val="24"/>
          <w:szCs w:val="24"/>
        </w:rPr>
        <w:t>旅大药房进行了监督检查，共出动车辆89台次，执法人员200人次，检查医疗机构、</w:t>
      </w:r>
      <w:r>
        <w:rPr>
          <w:rFonts w:hint="eastAsia" w:asciiTheme="minorEastAsia" w:hAnsiTheme="minorEastAsia" w:cstheme="minorEastAsia"/>
          <w:sz w:val="24"/>
          <w:szCs w:val="24"/>
          <w:lang w:eastAsia="zh-CN"/>
        </w:rPr>
        <w:t>涉</w:t>
      </w:r>
      <w:r>
        <w:rPr>
          <w:rFonts w:hint="eastAsia" w:asciiTheme="minorEastAsia" w:hAnsiTheme="minorEastAsia" w:eastAsiaTheme="minorEastAsia" w:cstheme="minorEastAsia"/>
          <w:sz w:val="24"/>
          <w:szCs w:val="24"/>
        </w:rPr>
        <w:t>旅大药房212家次。其中县级医疗机构16家次，乡镇卫生院82家次，村卫生站69家次，村医、诊所30家次，</w:t>
      </w:r>
      <w:r>
        <w:rPr>
          <w:rFonts w:hint="eastAsia" w:asciiTheme="minorEastAsia" w:hAnsiTheme="minorEastAsia" w:cstheme="minorEastAsia"/>
          <w:sz w:val="24"/>
          <w:szCs w:val="24"/>
          <w:lang w:eastAsia="zh-CN"/>
        </w:rPr>
        <w:t>涉</w:t>
      </w:r>
      <w:r>
        <w:rPr>
          <w:rFonts w:hint="eastAsia" w:asciiTheme="minorEastAsia" w:hAnsiTheme="minorEastAsia" w:eastAsiaTheme="minorEastAsia" w:cstheme="minorEastAsia"/>
          <w:sz w:val="24"/>
          <w:szCs w:val="24"/>
        </w:rPr>
        <w:t>旅大药房15家次，检查中，我单位对存在问题的医疗机构立即下发了整改意见书，并对整改情况进行了复查。</w:t>
      </w:r>
      <w:bookmarkEnd w:id="0"/>
    </w:p>
    <w:p>
      <w:pPr>
        <w:pStyle w:val="6"/>
        <w:keepNext w:val="0"/>
        <w:keepLines w:val="0"/>
        <w:widowControl/>
        <w:suppressLineNumbers w:val="0"/>
      </w:pPr>
    </w:p>
    <w:p>
      <w:pPr>
        <w:pStyle w:val="6"/>
        <w:keepNext w:val="0"/>
        <w:keepLines w:val="0"/>
        <w:widowControl/>
        <w:suppressLineNumbers w:val="0"/>
      </w:pPr>
    </w:p>
    <w:p>
      <w:pPr>
        <w:pStyle w:val="3"/>
        <w:keepNext w:val="0"/>
        <w:keepLines w:val="0"/>
        <w:widowControl/>
        <w:suppressLineNumbers w:val="0"/>
      </w:pPr>
      <w:r>
        <w:t>二、机构设置</w:t>
      </w:r>
    </w:p>
    <w:p>
      <w:pPr>
        <w:pStyle w:val="6"/>
        <w:keepNext w:val="0"/>
        <w:keepLines w:val="0"/>
        <w:widowControl/>
        <w:suppressLineNumbers w:val="0"/>
      </w:pPr>
      <w:r>
        <w:t> </w:t>
      </w:r>
      <w:r>
        <w:rPr>
          <w:rFonts w:hint="eastAsia" w:ascii="宋体" w:hAnsi="宋体" w:eastAsia="宋体" w:cs="宋体"/>
          <w:sz w:val="24"/>
          <w:szCs w:val="24"/>
        </w:rPr>
        <w:t>本单位本年度纳入本套决算编制范围的独立编制机构数共1个，比上年增加0个，独立核算机构数共1个，比上年增加0个</w:t>
      </w:r>
      <w:r>
        <w:rPr>
          <w:rStyle w:val="9"/>
          <w:rFonts w:hint="eastAsia" w:ascii="宋体" w:hAnsi="宋体" w:eastAsia="宋体" w:cs="宋体"/>
          <w:sz w:val="24"/>
          <w:szCs w:val="24"/>
        </w:rPr>
        <w:t>。</w:t>
      </w:r>
    </w:p>
    <w:p>
      <w:pPr>
        <w:pStyle w:val="2"/>
        <w:keepNext w:val="0"/>
        <w:keepLines w:val="0"/>
        <w:widowControl/>
        <w:suppressLineNumbers w:val="0"/>
        <w:jc w:val="center"/>
      </w:pPr>
      <w:r>
        <w:t>第二部分 2022年度单位决算情况说明</w:t>
      </w:r>
    </w:p>
    <w:p>
      <w:pPr>
        <w:pStyle w:val="6"/>
        <w:keepNext w:val="0"/>
        <w:keepLines w:val="0"/>
        <w:widowControl/>
        <w:suppressLineNumbers w:val="0"/>
      </w:pPr>
      <w:r>
        <w:t> </w:t>
      </w:r>
    </w:p>
    <w:p>
      <w:pPr>
        <w:pStyle w:val="6"/>
        <w:keepNext w:val="0"/>
        <w:keepLines w:val="0"/>
        <w:widowControl/>
        <w:suppressLineNumbers w:val="0"/>
      </w:pPr>
      <w:r>
        <w:t>一、收入支出决算总体情况说明</w:t>
      </w:r>
    </w:p>
    <w:p>
      <w:pPr>
        <w:pStyle w:val="6"/>
        <w:keepNext w:val="0"/>
        <w:keepLines w:val="0"/>
        <w:widowControl/>
        <w:suppressLineNumbers w:val="0"/>
        <w:jc w:val="left"/>
        <w:rPr>
          <w:rFonts w:hint="eastAsia"/>
          <w:lang w:eastAsia="zh-CN"/>
        </w:rPr>
      </w:pPr>
      <w:r>
        <w:t>2022年度收、支总计81.98万元。</w:t>
      </w:r>
      <w:r>
        <w:rPr>
          <w:rFonts w:hint="eastAsia"/>
          <w:lang w:val="en-US" w:eastAsia="zh-CN"/>
        </w:rPr>
        <w:t>2021年</w:t>
      </w:r>
      <w:r>
        <w:rPr>
          <w:rFonts w:hint="eastAsia"/>
          <w:lang w:eastAsia="zh-CN"/>
        </w:rPr>
        <w:t>收入</w:t>
      </w:r>
      <w:r>
        <w:rPr>
          <w:rFonts w:hint="eastAsia"/>
          <w:lang w:val="en-US" w:eastAsia="zh-CN"/>
        </w:rPr>
        <w:t>102.67万元，与2022年相比减少20.69万元；</w:t>
      </w:r>
      <w:r>
        <w:t>与2021年相比，</w:t>
      </w:r>
      <w:r>
        <w:rPr>
          <w:rFonts w:hint="eastAsia"/>
          <w:lang w:val="en-US" w:eastAsia="zh-CN"/>
        </w:rPr>
        <w:t>支出减少40.58万元，</w:t>
      </w:r>
      <w:r>
        <w:t>增长-33.11%。主要变动原因是</w:t>
      </w:r>
      <w:r>
        <w:rPr>
          <w:rFonts w:hint="eastAsia"/>
          <w:lang w:eastAsia="zh-CN"/>
        </w:rPr>
        <w:t>项目减少；其次</w:t>
      </w:r>
      <w:r>
        <w:rPr>
          <w:rFonts w:hint="eastAsia"/>
          <w:lang w:val="en-US" w:eastAsia="zh-CN"/>
        </w:rPr>
        <w:t>2022年7月</w:t>
      </w:r>
      <w:r>
        <w:rPr>
          <w:rFonts w:hint="eastAsia"/>
          <w:lang w:eastAsia="zh-CN"/>
        </w:rPr>
        <w:t>与综合执法局合并，收入支出同时减少。</w:t>
      </w:r>
    </w:p>
    <w:p>
      <w:pPr>
        <w:pStyle w:val="6"/>
        <w:keepNext w:val="0"/>
        <w:keepLines w:val="0"/>
        <w:widowControl/>
        <w:suppressLineNumbers w:val="0"/>
        <w:jc w:val="left"/>
        <w:rPr>
          <w:rFonts w:hint="eastAsia"/>
          <w:lang w:eastAsia="zh-CN"/>
        </w:rPr>
      </w:pPr>
      <w:r>
        <w:drawing>
          <wp:inline distT="0" distB="0" distL="114300" distR="114300">
            <wp:extent cx="5034915" cy="3399155"/>
            <wp:effectExtent l="4445" t="4445" r="8890" b="635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6"/>
        <w:keepNext w:val="0"/>
        <w:keepLines w:val="0"/>
        <w:widowControl/>
        <w:suppressLineNumbers w:val="0"/>
        <w:jc w:val="center"/>
      </w:pPr>
      <w:r>
        <w:t>（图1：收、支决算总计变动情况图）（柱状图）</w:t>
      </w:r>
    </w:p>
    <w:p>
      <w:pPr>
        <w:pStyle w:val="6"/>
        <w:keepNext w:val="0"/>
        <w:keepLines w:val="0"/>
        <w:widowControl/>
        <w:suppressLineNumbers w:val="0"/>
        <w:jc w:val="left"/>
      </w:pPr>
      <w:r>
        <w:t> </w:t>
      </w:r>
    </w:p>
    <w:p>
      <w:pPr>
        <w:pStyle w:val="6"/>
        <w:keepNext w:val="0"/>
        <w:keepLines w:val="0"/>
        <w:widowControl/>
        <w:suppressLineNumbers w:val="0"/>
      </w:pPr>
      <w:r>
        <w:t>二、收入决算情况说明</w:t>
      </w:r>
    </w:p>
    <w:p>
      <w:pPr>
        <w:pStyle w:val="6"/>
        <w:keepNext w:val="0"/>
        <w:keepLines w:val="0"/>
        <w:widowControl/>
        <w:suppressLineNumbers w:val="0"/>
        <w:jc w:val="left"/>
      </w:pPr>
      <w:r>
        <w:t>2022年本年收入合计81.98万元，其中：一般公共预算财政拨款收入81.98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pPr>
        <w:pStyle w:val="6"/>
        <w:keepNext w:val="0"/>
        <w:keepLines w:val="0"/>
        <w:widowControl/>
        <w:suppressLineNumbers w:val="0"/>
        <w:rPr>
          <w:rStyle w:val="9"/>
        </w:rPr>
      </w:pPr>
      <w:r>
        <w:rPr>
          <w:rStyle w:val="9"/>
        </w:rPr>
        <w:t>（注：数据来源于财决01表，仅罗列本部门涉及的收入。）</w:t>
      </w:r>
    </w:p>
    <w:p>
      <w:pPr>
        <w:pStyle w:val="6"/>
        <w:keepNext w:val="0"/>
        <w:keepLines w:val="0"/>
        <w:widowControl/>
        <w:suppressLineNumbers w:val="0"/>
      </w:pPr>
      <w:r>
        <w:drawing>
          <wp:inline distT="0" distB="0" distL="114300" distR="114300">
            <wp:extent cx="5291455" cy="3335020"/>
            <wp:effectExtent l="5080" t="4445" r="18415" b="1333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6"/>
        <w:keepNext w:val="0"/>
        <w:keepLines w:val="0"/>
        <w:widowControl/>
        <w:suppressLineNumbers w:val="0"/>
        <w:jc w:val="center"/>
      </w:pPr>
      <w:r>
        <w:t>（图2：收入决算结构图）（饼状图）</w:t>
      </w:r>
    </w:p>
    <w:p>
      <w:pPr>
        <w:pStyle w:val="6"/>
        <w:keepNext w:val="0"/>
        <w:keepLines w:val="0"/>
        <w:widowControl/>
        <w:suppressLineNumbers w:val="0"/>
      </w:pPr>
      <w:r>
        <w:t> </w:t>
      </w:r>
    </w:p>
    <w:p>
      <w:pPr>
        <w:pStyle w:val="6"/>
        <w:keepNext w:val="0"/>
        <w:keepLines w:val="0"/>
        <w:widowControl/>
        <w:suppressLineNumbers w:val="0"/>
      </w:pPr>
      <w:r>
        <w:t>三、支出决算情况说明</w:t>
      </w:r>
    </w:p>
    <w:p>
      <w:pPr>
        <w:pStyle w:val="6"/>
        <w:keepNext w:val="0"/>
        <w:keepLines w:val="0"/>
        <w:widowControl/>
        <w:suppressLineNumbers w:val="0"/>
        <w:jc w:val="left"/>
      </w:pPr>
      <w:r>
        <w:t>2022年本年支出合计81.98万元，其中：基本支出81.98万元，占100.00%；项目支出0.00万元，占0.00%；上缴上级支出0.00万元，占0.00%；经营支出0.00万元，占经营支出0.00万元，占 0.00%；对附属单位补助支出0.00万元，占0.00%。</w:t>
      </w:r>
    </w:p>
    <w:p>
      <w:pPr>
        <w:pStyle w:val="6"/>
        <w:keepNext w:val="0"/>
        <w:keepLines w:val="0"/>
        <w:widowControl/>
        <w:suppressLineNumbers w:val="0"/>
      </w:pPr>
      <w:r>
        <w:rPr>
          <w:rStyle w:val="9"/>
        </w:rPr>
        <w:t>（注：数据来源于财决04表，仅罗列本部门涉及的支出。）</w:t>
      </w:r>
    </w:p>
    <w:p>
      <w:pPr>
        <w:pStyle w:val="6"/>
        <w:keepNext w:val="0"/>
        <w:keepLines w:val="0"/>
        <w:widowControl/>
        <w:suppressLineNumbers w:val="0"/>
      </w:pPr>
      <w:r>
        <w:t> </w:t>
      </w:r>
    </w:p>
    <w:p>
      <w:pPr>
        <w:pStyle w:val="6"/>
        <w:keepNext w:val="0"/>
        <w:keepLines w:val="0"/>
        <w:widowControl/>
        <w:suppressLineNumbers w:val="0"/>
      </w:pPr>
      <w:r>
        <w:drawing>
          <wp:inline distT="0" distB="0" distL="114300" distR="114300">
            <wp:extent cx="5009515" cy="2806700"/>
            <wp:effectExtent l="4445" t="4445" r="15240" b="82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6"/>
        <w:keepNext w:val="0"/>
        <w:keepLines w:val="0"/>
        <w:widowControl/>
        <w:suppressLineNumbers w:val="0"/>
        <w:jc w:val="center"/>
      </w:pPr>
      <w:r>
        <w:t>（图3：支出决算结构图）（饼状图）</w:t>
      </w:r>
    </w:p>
    <w:p>
      <w:pPr>
        <w:pStyle w:val="6"/>
        <w:keepNext w:val="0"/>
        <w:keepLines w:val="0"/>
        <w:widowControl/>
        <w:suppressLineNumbers w:val="0"/>
      </w:pPr>
      <w:r>
        <w:t> </w:t>
      </w:r>
    </w:p>
    <w:p>
      <w:pPr>
        <w:pStyle w:val="6"/>
        <w:keepNext w:val="0"/>
        <w:keepLines w:val="0"/>
        <w:widowControl/>
        <w:suppressLineNumbers w:val="0"/>
      </w:pPr>
      <w:r>
        <w:t>四、财政拨款收入支出决算总体情况说明</w:t>
      </w:r>
    </w:p>
    <w:p>
      <w:pPr>
        <w:pStyle w:val="6"/>
        <w:keepNext w:val="0"/>
        <w:keepLines w:val="0"/>
        <w:widowControl/>
        <w:suppressLineNumbers w:val="0"/>
        <w:jc w:val="left"/>
      </w:pPr>
      <w:r>
        <w:t>2022年度收、支总计81.98万元。</w:t>
      </w:r>
      <w:r>
        <w:rPr>
          <w:rFonts w:hint="eastAsia"/>
          <w:lang w:val="en-US" w:eastAsia="zh-CN"/>
        </w:rPr>
        <w:t>2021年</w:t>
      </w:r>
      <w:r>
        <w:rPr>
          <w:rFonts w:hint="eastAsia"/>
          <w:lang w:eastAsia="zh-CN"/>
        </w:rPr>
        <w:t>收入</w:t>
      </w:r>
      <w:r>
        <w:rPr>
          <w:rFonts w:hint="eastAsia"/>
          <w:lang w:val="en-US" w:eastAsia="zh-CN"/>
        </w:rPr>
        <w:t>102.67万元，与2022年相比减少20.69万元；</w:t>
      </w:r>
      <w:r>
        <w:t>与2021年相比，</w:t>
      </w:r>
      <w:r>
        <w:rPr>
          <w:rFonts w:hint="eastAsia"/>
          <w:lang w:val="en-US" w:eastAsia="zh-CN"/>
        </w:rPr>
        <w:t>支出减少40.58万元，</w:t>
      </w:r>
      <w:r>
        <w:t>增长-33.11%。主要变动原因是</w:t>
      </w:r>
      <w:r>
        <w:rPr>
          <w:rFonts w:hint="eastAsia"/>
          <w:lang w:eastAsia="zh-CN"/>
        </w:rPr>
        <w:t>项目减少；其次</w:t>
      </w:r>
      <w:r>
        <w:rPr>
          <w:rFonts w:hint="eastAsia"/>
          <w:lang w:val="en-US" w:eastAsia="zh-CN"/>
        </w:rPr>
        <w:t>2022年7月</w:t>
      </w:r>
      <w:r>
        <w:rPr>
          <w:rFonts w:hint="eastAsia"/>
          <w:lang w:eastAsia="zh-CN"/>
        </w:rPr>
        <w:t>与综合执法局合并，收入支出同时减少。</w:t>
      </w:r>
    </w:p>
    <w:p>
      <w:pPr>
        <w:pStyle w:val="6"/>
        <w:keepNext w:val="0"/>
        <w:keepLines w:val="0"/>
        <w:widowControl/>
        <w:suppressLineNumbers w:val="0"/>
        <w:rPr>
          <w:rStyle w:val="9"/>
        </w:rPr>
      </w:pPr>
      <w:r>
        <w:rPr>
          <w:rStyle w:val="9"/>
        </w:rPr>
        <w:t>（注：数据来源于财决01-1表）</w:t>
      </w:r>
    </w:p>
    <w:p>
      <w:pPr>
        <w:pStyle w:val="6"/>
        <w:keepNext w:val="0"/>
        <w:keepLines w:val="0"/>
        <w:widowControl/>
        <w:suppressLineNumbers w:val="0"/>
        <w:rPr>
          <w:rStyle w:val="9"/>
        </w:rPr>
      </w:pPr>
      <w:r>
        <w:drawing>
          <wp:inline distT="0" distB="0" distL="114300" distR="114300">
            <wp:extent cx="4803140" cy="3218815"/>
            <wp:effectExtent l="4445" t="5080" r="1206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6"/>
        <w:keepNext w:val="0"/>
        <w:keepLines w:val="0"/>
        <w:widowControl/>
        <w:suppressLineNumbers w:val="0"/>
        <w:rPr>
          <w:rStyle w:val="9"/>
        </w:rPr>
      </w:pPr>
    </w:p>
    <w:p>
      <w:pPr>
        <w:pStyle w:val="6"/>
        <w:keepNext w:val="0"/>
        <w:keepLines w:val="0"/>
        <w:widowControl/>
        <w:suppressLineNumbers w:val="0"/>
      </w:pPr>
      <w:r>
        <w:t> </w:t>
      </w:r>
    </w:p>
    <w:p>
      <w:pPr>
        <w:pStyle w:val="6"/>
        <w:keepNext w:val="0"/>
        <w:keepLines w:val="0"/>
        <w:widowControl/>
        <w:suppressLineNumbers w:val="0"/>
      </w:pPr>
    </w:p>
    <w:p>
      <w:pPr>
        <w:pStyle w:val="6"/>
        <w:keepNext w:val="0"/>
        <w:keepLines w:val="0"/>
        <w:widowControl/>
        <w:suppressLineNumbers w:val="0"/>
      </w:pPr>
      <w:r>
        <w:t>（图4：财政拨款收、支决算总计变动情况）（柱状图）</w:t>
      </w:r>
    </w:p>
    <w:p>
      <w:pPr>
        <w:pStyle w:val="6"/>
        <w:keepNext w:val="0"/>
        <w:keepLines w:val="0"/>
        <w:widowControl/>
        <w:suppressLineNumbers w:val="0"/>
      </w:pPr>
      <w:r>
        <w:t> </w:t>
      </w:r>
    </w:p>
    <w:p>
      <w:pPr>
        <w:pStyle w:val="6"/>
        <w:keepNext w:val="0"/>
        <w:keepLines w:val="0"/>
        <w:widowControl/>
        <w:suppressLineNumbers w:val="0"/>
      </w:pPr>
      <w:r>
        <w:t>五、</w:t>
      </w:r>
      <w:r>
        <w:rPr>
          <w:rStyle w:val="9"/>
        </w:rPr>
        <w:t>一</w:t>
      </w:r>
      <w:r>
        <w:t>般公共预算财政拨款支出决算情况说明</w:t>
      </w:r>
    </w:p>
    <w:p>
      <w:pPr>
        <w:pStyle w:val="6"/>
        <w:keepNext w:val="0"/>
        <w:keepLines w:val="0"/>
        <w:widowControl/>
        <w:suppressLineNumbers w:val="0"/>
      </w:pPr>
      <w:r>
        <w:rPr>
          <w:rStyle w:val="9"/>
        </w:rPr>
        <w:t>（一）一般公共预算财政拨款支出决算总体情况</w:t>
      </w:r>
    </w:p>
    <w:p>
      <w:pPr>
        <w:pStyle w:val="6"/>
        <w:keepNext w:val="0"/>
        <w:keepLines w:val="0"/>
        <w:widowControl/>
        <w:suppressLineNumbers w:val="0"/>
        <w:jc w:val="left"/>
      </w:pPr>
      <w:r>
        <w:t>2022年一般公共预算财政拨款支出81.98万元，占本年支出合计的100.00%。与2021年相比，一般公共预算财政拨款支出增加-40.58万元，增长-33.11%。</w:t>
      </w:r>
      <w:r>
        <w:rPr>
          <w:rFonts w:hint="eastAsia"/>
          <w:lang w:eastAsia="zh-CN"/>
        </w:rPr>
        <w:t>主要变动原因是项目减少；其次</w:t>
      </w:r>
      <w:r>
        <w:rPr>
          <w:rFonts w:hint="eastAsia"/>
          <w:lang w:val="en-US" w:eastAsia="zh-CN"/>
        </w:rPr>
        <w:t>2022年7月</w:t>
      </w:r>
      <w:r>
        <w:rPr>
          <w:rFonts w:hint="eastAsia"/>
          <w:lang w:eastAsia="zh-CN"/>
        </w:rPr>
        <w:t>与综合执法局合并，收入支出同时减少。</w:t>
      </w:r>
    </w:p>
    <w:p>
      <w:pPr>
        <w:pStyle w:val="6"/>
        <w:keepNext w:val="0"/>
        <w:keepLines w:val="0"/>
        <w:widowControl/>
        <w:suppressLineNumbers w:val="0"/>
        <w:jc w:val="left"/>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keepNext w:val="0"/>
        <w:keepLines w:val="0"/>
        <w:widowControl/>
        <w:suppressLineNumbers w:val="0"/>
      </w:pPr>
      <w:r>
        <w:t>（图5：一般公共预算财政拨款支出决算变动情况）（柱状图）</w:t>
      </w:r>
    </w:p>
    <w:p>
      <w:pPr>
        <w:pStyle w:val="6"/>
        <w:keepNext w:val="0"/>
        <w:keepLines w:val="0"/>
        <w:widowControl/>
        <w:suppressLineNumbers w:val="0"/>
      </w:pPr>
      <w:r>
        <w:rPr>
          <w:rStyle w:val="9"/>
        </w:rPr>
        <w:t>（二）一般公共预算财政拨款支出决算结构情况</w:t>
      </w:r>
    </w:p>
    <w:p>
      <w:pPr>
        <w:pStyle w:val="6"/>
        <w:keepNext w:val="0"/>
        <w:keepLines w:val="0"/>
        <w:widowControl/>
        <w:suppressLineNumbers w:val="0"/>
        <w:jc w:val="left"/>
      </w:pPr>
      <w:r>
        <w:t>2022年一般公共预算财政拨款支出81.98万元，主要用于以下方面</w:t>
      </w:r>
      <w:r>
        <w:rPr>
          <w:rFonts w:hint="eastAsia"/>
          <w:lang w:eastAsia="zh-CN"/>
        </w:rPr>
        <w:t>：</w:t>
      </w:r>
      <w:r>
        <w:rPr>
          <w:rStyle w:val="9"/>
        </w:rPr>
        <w:t>一般公共服务（类）</w:t>
      </w:r>
      <w:r>
        <w:t>支出0.00万元，占0.00%；</w:t>
      </w:r>
      <w:r>
        <w:rPr>
          <w:rStyle w:val="9"/>
        </w:rPr>
        <w:t>教育支出（类）</w:t>
      </w:r>
      <w:r>
        <w:t>0.00万元，占0.00%；</w:t>
      </w:r>
      <w:r>
        <w:rPr>
          <w:rStyle w:val="9"/>
        </w:rPr>
        <w:t>科学技术（类）</w:t>
      </w:r>
      <w:r>
        <w:t>支出0.00万元，占0.00%；</w:t>
      </w:r>
      <w:r>
        <w:rPr>
          <w:rStyle w:val="9"/>
        </w:rPr>
        <w:t>文化旅游体育与传媒（类）支出0.00万元，占0.00%；社会保障和就业（类）</w:t>
      </w:r>
      <w:r>
        <w:t>支出15.03万元，占18.33%；</w:t>
      </w:r>
      <w:r>
        <w:rPr>
          <w:rStyle w:val="9"/>
        </w:rPr>
        <w:t>卫生健康支出</w:t>
      </w:r>
      <w:r>
        <w:t>61.38万元，占74.87%；住房保障支出5.56万元，占6.78%。</w:t>
      </w:r>
    </w:p>
    <w:p>
      <w:pPr>
        <w:pStyle w:val="6"/>
        <w:keepNext w:val="0"/>
        <w:keepLines w:val="0"/>
        <w:widowControl/>
        <w:suppressLineNumbers w:val="0"/>
      </w:pPr>
      <w:r>
        <w:rPr>
          <w:rStyle w:val="9"/>
        </w:rPr>
        <w:t>（注：数据来源于财决01-1表，仅罗列本部门涉及的全部功能分类科目，至类级。）</w:t>
      </w:r>
    </w:p>
    <w:p>
      <w:pPr>
        <w:pStyle w:val="6"/>
        <w:keepNext w:val="0"/>
        <w:keepLines w:val="0"/>
        <w:widowControl/>
        <w:suppressLineNumbers w:val="0"/>
      </w:pPr>
      <w:r>
        <w:t> </w:t>
      </w:r>
      <w:r>
        <w:drawing>
          <wp:inline distT="0" distB="0" distL="114300" distR="114300">
            <wp:extent cx="5189220" cy="3218815"/>
            <wp:effectExtent l="4445" t="4445" r="6985" b="1524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keepNext w:val="0"/>
        <w:keepLines w:val="0"/>
        <w:widowControl/>
        <w:suppressLineNumbers w:val="0"/>
      </w:pPr>
      <w:r>
        <w:t>（图6：一般公共预算财政拨款支出决算结构）（饼状图）</w:t>
      </w:r>
    </w:p>
    <w:p>
      <w:pPr>
        <w:pStyle w:val="6"/>
        <w:keepNext w:val="0"/>
        <w:keepLines w:val="0"/>
        <w:widowControl/>
        <w:suppressLineNumbers w:val="0"/>
      </w:pPr>
      <w:r>
        <w:rPr>
          <w:rStyle w:val="9"/>
        </w:rPr>
        <w:t>（三）一般公共预算财政拨款支出决算具体情况</w:t>
      </w:r>
    </w:p>
    <w:p>
      <w:pPr>
        <w:pStyle w:val="6"/>
        <w:keepNext w:val="0"/>
        <w:keepLines w:val="0"/>
        <w:widowControl/>
        <w:suppressLineNumbers w:val="0"/>
      </w:pPr>
      <w:r>
        <w:rPr>
          <w:rStyle w:val="9"/>
        </w:rPr>
        <w:t>2022年一般公共预算支出决算数为81.98</w:t>
      </w:r>
      <w:r>
        <w:t>，</w:t>
      </w:r>
      <w:r>
        <w:rPr>
          <w:rStyle w:val="9"/>
        </w:rPr>
        <w:t>完成预算100.00%。其中：</w:t>
      </w:r>
    </w:p>
    <w:p>
      <w:pPr>
        <w:pStyle w:val="6"/>
        <w:keepNext w:val="0"/>
        <w:keepLines w:val="0"/>
        <w:widowControl/>
        <w:suppressLineNumbers w:val="0"/>
        <w:jc w:val="left"/>
      </w:pPr>
      <w:r>
        <w:rPr>
          <w:rStyle w:val="9"/>
          <w:rFonts w:hint="eastAsia"/>
          <w:lang w:val="en-US" w:eastAsia="zh-CN"/>
        </w:rPr>
        <w:t>1</w:t>
      </w:r>
      <w:r>
        <w:rPr>
          <w:rStyle w:val="9"/>
        </w:rPr>
        <w:t>.社会保障和就业（类）***（款）***（项）</w:t>
      </w:r>
      <w:r>
        <w:rPr>
          <w:rStyle w:val="9"/>
          <w:rFonts w:hint="eastAsia"/>
          <w:lang w:eastAsia="zh-CN"/>
        </w:rPr>
        <w:t>：</w:t>
      </w:r>
      <w:r>
        <w:rPr>
          <w:rStyle w:val="9"/>
        </w:rPr>
        <w:t xml:space="preserve"> 支出决算为</w:t>
      </w:r>
      <w:r>
        <w:rPr>
          <w:rStyle w:val="9"/>
          <w:rFonts w:hint="eastAsia"/>
          <w:lang w:val="en-US" w:eastAsia="zh-CN"/>
        </w:rPr>
        <w:t>15.03</w:t>
      </w:r>
      <w:r>
        <w:rPr>
          <w:rStyle w:val="9"/>
        </w:rPr>
        <w:t>万元，完成预算</w:t>
      </w:r>
      <w:r>
        <w:rPr>
          <w:rStyle w:val="9"/>
          <w:rFonts w:hint="eastAsia"/>
          <w:lang w:val="en-US" w:eastAsia="zh-CN"/>
        </w:rPr>
        <w:t>100</w:t>
      </w:r>
      <w:r>
        <w:rPr>
          <w:rStyle w:val="9"/>
        </w:rPr>
        <w:t>%，决算数</w:t>
      </w:r>
      <w:r>
        <w:rPr>
          <w:rStyle w:val="9"/>
          <w:rFonts w:hint="eastAsia"/>
          <w:lang w:eastAsia="zh-CN"/>
        </w:rPr>
        <w:t>小于</w:t>
      </w:r>
      <w:r>
        <w:rPr>
          <w:rStyle w:val="9"/>
        </w:rPr>
        <w:t>预算数的主要原因是</w:t>
      </w:r>
      <w:r>
        <w:rPr>
          <w:rFonts w:hint="eastAsia"/>
          <w:lang w:val="en-US" w:eastAsia="zh-CN"/>
        </w:rPr>
        <w:t>2022年7月</w:t>
      </w:r>
      <w:r>
        <w:rPr>
          <w:rFonts w:hint="eastAsia"/>
          <w:lang w:eastAsia="zh-CN"/>
        </w:rPr>
        <w:t>与综合执法局合并，收入支出同时减少。</w:t>
      </w:r>
    </w:p>
    <w:p>
      <w:pPr>
        <w:pStyle w:val="6"/>
        <w:keepNext w:val="0"/>
        <w:keepLines w:val="0"/>
        <w:widowControl/>
        <w:suppressLineNumbers w:val="0"/>
        <w:jc w:val="left"/>
        <w:rPr>
          <w:rStyle w:val="9"/>
          <w:sz w:val="21"/>
          <w:szCs w:val="22"/>
        </w:rPr>
      </w:pPr>
      <w:r>
        <w:rPr>
          <w:rStyle w:val="9"/>
          <w:rFonts w:hint="eastAsia"/>
          <w:lang w:val="en-US" w:eastAsia="zh-CN"/>
        </w:rPr>
        <w:t>2.</w:t>
      </w:r>
      <w:r>
        <w:rPr>
          <w:rStyle w:val="9"/>
        </w:rPr>
        <w:t>卫生健康（类）***（款）***（项）</w:t>
      </w:r>
      <w:r>
        <w:rPr>
          <w:rStyle w:val="9"/>
          <w:rFonts w:hint="eastAsia"/>
          <w:lang w:eastAsia="zh-CN"/>
        </w:rPr>
        <w:t>：</w:t>
      </w:r>
      <w:r>
        <w:rPr>
          <w:rStyle w:val="9"/>
        </w:rPr>
        <w:t>支出决算为</w:t>
      </w:r>
      <w:r>
        <w:rPr>
          <w:rStyle w:val="9"/>
          <w:rFonts w:hint="eastAsia"/>
          <w:lang w:val="en-US" w:eastAsia="zh-CN"/>
        </w:rPr>
        <w:t>61.38</w:t>
      </w:r>
      <w:r>
        <w:rPr>
          <w:rStyle w:val="9"/>
        </w:rPr>
        <w:t>万元，完成预算</w:t>
      </w:r>
      <w:r>
        <w:rPr>
          <w:rStyle w:val="9"/>
          <w:rFonts w:hint="eastAsia"/>
          <w:lang w:val="en-US" w:eastAsia="zh-CN"/>
        </w:rPr>
        <w:t>100</w:t>
      </w:r>
      <w:r>
        <w:rPr>
          <w:rStyle w:val="9"/>
        </w:rPr>
        <w:t>%，决算数小于预算数的主要原因</w:t>
      </w:r>
      <w:r>
        <w:rPr>
          <w:rFonts w:hint="eastAsia"/>
          <w:lang w:val="en-US" w:eastAsia="zh-CN"/>
        </w:rPr>
        <w:t>2022年7月</w:t>
      </w:r>
      <w:r>
        <w:rPr>
          <w:rFonts w:hint="eastAsia"/>
          <w:lang w:eastAsia="zh-CN"/>
        </w:rPr>
        <w:t>与综合执法局合并，收入支出同时减</w:t>
      </w:r>
      <w:r>
        <w:rPr>
          <w:rStyle w:val="9"/>
          <w:rFonts w:hint="eastAsia"/>
          <w:sz w:val="21"/>
          <w:szCs w:val="22"/>
          <w:lang w:eastAsia="zh-CN"/>
        </w:rPr>
        <w:t>少。</w:t>
      </w:r>
    </w:p>
    <w:p>
      <w:pPr>
        <w:pStyle w:val="6"/>
        <w:keepNext w:val="0"/>
        <w:keepLines w:val="0"/>
        <w:widowControl/>
        <w:suppressLineNumbers w:val="0"/>
        <w:jc w:val="left"/>
        <w:rPr>
          <w:rFonts w:hint="eastAsia" w:eastAsiaTheme="minorEastAsia"/>
          <w:lang w:eastAsia="zh-CN"/>
        </w:rPr>
      </w:pPr>
      <w:r>
        <w:rPr>
          <w:rStyle w:val="9"/>
          <w:rFonts w:hint="eastAsia"/>
          <w:sz w:val="24"/>
          <w:szCs w:val="28"/>
          <w:lang w:val="en-US" w:eastAsia="zh-CN"/>
        </w:rPr>
        <w:t>3.</w:t>
      </w:r>
      <w:r>
        <w:rPr>
          <w:rStyle w:val="9"/>
          <w:sz w:val="24"/>
          <w:szCs w:val="28"/>
        </w:rPr>
        <w:t>住房保障支出（类）***（款）***（项）</w:t>
      </w:r>
      <w:r>
        <w:rPr>
          <w:rStyle w:val="9"/>
          <w:rFonts w:hint="eastAsia"/>
          <w:sz w:val="24"/>
          <w:szCs w:val="28"/>
          <w:lang w:eastAsia="zh-CN"/>
        </w:rPr>
        <w:t>：</w:t>
      </w:r>
      <w:r>
        <w:rPr>
          <w:rStyle w:val="9"/>
          <w:sz w:val="21"/>
          <w:szCs w:val="22"/>
        </w:rPr>
        <w:t>支</w:t>
      </w:r>
      <w:r>
        <w:rPr>
          <w:rStyle w:val="9"/>
        </w:rPr>
        <w:t>出决算为</w:t>
      </w:r>
      <w:r>
        <w:t>5.56万元</w:t>
      </w:r>
      <w:r>
        <w:rPr>
          <w:rFonts w:hint="eastAsia"/>
          <w:lang w:eastAsia="zh-CN"/>
        </w:rPr>
        <w:t>，</w:t>
      </w:r>
      <w:r>
        <w:rPr>
          <w:rStyle w:val="9"/>
        </w:rPr>
        <w:t>完成预算</w:t>
      </w:r>
      <w:r>
        <w:rPr>
          <w:rStyle w:val="9"/>
          <w:rFonts w:hint="eastAsia"/>
          <w:lang w:val="en-US" w:eastAsia="zh-CN"/>
        </w:rPr>
        <w:t>100</w:t>
      </w:r>
      <w:r>
        <w:rPr>
          <w:rStyle w:val="9"/>
        </w:rPr>
        <w:t>%，决算数</w:t>
      </w:r>
      <w:r>
        <w:rPr>
          <w:rStyle w:val="9"/>
          <w:rFonts w:hint="eastAsia"/>
          <w:lang w:eastAsia="zh-CN"/>
        </w:rPr>
        <w:t>小于</w:t>
      </w:r>
      <w:r>
        <w:rPr>
          <w:rStyle w:val="9"/>
        </w:rPr>
        <w:t>预算数的主要原因是</w:t>
      </w:r>
      <w:r>
        <w:rPr>
          <w:rFonts w:hint="eastAsia"/>
          <w:lang w:val="en-US" w:eastAsia="zh-CN"/>
        </w:rPr>
        <w:t>2022年7月</w:t>
      </w:r>
      <w:r>
        <w:rPr>
          <w:rFonts w:hint="eastAsia"/>
          <w:lang w:eastAsia="zh-CN"/>
        </w:rPr>
        <w:t>与综合执法局合并，收入支出同时减少。</w:t>
      </w:r>
    </w:p>
    <w:p>
      <w:pPr>
        <w:pStyle w:val="6"/>
        <w:keepNext w:val="0"/>
        <w:keepLines w:val="0"/>
        <w:widowControl/>
        <w:suppressLineNumbers w:val="0"/>
      </w:pPr>
      <w:r>
        <w:t>六</w:t>
      </w:r>
      <w:r>
        <w:rPr>
          <w:rStyle w:val="9"/>
        </w:rPr>
        <w:t>、一</w:t>
      </w:r>
      <w:r>
        <w:t>般公共预算财政拨款基本支出决算情况说明   </w:t>
      </w:r>
    </w:p>
    <w:p>
      <w:pPr>
        <w:pStyle w:val="6"/>
        <w:keepNext w:val="0"/>
        <w:keepLines w:val="0"/>
        <w:widowControl/>
        <w:suppressLineNumbers w:val="0"/>
      </w:pPr>
      <w:r>
        <w:t>2022年一般公共预算财政拨款基本支出81.98万元，其中：</w:t>
      </w:r>
    </w:p>
    <w:p>
      <w:pPr>
        <w:pStyle w:val="6"/>
        <w:keepNext w:val="0"/>
        <w:keepLines w:val="0"/>
        <w:widowControl/>
        <w:suppressLineNumbers w:val="0"/>
      </w:pPr>
      <w:r>
        <w:t>人员经费77.38万元，主要包括：基本工资</w:t>
      </w:r>
      <w:r>
        <w:rPr>
          <w:rFonts w:hint="eastAsia"/>
          <w:lang w:val="en-US" w:eastAsia="zh-CN"/>
        </w:rPr>
        <w:t>17.04万元</w:t>
      </w:r>
      <w:r>
        <w:t>、津贴补贴</w:t>
      </w:r>
      <w:r>
        <w:rPr>
          <w:rFonts w:hint="eastAsia"/>
          <w:lang w:val="en-US" w:eastAsia="zh-CN"/>
        </w:rPr>
        <w:t>18.04万元</w:t>
      </w:r>
      <w:r>
        <w:t>、奖金</w:t>
      </w:r>
      <w:r>
        <w:rPr>
          <w:rFonts w:hint="eastAsia"/>
          <w:lang w:val="en-US" w:eastAsia="zh-CN"/>
        </w:rPr>
        <w:t>18.23万元</w:t>
      </w:r>
      <w:r>
        <w:t>、机关事业单位基本养老保险缴费</w:t>
      </w:r>
      <w:r>
        <w:rPr>
          <w:rFonts w:hint="eastAsia"/>
          <w:lang w:val="en-US" w:eastAsia="zh-CN"/>
        </w:rPr>
        <w:t>6.47万元</w:t>
      </w:r>
      <w:r>
        <w:t>、职业年金缴费</w:t>
      </w:r>
      <w:r>
        <w:rPr>
          <w:rFonts w:hint="eastAsia"/>
          <w:lang w:val="en-US" w:eastAsia="zh-CN"/>
        </w:rPr>
        <w:t>8.56万元</w:t>
      </w:r>
      <w:r>
        <w:t>、其他社会保障缴费</w:t>
      </w:r>
      <w:r>
        <w:rPr>
          <w:rFonts w:hint="eastAsia"/>
          <w:lang w:val="en-US" w:eastAsia="zh-CN"/>
        </w:rPr>
        <w:t>3.47万元</w:t>
      </w:r>
      <w:r>
        <w:t>、住房公积金</w:t>
      </w:r>
      <w:r>
        <w:rPr>
          <w:rFonts w:hint="eastAsia"/>
          <w:lang w:val="en-US" w:eastAsia="zh-CN"/>
        </w:rPr>
        <w:t>5.56万元</w:t>
      </w:r>
      <w:r>
        <w:t>。</w:t>
      </w:r>
    </w:p>
    <w:p>
      <w:pPr>
        <w:pStyle w:val="6"/>
        <w:keepNext w:val="0"/>
        <w:keepLines w:val="0"/>
        <w:widowControl/>
        <w:suppressLineNumbers w:val="0"/>
      </w:pPr>
      <w:r>
        <w:t>　　公用经费4.60万元，主要包括：办公费</w:t>
      </w:r>
      <w:r>
        <w:rPr>
          <w:rFonts w:hint="eastAsia"/>
          <w:lang w:val="en-US" w:eastAsia="zh-CN"/>
        </w:rPr>
        <w:t>0.53万元</w:t>
      </w:r>
      <w:r>
        <w:t>、印刷费、咨询费、手续费、水费</w:t>
      </w:r>
      <w:r>
        <w:rPr>
          <w:rFonts w:hint="eastAsia"/>
          <w:lang w:val="en-US" w:eastAsia="zh-CN"/>
        </w:rPr>
        <w:t>0.05万元</w:t>
      </w:r>
      <w:r>
        <w:t>、电费</w:t>
      </w:r>
      <w:r>
        <w:rPr>
          <w:rFonts w:hint="eastAsia"/>
          <w:lang w:val="en-US" w:eastAsia="zh-CN"/>
        </w:rPr>
        <w:t>0.4万元</w:t>
      </w:r>
      <w:r>
        <w:t>、邮电费</w:t>
      </w:r>
      <w:r>
        <w:rPr>
          <w:rFonts w:hint="eastAsia"/>
          <w:lang w:val="en-US" w:eastAsia="zh-CN"/>
        </w:rPr>
        <w:t>1万元</w:t>
      </w:r>
      <w:r>
        <w:t>、取暖费、物业管理费、差旅费</w:t>
      </w:r>
      <w:r>
        <w:rPr>
          <w:rFonts w:hint="eastAsia"/>
          <w:lang w:val="en-US" w:eastAsia="zh-CN"/>
        </w:rPr>
        <w:t>0.6万元</w:t>
      </w:r>
      <w:r>
        <w:t>、因公出国（境）费用、维修（护）费、租赁费、会议费、培训费</w:t>
      </w:r>
      <w:r>
        <w:rPr>
          <w:rFonts w:hint="eastAsia"/>
          <w:lang w:val="en-US" w:eastAsia="zh-CN"/>
        </w:rPr>
        <w:t>0.1万元</w:t>
      </w:r>
      <w:r>
        <w:t>、公务接待费、劳务费、委托业务费、工会经费</w:t>
      </w:r>
      <w:r>
        <w:rPr>
          <w:rFonts w:hint="eastAsia"/>
          <w:lang w:val="en-US" w:eastAsia="zh-CN"/>
        </w:rPr>
        <w:t>1.04万元</w:t>
      </w:r>
      <w:r>
        <w:t>、福利费、公务用车运行维护费、其他交通费、税金及附加费用、其他商品和服务支出、办公设备购置、专用设备购置、信息网络及软件购置更新、其他资本性支出等。</w:t>
      </w:r>
    </w:p>
    <w:p>
      <w:pPr>
        <w:pStyle w:val="6"/>
        <w:keepNext w:val="0"/>
        <w:keepLines w:val="0"/>
        <w:widowControl/>
        <w:suppressLineNumbers w:val="0"/>
      </w:pPr>
      <w:r>
        <w:rPr>
          <w:rStyle w:val="9"/>
        </w:rPr>
        <w:t>（注：数据来源于财决07表和财决08-1表，仅罗列本部门实际支出涉及的经济分类科目。）</w:t>
      </w:r>
    </w:p>
    <w:p>
      <w:pPr>
        <w:pStyle w:val="6"/>
        <w:keepNext w:val="0"/>
        <w:keepLines w:val="0"/>
        <w:widowControl/>
        <w:suppressLineNumbers w:val="0"/>
      </w:pPr>
      <w:r>
        <w:t>七、“三公”经费财政拨款支出决算情况说明</w:t>
      </w:r>
      <w:bookmarkStart w:id="1" w:name="_GoBack"/>
      <w:bookmarkEnd w:id="1"/>
    </w:p>
    <w:p>
      <w:pPr>
        <w:pStyle w:val="6"/>
        <w:keepNext w:val="0"/>
        <w:keepLines w:val="0"/>
        <w:widowControl/>
        <w:suppressLineNumbers w:val="0"/>
      </w:pPr>
      <w:r>
        <w:rPr>
          <w:rStyle w:val="9"/>
        </w:rPr>
        <w:t>（一）“三公”经费财政拨款支出决算总体情况说明</w:t>
      </w:r>
    </w:p>
    <w:p>
      <w:pPr>
        <w:pStyle w:val="6"/>
        <w:keepNext w:val="0"/>
        <w:keepLines w:val="0"/>
        <w:widowControl/>
        <w:suppressLineNumbers w:val="0"/>
        <w:jc w:val="left"/>
      </w:pPr>
      <w:r>
        <w:t>2022年“三公”经费财政拨款支出决算为0.88万元，完成预算100.00%，决算数小于预算数的主要原因是</w:t>
      </w:r>
      <w:r>
        <w:rPr>
          <w:rFonts w:hint="eastAsia"/>
          <w:lang w:val="en-US" w:eastAsia="zh-CN"/>
        </w:rPr>
        <w:t>2022年7月</w:t>
      </w:r>
      <w:r>
        <w:rPr>
          <w:rFonts w:hint="eastAsia"/>
          <w:lang w:eastAsia="zh-CN"/>
        </w:rPr>
        <w:t>与综合执法局合并，收入支出同时减少。</w:t>
      </w:r>
    </w:p>
    <w:p>
      <w:pPr>
        <w:pStyle w:val="6"/>
        <w:keepNext w:val="0"/>
        <w:keepLines w:val="0"/>
        <w:widowControl/>
        <w:suppressLineNumbers w:val="0"/>
      </w:pPr>
      <w:r>
        <w:rPr>
          <w:rStyle w:val="9"/>
        </w:rPr>
        <w:t>（注：上述“预算”口径为全年预算数，包括一般公共预算和政府性基金预算财政拨款支出决算情况。）</w:t>
      </w:r>
    </w:p>
    <w:p>
      <w:pPr>
        <w:pStyle w:val="6"/>
        <w:keepNext w:val="0"/>
        <w:keepLines w:val="0"/>
        <w:widowControl/>
        <w:suppressLineNumbers w:val="0"/>
      </w:pPr>
      <w:r>
        <w:rPr>
          <w:rStyle w:val="9"/>
        </w:rPr>
        <w:t>（二）“三公”经费财政拨款支出决算具体情况说明</w:t>
      </w:r>
    </w:p>
    <w:p>
      <w:pPr>
        <w:pStyle w:val="6"/>
        <w:keepNext w:val="0"/>
        <w:keepLines w:val="0"/>
        <w:widowControl/>
        <w:suppressLineNumbers w:val="0"/>
      </w:pPr>
      <w:r>
        <w:t>2022年“三公”经费财政拨款支出决算中，因公出国（境）费支出决算0.00万元，占0.00%；公务用车购置及运行维护费支出决算0.88万元，占100.00%；公务接待费支出决算0.00万元，占0.00%。具体情况如下：</w:t>
      </w:r>
    </w:p>
    <w:p>
      <w:pPr>
        <w:pStyle w:val="6"/>
        <w:keepNext w:val="0"/>
        <w:keepLines w:val="0"/>
        <w:widowControl/>
        <w:suppressLineNumbers w:val="0"/>
      </w:pPr>
      <w:r>
        <w:drawing>
          <wp:inline distT="0" distB="0" distL="114300" distR="114300">
            <wp:extent cx="4572000" cy="2743200"/>
            <wp:effectExtent l="4445" t="4445" r="1460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6"/>
        <w:keepNext w:val="0"/>
        <w:keepLines w:val="0"/>
        <w:widowControl/>
        <w:suppressLineNumbers w:val="0"/>
      </w:pPr>
      <w:r>
        <w:t>（图7：“三公”经费财政拨款支出结构）（饼状图）</w:t>
      </w:r>
    </w:p>
    <w:p>
      <w:pPr>
        <w:pStyle w:val="6"/>
        <w:keepNext w:val="0"/>
        <w:keepLines w:val="0"/>
        <w:widowControl/>
        <w:suppressLineNumbers w:val="0"/>
      </w:pPr>
      <w:r>
        <w:rPr>
          <w:rStyle w:val="9"/>
        </w:rPr>
        <w:t>1.因公出国（境）经费支出</w:t>
      </w:r>
      <w:r>
        <w:t>0.00万元，</w:t>
      </w:r>
      <w:r>
        <w:rPr>
          <w:rStyle w:val="9"/>
        </w:rPr>
        <w:t>完成预算0.00%。</w:t>
      </w:r>
      <w:r>
        <w:t>全年安排因公出国（境）团组0次，出国（境）0人。因公出国（境）支出决算比2021年增加0.00万元，增长0.00%。主要原因是</w:t>
      </w:r>
      <w:r>
        <w:rPr>
          <w:rFonts w:hint="eastAsia"/>
          <w:lang w:eastAsia="zh-CN"/>
        </w:rPr>
        <w:t>我单位无因公出境人员</w:t>
      </w:r>
      <w:r>
        <w:t>。</w:t>
      </w:r>
    </w:p>
    <w:p>
      <w:pPr>
        <w:pStyle w:val="6"/>
        <w:keepNext w:val="0"/>
        <w:keepLines w:val="0"/>
        <w:widowControl/>
        <w:suppressLineNumbers w:val="0"/>
      </w:pPr>
      <w:r>
        <w:rPr>
          <w:rStyle w:val="9"/>
        </w:rPr>
        <w:t>2.公务用车购置及运行维护费支出</w:t>
      </w:r>
      <w:r>
        <w:t>0.88万元</w:t>
      </w:r>
      <w:r>
        <w:rPr>
          <w:rFonts w:hint="eastAsia"/>
          <w:lang w:eastAsia="zh-CN"/>
        </w:rPr>
        <w:t>，</w:t>
      </w:r>
      <w:r>
        <w:rPr>
          <w:rStyle w:val="9"/>
        </w:rPr>
        <w:t>完成预算100.00%。</w:t>
      </w:r>
      <w:r>
        <w:t>公务用车购置及运行维护费支出决算比2021年增加-0.04万元，增长-4.18%。主要原因是</w:t>
      </w:r>
      <w:r>
        <w:rPr>
          <w:rFonts w:hint="eastAsia"/>
          <w:lang w:val="en-US" w:eastAsia="zh-CN"/>
        </w:rPr>
        <w:t>2022年7月</w:t>
      </w:r>
      <w:r>
        <w:rPr>
          <w:rFonts w:hint="eastAsia"/>
          <w:lang w:eastAsia="zh-CN"/>
        </w:rPr>
        <w:t>与综合执法局合并，收入支出同时减少</w:t>
      </w:r>
      <w:r>
        <w:t>。</w:t>
      </w:r>
    </w:p>
    <w:p>
      <w:pPr>
        <w:pStyle w:val="6"/>
        <w:keepNext w:val="0"/>
        <w:keepLines w:val="0"/>
        <w:widowControl/>
        <w:suppressLineNumbers w:val="0"/>
      </w:pPr>
      <w:r>
        <w:t>其中：</w:t>
      </w:r>
      <w:r>
        <w:rPr>
          <w:rStyle w:val="9"/>
        </w:rPr>
        <w:t>公务用车购置支出</w:t>
      </w:r>
      <w:r>
        <w:t>0.00万元。</w:t>
      </w:r>
    </w:p>
    <w:p>
      <w:pPr>
        <w:pStyle w:val="6"/>
        <w:keepNext w:val="0"/>
        <w:keepLines w:val="0"/>
        <w:widowControl/>
        <w:suppressLineNumbers w:val="0"/>
      </w:pPr>
      <w:r>
        <w:rPr>
          <w:rStyle w:val="9"/>
        </w:rPr>
        <w:t>公务用车运行维护费支出</w:t>
      </w:r>
      <w:r>
        <w:t>0.88万元。主要用于…（具体工作）等所需的公务用车燃料费、维修费、过路过桥费、保险费等支出。</w:t>
      </w:r>
    </w:p>
    <w:p>
      <w:pPr>
        <w:pStyle w:val="6"/>
        <w:keepNext w:val="0"/>
        <w:keepLines w:val="0"/>
        <w:widowControl/>
        <w:numPr>
          <w:ilvl w:val="0"/>
          <w:numId w:val="1"/>
        </w:numPr>
        <w:suppressLineNumbers w:val="0"/>
      </w:pPr>
      <w:r>
        <w:rPr>
          <w:rStyle w:val="9"/>
        </w:rPr>
        <w:t>公务接待费支出</w:t>
      </w:r>
      <w:r>
        <w:t>0.00万元，</w:t>
      </w:r>
      <w:r>
        <w:rPr>
          <w:rStyle w:val="9"/>
        </w:rPr>
        <w:t>完成预算100%。</w:t>
      </w:r>
      <w:r>
        <w:t>公务接待费支出决算比2021年增加0.00万元，增长0.00%。主要原因是</w:t>
      </w:r>
      <w:r>
        <w:rPr>
          <w:rFonts w:hint="eastAsia"/>
          <w:lang w:val="en-US" w:eastAsia="zh-CN"/>
        </w:rPr>
        <w:t>2022年委2产生接待费</w:t>
      </w:r>
      <w:r>
        <w:t>。</w:t>
      </w:r>
    </w:p>
    <w:p>
      <w:pPr>
        <w:pStyle w:val="6"/>
        <w:keepNext w:val="0"/>
        <w:keepLines w:val="0"/>
        <w:widowControl/>
        <w:numPr>
          <w:ilvl w:val="0"/>
          <w:numId w:val="1"/>
        </w:numPr>
        <w:suppressLineNumbers w:val="0"/>
      </w:pPr>
      <w:r>
        <w:rPr>
          <w:rStyle w:val="9"/>
        </w:rPr>
        <w:t>国内公务接待支出</w:t>
      </w:r>
      <w:r>
        <w:t>0.00万元。</w:t>
      </w:r>
    </w:p>
    <w:p>
      <w:pPr>
        <w:pStyle w:val="6"/>
        <w:keepNext w:val="0"/>
        <w:keepLines w:val="0"/>
        <w:widowControl/>
        <w:suppressLineNumbers w:val="0"/>
      </w:pPr>
      <w:r>
        <w:t>八、政府性基金预算支出决算情况说明</w:t>
      </w:r>
    </w:p>
    <w:p>
      <w:pPr>
        <w:pStyle w:val="6"/>
        <w:keepNext w:val="0"/>
        <w:keepLines w:val="0"/>
        <w:widowControl/>
        <w:suppressLineNumbers w:val="0"/>
      </w:pPr>
      <w:r>
        <w:t>2022年政府性基金预算财政拨款支出0.00万元。</w:t>
      </w:r>
    </w:p>
    <w:p>
      <w:pPr>
        <w:pStyle w:val="6"/>
        <w:keepNext w:val="0"/>
        <w:keepLines w:val="0"/>
        <w:widowControl/>
        <w:suppressLineNumbers w:val="0"/>
      </w:pPr>
      <w:r>
        <w:t>九、国有资本经营预算支出决算情况说明</w:t>
      </w:r>
    </w:p>
    <w:p>
      <w:pPr>
        <w:pStyle w:val="6"/>
        <w:keepNext w:val="0"/>
        <w:keepLines w:val="0"/>
        <w:widowControl/>
        <w:suppressLineNumbers w:val="0"/>
      </w:pPr>
      <w:r>
        <w:t>2022年国有资本经营预算财政拨款支出0.00万元。 </w:t>
      </w:r>
    </w:p>
    <w:p>
      <w:pPr>
        <w:pStyle w:val="6"/>
        <w:keepNext w:val="0"/>
        <w:keepLines w:val="0"/>
        <w:widowControl/>
        <w:suppressLineNumbers w:val="0"/>
      </w:pPr>
      <w:r>
        <w:t>十、其他重要事项的情况说明</w:t>
      </w:r>
    </w:p>
    <w:p>
      <w:pPr>
        <w:pStyle w:val="6"/>
        <w:keepNext w:val="0"/>
        <w:keepLines w:val="0"/>
        <w:widowControl/>
        <w:suppressLineNumbers w:val="0"/>
      </w:pPr>
      <w:r>
        <w:rPr>
          <w:rStyle w:val="9"/>
        </w:rPr>
        <w:t>（一）机关运行经费支出情况</w:t>
      </w:r>
    </w:p>
    <w:p>
      <w:pPr>
        <w:pStyle w:val="6"/>
        <w:keepNext w:val="0"/>
        <w:keepLines w:val="0"/>
        <w:widowControl/>
        <w:suppressLineNumbers w:val="0"/>
      </w:pPr>
      <w:r>
        <w:t>2022年，阿坝州松潘县卫生和计划生育监督执法大队机关运行经费支出4.60万元，比2021年增加-5.31万元，增长-53.59%。主要原因是</w:t>
      </w:r>
      <w:r>
        <w:rPr>
          <w:rFonts w:hint="eastAsia"/>
          <w:lang w:val="en-US" w:eastAsia="zh-CN"/>
        </w:rPr>
        <w:t>2022年7月</w:t>
      </w:r>
      <w:r>
        <w:rPr>
          <w:rFonts w:hint="eastAsia"/>
          <w:lang w:eastAsia="zh-CN"/>
        </w:rPr>
        <w:t>与综合执法局合并，收入支出同时减少。</w:t>
      </w:r>
    </w:p>
    <w:p>
      <w:pPr>
        <w:pStyle w:val="6"/>
        <w:keepNext w:val="0"/>
        <w:keepLines w:val="0"/>
        <w:widowControl/>
        <w:suppressLineNumbers w:val="0"/>
      </w:pPr>
      <w:r>
        <w:rPr>
          <w:rStyle w:val="9"/>
        </w:rPr>
        <w:t>（注：数据来源于财决附03表）</w:t>
      </w:r>
    </w:p>
    <w:p>
      <w:pPr>
        <w:pStyle w:val="6"/>
        <w:keepNext w:val="0"/>
        <w:keepLines w:val="0"/>
        <w:widowControl/>
        <w:suppressLineNumbers w:val="0"/>
        <w:jc w:val="left"/>
      </w:pPr>
      <w:r>
        <w:rPr>
          <w:rStyle w:val="9"/>
        </w:rPr>
        <w:t>（二）政府采购支出情况</w:t>
      </w:r>
    </w:p>
    <w:p>
      <w:pPr>
        <w:pStyle w:val="6"/>
        <w:keepNext w:val="0"/>
        <w:keepLines w:val="0"/>
        <w:widowControl/>
        <w:suppressLineNumbers w:val="0"/>
        <w:jc w:val="left"/>
      </w:pPr>
      <w:r>
        <w:t>2022年，阿坝州松潘县卫生和计划生育监督执法大队政府采购支出总额0.00万元，其中：政府采购货物支出0.00万元、政府采购工程支出0.00万元、政府采购服务支出0.00万元。主要用于授予中小企业合同金额0.00万元，占政府采购支出总额的0.00%，其中：授予小微企业合同金额0.00万元，占政府采购支出总额的0.00%。</w:t>
      </w:r>
    </w:p>
    <w:p>
      <w:pPr>
        <w:pStyle w:val="6"/>
        <w:keepNext w:val="0"/>
        <w:keepLines w:val="0"/>
        <w:widowControl/>
        <w:suppressLineNumbers w:val="0"/>
      </w:pPr>
      <w:r>
        <w:t> </w:t>
      </w:r>
    </w:p>
    <w:p>
      <w:pPr>
        <w:pStyle w:val="6"/>
        <w:keepNext w:val="0"/>
        <w:keepLines w:val="0"/>
        <w:widowControl/>
        <w:suppressLineNumbers w:val="0"/>
      </w:pPr>
      <w:r>
        <w:rPr>
          <w:rStyle w:val="9"/>
        </w:rPr>
        <w:t>（注：数据来源于财决附03表）</w:t>
      </w:r>
    </w:p>
    <w:p>
      <w:pPr>
        <w:pStyle w:val="6"/>
        <w:keepNext w:val="0"/>
        <w:keepLines w:val="0"/>
        <w:widowControl/>
        <w:suppressLineNumbers w:val="0"/>
        <w:jc w:val="left"/>
      </w:pPr>
      <w:r>
        <w:rPr>
          <w:rStyle w:val="9"/>
        </w:rPr>
        <w:t>（三）国有资产占有使用情况</w:t>
      </w:r>
    </w:p>
    <w:p>
      <w:pPr>
        <w:pStyle w:val="6"/>
        <w:keepNext w:val="0"/>
        <w:keepLines w:val="0"/>
        <w:widowControl/>
        <w:suppressLineNumbers w:val="0"/>
        <w:jc w:val="left"/>
        <w:rPr>
          <w:rFonts w:hint="eastAsia"/>
          <w:lang w:val="en-US" w:eastAsia="zh-CN"/>
        </w:rPr>
      </w:pPr>
      <w:r>
        <w:t>截至2022年12月31日，阿坝州松潘县卫生和计划生育监督执法大队共有车辆2辆，其中：</w:t>
      </w:r>
      <w:r>
        <w:rPr>
          <w:rFonts w:hint="eastAsia"/>
          <w:lang w:eastAsia="zh-CN"/>
        </w:rPr>
        <w:t>执法用车</w:t>
      </w:r>
      <w:r>
        <w:rPr>
          <w:rFonts w:hint="eastAsia"/>
          <w:lang w:val="en-US" w:eastAsia="zh-CN"/>
        </w:rPr>
        <w:t>2辆。</w:t>
      </w:r>
    </w:p>
    <w:p>
      <w:pPr>
        <w:pStyle w:val="6"/>
        <w:keepNext w:val="0"/>
        <w:keepLines w:val="0"/>
        <w:widowControl/>
        <w:suppressLineNumbers w:val="0"/>
        <w:jc w:val="left"/>
      </w:pPr>
      <w:r>
        <w:rPr>
          <w:rStyle w:val="9"/>
        </w:rPr>
        <w:t>（注：数据来源于财决附03表，按部门决算报表填报数据罗列车辆情况。）</w:t>
      </w:r>
    </w:p>
    <w:p>
      <w:pPr>
        <w:pStyle w:val="6"/>
        <w:keepNext w:val="0"/>
        <w:keepLines w:val="0"/>
        <w:widowControl/>
        <w:suppressLineNumbers w:val="0"/>
        <w:jc w:val="left"/>
      </w:pPr>
      <w:r>
        <w:rPr>
          <w:rStyle w:val="9"/>
        </w:rPr>
        <w:t>（四）预算绩效管理情况</w:t>
      </w:r>
    </w:p>
    <w:p>
      <w:pPr>
        <w:pStyle w:val="6"/>
        <w:keepNext w:val="0"/>
        <w:keepLines w:val="0"/>
        <w:widowControl/>
        <w:suppressLineNumbers w:val="0"/>
        <w:jc w:val="left"/>
      </w:pPr>
      <w:r>
        <w:rPr>
          <w:rFonts w:hint="eastAsia"/>
          <w:lang w:val="en-US" w:eastAsia="zh-CN"/>
        </w:rPr>
        <w:t>2022年无项目。</w:t>
      </w:r>
      <w:r>
        <w:t> </w:t>
      </w:r>
    </w:p>
    <w:p>
      <w:pPr>
        <w:pStyle w:val="6"/>
        <w:keepNext w:val="0"/>
        <w:keepLines w:val="0"/>
        <w:widowControl/>
        <w:suppressLineNumbers w:val="0"/>
        <w:jc w:val="center"/>
        <w:rPr>
          <w:rStyle w:val="9"/>
          <w:sz w:val="39"/>
          <w:szCs w:val="39"/>
        </w:rPr>
      </w:pPr>
    </w:p>
    <w:p>
      <w:pPr>
        <w:pStyle w:val="6"/>
        <w:keepNext w:val="0"/>
        <w:keepLines w:val="0"/>
        <w:widowControl/>
        <w:suppressLineNumbers w:val="0"/>
        <w:jc w:val="center"/>
      </w:pPr>
      <w:r>
        <w:rPr>
          <w:rStyle w:val="9"/>
          <w:sz w:val="39"/>
          <w:szCs w:val="39"/>
        </w:rPr>
        <w:t>第三部分 名词解释</w:t>
      </w:r>
    </w:p>
    <w:p>
      <w:pPr>
        <w:pStyle w:val="6"/>
        <w:keepNext w:val="0"/>
        <w:keepLines w:val="0"/>
        <w:widowControl/>
        <w:suppressLineNumbers w:val="0"/>
        <w:jc w:val="left"/>
      </w:pPr>
      <w:r>
        <w:t> </w:t>
      </w:r>
    </w:p>
    <w:p>
      <w:pPr>
        <w:pStyle w:val="6"/>
        <w:keepNext w:val="0"/>
        <w:keepLines w:val="0"/>
        <w:widowControl/>
        <w:suppressLineNumbers w:val="0"/>
      </w:pPr>
      <w:r>
        <w:t>1.财政拨款收入：指单位从同级财政部门取得的财政预算资金。</w:t>
      </w:r>
    </w:p>
    <w:p>
      <w:pPr>
        <w:pStyle w:val="6"/>
        <w:keepNext w:val="0"/>
        <w:keepLines w:val="0"/>
        <w:widowControl/>
        <w:suppressLineNumbers w:val="0"/>
      </w:pPr>
      <w:r>
        <w:t>2.事业收入：指事业单位开展专业业务活动及辅助活动取得的收入。如…（二级预算单位事业收入情况）等。</w:t>
      </w:r>
    </w:p>
    <w:p>
      <w:pPr>
        <w:pStyle w:val="6"/>
        <w:keepNext w:val="0"/>
        <w:keepLines w:val="0"/>
        <w:widowControl/>
        <w:suppressLineNumbers w:val="0"/>
      </w:pPr>
      <w:r>
        <w:t>3.经营收入：指事业单位在专业业务活动及其辅助活动之外开展非独立核算经营活动取得的收入。如…（二级预算单位经营收入情况）等。</w:t>
      </w:r>
    </w:p>
    <w:p>
      <w:pPr>
        <w:pStyle w:val="6"/>
        <w:keepNext w:val="0"/>
        <w:keepLines w:val="0"/>
        <w:widowControl/>
        <w:suppressLineNumbers w:val="0"/>
      </w:pPr>
      <w:r>
        <w:t>4.其他收入：指单位取得的除上述收入以外的各项收入。主要是…（收入类型）等。</w:t>
      </w:r>
    </w:p>
    <w:p>
      <w:pPr>
        <w:pStyle w:val="6"/>
        <w:keepNext w:val="0"/>
        <w:keepLines w:val="0"/>
        <w:widowControl/>
        <w:suppressLineNumbers w:val="0"/>
      </w:pPr>
      <w:r>
        <w:t>5.使用非财政拨款结余：指事业单位使用以前年度积累的非财政拨款结余弥补当年收支差额的金额。</w:t>
      </w:r>
    </w:p>
    <w:p>
      <w:pPr>
        <w:pStyle w:val="6"/>
        <w:keepNext w:val="0"/>
        <w:keepLines w:val="0"/>
        <w:widowControl/>
        <w:suppressLineNumbers w:val="0"/>
      </w:pPr>
      <w:r>
        <w:t>6.年初结转和结余：指以前年度尚未完成、结转到本年按有关规定继续使用的资金。</w:t>
      </w:r>
    </w:p>
    <w:p>
      <w:pPr>
        <w:pStyle w:val="6"/>
        <w:keepNext w:val="0"/>
        <w:keepLines w:val="0"/>
        <w:widowControl/>
        <w:suppressLineNumbers w:val="0"/>
      </w:pPr>
      <w:r>
        <w:t>7.结余分配：指事业单位按照会计制度规定缴纳的所得税、提取的专用结余以及转入非财政拨款结余的金额等。</w:t>
      </w:r>
    </w:p>
    <w:p>
      <w:pPr>
        <w:pStyle w:val="6"/>
        <w:keepNext w:val="0"/>
        <w:keepLines w:val="0"/>
        <w:widowControl/>
        <w:suppressLineNumbers w:val="0"/>
      </w:pPr>
      <w:r>
        <w:t>8、年末结转和结余：指单位按有关规定结转到下年或以后年度继续使用的资金。</w:t>
      </w:r>
    </w:p>
    <w:p>
      <w:pPr>
        <w:pStyle w:val="6"/>
        <w:keepNext w:val="0"/>
        <w:keepLines w:val="0"/>
        <w:widowControl/>
        <w:suppressLineNumbers w:val="0"/>
      </w:pPr>
      <w:r>
        <w:t>9.一般公共服务（类）…（款）…（项）：指……。</w:t>
      </w:r>
    </w:p>
    <w:p>
      <w:pPr>
        <w:pStyle w:val="6"/>
        <w:keepNext w:val="0"/>
        <w:keepLines w:val="0"/>
        <w:widowControl/>
        <w:suppressLineNumbers w:val="0"/>
      </w:pPr>
      <w:r>
        <w:t>10.外交（类）…（款）…（项）：指……。</w:t>
      </w:r>
    </w:p>
    <w:p>
      <w:pPr>
        <w:pStyle w:val="6"/>
        <w:keepNext w:val="0"/>
        <w:keepLines w:val="0"/>
        <w:widowControl/>
        <w:suppressLineNumbers w:val="0"/>
      </w:pPr>
      <w:r>
        <w:t>11.公共安全（类）…（款）…（项）：指……。</w:t>
      </w:r>
    </w:p>
    <w:p>
      <w:pPr>
        <w:pStyle w:val="6"/>
        <w:keepNext w:val="0"/>
        <w:keepLines w:val="0"/>
        <w:widowControl/>
        <w:suppressLineNumbers w:val="0"/>
      </w:pPr>
      <w:r>
        <w:t>12.教育（类）…（款）…（项）：指……。</w:t>
      </w:r>
    </w:p>
    <w:p>
      <w:pPr>
        <w:pStyle w:val="6"/>
        <w:keepNext w:val="0"/>
        <w:keepLines w:val="0"/>
        <w:widowControl/>
        <w:suppressLineNumbers w:val="0"/>
      </w:pPr>
      <w:r>
        <w:t>13.科学技术（类）…（款）…（项）：指……。</w:t>
      </w:r>
    </w:p>
    <w:p>
      <w:pPr>
        <w:pStyle w:val="6"/>
        <w:keepNext w:val="0"/>
        <w:keepLines w:val="0"/>
        <w:widowControl/>
        <w:suppressLineNumbers w:val="0"/>
      </w:pPr>
      <w:r>
        <w:t>14.文化体育与传媒（类）…（款）…（项）：指……。</w:t>
      </w:r>
    </w:p>
    <w:p>
      <w:pPr>
        <w:pStyle w:val="6"/>
        <w:keepNext w:val="0"/>
        <w:keepLines w:val="0"/>
        <w:widowControl/>
        <w:suppressLineNumbers w:val="0"/>
      </w:pPr>
      <w:r>
        <w:t>15.社会保障和就业（类）…（款）…（项）：指……。</w:t>
      </w:r>
    </w:p>
    <w:p>
      <w:pPr>
        <w:pStyle w:val="6"/>
        <w:keepNext w:val="0"/>
        <w:keepLines w:val="0"/>
        <w:widowControl/>
        <w:suppressLineNumbers w:val="0"/>
      </w:pPr>
      <w:r>
        <w:t>16.医疗卫生与计划生育（类）…（款）…（项）：指……。</w:t>
      </w:r>
    </w:p>
    <w:p>
      <w:pPr>
        <w:pStyle w:val="6"/>
        <w:keepNext w:val="0"/>
        <w:keepLines w:val="0"/>
        <w:widowControl/>
        <w:suppressLineNumbers w:val="0"/>
      </w:pPr>
      <w:r>
        <w:t>17.节能环保（类）…（款）…（项）：指……。</w:t>
      </w:r>
    </w:p>
    <w:p>
      <w:pPr>
        <w:pStyle w:val="6"/>
        <w:keepNext w:val="0"/>
        <w:keepLines w:val="0"/>
        <w:widowControl/>
        <w:suppressLineNumbers w:val="0"/>
      </w:pPr>
      <w:r>
        <w:t>18.城乡社区（类）…（款）…（项）：指……。</w:t>
      </w:r>
    </w:p>
    <w:p>
      <w:pPr>
        <w:pStyle w:val="6"/>
        <w:keepNext w:val="0"/>
        <w:keepLines w:val="0"/>
        <w:widowControl/>
        <w:suppressLineNumbers w:val="0"/>
      </w:pPr>
      <w:r>
        <w:t>19.农林水（类）…（款）…（项）：指……。</w:t>
      </w:r>
    </w:p>
    <w:p>
      <w:pPr>
        <w:pStyle w:val="6"/>
        <w:keepNext w:val="0"/>
        <w:keepLines w:val="0"/>
        <w:widowControl/>
        <w:suppressLineNumbers w:val="0"/>
      </w:pPr>
      <w:r>
        <w:t>20.交通运输（类）…（款）…（项）：指……。</w:t>
      </w:r>
    </w:p>
    <w:p>
      <w:pPr>
        <w:pStyle w:val="6"/>
        <w:keepNext w:val="0"/>
        <w:keepLines w:val="0"/>
        <w:widowControl/>
        <w:suppressLineNumbers w:val="0"/>
      </w:pPr>
      <w:r>
        <w:t>21.资源勘探信息等（类）…（款）…（项）：指……。</w:t>
      </w:r>
    </w:p>
    <w:p>
      <w:pPr>
        <w:pStyle w:val="6"/>
        <w:keepNext w:val="0"/>
        <w:keepLines w:val="0"/>
        <w:widowControl/>
        <w:suppressLineNumbers w:val="0"/>
      </w:pPr>
      <w:r>
        <w:t>22.商业服务业（类）…（款）…（项）：指……。</w:t>
      </w:r>
    </w:p>
    <w:p>
      <w:pPr>
        <w:pStyle w:val="6"/>
        <w:keepNext w:val="0"/>
        <w:keepLines w:val="0"/>
        <w:widowControl/>
        <w:suppressLineNumbers w:val="0"/>
      </w:pPr>
      <w:r>
        <w:t>23.金融（类）…（款）…（项）：指……。</w:t>
      </w:r>
    </w:p>
    <w:p>
      <w:pPr>
        <w:pStyle w:val="6"/>
        <w:keepNext w:val="0"/>
        <w:keepLines w:val="0"/>
        <w:widowControl/>
        <w:suppressLineNumbers w:val="0"/>
      </w:pPr>
      <w:r>
        <w:t>24.国土海洋气象等（类）…（款）…（项）：指……。</w:t>
      </w:r>
    </w:p>
    <w:p>
      <w:pPr>
        <w:pStyle w:val="6"/>
        <w:keepNext w:val="0"/>
        <w:keepLines w:val="0"/>
        <w:widowControl/>
        <w:suppressLineNumbers w:val="0"/>
      </w:pPr>
      <w:r>
        <w:t>25.住房保障（类）…（款）…（项）：指……。</w:t>
      </w:r>
    </w:p>
    <w:p>
      <w:pPr>
        <w:pStyle w:val="6"/>
        <w:keepNext w:val="0"/>
        <w:keepLines w:val="0"/>
        <w:widowControl/>
        <w:suppressLineNumbers w:val="0"/>
      </w:pPr>
      <w:r>
        <w:t>26.粮油物资储备（类）…（款）…（项）：指……。</w:t>
      </w:r>
    </w:p>
    <w:p>
      <w:pPr>
        <w:pStyle w:val="6"/>
        <w:keepNext w:val="0"/>
        <w:keepLines w:val="0"/>
        <w:widowControl/>
        <w:suppressLineNumbers w:val="0"/>
      </w:pPr>
      <w:r>
        <w:t>……</w:t>
      </w:r>
    </w:p>
    <w:p>
      <w:pPr>
        <w:pStyle w:val="6"/>
        <w:keepNext w:val="0"/>
        <w:keepLines w:val="0"/>
        <w:widowControl/>
        <w:suppressLineNumbers w:val="0"/>
      </w:pPr>
      <w:r>
        <w:t>……</w:t>
      </w:r>
    </w:p>
    <w:p>
      <w:pPr>
        <w:pStyle w:val="6"/>
        <w:keepNext w:val="0"/>
        <w:keepLines w:val="0"/>
        <w:widowControl/>
        <w:suppressLineNumbers w:val="0"/>
      </w:pPr>
      <w:r>
        <w:t>……</w:t>
      </w:r>
    </w:p>
    <w:p>
      <w:pPr>
        <w:pStyle w:val="6"/>
        <w:keepNext w:val="0"/>
        <w:keepLines w:val="0"/>
        <w:widowControl/>
        <w:suppressLineNumbers w:val="0"/>
      </w:pPr>
      <w:r>
        <w:rPr>
          <w:rStyle w:val="9"/>
        </w:rPr>
        <w:t>（解释本部门决算报表中涉及的全部功能分类科目至项级，不涉及的科目请自行删除。请参照《2022年政府收支分类科目》增减内容。）</w:t>
      </w:r>
    </w:p>
    <w:p>
      <w:pPr>
        <w:pStyle w:val="6"/>
        <w:keepNext w:val="0"/>
        <w:keepLines w:val="0"/>
        <w:widowControl/>
        <w:suppressLineNumbers w:val="0"/>
      </w:pPr>
      <w:r>
        <w:t>27.基本支出：指为保障机构正常运转、完成日常工作任务而发生的人员支出和公用支出。</w:t>
      </w:r>
    </w:p>
    <w:p>
      <w:pPr>
        <w:pStyle w:val="6"/>
        <w:keepNext w:val="0"/>
        <w:keepLines w:val="0"/>
        <w:widowControl/>
        <w:suppressLineNumbers w:val="0"/>
      </w:pPr>
      <w:r>
        <w:t>28.项目支出：指在基本支出之外为完成特定行政任务和事业发展目标所发生的支出。</w:t>
      </w:r>
    </w:p>
    <w:p>
      <w:pPr>
        <w:pStyle w:val="6"/>
        <w:keepNext w:val="0"/>
        <w:keepLines w:val="0"/>
        <w:widowControl/>
        <w:suppressLineNumbers w:val="0"/>
      </w:pPr>
      <w:r>
        <w:t>29.经营支出：指事业单位在专业业务活动及其辅助活动之外开展非独立核算经营活动发生的支出。</w:t>
      </w:r>
    </w:p>
    <w:p>
      <w:pPr>
        <w:pStyle w:val="6"/>
        <w:keepNext w:val="0"/>
        <w:keepLines w:val="0"/>
        <w:widowControl/>
        <w:suppressLineNumbers w:val="0"/>
      </w:pPr>
      <w: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6"/>
        <w:keepNext w:val="0"/>
        <w:keepLines w:val="0"/>
        <w:widowControl/>
        <w:suppressLineNumbers w:val="0"/>
      </w:pPr>
      <w: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6"/>
        <w:keepNext w:val="0"/>
        <w:keepLines w:val="0"/>
        <w:widowControl/>
        <w:suppressLineNumbers w:val="0"/>
      </w:pPr>
      <w:r>
        <w:t>32.……。</w:t>
      </w:r>
    </w:p>
    <w:p>
      <w:pPr>
        <w:pStyle w:val="6"/>
        <w:keepNext w:val="0"/>
        <w:keepLines w:val="0"/>
        <w:widowControl/>
        <w:suppressLineNumbers w:val="0"/>
      </w:pPr>
      <w:r>
        <w:t> </w:t>
      </w:r>
    </w:p>
    <w:p>
      <w:pPr>
        <w:pStyle w:val="6"/>
        <w:keepNext w:val="0"/>
        <w:keepLines w:val="0"/>
        <w:widowControl/>
        <w:suppressLineNumbers w:val="0"/>
      </w:pPr>
      <w:r>
        <w:rPr>
          <w:rStyle w:val="9"/>
        </w:rPr>
        <w:t>（名词解释部分请根据各部门实际列支情况罗列，并根据本部门职责职能增减名词解释内容。）</w:t>
      </w:r>
    </w:p>
    <w:p>
      <w:pPr>
        <w:pStyle w:val="6"/>
        <w:keepNext w:val="0"/>
        <w:keepLines w:val="0"/>
        <w:widowControl/>
        <w:suppressLineNumbers w:val="0"/>
      </w:pPr>
      <w:r>
        <w:t> </w:t>
      </w:r>
    </w:p>
    <w:p>
      <w:pPr>
        <w:pStyle w:val="6"/>
        <w:keepNext w:val="0"/>
        <w:keepLines w:val="0"/>
        <w:widowControl/>
        <w:suppressLineNumbers w:val="0"/>
        <w:jc w:val="center"/>
      </w:pPr>
      <w:r>
        <w:rPr>
          <w:rStyle w:val="9"/>
          <w:sz w:val="39"/>
          <w:szCs w:val="39"/>
        </w:rPr>
        <w:t>第四部分 附件</w:t>
      </w:r>
    </w:p>
    <w:p>
      <w:pPr>
        <w:pStyle w:val="6"/>
        <w:keepNext w:val="0"/>
        <w:keepLines w:val="0"/>
        <w:widowControl/>
        <w:suppressLineNumbers w:val="0"/>
        <w:jc w:val="left"/>
      </w:pPr>
      <w:r>
        <w:t> </w:t>
      </w:r>
    </w:p>
    <w:p>
      <w:pPr>
        <w:pStyle w:val="6"/>
        <w:keepNext w:val="0"/>
        <w:keepLines w:val="0"/>
        <w:widowControl/>
        <w:suppressLineNumbers w:val="0"/>
        <w:jc w:val="center"/>
      </w:pPr>
      <w:r>
        <w:t>部门预算项目支出绩效自评表（2022年度）</w:t>
      </w:r>
    </w:p>
    <w:p>
      <w:pPr>
        <w:pStyle w:val="6"/>
        <w:keepNext w:val="0"/>
        <w:keepLines w:val="0"/>
        <w:widowControl/>
        <w:suppressLineNumbers w:val="0"/>
        <w:jc w:val="center"/>
      </w:pPr>
      <w:r>
        <w:t> </w:t>
      </w:r>
    </w:p>
    <w:p>
      <w:pPr>
        <w:pStyle w:val="6"/>
        <w:keepNext w:val="0"/>
        <w:keepLines w:val="0"/>
        <w:widowControl/>
        <w:suppressLineNumbers w:val="0"/>
        <w:jc w:val="left"/>
      </w:pPr>
      <w:r>
        <w:t>（备注：按照绩效自评工作安排，各单位可在预算管理一体化系统—综合报表查询—预算绩效报表模块中下载本单位“部门预算项目支出绩效自评表（2022年度）”，该表格应作为附件予以公开。）</w:t>
      </w:r>
    </w:p>
    <w:p>
      <w:pPr>
        <w:pStyle w:val="6"/>
        <w:keepNext w:val="0"/>
        <w:keepLines w:val="0"/>
        <w:widowControl/>
        <w:suppressLineNumbers w:val="0"/>
        <w:jc w:val="center"/>
      </w:pPr>
      <w:r>
        <w:t> </w:t>
      </w:r>
    </w:p>
    <w:p>
      <w:pPr>
        <w:pStyle w:val="6"/>
        <w:keepNext w:val="0"/>
        <w:keepLines w:val="0"/>
        <w:widowControl/>
        <w:suppressLineNumbers w:val="0"/>
      </w:pPr>
      <w:r>
        <w:t>附表</w:t>
      </w:r>
    </w:p>
    <w:p>
      <w:pPr>
        <w:pStyle w:val="6"/>
        <w:keepNext w:val="0"/>
        <w:keepLines w:val="0"/>
        <w:widowControl/>
        <w:suppressLineNumbers w:val="0"/>
        <w:jc w:val="left"/>
      </w:pPr>
      <w:r>
        <w:t> </w:t>
      </w:r>
    </w:p>
    <w:p>
      <w:pPr>
        <w:pStyle w:val="6"/>
        <w:keepNext w:val="0"/>
        <w:keepLines w:val="0"/>
        <w:widowControl/>
        <w:suppressLineNumbers w:val="0"/>
      </w:pPr>
      <w:r>
        <w:t> </w:t>
      </w:r>
    </w:p>
    <w:p>
      <w:pPr>
        <w:pStyle w:val="6"/>
        <w:keepNext w:val="0"/>
        <w:keepLines w:val="0"/>
        <w:widowControl/>
        <w:suppressLineNumbers w:val="0"/>
      </w:pPr>
      <w:r>
        <w:t> </w:t>
      </w:r>
    </w:p>
    <w:p>
      <w:pPr>
        <w:pStyle w:val="6"/>
        <w:keepNext w:val="0"/>
        <w:keepLines w:val="0"/>
        <w:widowControl/>
        <w:suppressLineNumbers w:val="0"/>
        <w:jc w:val="left"/>
      </w:pPr>
      <w:r>
        <w:t> </w:t>
      </w:r>
    </w:p>
    <w:p>
      <w:pPr>
        <w:pStyle w:val="6"/>
        <w:keepNext w:val="0"/>
        <w:keepLines w:val="0"/>
        <w:widowControl/>
        <w:suppressLineNumbers w:val="0"/>
        <w:jc w:val="center"/>
      </w:pPr>
      <w:r>
        <w:rPr>
          <w:rStyle w:val="9"/>
          <w:sz w:val="39"/>
          <w:szCs w:val="39"/>
        </w:rPr>
        <w:t>第五部分 附表</w:t>
      </w:r>
    </w:p>
    <w:p>
      <w:pPr>
        <w:pStyle w:val="3"/>
        <w:keepNext w:val="0"/>
        <w:keepLines w:val="0"/>
        <w:widowControl/>
        <w:suppressLineNumbers w:val="0"/>
      </w:pPr>
      <w:r>
        <w:t>一、收入支出决算总表</w:t>
      </w:r>
    </w:p>
    <w:p>
      <w:pPr>
        <w:pStyle w:val="3"/>
        <w:keepNext w:val="0"/>
        <w:keepLines w:val="0"/>
        <w:widowControl/>
        <w:suppressLineNumbers w:val="0"/>
      </w:pPr>
      <w:r>
        <w:t>二、收入决算表</w:t>
      </w:r>
    </w:p>
    <w:p>
      <w:pPr>
        <w:pStyle w:val="3"/>
        <w:keepNext w:val="0"/>
        <w:keepLines w:val="0"/>
        <w:widowControl/>
        <w:suppressLineNumbers w:val="0"/>
      </w:pPr>
      <w:r>
        <w:t>三、支出决算表</w:t>
      </w:r>
    </w:p>
    <w:p>
      <w:pPr>
        <w:pStyle w:val="3"/>
        <w:keepNext w:val="0"/>
        <w:keepLines w:val="0"/>
        <w:widowControl/>
        <w:suppressLineNumbers w:val="0"/>
      </w:pPr>
      <w:r>
        <w:t>四、财政拨款收入支出决算总表</w:t>
      </w:r>
    </w:p>
    <w:p>
      <w:pPr>
        <w:pStyle w:val="3"/>
        <w:keepNext w:val="0"/>
        <w:keepLines w:val="0"/>
        <w:widowControl/>
        <w:suppressLineNumbers w:val="0"/>
      </w:pPr>
      <w:r>
        <w:t>五、财政拨款支出决算明细表</w:t>
      </w:r>
    </w:p>
    <w:p>
      <w:pPr>
        <w:pStyle w:val="3"/>
        <w:keepNext w:val="0"/>
        <w:keepLines w:val="0"/>
        <w:widowControl/>
        <w:suppressLineNumbers w:val="0"/>
      </w:pPr>
      <w:r>
        <w:t>六、一般公共预算财政拨款支出决算表</w:t>
      </w:r>
    </w:p>
    <w:p>
      <w:pPr>
        <w:pStyle w:val="3"/>
        <w:keepNext w:val="0"/>
        <w:keepLines w:val="0"/>
        <w:widowControl/>
        <w:suppressLineNumbers w:val="0"/>
      </w:pPr>
      <w:r>
        <w:t>七、一般公共预算财政拨款支出决算明细表</w:t>
      </w:r>
    </w:p>
    <w:p>
      <w:pPr>
        <w:pStyle w:val="3"/>
        <w:keepNext w:val="0"/>
        <w:keepLines w:val="0"/>
        <w:widowControl/>
        <w:suppressLineNumbers w:val="0"/>
      </w:pPr>
      <w:r>
        <w:t>八、一般公共预算财政拨款基本支出决算表</w:t>
      </w:r>
    </w:p>
    <w:p>
      <w:pPr>
        <w:pStyle w:val="3"/>
        <w:keepNext w:val="0"/>
        <w:keepLines w:val="0"/>
        <w:widowControl/>
        <w:suppressLineNumbers w:val="0"/>
      </w:pPr>
      <w:r>
        <w:t>九、一般公共预算财政拨款项目支出决算表</w:t>
      </w:r>
    </w:p>
    <w:p>
      <w:pPr>
        <w:pStyle w:val="3"/>
        <w:keepNext w:val="0"/>
        <w:keepLines w:val="0"/>
        <w:widowControl/>
        <w:suppressLineNumbers w:val="0"/>
      </w:pPr>
      <w:r>
        <w:t>十、政府性基金预算财政拨款收入支出决算表</w:t>
      </w:r>
    </w:p>
    <w:p>
      <w:pPr>
        <w:pStyle w:val="3"/>
        <w:keepNext w:val="0"/>
        <w:keepLines w:val="0"/>
        <w:widowControl/>
        <w:suppressLineNumbers w:val="0"/>
      </w:pPr>
      <w:r>
        <w:t>十一、国有资本经营预算财政拨款收入支出决算表</w:t>
      </w:r>
    </w:p>
    <w:p>
      <w:pPr>
        <w:pStyle w:val="3"/>
        <w:keepNext w:val="0"/>
        <w:keepLines w:val="0"/>
        <w:widowControl/>
        <w:suppressLineNumbers w:val="0"/>
      </w:pPr>
      <w:r>
        <w:t>十二、国有资本经营预算财政拨款支出决算表</w:t>
      </w:r>
    </w:p>
    <w:p>
      <w:pPr>
        <w:pStyle w:val="3"/>
        <w:keepNext w:val="0"/>
        <w:keepLines w:val="0"/>
        <w:widowControl/>
        <w:suppressLineNumbers w:val="0"/>
      </w:pPr>
      <w:r>
        <w:t>十三、财政拨款“三公”经费支出决算表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DD12F"/>
    <w:multiLevelType w:val="singleLevel"/>
    <w:tmpl w:val="814DD12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5D2E3013"/>
    <w:rsid w:val="018F0D57"/>
    <w:rsid w:val="098E6371"/>
    <w:rsid w:val="0A56770A"/>
    <w:rsid w:val="191C5058"/>
    <w:rsid w:val="1D86019F"/>
    <w:rsid w:val="2A2978F0"/>
    <w:rsid w:val="39C4123B"/>
    <w:rsid w:val="3B42696B"/>
    <w:rsid w:val="3ED352E5"/>
    <w:rsid w:val="48783DBC"/>
    <w:rsid w:val="55D778E4"/>
    <w:rsid w:val="5D2E3013"/>
    <w:rsid w:val="61B22785"/>
    <w:rsid w:val="66231401"/>
    <w:rsid w:val="681511D2"/>
    <w:rsid w:val="6A084854"/>
    <w:rsid w:val="6C5D7D56"/>
    <w:rsid w:val="6E1C6D7D"/>
    <w:rsid w:val="7A0062F8"/>
    <w:rsid w:val="7B17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ind w:left="420" w:leftChars="200"/>
    </w:pPr>
  </w:style>
  <w:style w:type="paragraph" w:styleId="5">
    <w:name w:val="Body Text First Indent 2"/>
    <w:basedOn w:val="4"/>
    <w:next w:val="1"/>
    <w:qFormat/>
    <w:uiPriority w:val="99"/>
    <w:pPr>
      <w:ind w:firstLine="420" w:firstLine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2021-2022</a:t>
            </a:r>
            <a:r>
              <a:rPr altLang="en-US"/>
              <a:t>收入、支出对比</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[工作簿1]Sheet1!$F$16:$F$19</c:f>
              <c:strCache>
                <c:ptCount val="4"/>
                <c:pt idx="0">
                  <c:v>2021年收入（万元）</c:v>
                </c:pt>
                <c:pt idx="1">
                  <c:v>2022年收入（万元）</c:v>
                </c:pt>
                <c:pt idx="2">
                  <c:v>2021年支出（万元）</c:v>
                </c:pt>
                <c:pt idx="3">
                  <c:v>2022年支出（万元）</c:v>
                </c:pt>
              </c:strCache>
            </c:strRef>
          </c:cat>
          <c:val>
            <c:numRef>
              <c:f>[工作簿1]Sheet1!$G$16:$G$19</c:f>
              <c:numCache>
                <c:formatCode>General</c:formatCode>
                <c:ptCount val="4"/>
                <c:pt idx="0">
                  <c:v>102.67</c:v>
                </c:pt>
                <c:pt idx="1">
                  <c:v>81.98</c:v>
                </c:pt>
                <c:pt idx="2">
                  <c:v>122.56</c:v>
                </c:pt>
                <c:pt idx="3">
                  <c:v>81.98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[工作簿1]Sheet1!$F$34</c:f>
              <c:strCache>
                <c:ptCount val="1"/>
                <c:pt idx="0">
                  <c:v>一般公共预算财政拨款收入（万元）</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[工作簿1]Sheet1!$G$34</c:f>
              <c:numCache>
                <c:formatCode>General</c:formatCode>
                <c:ptCount val="1"/>
                <c:pt idx="0">
                  <c:v>81.98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[工作簿1]Sheet1!$F$46</c:f>
              <c:strCache>
                <c:ptCount val="1"/>
                <c:pt idx="0">
                  <c:v>基本支出（万元）</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[工作簿1]Sheet1!$G$46</c:f>
              <c:numCache>
                <c:formatCode>General</c:formatCode>
                <c:ptCount val="1"/>
                <c:pt idx="0">
                  <c:v>81.98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[工作簿1]Sheet1!$F$55:$F$58</c:f>
              <c:strCache>
                <c:ptCount val="4"/>
                <c:pt idx="0">
                  <c:v>2021年收入（万元）</c:v>
                </c:pt>
                <c:pt idx="1">
                  <c:v>2022年收入（万元）</c:v>
                </c:pt>
                <c:pt idx="2">
                  <c:v>2021年支出（万元）</c:v>
                </c:pt>
                <c:pt idx="3">
                  <c:v>2022年支出（万元）</c:v>
                </c:pt>
              </c:strCache>
            </c:strRef>
          </c:cat>
          <c:val>
            <c:numRef>
              <c:f>[工作簿1]Sheet1!$G$55:$G$58</c:f>
              <c:numCache>
                <c:formatCode>General</c:formatCode>
                <c:ptCount val="4"/>
                <c:pt idx="0">
                  <c:v>102.67</c:v>
                </c:pt>
                <c:pt idx="1">
                  <c:v>81.98</c:v>
                </c:pt>
                <c:pt idx="2">
                  <c:v>122.56</c:v>
                </c:pt>
                <c:pt idx="3">
                  <c:v>81.98</c:v>
                </c:pt>
              </c:numCache>
            </c:numRef>
          </c:val>
        </c:ser>
        <c:dLbls>
          <c:showLegendKey val="0"/>
          <c:showVal val="1"/>
          <c:showCatName val="0"/>
          <c:showSerName val="0"/>
          <c:showPercent val="0"/>
          <c:showBubbleSize val="0"/>
        </c:dLbls>
        <c:gapWidth val="150"/>
        <c:overlap val="100"/>
        <c:axId val="845232839"/>
        <c:axId val="944859279"/>
      </c:barChart>
      <c:catAx>
        <c:axId val="845232839"/>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859279"/>
        <c:crosses val="autoZero"/>
        <c:auto val="1"/>
        <c:lblAlgn val="ctr"/>
        <c:lblOffset val="100"/>
        <c:noMultiLvlLbl val="0"/>
      </c:catAx>
      <c:valAx>
        <c:axId val="944859279"/>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23283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[工作簿1]Sheet1!$F$69:$F$70</c:f>
              <c:strCache>
                <c:ptCount val="2"/>
                <c:pt idx="0">
                  <c:v>2021年支出（万元）</c:v>
                </c:pt>
                <c:pt idx="1">
                  <c:v>2022年支出（万元）</c:v>
                </c:pt>
              </c:strCache>
            </c:strRef>
          </c:cat>
          <c:val>
            <c:numRef>
              <c:f>[工作簿1]Sheet1!$G$69:$G$70</c:f>
              <c:numCache>
                <c:formatCode>General</c:formatCode>
                <c:ptCount val="2"/>
                <c:pt idx="0">
                  <c:v>122.56</c:v>
                </c:pt>
                <c:pt idx="1">
                  <c:v>81.98</c:v>
                </c:pt>
              </c:numCache>
            </c:numRef>
          </c:val>
        </c:ser>
        <c:dLbls>
          <c:showLegendKey val="0"/>
          <c:showVal val="1"/>
          <c:showCatName val="0"/>
          <c:showSerName val="0"/>
          <c:showPercent val="0"/>
          <c:showBubbleSize val="0"/>
        </c:dLbls>
        <c:gapWidth val="219"/>
        <c:overlap val="-27"/>
        <c:axId val="58191562"/>
        <c:axId val="651189119"/>
      </c:barChart>
      <c:catAx>
        <c:axId val="581915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1189119"/>
        <c:crosses val="autoZero"/>
        <c:auto val="1"/>
        <c:lblAlgn val="ctr"/>
        <c:lblOffset val="100"/>
        <c:noMultiLvlLbl val="0"/>
      </c:catAx>
      <c:valAx>
        <c:axId val="651189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19156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[工作簿1]Sheet1!$F$88:$F$90</c:f>
              <c:strCache>
                <c:ptCount val="3"/>
                <c:pt idx="0">
                  <c:v>社会保障和就业（类）支出（万元）</c:v>
                </c:pt>
                <c:pt idx="1">
                  <c:v>卫生健康支出（万元）</c:v>
                </c:pt>
                <c:pt idx="2">
                  <c:v>住房保障支出（万元）</c:v>
                </c:pt>
              </c:strCache>
            </c:strRef>
          </c:cat>
          <c:val>
            <c:numRef>
              <c:f>[工作簿1]Sheet1!$G$88:$G$90</c:f>
              <c:numCache>
                <c:formatCode>General</c:formatCode>
                <c:ptCount val="3"/>
                <c:pt idx="0">
                  <c:v>15.03</c:v>
                </c:pt>
                <c:pt idx="1">
                  <c:v>61.38</c:v>
                </c:pt>
                <c:pt idx="2">
                  <c:v>5.56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[工作簿1]Sheet1!$F$103:$F$104</c:f>
              <c:strCache>
                <c:ptCount val="2"/>
                <c:pt idx="0">
                  <c:v>运行维护费支出决算（万元）</c:v>
                </c:pt>
                <c:pt idx="1">
                  <c:v>公务接待费支出决算（万元）</c:v>
                </c:pt>
              </c:strCache>
            </c:strRef>
          </c:cat>
          <c:val>
            <c:numRef>
              <c:f>[工作簿1]Sheet1!$G$103:$G$104</c:f>
              <c:numCache>
                <c:formatCode>General</c:formatCode>
                <c:ptCount val="2"/>
                <c:pt idx="0">
                  <c:v>0.88</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2023-11-27T06:03:00Z</dcterms:created>
  <dc:creator>Administrator</dc:creator>
  <cp:lastModifiedBy>暖暖</cp:lastModifiedBy>
  <dcterms:modified xsi:type="dcterms:W3CDTF">2023-11-28T02:48:37Z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07465A9B0C544B17AE3DF004A1B9E2EF_12</vt:lpwstr>
  </property>
</Properties>
</file>