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eastAsiaTheme="minorEastAsia"/>
          <w:b/>
          <w:sz w:val="72"/>
          <w:szCs w:val="72"/>
        </w:rPr>
      </w:pPr>
      <w:bookmarkStart w:id="0" w:name="_Toc15378441"/>
      <w:bookmarkStart w:id="1" w:name="_Toc15396475"/>
      <w:bookmarkStart w:id="2" w:name="_Toc15377193"/>
      <w:bookmarkStart w:id="3" w:name="_Toc15396597"/>
      <w:bookmarkStart w:id="4" w:name="_Toc15377425"/>
      <w:bookmarkStart w:id="5" w:name="_Toc15306267"/>
    </w:p>
    <w:p>
      <w:pPr>
        <w:pStyle w:val="2"/>
        <w:ind w:firstLine="0"/>
      </w:pPr>
    </w:p>
    <w:p>
      <w:pPr>
        <w:jc w:val="center"/>
        <w:rPr>
          <w:rFonts w:asciiTheme="minorEastAsia" w:hAnsiTheme="minorEastAsia" w:eastAsiaTheme="minorEastAsia"/>
          <w:b/>
          <w:sz w:val="72"/>
          <w:szCs w:val="72"/>
        </w:rPr>
      </w:pPr>
      <w:r>
        <w:rPr>
          <w:rFonts w:hint="eastAsia" w:asciiTheme="minorEastAsia" w:hAnsiTheme="minorEastAsia" w:eastAsiaTheme="minorEastAsia"/>
          <w:b/>
          <w:sz w:val="72"/>
          <w:szCs w:val="72"/>
        </w:rPr>
        <w:t>2022</w:t>
      </w:r>
      <w:r>
        <w:rPr>
          <w:b/>
          <w:sz w:val="72"/>
          <w:u w:color="auto"/>
        </w:rPr>
        <w:t>年度</w:t>
      </w:r>
      <w:bookmarkEnd w:id="0"/>
      <w:bookmarkEnd w:id="1"/>
      <w:bookmarkEnd w:id="2"/>
      <w:bookmarkEnd w:id="3"/>
      <w:bookmarkEnd w:id="4"/>
    </w:p>
    <w:bookmarkEnd w:id="5"/>
    <w:p>
      <w:pPr>
        <w:jc w:val="center"/>
        <w:rPr>
          <w:rFonts w:asciiTheme="minorEastAsia" w:hAnsiTheme="minorEastAsia" w:eastAsiaTheme="minorEastAsia"/>
          <w:b/>
          <w:sz w:val="72"/>
          <w:szCs w:val="72"/>
        </w:rPr>
      </w:pPr>
      <w:bookmarkStart w:id="6" w:name="_Toc15377426"/>
      <w:bookmarkStart w:id="7" w:name="_Toc15306268"/>
      <w:bookmarkStart w:id="8" w:name="_Toc15396476"/>
      <w:bookmarkStart w:id="9" w:name="_Toc15378442"/>
      <w:bookmarkStart w:id="10" w:name="_Toc15377194"/>
      <w:bookmarkStart w:id="11" w:name="_Toc15396598"/>
      <w:r>
        <w:rPr>
          <w:rFonts w:asciiTheme="minorEastAsia" w:hAnsiTheme="minorEastAsia" w:eastAsiaTheme="minorEastAsia"/>
          <w:b/>
          <w:sz w:val="72"/>
          <w:szCs w:val="72"/>
        </w:rPr>
        <w:t>阿坝州松潘县毛儿盖镇中心卫生院</w:t>
      </w:r>
      <w:r>
        <w:rPr>
          <w:rFonts w:hint="eastAsia" w:asciiTheme="minorEastAsia" w:hAnsiTheme="minorEastAsia" w:eastAsiaTheme="minorEastAsia"/>
          <w:b/>
          <w:sz w:val="72"/>
          <w:szCs w:val="72"/>
        </w:rPr>
        <w:t>部门决算</w:t>
      </w:r>
      <w:bookmarkEnd w:id="6"/>
      <w:bookmarkEnd w:id="7"/>
      <w:bookmarkEnd w:id="8"/>
      <w:bookmarkEnd w:id="9"/>
      <w:bookmarkEnd w:id="10"/>
      <w:bookmarkEnd w:id="11"/>
      <w:r>
        <w:rPr>
          <w:rFonts w:hint="eastAsia" w:asciiTheme="minorEastAsia" w:hAnsiTheme="minorEastAsia" w:eastAsiaTheme="minorEastAsia"/>
          <w:b/>
          <w:sz w:val="72"/>
          <w:szCs w:val="72"/>
        </w:rPr>
        <w:t>编制说明</w:t>
      </w:r>
    </w:p>
    <w:p>
      <w:pPr>
        <w:pStyle w:val="2"/>
      </w:pPr>
    </w:p>
    <w:p>
      <w:pPr>
        <w:pStyle w:val="2"/>
      </w:pPr>
    </w:p>
    <w:p>
      <w:pPr>
        <w:pStyle w:val="2"/>
      </w:pPr>
    </w:p>
    <w:p>
      <w:pPr>
        <w:pStyle w:val="2"/>
      </w:pPr>
    </w:p>
    <w:p>
      <w:pPr>
        <w:pStyle w:val="2"/>
        <w:tabs>
          <w:tab w:val="left" w:pos="3600"/>
        </w:tabs>
        <w:ind w:left="0" w:leftChars="0" w:firstLine="640" w:firstLineChars="200"/>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ind w:left="640" w:leftChars="200"/>
        <w:jc w:val="left"/>
        <w:rPr>
          <w:rFonts w:hint="eastAsia" w:ascii="宋体" w:hAnsi="宋体" w:cs="仿宋_GB2312"/>
          <w:sz w:val="32"/>
          <w:szCs w:val="32"/>
        </w:rPr>
      </w:pPr>
      <w:r>
        <w:rPr>
          <w:rFonts w:hint="eastAsia" w:ascii="宋体" w:hAnsi="宋体" w:cs="仿宋_GB2312"/>
          <w:sz w:val="32"/>
          <w:szCs w:val="32"/>
        </w:rPr>
        <w:t>部门主要负责人审签情况：已审签，同意对外公开</w:t>
      </w:r>
    </w:p>
    <w:p>
      <w:pPr>
        <w:pStyle w:val="2"/>
        <w:rPr>
          <w:rFonts w:hint="eastAsia" w:ascii="宋体" w:hAnsi="宋体" w:cs="仿宋_GB2312"/>
          <w:sz w:val="32"/>
          <w:szCs w:val="32"/>
        </w:rPr>
      </w:pPr>
    </w:p>
    <w:p>
      <w:pPr>
        <w:pStyle w:val="2"/>
        <w:rPr>
          <w:rFonts w:hint="eastAsia" w:ascii="宋体" w:hAnsi="宋体" w:cs="仿宋_GB2312"/>
          <w:sz w:val="32"/>
          <w:szCs w:val="32"/>
        </w:rPr>
      </w:pPr>
    </w:p>
    <w:p>
      <w:pPr>
        <w:pStyle w:val="2"/>
        <w:rPr>
          <w:rFonts w:hint="eastAsia" w:ascii="宋体" w:hAnsi="宋体" w:cs="仿宋_GB2312"/>
          <w:sz w:val="32"/>
          <w:szCs w:val="32"/>
        </w:rPr>
      </w:pPr>
    </w:p>
    <w:p>
      <w:pPr>
        <w:pStyle w:val="2"/>
        <w:rPr>
          <w:rFonts w:hint="default" w:ascii="宋体" w:hAnsi="宋体" w:eastAsia="仿宋_GB2312" w:cs="仿宋_GB2312"/>
          <w:sz w:val="32"/>
          <w:szCs w:val="32"/>
          <w:lang w:val="en-US" w:eastAsia="zh-CN"/>
        </w:rPr>
      </w:pPr>
      <w:r>
        <w:rPr>
          <w:rFonts w:hint="eastAsia" w:ascii="宋体" w:hAnsi="宋体" w:cs="仿宋_GB2312"/>
          <w:sz w:val="32"/>
          <w:szCs w:val="32"/>
          <w:lang w:val="en-US" w:eastAsia="zh-CN"/>
        </w:rPr>
        <w:t xml:space="preserve">                2023年9月</w:t>
      </w: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bookmarkStart w:id="12" w:name="_Toc15377196"/>
    </w:p>
    <w:p>
      <w:pPr>
        <w:pStyle w:val="13"/>
        <w:tabs>
          <w:tab w:val="right" w:leader="dot" w:pos="8306"/>
          <w:tab w:val="clear" w:pos="8296"/>
        </w:tabs>
      </w:pPr>
      <w:r>
        <w:rPr>
          <w:smallCaps/>
          <w:sz w:val="20"/>
          <w:szCs w:val="20"/>
        </w:rPr>
        <w:fldChar w:fldCharType="begin"/>
      </w:r>
      <w:r>
        <w:rPr>
          <w:smallCaps/>
          <w:sz w:val="20"/>
          <w:szCs w:val="20"/>
        </w:rPr>
        <w:instrText xml:space="preserve"> TOC \o "1-2" \h \z \u </w:instrText>
      </w:r>
      <w:r>
        <w:rPr>
          <w:smallCaps/>
          <w:sz w:val="20"/>
          <w:szCs w:val="20"/>
        </w:rPr>
        <w:fldChar w:fldCharType="separate"/>
      </w:r>
      <w:r>
        <w:rPr>
          <w:smallCaps/>
          <w:szCs w:val="20"/>
        </w:rPr>
        <w:fldChar w:fldCharType="begin"/>
      </w:r>
      <w:r>
        <w:rPr>
          <w:smallCaps/>
          <w:szCs w:val="20"/>
        </w:rPr>
        <w:instrText xml:space="preserve"> HYPERLINK \l _Toc1816 </w:instrText>
      </w:r>
      <w:r>
        <w:rPr>
          <w:smallCaps/>
          <w:szCs w:val="20"/>
        </w:rPr>
        <w:fldChar w:fldCharType="separate"/>
      </w:r>
      <w:r>
        <w:rPr>
          <w:rFonts w:hint="eastAsia" w:ascii="黑体" w:hAnsi="黑体" w:eastAsia="黑体" w:cs="黑体"/>
        </w:rPr>
        <w:t xml:space="preserve">第一部分 </w:t>
      </w:r>
      <w:r>
        <w:rPr>
          <w:rFonts w:hint="eastAsia" w:ascii="黑体" w:hAnsi="黑体" w:eastAsia="黑体" w:cs="黑体"/>
          <w:bCs w:val="0"/>
        </w:rPr>
        <w:t>部门概况</w:t>
      </w:r>
      <w:r>
        <w:tab/>
      </w:r>
      <w:r>
        <w:fldChar w:fldCharType="begin"/>
      </w:r>
      <w:r>
        <w:instrText xml:space="preserve"> PAGEREF _Toc1816 \h </w:instrText>
      </w:r>
      <w:r>
        <w:fldChar w:fldCharType="separate"/>
      </w:r>
      <w:r>
        <w:t>3</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_Toc24373 </w:instrText>
      </w:r>
      <w:r>
        <w:rPr>
          <w:smallCaps/>
          <w:szCs w:val="20"/>
        </w:rPr>
        <w:fldChar w:fldCharType="separate"/>
      </w:r>
      <w:r>
        <w:rPr>
          <w:rFonts w:hint="eastAsia" w:ascii="黑体" w:eastAsia="黑体" w:cs="Times New Roman"/>
          <w:bCs w:val="0"/>
        </w:rPr>
        <w:t>一、部门职责</w:t>
      </w:r>
      <w:r>
        <w:tab/>
      </w:r>
      <w:r>
        <w:fldChar w:fldCharType="begin"/>
      </w:r>
      <w:r>
        <w:instrText xml:space="preserve"> PAGEREF _Toc24373 \h </w:instrText>
      </w:r>
      <w:r>
        <w:fldChar w:fldCharType="separate"/>
      </w:r>
      <w:r>
        <w:t>3</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_Toc31790 </w:instrText>
      </w:r>
      <w:r>
        <w:rPr>
          <w:smallCaps/>
          <w:szCs w:val="20"/>
        </w:rPr>
        <w:fldChar w:fldCharType="separate"/>
      </w:r>
      <w:r>
        <w:rPr>
          <w:rFonts w:hint="eastAsia" w:ascii="黑体" w:eastAsia="黑体" w:cs="Times New Roman"/>
          <w:bCs w:val="0"/>
        </w:rPr>
        <w:t>二、机构设置</w:t>
      </w:r>
      <w:r>
        <w:tab/>
      </w:r>
      <w:r>
        <w:fldChar w:fldCharType="begin"/>
      </w:r>
      <w:r>
        <w:instrText xml:space="preserve"> PAGEREF _Toc31790 \h </w:instrText>
      </w:r>
      <w:r>
        <w:fldChar w:fldCharType="separate"/>
      </w:r>
      <w:r>
        <w:t>3</w:t>
      </w:r>
      <w:r>
        <w:fldChar w:fldCharType="end"/>
      </w:r>
      <w:r>
        <w:rPr>
          <w:smallCaps/>
          <w:szCs w:val="20"/>
        </w:rPr>
        <w:fldChar w:fldCharType="end"/>
      </w:r>
    </w:p>
    <w:p>
      <w:pPr>
        <w:pStyle w:val="13"/>
        <w:tabs>
          <w:tab w:val="right" w:leader="dot" w:pos="8306"/>
          <w:tab w:val="clear" w:pos="8296"/>
        </w:tabs>
      </w:pPr>
      <w:r>
        <w:rPr>
          <w:smallCaps/>
          <w:szCs w:val="20"/>
        </w:rPr>
        <w:fldChar w:fldCharType="begin"/>
      </w:r>
      <w:r>
        <w:rPr>
          <w:smallCaps/>
          <w:szCs w:val="20"/>
        </w:rPr>
        <w:instrText xml:space="preserve"> HYPERLINK \l _Toc16001 </w:instrText>
      </w:r>
      <w:r>
        <w:rPr>
          <w:smallCaps/>
          <w:szCs w:val="20"/>
        </w:rPr>
        <w:fldChar w:fldCharType="separate"/>
      </w:r>
      <w:r>
        <w:rPr>
          <w:rFonts w:hint="eastAsia" w:ascii="黑体" w:hAnsi="黑体" w:eastAsia="黑体" w:cs="黑体"/>
        </w:rPr>
        <w:t>第二部分</w:t>
      </w:r>
      <w:r>
        <w:rPr>
          <w:rFonts w:ascii="黑体" w:hAnsi="黑体" w:eastAsia="黑体" w:cs="黑体"/>
        </w:rPr>
        <w:t xml:space="preserve"> </w:t>
      </w:r>
      <w:r>
        <w:rPr>
          <w:rFonts w:hint="eastAsia" w:ascii="黑体" w:hAnsi="黑体" w:eastAsia="黑体" w:cs="黑体"/>
        </w:rPr>
        <w:t>2022</w:t>
      </w:r>
      <w:r>
        <w:rPr>
          <w:rFonts w:ascii="黑体" w:hAnsi="黑体" w:eastAsia="黑体" w:cs="黑体"/>
          <w:u w:color="auto"/>
        </w:rPr>
        <w:t>年度部门决算情况说明</w:t>
      </w:r>
      <w:r>
        <w:tab/>
      </w:r>
      <w:r>
        <w:fldChar w:fldCharType="begin"/>
      </w:r>
      <w:r>
        <w:instrText xml:space="preserve"> PAGEREF _Toc16001 \h </w:instrText>
      </w:r>
      <w:r>
        <w:fldChar w:fldCharType="separate"/>
      </w:r>
      <w:r>
        <w:t>4</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_Toc20541 </w:instrText>
      </w:r>
      <w:r>
        <w:rPr>
          <w:smallCaps/>
          <w:szCs w:val="20"/>
        </w:rPr>
        <w:fldChar w:fldCharType="separate"/>
      </w:r>
      <w:r>
        <w:rPr>
          <w:rFonts w:hint="eastAsia" w:ascii="黑体" w:eastAsia="黑体" w:cs="Times New Roman"/>
          <w:bCs w:val="0"/>
        </w:rPr>
        <w:t>一、收入支出决算总体情况说明</w:t>
      </w:r>
      <w:r>
        <w:tab/>
      </w:r>
      <w:r>
        <w:fldChar w:fldCharType="begin"/>
      </w:r>
      <w:r>
        <w:instrText xml:space="preserve"> PAGEREF _Toc20541 \h </w:instrText>
      </w:r>
      <w:r>
        <w:fldChar w:fldCharType="separate"/>
      </w:r>
      <w:r>
        <w:t>4</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_Toc25498 </w:instrText>
      </w:r>
      <w:r>
        <w:rPr>
          <w:smallCaps/>
          <w:szCs w:val="20"/>
        </w:rPr>
        <w:fldChar w:fldCharType="separate"/>
      </w:r>
      <w:r>
        <w:rPr>
          <w:rFonts w:hint="eastAsia" w:ascii="黑体" w:eastAsia="黑体" w:cs="Times New Roman"/>
          <w:bCs w:val="0"/>
        </w:rPr>
        <w:t>二、收入决算情况说明</w:t>
      </w:r>
      <w:r>
        <w:tab/>
      </w:r>
      <w:r>
        <w:fldChar w:fldCharType="begin"/>
      </w:r>
      <w:r>
        <w:instrText xml:space="preserve"> PAGEREF _Toc25498 \h </w:instrText>
      </w:r>
      <w:r>
        <w:fldChar w:fldCharType="separate"/>
      </w:r>
      <w:r>
        <w:t>4</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_Toc6080 </w:instrText>
      </w:r>
      <w:r>
        <w:rPr>
          <w:smallCaps/>
          <w:szCs w:val="20"/>
        </w:rPr>
        <w:fldChar w:fldCharType="separate"/>
      </w:r>
      <w:r>
        <w:rPr>
          <w:rFonts w:hint="eastAsia" w:ascii="黑体" w:eastAsia="黑体" w:cs="Times New Roman"/>
          <w:bCs w:val="0"/>
        </w:rPr>
        <w:t>三、支出决算情况说明</w:t>
      </w:r>
      <w:r>
        <w:tab/>
      </w:r>
      <w:r>
        <w:fldChar w:fldCharType="begin"/>
      </w:r>
      <w:r>
        <w:instrText xml:space="preserve"> PAGEREF _Toc6080 \h </w:instrText>
      </w:r>
      <w:r>
        <w:fldChar w:fldCharType="separate"/>
      </w:r>
      <w:r>
        <w:t>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_Toc6346 </w:instrText>
      </w:r>
      <w:r>
        <w:rPr>
          <w:smallCaps/>
          <w:szCs w:val="20"/>
        </w:rPr>
        <w:fldChar w:fldCharType="separate"/>
      </w:r>
      <w:r>
        <w:rPr>
          <w:rFonts w:hint="eastAsia" w:ascii="黑体" w:eastAsia="黑体" w:cs="Times New Roman"/>
          <w:bCs w:val="0"/>
        </w:rPr>
        <w:t>四、财政拨款收入支出决算总体情况说明</w:t>
      </w:r>
      <w:r>
        <w:tab/>
      </w:r>
      <w:r>
        <w:fldChar w:fldCharType="begin"/>
      </w:r>
      <w:r>
        <w:instrText xml:space="preserve"> PAGEREF _Toc6346 \h </w:instrText>
      </w:r>
      <w:r>
        <w:fldChar w:fldCharType="separate"/>
      </w:r>
      <w:r>
        <w:t>6</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_Toc17578 </w:instrText>
      </w:r>
      <w:r>
        <w:rPr>
          <w:smallCaps/>
          <w:szCs w:val="20"/>
        </w:rPr>
        <w:fldChar w:fldCharType="separate"/>
      </w:r>
      <w:r>
        <w:rPr>
          <w:rFonts w:hint="eastAsia" w:ascii="黑体" w:eastAsia="黑体" w:cs="Times New Roman"/>
          <w:bCs w:val="0"/>
        </w:rPr>
        <w:t>五、一般公共预算财政拨款支出决算情况说明</w:t>
      </w:r>
      <w:r>
        <w:tab/>
      </w:r>
      <w:r>
        <w:fldChar w:fldCharType="begin"/>
      </w:r>
      <w:r>
        <w:instrText xml:space="preserve"> PAGEREF _Toc17578 \h </w:instrText>
      </w:r>
      <w:r>
        <w:fldChar w:fldCharType="separate"/>
      </w:r>
      <w:r>
        <w:t>7</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_Toc24000 </w:instrText>
      </w:r>
      <w:r>
        <w:rPr>
          <w:smallCaps/>
          <w:szCs w:val="20"/>
        </w:rPr>
        <w:fldChar w:fldCharType="separate"/>
      </w:r>
      <w:r>
        <w:rPr>
          <w:rFonts w:hint="eastAsia" w:ascii="黑体" w:eastAsia="黑体" w:cs="Times New Roman"/>
          <w:bCs w:val="0"/>
        </w:rPr>
        <w:t>六、一般公共预算财政拨款基本支出决算情况说明</w:t>
      </w:r>
      <w:r>
        <w:tab/>
      </w:r>
      <w:r>
        <w:fldChar w:fldCharType="begin"/>
      </w:r>
      <w:r>
        <w:instrText xml:space="preserve"> PAGEREF _Toc24000 \h </w:instrText>
      </w:r>
      <w:r>
        <w:fldChar w:fldCharType="separate"/>
      </w:r>
      <w:r>
        <w:t>9</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_Toc32593 </w:instrText>
      </w:r>
      <w:r>
        <w:rPr>
          <w:smallCaps/>
          <w:szCs w:val="20"/>
        </w:rPr>
        <w:fldChar w:fldCharType="separate"/>
      </w:r>
      <w:r>
        <w:rPr>
          <w:rFonts w:hint="eastAsia" w:ascii="黑体" w:eastAsia="黑体" w:cs="Times New Roman"/>
          <w:bCs w:val="0"/>
        </w:rPr>
        <w:t>七、“三公”经费财政拨款支出决算情况说明</w:t>
      </w:r>
      <w:r>
        <w:tab/>
      </w:r>
      <w:r>
        <w:fldChar w:fldCharType="begin"/>
      </w:r>
      <w:r>
        <w:instrText xml:space="preserve"> PAGEREF _Toc32593 \h </w:instrText>
      </w:r>
      <w:r>
        <w:fldChar w:fldCharType="separate"/>
      </w:r>
      <w:r>
        <w:t>9</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_Toc19281 </w:instrText>
      </w:r>
      <w:r>
        <w:rPr>
          <w:smallCaps/>
          <w:szCs w:val="20"/>
        </w:rPr>
        <w:fldChar w:fldCharType="separate"/>
      </w:r>
      <w:r>
        <w:rPr>
          <w:rFonts w:hint="eastAsia" w:ascii="黑体" w:eastAsia="黑体" w:cs="Times New Roman"/>
          <w:bCs w:val="0"/>
        </w:rPr>
        <w:t>八、政府性基金预算支出决算情况说明</w:t>
      </w:r>
      <w:r>
        <w:tab/>
      </w:r>
      <w:r>
        <w:fldChar w:fldCharType="begin"/>
      </w:r>
      <w:r>
        <w:instrText xml:space="preserve"> PAGEREF _Toc19281 \h </w:instrText>
      </w:r>
      <w:r>
        <w:fldChar w:fldCharType="separate"/>
      </w:r>
      <w:r>
        <w:t>11</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_Toc12199 </w:instrText>
      </w:r>
      <w:r>
        <w:rPr>
          <w:smallCaps/>
          <w:szCs w:val="20"/>
        </w:rPr>
        <w:fldChar w:fldCharType="separate"/>
      </w:r>
      <w:r>
        <w:rPr>
          <w:rFonts w:hint="eastAsia" w:ascii="黑体" w:eastAsia="黑体" w:cs="Times New Roman"/>
          <w:bCs w:val="0"/>
        </w:rPr>
        <w:t>九、国有资本经营预算支出决算情况说明</w:t>
      </w:r>
      <w:r>
        <w:tab/>
      </w:r>
      <w:r>
        <w:fldChar w:fldCharType="begin"/>
      </w:r>
      <w:r>
        <w:instrText xml:space="preserve"> PAGEREF _Toc12199 \h </w:instrText>
      </w:r>
      <w:r>
        <w:fldChar w:fldCharType="separate"/>
      </w:r>
      <w:r>
        <w:t>12</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_Toc23126 </w:instrText>
      </w:r>
      <w:r>
        <w:rPr>
          <w:smallCaps/>
          <w:szCs w:val="20"/>
        </w:rPr>
        <w:fldChar w:fldCharType="separate"/>
      </w:r>
      <w:r>
        <w:rPr>
          <w:rFonts w:hint="eastAsia" w:ascii="黑体" w:eastAsia="黑体" w:cs="Times New Roman"/>
          <w:bCs w:val="0"/>
        </w:rPr>
        <w:t>十、其他重要事项的情况说明</w:t>
      </w:r>
      <w:r>
        <w:tab/>
      </w:r>
      <w:r>
        <w:fldChar w:fldCharType="begin"/>
      </w:r>
      <w:r>
        <w:instrText xml:space="preserve"> PAGEREF _Toc23126 \h </w:instrText>
      </w:r>
      <w:r>
        <w:fldChar w:fldCharType="separate"/>
      </w:r>
      <w:r>
        <w:t>12</w:t>
      </w:r>
      <w:r>
        <w:fldChar w:fldCharType="end"/>
      </w:r>
      <w:r>
        <w:rPr>
          <w:smallCaps/>
          <w:szCs w:val="20"/>
        </w:rPr>
        <w:fldChar w:fldCharType="end"/>
      </w:r>
    </w:p>
    <w:p>
      <w:pPr>
        <w:pStyle w:val="13"/>
        <w:tabs>
          <w:tab w:val="right" w:leader="dot" w:pos="8306"/>
          <w:tab w:val="clear" w:pos="8296"/>
        </w:tabs>
      </w:pPr>
      <w:r>
        <w:rPr>
          <w:smallCaps/>
          <w:szCs w:val="20"/>
        </w:rPr>
        <w:fldChar w:fldCharType="begin"/>
      </w:r>
      <w:r>
        <w:rPr>
          <w:smallCaps/>
          <w:szCs w:val="20"/>
        </w:rPr>
        <w:instrText xml:space="preserve"> HYPERLINK \l _Toc288 </w:instrText>
      </w:r>
      <w:r>
        <w:rPr>
          <w:smallCaps/>
          <w:szCs w:val="20"/>
        </w:rPr>
        <w:fldChar w:fldCharType="separate"/>
      </w:r>
      <w:r>
        <w:rPr>
          <w:rFonts w:hint="eastAsia" w:ascii="黑体" w:hAnsi="黑体" w:eastAsia="黑体" w:cs="黑体"/>
        </w:rPr>
        <w:t>第三部分 名词解释</w:t>
      </w:r>
      <w:r>
        <w:tab/>
      </w:r>
      <w:r>
        <w:fldChar w:fldCharType="begin"/>
      </w:r>
      <w:r>
        <w:instrText xml:space="preserve"> PAGEREF _Toc288 \h </w:instrText>
      </w:r>
      <w:r>
        <w:fldChar w:fldCharType="separate"/>
      </w:r>
      <w:r>
        <w:t>13</w:t>
      </w:r>
      <w:r>
        <w:fldChar w:fldCharType="end"/>
      </w:r>
      <w:r>
        <w:rPr>
          <w:smallCaps/>
          <w:szCs w:val="20"/>
        </w:rPr>
        <w:fldChar w:fldCharType="end"/>
      </w:r>
    </w:p>
    <w:p>
      <w:pPr>
        <w:pStyle w:val="13"/>
        <w:tabs>
          <w:tab w:val="right" w:leader="dot" w:pos="8306"/>
          <w:tab w:val="clear" w:pos="8296"/>
        </w:tabs>
      </w:pPr>
      <w:r>
        <w:rPr>
          <w:smallCaps/>
          <w:szCs w:val="20"/>
        </w:rPr>
        <w:fldChar w:fldCharType="begin"/>
      </w:r>
      <w:r>
        <w:rPr>
          <w:smallCaps/>
          <w:szCs w:val="20"/>
        </w:rPr>
        <w:instrText xml:space="preserve"> HYPERLINK \l _Toc20076 </w:instrText>
      </w:r>
      <w:r>
        <w:rPr>
          <w:smallCaps/>
          <w:szCs w:val="20"/>
        </w:rPr>
        <w:fldChar w:fldCharType="separate"/>
      </w:r>
      <w:r>
        <w:rPr>
          <w:rFonts w:hint="eastAsia" w:ascii="黑体" w:hAnsi="黑体" w:eastAsia="黑体" w:cs="黑体"/>
        </w:rPr>
        <w:t>第四部分 附件</w:t>
      </w:r>
      <w:r>
        <w:tab/>
      </w:r>
      <w:r>
        <w:fldChar w:fldCharType="begin"/>
      </w:r>
      <w:r>
        <w:instrText xml:space="preserve"> PAGEREF _Toc20076 \h </w:instrText>
      </w:r>
      <w:r>
        <w:fldChar w:fldCharType="separate"/>
      </w:r>
      <w:r>
        <w:t>15</w:t>
      </w:r>
      <w:r>
        <w:fldChar w:fldCharType="end"/>
      </w:r>
      <w:r>
        <w:rPr>
          <w:smallCaps/>
          <w:szCs w:val="20"/>
        </w:rPr>
        <w:fldChar w:fldCharType="end"/>
      </w:r>
    </w:p>
    <w:p>
      <w:pPr>
        <w:pStyle w:val="13"/>
        <w:tabs>
          <w:tab w:val="right" w:leader="dot" w:pos="8306"/>
          <w:tab w:val="clear" w:pos="8296"/>
        </w:tabs>
      </w:pPr>
      <w:r>
        <w:rPr>
          <w:smallCaps/>
          <w:szCs w:val="20"/>
        </w:rPr>
        <w:fldChar w:fldCharType="begin"/>
      </w:r>
      <w:r>
        <w:rPr>
          <w:smallCaps/>
          <w:szCs w:val="20"/>
        </w:rPr>
        <w:instrText xml:space="preserve"> HYPERLINK \l _Toc16128 </w:instrText>
      </w:r>
      <w:r>
        <w:rPr>
          <w:smallCaps/>
          <w:szCs w:val="20"/>
        </w:rPr>
        <w:fldChar w:fldCharType="separate"/>
      </w:r>
      <w:r>
        <w:rPr>
          <w:rFonts w:hint="eastAsia" w:ascii="黑体" w:hAnsi="黑体" w:eastAsia="黑体" w:cs="黑体"/>
        </w:rPr>
        <w:t>第五部分 附表</w:t>
      </w:r>
      <w:r>
        <w:tab/>
      </w:r>
      <w:r>
        <w:fldChar w:fldCharType="begin"/>
      </w:r>
      <w:r>
        <w:instrText xml:space="preserve"> PAGEREF _Toc16128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_Toc19345 </w:instrText>
      </w:r>
      <w:r>
        <w:rPr>
          <w:smallCaps/>
          <w:szCs w:val="20"/>
        </w:rPr>
        <w:fldChar w:fldCharType="separate"/>
      </w:r>
      <w:r>
        <w:rPr>
          <w:rFonts w:hint="eastAsia" w:ascii="黑体" w:eastAsia="黑体" w:cs="Times New Roman"/>
          <w:bCs w:val="0"/>
        </w:rPr>
        <w:t>一、收入支出决算总表</w:t>
      </w:r>
      <w:r>
        <w:tab/>
      </w:r>
      <w:r>
        <w:fldChar w:fldCharType="begin"/>
      </w:r>
      <w:r>
        <w:instrText xml:space="preserve"> PAGEREF _Toc19345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_Toc5091 </w:instrText>
      </w:r>
      <w:r>
        <w:rPr>
          <w:smallCaps/>
          <w:szCs w:val="20"/>
        </w:rPr>
        <w:fldChar w:fldCharType="separate"/>
      </w:r>
      <w:r>
        <w:rPr>
          <w:rFonts w:hint="eastAsia" w:ascii="黑体" w:eastAsia="黑体" w:cs="Times New Roman"/>
          <w:bCs w:val="0"/>
        </w:rPr>
        <w:t>二、收入决算表</w:t>
      </w:r>
      <w:r>
        <w:tab/>
      </w:r>
      <w:r>
        <w:fldChar w:fldCharType="begin"/>
      </w:r>
      <w:r>
        <w:instrText xml:space="preserve"> PAGEREF _Toc5091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_Toc5639 </w:instrText>
      </w:r>
      <w:r>
        <w:rPr>
          <w:smallCaps/>
          <w:szCs w:val="20"/>
        </w:rPr>
        <w:fldChar w:fldCharType="separate"/>
      </w:r>
      <w:r>
        <w:rPr>
          <w:rFonts w:hint="eastAsia" w:ascii="黑体" w:eastAsia="黑体" w:cs="Times New Roman"/>
          <w:bCs w:val="0"/>
        </w:rPr>
        <w:t>三、支出决算表</w:t>
      </w:r>
      <w:r>
        <w:tab/>
      </w:r>
      <w:r>
        <w:fldChar w:fldCharType="begin"/>
      </w:r>
      <w:r>
        <w:instrText xml:space="preserve"> PAGEREF _Toc5639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_Toc20160 </w:instrText>
      </w:r>
      <w:r>
        <w:rPr>
          <w:smallCaps/>
          <w:szCs w:val="20"/>
        </w:rPr>
        <w:fldChar w:fldCharType="separate"/>
      </w:r>
      <w:r>
        <w:rPr>
          <w:rFonts w:hint="eastAsia" w:ascii="黑体" w:eastAsia="黑体" w:cs="Times New Roman"/>
          <w:bCs w:val="0"/>
        </w:rPr>
        <w:t>四、财政拨款收入支出决算总表</w:t>
      </w:r>
      <w:r>
        <w:tab/>
      </w:r>
      <w:r>
        <w:fldChar w:fldCharType="begin"/>
      </w:r>
      <w:r>
        <w:instrText xml:space="preserve"> PAGEREF _Toc20160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_Toc13786 </w:instrText>
      </w:r>
      <w:r>
        <w:rPr>
          <w:smallCaps/>
          <w:szCs w:val="20"/>
        </w:rPr>
        <w:fldChar w:fldCharType="separate"/>
      </w:r>
      <w:r>
        <w:rPr>
          <w:rFonts w:hint="eastAsia" w:ascii="黑体" w:eastAsia="黑体" w:cs="Times New Roman"/>
          <w:bCs w:val="0"/>
        </w:rPr>
        <w:t>五、财政拨款支出决算明细表</w:t>
      </w:r>
      <w:r>
        <w:tab/>
      </w:r>
      <w:r>
        <w:fldChar w:fldCharType="begin"/>
      </w:r>
      <w:r>
        <w:instrText xml:space="preserve"> PAGEREF _Toc13786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_Toc8367 </w:instrText>
      </w:r>
      <w:r>
        <w:rPr>
          <w:smallCaps/>
          <w:szCs w:val="20"/>
        </w:rPr>
        <w:fldChar w:fldCharType="separate"/>
      </w:r>
      <w:r>
        <w:rPr>
          <w:rFonts w:hint="eastAsia" w:ascii="黑体" w:eastAsia="黑体" w:cs="Times New Roman"/>
          <w:bCs w:val="0"/>
        </w:rPr>
        <w:t>六、一般公共预算财政拨款支出决算表</w:t>
      </w:r>
      <w:r>
        <w:tab/>
      </w:r>
      <w:r>
        <w:fldChar w:fldCharType="begin"/>
      </w:r>
      <w:r>
        <w:instrText xml:space="preserve"> PAGEREF _Toc8367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_Toc17399 </w:instrText>
      </w:r>
      <w:r>
        <w:rPr>
          <w:smallCaps/>
          <w:szCs w:val="20"/>
        </w:rPr>
        <w:fldChar w:fldCharType="separate"/>
      </w:r>
      <w:r>
        <w:rPr>
          <w:rFonts w:hint="eastAsia" w:ascii="黑体" w:eastAsia="黑体" w:cs="Times New Roman"/>
          <w:bCs w:val="0"/>
        </w:rPr>
        <w:t>七、一般公共预算财政拨款支出决算明细表</w:t>
      </w:r>
      <w:r>
        <w:tab/>
      </w:r>
      <w:r>
        <w:fldChar w:fldCharType="begin"/>
      </w:r>
      <w:r>
        <w:instrText xml:space="preserve"> PAGEREF _Toc17399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_Toc8764 </w:instrText>
      </w:r>
      <w:r>
        <w:rPr>
          <w:smallCaps/>
          <w:szCs w:val="20"/>
        </w:rPr>
        <w:fldChar w:fldCharType="separate"/>
      </w:r>
      <w:r>
        <w:rPr>
          <w:rFonts w:hint="eastAsia" w:ascii="黑体" w:eastAsia="黑体" w:cs="Times New Roman"/>
          <w:bCs w:val="0"/>
        </w:rPr>
        <w:t>八、一般公共预算财政拨款基本支出决算表</w:t>
      </w:r>
      <w:r>
        <w:tab/>
      </w:r>
      <w:r>
        <w:fldChar w:fldCharType="begin"/>
      </w:r>
      <w:r>
        <w:instrText xml:space="preserve"> PAGEREF _Toc8764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_Toc5316 </w:instrText>
      </w:r>
      <w:r>
        <w:rPr>
          <w:smallCaps/>
          <w:szCs w:val="20"/>
        </w:rPr>
        <w:fldChar w:fldCharType="separate"/>
      </w:r>
      <w:r>
        <w:rPr>
          <w:rFonts w:hint="eastAsia" w:ascii="黑体" w:eastAsia="黑体" w:cs="Times New Roman"/>
          <w:bCs w:val="0"/>
        </w:rPr>
        <w:t>九、一般公共预算财政拨款项目支出决算表</w:t>
      </w:r>
      <w:r>
        <w:tab/>
      </w:r>
      <w:r>
        <w:fldChar w:fldCharType="begin"/>
      </w:r>
      <w:r>
        <w:instrText xml:space="preserve"> PAGEREF _Toc5316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_Toc9239 </w:instrText>
      </w:r>
      <w:r>
        <w:rPr>
          <w:smallCaps/>
          <w:szCs w:val="20"/>
        </w:rPr>
        <w:fldChar w:fldCharType="separate"/>
      </w:r>
      <w:r>
        <w:rPr>
          <w:rFonts w:hint="eastAsia" w:ascii="黑体" w:eastAsia="黑体" w:cs="Times New Roman"/>
          <w:bCs w:val="0"/>
        </w:rPr>
        <w:t>十、政府性基金预算财政拨款收入支出决算表</w:t>
      </w:r>
      <w:r>
        <w:tab/>
      </w:r>
      <w:r>
        <w:fldChar w:fldCharType="begin"/>
      </w:r>
      <w:r>
        <w:instrText xml:space="preserve"> PAGEREF _Toc9239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_Toc21643 </w:instrText>
      </w:r>
      <w:r>
        <w:rPr>
          <w:smallCaps/>
          <w:szCs w:val="20"/>
        </w:rPr>
        <w:fldChar w:fldCharType="separate"/>
      </w:r>
      <w:r>
        <w:rPr>
          <w:rFonts w:hint="eastAsia" w:ascii="黑体" w:eastAsia="黑体" w:cs="Times New Roman"/>
          <w:bCs w:val="0"/>
        </w:rPr>
        <w:t>十一、国有资本经营预算财政拨款收入支出决算表</w:t>
      </w:r>
      <w:r>
        <w:tab/>
      </w:r>
      <w:r>
        <w:fldChar w:fldCharType="begin"/>
      </w:r>
      <w:r>
        <w:instrText xml:space="preserve"> PAGEREF _Toc21643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_Toc11859 </w:instrText>
      </w:r>
      <w:r>
        <w:rPr>
          <w:smallCaps/>
          <w:szCs w:val="20"/>
        </w:rPr>
        <w:fldChar w:fldCharType="separate"/>
      </w:r>
      <w:r>
        <w:rPr>
          <w:rFonts w:hint="eastAsia" w:ascii="黑体" w:eastAsia="黑体" w:cs="Times New Roman"/>
          <w:bCs w:val="0"/>
        </w:rPr>
        <w:t>十二、国有资本经营预算财政拨款支出决算表</w:t>
      </w:r>
      <w:r>
        <w:tab/>
      </w:r>
      <w:r>
        <w:fldChar w:fldCharType="begin"/>
      </w:r>
      <w:r>
        <w:instrText xml:space="preserve"> PAGEREF _Toc11859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_Toc3136 </w:instrText>
      </w:r>
      <w:r>
        <w:rPr>
          <w:smallCaps/>
          <w:szCs w:val="20"/>
        </w:rPr>
        <w:fldChar w:fldCharType="separate"/>
      </w:r>
      <w:r>
        <w:rPr>
          <w:rFonts w:hint="eastAsia" w:ascii="黑体" w:eastAsia="黑体" w:cs="Times New Roman"/>
          <w:bCs w:val="0"/>
        </w:rPr>
        <w:t>十三、财政拨款“三公”经费支出决算表</w:t>
      </w:r>
      <w:r>
        <w:tab/>
      </w:r>
      <w:r>
        <w:fldChar w:fldCharType="begin"/>
      </w:r>
      <w:r>
        <w:instrText xml:space="preserve"> PAGEREF _Toc3136 \h </w:instrText>
      </w:r>
      <w:r>
        <w:fldChar w:fldCharType="separate"/>
      </w:r>
      <w:r>
        <w:t>15</w:t>
      </w:r>
      <w:r>
        <w:fldChar w:fldCharType="end"/>
      </w:r>
      <w:r>
        <w:rPr>
          <w:smallCaps/>
          <w:szCs w:val="20"/>
        </w:rPr>
        <w:fldChar w:fldCharType="end"/>
      </w:r>
    </w:p>
    <w:p>
      <w:pPr>
        <w:pStyle w:val="2"/>
      </w:pPr>
      <w:r>
        <w:rPr>
          <w:smallCaps/>
          <w:szCs w:val="20"/>
        </w:rPr>
        <w:fldChar w:fldCharType="end"/>
      </w:r>
    </w:p>
    <w:p>
      <w:pPr>
        <w:pStyle w:val="3"/>
        <w:jc w:val="center"/>
        <w:rPr>
          <w:rFonts w:ascii="黑体" w:hAnsi="黑体" w:eastAsia="黑体" w:cs="黑体"/>
          <w:b w:val="0"/>
          <w:bCs w:val="0"/>
        </w:rPr>
      </w:pPr>
      <w:bookmarkStart w:id="13" w:name="_Toc1816"/>
      <w:bookmarkStart w:id="14" w:name="_Toc111208495"/>
      <w:r>
        <w:rPr>
          <w:rFonts w:hint="eastAsia" w:ascii="黑体" w:hAnsi="黑体" w:eastAsia="黑体" w:cs="黑体"/>
        </w:rPr>
        <w:t xml:space="preserve">第一部分 </w:t>
      </w:r>
      <w:r>
        <w:rPr>
          <w:rStyle w:val="30"/>
          <w:rFonts w:hint="eastAsia" w:ascii="黑体" w:hAnsi="黑体" w:eastAsia="黑体" w:cs="黑体"/>
          <w:b/>
          <w:bCs w:val="0"/>
        </w:rPr>
        <w:t>部门概况</w:t>
      </w:r>
      <w:bookmarkEnd w:id="12"/>
      <w:bookmarkEnd w:id="13"/>
      <w:bookmarkEnd w:id="14"/>
    </w:p>
    <w:p>
      <w:pPr>
        <w:pStyle w:val="4"/>
        <w:ind w:firstLine="643" w:firstLineChars="200"/>
        <w:rPr>
          <w:rFonts w:ascii="黑体" w:eastAsia="黑体" w:cs="Times New Roman"/>
          <w:bCs w:val="0"/>
          <w:color w:val="000000"/>
        </w:rPr>
      </w:pPr>
      <w:bookmarkStart w:id="15" w:name="_Toc111208496"/>
      <w:bookmarkStart w:id="16" w:name="_Toc15377197"/>
      <w:bookmarkStart w:id="17" w:name="_Toc24373"/>
      <w:r>
        <w:rPr>
          <w:rFonts w:hint="eastAsia" w:ascii="黑体" w:eastAsia="黑体" w:cs="Times New Roman"/>
          <w:bCs w:val="0"/>
          <w:color w:val="000000"/>
        </w:rPr>
        <w:t>一、</w:t>
      </w:r>
      <w:bookmarkEnd w:id="15"/>
      <w:bookmarkEnd w:id="16"/>
      <w:bookmarkStart w:id="18" w:name="_Toc15378445"/>
      <w:bookmarkStart w:id="19" w:name="_Toc15377198"/>
      <w:r>
        <w:rPr>
          <w:rFonts w:hint="eastAsia" w:ascii="黑体" w:eastAsia="黑体" w:cs="Times New Roman"/>
          <w:bCs w:val="0"/>
          <w:color w:val="000000"/>
        </w:rPr>
        <w:t>部门职责</w:t>
      </w:r>
      <w:bookmarkEnd w:id="17"/>
    </w:p>
    <w:bookmarkEnd w:id="18"/>
    <w:bookmarkEnd w:id="19"/>
    <w:p>
      <w:pPr>
        <w:rPr>
          <w:rFonts w:ascii="仿宋" w:hAnsi="仿宋" w:eastAsia="仿宋"/>
          <w:color w:val="000000"/>
          <w:sz w:val="32"/>
          <w:szCs w:val="32"/>
        </w:rPr>
      </w:pPr>
      <w:r>
        <w:rPr>
          <w:rFonts w:ascii="仿宋" w:hAnsi="仿宋" w:eastAsia="仿宋"/>
          <w:color w:val="000000"/>
          <w:sz w:val="32"/>
          <w:szCs w:val="32"/>
        </w:rPr>
        <w:cr/>
      </w:r>
      <w:r>
        <w:rPr>
          <w:rFonts w:ascii="仿宋" w:hAnsi="仿宋" w:eastAsia="仿宋"/>
          <w:color w:val="000000"/>
          <w:sz w:val="32"/>
          <w:szCs w:val="32"/>
        </w:rPr>
        <w:t>基本医疗服务、公共卫生服务、医疗扶贫、</w:t>
      </w:r>
      <w:bookmarkStart w:id="20" w:name="_Toc15377200"/>
    </w:p>
    <w:p>
      <w:pPr>
        <w:pStyle w:val="4"/>
        <w:ind w:firstLine="643" w:firstLineChars="200"/>
        <w:rPr>
          <w:rFonts w:ascii="黑体" w:eastAsia="黑体" w:cs="Times New Roman"/>
          <w:bCs w:val="0"/>
          <w:color w:val="000000"/>
        </w:rPr>
      </w:pPr>
      <w:bookmarkStart w:id="21" w:name="_Toc31790"/>
      <w:bookmarkStart w:id="22" w:name="_Toc111208497"/>
      <w:r>
        <w:rPr>
          <w:rFonts w:hint="eastAsia" w:ascii="黑体" w:eastAsia="黑体" w:cs="Times New Roman"/>
          <w:bCs w:val="0"/>
          <w:color w:val="000000"/>
        </w:rPr>
        <w:t>二、机构设置</w:t>
      </w:r>
      <w:bookmarkEnd w:id="20"/>
      <w:bookmarkEnd w:id="21"/>
      <w:bookmarkEnd w:id="22"/>
    </w:p>
    <w:p>
      <w:pPr>
        <w:rPr>
          <w:rFonts w:ascii="仿宋" w:hAnsi="仿宋" w:eastAsia="仿宋"/>
          <w:color w:val="000000"/>
          <w:sz w:val="32"/>
          <w:szCs w:val="32"/>
        </w:rPr>
      </w:pPr>
      <w:r>
        <w:rPr>
          <w:rFonts w:ascii="仿宋" w:hAnsi="仿宋" w:eastAsia="仿宋"/>
          <w:color w:val="000000"/>
          <w:sz w:val="32"/>
          <w:szCs w:val="32"/>
        </w:rPr>
        <w:cr/>
      </w:r>
      <w:r>
        <w:rPr>
          <w:rFonts w:ascii="仿宋" w:hAnsi="仿宋" w:eastAsia="仿宋"/>
          <w:color w:val="000000"/>
          <w:sz w:val="32"/>
          <w:szCs w:val="32"/>
        </w:rPr>
        <w:t>综合全科、中医科。藏医科、康复理疗科、急诊科、预防保健科。</w:t>
      </w:r>
    </w:p>
    <w:p>
      <w:pPr>
        <w:widowControl/>
        <w:jc w:val="left"/>
        <w:rPr>
          <w:rFonts w:ascii="仿宋_GB2312" w:hAnsi="黑体" w:eastAsia="仿宋_GB2312"/>
          <w:b/>
          <w:bCs/>
          <w:color w:val="000000"/>
          <w:kern w:val="44"/>
          <w:sz w:val="44"/>
          <w:szCs w:val="44"/>
        </w:rPr>
      </w:pPr>
      <w:bookmarkStart w:id="23" w:name="_Toc15377204"/>
      <w:r>
        <w:rPr>
          <w:rFonts w:ascii="仿宋_GB2312" w:hAnsi="黑体" w:eastAsia="仿宋_GB2312"/>
          <w:color w:val="000000"/>
        </w:rPr>
        <w:br w:type="page"/>
      </w:r>
    </w:p>
    <w:p>
      <w:pPr>
        <w:pStyle w:val="3"/>
        <w:jc w:val="center"/>
        <w:rPr>
          <w:rFonts w:ascii="黑体" w:hAnsi="黑体" w:eastAsia="黑体" w:cs="黑体"/>
        </w:rPr>
      </w:pPr>
      <w:bookmarkStart w:id="24" w:name="_Toc111208498"/>
      <w:bookmarkStart w:id="25" w:name="_Toc16001"/>
      <w:r>
        <w:rPr>
          <w:rFonts w:hint="eastAsia" w:ascii="黑体" w:hAnsi="黑体" w:eastAsia="黑体" w:cs="黑体"/>
        </w:rPr>
        <w:t>第二部分</w:t>
      </w:r>
      <w:r>
        <w:rPr>
          <w:rFonts w:ascii="黑体" w:hAnsi="黑体" w:eastAsia="黑体" w:cs="黑体"/>
        </w:rPr>
        <w:t xml:space="preserve"> </w:t>
      </w:r>
      <w:r>
        <w:rPr>
          <w:rFonts w:hint="eastAsia" w:ascii="黑体" w:hAnsi="黑体" w:eastAsia="黑体" w:cs="黑体"/>
        </w:rPr>
        <w:t>2022</w:t>
      </w:r>
      <w:r>
        <w:rPr>
          <w:rFonts w:ascii="黑体" w:hAnsi="黑体" w:eastAsia="黑体" w:cs="黑体"/>
          <w:u w:color="auto"/>
        </w:rPr>
        <w:t>年度部门决算情况说明</w:t>
      </w:r>
      <w:bookmarkEnd w:id="23"/>
      <w:bookmarkEnd w:id="24"/>
      <w:bookmarkEnd w:id="25"/>
    </w:p>
    <w:p>
      <w:pPr>
        <w:pStyle w:val="4"/>
        <w:ind w:firstLine="643" w:firstLineChars="200"/>
        <w:rPr>
          <w:rFonts w:ascii="黑体" w:eastAsia="黑体" w:cs="Times New Roman"/>
          <w:bCs w:val="0"/>
          <w:color w:val="000000"/>
        </w:rPr>
      </w:pPr>
      <w:bookmarkStart w:id="26" w:name="_Toc15377205"/>
      <w:bookmarkStart w:id="27" w:name="_Toc20541"/>
      <w:bookmarkStart w:id="28" w:name="_Toc111208499"/>
      <w:r>
        <w:rPr>
          <w:rFonts w:hint="eastAsia" w:ascii="黑体" w:eastAsia="黑体" w:cs="Times New Roman"/>
          <w:bCs w:val="0"/>
          <w:color w:val="000000"/>
        </w:rPr>
        <w:t>一、收入支出决算总体情况说</w:t>
      </w:r>
      <w:bookmarkEnd w:id="26"/>
      <w:r>
        <w:rPr>
          <w:rFonts w:hint="eastAsia" w:ascii="黑体" w:eastAsia="黑体" w:cs="Times New Roman"/>
          <w:bCs w:val="0"/>
          <w:color w:val="000000"/>
        </w:rPr>
        <w:t>明</w:t>
      </w:r>
      <w:bookmarkEnd w:id="27"/>
      <w:bookmarkEnd w:id="28"/>
    </w:p>
    <w:p>
      <w:pPr>
        <w:spacing w:line="600" w:lineRule="exact"/>
        <w:ind w:firstLine="640" w:firstLineChars="200"/>
        <w:rPr>
          <w:rFonts w:ascii="仿宋_GB2312" w:hAnsi="仿宋" w:eastAsia="仿宋_GB2312"/>
          <w:color w:val="00B0F0"/>
          <w:sz w:val="32"/>
          <w:szCs w:val="32"/>
        </w:rPr>
      </w:pPr>
      <w:r>
        <w:rPr>
          <w:rFonts w:ascii="仿宋" w:hAnsi="仿宋" w:eastAsia="仿宋"/>
          <w:color w:val="000000"/>
          <w:sz w:val="32"/>
          <w:szCs w:val="32"/>
        </w:rPr>
        <w:t>2022</w:t>
      </w:r>
      <w:r>
        <w:rPr>
          <w:rFonts w:hint="eastAsia" w:ascii="仿宋" w:hAnsi="仿宋" w:eastAsia="仿宋"/>
          <w:color w:val="000000"/>
          <w:sz w:val="32"/>
          <w:szCs w:val="32"/>
        </w:rPr>
        <w:t>年度收、支总计</w:t>
      </w:r>
      <w:r>
        <w:rPr>
          <w:rFonts w:ascii="仿宋" w:hAnsi="仿宋" w:eastAsia="仿宋"/>
          <w:color w:val="000000"/>
          <w:sz w:val="32"/>
          <w:szCs w:val="32"/>
        </w:rPr>
        <w:t>380.36</w:t>
      </w:r>
      <w:r>
        <w:rPr>
          <w:rFonts w:hint="eastAsia" w:ascii="仿宋" w:hAnsi="仿宋" w:eastAsia="仿宋"/>
          <w:color w:val="000000"/>
          <w:sz w:val="32"/>
          <w:szCs w:val="32"/>
        </w:rPr>
        <w:t>万元。与</w:t>
      </w:r>
      <w:r>
        <w:rPr>
          <w:rFonts w:ascii="仿宋" w:hAnsi="仿宋" w:eastAsia="仿宋"/>
          <w:color w:val="000000"/>
          <w:sz w:val="32"/>
          <w:szCs w:val="32"/>
        </w:rPr>
        <w:t>2021</w:t>
      </w:r>
      <w:r>
        <w:rPr>
          <w:rFonts w:hint="eastAsia" w:ascii="仿宋" w:hAnsi="仿宋" w:eastAsia="仿宋"/>
          <w:color w:val="000000"/>
          <w:sz w:val="32"/>
          <w:szCs w:val="32"/>
        </w:rPr>
        <w:t>年相比，收、支总计各</w:t>
      </w:r>
      <w:r>
        <w:rPr>
          <w:rFonts w:ascii="仿宋" w:hAnsi="仿宋" w:eastAsia="仿宋"/>
          <w:color w:val="000000"/>
          <w:sz w:val="32"/>
          <w:szCs w:val="32"/>
        </w:rPr>
        <w:t>增加380.36</w:t>
      </w:r>
      <w:r>
        <w:rPr>
          <w:rFonts w:hint="eastAsia" w:ascii="仿宋" w:hAnsi="仿宋" w:eastAsia="仿宋"/>
          <w:color w:val="000000"/>
          <w:sz w:val="32"/>
          <w:szCs w:val="32"/>
        </w:rPr>
        <w:t>万元，</w:t>
      </w:r>
      <w:r>
        <w:rPr>
          <w:rFonts w:ascii="仿宋" w:hAnsi="仿宋" w:eastAsia="仿宋"/>
          <w:color w:val="000000"/>
          <w:sz w:val="32"/>
          <w:szCs w:val="32"/>
        </w:rPr>
        <w:t>增加100.00</w:t>
      </w:r>
      <w:r>
        <w:rPr>
          <w:rFonts w:hint="eastAsia" w:ascii="仿宋" w:hAnsi="仿宋" w:eastAsia="仿宋"/>
          <w:color w:val="000000"/>
          <w:sz w:val="32"/>
          <w:szCs w:val="32"/>
        </w:rPr>
        <w:t xml:space="preserve"> %。</w:t>
      </w:r>
      <w:r>
        <w:rPr>
          <w:rFonts w:ascii="仿宋" w:hAnsi="仿宋" w:eastAsia="仿宋"/>
          <w:color w:val="000000"/>
          <w:sz w:val="32"/>
          <w:u w:color="auto"/>
        </w:rPr>
        <w:t>主要变动原因是上年统一上报，今年分单位上报无上年数</w:t>
      </w:r>
    </w:p>
    <w:p>
      <w:pPr>
        <w:spacing w:line="600" w:lineRule="exact"/>
        <w:ind w:firstLine="640" w:firstLineChars="200"/>
        <w:jc w:val="right"/>
        <w:rPr>
          <w:rFonts w:ascii="仿宋_GB2312" w:hAnsi="仿宋" w:eastAsia="仿宋_GB2312"/>
          <w:color w:val="000000" w:themeColor="text1"/>
          <w:sz w:val="28"/>
          <w:szCs w:val="28"/>
          <w14:textFill>
            <w14:solidFill>
              <w14:schemeClr w14:val="tx1"/>
            </w14:solidFill>
          </w14:textFill>
        </w:rPr>
      </w:pPr>
      <w:r>
        <w:rPr>
          <w:rFonts w:hint="eastAsia" w:ascii="仿宋" w:hAnsi="仿宋" w:eastAsia="仿宋"/>
          <w:color w:val="000000"/>
          <w:sz w:val="32"/>
          <w:szCs w:val="32"/>
        </w:rPr>
        <w:t>（图1：收、支决算总计变动情况图）</w:t>
      </w:r>
    </w:p>
    <w:p>
      <w:pPr>
        <w:spacing w:line="600" w:lineRule="exact"/>
        <w:ind w:firstLine="560" w:firstLineChars="200"/>
        <w:jc w:val="center"/>
        <w:rPr>
          <w:rFonts w:ascii="仿宋_GB2312" w:eastAsia="仿宋_GB2312"/>
          <w:color w:val="000000"/>
          <w:sz w:val="28"/>
          <w:szCs w:val="28"/>
        </w:rPr>
      </w:pPr>
    </w:p>
    <w:p>
      <w:pPr>
        <w:pStyle w:val="2"/>
      </w:pPr>
      <w:r>
        <w:drawing>
          <wp:inline distT="0" distB="0" distL="114300" distR="114300">
            <wp:extent cx="5343525" cy="2933700"/>
            <wp:effectExtent l="0" t="0" r="9525" b="0"/>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4"/>
        <w:ind w:firstLine="643" w:firstLineChars="200"/>
        <w:rPr>
          <w:rFonts w:ascii="黑体" w:eastAsia="黑体" w:cs="Times New Roman"/>
          <w:bCs w:val="0"/>
          <w:color w:val="000000"/>
        </w:rPr>
      </w:pPr>
      <w:bookmarkStart w:id="29" w:name="_Toc15377206"/>
      <w:bookmarkStart w:id="30" w:name="_Toc25498"/>
      <w:bookmarkStart w:id="31" w:name="_Toc111208500"/>
      <w:r>
        <w:rPr>
          <w:rFonts w:hint="eastAsia" w:ascii="黑体" w:eastAsia="黑体" w:cs="Times New Roman"/>
          <w:bCs w:val="0"/>
          <w:color w:val="000000"/>
        </w:rPr>
        <w:t>二、收入决算情况说明</w:t>
      </w:r>
      <w:bookmarkEnd w:id="29"/>
      <w:bookmarkEnd w:id="30"/>
      <w:bookmarkEnd w:id="31"/>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本年收入合计380.36万元，其中：一般公共预算财政拨款收入380.36万元，占100.00%；政府性基金预算财政拨款收入0.00万元，占0.00%；国有资本经营预算财政拨款收入0.00万元，占0.00%；上级补助收入0.00万元，占0.00%；事业收入0.00万元，占%；经营收入0.00万元，占0.00%；附属单位上缴收入0.00万元，占0.00%；其他收入0.00万元，占0.00%。</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（图2：收入决算结构图）</w:t>
      </w:r>
    </w:p>
    <w:p>
      <w:pPr>
        <w:pStyle w:val="14"/>
        <w:ind w:left="1060" w:hanging="640"/>
        <w:jc w:val="center"/>
      </w:pPr>
      <w:r>
        <w:rPr>
          <w:rFonts w:hint="eastAsia" w:ascii="仿宋_GB2312" w:eastAsia="仿宋_GB2312"/>
          <w:color w:val="FF0000"/>
          <w:sz w:val="32"/>
          <w:szCs w:val="32"/>
        </w:rPr>
        <w:drawing>
          <wp:inline distT="0" distB="0" distL="114300" distR="114300">
            <wp:extent cx="5332730" cy="3400425"/>
            <wp:effectExtent l="0" t="0" r="127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4"/>
        <w:ind w:firstLine="643" w:firstLineChars="200"/>
        <w:rPr>
          <w:rFonts w:ascii="黑体" w:eastAsia="黑体" w:cs="Times New Roman"/>
          <w:bCs w:val="0"/>
          <w:color w:val="000000"/>
        </w:rPr>
      </w:pPr>
      <w:bookmarkStart w:id="32" w:name="_Toc111208501"/>
      <w:bookmarkStart w:id="33" w:name="_Toc15377207"/>
      <w:bookmarkStart w:id="34" w:name="_Toc6080"/>
      <w:r>
        <w:rPr>
          <w:rFonts w:hint="eastAsia" w:ascii="黑体" w:eastAsia="黑体" w:cs="Times New Roman"/>
          <w:bCs w:val="0"/>
          <w:color w:val="000000"/>
        </w:rPr>
        <w:t>三、支出决算情况说明</w:t>
      </w:r>
      <w:bookmarkEnd w:id="32"/>
      <w:bookmarkEnd w:id="33"/>
      <w:bookmarkEnd w:id="34"/>
    </w:p>
    <w:p>
      <w:pPr>
        <w:pStyle w:val="2"/>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szCs w:val="32"/>
        </w:rPr>
        <w:t>年本年支出合计</w:t>
      </w:r>
      <w:r>
        <w:rPr>
          <w:rFonts w:hint="eastAsia" w:ascii="仿宋" w:hAnsi="仿宋" w:eastAsia="仿宋"/>
          <w:color w:val="000000"/>
          <w:sz w:val="32"/>
          <w:szCs w:val="32"/>
        </w:rPr>
        <w:t>380.36</w:t>
      </w:r>
      <w:r>
        <w:rPr>
          <w:rFonts w:ascii="仿宋" w:hAnsi="仿宋" w:eastAsia="仿宋"/>
          <w:color w:val="000000"/>
          <w:sz w:val="32"/>
          <w:szCs w:val="32"/>
        </w:rPr>
        <w:t>万元，其中：基本支出</w:t>
      </w:r>
      <w:r>
        <w:rPr>
          <w:rFonts w:hint="eastAsia" w:ascii="仿宋" w:hAnsi="仿宋" w:eastAsia="仿宋"/>
          <w:color w:val="000000"/>
          <w:sz w:val="32"/>
          <w:szCs w:val="32"/>
        </w:rPr>
        <w:t>324.57</w:t>
      </w:r>
      <w:r>
        <w:rPr>
          <w:rFonts w:ascii="仿宋" w:hAnsi="仿宋" w:eastAsia="仿宋"/>
          <w:color w:val="000000"/>
          <w:sz w:val="32"/>
          <w:szCs w:val="32"/>
        </w:rPr>
        <w:t>万元，占</w:t>
      </w:r>
      <w:r>
        <w:rPr>
          <w:rFonts w:hint="eastAsia" w:ascii="仿宋" w:hAnsi="仿宋" w:eastAsia="仿宋"/>
          <w:color w:val="000000"/>
          <w:sz w:val="32"/>
          <w:szCs w:val="32"/>
        </w:rPr>
        <w:t>85.33</w:t>
      </w:r>
      <w:r>
        <w:rPr>
          <w:rFonts w:ascii="仿宋" w:hAnsi="仿宋" w:eastAsia="仿宋"/>
          <w:color w:val="000000"/>
          <w:sz w:val="32"/>
          <w:szCs w:val="32"/>
        </w:rPr>
        <w:t>%；项目支出</w:t>
      </w:r>
      <w:r>
        <w:rPr>
          <w:rFonts w:hint="eastAsia" w:ascii="仿宋" w:hAnsi="仿宋" w:eastAsia="仿宋"/>
          <w:color w:val="000000"/>
          <w:sz w:val="32"/>
          <w:szCs w:val="32"/>
        </w:rPr>
        <w:t>55.79</w:t>
      </w:r>
      <w:r>
        <w:rPr>
          <w:rFonts w:ascii="仿宋" w:hAnsi="仿宋" w:eastAsia="仿宋"/>
          <w:color w:val="000000"/>
          <w:sz w:val="32"/>
          <w:szCs w:val="32"/>
        </w:rPr>
        <w:t>万元，占</w:t>
      </w:r>
      <w:r>
        <w:rPr>
          <w:rFonts w:hint="eastAsia" w:ascii="仿宋" w:hAnsi="仿宋" w:eastAsia="仿宋"/>
          <w:color w:val="000000"/>
          <w:sz w:val="32"/>
          <w:szCs w:val="32"/>
        </w:rPr>
        <w:t>14.67</w:t>
      </w:r>
      <w:r>
        <w:rPr>
          <w:rFonts w:ascii="仿宋" w:hAnsi="仿宋" w:eastAsia="仿宋"/>
          <w:color w:val="000000"/>
          <w:sz w:val="32"/>
          <w:szCs w:val="32"/>
        </w:rPr>
        <w:t>%；上缴上级支出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%；经营支出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%；对附属单位补助支出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（图3：支出决算结构图）</w:t>
      </w:r>
    </w:p>
    <w:p>
      <w:pPr>
        <w:jc w:val="center"/>
        <w:rPr>
          <w:rFonts w:ascii="仿宋_GB2312" w:eastAsia="仿宋_GB2312"/>
          <w:color w:val="FF0000"/>
          <w:sz w:val="32"/>
          <w:szCs w:val="32"/>
        </w:rPr>
      </w:pPr>
      <w:r>
        <w:rPr>
          <w:rFonts w:hint="eastAsia" w:ascii="仿宋_GB2312" w:eastAsia="仿宋_GB2312"/>
          <w:color w:val="FF0000"/>
          <w:sz w:val="32"/>
          <w:szCs w:val="32"/>
        </w:rPr>
        <w:drawing>
          <wp:inline distT="0" distB="0" distL="114300" distR="114300">
            <wp:extent cx="5304155" cy="3429000"/>
            <wp:effectExtent l="0" t="0" r="10795"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
      </w:pPr>
    </w:p>
    <w:p>
      <w:pPr>
        <w:pStyle w:val="4"/>
        <w:ind w:firstLine="643" w:firstLineChars="200"/>
        <w:rPr>
          <w:rFonts w:ascii="黑体" w:eastAsia="黑体" w:cs="Times New Roman"/>
          <w:bCs w:val="0"/>
          <w:color w:val="000000"/>
        </w:rPr>
      </w:pPr>
      <w:bookmarkStart w:id="35" w:name="_Toc15377208"/>
      <w:bookmarkStart w:id="36" w:name="_Toc6346"/>
      <w:bookmarkStart w:id="37" w:name="_Toc111208502"/>
      <w:r>
        <w:rPr>
          <w:rFonts w:hint="eastAsia" w:ascii="黑体" w:eastAsia="黑体" w:cs="Times New Roman"/>
          <w:bCs w:val="0"/>
          <w:color w:val="000000"/>
        </w:rPr>
        <w:t>四、财政拨款收入支出决算总体情况说明</w:t>
      </w:r>
      <w:bookmarkEnd w:id="35"/>
      <w:bookmarkEnd w:id="36"/>
      <w:bookmarkEnd w:id="37"/>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年财政拨款收、支总计380.36万元。与2021年相比，财政拨款收、支总计各增加380.36万元，增加100.00 %。主要变动原因是上年统一上报，今年分单位上报无上年数</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（图4：财政拨款收、支决算总计变动情况）</w:t>
      </w:r>
    </w:p>
    <w:p>
      <w:pPr>
        <w:pStyle w:val="2"/>
        <w:ind w:firstLine="0"/>
      </w:pPr>
    </w:p>
    <w:p>
      <w:pPr>
        <w:pStyle w:val="2"/>
        <w:jc w:val="left"/>
      </w:pPr>
      <w:r>
        <w:rPr>
          <w:rFonts w:hint="eastAsia" w:ascii="仿宋_GB2312" w:hAnsi="仿宋" w:eastAsia="仿宋_GB2312"/>
          <w:color w:val="000000"/>
          <w:sz w:val="32"/>
          <w:szCs w:val="32"/>
        </w:rPr>
        <w:drawing>
          <wp:inline distT="0" distB="0" distL="0" distR="0">
            <wp:extent cx="4981575" cy="3171825"/>
            <wp:effectExtent l="0" t="0" r="9525" b="952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
        <w:jc w:val="center"/>
      </w:pPr>
    </w:p>
    <w:p>
      <w:pPr>
        <w:pStyle w:val="4"/>
        <w:ind w:firstLine="643" w:firstLineChars="200"/>
        <w:rPr>
          <w:rFonts w:ascii="黑体" w:eastAsia="黑体" w:cs="Times New Roman"/>
          <w:bCs w:val="0"/>
          <w:color w:val="000000"/>
        </w:rPr>
      </w:pPr>
      <w:bookmarkStart w:id="38" w:name="_Toc15377209"/>
      <w:bookmarkStart w:id="39" w:name="_Toc111208503"/>
      <w:bookmarkStart w:id="40" w:name="_Toc17578"/>
      <w:r>
        <w:rPr>
          <w:rFonts w:hint="eastAsia" w:ascii="黑体" w:eastAsia="黑体" w:cs="Times New Roman"/>
          <w:bCs w:val="0"/>
          <w:color w:val="000000"/>
        </w:rPr>
        <w:t>五、一般公共预算财政拨款支出决算情况说</w:t>
      </w:r>
      <w:bookmarkEnd w:id="38"/>
      <w:r>
        <w:rPr>
          <w:rFonts w:hint="eastAsia" w:ascii="黑体" w:eastAsia="黑体" w:cs="Times New Roman"/>
          <w:bCs w:val="0"/>
          <w:color w:val="000000"/>
        </w:rPr>
        <w:t>明</w:t>
      </w:r>
      <w:bookmarkEnd w:id="39"/>
      <w:bookmarkEnd w:id="40"/>
    </w:p>
    <w:p>
      <w:pPr>
        <w:spacing w:line="600" w:lineRule="exact"/>
        <w:ind w:firstLine="643" w:firstLineChars="200"/>
        <w:outlineLvl w:val="2"/>
        <w:rPr>
          <w:rFonts w:ascii="仿宋" w:hAnsi="仿宋" w:eastAsia="仿宋"/>
          <w:b/>
          <w:color w:val="000000"/>
          <w:sz w:val="32"/>
          <w:szCs w:val="32"/>
        </w:rPr>
      </w:pPr>
      <w:bookmarkStart w:id="41" w:name="_Toc15377210"/>
      <w:r>
        <w:rPr>
          <w:rFonts w:hint="eastAsia" w:ascii="仿宋" w:hAnsi="仿宋" w:eastAsia="仿宋"/>
          <w:b/>
          <w:color w:val="000000"/>
          <w:sz w:val="32"/>
          <w:szCs w:val="32"/>
        </w:rPr>
        <w:t>（一）一般公共预算财政拨款支出决算总体情况</w:t>
      </w:r>
      <w:bookmarkEnd w:id="41"/>
    </w:p>
    <w:p>
      <w:pPr>
        <w:spacing w:line="600" w:lineRule="exact"/>
        <w:ind w:firstLine="640" w:firstLineChars="200"/>
        <w:rPr>
          <w:rFonts w:ascii="仿宋_GB2312" w:hAnsi="仿宋" w:eastAsia="仿宋_GB2312"/>
          <w:color w:val="000000"/>
          <w:sz w:val="32"/>
          <w:szCs w:val="32"/>
        </w:rPr>
      </w:pPr>
      <w:bookmarkStart w:id="42" w:name="_Toc15377211"/>
      <w:r>
        <w:rPr>
          <w:rFonts w:hint="eastAsia" w:ascii="仿宋" w:hAnsi="仿宋" w:eastAsia="仿宋"/>
          <w:color w:val="000000"/>
          <w:sz w:val="32"/>
          <w:szCs w:val="32"/>
        </w:rPr>
        <w:t>2022</w:t>
      </w:r>
      <w:r>
        <w:rPr>
          <w:rFonts w:ascii="仿宋" w:hAnsi="仿宋" w:eastAsia="仿宋"/>
          <w:color w:val="000000"/>
          <w:sz w:val="32"/>
          <w:u w:color="auto"/>
        </w:rPr>
        <w:t>年一般公共预算财政拨款支出380.36</w:t>
      </w:r>
      <w:r>
        <w:rPr>
          <w:rFonts w:hint="eastAsia" w:ascii="仿宋" w:hAnsi="仿宋" w:eastAsia="仿宋"/>
          <w:color w:val="000000"/>
          <w:sz w:val="32"/>
          <w:szCs w:val="32"/>
        </w:rPr>
        <w:t>万元，占本年支出合计的</w:t>
      </w:r>
      <w:r>
        <w:rPr>
          <w:rFonts w:ascii="仿宋" w:hAnsi="仿宋" w:eastAsia="仿宋"/>
          <w:color w:val="000000"/>
          <w:sz w:val="32"/>
          <w:u w:color="auto"/>
        </w:rPr>
        <w:t>100.00</w:t>
      </w:r>
      <w:r>
        <w:rPr>
          <w:rFonts w:hint="eastAsia" w:ascii="仿宋" w:hAnsi="仿宋" w:eastAsia="仿宋"/>
          <w:color w:val="000000"/>
          <w:sz w:val="32"/>
          <w:szCs w:val="32"/>
        </w:rPr>
        <w:t>%。与</w:t>
      </w:r>
      <w:r>
        <w:rPr>
          <w:rFonts w:ascii="仿宋" w:hAnsi="仿宋" w:eastAsia="仿宋"/>
          <w:color w:val="000000"/>
          <w:sz w:val="32"/>
          <w:u w:color="auto"/>
        </w:rPr>
        <w:t>2021相比，一般公共预算财政拨款增加380.36</w:t>
      </w:r>
      <w:r>
        <w:rPr>
          <w:rFonts w:hint="eastAsia" w:ascii="仿宋" w:hAnsi="仿宋" w:eastAsia="仿宋"/>
          <w:color w:val="000000"/>
          <w:sz w:val="32"/>
          <w:szCs w:val="32"/>
        </w:rPr>
        <w:t>万元，</w:t>
      </w:r>
      <w:r>
        <w:rPr>
          <w:rFonts w:ascii="仿宋" w:hAnsi="仿宋" w:eastAsia="仿宋"/>
          <w:color w:val="000000"/>
          <w:sz w:val="32"/>
          <w:u w:color="auto"/>
        </w:rPr>
        <w:t>增加100.00</w:t>
      </w:r>
      <w:r>
        <w:rPr>
          <w:rFonts w:hint="eastAsia" w:ascii="仿宋" w:hAnsi="仿宋" w:eastAsia="仿宋"/>
          <w:color w:val="000000"/>
          <w:sz w:val="32"/>
          <w:szCs w:val="32"/>
        </w:rPr>
        <w:t xml:space="preserve"> %。</w:t>
      </w:r>
      <w:r>
        <w:rPr>
          <w:rFonts w:ascii="仿宋" w:hAnsi="仿宋" w:eastAsia="仿宋"/>
          <w:color w:val="000000"/>
          <w:sz w:val="32"/>
          <w:u w:color="auto"/>
        </w:rPr>
        <w:t>主要变动原因是上年统一上报，今年分单位上报无上年数</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（图5：一般公共预算财政拨款支出决算变动情况）</w:t>
      </w:r>
    </w:p>
    <w:p>
      <w:pPr>
        <w:pStyle w:val="2"/>
        <w:ind w:firstLine="0"/>
        <w:rPr>
          <w:rFonts w:ascii="仿宋_GB2312" w:hAnsi="仿宋" w:eastAsia="仿宋_GB2312"/>
          <w:b/>
          <w:color w:val="000000"/>
          <w:sz w:val="32"/>
          <w:szCs w:val="32"/>
        </w:rPr>
      </w:pPr>
    </w:p>
    <w:p>
      <w:pPr>
        <w:pStyle w:val="2"/>
        <w:ind w:firstLine="0"/>
        <w:rPr>
          <w:rFonts w:ascii="仿宋_GB2312" w:hAnsi="仿宋" w:eastAsia="仿宋_GB2312"/>
          <w:b/>
          <w:color w:val="000000"/>
          <w:sz w:val="32"/>
          <w:szCs w:val="32"/>
        </w:rPr>
      </w:pPr>
      <w:r>
        <w:rPr>
          <w:rFonts w:hint="eastAsia" w:ascii="仿宋_GB2312" w:hAnsi="仿宋" w:eastAsia="仿宋_GB2312"/>
          <w:b/>
          <w:color w:val="000000"/>
          <w:sz w:val="32"/>
          <w:szCs w:val="32"/>
        </w:rPr>
        <w:drawing>
          <wp:inline distT="0" distB="0" distL="0" distR="0">
            <wp:extent cx="4905375" cy="3569970"/>
            <wp:effectExtent l="0" t="0" r="9525" b="1143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
        <w:ind w:firstLine="0"/>
        <w:rPr>
          <w:rFonts w:ascii="仿宋_GB2312" w:hAnsi="仿宋" w:eastAsia="仿宋_GB2312"/>
          <w:b/>
          <w:color w:val="000000"/>
          <w:sz w:val="32"/>
          <w:szCs w:val="32"/>
        </w:rPr>
      </w:pP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42"/>
      <w:r>
        <w:rPr>
          <w:rFonts w:hint="eastAsia" w:ascii="仿宋" w:hAnsi="仿宋" w:eastAsia="仿宋"/>
          <w:b/>
          <w:color w:val="000000"/>
          <w:sz w:val="32"/>
          <w:szCs w:val="32"/>
        </w:rPr>
        <w:t>（一般公共预算收支表）</w:t>
      </w:r>
    </w:p>
    <w:p>
      <w:pPr>
        <w:spacing w:line="60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 w:hAnsi="仿宋" w:eastAsia="仿宋"/>
          <w:color w:val="000000"/>
          <w:sz w:val="32"/>
          <w:szCs w:val="32"/>
        </w:rPr>
        <w:t>2022</w:t>
      </w:r>
      <w:r>
        <w:rPr>
          <w:rFonts w:ascii="仿宋" w:hAnsi="仿宋" w:eastAsia="仿宋"/>
          <w:color w:val="000000"/>
          <w:sz w:val="32"/>
          <w:u w:color="auto"/>
        </w:rPr>
        <w:t>年一般公共预算财政拨款支出380.36</w:t>
      </w:r>
      <w:r>
        <w:rPr>
          <w:rFonts w:hint="eastAsia" w:ascii="仿宋" w:hAnsi="仿宋" w:eastAsia="仿宋"/>
          <w:color w:val="000000"/>
          <w:sz w:val="32"/>
          <w:szCs w:val="32"/>
        </w:rPr>
        <w:t>万元，主要用于以下方面</w:t>
      </w:r>
      <w:r>
        <w:rPr>
          <w:rFonts w:hint="eastAsia" w:ascii="仿宋" w:hAnsi="仿宋" w:eastAsia="仿宋"/>
          <w:color w:val="000000"/>
          <w:sz w:val="32"/>
          <w:szCs w:val="32"/>
          <w:lang w:eastAsia="zh-CN"/>
        </w:rPr>
        <w:t>：</w:t>
      </w:r>
      <w:r>
        <w:rPr>
          <w:rFonts w:hint="eastAsia" w:ascii="仿宋" w:hAnsi="仿宋" w:eastAsia="仿宋"/>
          <w:color w:val="000000"/>
          <w:sz w:val="32"/>
          <w:szCs w:val="32"/>
        </w:rPr>
        <w:t xml:space="preserve"> </w:t>
      </w:r>
      <w:r>
        <w:rPr>
          <w:rFonts w:ascii="仿宋" w:hAnsi="仿宋" w:eastAsia="仿宋"/>
          <w:color w:val="000000"/>
          <w:sz w:val="32"/>
          <w:u w:color="auto"/>
        </w:rPr>
        <w:t>社会保障和就业支出73.08万元，占19.21%；卫生健康支出280.23万元，占73.67%；住房保障支出27.05万元，占7.12%。</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bookmarkStart w:id="43" w:name="_Toc15377212"/>
    </w:p>
    <w:p>
      <w:pPr>
        <w:pStyle w:val="2"/>
      </w:pPr>
      <w:r>
        <w:drawing>
          <wp:inline distT="0" distB="0" distL="0" distR="0">
            <wp:extent cx="4333240" cy="2886075"/>
            <wp:effectExtent l="0" t="0" r="1016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43"/>
    </w:p>
    <w:p>
      <w:pPr>
        <w:spacing w:line="600" w:lineRule="exact"/>
        <w:ind w:firstLine="640"/>
        <w:rPr>
          <w:rFonts w:ascii="仿宋" w:hAnsi="仿宋" w:eastAsia="仿宋"/>
          <w:color w:val="000000"/>
          <w:sz w:val="32"/>
          <w:szCs w:val="32"/>
        </w:rPr>
      </w:pPr>
      <w:bookmarkStart w:id="44" w:name="_Toc15377444"/>
      <w:bookmarkStart w:id="45" w:name="_Toc15378460"/>
      <w:bookmarkStart w:id="46" w:name="_Toc15377213"/>
      <w:r>
        <w:rPr>
          <w:rFonts w:hint="eastAsia" w:ascii="仿宋" w:hAnsi="仿宋" w:eastAsia="仿宋"/>
          <w:color w:val="000000"/>
          <w:sz w:val="32"/>
          <w:szCs w:val="32"/>
        </w:rPr>
        <w:t>2022</w:t>
      </w:r>
      <w:r>
        <w:rPr>
          <w:rFonts w:ascii="仿宋" w:hAnsi="仿宋" w:eastAsia="仿宋"/>
          <w:color w:val="000000"/>
          <w:sz w:val="32"/>
          <w:u w:color="auto"/>
        </w:rPr>
        <w:t>年一般公共预算支出决算数为380.36</w:t>
      </w:r>
      <w:r>
        <w:rPr>
          <w:rFonts w:hint="eastAsia" w:ascii="仿宋" w:hAnsi="仿宋" w:eastAsia="仿宋"/>
          <w:color w:val="000000"/>
          <w:sz w:val="32"/>
          <w:szCs w:val="32"/>
        </w:rPr>
        <w:t>万，完成预算100%。其中：</w:t>
      </w:r>
      <w:bookmarkEnd w:id="44"/>
      <w:bookmarkEnd w:id="45"/>
      <w:bookmarkEnd w:id="46"/>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1.社会保障和就业支出（208）人力资源和社会保障管理事务（20801）其他人力资源和社会保障管理事务支出（2080199）支出决算31.00万元，完成预算100%。</w:t>
      </w:r>
      <w:r>
        <w:rPr>
          <w:rFonts w:hint="eastAsia" w:ascii="仿宋" w:hAnsi="仿宋" w:eastAsia="仿宋"/>
          <w:color w:val="000000"/>
          <w:sz w:val="32"/>
          <w:szCs w:val="32"/>
        </w:rPr>
        <w:cr/>
      </w:r>
      <w:r>
        <w:rPr>
          <w:rFonts w:hint="eastAsia" w:ascii="仿宋" w:hAnsi="仿宋" w:eastAsia="仿宋"/>
          <w:color w:val="000000"/>
          <w:sz w:val="32"/>
          <w:szCs w:val="32"/>
        </w:rPr>
        <w:t>2.社会保障和就业支出（208）行政事业单位养老支出（20805）机关事业单位基本养老保险缴费支出（2080505）支出决算29.26万元，完成预算100%。</w:t>
      </w:r>
      <w:r>
        <w:rPr>
          <w:rFonts w:hint="eastAsia" w:ascii="仿宋" w:hAnsi="仿宋" w:eastAsia="仿宋"/>
          <w:color w:val="000000"/>
          <w:sz w:val="32"/>
          <w:szCs w:val="32"/>
        </w:rPr>
        <w:cr/>
      </w:r>
      <w:r>
        <w:rPr>
          <w:rFonts w:hint="eastAsia" w:ascii="仿宋" w:hAnsi="仿宋" w:eastAsia="仿宋"/>
          <w:color w:val="000000"/>
          <w:sz w:val="32"/>
          <w:szCs w:val="32"/>
        </w:rPr>
        <w:t>3.社会保障和就业支出（208）行政事业单位养老支出（20805）机关事业单位职业年金缴费支出（2080506）支出决算12.82万元，完成预算100%。</w:t>
      </w:r>
      <w:r>
        <w:rPr>
          <w:rFonts w:hint="eastAsia" w:ascii="仿宋" w:hAnsi="仿宋" w:eastAsia="仿宋"/>
          <w:color w:val="000000"/>
          <w:sz w:val="32"/>
          <w:szCs w:val="32"/>
        </w:rPr>
        <w:cr/>
      </w:r>
      <w:r>
        <w:rPr>
          <w:rFonts w:hint="eastAsia" w:ascii="仿宋" w:hAnsi="仿宋" w:eastAsia="仿宋"/>
          <w:color w:val="000000"/>
          <w:sz w:val="32"/>
          <w:szCs w:val="32"/>
        </w:rPr>
        <w:t>4.卫生健康支出（210）基层医疗卫生机构（21003）乡镇卫生院（2100302）支出决算238.67万元，完成预算100%。</w:t>
      </w:r>
      <w:r>
        <w:rPr>
          <w:rFonts w:hint="eastAsia" w:ascii="仿宋" w:hAnsi="仿宋" w:eastAsia="仿宋"/>
          <w:color w:val="000000"/>
          <w:sz w:val="32"/>
          <w:szCs w:val="32"/>
        </w:rPr>
        <w:cr/>
      </w:r>
      <w:r>
        <w:rPr>
          <w:rFonts w:hint="eastAsia" w:ascii="仿宋" w:hAnsi="仿宋" w:eastAsia="仿宋"/>
          <w:color w:val="000000"/>
          <w:sz w:val="32"/>
          <w:szCs w:val="32"/>
        </w:rPr>
        <w:t>5.卫生健康支出（210）基层医疗卫生机构（21003）其他基层医疗卫生机构支出（2100399）支出决算4.04万元，完成预算100%。</w:t>
      </w:r>
      <w:r>
        <w:rPr>
          <w:rFonts w:hint="eastAsia" w:ascii="仿宋" w:hAnsi="仿宋" w:eastAsia="仿宋"/>
          <w:color w:val="000000"/>
          <w:sz w:val="32"/>
          <w:szCs w:val="32"/>
        </w:rPr>
        <w:cr/>
      </w:r>
      <w:r>
        <w:rPr>
          <w:rFonts w:hint="eastAsia" w:ascii="仿宋" w:hAnsi="仿宋" w:eastAsia="仿宋"/>
          <w:color w:val="000000"/>
          <w:sz w:val="32"/>
          <w:szCs w:val="32"/>
        </w:rPr>
        <w:t>6.卫生健康支出（210）公共卫生（21004）基本公共卫生服务（2100408）支出决算20.76万元，完成预算100%。</w:t>
      </w:r>
      <w:r>
        <w:rPr>
          <w:rFonts w:hint="eastAsia" w:ascii="仿宋" w:hAnsi="仿宋" w:eastAsia="仿宋"/>
          <w:color w:val="000000"/>
          <w:sz w:val="32"/>
          <w:szCs w:val="32"/>
        </w:rPr>
        <w:cr/>
      </w:r>
      <w:r>
        <w:rPr>
          <w:rFonts w:hint="eastAsia" w:ascii="仿宋" w:hAnsi="仿宋" w:eastAsia="仿宋"/>
          <w:color w:val="000000"/>
          <w:sz w:val="32"/>
          <w:szCs w:val="32"/>
        </w:rPr>
        <w:t>7.卫生健康支出（210）行政事业单位医疗（21011）事业单位医疗（2101102）支出决算16.77万元，完成预算100%。</w:t>
      </w:r>
      <w:r>
        <w:rPr>
          <w:rFonts w:hint="eastAsia" w:ascii="仿宋" w:hAnsi="仿宋" w:eastAsia="仿宋"/>
          <w:color w:val="000000"/>
          <w:sz w:val="32"/>
          <w:szCs w:val="32"/>
        </w:rPr>
        <w:cr/>
      </w:r>
      <w:r>
        <w:rPr>
          <w:rFonts w:hint="eastAsia" w:ascii="仿宋" w:hAnsi="仿宋" w:eastAsia="仿宋"/>
          <w:color w:val="000000"/>
          <w:sz w:val="32"/>
          <w:szCs w:val="32"/>
        </w:rPr>
        <w:t>8.住房保障支出（221）住房改革支出（22102）住房公积金（2210201）支出决算27.05万元，完成预算100%。</w:t>
      </w:r>
    </w:p>
    <w:p>
      <w:pPr>
        <w:pStyle w:val="4"/>
        <w:ind w:firstLine="643" w:firstLineChars="200"/>
        <w:rPr>
          <w:rFonts w:ascii="黑体" w:eastAsia="黑体" w:cs="Times New Roman"/>
          <w:b w:val="0"/>
          <w:color w:val="000000"/>
        </w:rPr>
      </w:pPr>
      <w:bookmarkStart w:id="47" w:name="_Toc15377214"/>
      <w:bookmarkStart w:id="48" w:name="_Toc24000"/>
      <w:bookmarkStart w:id="49" w:name="_Toc111208504"/>
      <w:r>
        <w:rPr>
          <w:rFonts w:hint="eastAsia" w:ascii="黑体" w:eastAsia="黑体" w:cs="Times New Roman"/>
          <w:bCs w:val="0"/>
          <w:color w:val="000000"/>
        </w:rPr>
        <w:t>六、一般公共预算财政拨款基本支出决算情况说</w:t>
      </w:r>
      <w:bookmarkEnd w:id="47"/>
      <w:r>
        <w:rPr>
          <w:rFonts w:hint="eastAsia" w:ascii="黑体" w:eastAsia="黑体" w:cs="Times New Roman"/>
          <w:bCs w:val="0"/>
          <w:color w:val="000000"/>
        </w:rPr>
        <w:t>明</w:t>
      </w:r>
      <w:bookmarkEnd w:id="48"/>
      <w:bookmarkEnd w:id="49"/>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年一般公共预算财政拨款基本支出324.57</w:t>
      </w:r>
      <w:r>
        <w:rPr>
          <w:rFonts w:hint="eastAsia" w:ascii="仿宋" w:hAnsi="仿宋" w:eastAsia="仿宋"/>
          <w:color w:val="000000"/>
          <w:sz w:val="32"/>
          <w:szCs w:val="32"/>
        </w:rPr>
        <w:t>万元，其中：</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人员经费</w:t>
      </w:r>
      <w:r>
        <w:rPr>
          <w:rFonts w:ascii="仿宋" w:hAnsi="仿宋" w:eastAsia="仿宋"/>
          <w:color w:val="000000"/>
          <w:sz w:val="32"/>
          <w:u w:color="auto"/>
        </w:rPr>
        <w:t>321.10</w:t>
      </w:r>
      <w:r>
        <w:rPr>
          <w:rFonts w:hint="eastAsia" w:ascii="仿宋" w:hAnsi="仿宋" w:eastAsia="仿宋"/>
          <w:color w:val="000000"/>
          <w:sz w:val="32"/>
          <w:szCs w:val="32"/>
        </w:rPr>
        <w:t>万元，主要包括：</w:t>
      </w:r>
      <w:r>
        <w:rPr>
          <w:rFonts w:ascii="仿宋" w:hAnsi="仿宋" w:eastAsia="仿宋"/>
          <w:color w:val="000000"/>
          <w:sz w:val="32"/>
          <w:u w:color="auto"/>
        </w:rPr>
        <w:t>基本工资59.72万元、津贴补贴54.04万元、奖金80.66万元、绩效工资39.21万元、机关事业单位基本养老保险缴费29.26万元、职业年金缴费12.82万元、职工基本医疗保险缴费16.77万元、其他社会保障缴费1.56万元、住房公积金27.05万元、奖励金0.01万元。</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公用经费</w:t>
      </w:r>
      <w:r>
        <w:rPr>
          <w:rFonts w:ascii="仿宋" w:hAnsi="仿宋" w:eastAsia="仿宋"/>
          <w:color w:val="000000"/>
          <w:sz w:val="32"/>
          <w:u w:color="auto"/>
        </w:rPr>
        <w:t>3.46</w:t>
      </w:r>
      <w:r>
        <w:rPr>
          <w:rFonts w:hint="eastAsia" w:ascii="仿宋" w:hAnsi="仿宋" w:eastAsia="仿宋"/>
          <w:color w:val="000000"/>
          <w:sz w:val="32"/>
          <w:szCs w:val="32"/>
        </w:rPr>
        <w:t>万元，主要包括：</w:t>
      </w:r>
      <w:r>
        <w:rPr>
          <w:rFonts w:ascii="仿宋" w:hAnsi="仿宋" w:eastAsia="仿宋"/>
          <w:color w:val="000000"/>
          <w:sz w:val="32"/>
          <w:u w:color="auto"/>
        </w:rPr>
        <w:t>工会经费3.46万元</w:t>
      </w:r>
      <w:r>
        <w:rPr>
          <w:rFonts w:hint="eastAsia" w:ascii="仿宋" w:hAnsi="仿宋" w:eastAsia="仿宋"/>
          <w:color w:val="000000"/>
          <w:sz w:val="32"/>
          <w:szCs w:val="32"/>
        </w:rPr>
        <w:t>。</w:t>
      </w:r>
    </w:p>
    <w:p>
      <w:pPr>
        <w:pStyle w:val="4"/>
        <w:ind w:firstLine="643" w:firstLineChars="200"/>
        <w:rPr>
          <w:rFonts w:ascii="黑体" w:eastAsia="黑体" w:cs="Times New Roman"/>
          <w:bCs w:val="0"/>
          <w:color w:val="000000"/>
        </w:rPr>
      </w:pPr>
      <w:bookmarkStart w:id="50" w:name="_Toc111208505"/>
      <w:bookmarkStart w:id="51" w:name="_Toc32593"/>
      <w:bookmarkStart w:id="52" w:name="_Toc15377215"/>
      <w:r>
        <w:rPr>
          <w:rFonts w:hint="eastAsia" w:ascii="黑体" w:eastAsia="黑体" w:cs="Times New Roman"/>
          <w:bCs w:val="0"/>
          <w:color w:val="000000"/>
        </w:rPr>
        <w:t>七、“三公”经费财政拨款支出决算情况说明</w:t>
      </w:r>
      <w:bookmarkEnd w:id="50"/>
      <w:bookmarkEnd w:id="51"/>
      <w:bookmarkEnd w:id="52"/>
    </w:p>
    <w:p>
      <w:pPr>
        <w:spacing w:line="600" w:lineRule="exact"/>
        <w:ind w:firstLine="643" w:firstLineChars="200"/>
        <w:outlineLvl w:val="2"/>
        <w:rPr>
          <w:rFonts w:ascii="仿宋" w:hAnsi="仿宋" w:eastAsia="仿宋"/>
          <w:b/>
          <w:color w:val="000000"/>
          <w:sz w:val="32"/>
          <w:szCs w:val="32"/>
        </w:rPr>
      </w:pPr>
      <w:bookmarkStart w:id="53" w:name="_Toc15377216"/>
      <w:r>
        <w:rPr>
          <w:rFonts w:hint="eastAsia" w:ascii="仿宋" w:hAnsi="仿宋" w:eastAsia="仿宋"/>
          <w:b/>
          <w:color w:val="000000"/>
          <w:sz w:val="32"/>
          <w:szCs w:val="32"/>
        </w:rPr>
        <w:t>（一）“三公”经费财政拨款支出决算总体情况说明</w:t>
      </w:r>
      <w:bookmarkEnd w:id="53"/>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年“三公”经费财政拨款支出决算为0.00</w:t>
      </w:r>
      <w:r>
        <w:rPr>
          <w:rFonts w:hint="eastAsia" w:ascii="仿宋" w:hAnsi="仿宋" w:eastAsia="仿宋"/>
          <w:color w:val="000000"/>
          <w:sz w:val="32"/>
          <w:szCs w:val="32"/>
        </w:rPr>
        <w:t>万元，完成预算</w:t>
      </w:r>
      <w:r>
        <w:rPr>
          <w:rFonts w:ascii="仿宋" w:hAnsi="仿宋" w:eastAsia="仿宋"/>
          <w:color w:val="000000"/>
          <w:sz w:val="32"/>
          <w:u w:color="auto"/>
        </w:rPr>
        <w:t>0.00</w:t>
      </w:r>
      <w:r>
        <w:rPr>
          <w:rFonts w:hint="eastAsia" w:ascii="仿宋" w:hAnsi="仿宋" w:eastAsia="仿宋"/>
          <w:color w:val="000000"/>
          <w:sz w:val="32"/>
          <w:szCs w:val="32"/>
        </w:rPr>
        <w:t>%。</w:t>
      </w:r>
      <w:bookmarkStart w:id="54" w:name="_Toc15377217"/>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bookmarkEnd w:id="54"/>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年“三公”经费财政拨款支出0.00</w:t>
      </w:r>
      <w:r>
        <w:rPr>
          <w:rFonts w:hint="eastAsia" w:ascii="仿宋" w:hAnsi="仿宋" w:eastAsia="仿宋"/>
          <w:color w:val="000000"/>
          <w:sz w:val="32"/>
          <w:u w:color="auto"/>
          <w:lang w:eastAsia="zh-CN"/>
        </w:rPr>
        <w:t>万元</w:t>
      </w:r>
      <w:r>
        <w:rPr>
          <w:rFonts w:hint="eastAsia" w:ascii="仿宋" w:hAnsi="仿宋" w:eastAsia="仿宋"/>
          <w:color w:val="000000"/>
          <w:sz w:val="32"/>
          <w:szCs w:val="32"/>
        </w:rPr>
        <w:t>，因公出国（境）费支出决算</w:t>
      </w:r>
      <w:r>
        <w:rPr>
          <w:rFonts w:ascii="仿宋" w:hAnsi="仿宋" w:eastAsia="仿宋"/>
          <w:color w:val="000000"/>
          <w:sz w:val="32"/>
          <w:u w:color="auto"/>
        </w:rPr>
        <w:t>0.00</w:t>
      </w:r>
      <w:r>
        <w:rPr>
          <w:rFonts w:hint="eastAsia" w:ascii="仿宋" w:hAnsi="仿宋" w:eastAsia="仿宋"/>
          <w:color w:val="000000"/>
          <w:sz w:val="32"/>
          <w:szCs w:val="32"/>
        </w:rPr>
        <w:t>万元，占</w:t>
      </w:r>
      <w:r>
        <w:rPr>
          <w:rFonts w:ascii="仿宋" w:hAnsi="仿宋" w:eastAsia="仿宋"/>
          <w:color w:val="000000"/>
          <w:sz w:val="32"/>
          <w:u w:color="auto"/>
        </w:rPr>
        <w:t>0.00</w:t>
      </w:r>
      <w:r>
        <w:rPr>
          <w:rFonts w:hint="eastAsia" w:ascii="仿宋" w:hAnsi="仿宋" w:eastAsia="仿宋"/>
          <w:color w:val="000000"/>
          <w:sz w:val="32"/>
          <w:szCs w:val="32"/>
        </w:rPr>
        <w:t>%；公务用车购置及运行维护费支出决算</w:t>
      </w:r>
      <w:r>
        <w:rPr>
          <w:rFonts w:ascii="仿宋" w:hAnsi="仿宋" w:eastAsia="仿宋"/>
          <w:color w:val="000000"/>
          <w:sz w:val="32"/>
          <w:u w:color="auto"/>
        </w:rPr>
        <w:t>0.00</w:t>
      </w:r>
      <w:r>
        <w:rPr>
          <w:rFonts w:hint="eastAsia" w:ascii="仿宋" w:hAnsi="仿宋" w:eastAsia="仿宋"/>
          <w:color w:val="000000"/>
          <w:sz w:val="32"/>
          <w:szCs w:val="32"/>
        </w:rPr>
        <w:t>万元，占</w:t>
      </w:r>
      <w:r>
        <w:rPr>
          <w:rFonts w:ascii="仿宋" w:hAnsi="仿宋" w:eastAsia="仿宋"/>
          <w:color w:val="000000"/>
          <w:sz w:val="32"/>
          <w:u w:color="auto"/>
        </w:rPr>
        <w:t>0.00</w:t>
      </w:r>
      <w:r>
        <w:rPr>
          <w:rFonts w:hint="eastAsia" w:ascii="仿宋" w:hAnsi="仿宋" w:eastAsia="仿宋"/>
          <w:color w:val="000000"/>
          <w:sz w:val="32"/>
          <w:szCs w:val="32"/>
        </w:rPr>
        <w:t>%；公务接待费支出决算</w:t>
      </w:r>
      <w:r>
        <w:rPr>
          <w:rFonts w:ascii="仿宋" w:hAnsi="仿宋" w:eastAsia="仿宋"/>
          <w:color w:val="000000"/>
          <w:sz w:val="32"/>
          <w:u w:color="auto"/>
        </w:rPr>
        <w:t>0.00</w:t>
      </w:r>
      <w:r>
        <w:rPr>
          <w:rFonts w:hint="eastAsia" w:ascii="仿宋" w:hAnsi="仿宋" w:eastAsia="仿宋"/>
          <w:color w:val="000000"/>
          <w:sz w:val="32"/>
          <w:szCs w:val="32"/>
        </w:rPr>
        <w:t>万元，占</w:t>
      </w:r>
      <w:r>
        <w:rPr>
          <w:rFonts w:ascii="仿宋" w:hAnsi="仿宋" w:eastAsia="仿宋"/>
          <w:color w:val="000000"/>
          <w:sz w:val="32"/>
          <w:u w:color="auto"/>
        </w:rPr>
        <w:t>0.00</w:t>
      </w:r>
      <w:r>
        <w:rPr>
          <w:rFonts w:hint="eastAsia" w:ascii="仿宋" w:hAnsi="仿宋" w:eastAsia="仿宋"/>
          <w:color w:val="000000"/>
          <w:sz w:val="32"/>
          <w:szCs w:val="32"/>
        </w:rPr>
        <w:t>%。具体情况如下：</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（图7：“三公”经费财政拨款支出结构）</w:t>
      </w:r>
    </w:p>
    <w:p>
      <w:pPr>
        <w:pStyle w:val="2"/>
        <w:rPr>
          <w:rFonts w:ascii="仿宋_GB2312" w:hAnsi="仿宋" w:eastAsia="仿宋_GB2312"/>
          <w:color w:val="000000"/>
          <w:sz w:val="32"/>
          <w:szCs w:val="32"/>
        </w:rPr>
      </w:pPr>
      <w:r>
        <w:drawing>
          <wp:inline distT="0" distB="0" distL="0" distR="0">
            <wp:extent cx="4333240" cy="2886075"/>
            <wp:effectExtent l="0" t="0" r="1016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1.因公出国（境）经费支出</w:t>
      </w:r>
      <w:r>
        <w:rPr>
          <w:rFonts w:ascii="仿宋" w:hAnsi="仿宋" w:eastAsia="仿宋"/>
          <w:color w:val="000000"/>
          <w:sz w:val="32"/>
          <w:u w:color="auto"/>
        </w:rPr>
        <w:t>0.00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完成预算100%。全年安排因公出国（境）团组</w:t>
      </w:r>
      <w:r>
        <w:rPr>
          <w:rFonts w:ascii="仿宋" w:hAnsi="仿宋" w:eastAsia="仿宋"/>
          <w:color w:val="000000"/>
          <w:sz w:val="32"/>
          <w:u w:color="auto"/>
        </w:rPr>
        <w:t>0</w:t>
      </w:r>
      <w:r>
        <w:rPr>
          <w:rFonts w:hint="eastAsia" w:ascii="仿宋" w:hAnsi="仿宋" w:eastAsia="仿宋"/>
          <w:color w:val="000000"/>
          <w:sz w:val="32"/>
          <w:szCs w:val="32"/>
        </w:rPr>
        <w:t>次，出国（境）</w:t>
      </w:r>
      <w:r>
        <w:rPr>
          <w:rFonts w:ascii="仿宋" w:hAnsi="仿宋" w:eastAsia="仿宋"/>
          <w:color w:val="000000"/>
          <w:sz w:val="32"/>
          <w:u w:color="auto"/>
        </w:rPr>
        <w:t>0</w:t>
      </w:r>
      <w:r>
        <w:rPr>
          <w:rFonts w:hint="eastAsia" w:ascii="仿宋" w:hAnsi="仿宋" w:eastAsia="仿宋"/>
          <w:color w:val="000000"/>
          <w:sz w:val="32"/>
          <w:szCs w:val="32"/>
        </w:rPr>
        <w:t>人。因公出国（境）支出决算比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增加100.00</w:t>
      </w:r>
      <w:r>
        <w:rPr>
          <w:rFonts w:hint="eastAsia" w:ascii="仿宋" w:hAnsi="仿宋" w:eastAsia="仿宋"/>
          <w:color w:val="000000"/>
          <w:sz w:val="32"/>
          <w:szCs w:val="32"/>
        </w:rPr>
        <w:t xml:space="preserve"> %。</w:t>
      </w:r>
      <w:r>
        <w:rPr>
          <w:rFonts w:ascii="仿宋" w:hAnsi="仿宋" w:eastAsia="仿宋"/>
          <w:color w:val="000000"/>
          <w:sz w:val="32"/>
          <w:u w:color="auto"/>
        </w:rPr>
        <w:t xml:space="preserve">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2.公务用车购置及运行维护费支出</w:t>
      </w:r>
      <w:r>
        <w:rPr>
          <w:rFonts w:ascii="仿宋" w:hAnsi="仿宋" w:eastAsia="仿宋"/>
          <w:color w:val="000000"/>
          <w:sz w:val="32"/>
          <w:u w:color="auto"/>
        </w:rPr>
        <w:t>0.00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完成预算</w:t>
      </w:r>
      <w:r>
        <w:rPr>
          <w:rFonts w:ascii="仿宋" w:hAnsi="仿宋" w:eastAsia="仿宋"/>
          <w:color w:val="000000"/>
          <w:sz w:val="32"/>
          <w:u w:color="auto"/>
        </w:rPr>
        <w:t>0.00</w:t>
      </w:r>
      <w:r>
        <w:rPr>
          <w:rFonts w:hint="eastAsia" w:ascii="仿宋" w:hAnsi="仿宋" w:eastAsia="仿宋"/>
          <w:color w:val="000000"/>
          <w:sz w:val="32"/>
          <w:szCs w:val="32"/>
        </w:rPr>
        <w:t>%。公务用车购置及运行维护费支出决算比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增加0</w:t>
      </w:r>
      <w:r>
        <w:rPr>
          <w:rFonts w:hint="eastAsia" w:ascii="仿宋" w:hAnsi="仿宋" w:eastAsia="仿宋"/>
          <w:color w:val="000000"/>
          <w:sz w:val="32"/>
          <w:szCs w:val="32"/>
        </w:rPr>
        <w:t>%。</w:t>
      </w:r>
      <w:r>
        <w:rPr>
          <w:rFonts w:ascii="仿宋" w:hAnsi="仿宋" w:eastAsia="仿宋"/>
          <w:color w:val="000000"/>
          <w:sz w:val="32"/>
          <w:u w:color="auto"/>
        </w:rPr>
        <w:t xml:space="preserve">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其中：公务用车购置支出</w:t>
      </w:r>
      <w:r>
        <w:rPr>
          <w:rFonts w:ascii="仿宋" w:hAnsi="仿宋" w:eastAsia="仿宋"/>
          <w:color w:val="000000"/>
          <w:sz w:val="32"/>
          <w:u w:color="auto"/>
        </w:rPr>
        <w:t>0.00万元。全年按规定更新购置公务用车1辆，其中：轿车0辆、金额0.00万元，越野车0辆、金额0.00万元，载客汽车0辆、金额0.00万元。截至</w:t>
      </w:r>
      <w:r>
        <w:rPr>
          <w:rFonts w:ascii="仿宋" w:hAnsi="仿宋" w:eastAsia="仿宋"/>
          <w:color w:val="000000"/>
          <w:sz w:val="32"/>
          <w:szCs w:val="32"/>
        </w:rPr>
        <w:t>20</w:t>
      </w:r>
      <w:r>
        <w:rPr>
          <w:rFonts w:hint="eastAsia" w:ascii="仿宋" w:hAnsi="仿宋" w:eastAsia="仿宋"/>
          <w:color w:val="000000"/>
          <w:sz w:val="32"/>
          <w:szCs w:val="32"/>
        </w:rPr>
        <w:t>21年</w:t>
      </w:r>
      <w:r>
        <w:rPr>
          <w:rFonts w:ascii="仿宋" w:hAnsi="仿宋" w:eastAsia="仿宋"/>
          <w:color w:val="000000"/>
          <w:sz w:val="32"/>
          <w:szCs w:val="32"/>
        </w:rPr>
        <w:t>12</w:t>
      </w:r>
      <w:r>
        <w:rPr>
          <w:rFonts w:hint="eastAsia" w:ascii="仿宋" w:hAnsi="仿宋" w:eastAsia="仿宋"/>
          <w:color w:val="000000"/>
          <w:sz w:val="32"/>
          <w:szCs w:val="32"/>
        </w:rPr>
        <w:t>月底，单位共有公务用车</w:t>
      </w:r>
      <w:r>
        <w:rPr>
          <w:rFonts w:ascii="仿宋" w:hAnsi="仿宋" w:eastAsia="仿宋"/>
          <w:color w:val="000000"/>
          <w:sz w:val="32"/>
          <w:u w:color="auto"/>
        </w:rPr>
        <w:t>1</w:t>
      </w:r>
      <w:r>
        <w:rPr>
          <w:rFonts w:hint="eastAsia" w:ascii="仿宋" w:hAnsi="仿宋" w:eastAsia="仿宋"/>
          <w:color w:val="000000"/>
          <w:sz w:val="32"/>
          <w:szCs w:val="32"/>
        </w:rPr>
        <w:t>辆，其中：轿车</w:t>
      </w:r>
      <w:r>
        <w:rPr>
          <w:rFonts w:ascii="仿宋" w:hAnsi="仿宋" w:eastAsia="仿宋"/>
          <w:color w:val="000000"/>
          <w:sz w:val="32"/>
          <w:u w:color="auto"/>
        </w:rPr>
        <w:t>0辆、越野车0辆、载客汽车0辆。</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公务用车运行维护费支出</w:t>
      </w:r>
      <w:r>
        <w:rPr>
          <w:rFonts w:ascii="仿宋" w:hAnsi="仿宋" w:eastAsia="仿宋"/>
          <w:color w:val="000000"/>
          <w:sz w:val="32"/>
          <w:u w:color="auto"/>
        </w:rPr>
        <w:t>0.00</w:t>
      </w:r>
      <w:r>
        <w:rPr>
          <w:rFonts w:hint="eastAsia" w:ascii="仿宋" w:hAnsi="仿宋" w:eastAsia="仿宋"/>
          <w:color w:val="000000"/>
          <w:sz w:val="32"/>
          <w:szCs w:val="32"/>
        </w:rPr>
        <w:t>万元。</w:t>
      </w:r>
      <w:r>
        <w:rPr>
          <w:rFonts w:ascii="仿宋" w:hAnsi="仿宋" w:eastAsia="仿宋"/>
          <w:color w:val="000000"/>
          <w:sz w:val="32"/>
          <w:u w:color="auto"/>
        </w:rPr>
        <w:t xml:space="preserve">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3.公务接待费支出</w:t>
      </w:r>
      <w:r>
        <w:rPr>
          <w:rFonts w:ascii="仿宋" w:hAnsi="仿宋" w:eastAsia="仿宋"/>
          <w:color w:val="000000"/>
          <w:sz w:val="32"/>
          <w:u w:color="auto"/>
        </w:rPr>
        <w:t>0.00万元，完成预算0.00</w:t>
      </w:r>
      <w:r>
        <w:rPr>
          <w:rFonts w:hint="eastAsia" w:ascii="仿宋" w:hAnsi="仿宋" w:eastAsia="仿宋"/>
          <w:color w:val="000000"/>
          <w:sz w:val="32"/>
          <w:szCs w:val="32"/>
        </w:rPr>
        <w:t>%。公务接待费支出决算比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增加100.00</w:t>
      </w:r>
      <w:r>
        <w:rPr>
          <w:rFonts w:ascii="仿宋" w:hAnsi="仿宋" w:eastAsia="仿宋"/>
          <w:color w:val="000000"/>
          <w:sz w:val="32"/>
          <w:szCs w:val="32"/>
        </w:rPr>
        <w:t>%</w:t>
      </w:r>
      <w:r>
        <w:rPr>
          <w:rFonts w:hint="eastAsia" w:ascii="仿宋" w:hAnsi="仿宋" w:eastAsia="仿宋"/>
          <w:color w:val="000000"/>
          <w:sz w:val="32"/>
          <w:szCs w:val="32"/>
        </w:rPr>
        <w:t>。</w:t>
      </w:r>
      <w:bookmarkStart w:id="55" w:name="_Toc15377218"/>
      <w:r>
        <w:rPr>
          <w:rFonts w:hint="eastAsia"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国内公务接待支出</w:t>
      </w:r>
      <w:r>
        <w:rPr>
          <w:rFonts w:ascii="仿宋" w:hAnsi="仿宋" w:eastAsia="仿宋"/>
          <w:color w:val="000000"/>
          <w:sz w:val="32"/>
          <w:u w:color="auto"/>
        </w:rPr>
        <w:t>0.00万元。国内公务接待0批次，0人次（不包括陪同人员），共计支出0.00万元。</w:t>
      </w:r>
    </w:p>
    <w:p>
      <w:pPr>
        <w:pStyle w:val="2"/>
        <w:rPr>
          <w:rFonts w:ascii="仿宋" w:hAnsi="仿宋" w:eastAsia="仿宋"/>
          <w:color w:val="000000"/>
          <w:sz w:val="32"/>
          <w:szCs w:val="32"/>
        </w:rPr>
      </w:pPr>
      <w:r>
        <w:rPr>
          <w:rFonts w:hint="eastAsia" w:ascii="仿宋" w:hAnsi="仿宋" w:eastAsia="仿宋"/>
          <w:color w:val="000000"/>
          <w:sz w:val="32"/>
          <w:szCs w:val="32"/>
        </w:rPr>
        <w:t>外事接待支出</w:t>
      </w:r>
      <w:r>
        <w:rPr>
          <w:rFonts w:ascii="仿宋" w:hAnsi="仿宋" w:eastAsia="仿宋"/>
          <w:color w:val="000000"/>
          <w:sz w:val="32"/>
          <w:u w:color="auto"/>
        </w:rPr>
        <w:t>0.00万元，外事接待0批次，0人，共计支出0.00万元。</w:t>
      </w:r>
    </w:p>
    <w:p>
      <w:pPr>
        <w:pStyle w:val="4"/>
        <w:ind w:firstLine="643" w:firstLineChars="200"/>
        <w:rPr>
          <w:rFonts w:ascii="黑体" w:eastAsia="黑体" w:cs="Times New Roman"/>
          <w:bCs w:val="0"/>
          <w:color w:val="000000"/>
        </w:rPr>
      </w:pPr>
      <w:bookmarkStart w:id="56" w:name="_Toc111208506"/>
      <w:bookmarkStart w:id="57" w:name="_Toc19281"/>
      <w:r>
        <w:rPr>
          <w:rFonts w:hint="eastAsia" w:ascii="黑体" w:eastAsia="黑体" w:cs="Times New Roman"/>
          <w:bCs w:val="0"/>
          <w:color w:val="000000"/>
        </w:rPr>
        <w:t>八、政府性基金预算支出决算情况说明</w:t>
      </w:r>
      <w:bookmarkEnd w:id="55"/>
      <w:bookmarkEnd w:id="56"/>
      <w:bookmarkEnd w:id="57"/>
    </w:p>
    <w:p>
      <w:pPr>
        <w:spacing w:line="600" w:lineRule="exact"/>
        <w:ind w:firstLine="640"/>
        <w:rPr>
          <w:rFonts w:ascii="仿宋" w:hAnsi="仿宋" w:eastAsia="仿宋"/>
        </w:rPr>
      </w:pPr>
      <w:r>
        <w:rPr>
          <w:rFonts w:hint="eastAsia" w:ascii="仿宋" w:hAnsi="仿宋" w:eastAsia="仿宋"/>
          <w:color w:val="000000"/>
          <w:sz w:val="32"/>
          <w:szCs w:val="32"/>
        </w:rPr>
        <w:t>2022</w:t>
      </w:r>
      <w:r>
        <w:rPr>
          <w:rFonts w:ascii="仿宋" w:hAnsi="仿宋" w:eastAsia="仿宋"/>
          <w:color w:val="000000"/>
          <w:sz w:val="32"/>
          <w:u w:color="auto"/>
        </w:rPr>
        <w:t>年政府性基金预算拨款支出0.00</w:t>
      </w:r>
      <w:r>
        <w:rPr>
          <w:rFonts w:hint="eastAsia" w:ascii="仿宋" w:hAnsi="仿宋" w:eastAsia="仿宋"/>
          <w:color w:val="000000"/>
          <w:sz w:val="32"/>
          <w:szCs w:val="32"/>
        </w:rPr>
        <w:t>万元。</w:t>
      </w:r>
      <w:bookmarkStart w:id="58" w:name="_Toc15377219"/>
    </w:p>
    <w:p>
      <w:pPr>
        <w:pStyle w:val="4"/>
        <w:ind w:firstLine="643" w:firstLineChars="200"/>
        <w:rPr>
          <w:rFonts w:ascii="黑体" w:eastAsia="黑体" w:cs="Times New Roman"/>
          <w:bCs w:val="0"/>
          <w:color w:val="000000"/>
        </w:rPr>
      </w:pPr>
      <w:bookmarkStart w:id="59" w:name="_Toc111208507"/>
      <w:bookmarkStart w:id="60" w:name="_Toc12199"/>
      <w:r>
        <w:rPr>
          <w:rFonts w:hint="eastAsia" w:ascii="黑体" w:eastAsia="黑体" w:cs="Times New Roman"/>
          <w:bCs w:val="0"/>
          <w:color w:val="000000"/>
        </w:rPr>
        <w:t>九、国有资本经营预算支出决算情况说明</w:t>
      </w:r>
      <w:bookmarkEnd w:id="58"/>
      <w:bookmarkEnd w:id="59"/>
      <w:bookmarkEnd w:id="60"/>
    </w:p>
    <w:p>
      <w:pPr>
        <w:spacing w:line="600" w:lineRule="exact"/>
        <w:ind w:firstLine="640"/>
        <w:rPr>
          <w:rFonts w:ascii="仿宋" w:hAnsi="仿宋" w:eastAsia="仿宋"/>
        </w:rPr>
      </w:pPr>
      <w:r>
        <w:rPr>
          <w:rFonts w:hint="eastAsia" w:ascii="仿宋" w:hAnsi="仿宋" w:eastAsia="仿宋"/>
          <w:color w:val="000000"/>
          <w:sz w:val="32"/>
          <w:szCs w:val="32"/>
        </w:rPr>
        <w:t>2022</w:t>
      </w:r>
      <w:r>
        <w:rPr>
          <w:rFonts w:ascii="仿宋" w:hAnsi="仿宋" w:eastAsia="仿宋"/>
          <w:color w:val="000000"/>
          <w:sz w:val="32"/>
          <w:u w:color="auto"/>
        </w:rPr>
        <w:t>年国有资本经营预算拨款支出0.00</w:t>
      </w:r>
      <w:r>
        <w:rPr>
          <w:rFonts w:hint="eastAsia" w:ascii="仿宋" w:hAnsi="仿宋" w:eastAsia="仿宋"/>
          <w:color w:val="000000"/>
          <w:sz w:val="32"/>
          <w:szCs w:val="32"/>
        </w:rPr>
        <w:t>万元。</w:t>
      </w:r>
    </w:p>
    <w:p>
      <w:pPr>
        <w:pStyle w:val="4"/>
        <w:ind w:firstLine="643" w:firstLineChars="200"/>
        <w:rPr>
          <w:rFonts w:ascii="黑体" w:eastAsia="黑体" w:cs="Times New Roman"/>
          <w:bCs w:val="0"/>
          <w:color w:val="000000"/>
        </w:rPr>
      </w:pPr>
      <w:bookmarkStart w:id="61" w:name="_Toc111208508"/>
      <w:bookmarkStart w:id="62" w:name="_Toc23126"/>
      <w:bookmarkStart w:id="63" w:name="_Toc15377221"/>
      <w:r>
        <w:rPr>
          <w:rFonts w:hint="eastAsia" w:ascii="黑体" w:eastAsia="黑体" w:cs="Times New Roman"/>
          <w:bCs w:val="0"/>
          <w:color w:val="000000"/>
        </w:rPr>
        <w:t>十、其他重要事项的情况说明</w:t>
      </w:r>
      <w:bookmarkEnd w:id="61"/>
      <w:bookmarkEnd w:id="62"/>
      <w:bookmarkEnd w:id="63"/>
    </w:p>
    <w:p>
      <w:pPr>
        <w:spacing w:line="600" w:lineRule="exact"/>
        <w:ind w:firstLine="643" w:firstLineChars="200"/>
        <w:outlineLvl w:val="2"/>
        <w:rPr>
          <w:rFonts w:ascii="仿宋" w:hAnsi="仿宋" w:eastAsia="仿宋"/>
          <w:b/>
          <w:color w:val="000000"/>
          <w:sz w:val="32"/>
          <w:szCs w:val="32"/>
        </w:rPr>
      </w:pPr>
      <w:bookmarkStart w:id="64" w:name="_Toc15377222"/>
      <w:r>
        <w:rPr>
          <w:rFonts w:hint="eastAsia" w:ascii="仿宋" w:hAnsi="仿宋" w:eastAsia="仿宋"/>
          <w:b/>
          <w:color w:val="000000"/>
          <w:sz w:val="32"/>
          <w:szCs w:val="32"/>
        </w:rPr>
        <w:t>（一）机关运行经费支出情况</w:t>
      </w:r>
      <w:bookmarkEnd w:id="64"/>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年，机关运行经费支出0.00</w:t>
      </w:r>
      <w:r>
        <w:rPr>
          <w:rFonts w:hint="eastAsia" w:ascii="仿宋" w:hAnsi="仿宋" w:eastAsia="仿宋"/>
          <w:color w:val="000000"/>
          <w:sz w:val="32"/>
          <w:szCs w:val="32"/>
        </w:rPr>
        <w:t>万元，比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 xml:space="preserve">增加100.00 %。 </w:t>
      </w:r>
    </w:p>
    <w:p>
      <w:pPr>
        <w:spacing w:line="600" w:lineRule="exact"/>
        <w:ind w:firstLine="643" w:firstLineChars="200"/>
        <w:outlineLvl w:val="2"/>
        <w:rPr>
          <w:rFonts w:ascii="仿宋" w:hAnsi="仿宋" w:eastAsia="仿宋"/>
          <w:b/>
          <w:color w:val="000000"/>
          <w:sz w:val="32"/>
          <w:szCs w:val="32"/>
        </w:rPr>
      </w:pPr>
      <w:bookmarkStart w:id="65" w:name="_Toc15377223"/>
      <w:r>
        <w:rPr>
          <w:rFonts w:hint="eastAsia" w:ascii="仿宋" w:hAnsi="仿宋" w:eastAsia="仿宋"/>
          <w:b/>
          <w:color w:val="000000"/>
          <w:sz w:val="32"/>
          <w:szCs w:val="32"/>
        </w:rPr>
        <w:t>（二）政府采购支出情况</w:t>
      </w:r>
      <w:bookmarkEnd w:id="65"/>
      <w:r>
        <w:rPr>
          <w:rFonts w:hint="eastAsia" w:ascii="仿宋" w:hAnsi="仿宋" w:eastAsia="仿宋"/>
          <w:b/>
          <w:color w:val="000000"/>
          <w:sz w:val="32"/>
          <w:szCs w:val="32"/>
          <w:lang w:eastAsia="zh-CN"/>
        </w:rPr>
        <w:t>（</w:t>
      </w:r>
      <w:r>
        <w:rPr>
          <w:rFonts w:hint="eastAsia" w:ascii="仿宋" w:hAnsi="仿宋" w:eastAsia="仿宋"/>
          <w:b/>
          <w:color w:val="000000"/>
          <w:sz w:val="32"/>
          <w:szCs w:val="32"/>
        </w:rPr>
        <w:t>机构运行信息表</w:t>
      </w:r>
      <w:r>
        <w:rPr>
          <w:rFonts w:hint="eastAsia" w:ascii="仿宋" w:hAnsi="仿宋" w:eastAsia="仿宋"/>
          <w:b/>
          <w:color w:val="000000"/>
          <w:sz w:val="32"/>
          <w:szCs w:val="32"/>
          <w:lang w:eastAsia="zh-CN"/>
        </w:rPr>
        <w:t>）</w:t>
      </w:r>
    </w:p>
    <w:p>
      <w:pPr>
        <w:spacing w:line="600" w:lineRule="exact"/>
        <w:ind w:firstLine="640"/>
        <w:rPr>
          <w:rFonts w:ascii="仿宋_GB2312" w:eastAsia="仿宋_GB2312"/>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年，政府采购支出总额0.00</w:t>
      </w:r>
      <w:r>
        <w:rPr>
          <w:rFonts w:hint="eastAsia" w:ascii="仿宋" w:hAnsi="仿宋" w:eastAsia="仿宋"/>
          <w:color w:val="000000"/>
          <w:sz w:val="32"/>
          <w:szCs w:val="32"/>
        </w:rPr>
        <w:t>万元，其中：政府采购货物支出</w:t>
      </w:r>
      <w:r>
        <w:rPr>
          <w:rFonts w:ascii="仿宋" w:hAnsi="仿宋" w:eastAsia="仿宋"/>
          <w:color w:val="000000"/>
          <w:sz w:val="32"/>
          <w:u w:color="auto"/>
        </w:rPr>
        <w:t>0.00</w:t>
      </w:r>
      <w:r>
        <w:rPr>
          <w:rFonts w:hint="eastAsia" w:ascii="仿宋" w:hAnsi="仿宋" w:eastAsia="仿宋"/>
          <w:color w:val="000000"/>
          <w:sz w:val="32"/>
          <w:szCs w:val="32"/>
        </w:rPr>
        <w:t>万元、政府采购工程支出</w:t>
      </w:r>
      <w:r>
        <w:rPr>
          <w:rFonts w:ascii="仿宋" w:hAnsi="仿宋" w:eastAsia="仿宋"/>
          <w:color w:val="000000"/>
          <w:sz w:val="32"/>
          <w:u w:color="auto"/>
        </w:rPr>
        <w:t>0.00</w:t>
      </w:r>
      <w:r>
        <w:rPr>
          <w:rFonts w:hint="eastAsia" w:ascii="仿宋" w:hAnsi="仿宋" w:eastAsia="仿宋"/>
          <w:color w:val="000000"/>
          <w:sz w:val="32"/>
          <w:szCs w:val="32"/>
        </w:rPr>
        <w:t>万元、政府采购服务支出</w:t>
      </w:r>
      <w:r>
        <w:rPr>
          <w:rFonts w:ascii="仿宋" w:hAnsi="仿宋" w:eastAsia="仿宋"/>
          <w:color w:val="000000"/>
          <w:sz w:val="32"/>
          <w:u w:color="auto"/>
        </w:rPr>
        <w:t>0.00</w:t>
      </w:r>
      <w:r>
        <w:rPr>
          <w:rFonts w:hint="eastAsia" w:ascii="仿宋" w:hAnsi="仿宋" w:eastAsia="仿宋"/>
          <w:color w:val="000000"/>
          <w:sz w:val="32"/>
          <w:szCs w:val="32"/>
        </w:rPr>
        <w:t>万元。授予中小企业合同金额</w:t>
      </w:r>
      <w:r>
        <w:rPr>
          <w:rFonts w:ascii="仿宋" w:hAnsi="仿宋" w:eastAsia="仿宋"/>
          <w:color w:val="000000"/>
          <w:sz w:val="32"/>
          <w:u w:color="auto"/>
        </w:rPr>
        <w:t>0.00</w:t>
      </w:r>
      <w:r>
        <w:rPr>
          <w:rFonts w:hint="eastAsia" w:ascii="仿宋" w:hAnsi="仿宋" w:eastAsia="仿宋"/>
          <w:color w:val="000000"/>
          <w:sz w:val="32"/>
          <w:szCs w:val="32"/>
        </w:rPr>
        <w:t>万元，其中：授予小微企业合同金额</w:t>
      </w:r>
      <w:r>
        <w:rPr>
          <w:rFonts w:ascii="仿宋" w:hAnsi="仿宋" w:eastAsia="仿宋"/>
          <w:color w:val="000000"/>
          <w:sz w:val="32"/>
          <w:u w:color="auto"/>
        </w:rPr>
        <w:t>0.00</w:t>
      </w:r>
      <w:r>
        <w:rPr>
          <w:rFonts w:hint="eastAsia" w:ascii="仿宋" w:hAnsi="仿宋" w:eastAsia="仿宋"/>
          <w:color w:val="000000"/>
          <w:sz w:val="32"/>
          <w:szCs w:val="32"/>
        </w:rPr>
        <w:t>万元，占总合同的</w:t>
      </w:r>
      <w:r>
        <w:rPr>
          <w:rFonts w:ascii="仿宋" w:hAnsi="仿宋" w:eastAsia="仿宋"/>
          <w:color w:val="000000"/>
          <w:sz w:val="32"/>
          <w:u w:color="auto"/>
        </w:rPr>
        <w:t>0.00</w:t>
      </w:r>
      <w:r>
        <w:rPr>
          <w:rFonts w:hint="eastAsia" w:ascii="仿宋" w:hAnsi="仿宋" w:eastAsia="仿宋"/>
          <w:color w:val="000000"/>
          <w:sz w:val="32"/>
          <w:szCs w:val="32"/>
        </w:rPr>
        <w:t>%。</w:t>
      </w:r>
    </w:p>
    <w:p>
      <w:pPr>
        <w:spacing w:line="600" w:lineRule="exact"/>
        <w:ind w:firstLine="643" w:firstLineChars="200"/>
        <w:outlineLvl w:val="2"/>
        <w:rPr>
          <w:rFonts w:ascii="仿宋" w:hAnsi="仿宋" w:eastAsia="仿宋"/>
          <w:b/>
          <w:color w:val="000000"/>
          <w:sz w:val="32"/>
          <w:szCs w:val="32"/>
        </w:rPr>
      </w:pPr>
      <w:bookmarkStart w:id="66" w:name="_Toc15377224"/>
      <w:r>
        <w:rPr>
          <w:rFonts w:hint="eastAsia" w:ascii="仿宋" w:hAnsi="仿宋" w:eastAsia="仿宋"/>
          <w:b/>
          <w:color w:val="000000"/>
          <w:sz w:val="32"/>
          <w:szCs w:val="32"/>
        </w:rPr>
        <w:t>（三）国有资产占有使用情况</w:t>
      </w:r>
      <w:bookmarkEnd w:id="66"/>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截至</w:t>
      </w:r>
      <w:r>
        <w:rPr>
          <w:rFonts w:ascii="仿宋" w:hAnsi="仿宋" w:eastAsia="仿宋"/>
          <w:color w:val="000000"/>
          <w:sz w:val="32"/>
          <w:u w:color="auto"/>
        </w:rPr>
        <w:t>2022年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日，共有车辆</w:t>
      </w:r>
      <w:r>
        <w:rPr>
          <w:rFonts w:ascii="仿宋" w:hAnsi="仿宋" w:eastAsia="仿宋"/>
          <w:color w:val="000000"/>
          <w:sz w:val="32"/>
          <w:u w:color="auto"/>
        </w:rPr>
        <w:t>1辆，其中：主要领导干部用车0</w:t>
      </w:r>
      <w:r>
        <w:rPr>
          <w:rFonts w:hint="eastAsia" w:ascii="仿宋" w:hAnsi="仿宋" w:eastAsia="仿宋"/>
          <w:color w:val="000000"/>
          <w:sz w:val="32"/>
          <w:szCs w:val="32"/>
        </w:rPr>
        <w:t>辆、机要通信用车</w:t>
      </w:r>
      <w:r>
        <w:rPr>
          <w:rFonts w:ascii="仿宋" w:hAnsi="仿宋" w:eastAsia="仿宋"/>
          <w:color w:val="000000"/>
          <w:sz w:val="32"/>
          <w:u w:color="auto"/>
        </w:rPr>
        <w:t>0</w:t>
      </w:r>
      <w:r>
        <w:rPr>
          <w:rFonts w:hint="eastAsia" w:ascii="仿宋" w:hAnsi="仿宋" w:eastAsia="仿宋"/>
          <w:color w:val="000000"/>
          <w:sz w:val="32"/>
          <w:szCs w:val="32"/>
        </w:rPr>
        <w:t>辆、应急保障用车</w:t>
      </w:r>
      <w:r>
        <w:rPr>
          <w:rFonts w:ascii="仿宋" w:hAnsi="仿宋" w:eastAsia="仿宋"/>
          <w:color w:val="000000"/>
          <w:sz w:val="32"/>
          <w:u w:color="auto"/>
        </w:rPr>
        <w:t>0</w:t>
      </w:r>
      <w:r>
        <w:rPr>
          <w:rFonts w:hint="eastAsia" w:ascii="仿宋" w:hAnsi="仿宋" w:eastAsia="仿宋"/>
          <w:color w:val="000000"/>
          <w:sz w:val="32"/>
          <w:szCs w:val="32"/>
        </w:rPr>
        <w:t>辆、其他用车</w:t>
      </w:r>
      <w:r>
        <w:rPr>
          <w:rFonts w:ascii="仿宋" w:hAnsi="仿宋" w:eastAsia="仿宋"/>
          <w:color w:val="000000"/>
          <w:sz w:val="32"/>
          <w:u w:color="auto"/>
        </w:rPr>
        <w:t>1</w:t>
      </w:r>
      <w:r>
        <w:rPr>
          <w:rFonts w:hint="eastAsia" w:ascii="仿宋" w:hAnsi="仿宋" w:eastAsia="仿宋"/>
          <w:color w:val="000000"/>
          <w:sz w:val="32"/>
          <w:szCs w:val="32"/>
        </w:rPr>
        <w:t>辆。单价</w:t>
      </w:r>
      <w:r>
        <w:rPr>
          <w:rFonts w:ascii="仿宋" w:hAnsi="仿宋" w:eastAsia="仿宋"/>
          <w:color w:val="000000"/>
          <w:sz w:val="32"/>
          <w:szCs w:val="32"/>
        </w:rPr>
        <w:t>50</w:t>
      </w:r>
      <w:r>
        <w:rPr>
          <w:rFonts w:hint="eastAsia" w:ascii="仿宋" w:hAnsi="仿宋" w:eastAsia="仿宋"/>
          <w:color w:val="000000"/>
          <w:sz w:val="32"/>
          <w:szCs w:val="32"/>
        </w:rPr>
        <w:t>万元以上通用设备</w:t>
      </w:r>
      <w:r>
        <w:rPr>
          <w:rFonts w:ascii="仿宋" w:hAnsi="仿宋" w:eastAsia="仿宋"/>
          <w:color w:val="000000"/>
          <w:sz w:val="32"/>
          <w:u w:color="auto"/>
        </w:rPr>
        <w:t>0</w:t>
      </w:r>
      <w:r>
        <w:rPr>
          <w:rFonts w:hint="eastAsia" w:ascii="仿宋" w:hAnsi="仿宋" w:eastAsia="仿宋"/>
          <w:color w:val="000000"/>
          <w:sz w:val="32"/>
          <w:szCs w:val="32"/>
        </w:rPr>
        <w:t>台（套），单价</w:t>
      </w:r>
      <w:r>
        <w:rPr>
          <w:rFonts w:ascii="仿宋" w:hAnsi="仿宋" w:eastAsia="仿宋"/>
          <w:color w:val="000000"/>
          <w:sz w:val="32"/>
          <w:szCs w:val="32"/>
        </w:rPr>
        <w:t>100</w:t>
      </w:r>
      <w:r>
        <w:rPr>
          <w:rFonts w:hint="eastAsia" w:ascii="仿宋" w:hAnsi="仿宋" w:eastAsia="仿宋"/>
          <w:color w:val="000000"/>
          <w:sz w:val="32"/>
          <w:szCs w:val="32"/>
        </w:rPr>
        <w:t>万元以上专用设备</w:t>
      </w:r>
      <w:r>
        <w:rPr>
          <w:rFonts w:ascii="仿宋" w:hAnsi="仿宋" w:eastAsia="仿宋"/>
          <w:color w:val="000000"/>
          <w:sz w:val="32"/>
          <w:u w:color="auto"/>
        </w:rPr>
        <w:t>—</w:t>
      </w:r>
      <w:r>
        <w:rPr>
          <w:rFonts w:hint="eastAsia" w:ascii="仿宋" w:hAnsi="仿宋" w:eastAsia="仿宋"/>
          <w:color w:val="000000"/>
          <w:sz w:val="32"/>
          <w:szCs w:val="32"/>
        </w:rPr>
        <w:t>台（套）。</w:t>
      </w: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tbl>
      <w:tblPr>
        <w:tblStyle w:val="16"/>
        <w:tblW w:w="141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6"/>
        <w:gridCol w:w="556"/>
        <w:gridCol w:w="117"/>
        <w:gridCol w:w="570"/>
        <w:gridCol w:w="417"/>
        <w:gridCol w:w="829"/>
        <w:gridCol w:w="1583"/>
        <w:gridCol w:w="366"/>
        <w:gridCol w:w="1464"/>
        <w:gridCol w:w="202"/>
        <w:gridCol w:w="1257"/>
        <w:gridCol w:w="873"/>
        <w:gridCol w:w="735"/>
        <w:gridCol w:w="781"/>
        <w:gridCol w:w="1484"/>
        <w:gridCol w:w="31"/>
        <w:gridCol w:w="23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045" w:type="dxa"/>
            <w:gridSpan w:val="6"/>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中央主管部门</w:t>
            </w:r>
          </w:p>
        </w:tc>
        <w:tc>
          <w:tcPr>
            <w:tcW w:w="11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045" w:type="dxa"/>
            <w:gridSpan w:val="6"/>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地方主管部门</w:t>
            </w:r>
          </w:p>
        </w:tc>
        <w:tc>
          <w:tcPr>
            <w:tcW w:w="3615" w:type="dxa"/>
            <w:gridSpan w:val="4"/>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53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松潘县毛儿盖镇中心卫生院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基本公共卫生服务项目资金（万元）</w:t>
            </w:r>
          </w:p>
        </w:tc>
        <w:tc>
          <w:tcPr>
            <w:tcW w:w="37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全年预算（A）</w:t>
            </w:r>
          </w:p>
        </w:tc>
        <w:tc>
          <w:tcPr>
            <w:tcW w:w="36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全年执行数（B）</w:t>
            </w:r>
          </w:p>
        </w:tc>
        <w:tc>
          <w:tcPr>
            <w:tcW w:w="3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7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年度资金总额</w:t>
            </w: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20.76</w:t>
            </w:r>
          </w:p>
        </w:tc>
        <w:tc>
          <w:tcPr>
            <w:tcW w:w="3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其中：中央补助</w:t>
            </w: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30.87</w:t>
            </w:r>
          </w:p>
        </w:tc>
        <w:tc>
          <w:tcPr>
            <w:tcW w:w="36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20.76</w:t>
            </w:r>
          </w:p>
        </w:tc>
        <w:tc>
          <w:tcPr>
            <w:tcW w:w="3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地方资金</w:t>
            </w: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其他资金</w:t>
            </w: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36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36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全年执行数（B）</w:t>
            </w:r>
          </w:p>
        </w:tc>
        <w:tc>
          <w:tcPr>
            <w:tcW w:w="3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22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基层基本公共卫生服务项目（12类）资金（万元）</w:t>
            </w:r>
          </w:p>
        </w:tc>
        <w:tc>
          <w:tcPr>
            <w:tcW w:w="3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30.87</w:t>
            </w:r>
          </w:p>
        </w:tc>
        <w:tc>
          <w:tcPr>
            <w:tcW w:w="36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20.76</w:t>
            </w:r>
          </w:p>
        </w:tc>
        <w:tc>
          <w:tcPr>
            <w:tcW w:w="3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其中：中央补助</w:t>
            </w: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30.87</w:t>
            </w:r>
          </w:p>
        </w:tc>
        <w:tc>
          <w:tcPr>
            <w:tcW w:w="36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20.76</w:t>
            </w:r>
          </w:p>
        </w:tc>
        <w:tc>
          <w:tcPr>
            <w:tcW w:w="3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地方资金</w:t>
            </w: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6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体目标</w:t>
            </w:r>
          </w:p>
        </w:tc>
        <w:tc>
          <w:tcPr>
            <w:tcW w:w="54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年初设定目标</w:t>
            </w:r>
          </w:p>
        </w:tc>
        <w:tc>
          <w:tcPr>
            <w:tcW w:w="74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0" w:hRule="atLeast"/>
        </w:trPr>
        <w:tc>
          <w:tcPr>
            <w:tcW w:w="12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31"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国家基本公共卫生服务规范（2017年第三版）》14大类的具体要求，规范开展基本公共卫生服务工作，使我县公共卫生服务能力进一步提高，居民健康档案、健康教育、预防接种、传染病及突发公共卫生事件报告与处置、0－2岁儿童健康管理、3-6岁儿童健康管理、孕产妇健康管理、老年人健康管理、高血压患者健康管理、2型糖尿病患者健康管理、严重精神障碍患者健康管理、中医药管理、结核病管理、卫生监督协管等工作</w:t>
            </w:r>
          </w:p>
        </w:tc>
        <w:tc>
          <w:tcPr>
            <w:tcW w:w="748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国家基本公共卫生服务规范（2017年第三版）》14大类的具体要求，规范开展基本公共卫生服务工作，使我县公共卫生服务能力进一步提高，居民健康档案、健康教育、预防接种、传染病及突发公共卫生事件报告与处置、0－2岁儿童健康管理、3-6岁儿童健康管理、孕产妇健康管理、老年人健康管理、高血压患者健康管理、2型糖尿病患者健康管理、严重精神障碍患者健康管理、中医药管理、结核病管理、卫生监督协管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2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36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全年完成值</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2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12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36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健康档案建档数3827。</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健康档案建档率100%。</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健康档案建档数3827，100%</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稳定提高使用率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12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健康教育设置健康教育宣传栏12期，健康教育咨询活动举办18次，健康教育讲座开展12次</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健康教育设置健康教育宣传栏12期，健康教育宣传活动举办18次，健康教育讲座开展12次</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指标2：健康教育设置健康教育宣传栏12期，健康教育咨询活动举办18次，健康教育讲座开展12次</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加强健康教育讲座的开展，全年完成12次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2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“五苗”单苗接种率均达到90%以上</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“五苗”单苗接种率均达到90%以上</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“五苗”单苗接种率均达到90%以上</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2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传染病报告发病率1/10万</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传染病报告发病率1/10万</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传染病报告发病率1/10万</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12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65岁以上的老年人规范管理率50.94%（应管424人实际管理216）</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65岁以上的老年人规范管理率50.94%</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65岁以上的老年人规范管理率50.94%（应管424人实际管理216）</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加强老年人规范管理，及时完成年度体检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12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高血压患者管理率75%（管理208人，规范管理156）、2型糖尿病患者管理率100％（管理21人，规范管理21）。</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高血压患者管理率75%、2型糖尿病患者管理率100％</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指标6：高血压患者管理率75%（管理208人，规范管理156）、2型糖尿病患者管理率100％（管理21人，规范管理21）。</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2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严重精神障碍患者规范管理率100%（应管5人，规范管理5）。</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严重精神障碍患者规范管理率100%</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严重精神障碍患者规范管理率100%（应管5人，规范管理5）</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加强重精患者服药率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2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孕产妇系统管理率达90.9%。</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孕产妇系统管理率达90.9%。</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孕产妇系统管理率达90.9%。</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提高早孕建册率及产后访视率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2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0-6岁儿童系统管理率达到98%。</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0-6岁儿童系统管理率达到98%。</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0-6岁儿童系统管理率达到98%。</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加强新生儿访视及0-6岁儿童健康管理。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36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36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项目完成时限</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年内</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年内</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36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6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12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36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2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36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城乡居民公共卫生差距</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不断缩小</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不断缩小</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2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居民健康保健意识和健康知识知晓率</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2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建档立卡贫困人口健康保健意识和健康知识知晓率</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2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36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基本公共卫生服务水平</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不断提高</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不断提高</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2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36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不断提高</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不断提高</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居民满意度、建档立卡贫困户满意度。</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29"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5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246"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949"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666"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2130"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516"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4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2355"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29"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5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246"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949"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666"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2130"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516"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4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2355"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29"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5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246"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949"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666"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2130"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516"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4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2355"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29"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5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246"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949"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666"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2130"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516"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4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2355"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29"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5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246"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949"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666"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2130"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516"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4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2355"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4" w:type="dxa"/>
          <w:trHeight w:val="330" w:hRule="atLeast"/>
        </w:trPr>
        <w:tc>
          <w:tcPr>
            <w:tcW w:w="556"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Style w:val="41"/>
                <w:rFonts w:ascii="宋体" w:hAnsi="宋体" w:eastAsia="宋体" w:cs="宋体"/>
                <w:sz w:val="24"/>
                <w:szCs w:val="24"/>
                <w:lang w:val="en-US" w:eastAsia="zh-CN" w:bidi="ar"/>
              </w:rPr>
              <w:t>附件</w:t>
            </w:r>
            <w:r>
              <w:rPr>
                <w:rFonts w:hint="default" w:ascii="Times New Roman" w:hAnsi="Times New Roman" w:eastAsia="宋体" w:cs="Times New Roman"/>
                <w:i w:val="0"/>
                <w:iCs w:val="0"/>
                <w:color w:val="000000"/>
                <w:kern w:val="0"/>
                <w:sz w:val="28"/>
                <w:szCs w:val="28"/>
                <w:u w:val="none"/>
                <w:lang w:val="en-US" w:eastAsia="zh-CN" w:bidi="ar"/>
              </w:rPr>
              <w:t>2</w:t>
            </w:r>
          </w:p>
        </w:tc>
        <w:tc>
          <w:tcPr>
            <w:tcW w:w="556"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1104" w:type="dxa"/>
            <w:gridSpan w:val="3"/>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2412" w:type="dxa"/>
            <w:gridSpan w:val="2"/>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1830"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459"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608"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2296"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4" w:type="dxa"/>
          <w:trHeight w:val="600" w:hRule="atLeast"/>
        </w:trPr>
        <w:tc>
          <w:tcPr>
            <w:tcW w:w="11821" w:type="dxa"/>
            <w:gridSpan w:val="1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default" w:ascii="方正小标宋简体" w:hAnsi="方正小标宋简体" w:eastAsia="方正小标宋简体" w:cs="方正小标宋简体"/>
                <w:i w:val="0"/>
                <w:iCs w:val="0"/>
                <w:color w:val="000000"/>
                <w:kern w:val="0"/>
                <w:sz w:val="32"/>
                <w:szCs w:val="32"/>
                <w:u w:val="none"/>
                <w:lang w:val="en-US" w:eastAsia="zh-CN" w:bidi="ar"/>
              </w:rPr>
              <w:t>转移支付区域（项目）绩效目标自评表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4" w:type="dxa"/>
          <w:trHeight w:val="320" w:hRule="atLeast"/>
        </w:trPr>
        <w:tc>
          <w:tcPr>
            <w:tcW w:w="11821" w:type="dxa"/>
            <w:gridSpan w:val="16"/>
            <w:tcBorders>
              <w:top w:val="nil"/>
              <w:left w:val="nil"/>
              <w:bottom w:val="single" w:color="000000" w:sz="4" w:space="0"/>
              <w:right w:val="nil"/>
            </w:tcBorders>
            <w:shd w:val="clear" w:color="auto" w:fill="auto"/>
            <w:vAlign w:val="top"/>
          </w:tcPr>
          <w:p>
            <w:pPr>
              <w:keepNext w:val="0"/>
              <w:keepLines w:val="0"/>
              <w:widowControl/>
              <w:suppressLineNumbers w:val="0"/>
              <w:jc w:val="center"/>
              <w:textAlignment w:val="top"/>
              <w:rPr>
                <w:rFonts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4" w:type="dxa"/>
          <w:trHeight w:val="552" w:hRule="atLeast"/>
        </w:trPr>
        <w:tc>
          <w:tcPr>
            <w:tcW w:w="2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转移支付（项目）名称</w:t>
            </w:r>
          </w:p>
        </w:tc>
        <w:tc>
          <w:tcPr>
            <w:tcW w:w="96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基本药物制度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4" w:type="dxa"/>
          <w:trHeight w:val="323" w:hRule="atLeast"/>
        </w:trPr>
        <w:tc>
          <w:tcPr>
            <w:tcW w:w="2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中央主管部门</w:t>
            </w:r>
          </w:p>
        </w:tc>
        <w:tc>
          <w:tcPr>
            <w:tcW w:w="96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4" w:type="dxa"/>
          <w:trHeight w:val="323" w:hRule="atLeast"/>
        </w:trPr>
        <w:tc>
          <w:tcPr>
            <w:tcW w:w="2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地方主管部门</w:t>
            </w: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松潘县卫生健康局</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资金使用单位</w:t>
            </w:r>
          </w:p>
        </w:tc>
        <w:tc>
          <w:tcPr>
            <w:tcW w:w="39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各基层医疗机构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4" w:type="dxa"/>
          <w:trHeight w:val="520" w:hRule="atLeast"/>
        </w:trPr>
        <w:tc>
          <w:tcPr>
            <w:tcW w:w="2216"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资金投入情况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3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预算执行率（B/A×100%）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4" w:type="dxa"/>
          <w:trHeight w:val="323" w:hRule="atLeast"/>
        </w:trPr>
        <w:tc>
          <w:tcPr>
            <w:tcW w:w="221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w:t>
            </w:r>
          </w:p>
        </w:tc>
        <w:tc>
          <w:tcPr>
            <w:tcW w:w="3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w:t>
            </w: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4" w:type="dxa"/>
          <w:trHeight w:val="323" w:hRule="atLeast"/>
        </w:trPr>
        <w:tc>
          <w:tcPr>
            <w:tcW w:w="221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其中：中央财政资金</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w:t>
            </w:r>
          </w:p>
        </w:tc>
        <w:tc>
          <w:tcPr>
            <w:tcW w:w="3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w:t>
            </w: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4" w:type="dxa"/>
          <w:trHeight w:val="323" w:hRule="atLeast"/>
        </w:trPr>
        <w:tc>
          <w:tcPr>
            <w:tcW w:w="221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地方资金</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4" w:type="dxa"/>
          <w:trHeight w:val="323" w:hRule="atLeast"/>
        </w:trPr>
        <w:tc>
          <w:tcPr>
            <w:tcW w:w="221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其他资金</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4" w:type="dxa"/>
          <w:trHeight w:val="323" w:hRule="atLeast"/>
        </w:trPr>
        <w:tc>
          <w:tcPr>
            <w:tcW w:w="2216"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资金管理情况</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48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情况说明</w:t>
            </w: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4" w:type="dxa"/>
          <w:trHeight w:val="323" w:hRule="atLeast"/>
        </w:trPr>
        <w:tc>
          <w:tcPr>
            <w:tcW w:w="221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分配科学性</w:t>
            </w:r>
          </w:p>
        </w:tc>
        <w:tc>
          <w:tcPr>
            <w:tcW w:w="48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4" w:type="dxa"/>
          <w:trHeight w:val="323" w:hRule="atLeast"/>
        </w:trPr>
        <w:tc>
          <w:tcPr>
            <w:tcW w:w="221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下达及时性</w:t>
            </w:r>
          </w:p>
        </w:tc>
        <w:tc>
          <w:tcPr>
            <w:tcW w:w="48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4" w:type="dxa"/>
          <w:trHeight w:val="323" w:hRule="atLeast"/>
        </w:trPr>
        <w:tc>
          <w:tcPr>
            <w:tcW w:w="221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拨付合规性</w:t>
            </w:r>
          </w:p>
        </w:tc>
        <w:tc>
          <w:tcPr>
            <w:tcW w:w="48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4" w:type="dxa"/>
          <w:trHeight w:val="323" w:hRule="atLeast"/>
        </w:trPr>
        <w:tc>
          <w:tcPr>
            <w:tcW w:w="221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使用规范性</w:t>
            </w:r>
          </w:p>
        </w:tc>
        <w:tc>
          <w:tcPr>
            <w:tcW w:w="48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4" w:type="dxa"/>
          <w:trHeight w:val="323" w:hRule="atLeast"/>
        </w:trPr>
        <w:tc>
          <w:tcPr>
            <w:tcW w:w="221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执行准确性</w:t>
            </w:r>
          </w:p>
        </w:tc>
        <w:tc>
          <w:tcPr>
            <w:tcW w:w="48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4" w:type="dxa"/>
          <w:trHeight w:val="323" w:hRule="atLeast"/>
        </w:trPr>
        <w:tc>
          <w:tcPr>
            <w:tcW w:w="221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预算绩效管理情况</w:t>
            </w:r>
          </w:p>
        </w:tc>
        <w:tc>
          <w:tcPr>
            <w:tcW w:w="48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4" w:type="dxa"/>
          <w:trHeight w:val="323" w:hRule="atLeast"/>
        </w:trPr>
        <w:tc>
          <w:tcPr>
            <w:tcW w:w="221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支出责任履行情况</w:t>
            </w:r>
          </w:p>
        </w:tc>
        <w:tc>
          <w:tcPr>
            <w:tcW w:w="48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4" w:type="dxa"/>
          <w:trHeight w:val="323" w:hRule="atLeast"/>
        </w:trPr>
        <w:tc>
          <w:tcPr>
            <w:tcW w:w="55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总体目标完成情况</w:t>
            </w:r>
          </w:p>
        </w:tc>
        <w:tc>
          <w:tcPr>
            <w:tcW w:w="5902" w:type="dxa"/>
            <w:gridSpan w:val="8"/>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w:t>
            </w:r>
          </w:p>
        </w:tc>
        <w:tc>
          <w:tcPr>
            <w:tcW w:w="5363" w:type="dxa"/>
            <w:gridSpan w:val="7"/>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4" w:type="dxa"/>
          <w:trHeight w:val="1260" w:hRule="atLeast"/>
        </w:trPr>
        <w:tc>
          <w:tcPr>
            <w:tcW w:w="55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90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目标1：基层医疗卫生机构按要求实施基本药物制度。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目标2：基本药物制度在村卫生室顺利实施。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目标3：基层医疗卫生机构服务质量进一步提高。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目标4：紧密型医共体等基层卫生综合改革在县域内稳步推进。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目标5：对基本药物制度补助满意度进一步提高。</w:t>
            </w:r>
          </w:p>
        </w:tc>
        <w:tc>
          <w:tcPr>
            <w:tcW w:w="536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4" w:type="dxa"/>
          <w:trHeight w:val="522" w:hRule="atLeast"/>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全年实际完成值</w:t>
            </w: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4"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11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政府办基层医疗卫生机构实施国家基本药物制度覆盖率</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4"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村卫生室实施国家基本药物制度覆盖率</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4"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4"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4"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4"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4"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4"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4"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4"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4"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4"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4"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4"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11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4"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4"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4"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乡村医生收入</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保持稳定</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保持稳定</w:t>
            </w: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4"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4"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4"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4"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4"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4"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国家基本药物制度在基层持续实施</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中长期</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中长期</w:t>
            </w: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4"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医共体建设符合“紧密型”“控费型 ”“同质化”“促分工”发展方向</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稳步发展</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稳步发展</w:t>
            </w: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4"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4"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4"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1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医院医务人员满意度</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较上一年提高</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较上一年提高</w:t>
            </w: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4"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4"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4" w:type="dxa"/>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4" w:type="dxa"/>
          <w:trHeight w:val="323"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w:t>
            </w:r>
          </w:p>
        </w:tc>
        <w:tc>
          <w:tcPr>
            <w:tcW w:w="1126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请在此处简要说明中央巡视、各级审计和财政监督中发现的问题及其所涉及的金额，如没有请填无。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4" w:type="dxa"/>
          <w:trHeight w:val="260" w:hRule="atLeast"/>
        </w:trPr>
        <w:tc>
          <w:tcPr>
            <w:tcW w:w="11821" w:type="dxa"/>
            <w:gridSpan w:val="1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注：1.资金使用单位按项目绩效目标填报，主管部门汇总时按区域绩效目标填报。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4" w:type="dxa"/>
          <w:trHeight w:val="520" w:hRule="atLeast"/>
        </w:trPr>
        <w:tc>
          <w:tcPr>
            <w:tcW w:w="11821" w:type="dxa"/>
            <w:gridSpan w:val="1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2.其他资金包括与中央财政资金、地方财政资金共同投入到同一项目的自有资金、社会资金，以及以前年度的结转结余资金等。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4" w:type="dxa"/>
          <w:trHeight w:val="340" w:hRule="atLeast"/>
        </w:trPr>
        <w:tc>
          <w:tcPr>
            <w:tcW w:w="11821" w:type="dxa"/>
            <w:gridSpan w:val="1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3.全年执行数是指按照国库集中支付制度要求所形成的实际支出。</w:t>
            </w:r>
          </w:p>
        </w:tc>
      </w:tr>
    </w:tbl>
    <w:p>
      <w:pPr>
        <w:ind w:left="-1920" w:leftChars="-600" w:right="-2742" w:rightChars="-857" w:firstLine="0" w:firstLineChars="0"/>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pStyle w:val="3"/>
        <w:jc w:val="center"/>
        <w:rPr>
          <w:rFonts w:ascii="黑体" w:hAnsi="黑体" w:eastAsia="黑体" w:cs="黑体"/>
        </w:rPr>
      </w:pPr>
      <w:bookmarkStart w:id="67" w:name="_Toc15377225"/>
      <w:bookmarkStart w:id="68" w:name="_Toc111208509"/>
      <w:bookmarkStart w:id="69" w:name="_Toc288"/>
      <w:r>
        <w:rPr>
          <w:rFonts w:hint="eastAsia" w:ascii="黑体" w:hAnsi="黑体" w:eastAsia="黑体" w:cs="黑体"/>
        </w:rPr>
        <w:t>第三部分 名词解释</w:t>
      </w:r>
      <w:bookmarkEnd w:id="67"/>
      <w:bookmarkEnd w:id="68"/>
      <w:bookmarkEnd w:id="69"/>
    </w:p>
    <w:p>
      <w:pPr>
        <w:spacing w:line="600" w:lineRule="exact"/>
        <w:ind w:firstLine="64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财政拨款收入：指单位从同级财政部门取得的财政预算资金。</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事业收入：指事业单位开展专业业务活动及辅助活动取得的收入。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经营收入：指事业单位在专业业务活动及其辅助活动之外开展非独立核算经营活动取得的收入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其他收入：指单位取得的除上述收入以外的各项收入。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年初结转和结余：指以前年度尚未完成、结转到本年按有关规定继续使用的资金。</w:t>
      </w:r>
      <w:r>
        <w:rPr>
          <w:rFonts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7.</w:t>
      </w:r>
      <w:r>
        <w:rPr>
          <w:rFonts w:hint="eastAsia" w:ascii="仿宋" w:hAnsi="仿宋" w:eastAsia="仿宋"/>
          <w:color w:val="000000"/>
          <w:sz w:val="32"/>
          <w:szCs w:val="32"/>
        </w:rPr>
        <w:t>结余分配：指事业单位按照事业单位会计制度的规定从非财政补助结余中分配的事业基金和职工福利基金等。</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.年末结转和结余：指单位按有关规定结转到下年或以后年度继续使用的资金。</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9.社会保障和就业支出（208）人力资源和社会保障管理事务（20801）其他人力资源和社会保障管理事务支出（2080199）：反映除上述项目以外其他用于人力资源和社会保障管理事务方面的支出。</w:t>
      </w:r>
      <w:r>
        <w:rPr>
          <w:rFonts w:hint="eastAsia" w:ascii="仿宋" w:hAnsi="仿宋" w:eastAsia="仿宋"/>
          <w:color w:val="000000"/>
          <w:sz w:val="32"/>
          <w:szCs w:val="32"/>
        </w:rPr>
        <w:cr/>
      </w:r>
      <w:r>
        <w:rPr>
          <w:rFonts w:hint="eastAsia" w:ascii="仿宋" w:hAnsi="仿宋" w:eastAsia="仿宋"/>
          <w:color w:val="000000"/>
          <w:sz w:val="32"/>
          <w:szCs w:val="32"/>
        </w:rPr>
        <w:t>10.社会保障和就业支出（208）行政事业单位养老支出（20805）机关事业单位基本养老保险缴费支出（2080505）：反映机关事业单位实施养老保险制度由单位缴纳的基本养老保险费支出。</w:t>
      </w:r>
      <w:r>
        <w:rPr>
          <w:rFonts w:hint="eastAsia" w:ascii="仿宋" w:hAnsi="仿宋" w:eastAsia="仿宋"/>
          <w:color w:val="000000"/>
          <w:sz w:val="32"/>
          <w:szCs w:val="32"/>
        </w:rPr>
        <w:cr/>
      </w:r>
      <w:r>
        <w:rPr>
          <w:rFonts w:hint="eastAsia" w:ascii="仿宋" w:hAnsi="仿宋" w:eastAsia="仿宋"/>
          <w:color w:val="000000"/>
          <w:sz w:val="32"/>
          <w:szCs w:val="32"/>
        </w:rPr>
        <w:t>11.社会保障和就业支出（208）行政事业单位养老支出（20805）机关事业单位职业年金缴费支出（2080506）：反映机关事业单位实施养老保险制度由单位实际缴纳的职业年金支出。</w:t>
      </w:r>
      <w:r>
        <w:rPr>
          <w:rFonts w:hint="eastAsia" w:ascii="仿宋" w:hAnsi="仿宋" w:eastAsia="仿宋"/>
          <w:color w:val="000000"/>
          <w:sz w:val="32"/>
          <w:szCs w:val="32"/>
        </w:rPr>
        <w:cr/>
      </w:r>
      <w:r>
        <w:rPr>
          <w:rFonts w:hint="eastAsia" w:ascii="仿宋" w:hAnsi="仿宋" w:eastAsia="仿宋"/>
          <w:color w:val="000000"/>
          <w:sz w:val="32"/>
          <w:szCs w:val="32"/>
        </w:rPr>
        <w:t>12.卫生健康支出（210）基层医疗卫生机构（21003）乡镇卫生院（2100302）：反映用于乡镇卫生院的支出。</w:t>
      </w:r>
      <w:r>
        <w:rPr>
          <w:rFonts w:hint="eastAsia" w:ascii="仿宋" w:hAnsi="仿宋" w:eastAsia="仿宋"/>
          <w:color w:val="000000"/>
          <w:sz w:val="32"/>
          <w:szCs w:val="32"/>
        </w:rPr>
        <w:cr/>
      </w:r>
      <w:r>
        <w:rPr>
          <w:rFonts w:hint="eastAsia" w:ascii="仿宋" w:hAnsi="仿宋" w:eastAsia="仿宋"/>
          <w:color w:val="000000"/>
          <w:sz w:val="32"/>
          <w:szCs w:val="32"/>
        </w:rPr>
        <w:t>13.卫生健康支出（210）基层医疗卫生机构（21003）其他基层医疗卫生机构支出（2100399）：反映除上述项目以外的其他用于基层医疗卫生机构的支出。</w:t>
      </w:r>
      <w:r>
        <w:rPr>
          <w:rFonts w:hint="eastAsia" w:ascii="仿宋" w:hAnsi="仿宋" w:eastAsia="仿宋"/>
          <w:color w:val="000000"/>
          <w:sz w:val="32"/>
          <w:szCs w:val="32"/>
        </w:rPr>
        <w:cr/>
      </w:r>
      <w:r>
        <w:rPr>
          <w:rFonts w:hint="eastAsia" w:ascii="仿宋" w:hAnsi="仿宋" w:eastAsia="仿宋"/>
          <w:color w:val="000000"/>
          <w:sz w:val="32"/>
          <w:szCs w:val="32"/>
        </w:rPr>
        <w:t>14.卫生健康支出（210）公共卫生（21004）基本公共卫生服务（2100408）：反映基本公共卫生服务支出。</w:t>
      </w:r>
      <w:r>
        <w:rPr>
          <w:rFonts w:hint="eastAsia" w:ascii="仿宋" w:hAnsi="仿宋" w:eastAsia="仿宋"/>
          <w:color w:val="000000"/>
          <w:sz w:val="32"/>
          <w:szCs w:val="32"/>
        </w:rPr>
        <w:cr/>
      </w:r>
      <w:r>
        <w:rPr>
          <w:rFonts w:hint="eastAsia" w:ascii="仿宋" w:hAnsi="仿宋" w:eastAsia="仿宋"/>
          <w:color w:val="000000"/>
          <w:sz w:val="32"/>
          <w:szCs w:val="32"/>
        </w:rPr>
        <w:t>15.卫生健康支出（210）行政事业单位医疗（21011）事业单位医疗（2101102）：反映财政部门安排的事业单位基本医疗保险缴费经费，未参加医疗保险的事业单位的公费医疗经费，按国家规定享受离休人员待遇的医疗经费。</w:t>
      </w:r>
      <w:r>
        <w:rPr>
          <w:rFonts w:hint="eastAsia" w:ascii="仿宋" w:hAnsi="仿宋" w:eastAsia="仿宋"/>
          <w:color w:val="000000"/>
          <w:sz w:val="32"/>
          <w:szCs w:val="32"/>
        </w:rPr>
        <w:cr/>
      </w:r>
      <w:r>
        <w:rPr>
          <w:rFonts w:hint="eastAsia" w:ascii="仿宋" w:hAnsi="仿宋" w:eastAsia="仿宋"/>
          <w:color w:val="000000"/>
          <w:sz w:val="32"/>
          <w:szCs w:val="32"/>
        </w:rPr>
        <w:t>16.住房保障支出（221）住房改革支出（22102）住房公积金（2210201）：反映行政事业单位按人力资源和社会保障部、财政部规定的基本工资和津贴补贴以及规定比例为职工缴纳的住房公积金。</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17.基本支出：指为保障机构正常运转、完成日常工作任务而发生的人员支出和公用支出。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 xml:space="preserve">25.项目支出：指在基本支出之外为完成特定行政任务和事业发展目标所发生的支出。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18.经营支出：指事业单位在专业业务活动及其辅助活动之外开展非独立核算经营活动发生的支出。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19.“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机关运行经费：为保障行政单位（含参照公务员法管理的事业单位）运行用于购买货物和服务的各项资金，包括办公及印刷费、邮电费、差旅费、会议费、福利费、日常维修费、专用材料及一般设备购置费、办公用房取暖费、办公用房物业管理费、公务用车运行维护费以及其他费用。</w:t>
      </w:r>
    </w:p>
    <w:p>
      <w:pPr>
        <w:spacing w:line="600" w:lineRule="exact"/>
        <w:ind w:firstLine="640"/>
        <w:rPr>
          <w:rFonts w:ascii="仿宋_GB2312" w:eastAsia="仿宋_GB2312" w:cs="黑体"/>
          <w:sz w:val="32"/>
          <w:szCs w:val="32"/>
        </w:rPr>
      </w:pPr>
      <w:r>
        <w:rPr>
          <w:rFonts w:hint="eastAsia" w:ascii="仿宋" w:hAnsi="仿宋" w:eastAsia="仿宋"/>
          <w:color w:val="000000"/>
          <w:sz w:val="32"/>
          <w:szCs w:val="32"/>
        </w:rPr>
        <w:t>21.财政应返还额度：为行政事业单位会计核算科目，用于核算实行国库集中支付的行政事业单位应收财政返还的资金额度。</w:t>
      </w:r>
    </w:p>
    <w:p>
      <w:pPr>
        <w:widowControl/>
        <w:jc w:val="left"/>
        <w:rPr>
          <w:rStyle w:val="30"/>
          <w:rFonts w:ascii="黑体" w:hAnsi="黑体" w:eastAsia="黑体"/>
        </w:rPr>
      </w:pPr>
      <w:r>
        <w:rPr>
          <w:rStyle w:val="30"/>
          <w:rFonts w:ascii="黑体" w:hAnsi="黑体" w:eastAsia="黑体"/>
        </w:rPr>
        <w:br w:type="page"/>
      </w:r>
    </w:p>
    <w:p>
      <w:pPr>
        <w:pStyle w:val="3"/>
        <w:jc w:val="center"/>
        <w:rPr>
          <w:rFonts w:ascii="黑体" w:hAnsi="黑体" w:eastAsia="黑体" w:cs="黑体"/>
        </w:rPr>
      </w:pPr>
      <w:bookmarkStart w:id="70" w:name="_Toc111208510"/>
      <w:bookmarkStart w:id="71" w:name="_Toc20076"/>
      <w:r>
        <w:rPr>
          <w:rFonts w:hint="eastAsia" w:ascii="黑体" w:hAnsi="黑体" w:eastAsia="黑体" w:cs="黑体"/>
        </w:rPr>
        <w:t>第四部分 附件</w:t>
      </w:r>
      <w:bookmarkEnd w:id="70"/>
      <w:bookmarkEnd w:id="71"/>
    </w:p>
    <w:p>
      <w:pPr>
        <w:spacing w:line="580" w:lineRule="exact"/>
        <w:contextualSpacing/>
        <w:rPr>
          <w:rFonts w:hint="eastAsia" w:ascii="黑体" w:eastAsia="黑体" w:cs="黑体"/>
          <w:szCs w:val="32"/>
          <w:highlight w:val="none"/>
          <w:lang w:val="zh-CN" w:eastAsia="zh-CN"/>
        </w:rPr>
      </w:pPr>
    </w:p>
    <w:p>
      <w:pPr>
        <w:widowControl/>
        <w:spacing w:line="580" w:lineRule="exact"/>
        <w:contextualSpacing/>
        <w:jc w:val="both"/>
        <w:rPr>
          <w:rFonts w:hint="eastAsia" w:ascii="宋体" w:eastAsia="宋体"/>
          <w:b/>
          <w:sz w:val="44"/>
          <w:szCs w:val="44"/>
          <w:highlight w:val="none"/>
          <w:shd w:val="clear" w:color="auto" w:fill="FFFFFF"/>
        </w:rPr>
      </w:pPr>
    </w:p>
    <w:p>
      <w:pPr>
        <w:widowControl/>
        <w:spacing w:line="580" w:lineRule="exact"/>
        <w:contextualSpacing/>
        <w:jc w:val="center"/>
        <w:rPr>
          <w:rFonts w:hint="default" w:ascii="宋体" w:eastAsia="宋体"/>
          <w:b/>
          <w:sz w:val="44"/>
          <w:szCs w:val="44"/>
          <w:highlight w:val="none"/>
          <w:shd w:val="clear" w:color="auto" w:fill="FFFFFF"/>
          <w:lang w:val="en-US" w:eastAsia="zh-CN"/>
        </w:rPr>
      </w:pPr>
      <w:r>
        <w:rPr>
          <w:rFonts w:hint="eastAsia" w:ascii="宋体" w:eastAsia="宋体"/>
          <w:b/>
          <w:sz w:val="44"/>
          <w:szCs w:val="44"/>
          <w:highlight w:val="none"/>
          <w:shd w:val="clear" w:color="auto" w:fill="FFFFFF"/>
          <w:lang w:val="en-US" w:eastAsia="zh-CN"/>
        </w:rPr>
        <w:t>松潘县毛儿盖镇中心卫生院</w:t>
      </w:r>
    </w:p>
    <w:p>
      <w:pPr>
        <w:widowControl/>
        <w:spacing w:line="580" w:lineRule="exact"/>
        <w:contextualSpacing/>
        <w:jc w:val="center"/>
        <w:rPr>
          <w:rFonts w:hint="eastAsia" w:ascii="宋体" w:eastAsia="宋体"/>
          <w:b/>
          <w:sz w:val="44"/>
          <w:szCs w:val="44"/>
          <w:highlight w:val="none"/>
          <w:shd w:val="clear" w:color="auto" w:fill="FFFFFF"/>
        </w:rPr>
      </w:pPr>
      <w:r>
        <w:rPr>
          <w:rFonts w:hint="eastAsia" w:ascii="宋体" w:eastAsia="宋体"/>
          <w:b/>
          <w:sz w:val="44"/>
          <w:szCs w:val="44"/>
          <w:highlight w:val="none"/>
          <w:shd w:val="clear" w:color="auto" w:fill="FFFFFF"/>
          <w:lang w:val="en-US" w:eastAsia="zh-CN"/>
        </w:rPr>
        <w:t>2022年</w:t>
      </w:r>
      <w:r>
        <w:rPr>
          <w:rFonts w:hint="eastAsia" w:ascii="宋体" w:eastAsia="宋体"/>
          <w:b/>
          <w:sz w:val="44"/>
          <w:szCs w:val="44"/>
          <w:highlight w:val="none"/>
          <w:shd w:val="clear" w:color="auto" w:fill="FFFFFF"/>
          <w:lang w:eastAsia="zh-CN"/>
        </w:rPr>
        <w:t>县</w:t>
      </w:r>
      <w:r>
        <w:rPr>
          <w:rFonts w:hint="eastAsia" w:ascii="宋体" w:eastAsia="宋体"/>
          <w:b/>
          <w:sz w:val="44"/>
          <w:szCs w:val="44"/>
          <w:highlight w:val="none"/>
          <w:shd w:val="clear" w:color="auto" w:fill="FFFFFF"/>
        </w:rPr>
        <w:t>级部门整体支出</w:t>
      </w:r>
    </w:p>
    <w:p>
      <w:pPr>
        <w:widowControl/>
        <w:spacing w:line="580" w:lineRule="exact"/>
        <w:contextualSpacing/>
        <w:jc w:val="center"/>
        <w:rPr>
          <w:rFonts w:ascii="宋体" w:eastAsia="宋体"/>
          <w:b/>
          <w:sz w:val="44"/>
          <w:szCs w:val="44"/>
          <w:highlight w:val="none"/>
          <w:shd w:val="clear" w:color="auto" w:fill="FFFFFF"/>
        </w:rPr>
      </w:pPr>
      <w:r>
        <w:rPr>
          <w:rFonts w:hint="eastAsia" w:ascii="宋体" w:eastAsia="宋体"/>
          <w:b/>
          <w:sz w:val="44"/>
          <w:szCs w:val="44"/>
          <w:highlight w:val="none"/>
          <w:shd w:val="clear" w:color="auto" w:fill="FFFFFF"/>
        </w:rPr>
        <w:t>绩效评价报告</w:t>
      </w:r>
    </w:p>
    <w:p>
      <w:pPr>
        <w:widowControl/>
        <w:adjustRightInd w:val="0"/>
        <w:snapToGrid w:val="0"/>
        <w:spacing w:line="580" w:lineRule="exact"/>
        <w:ind w:firstLine="480" w:firstLineChars="200"/>
        <w:contextualSpacing/>
        <w:jc w:val="left"/>
        <w:rPr>
          <w:rFonts w:ascii="黑体" w:eastAsia="黑体" w:cs="宋体"/>
          <w:color w:val="000000"/>
          <w:kern w:val="0"/>
          <w:sz w:val="24"/>
          <w:szCs w:val="32"/>
          <w:highlight w:val="none"/>
          <w:shd w:val="clear" w:color="auto" w:fill="FFFFFF"/>
        </w:rPr>
      </w:pPr>
    </w:p>
    <w:p>
      <w:pPr>
        <w:widowControl/>
        <w:adjustRightInd w:val="0"/>
        <w:snapToGrid w:val="0"/>
        <w:spacing w:line="580" w:lineRule="exact"/>
        <w:ind w:firstLine="640" w:firstLineChars="200"/>
        <w:contextualSpacing/>
        <w:jc w:val="left"/>
        <w:rPr>
          <w:rFonts w:ascii="黑体" w:eastAsia="黑体" w:cs="宋体"/>
          <w:color w:val="000000"/>
          <w:kern w:val="0"/>
          <w:szCs w:val="32"/>
          <w:highlight w:val="none"/>
          <w:shd w:val="clear" w:color="auto" w:fill="FFFFFF"/>
          <w:lang w:val="zh-CN"/>
        </w:rPr>
      </w:pPr>
      <w:r>
        <w:rPr>
          <w:rFonts w:hint="eastAsia" w:ascii="黑体" w:eastAsia="黑体" w:cs="宋体"/>
          <w:color w:val="000000"/>
          <w:kern w:val="0"/>
          <w:szCs w:val="32"/>
          <w:highlight w:val="none"/>
          <w:shd w:val="clear" w:color="auto" w:fill="FFFFFF"/>
        </w:rPr>
        <w:t>一、</w:t>
      </w:r>
      <w:r>
        <w:rPr>
          <w:rFonts w:hint="eastAsia" w:ascii="黑体" w:eastAsia="黑体" w:cs="宋体"/>
          <w:color w:val="000000"/>
          <w:kern w:val="0"/>
          <w:szCs w:val="32"/>
          <w:highlight w:val="none"/>
          <w:shd w:val="clear" w:color="auto" w:fill="FFFFFF"/>
          <w:lang w:val="zh-CN"/>
        </w:rPr>
        <w:t>部门（单位）概况</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（一）机构组成。</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宋体" w:hAnsi="宋体" w:eastAsia="宋体"/>
          <w:color w:val="000000"/>
          <w:sz w:val="32"/>
          <w:szCs w:val="32"/>
          <w:highlight w:val="none"/>
          <w:lang w:eastAsia="zh-CN"/>
        </w:rPr>
        <w:t>松潘县</w:t>
      </w:r>
      <w:r>
        <w:rPr>
          <w:rFonts w:hint="eastAsia" w:ascii="宋体" w:hAnsi="宋体" w:eastAsia="宋体"/>
          <w:color w:val="000000"/>
          <w:sz w:val="32"/>
          <w:szCs w:val="32"/>
          <w:highlight w:val="none"/>
          <w:lang w:val="en-US" w:eastAsia="zh-CN"/>
        </w:rPr>
        <w:t>毛儿盖镇中心卫生院</w:t>
      </w:r>
      <w:r>
        <w:rPr>
          <w:rFonts w:hint="eastAsia" w:ascii="宋体" w:hAnsi="宋体" w:eastAsia="宋体"/>
          <w:color w:val="000000"/>
          <w:sz w:val="32"/>
          <w:szCs w:val="32"/>
          <w:highlight w:val="none"/>
          <w:lang w:eastAsia="zh-CN"/>
        </w:rPr>
        <w:t>属</w:t>
      </w:r>
      <w:r>
        <w:rPr>
          <w:rFonts w:hint="eastAsia" w:ascii="宋体" w:hAnsi="宋体" w:eastAsia="宋体"/>
          <w:color w:val="000000"/>
          <w:sz w:val="32"/>
          <w:szCs w:val="32"/>
          <w:highlight w:val="none"/>
          <w:lang w:val="en-US" w:eastAsia="zh-CN"/>
        </w:rPr>
        <w:t>事业</w:t>
      </w:r>
      <w:r>
        <w:rPr>
          <w:rFonts w:hint="eastAsia" w:ascii="宋体" w:hAnsi="宋体" w:eastAsia="宋体"/>
          <w:color w:val="000000"/>
          <w:sz w:val="32"/>
          <w:szCs w:val="32"/>
          <w:highlight w:val="none"/>
          <w:lang w:eastAsia="zh-CN"/>
        </w:rPr>
        <w:t>单位</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（二）机构职能。</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1、负责本乡镇的卫生工作法律法规、政策的贯彻，卫生事业发展规划和工作计划的制定，社会公共卫生工作的组织和实施。</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2、负责本乡镇的基本医疗服务。</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3、负责本乡镇突发公共卫生事件的报告，并依据上级部门要求组织实施处置。</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4、负责本乡镇辖区内的卫生信息统计、分析、上报。</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5、负责对本乡镇辖区内村级卫生组织和乡村医生的业务指导和培训。</w:t>
      </w:r>
    </w:p>
    <w:p>
      <w:pPr>
        <w:widowControl/>
        <w:adjustRightInd w:val="0"/>
        <w:snapToGrid w:val="0"/>
        <w:spacing w:line="580" w:lineRule="exact"/>
        <w:ind w:firstLine="640" w:firstLineChars="200"/>
        <w:contextualSpacing/>
        <w:jc w:val="left"/>
        <w:rPr>
          <w:rFonts w:hint="default"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6、负责承办政府卫生行政部门委托的相关业务和事项，负责上级卫生行政部门下达的其他工作。</w:t>
      </w:r>
    </w:p>
    <w:p>
      <w:pPr>
        <w:widowControl/>
        <w:adjustRightInd w:val="0"/>
        <w:snapToGrid w:val="0"/>
        <w:spacing w:line="580" w:lineRule="exact"/>
        <w:ind w:firstLine="640" w:firstLineChars="200"/>
        <w:contextualSpacing/>
        <w:jc w:val="left"/>
        <w:rPr>
          <w:rFonts w:hint="default" w:ascii="仿宋_GB2312" w:cs="宋体"/>
          <w:color w:val="000000"/>
          <w:kern w:val="0"/>
          <w:szCs w:val="32"/>
          <w:highlight w:val="none"/>
          <w:shd w:val="clear" w:color="auto" w:fill="FFFFFF"/>
          <w:lang w:val="en-US" w:eastAsia="zh-CN"/>
        </w:rPr>
      </w:pP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（三）人员概况。</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202</w:t>
      </w: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年</w:t>
      </w:r>
      <w:r>
        <w:rPr>
          <w:rFonts w:hint="eastAsia" w:ascii="仿宋_GB2312" w:cs="宋体"/>
          <w:color w:val="000000"/>
          <w:kern w:val="0"/>
          <w:szCs w:val="32"/>
          <w:highlight w:val="none"/>
          <w:shd w:val="clear" w:color="auto" w:fill="FFFFFF"/>
          <w:lang w:val="en-US" w:eastAsia="zh-CN"/>
        </w:rPr>
        <w:t>毛儿盖镇中心卫生院</w:t>
      </w:r>
      <w:r>
        <w:rPr>
          <w:rFonts w:hint="eastAsia" w:ascii="仿宋_GB2312" w:cs="宋体"/>
          <w:color w:val="000000"/>
          <w:kern w:val="0"/>
          <w:szCs w:val="32"/>
          <w:highlight w:val="none"/>
          <w:shd w:val="clear" w:color="auto" w:fill="FFFFFF"/>
          <w:lang w:val="zh-CN"/>
        </w:rPr>
        <w:t>在职人数</w:t>
      </w:r>
      <w:r>
        <w:rPr>
          <w:rFonts w:hint="eastAsia" w:ascii="仿宋_GB2312" w:cs="宋体"/>
          <w:color w:val="000000"/>
          <w:kern w:val="0"/>
          <w:szCs w:val="32"/>
          <w:highlight w:val="none"/>
          <w:shd w:val="clear" w:color="auto" w:fill="FFFFFF"/>
          <w:lang w:val="en-US" w:eastAsia="zh-CN"/>
        </w:rPr>
        <w:t>18</w:t>
      </w:r>
      <w:r>
        <w:rPr>
          <w:rFonts w:hint="eastAsia" w:ascii="仿宋_GB2312" w:cs="宋体"/>
          <w:color w:val="000000"/>
          <w:kern w:val="0"/>
          <w:szCs w:val="32"/>
          <w:highlight w:val="none"/>
          <w:shd w:val="clear" w:color="auto" w:fill="FFFFFF"/>
          <w:lang w:val="zh-CN"/>
        </w:rPr>
        <w:t>人。</w:t>
      </w:r>
    </w:p>
    <w:p>
      <w:pPr>
        <w:widowControl/>
        <w:adjustRightInd w:val="0"/>
        <w:snapToGrid w:val="0"/>
        <w:spacing w:line="580" w:lineRule="exact"/>
        <w:ind w:firstLine="640" w:firstLineChars="200"/>
        <w:contextualSpacing/>
        <w:jc w:val="left"/>
        <w:rPr>
          <w:rFonts w:ascii="黑体" w:eastAsia="黑体" w:cs="宋体"/>
          <w:color w:val="000000"/>
          <w:kern w:val="0"/>
          <w:szCs w:val="32"/>
          <w:highlight w:val="none"/>
          <w:shd w:val="clear" w:color="auto" w:fill="FFFFFF"/>
        </w:rPr>
      </w:pPr>
      <w:r>
        <w:rPr>
          <w:rFonts w:hint="eastAsia" w:ascii="黑体" w:eastAsia="黑体" w:cs="宋体"/>
          <w:color w:val="000000"/>
          <w:kern w:val="0"/>
          <w:szCs w:val="32"/>
          <w:highlight w:val="none"/>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（一）部门财政资金收入情况。</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202</w:t>
      </w: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年度财政拨款收入总计</w:t>
      </w:r>
      <w:r>
        <w:rPr>
          <w:rFonts w:hint="eastAsia" w:ascii="仿宋_GB2312" w:cs="宋体"/>
          <w:color w:val="000000"/>
          <w:kern w:val="0"/>
          <w:szCs w:val="32"/>
          <w:highlight w:val="none"/>
          <w:shd w:val="clear" w:color="auto" w:fill="FFFFFF"/>
          <w:lang w:val="en-US" w:eastAsia="zh-CN"/>
        </w:rPr>
        <w:t>384.99</w:t>
      </w:r>
      <w:r>
        <w:rPr>
          <w:rFonts w:hint="eastAsia" w:ascii="仿宋_GB2312" w:cs="宋体"/>
          <w:color w:val="000000"/>
          <w:kern w:val="0"/>
          <w:szCs w:val="32"/>
          <w:highlight w:val="none"/>
          <w:shd w:val="clear" w:color="auto" w:fill="FFFFFF"/>
          <w:lang w:val="zh-CN"/>
        </w:rPr>
        <w:t>万元（</w:t>
      </w:r>
      <w:r>
        <w:rPr>
          <w:rFonts w:hint="eastAsia" w:ascii="仿宋_GB2312" w:cs="宋体"/>
          <w:color w:val="000000"/>
          <w:kern w:val="0"/>
          <w:szCs w:val="32"/>
          <w:highlight w:val="none"/>
          <w:shd w:val="clear" w:color="auto" w:fill="FFFFFF"/>
          <w:lang w:val="en-US" w:eastAsia="zh-CN"/>
        </w:rPr>
        <w:t>2021年以前所有卫生院资金合并在大平台未分开）。</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202</w:t>
      </w:r>
      <w:r>
        <w:rPr>
          <w:rFonts w:hint="eastAsia" w:ascii="仿宋_GB2312" w:cs="宋体"/>
          <w:color w:val="000000"/>
          <w:kern w:val="0"/>
          <w:szCs w:val="32"/>
          <w:highlight w:val="none"/>
          <w:shd w:val="clear" w:color="auto" w:fill="FFFFFF"/>
          <w:lang w:val="en-US" w:eastAsia="zh-CN"/>
        </w:rPr>
        <w:t>3</w:t>
      </w:r>
      <w:r>
        <w:rPr>
          <w:rFonts w:hint="eastAsia" w:ascii="仿宋_GB2312" w:cs="宋体"/>
          <w:color w:val="000000"/>
          <w:kern w:val="0"/>
          <w:szCs w:val="32"/>
          <w:highlight w:val="none"/>
          <w:shd w:val="clear" w:color="auto" w:fill="FFFFFF"/>
          <w:lang w:val="zh-CN"/>
        </w:rPr>
        <w:t>年1-6月公共预算财政拨款收入</w:t>
      </w:r>
      <w:r>
        <w:rPr>
          <w:rFonts w:hint="eastAsia" w:ascii="仿宋_GB2312" w:cs="宋体"/>
          <w:color w:val="000000"/>
          <w:kern w:val="0"/>
          <w:szCs w:val="32"/>
          <w:highlight w:val="none"/>
          <w:shd w:val="clear" w:color="auto" w:fill="FFFFFF"/>
          <w:lang w:val="en-US" w:eastAsia="zh-CN"/>
        </w:rPr>
        <w:t>414.00</w:t>
      </w:r>
      <w:r>
        <w:rPr>
          <w:rFonts w:hint="eastAsia" w:ascii="仿宋_GB2312" w:cs="宋体"/>
          <w:color w:val="000000"/>
          <w:kern w:val="0"/>
          <w:szCs w:val="32"/>
          <w:highlight w:val="none"/>
          <w:shd w:val="clear" w:color="auto" w:fill="FFFFFF"/>
          <w:lang w:val="zh-CN"/>
        </w:rPr>
        <w:t>万元</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（二）部门财政资金支出情况。</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202</w:t>
      </w: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年度财政拨款支出</w:t>
      </w:r>
      <w:r>
        <w:rPr>
          <w:rFonts w:hint="eastAsia" w:ascii="仿宋_GB2312" w:cs="宋体"/>
          <w:color w:val="000000"/>
          <w:kern w:val="0"/>
          <w:szCs w:val="32"/>
          <w:highlight w:val="none"/>
          <w:shd w:val="clear" w:color="auto" w:fill="FFFFFF"/>
          <w:lang w:val="en-US" w:eastAsia="zh-CN"/>
        </w:rPr>
        <w:t>380.45</w:t>
      </w:r>
      <w:r>
        <w:rPr>
          <w:rFonts w:hint="eastAsia" w:ascii="仿宋_GB2312" w:cs="宋体"/>
          <w:color w:val="000000"/>
          <w:kern w:val="0"/>
          <w:szCs w:val="32"/>
          <w:highlight w:val="none"/>
          <w:shd w:val="clear" w:color="auto" w:fill="FFFFFF"/>
          <w:lang w:val="zh-CN"/>
        </w:rPr>
        <w:t>万元（</w:t>
      </w:r>
      <w:r>
        <w:rPr>
          <w:rFonts w:hint="eastAsia" w:ascii="仿宋_GB2312" w:cs="宋体"/>
          <w:color w:val="000000"/>
          <w:kern w:val="0"/>
          <w:szCs w:val="32"/>
          <w:highlight w:val="none"/>
          <w:shd w:val="clear" w:color="auto" w:fill="FFFFFF"/>
          <w:lang w:val="en-US" w:eastAsia="zh-CN"/>
        </w:rPr>
        <w:t>2021年以前所有卫生院资金合并在大平台未分开）</w:t>
      </w:r>
      <w:r>
        <w:rPr>
          <w:rFonts w:hint="eastAsia" w:ascii="仿宋_GB2312" w:cs="宋体"/>
          <w:color w:val="000000"/>
          <w:kern w:val="0"/>
          <w:szCs w:val="32"/>
          <w:highlight w:val="none"/>
          <w:shd w:val="clear" w:color="auto" w:fill="FFFFFF"/>
          <w:lang w:val="zh-CN"/>
        </w:rPr>
        <w:t>。</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1、202</w:t>
      </w: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年度一般公共预算财政拨款基本支出</w:t>
      </w:r>
      <w:r>
        <w:rPr>
          <w:rFonts w:hint="eastAsia" w:ascii="仿宋_GB2312" w:cs="宋体"/>
          <w:color w:val="000000"/>
          <w:kern w:val="0"/>
          <w:szCs w:val="32"/>
          <w:highlight w:val="none"/>
          <w:shd w:val="clear" w:color="auto" w:fill="FFFFFF"/>
          <w:lang w:val="en-US" w:eastAsia="zh-CN"/>
        </w:rPr>
        <w:t>324.66</w:t>
      </w:r>
      <w:r>
        <w:rPr>
          <w:rFonts w:hint="eastAsia" w:ascii="仿宋_GB2312" w:cs="宋体"/>
          <w:color w:val="000000"/>
          <w:kern w:val="0"/>
          <w:szCs w:val="32"/>
          <w:highlight w:val="none"/>
          <w:shd w:val="clear" w:color="auto" w:fill="FFFFFF"/>
          <w:lang w:val="zh-CN"/>
        </w:rPr>
        <w:t>万元，其中：</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人员经费</w:t>
      </w:r>
      <w:r>
        <w:rPr>
          <w:rFonts w:hint="eastAsia" w:ascii="仿宋_GB2312" w:cs="宋体"/>
          <w:color w:val="000000"/>
          <w:kern w:val="0"/>
          <w:szCs w:val="32"/>
          <w:highlight w:val="none"/>
          <w:shd w:val="clear" w:color="auto" w:fill="FFFFFF"/>
          <w:lang w:val="en-US" w:eastAsia="zh-CN"/>
        </w:rPr>
        <w:t>321.20</w:t>
      </w:r>
      <w:r>
        <w:rPr>
          <w:rFonts w:hint="eastAsia" w:ascii="仿宋_GB2312" w:cs="宋体"/>
          <w:color w:val="000000"/>
          <w:kern w:val="0"/>
          <w:szCs w:val="32"/>
          <w:highlight w:val="none"/>
          <w:shd w:val="clear" w:color="auto" w:fill="FFFFFF"/>
          <w:lang w:val="zh-CN"/>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zh-CN"/>
        </w:rPr>
        <w:t>公用经费</w:t>
      </w:r>
      <w:r>
        <w:rPr>
          <w:rFonts w:hint="eastAsia" w:ascii="仿宋_GB2312" w:cs="宋体"/>
          <w:color w:val="000000"/>
          <w:kern w:val="0"/>
          <w:szCs w:val="32"/>
          <w:highlight w:val="none"/>
          <w:shd w:val="clear" w:color="auto" w:fill="FFFFFF"/>
          <w:lang w:val="en-US" w:eastAsia="zh-CN"/>
        </w:rPr>
        <w:t>3.46</w:t>
      </w:r>
      <w:r>
        <w:rPr>
          <w:rFonts w:hint="eastAsia" w:ascii="仿宋_GB2312" w:cs="宋体"/>
          <w:color w:val="000000"/>
          <w:kern w:val="0"/>
          <w:szCs w:val="32"/>
          <w:highlight w:val="none"/>
          <w:shd w:val="clear" w:color="auto" w:fill="FFFFFF"/>
          <w:lang w:val="zh-CN"/>
        </w:rPr>
        <w:t>万元，主要包括：工会经费</w:t>
      </w:r>
      <w:r>
        <w:rPr>
          <w:rFonts w:hint="eastAsia" w:ascii="仿宋_GB2312" w:cs="宋体"/>
          <w:color w:val="000000"/>
          <w:kern w:val="0"/>
          <w:szCs w:val="32"/>
          <w:highlight w:val="none"/>
          <w:shd w:val="clear" w:color="auto" w:fill="FFFFFF"/>
          <w:lang w:val="en-US" w:eastAsia="zh-CN"/>
        </w:rPr>
        <w:t>.</w:t>
      </w:r>
    </w:p>
    <w:p>
      <w:pPr>
        <w:widowControl/>
        <w:adjustRightInd w:val="0"/>
        <w:snapToGrid w:val="0"/>
        <w:spacing w:line="580" w:lineRule="exact"/>
        <w:ind w:firstLine="640" w:firstLineChars="200"/>
        <w:contextualSpacing/>
        <w:jc w:val="left"/>
        <w:rPr>
          <w:rFonts w:hint="default" w:ascii="仿宋_GB2312" w:eastAsia="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202</w:t>
      </w: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年项目支付</w:t>
      </w:r>
      <w:r>
        <w:rPr>
          <w:rFonts w:hint="eastAsia" w:ascii="仿宋_GB2312" w:cs="宋体"/>
          <w:color w:val="000000"/>
          <w:kern w:val="0"/>
          <w:szCs w:val="32"/>
          <w:highlight w:val="none"/>
          <w:shd w:val="clear" w:color="auto" w:fill="FFFFFF"/>
          <w:lang w:val="en-US" w:eastAsia="zh-CN"/>
        </w:rPr>
        <w:t>55.79</w:t>
      </w:r>
      <w:r>
        <w:rPr>
          <w:rFonts w:hint="eastAsia" w:ascii="仿宋_GB2312" w:cs="宋体"/>
          <w:color w:val="000000"/>
          <w:kern w:val="0"/>
          <w:szCs w:val="32"/>
          <w:highlight w:val="none"/>
          <w:shd w:val="clear" w:color="auto" w:fill="FFFFFF"/>
          <w:lang w:val="zh-CN"/>
        </w:rPr>
        <w:t>万元，</w:t>
      </w:r>
      <w:r>
        <w:rPr>
          <w:rFonts w:hint="eastAsia" w:ascii="仿宋_GB2312" w:cs="宋体"/>
          <w:color w:val="000000"/>
          <w:kern w:val="0"/>
          <w:szCs w:val="32"/>
          <w:highlight w:val="none"/>
          <w:shd w:val="clear" w:color="auto" w:fill="FFFFFF"/>
          <w:lang w:val="en-US" w:eastAsia="zh-CN"/>
        </w:rPr>
        <w:t>主要包括：基本药物补助资金，基本公共卫生服务补助资金。</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202</w:t>
      </w:r>
      <w:r>
        <w:rPr>
          <w:rFonts w:hint="eastAsia" w:ascii="仿宋_GB2312" w:cs="宋体"/>
          <w:color w:val="000000"/>
          <w:kern w:val="0"/>
          <w:szCs w:val="32"/>
          <w:highlight w:val="none"/>
          <w:shd w:val="clear" w:color="auto" w:fill="FFFFFF"/>
          <w:lang w:val="en-US" w:eastAsia="zh-CN"/>
        </w:rPr>
        <w:t>3</w:t>
      </w:r>
      <w:r>
        <w:rPr>
          <w:rFonts w:hint="eastAsia" w:ascii="仿宋_GB2312" w:cs="宋体"/>
          <w:color w:val="000000"/>
          <w:kern w:val="0"/>
          <w:szCs w:val="32"/>
          <w:highlight w:val="none"/>
          <w:shd w:val="clear" w:color="auto" w:fill="FFFFFF"/>
          <w:lang w:val="zh-CN"/>
        </w:rPr>
        <w:t>年1-6月公共预算财政拨款支出</w:t>
      </w:r>
      <w:r>
        <w:rPr>
          <w:rFonts w:hint="eastAsia" w:ascii="仿宋_GB2312" w:cs="宋体"/>
          <w:color w:val="000000"/>
          <w:kern w:val="0"/>
          <w:szCs w:val="32"/>
          <w:highlight w:val="none"/>
          <w:shd w:val="clear" w:color="auto" w:fill="FFFFFF"/>
          <w:lang w:val="en-US" w:eastAsia="zh-CN"/>
        </w:rPr>
        <w:t>216.40</w:t>
      </w:r>
      <w:r>
        <w:rPr>
          <w:rFonts w:hint="eastAsia" w:ascii="仿宋_GB2312" w:cs="宋体"/>
          <w:color w:val="000000"/>
          <w:kern w:val="0"/>
          <w:szCs w:val="32"/>
          <w:highlight w:val="none"/>
          <w:shd w:val="clear" w:color="auto" w:fill="FFFFFF"/>
          <w:lang w:val="zh-CN"/>
        </w:rPr>
        <w:t>万元。</w:t>
      </w:r>
    </w:p>
    <w:p>
      <w:pPr>
        <w:widowControl/>
        <w:adjustRightInd w:val="0"/>
        <w:snapToGrid w:val="0"/>
        <w:spacing w:line="580" w:lineRule="exact"/>
        <w:ind w:firstLine="640" w:firstLineChars="200"/>
        <w:contextualSpacing/>
        <w:jc w:val="left"/>
        <w:rPr>
          <w:rFonts w:ascii="黑体" w:eastAsia="黑体" w:cs="宋体"/>
          <w:color w:val="000000"/>
          <w:kern w:val="0"/>
          <w:szCs w:val="32"/>
          <w:highlight w:val="none"/>
          <w:shd w:val="clear" w:color="auto" w:fill="FFFFFF"/>
        </w:rPr>
      </w:pPr>
      <w:r>
        <w:rPr>
          <w:rFonts w:hint="eastAsia" w:ascii="黑体" w:eastAsia="黑体" w:cs="宋体"/>
          <w:color w:val="000000"/>
          <w:kern w:val="0"/>
          <w:szCs w:val="32"/>
          <w:highlight w:val="none"/>
          <w:shd w:val="clear" w:color="auto" w:fill="FFFFFF"/>
        </w:rPr>
        <w:t>三、部门整体预算绩效管理情况（根据适用指标体系进行调整</w:t>
      </w:r>
      <w:r>
        <w:rPr>
          <w:rFonts w:hint="eastAsia" w:ascii="黑体" w:eastAsia="黑体" w:cs="宋体"/>
          <w:color w:val="000000"/>
          <w:kern w:val="0"/>
          <w:szCs w:val="32"/>
          <w:highlight w:val="none"/>
          <w:shd w:val="clear" w:color="auto" w:fill="FFFFFF"/>
          <w:lang w:eastAsia="zh-CN"/>
        </w:rPr>
        <w:t>，涉及有专项预算的部门，专项预算项目自评报告根据要求另行单独报送</w:t>
      </w:r>
      <w:r>
        <w:rPr>
          <w:rFonts w:hint="eastAsia" w:ascii="黑体" w:eastAsia="黑体" w:cs="宋体"/>
          <w:color w:val="000000"/>
          <w:kern w:val="0"/>
          <w:szCs w:val="32"/>
          <w:highlight w:val="none"/>
          <w:shd w:val="clear" w:color="auto" w:fill="FFFFFF"/>
        </w:rPr>
        <w:t>）</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w:t>
      </w:r>
      <w:r>
        <w:rPr>
          <w:rFonts w:hint="eastAsia" w:ascii="仿宋_GB2312" w:cs="宋体"/>
          <w:color w:val="000000"/>
          <w:kern w:val="0"/>
          <w:szCs w:val="32"/>
          <w:highlight w:val="none"/>
          <w:shd w:val="clear" w:color="auto" w:fill="FFFFFF"/>
          <w:lang w:val="en-US" w:eastAsia="zh-CN"/>
        </w:rPr>
        <w:t>一</w:t>
      </w:r>
      <w:r>
        <w:rPr>
          <w:rFonts w:hint="eastAsia" w:ascii="仿宋_GB2312" w:cs="宋体"/>
          <w:color w:val="000000"/>
          <w:kern w:val="0"/>
          <w:szCs w:val="32"/>
          <w:highlight w:val="none"/>
          <w:shd w:val="clear" w:color="auto" w:fill="FFFFFF"/>
          <w:lang w:val="zh-CN"/>
        </w:rPr>
        <w:t>）预算编制情况。</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包括预算编制质量、绩效目标填报、转移支付提前下达及专项转移支付分地区分项目编制情况等。</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w:t>
      </w:r>
      <w:r>
        <w:rPr>
          <w:rFonts w:hint="eastAsia" w:ascii="仿宋_GB2312" w:cs="宋体"/>
          <w:color w:val="000000"/>
          <w:kern w:val="0"/>
          <w:szCs w:val="32"/>
          <w:highlight w:val="none"/>
          <w:shd w:val="clear" w:color="auto" w:fill="FFFFFF"/>
          <w:lang w:val="en-US" w:eastAsia="zh-CN"/>
        </w:rPr>
        <w:t>二</w:t>
      </w:r>
      <w:r>
        <w:rPr>
          <w:rFonts w:hint="eastAsia" w:ascii="仿宋_GB2312" w:cs="宋体"/>
          <w:color w:val="000000"/>
          <w:kern w:val="0"/>
          <w:szCs w:val="32"/>
          <w:highlight w:val="none"/>
          <w:shd w:val="clear" w:color="auto" w:fill="FFFFFF"/>
          <w:lang w:val="zh-CN"/>
        </w:rPr>
        <w:t>）执行管理情况。</w:t>
      </w:r>
      <w:r>
        <w:rPr>
          <w:rFonts w:hint="eastAsia" w:ascii="仿宋_GB2312" w:cs="宋体"/>
          <w:color w:val="000000"/>
          <w:kern w:val="0"/>
          <w:szCs w:val="32"/>
          <w:highlight w:val="none"/>
          <w:shd w:val="clear" w:color="auto" w:fill="FFFFFF"/>
          <w:lang w:val="zh-CN"/>
        </w:rPr>
        <w:tab/>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从整体情况来看，我</w:t>
      </w:r>
      <w:r>
        <w:rPr>
          <w:rFonts w:hint="eastAsia" w:ascii="仿宋_GB2312" w:cs="宋体"/>
          <w:color w:val="000000"/>
          <w:kern w:val="0"/>
          <w:szCs w:val="32"/>
          <w:highlight w:val="none"/>
          <w:shd w:val="clear" w:color="auto" w:fill="FFFFFF"/>
          <w:lang w:val="en-US" w:eastAsia="zh-CN"/>
        </w:rPr>
        <w:t>单位</w:t>
      </w:r>
      <w:r>
        <w:rPr>
          <w:rFonts w:hint="eastAsia" w:ascii="仿宋_GB2312" w:cs="宋体"/>
          <w:color w:val="000000"/>
          <w:kern w:val="0"/>
          <w:szCs w:val="32"/>
          <w:highlight w:val="none"/>
          <w:shd w:val="clear" w:color="auto" w:fill="FFFFFF"/>
          <w:lang w:val="zh-CN"/>
        </w:rPr>
        <w:t>严格按照年初预算进行部门整体支出。在支出过程中，能严格遵守各项规章制度。实行了先有预算、后有执行、“用钱必问效、无效必问责”的新常态。</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w:t>
      </w:r>
      <w:r>
        <w:rPr>
          <w:rFonts w:hint="eastAsia" w:ascii="仿宋_GB2312" w:cs="宋体"/>
          <w:color w:val="000000"/>
          <w:kern w:val="0"/>
          <w:szCs w:val="32"/>
          <w:highlight w:val="none"/>
          <w:shd w:val="clear" w:color="auto" w:fill="FFFFFF"/>
          <w:lang w:val="en-US" w:eastAsia="zh-CN"/>
        </w:rPr>
        <w:t>三</w:t>
      </w:r>
      <w:r>
        <w:rPr>
          <w:rFonts w:hint="eastAsia" w:ascii="仿宋_GB2312" w:cs="宋体"/>
          <w:color w:val="000000"/>
          <w:kern w:val="0"/>
          <w:szCs w:val="32"/>
          <w:highlight w:val="none"/>
          <w:shd w:val="clear" w:color="auto" w:fill="FFFFFF"/>
          <w:lang w:val="zh-CN"/>
        </w:rPr>
        <w:t>）综合管理情况。</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预决算公开：</w:t>
      </w:r>
      <w:r>
        <w:rPr>
          <w:rFonts w:hint="eastAsia" w:ascii="仿宋_GB2312" w:cs="宋体"/>
          <w:color w:val="000000"/>
          <w:kern w:val="0"/>
          <w:szCs w:val="32"/>
          <w:highlight w:val="none"/>
          <w:shd w:val="clear" w:color="auto" w:fill="FFFFFF"/>
          <w:lang w:val="en-US" w:eastAsia="zh-CN"/>
        </w:rPr>
        <w:t>2022</w:t>
      </w:r>
      <w:r>
        <w:rPr>
          <w:rFonts w:hint="eastAsia" w:ascii="仿宋_GB2312" w:cs="宋体"/>
          <w:color w:val="000000"/>
          <w:kern w:val="0"/>
          <w:szCs w:val="32"/>
          <w:highlight w:val="none"/>
          <w:shd w:val="clear" w:color="auto" w:fill="FFFFFF"/>
          <w:lang w:val="zh-CN"/>
        </w:rPr>
        <w:t>年，我</w:t>
      </w:r>
      <w:r>
        <w:rPr>
          <w:rFonts w:hint="eastAsia" w:ascii="仿宋_GB2312" w:cs="宋体"/>
          <w:color w:val="000000"/>
          <w:kern w:val="0"/>
          <w:szCs w:val="32"/>
          <w:highlight w:val="none"/>
          <w:shd w:val="clear" w:color="auto" w:fill="FFFFFF"/>
          <w:lang w:val="en-US" w:eastAsia="zh-CN"/>
        </w:rPr>
        <w:t>单位</w:t>
      </w:r>
      <w:r>
        <w:rPr>
          <w:rFonts w:hint="eastAsia" w:ascii="仿宋_GB2312" w:cs="宋体"/>
          <w:color w:val="000000"/>
          <w:kern w:val="0"/>
          <w:szCs w:val="32"/>
          <w:highlight w:val="none"/>
          <w:shd w:val="clear" w:color="auto" w:fill="FFFFFF"/>
          <w:lang w:val="zh-CN"/>
        </w:rPr>
        <w:t>按照财政要求，在网站上进行了预决算公开。</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资产管理：202</w:t>
      </w: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年进行全面的资产清查，并就清查中发现的问题进行全面整改。完善了单位财务管理制度，确保各项资产核算准确、账实相符、管理到位。</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“三公经费”控制情况：贯彻落实上级有关精神，严格控制“三公经费”支出。我单位202</w:t>
      </w: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年</w:t>
      </w:r>
      <w:r>
        <w:rPr>
          <w:rFonts w:hint="eastAsia" w:ascii="仿宋_GB2312" w:cs="宋体"/>
          <w:color w:val="000000"/>
          <w:kern w:val="0"/>
          <w:szCs w:val="32"/>
          <w:highlight w:val="none"/>
          <w:shd w:val="clear" w:color="auto" w:fill="FFFFFF"/>
          <w:lang w:val="en-US" w:eastAsia="zh-CN"/>
        </w:rPr>
        <w:t>无</w:t>
      </w:r>
      <w:r>
        <w:rPr>
          <w:rFonts w:hint="eastAsia" w:ascii="仿宋_GB2312" w:cs="宋体"/>
          <w:color w:val="000000"/>
          <w:kern w:val="0"/>
          <w:szCs w:val="32"/>
          <w:highlight w:val="none"/>
          <w:shd w:val="clear" w:color="auto" w:fill="FFFFFF"/>
          <w:lang w:val="zh-CN"/>
        </w:rPr>
        <w:t>“三公”经费支出。内部管理制度建设情况：近年来，我</w:t>
      </w:r>
      <w:r>
        <w:rPr>
          <w:rFonts w:hint="eastAsia" w:ascii="仿宋_GB2312" w:cs="宋体"/>
          <w:color w:val="000000"/>
          <w:kern w:val="0"/>
          <w:szCs w:val="32"/>
          <w:highlight w:val="none"/>
          <w:shd w:val="clear" w:color="auto" w:fill="FFFFFF"/>
          <w:lang w:val="en-US" w:eastAsia="zh-CN"/>
        </w:rPr>
        <w:t>单位</w:t>
      </w:r>
      <w:r>
        <w:rPr>
          <w:rFonts w:hint="eastAsia" w:ascii="仿宋_GB2312" w:cs="宋体"/>
          <w:color w:val="000000"/>
          <w:kern w:val="0"/>
          <w:szCs w:val="32"/>
          <w:highlight w:val="none"/>
          <w:shd w:val="clear" w:color="auto" w:fill="FFFFFF"/>
          <w:lang w:val="zh-CN"/>
        </w:rPr>
        <w:t>制定、完善了财务管理制度、车辆管理制度、差旅费管理实施办法等内部制度。</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w:t>
      </w:r>
      <w:r>
        <w:rPr>
          <w:rFonts w:hint="eastAsia" w:ascii="仿宋_GB2312" w:cs="宋体"/>
          <w:color w:val="000000"/>
          <w:kern w:val="0"/>
          <w:szCs w:val="32"/>
          <w:highlight w:val="none"/>
          <w:shd w:val="clear" w:color="auto" w:fill="FFFFFF"/>
          <w:lang w:val="en-US" w:eastAsia="zh-CN"/>
        </w:rPr>
        <w:t>四</w:t>
      </w:r>
      <w:r>
        <w:rPr>
          <w:rFonts w:hint="eastAsia" w:ascii="仿宋_GB2312" w:cs="宋体"/>
          <w:color w:val="000000"/>
          <w:kern w:val="0"/>
          <w:szCs w:val="32"/>
          <w:highlight w:val="none"/>
          <w:shd w:val="clear" w:color="auto" w:fill="FFFFFF"/>
          <w:lang w:val="zh-CN"/>
        </w:rPr>
        <w:t>）绩效评价目的：</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此次绩效评价的目的是：严格落实《</w:t>
      </w:r>
      <w:r>
        <w:rPr>
          <w:rFonts w:hint="eastAsia" w:ascii="仿宋_GB2312" w:cs="宋体"/>
          <w:color w:val="000000"/>
          <w:kern w:val="0"/>
          <w:szCs w:val="32"/>
          <w:highlight w:val="none"/>
          <w:shd w:val="clear" w:color="auto" w:fill="FFFFFF"/>
          <w:lang w:val="en-US" w:eastAsia="zh-CN"/>
        </w:rPr>
        <w:t>中华人民共和国</w:t>
      </w:r>
      <w:bookmarkStart w:id="89" w:name="_GoBack"/>
      <w:bookmarkEnd w:id="89"/>
      <w:r>
        <w:rPr>
          <w:rFonts w:hint="eastAsia" w:ascii="仿宋_GB2312" w:cs="宋体"/>
          <w:color w:val="000000"/>
          <w:kern w:val="0"/>
          <w:szCs w:val="32"/>
          <w:highlight w:val="none"/>
          <w:shd w:val="clear" w:color="auto" w:fill="FFFFFF"/>
          <w:lang w:val="zh-CN"/>
        </w:rPr>
        <w:t>预算法》及省、州绩效管理工作的有关规定，进一步规范财政资金的管理，强化财政支出绩效理念，提升部门责任意识，提高资金使用效益，促进民政事业的发展。</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w:t>
      </w:r>
      <w:r>
        <w:rPr>
          <w:rFonts w:hint="eastAsia" w:ascii="仿宋_GB2312" w:cs="宋体"/>
          <w:color w:val="000000"/>
          <w:kern w:val="0"/>
          <w:szCs w:val="32"/>
          <w:highlight w:val="none"/>
          <w:shd w:val="clear" w:color="auto" w:fill="FFFFFF"/>
          <w:lang w:val="en-US" w:eastAsia="zh-CN"/>
        </w:rPr>
        <w:t>五</w:t>
      </w:r>
      <w:r>
        <w:rPr>
          <w:rFonts w:hint="eastAsia" w:ascii="仿宋_GB2312" w:cs="宋体"/>
          <w:color w:val="000000"/>
          <w:kern w:val="0"/>
          <w:szCs w:val="32"/>
          <w:highlight w:val="none"/>
          <w:shd w:val="clear" w:color="auto" w:fill="FFFFFF"/>
          <w:lang w:val="zh-CN"/>
        </w:rPr>
        <w:t>）绩效评价的主要过程：</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根据绩效评价的要求，我们成立了自评工作领导小组，对照自评方案进行研究和部署，按照自评方案的要求，对照各实施项目的内容逐条逐项自评。在自评过程发现问题，查找原因，及时纠正偏差，为下一步工作夯实基础。</w:t>
      </w:r>
    </w:p>
    <w:p>
      <w:pPr>
        <w:widowControl/>
        <w:adjustRightInd w:val="0"/>
        <w:snapToGrid w:val="0"/>
        <w:spacing w:line="580" w:lineRule="exact"/>
        <w:ind w:firstLine="640" w:firstLineChars="200"/>
        <w:contextualSpacing/>
        <w:jc w:val="left"/>
        <w:rPr>
          <w:rFonts w:ascii="黑体" w:eastAsia="黑体" w:cs="宋体"/>
          <w:color w:val="000000"/>
          <w:kern w:val="0"/>
          <w:szCs w:val="32"/>
          <w:highlight w:val="none"/>
          <w:shd w:val="clear" w:color="auto" w:fill="FFFFFF"/>
        </w:rPr>
      </w:pPr>
      <w:r>
        <w:rPr>
          <w:rFonts w:hint="eastAsia" w:ascii="黑体" w:eastAsia="黑体" w:cs="宋体"/>
          <w:color w:val="000000"/>
          <w:kern w:val="0"/>
          <w:szCs w:val="32"/>
          <w:highlight w:val="none"/>
          <w:shd w:val="clear" w:color="auto" w:fill="FFFFFF"/>
        </w:rPr>
        <w:t>四、评价结论及建议</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（一）评价结论。</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规范了财政资金的管理，强化财政支出绩效理念，提升责任意识，提高资金使用效益。</w:t>
      </w:r>
    </w:p>
    <w:p>
      <w:pPr>
        <w:widowControl/>
        <w:adjustRightInd w:val="0"/>
        <w:snapToGrid w:val="0"/>
        <w:spacing w:line="580" w:lineRule="exact"/>
        <w:ind w:firstLine="640" w:firstLineChars="200"/>
        <w:contextualSpacing/>
        <w:jc w:val="left"/>
        <w:rPr>
          <w:rFonts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（二）存在问题。</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（三）改进建议。</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严肃财经纪律、规范财务管理、筑牢财政资金安全防线、防范财政资金管理风险。把财经纪律执行工作的各项任务落到实处。</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p>
    <w:p>
      <w:pPr>
        <w:widowControl/>
        <w:adjustRightInd w:val="0"/>
        <w:snapToGrid w:val="0"/>
        <w:spacing w:line="580" w:lineRule="exact"/>
        <w:ind w:firstLine="640" w:firstLineChars="200"/>
        <w:contextualSpacing/>
        <w:jc w:val="left"/>
        <w:rPr>
          <w:rFonts w:hint="default"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 xml:space="preserve">                               </w:t>
      </w:r>
    </w:p>
    <w:p>
      <w:pPr>
        <w:pStyle w:val="3"/>
        <w:jc w:val="center"/>
        <w:rPr>
          <w:rFonts w:ascii="黑体" w:hAnsi="黑体" w:eastAsia="黑体" w:cs="黑体"/>
        </w:rPr>
      </w:pPr>
      <w:bookmarkStart w:id="72" w:name="_Toc79163635"/>
      <w:bookmarkStart w:id="73" w:name="_Toc79163885"/>
      <w:bookmarkStart w:id="74" w:name="_Toc111208512"/>
      <w:bookmarkStart w:id="75" w:name="_Toc16128"/>
      <w:r>
        <w:rPr>
          <w:rFonts w:hint="eastAsia" w:ascii="黑体" w:hAnsi="黑体" w:eastAsia="黑体" w:cs="黑体"/>
        </w:rPr>
        <w:t>第五部分 附表</w:t>
      </w:r>
      <w:bookmarkEnd w:id="72"/>
      <w:bookmarkEnd w:id="73"/>
      <w:bookmarkEnd w:id="74"/>
      <w:bookmarkEnd w:id="75"/>
    </w:p>
    <w:p>
      <w:pPr>
        <w:pStyle w:val="4"/>
        <w:ind w:firstLine="643" w:firstLineChars="200"/>
        <w:rPr>
          <w:rFonts w:hint="eastAsia" w:ascii="黑体" w:eastAsia="黑体" w:cs="Times New Roman"/>
          <w:bCs w:val="0"/>
          <w:color w:val="000000"/>
        </w:rPr>
      </w:pPr>
      <w:bookmarkStart w:id="76" w:name="_Toc19345"/>
      <w:r>
        <w:rPr>
          <w:rFonts w:hint="eastAsia" w:ascii="黑体" w:eastAsia="黑体" w:cs="Times New Roman"/>
          <w:bCs w:val="0"/>
          <w:color w:val="000000"/>
        </w:rPr>
        <w:t>一、收入支出决算总表</w:t>
      </w:r>
      <w:bookmarkEnd w:id="76"/>
    </w:p>
    <w:p>
      <w:pPr>
        <w:pStyle w:val="4"/>
        <w:ind w:firstLine="643" w:firstLineChars="200"/>
        <w:rPr>
          <w:rFonts w:hint="eastAsia" w:ascii="黑体" w:eastAsia="黑体" w:cs="Times New Roman"/>
          <w:bCs w:val="0"/>
          <w:color w:val="000000"/>
        </w:rPr>
      </w:pPr>
      <w:bookmarkStart w:id="77" w:name="_Toc5091"/>
      <w:r>
        <w:rPr>
          <w:rFonts w:hint="eastAsia" w:ascii="黑体" w:eastAsia="黑体" w:cs="Times New Roman"/>
          <w:bCs w:val="0"/>
          <w:color w:val="000000"/>
        </w:rPr>
        <w:t>二、收入决算表</w:t>
      </w:r>
      <w:bookmarkEnd w:id="77"/>
    </w:p>
    <w:p>
      <w:pPr>
        <w:pStyle w:val="4"/>
        <w:ind w:firstLine="643" w:firstLineChars="200"/>
        <w:rPr>
          <w:rFonts w:hint="eastAsia" w:ascii="黑体" w:eastAsia="黑体" w:cs="Times New Roman"/>
          <w:bCs w:val="0"/>
          <w:color w:val="000000"/>
        </w:rPr>
      </w:pPr>
      <w:bookmarkStart w:id="78" w:name="_Toc5639"/>
      <w:r>
        <w:rPr>
          <w:rFonts w:hint="eastAsia" w:ascii="黑体" w:eastAsia="黑体" w:cs="Times New Roman"/>
          <w:bCs w:val="0"/>
          <w:color w:val="000000"/>
        </w:rPr>
        <w:t>三、支出决算表</w:t>
      </w:r>
      <w:bookmarkEnd w:id="78"/>
    </w:p>
    <w:p>
      <w:pPr>
        <w:pStyle w:val="4"/>
        <w:ind w:firstLine="643" w:firstLineChars="200"/>
        <w:rPr>
          <w:rFonts w:hint="eastAsia" w:ascii="黑体" w:eastAsia="黑体" w:cs="Times New Roman"/>
          <w:bCs w:val="0"/>
          <w:color w:val="000000"/>
        </w:rPr>
      </w:pPr>
      <w:bookmarkStart w:id="79" w:name="_Toc20160"/>
      <w:r>
        <w:rPr>
          <w:rFonts w:hint="eastAsia" w:ascii="黑体" w:eastAsia="黑体" w:cs="Times New Roman"/>
          <w:bCs w:val="0"/>
          <w:color w:val="000000"/>
        </w:rPr>
        <w:t>四、财政拨款收入支出决算总表</w:t>
      </w:r>
      <w:bookmarkEnd w:id="79"/>
    </w:p>
    <w:p>
      <w:pPr>
        <w:pStyle w:val="4"/>
        <w:ind w:firstLine="643" w:firstLineChars="200"/>
        <w:rPr>
          <w:rFonts w:hint="eastAsia" w:ascii="黑体" w:eastAsia="黑体" w:cs="Times New Roman"/>
          <w:bCs w:val="0"/>
          <w:color w:val="000000"/>
        </w:rPr>
      </w:pPr>
      <w:bookmarkStart w:id="80" w:name="_Toc13786"/>
      <w:r>
        <w:rPr>
          <w:rFonts w:hint="eastAsia" w:ascii="黑体" w:eastAsia="黑体" w:cs="Times New Roman"/>
          <w:bCs w:val="0"/>
          <w:color w:val="000000"/>
        </w:rPr>
        <w:t>五、财政拨款支出决算明细表</w:t>
      </w:r>
      <w:bookmarkEnd w:id="80"/>
    </w:p>
    <w:p>
      <w:pPr>
        <w:pStyle w:val="4"/>
        <w:ind w:firstLine="643" w:firstLineChars="200"/>
        <w:rPr>
          <w:rFonts w:hint="eastAsia" w:ascii="黑体" w:eastAsia="黑体" w:cs="Times New Roman"/>
          <w:bCs w:val="0"/>
          <w:color w:val="000000"/>
        </w:rPr>
      </w:pPr>
      <w:bookmarkStart w:id="81" w:name="_Toc8367"/>
      <w:r>
        <w:rPr>
          <w:rFonts w:hint="eastAsia" w:ascii="黑体" w:eastAsia="黑体" w:cs="Times New Roman"/>
          <w:bCs w:val="0"/>
          <w:color w:val="000000"/>
        </w:rPr>
        <w:t>六、一般公共预算财政拨款支出决算表</w:t>
      </w:r>
      <w:bookmarkEnd w:id="81"/>
    </w:p>
    <w:p>
      <w:pPr>
        <w:pStyle w:val="4"/>
        <w:ind w:firstLine="643" w:firstLineChars="200"/>
        <w:rPr>
          <w:rFonts w:hint="eastAsia" w:ascii="黑体" w:eastAsia="黑体" w:cs="Times New Roman"/>
          <w:bCs w:val="0"/>
          <w:color w:val="000000"/>
        </w:rPr>
      </w:pPr>
      <w:bookmarkStart w:id="82" w:name="_Toc17399"/>
      <w:r>
        <w:rPr>
          <w:rFonts w:hint="eastAsia" w:ascii="黑体" w:eastAsia="黑体" w:cs="Times New Roman"/>
          <w:bCs w:val="0"/>
          <w:color w:val="000000"/>
        </w:rPr>
        <w:t>七、一般公共预算财政拨款支出决算明细表</w:t>
      </w:r>
      <w:bookmarkEnd w:id="82"/>
    </w:p>
    <w:p>
      <w:pPr>
        <w:pStyle w:val="4"/>
        <w:ind w:firstLine="643" w:firstLineChars="200"/>
        <w:rPr>
          <w:rFonts w:hint="eastAsia" w:ascii="黑体" w:eastAsia="黑体" w:cs="Times New Roman"/>
          <w:bCs w:val="0"/>
          <w:color w:val="000000"/>
        </w:rPr>
      </w:pPr>
      <w:bookmarkStart w:id="83" w:name="_Toc8764"/>
      <w:r>
        <w:rPr>
          <w:rFonts w:hint="eastAsia" w:ascii="黑体" w:eastAsia="黑体" w:cs="Times New Roman"/>
          <w:bCs w:val="0"/>
          <w:color w:val="000000"/>
        </w:rPr>
        <w:t>八、一般公共预算财政拨款基本支出决算表</w:t>
      </w:r>
      <w:bookmarkEnd w:id="83"/>
    </w:p>
    <w:p>
      <w:pPr>
        <w:pStyle w:val="4"/>
        <w:ind w:firstLine="643" w:firstLineChars="200"/>
        <w:rPr>
          <w:rFonts w:hint="eastAsia" w:ascii="黑体" w:eastAsia="黑体" w:cs="Times New Roman"/>
          <w:bCs w:val="0"/>
          <w:color w:val="000000"/>
        </w:rPr>
      </w:pPr>
      <w:bookmarkStart w:id="84" w:name="_Toc5316"/>
      <w:r>
        <w:rPr>
          <w:rFonts w:hint="eastAsia" w:ascii="黑体" w:eastAsia="黑体" w:cs="Times New Roman"/>
          <w:bCs w:val="0"/>
          <w:color w:val="000000"/>
        </w:rPr>
        <w:t>九、一般公共预算财政拨款项目支出决算表</w:t>
      </w:r>
      <w:bookmarkEnd w:id="84"/>
    </w:p>
    <w:p>
      <w:pPr>
        <w:pStyle w:val="4"/>
        <w:ind w:firstLine="643" w:firstLineChars="200"/>
        <w:rPr>
          <w:rFonts w:hint="eastAsia" w:ascii="黑体" w:eastAsia="黑体" w:cs="Times New Roman"/>
          <w:bCs w:val="0"/>
          <w:color w:val="000000"/>
        </w:rPr>
      </w:pPr>
      <w:bookmarkStart w:id="85" w:name="_Toc9239"/>
      <w:r>
        <w:rPr>
          <w:rFonts w:hint="eastAsia" w:ascii="黑体" w:eastAsia="黑体" w:cs="Times New Roman"/>
          <w:bCs w:val="0"/>
          <w:color w:val="000000"/>
        </w:rPr>
        <w:t>十、政府性基金预算财政拨款收入支出决算表</w:t>
      </w:r>
      <w:bookmarkEnd w:id="85"/>
    </w:p>
    <w:p>
      <w:pPr>
        <w:pStyle w:val="4"/>
        <w:ind w:firstLine="643" w:firstLineChars="200"/>
        <w:rPr>
          <w:rFonts w:hint="eastAsia" w:ascii="黑体" w:eastAsia="黑体" w:cs="Times New Roman"/>
          <w:bCs w:val="0"/>
          <w:color w:val="000000"/>
        </w:rPr>
      </w:pPr>
      <w:bookmarkStart w:id="86" w:name="_Toc21643"/>
      <w:r>
        <w:rPr>
          <w:rFonts w:hint="eastAsia" w:ascii="黑体" w:eastAsia="黑体" w:cs="Times New Roman"/>
          <w:bCs w:val="0"/>
          <w:color w:val="000000"/>
        </w:rPr>
        <w:t>十一、国有资本经营预算财政拨款收入支出决算表</w:t>
      </w:r>
      <w:bookmarkEnd w:id="86"/>
    </w:p>
    <w:p>
      <w:pPr>
        <w:pStyle w:val="4"/>
        <w:ind w:firstLine="643" w:firstLineChars="200"/>
        <w:rPr>
          <w:rFonts w:hint="eastAsia" w:ascii="黑体" w:eastAsia="黑体" w:cs="Times New Roman"/>
          <w:bCs w:val="0"/>
          <w:color w:val="000000"/>
        </w:rPr>
      </w:pPr>
      <w:bookmarkStart w:id="87" w:name="_Toc11859"/>
      <w:r>
        <w:rPr>
          <w:rFonts w:hint="eastAsia" w:ascii="黑体" w:eastAsia="黑体" w:cs="Times New Roman"/>
          <w:bCs w:val="0"/>
          <w:color w:val="000000"/>
        </w:rPr>
        <w:t>十二、国有资本经营预算财政拨款支出决算表</w:t>
      </w:r>
      <w:bookmarkEnd w:id="87"/>
    </w:p>
    <w:p>
      <w:pPr>
        <w:pStyle w:val="4"/>
        <w:ind w:firstLine="643" w:firstLineChars="200"/>
        <w:rPr>
          <w:rFonts w:ascii="黑体" w:eastAsia="黑体" w:cs="Times New Roman"/>
          <w:b w:val="0"/>
          <w:color w:val="000000"/>
        </w:rPr>
      </w:pPr>
      <w:bookmarkStart w:id="88" w:name="_Toc3136"/>
      <w:r>
        <w:rPr>
          <w:rFonts w:hint="eastAsia" w:ascii="黑体" w:eastAsia="黑体" w:cs="Times New Roman"/>
          <w:bCs w:val="0"/>
          <w:color w:val="000000"/>
        </w:rPr>
        <w:t>十三、财政拨款“三公”经费支出决算表</w:t>
      </w:r>
      <w:bookmarkEnd w:id="88"/>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4</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1MWNhN2ZmY2ZhZmY3ODhlYTg0MWU5OGMyY2QwZmUifQ=="/>
  </w:docVars>
  <w:rsids>
    <w:rsidRoot w:val="00F1361C"/>
    <w:rsid w:val="000000BC"/>
    <w:rsid w:val="00000665"/>
    <w:rsid w:val="00000B38"/>
    <w:rsid w:val="000015A2"/>
    <w:rsid w:val="00002628"/>
    <w:rsid w:val="00003E5B"/>
    <w:rsid w:val="00004806"/>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1D"/>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11B"/>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1128"/>
    <w:rsid w:val="0015213E"/>
    <w:rsid w:val="001544D9"/>
    <w:rsid w:val="00156D25"/>
    <w:rsid w:val="00156D5D"/>
    <w:rsid w:val="00157BAB"/>
    <w:rsid w:val="0016151A"/>
    <w:rsid w:val="00163B54"/>
    <w:rsid w:val="001654D1"/>
    <w:rsid w:val="00166A14"/>
    <w:rsid w:val="00166F25"/>
    <w:rsid w:val="0016730C"/>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41F1"/>
    <w:rsid w:val="001A5CF3"/>
    <w:rsid w:val="001A63BB"/>
    <w:rsid w:val="001B1840"/>
    <w:rsid w:val="001B1FA9"/>
    <w:rsid w:val="001B2FB3"/>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6926"/>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3BD"/>
    <w:rsid w:val="00280496"/>
    <w:rsid w:val="00283D63"/>
    <w:rsid w:val="00283E91"/>
    <w:rsid w:val="002856F9"/>
    <w:rsid w:val="002866CA"/>
    <w:rsid w:val="00286C21"/>
    <w:rsid w:val="002875BF"/>
    <w:rsid w:val="0029076F"/>
    <w:rsid w:val="0029094E"/>
    <w:rsid w:val="00291DC2"/>
    <w:rsid w:val="00292626"/>
    <w:rsid w:val="00292E6B"/>
    <w:rsid w:val="00295495"/>
    <w:rsid w:val="002A0D55"/>
    <w:rsid w:val="002A0E88"/>
    <w:rsid w:val="002A1940"/>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2AF1"/>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4D51"/>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3877"/>
    <w:rsid w:val="00385025"/>
    <w:rsid w:val="00386455"/>
    <w:rsid w:val="00390D36"/>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1F2"/>
    <w:rsid w:val="0045723A"/>
    <w:rsid w:val="00460A67"/>
    <w:rsid w:val="00461A98"/>
    <w:rsid w:val="00462B33"/>
    <w:rsid w:val="0046346E"/>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173A"/>
    <w:rsid w:val="00512FDA"/>
    <w:rsid w:val="00513ED7"/>
    <w:rsid w:val="0051467D"/>
    <w:rsid w:val="00520DA0"/>
    <w:rsid w:val="005225FC"/>
    <w:rsid w:val="00524AC4"/>
    <w:rsid w:val="0052729E"/>
    <w:rsid w:val="0052733D"/>
    <w:rsid w:val="00530E19"/>
    <w:rsid w:val="00530F71"/>
    <w:rsid w:val="005322EB"/>
    <w:rsid w:val="0053459C"/>
    <w:rsid w:val="00550726"/>
    <w:rsid w:val="00550F95"/>
    <w:rsid w:val="0055106D"/>
    <w:rsid w:val="005559A4"/>
    <w:rsid w:val="0056304B"/>
    <w:rsid w:val="005651E3"/>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B76E6"/>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0717"/>
    <w:rsid w:val="00622830"/>
    <w:rsid w:val="006256DB"/>
    <w:rsid w:val="00630AEF"/>
    <w:rsid w:val="00630BB3"/>
    <w:rsid w:val="006325F8"/>
    <w:rsid w:val="00633AE4"/>
    <w:rsid w:val="006348B1"/>
    <w:rsid w:val="00634C9A"/>
    <w:rsid w:val="00635FC7"/>
    <w:rsid w:val="00636040"/>
    <w:rsid w:val="00642529"/>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2E2F"/>
    <w:rsid w:val="006B471C"/>
    <w:rsid w:val="006B4C59"/>
    <w:rsid w:val="006B533E"/>
    <w:rsid w:val="006C04D7"/>
    <w:rsid w:val="006C1937"/>
    <w:rsid w:val="006C397F"/>
    <w:rsid w:val="006C6427"/>
    <w:rsid w:val="006C76DB"/>
    <w:rsid w:val="006D1F0B"/>
    <w:rsid w:val="006D42C6"/>
    <w:rsid w:val="006E0081"/>
    <w:rsid w:val="006E3700"/>
    <w:rsid w:val="006E6C66"/>
    <w:rsid w:val="006F020C"/>
    <w:rsid w:val="006F3DF7"/>
    <w:rsid w:val="006F7849"/>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0D5E"/>
    <w:rsid w:val="0076182A"/>
    <w:rsid w:val="00763BC1"/>
    <w:rsid w:val="0076499D"/>
    <w:rsid w:val="007656DB"/>
    <w:rsid w:val="007676D8"/>
    <w:rsid w:val="00767A7D"/>
    <w:rsid w:val="00767B7E"/>
    <w:rsid w:val="00767BE6"/>
    <w:rsid w:val="00775A39"/>
    <w:rsid w:val="00776900"/>
    <w:rsid w:val="007770C3"/>
    <w:rsid w:val="00780AAA"/>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008"/>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8122F"/>
    <w:rsid w:val="00885AF4"/>
    <w:rsid w:val="00886435"/>
    <w:rsid w:val="008875FA"/>
    <w:rsid w:val="00887A58"/>
    <w:rsid w:val="008918AA"/>
    <w:rsid w:val="008918C9"/>
    <w:rsid w:val="008939CD"/>
    <w:rsid w:val="00893E7C"/>
    <w:rsid w:val="00895862"/>
    <w:rsid w:val="00896814"/>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07E24"/>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4CE0"/>
    <w:rsid w:val="00A55073"/>
    <w:rsid w:val="00A55447"/>
    <w:rsid w:val="00A55ED8"/>
    <w:rsid w:val="00A56DF2"/>
    <w:rsid w:val="00A56E1B"/>
    <w:rsid w:val="00A57F63"/>
    <w:rsid w:val="00A61738"/>
    <w:rsid w:val="00A62ECF"/>
    <w:rsid w:val="00A63814"/>
    <w:rsid w:val="00A64138"/>
    <w:rsid w:val="00A64421"/>
    <w:rsid w:val="00A659FC"/>
    <w:rsid w:val="00A65DE6"/>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C6A20"/>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1BBE"/>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777"/>
    <w:rsid w:val="00BA0AED"/>
    <w:rsid w:val="00BA22CD"/>
    <w:rsid w:val="00BA3028"/>
    <w:rsid w:val="00BA3356"/>
    <w:rsid w:val="00BA49E7"/>
    <w:rsid w:val="00BA5298"/>
    <w:rsid w:val="00BB1990"/>
    <w:rsid w:val="00BB2D7E"/>
    <w:rsid w:val="00BB4C52"/>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6CE"/>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033"/>
    <w:rsid w:val="00C77575"/>
    <w:rsid w:val="00C77955"/>
    <w:rsid w:val="00C77D11"/>
    <w:rsid w:val="00C80BE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769DB"/>
    <w:rsid w:val="00D8058B"/>
    <w:rsid w:val="00D811F1"/>
    <w:rsid w:val="00D81CF0"/>
    <w:rsid w:val="00D86259"/>
    <w:rsid w:val="00D87885"/>
    <w:rsid w:val="00D9128F"/>
    <w:rsid w:val="00D938FB"/>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6D81"/>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A5E4F"/>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3D8"/>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5DB"/>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CF32DE"/>
    <w:rsid w:val="01D74DB7"/>
    <w:rsid w:val="01D86637"/>
    <w:rsid w:val="01F04616"/>
    <w:rsid w:val="03F359AA"/>
    <w:rsid w:val="0463543B"/>
    <w:rsid w:val="04A56E6E"/>
    <w:rsid w:val="051A6F96"/>
    <w:rsid w:val="06951176"/>
    <w:rsid w:val="07001BE1"/>
    <w:rsid w:val="07267DE7"/>
    <w:rsid w:val="089C4B49"/>
    <w:rsid w:val="09081517"/>
    <w:rsid w:val="091B747D"/>
    <w:rsid w:val="0A055451"/>
    <w:rsid w:val="0A19737C"/>
    <w:rsid w:val="0B7218AA"/>
    <w:rsid w:val="0B99373B"/>
    <w:rsid w:val="0BA37CB5"/>
    <w:rsid w:val="0D0429D6"/>
    <w:rsid w:val="0D093B48"/>
    <w:rsid w:val="0D322E51"/>
    <w:rsid w:val="0D6C338E"/>
    <w:rsid w:val="0DB37F58"/>
    <w:rsid w:val="0F5E6610"/>
    <w:rsid w:val="10C055FF"/>
    <w:rsid w:val="11D56DF6"/>
    <w:rsid w:val="11ED6591"/>
    <w:rsid w:val="13367661"/>
    <w:rsid w:val="16BB723D"/>
    <w:rsid w:val="17BC7656"/>
    <w:rsid w:val="17EA348C"/>
    <w:rsid w:val="1840212F"/>
    <w:rsid w:val="184656CF"/>
    <w:rsid w:val="19943114"/>
    <w:rsid w:val="1AB026BC"/>
    <w:rsid w:val="1ABB32B6"/>
    <w:rsid w:val="1BF70747"/>
    <w:rsid w:val="1C06153F"/>
    <w:rsid w:val="1C986C96"/>
    <w:rsid w:val="1D7371C3"/>
    <w:rsid w:val="1DDC2BB3"/>
    <w:rsid w:val="1E34479D"/>
    <w:rsid w:val="1EF81F78"/>
    <w:rsid w:val="1F620905"/>
    <w:rsid w:val="201A6AB0"/>
    <w:rsid w:val="203B66A0"/>
    <w:rsid w:val="211A679A"/>
    <w:rsid w:val="23902475"/>
    <w:rsid w:val="240371BF"/>
    <w:rsid w:val="2435534E"/>
    <w:rsid w:val="24534F10"/>
    <w:rsid w:val="24DF6C66"/>
    <w:rsid w:val="253D03DB"/>
    <w:rsid w:val="25A20B86"/>
    <w:rsid w:val="25B1070F"/>
    <w:rsid w:val="25DD571A"/>
    <w:rsid w:val="265C1D1F"/>
    <w:rsid w:val="26BB36DB"/>
    <w:rsid w:val="271C5A93"/>
    <w:rsid w:val="276F1834"/>
    <w:rsid w:val="27B459F9"/>
    <w:rsid w:val="27C51E91"/>
    <w:rsid w:val="28513369"/>
    <w:rsid w:val="28970AAD"/>
    <w:rsid w:val="28BF6D42"/>
    <w:rsid w:val="29FD04D3"/>
    <w:rsid w:val="2CAE1BBE"/>
    <w:rsid w:val="2CCF04B2"/>
    <w:rsid w:val="2E4C04E0"/>
    <w:rsid w:val="2F803D16"/>
    <w:rsid w:val="31810DA9"/>
    <w:rsid w:val="31903F88"/>
    <w:rsid w:val="319F7F4E"/>
    <w:rsid w:val="323A1C2F"/>
    <w:rsid w:val="329448A6"/>
    <w:rsid w:val="32F45598"/>
    <w:rsid w:val="35244754"/>
    <w:rsid w:val="364D41F6"/>
    <w:rsid w:val="36FD0156"/>
    <w:rsid w:val="38F8371D"/>
    <w:rsid w:val="39226F5F"/>
    <w:rsid w:val="39902098"/>
    <w:rsid w:val="3A3A0F35"/>
    <w:rsid w:val="3A4E1148"/>
    <w:rsid w:val="3C8D2F9D"/>
    <w:rsid w:val="3CE0510E"/>
    <w:rsid w:val="3D1927CA"/>
    <w:rsid w:val="3D1E4B3E"/>
    <w:rsid w:val="3D8344ED"/>
    <w:rsid w:val="3E03620E"/>
    <w:rsid w:val="3E343C22"/>
    <w:rsid w:val="3F512FA9"/>
    <w:rsid w:val="3FAC4683"/>
    <w:rsid w:val="3FEA5DFB"/>
    <w:rsid w:val="401C35B7"/>
    <w:rsid w:val="4119235A"/>
    <w:rsid w:val="41677310"/>
    <w:rsid w:val="422C2C46"/>
    <w:rsid w:val="4251506E"/>
    <w:rsid w:val="43684120"/>
    <w:rsid w:val="444F07DA"/>
    <w:rsid w:val="44601E28"/>
    <w:rsid w:val="475E72DC"/>
    <w:rsid w:val="47F514AF"/>
    <w:rsid w:val="4839282C"/>
    <w:rsid w:val="48FD75BD"/>
    <w:rsid w:val="4A745623"/>
    <w:rsid w:val="4D135D42"/>
    <w:rsid w:val="4D846266"/>
    <w:rsid w:val="4D8D78A2"/>
    <w:rsid w:val="4DF123A8"/>
    <w:rsid w:val="4E832A53"/>
    <w:rsid w:val="4F6F7A34"/>
    <w:rsid w:val="4FD74194"/>
    <w:rsid w:val="4FDA49F5"/>
    <w:rsid w:val="50AE413E"/>
    <w:rsid w:val="51E1640E"/>
    <w:rsid w:val="51EE42CA"/>
    <w:rsid w:val="52302EF2"/>
    <w:rsid w:val="52ED6284"/>
    <w:rsid w:val="5322283B"/>
    <w:rsid w:val="532B0C13"/>
    <w:rsid w:val="53BE2B80"/>
    <w:rsid w:val="541505F1"/>
    <w:rsid w:val="54992FD0"/>
    <w:rsid w:val="55872E29"/>
    <w:rsid w:val="56D0674C"/>
    <w:rsid w:val="58BA52C3"/>
    <w:rsid w:val="59E11CD3"/>
    <w:rsid w:val="5BE202EA"/>
    <w:rsid w:val="5CFA7F1D"/>
    <w:rsid w:val="5E2506F8"/>
    <w:rsid w:val="5EA316D6"/>
    <w:rsid w:val="5F3A07D2"/>
    <w:rsid w:val="5F593A88"/>
    <w:rsid w:val="60651EAC"/>
    <w:rsid w:val="60BB3927"/>
    <w:rsid w:val="62A42EE2"/>
    <w:rsid w:val="630D013F"/>
    <w:rsid w:val="63347FC4"/>
    <w:rsid w:val="63604CB9"/>
    <w:rsid w:val="64A36D0B"/>
    <w:rsid w:val="64C656C1"/>
    <w:rsid w:val="65DF63C9"/>
    <w:rsid w:val="662A7F2C"/>
    <w:rsid w:val="68DA2DB6"/>
    <w:rsid w:val="69725134"/>
    <w:rsid w:val="6B4666B6"/>
    <w:rsid w:val="6CC85DA9"/>
    <w:rsid w:val="6D8F2D6B"/>
    <w:rsid w:val="6DC31436"/>
    <w:rsid w:val="6ECB49CF"/>
    <w:rsid w:val="6ECB5A2B"/>
    <w:rsid w:val="6EE10A00"/>
    <w:rsid w:val="70202A42"/>
    <w:rsid w:val="72227D09"/>
    <w:rsid w:val="72E476B5"/>
    <w:rsid w:val="73BE3A62"/>
    <w:rsid w:val="746C7E4B"/>
    <w:rsid w:val="750E6C6B"/>
    <w:rsid w:val="755E374E"/>
    <w:rsid w:val="76377F56"/>
    <w:rsid w:val="764B35A7"/>
    <w:rsid w:val="78A4106B"/>
    <w:rsid w:val="79975481"/>
    <w:rsid w:val="79F60BE5"/>
    <w:rsid w:val="7A1B4027"/>
    <w:rsid w:val="7A965738"/>
    <w:rsid w:val="7ABC1C9C"/>
    <w:rsid w:val="7B022DCE"/>
    <w:rsid w:val="7B272834"/>
    <w:rsid w:val="7B8F71DF"/>
    <w:rsid w:val="7CB2612E"/>
    <w:rsid w:val="7CC25607"/>
    <w:rsid w:val="7DE859ED"/>
    <w:rsid w:val="7E4C610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30"/>
    <w:qFormat/>
    <w:uiPriority w:val="0"/>
    <w:pPr>
      <w:keepNext/>
      <w:keepLines/>
      <w:spacing w:before="340" w:after="330" w:line="578" w:lineRule="auto"/>
      <w:outlineLvl w:val="0"/>
    </w:pPr>
    <w:rPr>
      <w:b/>
      <w:bCs/>
      <w:kern w:val="44"/>
      <w:sz w:val="44"/>
    </w:rPr>
  </w:style>
  <w:style w:type="paragraph" w:styleId="4">
    <w:name w:val="heading 2"/>
    <w:basedOn w:val="1"/>
    <w:next w:val="1"/>
    <w:link w:val="31"/>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link w:val="34"/>
    <w:qFormat/>
    <w:uiPriority w:val="0"/>
    <w:pPr>
      <w:keepNext/>
      <w:keepLines/>
      <w:spacing w:before="260" w:after="260" w:line="415" w:lineRule="auto"/>
      <w:outlineLvl w:val="2"/>
    </w:pPr>
    <w:rPr>
      <w:b/>
      <w:sz w:val="32"/>
    </w:rPr>
  </w:style>
  <w:style w:type="character" w:default="1" w:styleId="17">
    <w:name w:val="Default Paragraph Font"/>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680"/>
    </w:pPr>
  </w:style>
  <w:style w:type="paragraph" w:styleId="6">
    <w:name w:val="Document Map"/>
    <w:basedOn w:val="1"/>
    <w:qFormat/>
    <w:uiPriority w:val="0"/>
    <w:rPr>
      <w:rFonts w:ascii="宋体" w:eastAsia="宋体"/>
      <w:sz w:val="18"/>
      <w:szCs w:val="18"/>
    </w:rPr>
  </w:style>
  <w:style w:type="paragraph" w:styleId="7">
    <w:name w:val="annotation text"/>
    <w:basedOn w:val="1"/>
    <w:semiHidden/>
    <w:unhideWhenUsed/>
    <w:qFormat/>
    <w:uiPriority w:val="99"/>
    <w:pPr>
      <w:jc w:val="left"/>
    </w:pPr>
  </w:style>
  <w:style w:type="paragraph" w:styleId="8">
    <w:name w:val="Body Text"/>
    <w:basedOn w:val="1"/>
    <w:link w:val="28"/>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qFormat/>
    <w:uiPriority w:val="0"/>
    <w:rPr>
      <w:sz w:val="18"/>
      <w:szCs w:val="18"/>
    </w:rPr>
  </w:style>
  <w:style w:type="paragraph" w:styleId="11">
    <w:name w:val="footer"/>
    <w:basedOn w:val="1"/>
    <w:link w:val="26"/>
    <w:qFormat/>
    <w:uiPriority w:val="0"/>
    <w:pPr>
      <w:tabs>
        <w:tab w:val="center" w:pos="4153"/>
        <w:tab w:val="right" w:pos="8306"/>
      </w:tabs>
      <w:snapToGrid w:val="0"/>
      <w:jc w:val="left"/>
    </w:pPr>
    <w:rPr>
      <w:rFonts w:eastAsia="宋体"/>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qFormat/>
    <w:uiPriority w:val="0"/>
    <w:pPr>
      <w:ind w:left="200" w:leftChars="200" w:hanging="200" w:hangingChars="200"/>
    </w:p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page number"/>
    <w:basedOn w:val="17"/>
    <w:qFormat/>
    <w:uiPriority w:val="0"/>
  </w:style>
  <w:style w:type="character" w:styleId="20">
    <w:name w:val="Hyperlink"/>
    <w:basedOn w:val="17"/>
    <w:unhideWhenUsed/>
    <w:qFormat/>
    <w:uiPriority w:val="99"/>
    <w:rPr>
      <w:color w:val="0000FF" w:themeColor="hyperlink"/>
      <w:u w:val="single"/>
      <w14:textFill>
        <w14:solidFill>
          <w14:schemeClr w14:val="hlink"/>
        </w14:solidFill>
      </w14:textFill>
    </w:rPr>
  </w:style>
  <w:style w:type="character" w:styleId="21">
    <w:name w:val="annotation reference"/>
    <w:basedOn w:val="17"/>
    <w:semiHidden/>
    <w:unhideWhenUsed/>
    <w:qFormat/>
    <w:uiPriority w:val="99"/>
    <w:rPr>
      <w:sz w:val="21"/>
      <w:szCs w:val="21"/>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3">
    <w:name w:val="Header Char"/>
    <w:basedOn w:val="17"/>
    <w:semiHidden/>
    <w:qFormat/>
    <w:uiPriority w:val="99"/>
    <w:rPr>
      <w:rFonts w:ascii="Times New Roman" w:hAnsi="Times New Roman"/>
      <w:sz w:val="18"/>
      <w:szCs w:val="18"/>
    </w:rPr>
  </w:style>
  <w:style w:type="character" w:customStyle="1" w:styleId="24">
    <w:name w:val="页眉 字符"/>
    <w:link w:val="12"/>
    <w:semiHidden/>
    <w:qFormat/>
    <w:locked/>
    <w:uiPriority w:val="99"/>
    <w:rPr>
      <w:sz w:val="18"/>
    </w:rPr>
  </w:style>
  <w:style w:type="character" w:customStyle="1" w:styleId="25">
    <w:name w:val="Footer Char"/>
    <w:basedOn w:val="17"/>
    <w:semiHidden/>
    <w:qFormat/>
    <w:uiPriority w:val="99"/>
    <w:rPr>
      <w:rFonts w:ascii="Times New Roman" w:hAnsi="Times New Roman"/>
      <w:sz w:val="18"/>
      <w:szCs w:val="18"/>
    </w:rPr>
  </w:style>
  <w:style w:type="character" w:customStyle="1" w:styleId="26">
    <w:name w:val="页脚 字符"/>
    <w:link w:val="11"/>
    <w:qFormat/>
    <w:locked/>
    <w:uiPriority w:val="99"/>
    <w:rPr>
      <w:sz w:val="18"/>
    </w:rPr>
  </w:style>
  <w:style w:type="character" w:customStyle="1" w:styleId="27">
    <w:name w:val="Body Text Char"/>
    <w:basedOn w:val="17"/>
    <w:semiHidden/>
    <w:qFormat/>
    <w:uiPriority w:val="99"/>
    <w:rPr>
      <w:rFonts w:ascii="Times New Roman" w:hAnsi="Times New Roman"/>
      <w:szCs w:val="24"/>
    </w:rPr>
  </w:style>
  <w:style w:type="character" w:customStyle="1" w:styleId="28">
    <w:name w:val="正文文本 字符"/>
    <w:link w:val="8"/>
    <w:qFormat/>
    <w:locked/>
    <w:uiPriority w:val="99"/>
    <w:rPr>
      <w:rFonts w:ascii="仿宋_GB2312" w:hAnsi="Times New Roman" w:eastAsia="仿宋_GB2312"/>
      <w:sz w:val="24"/>
    </w:rPr>
  </w:style>
  <w:style w:type="paragraph" w:styleId="29">
    <w:name w:val="List Paragraph"/>
    <w:basedOn w:val="1"/>
    <w:qFormat/>
    <w:uiPriority w:val="34"/>
    <w:pPr>
      <w:ind w:firstLine="420" w:firstLineChars="200"/>
    </w:pPr>
  </w:style>
  <w:style w:type="character" w:customStyle="1" w:styleId="30">
    <w:name w:val="标题 1 字符"/>
    <w:basedOn w:val="17"/>
    <w:link w:val="3"/>
    <w:qFormat/>
    <w:uiPriority w:val="9"/>
    <w:rPr>
      <w:rFonts w:ascii="Times New Roman" w:hAnsi="Times New Roman"/>
      <w:b/>
      <w:bCs/>
      <w:kern w:val="44"/>
      <w:sz w:val="44"/>
      <w:szCs w:val="44"/>
    </w:rPr>
  </w:style>
  <w:style w:type="character" w:customStyle="1" w:styleId="31">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7"/>
    <w:link w:val="10"/>
    <w:semiHidden/>
    <w:qFormat/>
    <w:uiPriority w:val="99"/>
    <w:rPr>
      <w:rFonts w:ascii="Times New Roman" w:hAnsi="Times New Roman"/>
      <w:kern w:val="2"/>
      <w:sz w:val="18"/>
      <w:szCs w:val="18"/>
    </w:rPr>
  </w:style>
  <w:style w:type="character" w:customStyle="1" w:styleId="34">
    <w:name w:val="标题 3 字符"/>
    <w:basedOn w:val="17"/>
    <w:link w:val="5"/>
    <w:qFormat/>
    <w:uiPriority w:val="9"/>
    <w:rPr>
      <w:rFonts w:ascii="Times New Roman" w:hAnsi="Times New Roman"/>
      <w:b/>
      <w:bCs/>
      <w:kern w:val="2"/>
      <w:sz w:val="32"/>
      <w:szCs w:val="32"/>
    </w:rPr>
  </w:style>
  <w:style w:type="character" w:customStyle="1" w:styleId="35">
    <w:name w:val="font111"/>
    <w:basedOn w:val="17"/>
    <w:qFormat/>
    <w:uiPriority w:val="0"/>
    <w:rPr>
      <w:rFonts w:ascii="黑体" w:hAnsi="宋体" w:eastAsia="黑体" w:cs="黑体"/>
      <w:color w:val="000000"/>
      <w:sz w:val="28"/>
      <w:szCs w:val="28"/>
      <w:u w:val="none"/>
    </w:rPr>
  </w:style>
  <w:style w:type="character" w:customStyle="1" w:styleId="36">
    <w:name w:val="font51"/>
    <w:basedOn w:val="17"/>
    <w:qFormat/>
    <w:uiPriority w:val="0"/>
    <w:rPr>
      <w:rFonts w:hint="default" w:ascii="Times New Roman" w:hAnsi="Times New Roman" w:cs="Times New Roman"/>
      <w:color w:val="000000"/>
      <w:sz w:val="28"/>
      <w:szCs w:val="28"/>
      <w:u w:val="none"/>
    </w:rPr>
  </w:style>
  <w:style w:type="character" w:customStyle="1" w:styleId="37">
    <w:name w:val="font31"/>
    <w:basedOn w:val="17"/>
    <w:qFormat/>
    <w:uiPriority w:val="0"/>
    <w:rPr>
      <w:rFonts w:hint="eastAsia" w:ascii="宋体" w:hAnsi="宋体" w:eastAsia="宋体" w:cs="宋体"/>
      <w:color w:val="000000"/>
      <w:sz w:val="20"/>
      <w:szCs w:val="20"/>
      <w:u w:val="none"/>
    </w:rPr>
  </w:style>
  <w:style w:type="character" w:customStyle="1" w:styleId="38">
    <w:name w:val="font121"/>
    <w:basedOn w:val="17"/>
    <w:qFormat/>
    <w:uiPriority w:val="0"/>
    <w:rPr>
      <w:rFonts w:hint="eastAsia" w:ascii="宋体" w:hAnsi="宋体" w:eastAsia="宋体" w:cs="宋体"/>
      <w:color w:val="000000"/>
      <w:sz w:val="20"/>
      <w:szCs w:val="20"/>
      <w:u w:val="none"/>
    </w:rPr>
  </w:style>
  <w:style w:type="character" w:customStyle="1" w:styleId="39">
    <w:name w:val="font131"/>
    <w:basedOn w:val="17"/>
    <w:qFormat/>
    <w:uiPriority w:val="0"/>
    <w:rPr>
      <w:rFonts w:hint="eastAsia" w:ascii="宋体" w:hAnsi="宋体" w:eastAsia="宋体" w:cs="宋体"/>
      <w:color w:val="000000"/>
      <w:sz w:val="20"/>
      <w:szCs w:val="20"/>
      <w:u w:val="none"/>
    </w:rPr>
  </w:style>
  <w:style w:type="character" w:customStyle="1" w:styleId="40">
    <w:name w:val="font91"/>
    <w:basedOn w:val="17"/>
    <w:qFormat/>
    <w:uiPriority w:val="0"/>
    <w:rPr>
      <w:rFonts w:hint="eastAsia" w:ascii="宋体" w:hAnsi="宋体" w:eastAsia="宋体" w:cs="宋体"/>
      <w:color w:val="000000"/>
      <w:sz w:val="18"/>
      <w:szCs w:val="18"/>
      <w:u w:val="none"/>
    </w:rPr>
  </w:style>
  <w:style w:type="character" w:customStyle="1" w:styleId="41">
    <w:name w:val="font112"/>
    <w:basedOn w:val="17"/>
    <w:qFormat/>
    <w:uiPriority w:val="0"/>
    <w:rPr>
      <w:rFonts w:ascii="黑体" w:hAnsi="宋体" w:eastAsia="黑体" w:cs="黑体"/>
      <w:color w:val="000000"/>
      <w:sz w:val="28"/>
      <w:szCs w:val="28"/>
      <w:u w:val="none"/>
    </w:rPr>
  </w:style>
  <w:style w:type="paragraph" w:customStyle="1" w:styleId="42">
    <w:name w:val="四号正文"/>
    <w:basedOn w:val="1"/>
    <w:qFormat/>
    <w:uiPriority w:val="0"/>
    <w:pPr>
      <w:spacing w:line="360" w:lineRule="auto"/>
    </w:pPr>
    <w:rPr>
      <w:rFonts w:ascii="??" w:hAnsi="??" w:eastAsia="宋体" w:cs="宋体"/>
      <w:color w:val="000000"/>
      <w:kern w:val="0"/>
      <w:sz w:val="28"/>
      <w:szCs w:val="21"/>
    </w:rPr>
  </w:style>
  <w:style w:type="paragraph" w:customStyle="1" w:styleId="43">
    <w:name w:val="a"/>
    <w:basedOn w:val="1"/>
    <w:qFormat/>
    <w:uiPriority w:val="0"/>
    <w:pPr>
      <w:widowControl/>
      <w:spacing w:before="100" w:beforeAutospacing="1" w:after="100" w:afterAutospacing="1"/>
      <w:jc w:val="left"/>
    </w:pPr>
    <w:rPr>
      <w:rFonts w:asci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收、支决算总计变动情况图</a:t>
            </a:r>
            <a:endParaRPr lang="en-US" sz="1100"/>
          </a:p>
        </c:rich>
      </c:tx>
      <c:layout/>
      <c:overlay val="0"/>
    </c:title>
    <c:autoTitleDeleted val="0"/>
    <c:plotArea>
      <c:layout>
        <c:manualLayout>
          <c:layoutTarget val="inner"/>
          <c:xMode val="edge"/>
          <c:yMode val="edge"/>
          <c:x val="0.0559816218099468"/>
          <c:y val="0.247865112907836"/>
          <c:w val="0.800713012477719"/>
          <c:h val="0.654027777777778"/>
        </c:manualLayout>
      </c:layout>
      <c:barChart>
        <c:barDir val="col"/>
        <c:grouping val="clustered"/>
        <c:varyColors val="0"/>
        <c:ser>
          <c:idx val="1"/>
          <c:order val="0"/>
          <c:tx>
            <c:strRef>
              <c:f>收入</c:f>
              <c:strCache>
                <c:ptCount val="1"/>
                <c:pt idx="0">
                  <c:v>收入</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{0,380.36}</c:f>
              <c:numCache>
                <c:formatCode>General</c:formatCode>
                <c:ptCount val="2"/>
                <c:pt idx="0">
                  <c:v>0</c:v>
                </c:pt>
                <c:pt idx="1">
                  <c:v>380.36</c:v>
                </c:pt>
              </c:numCache>
            </c:numRef>
          </c:val>
        </c:ser>
        <c:ser>
          <c:idx val="2"/>
          <c:order val="1"/>
          <c:tx>
            <c:strRef>
              <c:f>支出</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{0,380.36}</c:f>
              <c:numCache>
                <c:formatCode>General</c:formatCode>
                <c:ptCount val="2"/>
                <c:pt idx="0">
                  <c:v>0</c:v>
                </c:pt>
                <c:pt idx="1">
                  <c:v>380.36</c:v>
                </c:pt>
              </c:numCache>
            </c:numRef>
          </c:val>
        </c:ser>
        <c:dLbls>
          <c:showLegendKey val="0"/>
          <c:showVal val="1"/>
          <c:showCatName val="0"/>
          <c:showSerName val="0"/>
          <c:showPercent val="0"/>
          <c:showBubbleSize val="0"/>
        </c:dLbls>
        <c:gapWidth val="41"/>
        <c:axId val="261387392"/>
        <c:axId val="261388928"/>
      </c:barChart>
      <c:catAx>
        <c:axId val="261387392"/>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dk1">
                    <a:lumMod val="65000"/>
                    <a:lumOff val="35000"/>
                  </a:schemeClr>
                </a:solidFill>
                <a:effectLst/>
                <a:latin typeface="+mn-lt"/>
                <a:ea typeface="+mn-ea"/>
                <a:cs typeface="+mn-cs"/>
              </a:defRPr>
            </a:pPr>
          </a:p>
        </c:txPr>
        <c:crossAx val="261388928"/>
        <c:crosses val="autoZero"/>
        <c:auto val="1"/>
        <c:lblAlgn val="ctr"/>
        <c:lblOffset val="100"/>
        <c:noMultiLvlLbl val="0"/>
      </c:catAx>
      <c:valAx>
        <c:axId val="261388928"/>
        <c:scaling>
          <c:orientation val="minMax"/>
        </c:scaling>
        <c:delete val="1"/>
        <c:axPos val="l"/>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138739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收入决算结构图</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{"一般公共预算财政拨款收入","政府性基金预算财政拨款收入","国有资本经营预算财政拨款收入","上级补助收入","事业收入","经营收入","附属单位上缴收入","其他收入"}</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{3803599.26,0,0,0,0,0,0,0}</c:f>
              <c:numCache>
                <c:formatCode>General</c:formatCode>
                <c:ptCount val="8"/>
                <c:pt idx="0">
                  <c:v>3803599.26</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支出决算结构图</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{"基本支出","项目支出","上缴上级支出","经营支出","对附属单位补助支出"}</c:f>
              <c:strCache>
                <c:ptCount val="5"/>
                <c:pt idx="0">
                  <c:v>基本支出</c:v>
                </c:pt>
                <c:pt idx="1">
                  <c:v>项目支出</c:v>
                </c:pt>
                <c:pt idx="2">
                  <c:v>上缴上级支出</c:v>
                </c:pt>
                <c:pt idx="3">
                  <c:v>经营支出</c:v>
                </c:pt>
                <c:pt idx="4">
                  <c:v>对附属单位补助支出</c:v>
                </c:pt>
              </c:strCache>
            </c:strRef>
          </c:cat>
          <c:val>
            <c:numRef>
              <c:f>{3245663.26,557936,0,0,0}</c:f>
              <c:numCache>
                <c:formatCode>General</c:formatCode>
                <c:ptCount val="5"/>
                <c:pt idx="0">
                  <c:v>3245663.26</c:v>
                </c:pt>
                <c:pt idx="1">
                  <c:v>557936</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r>
              <a:rPr lang="en-US" altLang="zh-CN"/>
              <a:t>财政拨款收、支决算总计变动情况</a:t>
            </a:r>
            <a:endParaRPr lang="en-US" altLang="zh-CN"/>
          </a:p>
        </c:rich>
      </c:tx>
      <c:layout/>
      <c:overlay val="0"/>
      <c:spPr>
        <a:noFill/>
        <a:ln>
          <a:noFill/>
        </a:ln>
        <a:effectLst/>
      </c:spPr>
    </c:title>
    <c:autoTitleDeleted val="0"/>
    <c:plotArea>
      <c:layout/>
      <c:barChart>
        <c:barDir val="col"/>
        <c:grouping val="clustered"/>
        <c:varyColors val="0"/>
        <c:ser>
          <c:idx val="1"/>
          <c:order val="0"/>
          <c:tx>
            <c:strRef>
              <c:f>收入</c:f>
              <c:strCache>
                <c:ptCount val="1"/>
                <c:pt idx="0">
                  <c:v>收入</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{0,380.36}</c:f>
              <c:numCache>
                <c:formatCode>General</c:formatCode>
                <c:ptCount val="2"/>
                <c:pt idx="0">
                  <c:v>0</c:v>
                </c:pt>
                <c:pt idx="1">
                  <c:v>380.36</c:v>
                </c:pt>
              </c:numCache>
            </c:numRef>
          </c:val>
        </c:ser>
        <c:ser>
          <c:idx val="2"/>
          <c:order val="1"/>
          <c:tx>
            <c:strRef>
              <c:f>支出</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{0,380.36}</c:f>
              <c:numCache>
                <c:formatCode>General</c:formatCode>
                <c:ptCount val="2"/>
                <c:pt idx="0">
                  <c:v>0</c:v>
                </c:pt>
                <c:pt idx="1">
                  <c:v>380.36</c:v>
                </c:pt>
              </c:numCache>
            </c:numRef>
          </c:val>
        </c:ser>
        <c:dLbls>
          <c:showLegendKey val="0"/>
          <c:showVal val="1"/>
          <c:showCatName val="0"/>
          <c:showSerName val="0"/>
          <c:showPercent val="0"/>
          <c:showBubbleSize val="0"/>
        </c:dLbls>
        <c:gapWidth val="100"/>
        <c:overlap val="-24"/>
        <c:axId val="263359104"/>
        <c:axId val="263373184"/>
      </c:barChart>
      <c:catAx>
        <c:axId val="263359104"/>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73184"/>
        <c:crosses val="autoZero"/>
        <c:auto val="1"/>
        <c:lblAlgn val="ctr"/>
        <c:lblOffset val="100"/>
        <c:noMultiLvlLbl val="0"/>
      </c:catAx>
      <c:valAx>
        <c:axId val="263373184"/>
        <c:scaling>
          <c:orientation val="minMax"/>
        </c:scaling>
        <c:delete val="0"/>
        <c:axPos val="l"/>
        <c:majorGridlines>
          <c:spPr>
            <a:ln w="9525" cap="flat" cmpd="sng" algn="ctr">
              <a:solidFill>
                <a:schemeClr val="tx2">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5910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r>
              <a:rPr lang="zh-CN" altLang="en-US" sz="1200"/>
              <a:t>一般公共预算财政拨款支出</a:t>
            </a:r>
            <a:endParaRPr lang="zh-CN" altLang="en-US" sz="1200"/>
          </a:p>
        </c:rich>
      </c:tx>
      <c:layout/>
      <c:overlay val="0"/>
      <c:spPr>
        <a:noFill/>
        <a:ln>
          <a:noFill/>
        </a:ln>
        <a:effectLst/>
      </c:spPr>
    </c:title>
    <c:autoTitleDeleted val="0"/>
    <c:plotArea>
      <c:layout>
        <c:manualLayout>
          <c:layoutTarget val="inner"/>
          <c:xMode val="edge"/>
          <c:yMode val="edge"/>
          <c:x val="0.0736333103993069"/>
          <c:y val="0.199582873033408"/>
          <c:w val="0.767623678108199"/>
          <c:h val="0.708506514060342"/>
        </c:manualLayout>
      </c:layout>
      <c:barChart>
        <c:barDir val="col"/>
        <c:grouping val="clustered"/>
        <c:varyColors val="0"/>
        <c:ser>
          <c:idx val="1"/>
          <c:order val="0"/>
          <c:tx>
            <c:strRef>
              <c:f>2021</c:f>
              <c:strCache>
                <c:ptCount val="1"/>
                <c:pt idx="0">
                  <c:v>2021</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{0}</c:f>
              <c:numCache>
                <c:formatCode>General</c:formatCode>
                <c:ptCount val="1"/>
                <c:pt idx="0">
                  <c:v>0</c:v>
                </c:pt>
              </c:numCache>
            </c:numRef>
          </c:val>
        </c:ser>
        <c:ser>
          <c:idx val="2"/>
          <c:order val="1"/>
          <c:tx>
            <c:strRef>
              <c:f>2022</c:f>
              <c:strCache>
                <c:ptCount val="1"/>
                <c:pt idx="0">
                  <c:v>2022</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{380.36}</c:f>
              <c:numCache>
                <c:formatCode>General</c:formatCode>
                <c:ptCount val="1"/>
                <c:pt idx="0">
                  <c:v>380.36</c:v>
                </c:pt>
              </c:numCache>
            </c:numRef>
          </c:val>
        </c:ser>
        <c:dLbls>
          <c:showLegendKey val="0"/>
          <c:showVal val="1"/>
          <c:showCatName val="0"/>
          <c:showSerName val="0"/>
          <c:showPercent val="0"/>
          <c:showBubbleSize val="0"/>
        </c:dLbls>
        <c:gapWidth val="100"/>
        <c:overlap val="-24"/>
        <c:axId val="263440640"/>
        <c:axId val="263135232"/>
      </c:barChart>
      <c:catAx>
        <c:axId val="263440640"/>
        <c:scaling>
          <c:orientation val="minMax"/>
        </c:scaling>
        <c:delete val="1"/>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3135232"/>
        <c:crosses val="autoZero"/>
        <c:auto val="1"/>
        <c:lblAlgn val="ctr"/>
        <c:lblOffset val="100"/>
        <c:noMultiLvlLbl val="0"/>
      </c:catAx>
      <c:valAx>
        <c:axId val="26313523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344064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一般公共预算财政拨款支出</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{"社会保障和就业支出","卫生健康支出","住房保障支出"}</c:f>
              <c:strCache>
                <c:ptCount val="3"/>
                <c:pt idx="0">
                  <c:v>社会保障和就业支出</c:v>
                </c:pt>
                <c:pt idx="1">
                  <c:v>卫生健康支出</c:v>
                </c:pt>
                <c:pt idx="2">
                  <c:v>住房保障支出</c:v>
                </c:pt>
              </c:strCache>
            </c:strRef>
          </c:cat>
          <c:val>
            <c:numRef>
              <c:f>{73.08,280.23,27.05}</c:f>
              <c:numCache>
                <c:formatCode>General</c:formatCode>
                <c:ptCount val="3"/>
                <c:pt idx="0">
                  <c:v>73.08</c:v>
                </c:pt>
                <c:pt idx="1">
                  <c:v>280.23</c:v>
                </c:pt>
                <c:pt idx="2">
                  <c:v>27.05</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三公经费</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{0,0,0}</c:f>
              <c:numCache>
                <c:formatCode>General</c:formatCode>
                <c:ptCount val="3"/>
                <c:pt idx="0">
                  <c:v>0</c:v>
                </c:pt>
                <c:pt idx="1">
                  <c:v>0</c:v>
                </c:pt>
                <c:pt idx="2">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FC5A5-8DE4-4565-B639-6D345C1D7E6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16</Pages>
  <Words>3305</Words>
  <Characters>4960</Characters>
  <Lines>51</Lines>
  <Paragraphs>14</Paragraphs>
  <TotalTime>3</TotalTime>
  <ScaleCrop>false</ScaleCrop>
  <LinksUpToDate>false</LinksUpToDate>
  <CharactersWithSpaces>5011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2023-08-18T07:28:00Z</dcterms:created>
  <dc:creator>pjf</dc:creator>
  <cp:lastModifiedBy>奕夕^_^</cp:lastModifiedBy>
  <cp:lastPrinted>2021-09-26T08:39:00Z</cp:lastPrinted>
  <dcterms:modified xsi:type="dcterms:W3CDTF">2023-09-13T07:16:46Z</dcterms:modified>
  <dc:title>四川省决算编制说明</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EE33F9A803AA4E5D8851C27129764F8A_13</vt:lpwstr>
  </property>
</Properties>
</file>