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8441"/>
      <w:bookmarkStart w:id="1" w:name="_Toc15377425"/>
      <w:bookmarkStart w:id="2" w:name="_Toc15377193"/>
      <w:bookmarkStart w:id="3" w:name="_Toc15396475"/>
      <w:bookmarkStart w:id="4" w:name="_Toc15396597"/>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8442"/>
      <w:bookmarkStart w:id="7" w:name="_Toc15306268"/>
      <w:bookmarkStart w:id="8" w:name="_Toc15396476"/>
      <w:bookmarkStart w:id="9" w:name="_Toc15377194"/>
      <w:bookmarkStart w:id="10" w:name="_Toc15377426"/>
      <w:bookmarkStart w:id="11" w:name="_Toc15396598"/>
      <w:r>
        <w:rPr>
          <w:rFonts w:asciiTheme="minorEastAsia" w:hAnsiTheme="minorEastAsia" w:eastAsiaTheme="minorEastAsia"/>
          <w:b/>
          <w:sz w:val="72"/>
          <w:szCs w:val="72"/>
        </w:rPr>
        <w:t>阿坝州松潘县疾病预防控制中心</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_Toc12552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_Toc12552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_Toc9088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_Toc9088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_Toc1357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_Toc1357 \h </w:instrText>
      </w:r>
      <w:r>
        <w:fldChar w:fldCharType="separate"/>
      </w:r>
      <w:r>
        <w:t>10</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_Toc3126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rPr>
        <w:t>年度部门决算情况说明</w:t>
      </w:r>
      <w:r>
        <w:tab/>
      </w:r>
      <w:r>
        <w:fldChar w:fldCharType="begin"/>
      </w:r>
      <w:r>
        <w:instrText xml:space="preserve"> PAGEREF _Toc3126 \h </w:instrText>
      </w:r>
      <w:r>
        <w:fldChar w:fldCharType="separate"/>
      </w:r>
      <w:r>
        <w:t>15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_Toc10940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_Toc10940 \h </w:instrText>
      </w:r>
      <w:r>
        <w:fldChar w:fldCharType="separate"/>
      </w:r>
      <w:r>
        <w:t>15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_Toc19675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_Toc19675 \h </w:instrText>
      </w:r>
      <w:r>
        <w:fldChar w:fldCharType="separate"/>
      </w:r>
      <w:r>
        <w:t>15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_Toc26390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_Toc26390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_Toc27021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_Toc27021 \h </w:instrText>
      </w:r>
      <w:r>
        <w:fldChar w:fldCharType="separate"/>
      </w:r>
      <w:r>
        <w:t>17</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_Toc13793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_Toc13793 \h </w:instrText>
      </w:r>
      <w:r>
        <w:fldChar w:fldCharType="separate"/>
      </w:r>
      <w:r>
        <w:t>17</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_Toc16428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_Toc16428 \h </w:instrText>
      </w:r>
      <w:r>
        <w:fldChar w:fldCharType="separate"/>
      </w:r>
      <w:r>
        <w:t>20</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_Toc21538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_Toc21538 \h </w:instrText>
      </w:r>
      <w:r>
        <w:fldChar w:fldCharType="separate"/>
      </w:r>
      <w:r>
        <w:t>20</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_Toc15788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_Toc15788 \h </w:instrText>
      </w:r>
      <w:r>
        <w:fldChar w:fldCharType="separate"/>
      </w:r>
      <w:r>
        <w:t>22</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_Toc5883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_Toc5883 \h </w:instrText>
      </w:r>
      <w:r>
        <w:fldChar w:fldCharType="separate"/>
      </w:r>
      <w:r>
        <w:t>22</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_Toc30393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_Toc30393 \h </w:instrText>
      </w:r>
      <w:r>
        <w:fldChar w:fldCharType="separate"/>
      </w:r>
      <w:r>
        <w:t>22</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_Toc19504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_Toc19504 \h </w:instrText>
      </w:r>
      <w:r>
        <w:fldChar w:fldCharType="separate"/>
      </w:r>
      <w:r>
        <w:t>24</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_Toc1702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_Toc1702 \h </w:instrText>
      </w:r>
      <w:r>
        <w:fldChar w:fldCharType="separate"/>
      </w:r>
      <w:r>
        <w:t>28</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_Toc7136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_Toc7136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_Toc28362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_Toc28362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_Toc23797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_Toc23797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_Toc16812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_Toc16812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_Toc6674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_Toc6674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_Toc176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_Toc176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_Toc13073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_Toc13073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_Toc2093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_Toc2093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_Toc10060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_Toc10060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_Toc1286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_Toc1286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_Toc14146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_Toc14146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_Toc2113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_Toc2113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_Toc16475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_Toc16475 \h </w:instrText>
      </w:r>
      <w:r>
        <w:fldChar w:fldCharType="separate"/>
      </w:r>
      <w:r>
        <w:t>39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_Toc12343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_Toc12343 \h </w:instrText>
      </w:r>
      <w:r>
        <w:fldChar w:fldCharType="separate"/>
      </w:r>
      <w:r>
        <w:t>39</w:t>
      </w:r>
      <w:r>
        <w:fldChar w:fldCharType="end"/>
      </w:r>
      <w:r>
        <w:rPr>
          <w:smallCaps/>
          <w:szCs w:val="20"/>
        </w:rPr>
        <w:fldChar w:fldCharType="end"/>
      </w:r>
    </w:p>
    <w:p>
      <w:pPr>
        <w:pStyle w:val="2"/>
        <w:rPr>
          <w:smallCaps/>
          <w:szCs w:val="20"/>
        </w:rPr>
      </w:pPr>
      <w:r>
        <w:rPr>
          <w:smallCaps/>
          <w:szCs w:val="20"/>
        </w:rPr>
        <w:fldChar w:fldCharType="end"/>
      </w:r>
    </w:p>
    <w:p>
      <w:pPr>
        <w:pStyle w:val="2"/>
        <w:rPr>
          <w:smallCaps/>
          <w:szCs w:val="20"/>
        </w:rPr>
      </w:pPr>
    </w:p>
    <w:p>
      <w:pPr>
        <w:pStyle w:val="2"/>
        <w:rPr>
          <w:smallCaps/>
          <w:szCs w:val="20"/>
        </w:rPr>
      </w:pPr>
    </w:p>
    <w:p>
      <w:pPr>
        <w:pStyle w:val="2"/>
        <w:rPr>
          <w:smallCaps/>
          <w:szCs w:val="20"/>
        </w:rPr>
      </w:pPr>
    </w:p>
    <w:p>
      <w:pPr>
        <w:pStyle w:val="2"/>
        <w:rPr>
          <w:smallCaps/>
          <w:szCs w:val="20"/>
        </w:rPr>
      </w:pPr>
    </w:p>
    <w:p>
      <w:pPr>
        <w:pStyle w:val="3"/>
        <w:keepNext/>
        <w:keepLines/>
        <w:pageBreakBefore w:val="0"/>
        <w:widowControl/>
        <w:kinsoku w:val="0"/>
        <w:wordWrap/>
        <w:overflowPunct/>
        <w:topLinePunct w:val="0"/>
        <w:autoSpaceDE w:val="0"/>
        <w:autoSpaceDN w:val="0"/>
        <w:bidi w:val="0"/>
        <w:adjustRightInd/>
        <w:snapToGrid/>
        <w:spacing w:line="579" w:lineRule="auto"/>
        <w:jc w:val="center"/>
        <w:textAlignment w:val="baseline"/>
        <w:rPr>
          <w:rFonts w:ascii="黑体" w:hAnsi="黑体" w:eastAsia="黑体" w:cs="黑体"/>
          <w:b w:val="0"/>
          <w:bCs w:val="0"/>
        </w:rPr>
      </w:pPr>
      <w:bookmarkStart w:id="13" w:name="_Toc111208495"/>
      <w:bookmarkStart w:id="14" w:name="_Toc12552"/>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15" w:name="_Toc15377197"/>
      <w:bookmarkStart w:id="16" w:name="_Toc111208496"/>
      <w:bookmarkStart w:id="17" w:name="_Toc9088"/>
      <w:r>
        <w:rPr>
          <w:rFonts w:hint="eastAsia" w:ascii="黑体" w:eastAsia="黑体" w:cs="Times New Roman"/>
          <w:bCs w:val="0"/>
          <w:color w:val="000000"/>
        </w:rPr>
        <w:t>一、</w:t>
      </w:r>
      <w:bookmarkEnd w:id="15"/>
      <w:bookmarkEnd w:id="16"/>
      <w:bookmarkStart w:id="18" w:name="_Toc15377198"/>
      <w:bookmarkStart w:id="19" w:name="_Toc15378445"/>
      <w:r>
        <w:rPr>
          <w:rFonts w:hint="eastAsia" w:ascii="黑体" w:eastAsia="黑体" w:cs="Times New Roman"/>
          <w:bCs w:val="0"/>
          <w:color w:val="000000"/>
        </w:rPr>
        <w:t>部门职责</w:t>
      </w:r>
      <w:bookmarkEnd w:id="17"/>
    </w:p>
    <w:bookmarkEnd w:id="18"/>
    <w:bookmarkEnd w:id="19"/>
    <w:p>
      <w:pPr>
        <w:keepNext w:val="0"/>
        <w:keepLines w:val="0"/>
        <w:pageBreakBefore w:val="0"/>
        <w:widowControl/>
        <w:kinsoku w:val="0"/>
        <w:wordWrap/>
        <w:overflowPunct/>
        <w:topLinePunct w:val="0"/>
        <w:autoSpaceDE w:val="0"/>
        <w:autoSpaceDN w:val="0"/>
        <w:bidi w:val="0"/>
        <w:adjustRightInd w:val="0"/>
        <w:snapToGrid/>
        <w:spacing w:line="580" w:lineRule="exact"/>
        <w:ind w:firstLine="643" w:firstLineChars="200"/>
        <w:jc w:val="both"/>
        <w:textAlignment w:val="baseline"/>
        <w:rPr>
          <w:rFonts w:ascii="仿宋" w:hAnsi="仿宋" w:eastAsia="仿宋"/>
          <w:color w:val="000000"/>
          <w:sz w:val="32"/>
          <w:szCs w:val="32"/>
        </w:rPr>
      </w:pPr>
      <w:r>
        <w:rPr>
          <w:rFonts w:ascii="仿宋" w:hAnsi="仿宋" w:eastAsia="仿宋"/>
          <w:b/>
          <w:bCs/>
          <w:color w:val="000000"/>
          <w:sz w:val="32"/>
          <w:szCs w:val="32"/>
        </w:rPr>
        <w:t>（一）主要职能。</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1.</w:t>
      </w:r>
      <w:r>
        <w:rPr>
          <w:rFonts w:ascii="仿宋" w:hAnsi="仿宋" w:eastAsia="仿宋"/>
          <w:color w:val="000000"/>
          <w:sz w:val="32"/>
          <w:szCs w:val="32"/>
        </w:rPr>
        <w:t>拟定和指导实施全县急慢性传染病、慢性非传染性疾病、 职业病、地方病等疾病的预防控制规划、计划、实施方案、工作规范、 标准、</w:t>
      </w:r>
      <w:r>
        <w:rPr>
          <w:rFonts w:hint="eastAsia" w:ascii="仿宋" w:hAnsi="仿宋" w:eastAsia="仿宋"/>
          <w:color w:val="000000"/>
          <w:sz w:val="32"/>
          <w:szCs w:val="32"/>
          <w:lang w:eastAsia="zh-CN"/>
        </w:rPr>
        <w:t>防治</w:t>
      </w:r>
      <w:r>
        <w:rPr>
          <w:rFonts w:ascii="仿宋" w:hAnsi="仿宋" w:eastAsia="仿宋"/>
          <w:color w:val="000000"/>
          <w:sz w:val="32"/>
          <w:szCs w:val="32"/>
        </w:rPr>
        <w:t>对策与技术措施。并对实施情况进行质量控制和效果评估。</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2.</w:t>
      </w:r>
      <w:r>
        <w:rPr>
          <w:rFonts w:ascii="仿宋" w:hAnsi="仿宋" w:eastAsia="仿宋"/>
          <w:color w:val="000000"/>
          <w:sz w:val="32"/>
          <w:szCs w:val="32"/>
        </w:rPr>
        <w:t xml:space="preserve">建立突发公共卫生事件应急处理运行机制，指导和参与调查处理全县发生的重大传染病疫情、新发传染病、群体性不明原因疾病等突发公共卫生事件。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3.</w:t>
      </w:r>
      <w:r>
        <w:rPr>
          <w:rFonts w:ascii="仿宋" w:hAnsi="仿宋" w:eastAsia="仿宋"/>
          <w:color w:val="000000"/>
          <w:sz w:val="32"/>
          <w:szCs w:val="32"/>
        </w:rPr>
        <w:t>开展对影响人群生存环境卫生质量及生命质量的危险因素和食品、职业、环境、放射、学校卫生等卫生学监测</w:t>
      </w:r>
      <w:r>
        <w:rPr>
          <w:rFonts w:hint="eastAsia" w:ascii="仿宋" w:hAnsi="仿宋" w:eastAsia="仿宋"/>
          <w:color w:val="000000"/>
          <w:sz w:val="32"/>
          <w:szCs w:val="32"/>
          <w:lang w:eastAsia="zh-CN"/>
        </w:rPr>
        <w:t>、</w:t>
      </w:r>
      <w:r>
        <w:rPr>
          <w:rFonts w:ascii="仿宋" w:hAnsi="仿宋" w:eastAsia="仿宋"/>
          <w:color w:val="000000"/>
          <w:sz w:val="32"/>
          <w:szCs w:val="32"/>
        </w:rPr>
        <w:t>组织开展健康危害因素干预。</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4.</w:t>
      </w:r>
      <w:r>
        <w:rPr>
          <w:rFonts w:ascii="仿宋" w:hAnsi="仿宋" w:eastAsia="仿宋"/>
          <w:color w:val="000000"/>
          <w:sz w:val="32"/>
          <w:szCs w:val="32"/>
        </w:rPr>
        <w:t>对全县急慢性传染病、地方病、寄生虫病、慢性非传染性疾病、职业病、公害病、学生常见病及意外伤害等发生、分布和发展的规律进行流行病学监测、分析和预测、预报。</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5.</w:t>
      </w:r>
      <w:r>
        <w:rPr>
          <w:rFonts w:ascii="仿宋" w:hAnsi="仿宋" w:eastAsia="仿宋"/>
          <w:color w:val="000000"/>
          <w:sz w:val="32"/>
          <w:szCs w:val="32"/>
        </w:rPr>
        <w:t>组织开展全县免疫和规划免疫预防接种工作，负责免疫预防的技术指导、效果监测与评价，预防用生物制品的计划、订购、供应及冷链系统的监测与使用管理。</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6.</w:t>
      </w:r>
      <w:r>
        <w:rPr>
          <w:rFonts w:ascii="仿宋" w:hAnsi="仿宋" w:eastAsia="仿宋"/>
          <w:color w:val="000000"/>
          <w:sz w:val="32"/>
          <w:szCs w:val="32"/>
        </w:rPr>
        <w:t>拟</w:t>
      </w:r>
      <w:r>
        <w:rPr>
          <w:rFonts w:hint="eastAsia" w:ascii="仿宋" w:hAnsi="仿宋" w:eastAsia="仿宋"/>
          <w:color w:val="000000"/>
          <w:sz w:val="32"/>
          <w:szCs w:val="32"/>
          <w:lang w:eastAsia="zh-CN"/>
        </w:rPr>
        <w:t>制定</w:t>
      </w:r>
      <w:r>
        <w:rPr>
          <w:rFonts w:ascii="仿宋" w:hAnsi="仿宋" w:eastAsia="仿宋"/>
          <w:color w:val="000000"/>
          <w:sz w:val="32"/>
          <w:szCs w:val="32"/>
        </w:rPr>
        <w:t>健康教育工作规划、计划与实施方案，开展健康教育和健康促进工作。</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7.</w:t>
      </w:r>
      <w:r>
        <w:rPr>
          <w:rFonts w:ascii="仿宋" w:hAnsi="仿宋" w:eastAsia="仿宋"/>
          <w:color w:val="000000"/>
          <w:sz w:val="32"/>
          <w:szCs w:val="32"/>
        </w:rPr>
        <w:t xml:space="preserve">拟定全县消毒杀虫工作规划、计划和技术措施，组织开展病原媒介生物和消毒杀虫工作效果监测与评价。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8.</w:t>
      </w:r>
      <w:r>
        <w:rPr>
          <w:rFonts w:ascii="仿宋" w:hAnsi="仿宋" w:eastAsia="仿宋"/>
          <w:color w:val="000000"/>
          <w:sz w:val="32"/>
          <w:szCs w:val="32"/>
        </w:rPr>
        <w:t xml:space="preserve">负责全县传染病疫情等突发公共卫生事件及有关公共卫生信息的收集、分析、报告、管理工作。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9.</w:t>
      </w:r>
      <w:r>
        <w:rPr>
          <w:rFonts w:ascii="仿宋" w:hAnsi="仿宋" w:eastAsia="仿宋"/>
          <w:color w:val="000000"/>
          <w:sz w:val="32"/>
          <w:szCs w:val="32"/>
        </w:rPr>
        <w:t>承担卫生监测检验、预防性健康检查、健康相关产品卫生质量检验、鉴定工作；负责对新建、改建、扩建建设项目的选址、设计和竣工验收的卫生学评价工作。</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10.</w:t>
      </w:r>
      <w:r>
        <w:rPr>
          <w:rFonts w:ascii="仿宋" w:hAnsi="仿宋" w:eastAsia="仿宋"/>
          <w:color w:val="000000"/>
          <w:sz w:val="32"/>
          <w:szCs w:val="32"/>
        </w:rPr>
        <w:t xml:space="preserve">向社会提供相关的预防保健信息、健康咨询和预防医学诊疗等专业技术服务。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11.</w:t>
      </w:r>
      <w:r>
        <w:rPr>
          <w:rFonts w:ascii="仿宋" w:hAnsi="仿宋" w:eastAsia="仿宋"/>
          <w:color w:val="000000"/>
          <w:sz w:val="32"/>
          <w:szCs w:val="32"/>
        </w:rPr>
        <w:t>负责全县疾病预防控制业务人员的技术培训、进修和业务指导；承担上级卫生行政和业务部门交办</w:t>
      </w:r>
      <w:r>
        <w:rPr>
          <w:rFonts w:hint="eastAsia" w:ascii="仿宋" w:hAnsi="仿宋" w:eastAsia="仿宋"/>
          <w:color w:val="000000"/>
          <w:sz w:val="32"/>
          <w:szCs w:val="32"/>
          <w:lang w:eastAsia="zh-CN"/>
        </w:rPr>
        <w:t>的其他</w:t>
      </w:r>
      <w:r>
        <w:rPr>
          <w:rFonts w:ascii="仿宋" w:hAnsi="仿宋" w:eastAsia="仿宋"/>
          <w:color w:val="000000"/>
          <w:sz w:val="32"/>
          <w:szCs w:val="32"/>
        </w:rPr>
        <w:t>事宜。</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（二）2022年重点工作完成情况。</w:t>
      </w:r>
      <w:r>
        <w:rPr>
          <w:rFonts w:ascii="仿宋" w:hAnsi="仿宋" w:eastAsia="仿宋"/>
          <w:b/>
          <w:bCs/>
          <w:color w:val="000000"/>
          <w:sz w:val="32"/>
          <w:szCs w:val="32"/>
        </w:rPr>
        <w:cr/>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1.</w:t>
      </w:r>
      <w:r>
        <w:rPr>
          <w:rFonts w:ascii="仿宋" w:hAnsi="仿宋" w:eastAsia="仿宋"/>
          <w:color w:val="000000"/>
          <w:sz w:val="32"/>
          <w:szCs w:val="32"/>
        </w:rPr>
        <w:t>传染病管理。</w:t>
      </w:r>
      <w:r>
        <w:rPr>
          <w:rFonts w:hint="eastAsia" w:ascii="仿宋" w:hAnsi="仿宋" w:eastAsia="仿宋"/>
          <w:color w:val="000000"/>
          <w:sz w:val="32"/>
          <w:szCs w:val="32"/>
          <w:lang w:eastAsia="zh-CN"/>
        </w:rPr>
        <w:t>截至</w:t>
      </w:r>
      <w:r>
        <w:rPr>
          <w:rFonts w:ascii="仿宋" w:hAnsi="仿宋" w:eastAsia="仿宋"/>
          <w:color w:val="000000"/>
          <w:sz w:val="32"/>
          <w:szCs w:val="32"/>
        </w:rPr>
        <w:t>12月31日，全县共报告乙丙类传染病10种，报告发病359例，无死亡病例，报告发病率为466.62/10万</w:t>
      </w:r>
      <w:r>
        <w:rPr>
          <w:rFonts w:hint="eastAsia" w:ascii="仿宋" w:hAnsi="仿宋" w:eastAsia="仿宋"/>
          <w:color w:val="000000"/>
          <w:sz w:val="32"/>
          <w:szCs w:val="32"/>
          <w:lang w:eastAsia="zh-CN"/>
        </w:rPr>
        <w:t>，</w:t>
      </w:r>
      <w:r>
        <w:rPr>
          <w:rFonts w:ascii="仿宋" w:hAnsi="仿宋" w:eastAsia="仿宋"/>
          <w:color w:val="000000"/>
          <w:sz w:val="32"/>
          <w:szCs w:val="32"/>
        </w:rPr>
        <w:t>与去年同期比下降9.57%。甲类传染病：无病例报告；乙类传染病：2022年全县共报告乙类传染病6种共198例，无死亡，报告发病率为257.35/10万，与去年同期比下降2.94%；丙类传染病：2022年全县共报告丙类传染病4种161例，无死亡</w:t>
      </w:r>
      <w:r>
        <w:rPr>
          <w:rFonts w:hint="eastAsia" w:ascii="仿宋" w:hAnsi="仿宋" w:eastAsia="仿宋"/>
          <w:color w:val="000000"/>
          <w:sz w:val="32"/>
          <w:szCs w:val="32"/>
          <w:lang w:eastAsia="zh-CN"/>
        </w:rPr>
        <w:t>，</w:t>
      </w:r>
      <w:r>
        <w:rPr>
          <w:rFonts w:ascii="仿宋" w:hAnsi="仿宋" w:eastAsia="仿宋"/>
          <w:color w:val="000000"/>
          <w:sz w:val="32"/>
          <w:szCs w:val="32"/>
        </w:rPr>
        <w:t>报告发病率为209.26/10万，与去年同期比下降16.58%。</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2.</w:t>
      </w:r>
      <w:r>
        <w:rPr>
          <w:rFonts w:ascii="仿宋" w:hAnsi="仿宋" w:eastAsia="仿宋"/>
          <w:color w:val="000000"/>
          <w:sz w:val="32"/>
          <w:szCs w:val="32"/>
        </w:rPr>
        <w:t>2022年新冠疫情防控工作。（1）</w:t>
      </w:r>
      <w:r>
        <w:rPr>
          <w:rFonts w:hint="eastAsia" w:ascii="仿宋" w:hAnsi="仿宋" w:eastAsia="仿宋"/>
          <w:color w:val="000000"/>
          <w:sz w:val="32"/>
          <w:szCs w:val="32"/>
          <w:lang w:eastAsia="zh-CN"/>
        </w:rPr>
        <w:t>新冠感染</w:t>
      </w:r>
      <w:r>
        <w:rPr>
          <w:rFonts w:ascii="仿宋" w:hAnsi="仿宋" w:eastAsia="仿宋"/>
          <w:color w:val="000000"/>
          <w:sz w:val="32"/>
          <w:szCs w:val="32"/>
        </w:rPr>
        <w:t>防控措施。要求全县各医疗单位坚持“发热门诊”常态工作；深入学校、幼儿园指导，强化晨午检机制，</w:t>
      </w:r>
      <w:r>
        <w:rPr>
          <w:rFonts w:hint="eastAsia" w:ascii="仿宋" w:hAnsi="仿宋" w:eastAsia="仿宋"/>
          <w:color w:val="000000"/>
          <w:sz w:val="32"/>
          <w:szCs w:val="32"/>
          <w:lang w:eastAsia="zh-CN"/>
        </w:rPr>
        <w:t>加大</w:t>
      </w:r>
      <w:r>
        <w:rPr>
          <w:rFonts w:ascii="仿宋" w:hAnsi="仿宋" w:eastAsia="仿宋"/>
          <w:color w:val="000000"/>
          <w:sz w:val="32"/>
          <w:szCs w:val="32"/>
        </w:rPr>
        <w:t>公共场所卫生巡查力度，开展宣传教育，提升防控意识；单位成立24小时全天值班制度；开展重点人群及重点环境的日常</w:t>
      </w:r>
      <w:r>
        <w:rPr>
          <w:rFonts w:hint="eastAsia" w:ascii="仿宋" w:hAnsi="仿宋" w:eastAsia="仿宋"/>
          <w:color w:val="000000"/>
          <w:sz w:val="32"/>
          <w:szCs w:val="32"/>
          <w:lang w:eastAsia="zh-CN"/>
        </w:rPr>
        <w:t>监测</w:t>
      </w:r>
      <w:r>
        <w:rPr>
          <w:rFonts w:ascii="仿宋" w:hAnsi="仿宋" w:eastAsia="仿宋"/>
          <w:color w:val="000000"/>
          <w:sz w:val="32"/>
          <w:szCs w:val="32"/>
        </w:rPr>
        <w:t>工作。（2）排查管控重点人群2037人，其中累计摸排密接人员905人、次密接人员805人，黄码人员247人，其他80人。（3）我县报告新冠传染病报告卡107张，其中确诊病例16例，无症状感染者91人。</w:t>
      </w:r>
      <w:r>
        <w:rPr>
          <w:rFonts w:hint="eastAsia" w:ascii="仿宋" w:hAnsi="仿宋" w:eastAsia="仿宋"/>
          <w:color w:val="000000"/>
          <w:sz w:val="32"/>
          <w:szCs w:val="32"/>
          <w:lang w:eastAsia="zh-CN"/>
        </w:rPr>
        <w:t>（</w:t>
      </w:r>
      <w:r>
        <w:rPr>
          <w:rFonts w:ascii="仿宋" w:hAnsi="仿宋" w:eastAsia="仿宋"/>
          <w:color w:val="000000"/>
          <w:sz w:val="32"/>
          <w:szCs w:val="32"/>
        </w:rPr>
        <w:t>4</w:t>
      </w:r>
      <w:r>
        <w:rPr>
          <w:rFonts w:hint="eastAsia" w:ascii="仿宋" w:hAnsi="仿宋" w:eastAsia="仿宋"/>
          <w:color w:val="000000"/>
          <w:sz w:val="32"/>
          <w:szCs w:val="32"/>
          <w:lang w:eastAsia="zh-CN"/>
        </w:rPr>
        <w:t>）</w:t>
      </w:r>
      <w:r>
        <w:rPr>
          <w:rFonts w:ascii="仿宋" w:hAnsi="仿宋" w:eastAsia="仿宋"/>
          <w:color w:val="000000"/>
          <w:sz w:val="32"/>
          <w:szCs w:val="32"/>
        </w:rPr>
        <w:t>开展新型冠状病毒感染肺炎防控知识的培训指导28期，培训各类人员850余人次；加强对全县重点区域做消杀工作指导，联合县人民医院开展全县隔离点消杀培训7场次、开展环保人员及乡镇消杀培训5场次、学校消杀培训2场次、各类卡点消杀技术指导12场次。</w:t>
      </w:r>
      <w:r>
        <w:rPr>
          <w:rFonts w:hint="eastAsia" w:ascii="仿宋" w:hAnsi="仿宋" w:eastAsia="仿宋"/>
          <w:color w:val="000000"/>
          <w:sz w:val="32"/>
          <w:szCs w:val="32"/>
          <w:lang w:eastAsia="zh-CN"/>
        </w:rPr>
        <w:t>截至12月</w:t>
      </w:r>
      <w:r>
        <w:rPr>
          <w:rFonts w:ascii="仿宋" w:hAnsi="仿宋" w:eastAsia="仿宋"/>
          <w:color w:val="000000"/>
          <w:sz w:val="32"/>
          <w:szCs w:val="32"/>
        </w:rPr>
        <w:t>31日，对全县会议点累计消杀面积达225210平方米；对各隔离点累计消杀面积达244100平方米。</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3.</w:t>
      </w:r>
      <w:r>
        <w:rPr>
          <w:rFonts w:ascii="仿宋" w:hAnsi="仿宋" w:eastAsia="仿宋"/>
          <w:color w:val="000000"/>
          <w:sz w:val="32"/>
          <w:szCs w:val="32"/>
        </w:rPr>
        <w:t>重点传染病防控工作。（1）艾滋病防治工作。截至目前全县在管感染者和病人78例，新增报告人数7例。在全县开展全民健康体检，常住人口艾滋病筛查23564人，检测覆盖率为30.63%；全县在治共74例，未治4例（安宏乡3例、进安镇1例），治疗覆盖率为94.9%，CD4检测率91%，治疗半年及以上病毒载量检测率100%；无艾滋病母婴传播病例发生，孕产妇艾滋病检测率100%，孕期检测率100%，孕早期检测率89%；组织召开12次防治艾滋病母婴传播工作例会，开展全县医疗机构艾滋病防治工作培训会一次，培训人次40余人。（2）规范结核病管理工作。</w:t>
      </w:r>
      <w:r>
        <w:rPr>
          <w:rFonts w:hint="eastAsia" w:ascii="仿宋" w:hAnsi="仿宋" w:eastAsia="仿宋"/>
          <w:color w:val="000000"/>
          <w:sz w:val="32"/>
          <w:szCs w:val="32"/>
          <w:lang w:eastAsia="zh-CN"/>
        </w:rPr>
        <w:t>截至目前</w:t>
      </w:r>
      <w:r>
        <w:rPr>
          <w:rFonts w:ascii="仿宋" w:hAnsi="仿宋" w:eastAsia="仿宋"/>
          <w:color w:val="000000"/>
          <w:sz w:val="32"/>
          <w:szCs w:val="32"/>
        </w:rPr>
        <w:t>规范管理46人。开展了学校结核病防治工作督导，对学校所有教职工及学生开展了结核病筛查工作，共计筛查师生10480人次，筛查率达98.5%；在县中学举办了2场结核科普讲座，共200余人聆听了讲座。同时在县城开展结核病防治宣传活动1次，制作宣传展板</w:t>
      </w:r>
      <w:r>
        <w:rPr>
          <w:rFonts w:hint="eastAsia" w:ascii="仿宋" w:hAnsi="仿宋" w:eastAsia="仿宋"/>
          <w:color w:val="000000"/>
          <w:sz w:val="32"/>
          <w:szCs w:val="32"/>
          <w:lang w:eastAsia="zh-CN"/>
        </w:rPr>
        <w:t>，</w:t>
      </w:r>
      <w:r>
        <w:rPr>
          <w:rFonts w:ascii="仿宋" w:hAnsi="仿宋" w:eastAsia="仿宋"/>
          <w:color w:val="000000"/>
          <w:sz w:val="32"/>
          <w:szCs w:val="32"/>
        </w:rPr>
        <w:t>横幅、发放宣传折页和宣传用品；开展全县医疗机构、学校结核病防治工作培训会一次，培训人次80余人。（3）包虫病防治工作。包虫病居民B超筛查任务2500人，已完成2500人，完成率100%。 儿童B超筛查任务945人，已完成945人，完成率100% ；开展全县医疗机构包虫病防治工作培训会一次，培训人次40余人。</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4.</w:t>
      </w:r>
      <w:r>
        <w:rPr>
          <w:rFonts w:ascii="仿宋" w:hAnsi="仿宋" w:eastAsia="仿宋"/>
          <w:color w:val="000000"/>
          <w:sz w:val="32"/>
          <w:szCs w:val="32"/>
        </w:rPr>
        <w:t>免疫规划工作开展情况</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w:t>
      </w:r>
      <w:r>
        <w:rPr>
          <w:rFonts w:ascii="仿宋" w:hAnsi="仿宋" w:eastAsia="仿宋"/>
          <w:color w:val="000000"/>
          <w:sz w:val="32"/>
          <w:szCs w:val="32"/>
        </w:rPr>
        <w:t>常规基础免疫接种。全县1-12月适龄儿童基础免疫接种：卡介苗接种率为97.4％；百白破接种率为98.65 ％；脊灰接种率为98.69％；麻腮风疫苗接种率为98.35％；乙肝接种率为98.89％，乙肝及时</w:t>
      </w:r>
      <w:r>
        <w:rPr>
          <w:rFonts w:hint="eastAsia" w:ascii="仿宋" w:hAnsi="仿宋" w:eastAsia="仿宋"/>
          <w:color w:val="000000"/>
          <w:sz w:val="32"/>
          <w:szCs w:val="32"/>
          <w:lang w:eastAsia="zh-CN"/>
        </w:rPr>
        <w:t>接种</w:t>
      </w:r>
      <w:r>
        <w:rPr>
          <w:rFonts w:ascii="仿宋" w:hAnsi="仿宋" w:eastAsia="仿宋"/>
          <w:color w:val="000000"/>
          <w:sz w:val="32"/>
          <w:szCs w:val="32"/>
        </w:rPr>
        <w:t>率为98.11％；甲肝接种率为98.87%；乙脑接种率为98.56%；流脑A群接种率为98.55%。</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w:t>
      </w:r>
      <w:r>
        <w:rPr>
          <w:rFonts w:ascii="仿宋" w:hAnsi="仿宋" w:eastAsia="仿宋"/>
          <w:color w:val="000000"/>
          <w:sz w:val="32"/>
          <w:szCs w:val="32"/>
        </w:rPr>
        <w:t>加强免疫接种情况。百白破接种率为95.69%；4岁组脊灰疫苗接种率为96.36%</w:t>
      </w:r>
      <w:r>
        <w:rPr>
          <w:rFonts w:hint="eastAsia" w:ascii="仿宋" w:hAnsi="仿宋" w:eastAsia="仿宋"/>
          <w:color w:val="000000"/>
          <w:sz w:val="32"/>
          <w:szCs w:val="32"/>
          <w:lang w:eastAsia="zh-CN"/>
        </w:rPr>
        <w:t>；</w:t>
      </w:r>
      <w:r>
        <w:rPr>
          <w:rFonts w:ascii="仿宋" w:hAnsi="仿宋" w:eastAsia="仿宋"/>
          <w:color w:val="000000"/>
          <w:sz w:val="32"/>
          <w:szCs w:val="32"/>
        </w:rPr>
        <w:t>麻腮风接种率为98.22%；乙脑接种率为98.16 %；3岁组流脑A+C接种率为98.55%；6岁组流脑A+C接种率为96.56；白破接种率为97.66%。</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w:t>
      </w:r>
      <w:r>
        <w:rPr>
          <w:rFonts w:ascii="仿宋" w:hAnsi="仿宋" w:eastAsia="仿宋"/>
          <w:color w:val="000000"/>
          <w:sz w:val="32"/>
          <w:szCs w:val="32"/>
        </w:rPr>
        <w:t>新冠疫苗接种情况。截至12月31日，全县累计完成接种165642剂次，其中第一针62529针次（其中腺病毒载体疫苗161次），完成州定工作任务的119.14%；第二针61070次（其中腺病毒载体疫苗184针次），完成州定工作任务的119.49%；第三针42043针次。</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5.</w:t>
      </w:r>
      <w:r>
        <w:rPr>
          <w:rFonts w:ascii="仿宋" w:hAnsi="仿宋" w:eastAsia="仿宋"/>
          <w:color w:val="000000"/>
          <w:sz w:val="32"/>
          <w:szCs w:val="32"/>
        </w:rPr>
        <w:t>地方病防治工作</w:t>
      </w:r>
      <w:r>
        <w:rPr>
          <w:rFonts w:hint="eastAsia" w:ascii="仿宋" w:hAnsi="仿宋" w:eastAsia="仿宋"/>
          <w:color w:val="000000"/>
          <w:sz w:val="32"/>
          <w:szCs w:val="32"/>
          <w:lang w:eastAsia="zh-CN"/>
        </w:rPr>
        <w:t>。</w:t>
      </w:r>
      <w:r>
        <w:rPr>
          <w:rFonts w:ascii="仿宋" w:hAnsi="仿宋" w:eastAsia="仿宋"/>
          <w:color w:val="000000"/>
          <w:sz w:val="32"/>
          <w:szCs w:val="32"/>
        </w:rPr>
        <w:t>完成全县6个乡镇辖区内学校545名7-12岁学生大骨节病监测工作；完成全县86名儿童氟斑牙监测工作，对全县监测村25周岁以上1745人常住成人进行骨关节症状、体征的临床检查；完成监测方案中200名8-10岁学生、100名孕妇现场尿碘采样工作、开展全国第28个“碘缺乏病防治日”活动，覆盖人群达到1000余人。</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6.</w:t>
      </w:r>
      <w:r>
        <w:rPr>
          <w:rFonts w:hint="eastAsia" w:ascii="仿宋" w:hAnsi="仿宋" w:eastAsia="仿宋"/>
          <w:color w:val="auto"/>
          <w:sz w:val="32"/>
          <w:szCs w:val="32"/>
          <w:lang w:val="en-US" w:eastAsia="zh-CN"/>
        </w:rPr>
        <w:t>卫</w:t>
      </w:r>
      <w:r>
        <w:rPr>
          <w:rFonts w:ascii="仿宋" w:hAnsi="仿宋" w:eastAsia="仿宋"/>
          <w:color w:val="auto"/>
          <w:sz w:val="32"/>
          <w:szCs w:val="32"/>
        </w:rPr>
        <w:t>生</w:t>
      </w:r>
      <w:r>
        <w:rPr>
          <w:rFonts w:ascii="仿宋" w:hAnsi="仿宋" w:eastAsia="仿宋"/>
          <w:color w:val="000000"/>
          <w:sz w:val="32"/>
          <w:szCs w:val="32"/>
        </w:rPr>
        <w:t>检验监测工作</w:t>
      </w:r>
      <w:r>
        <w:rPr>
          <w:rFonts w:hint="eastAsia" w:ascii="仿宋" w:hAnsi="仿宋" w:eastAsia="仿宋"/>
          <w:color w:val="000000"/>
          <w:sz w:val="32"/>
          <w:szCs w:val="32"/>
          <w:lang w:eastAsia="zh-CN"/>
        </w:rPr>
        <w:t>。</w:t>
      </w:r>
      <w:r>
        <w:rPr>
          <w:rFonts w:ascii="仿宋" w:hAnsi="仿宋" w:eastAsia="仿宋"/>
          <w:color w:val="000000"/>
          <w:sz w:val="32"/>
          <w:szCs w:val="32"/>
        </w:rPr>
        <w:t>完成了全年四个季度集中式供水的检测，三个季度水已公示，第四季度水正在公示当中，预计2023年1月4日完成公示。末梢水水质合格率100%；完成城乡饮用水枯水期和丰水期水质卫生检测工作的样品采集、检测工作；以多种形式开展了营养周和职业病防治宣传周活动；对中藏医院和县人民医院进行职业病督导2次、食源性疾病监测督导2次、食源性疾病技术培训1次；开展了重点职业人群健康素养监测调查，完成率为100%；工作场所重点职业病监测项目因中心不具备监测能力和资质，拟采取政府购买服务形式开展，但因疫情防控</w:t>
      </w:r>
      <w:r>
        <w:rPr>
          <w:rFonts w:hint="eastAsia" w:ascii="仿宋" w:hAnsi="仿宋" w:eastAsia="仿宋"/>
          <w:color w:val="000000"/>
          <w:sz w:val="32"/>
          <w:szCs w:val="32"/>
          <w:lang w:eastAsia="zh-CN"/>
        </w:rPr>
        <w:t>重点公共场所未营业</w:t>
      </w:r>
      <w:r>
        <w:rPr>
          <w:rFonts w:ascii="仿宋" w:hAnsi="仿宋" w:eastAsia="仿宋"/>
          <w:color w:val="000000"/>
          <w:sz w:val="32"/>
          <w:szCs w:val="32"/>
        </w:rPr>
        <w:t>等原因一再推迟，重点职业病工作场所</w:t>
      </w:r>
      <w:r>
        <w:rPr>
          <w:rFonts w:hint="eastAsia" w:ascii="仿宋" w:hAnsi="仿宋" w:eastAsia="仿宋"/>
          <w:color w:val="000000"/>
          <w:sz w:val="32"/>
          <w:szCs w:val="32"/>
          <w:lang w:eastAsia="zh-CN"/>
        </w:rPr>
        <w:t>监测工作</w:t>
      </w:r>
      <w:r>
        <w:rPr>
          <w:rFonts w:ascii="仿宋" w:hAnsi="仿宋" w:eastAsia="仿宋"/>
          <w:color w:val="000000"/>
          <w:sz w:val="32"/>
          <w:szCs w:val="32"/>
        </w:rPr>
        <w:t>未</w:t>
      </w:r>
      <w:r>
        <w:rPr>
          <w:rFonts w:hint="eastAsia" w:ascii="仿宋" w:hAnsi="仿宋" w:eastAsia="仿宋"/>
          <w:color w:val="000000"/>
          <w:sz w:val="32"/>
          <w:szCs w:val="32"/>
          <w:lang w:eastAsia="zh-CN"/>
        </w:rPr>
        <w:t>能完成</w:t>
      </w:r>
      <w:r>
        <w:rPr>
          <w:rFonts w:ascii="仿宋" w:hAnsi="仿宋" w:eastAsia="仿宋"/>
          <w:color w:val="000000"/>
          <w:sz w:val="32"/>
          <w:szCs w:val="32"/>
        </w:rPr>
        <w:t>。</w:t>
      </w:r>
      <w:r>
        <w:rPr>
          <w:rFonts w:hint="eastAsia" w:ascii="仿宋" w:hAnsi="仿宋" w:eastAsia="仿宋"/>
          <w:color w:val="000000"/>
          <w:sz w:val="32"/>
          <w:szCs w:val="32"/>
          <w:lang w:eastAsia="zh-CN"/>
        </w:rPr>
        <w:t>截至目前</w:t>
      </w:r>
      <w:r>
        <w:rPr>
          <w:rFonts w:ascii="仿宋" w:hAnsi="仿宋" w:eastAsia="仿宋"/>
          <w:color w:val="000000"/>
          <w:sz w:val="32"/>
          <w:szCs w:val="32"/>
        </w:rPr>
        <w:t>，全年职业病报告0人，食源性疾病监测完成率148.5%，处置食源性疾病事件1件。</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7.</w:t>
      </w:r>
      <w:r>
        <w:rPr>
          <w:rFonts w:ascii="仿宋" w:hAnsi="仿宋" w:eastAsia="仿宋"/>
          <w:color w:val="000000"/>
          <w:sz w:val="32"/>
          <w:szCs w:val="32"/>
        </w:rPr>
        <w:t>加强慢性非传染性疾病防控工作</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w:t>
      </w:r>
      <w:r>
        <w:rPr>
          <w:rFonts w:ascii="仿宋" w:hAnsi="仿宋" w:eastAsia="仿宋"/>
          <w:color w:val="000000"/>
          <w:sz w:val="32"/>
          <w:szCs w:val="32"/>
        </w:rPr>
        <w:t>死因监测、肿瘤登记及心脑血管监测工作。</w:t>
      </w:r>
      <w:r>
        <w:rPr>
          <w:rFonts w:hint="eastAsia" w:ascii="仿宋" w:hAnsi="仿宋" w:eastAsia="仿宋"/>
          <w:color w:val="000000"/>
          <w:sz w:val="32"/>
          <w:szCs w:val="32"/>
          <w:lang w:eastAsia="zh-CN"/>
        </w:rPr>
        <w:t>截至2022年</w:t>
      </w:r>
      <w:r>
        <w:rPr>
          <w:rFonts w:ascii="仿宋" w:hAnsi="仿宋" w:eastAsia="仿宋"/>
          <w:color w:val="000000"/>
          <w:sz w:val="32"/>
          <w:szCs w:val="32"/>
        </w:rPr>
        <w:t>12月31日，全县16个乡镇卫生院及中藏医药、县医院共报告死亡卡443张，审核通过443张，审卡通过率100%，人群死亡率608/10万</w:t>
      </w:r>
      <w:r>
        <w:rPr>
          <w:rFonts w:hint="eastAsia" w:ascii="仿宋" w:hAnsi="仿宋" w:eastAsia="仿宋"/>
          <w:color w:val="000000"/>
          <w:sz w:val="32"/>
          <w:szCs w:val="32"/>
          <w:lang w:eastAsia="zh-CN"/>
        </w:rPr>
        <w:t>。</w:t>
      </w:r>
      <w:r>
        <w:rPr>
          <w:rFonts w:ascii="仿宋" w:hAnsi="仿宋" w:eastAsia="仿宋"/>
          <w:color w:val="000000"/>
          <w:sz w:val="32"/>
          <w:szCs w:val="32"/>
        </w:rPr>
        <w:t>肿瘤登记90人，审核通过90人，审核通过率100%。全县报告急性心脑血管206例，报告率2.83%。及时报告率、及时审核率均为100%，报告发病率284／10万。死亡96例，占总报告的46.6%，死亡率为132/10万，2022年标化死亡率为：150/10万。</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w:t>
      </w:r>
      <w:r>
        <w:rPr>
          <w:rFonts w:ascii="仿宋" w:hAnsi="仿宋" w:eastAsia="仿宋"/>
          <w:color w:val="000000"/>
          <w:sz w:val="32"/>
          <w:szCs w:val="32"/>
        </w:rPr>
        <w:t>严重精神障碍患者管理质量。形成了县委</w:t>
      </w:r>
      <w:r>
        <w:rPr>
          <w:rFonts w:hint="eastAsia" w:ascii="仿宋" w:hAnsi="仿宋" w:eastAsia="仿宋"/>
          <w:color w:val="000000"/>
          <w:sz w:val="32"/>
          <w:szCs w:val="32"/>
          <w:lang w:val="en-US" w:eastAsia="zh-CN"/>
        </w:rPr>
        <w:t>县</w:t>
      </w:r>
      <w:r>
        <w:rPr>
          <w:rFonts w:ascii="仿宋" w:hAnsi="仿宋" w:eastAsia="仿宋"/>
          <w:color w:val="000000"/>
          <w:sz w:val="32"/>
          <w:szCs w:val="32"/>
        </w:rPr>
        <w:t>政府主导，多部门共同参与的重性精神疾病防治格局。</w:t>
      </w:r>
      <w:r>
        <w:rPr>
          <w:rFonts w:hint="eastAsia" w:ascii="仿宋" w:hAnsi="仿宋" w:eastAsia="仿宋"/>
          <w:color w:val="000000"/>
          <w:sz w:val="32"/>
          <w:szCs w:val="32"/>
          <w:lang w:eastAsia="zh-CN"/>
        </w:rPr>
        <w:t>截至12月</w:t>
      </w:r>
      <w:r>
        <w:rPr>
          <w:rFonts w:ascii="仿宋" w:hAnsi="仿宋" w:eastAsia="仿宋"/>
          <w:color w:val="000000"/>
          <w:sz w:val="32"/>
          <w:szCs w:val="32"/>
        </w:rPr>
        <w:t>31日全县系统在册患者人数117人，管理人数94人，管理率80.34%，规范人数：57人，规范管理率48.72%；服药人数75人，规律服药人数：29人，服药率64.1%，规律服药率24.79%；为稳步推进长效针剂治疗工作，对全县重精患者做了初筛工作，筛出10人精分患者上报到马尔康精神卫生康复中心；对松潘县残联、青云镇等乡镇开展精神分裂症第二代长效针剂复筛工作、疑似重精病人的复核诊断，并现场进行精神疾病残疾评定工作。此次长效针剂复筛10人，其中2人符合复筛，可以纳入长效针剂治疗，复核诊断六大类重精病人10人，其中2人建议到马尔康市精神卫生中心住院治疗</w:t>
      </w:r>
      <w:r>
        <w:rPr>
          <w:rFonts w:hint="eastAsia" w:ascii="仿宋" w:hAnsi="仿宋" w:eastAsia="仿宋"/>
          <w:color w:val="000000"/>
          <w:sz w:val="32"/>
          <w:szCs w:val="32"/>
          <w:lang w:eastAsia="zh-CN"/>
        </w:rPr>
        <w:t>，</w:t>
      </w:r>
      <w:r>
        <w:rPr>
          <w:rFonts w:ascii="仿宋" w:hAnsi="仿宋" w:eastAsia="仿宋"/>
          <w:color w:val="000000"/>
          <w:sz w:val="32"/>
          <w:szCs w:val="32"/>
        </w:rPr>
        <w:t>等检查结果完后才决定纳入系统。</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w:t>
      </w:r>
      <w:r>
        <w:rPr>
          <w:rFonts w:ascii="仿宋" w:hAnsi="仿宋" w:eastAsia="仿宋"/>
          <w:color w:val="000000"/>
          <w:sz w:val="32"/>
          <w:szCs w:val="32"/>
        </w:rPr>
        <w:t>大力实施健康扶贫工作。高原性心脏病排查登记患者28人，管理数28人，规范管理数28人，规范管理率100%；慢阻肺患者登记167例，管理数155人，规范管理152人，规范管理率98%；</w:t>
      </w:r>
      <w:r>
        <w:rPr>
          <w:rFonts w:hint="eastAsia" w:ascii="仿宋" w:hAnsi="仿宋" w:eastAsia="仿宋"/>
          <w:color w:val="000000"/>
          <w:sz w:val="32"/>
          <w:szCs w:val="32"/>
          <w:lang w:eastAsia="zh-CN"/>
        </w:rPr>
        <w:t>类风湿</w:t>
      </w:r>
      <w:r>
        <w:rPr>
          <w:rFonts w:ascii="仿宋" w:hAnsi="仿宋" w:eastAsia="仿宋"/>
          <w:color w:val="000000"/>
          <w:sz w:val="32"/>
          <w:szCs w:val="32"/>
        </w:rPr>
        <w:t>患者登记管理数82例，管理数79例，规范管理数66，规范管理率84%。</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w:t>
      </w:r>
      <w:r>
        <w:rPr>
          <w:rFonts w:ascii="仿宋" w:hAnsi="仿宋" w:eastAsia="仿宋"/>
          <w:color w:val="000000"/>
          <w:sz w:val="32"/>
          <w:szCs w:val="32"/>
        </w:rPr>
        <w:t>儿童伤害监测。累计收集27</w:t>
      </w:r>
      <w:r>
        <w:rPr>
          <w:rFonts w:hint="eastAsia" w:ascii="仿宋" w:hAnsi="仿宋" w:eastAsia="仿宋"/>
          <w:color w:val="000000"/>
          <w:sz w:val="32"/>
          <w:szCs w:val="32"/>
          <w:lang w:eastAsia="zh-CN"/>
        </w:rPr>
        <w:t>家</w:t>
      </w:r>
      <w:r>
        <w:rPr>
          <w:rFonts w:ascii="仿宋" w:hAnsi="仿宋" w:eastAsia="仿宋"/>
          <w:color w:val="000000"/>
          <w:sz w:val="32"/>
          <w:szCs w:val="32"/>
        </w:rPr>
        <w:t>单位报表，审核卡片1张；对全县各乡镇23所学校进行项目督导指导工作；组织全县各学校儿童伤害监测管理人员共60余人进行项目登记管理培训。</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5</w:t>
      </w:r>
      <w:r>
        <w:rPr>
          <w:rFonts w:hint="eastAsia" w:ascii="仿宋" w:hAnsi="仿宋" w:eastAsia="仿宋"/>
          <w:color w:val="000000"/>
          <w:sz w:val="32"/>
          <w:szCs w:val="32"/>
          <w:lang w:eastAsia="zh-CN"/>
        </w:rPr>
        <w:t>）</w:t>
      </w:r>
      <w:r>
        <w:rPr>
          <w:rFonts w:ascii="仿宋" w:hAnsi="仿宋" w:eastAsia="仿宋"/>
          <w:color w:val="000000"/>
          <w:sz w:val="32"/>
          <w:szCs w:val="32"/>
        </w:rPr>
        <w:t>培训及督导指导工作。对全县16个乡镇及县医院、中藏医院、妇计中心开展死因监测等6项</w:t>
      </w:r>
      <w:r>
        <w:rPr>
          <w:rFonts w:hint="eastAsia" w:ascii="仿宋" w:hAnsi="仿宋" w:eastAsia="仿宋"/>
          <w:color w:val="000000"/>
          <w:sz w:val="32"/>
          <w:szCs w:val="32"/>
          <w:lang w:eastAsia="zh-CN"/>
        </w:rPr>
        <w:t>慢性病</w:t>
      </w:r>
      <w:r>
        <w:rPr>
          <w:rFonts w:ascii="仿宋" w:hAnsi="仿宋" w:eastAsia="仿宋"/>
          <w:color w:val="000000"/>
          <w:sz w:val="32"/>
          <w:szCs w:val="32"/>
        </w:rPr>
        <w:t>防控项目现场督导指导工作，并总结通报督导情况；对全县各乡镇慢病管理员及县人民医院医生共100余人进行各类慢病项目工作业务。</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8.</w:t>
      </w:r>
      <w:r>
        <w:rPr>
          <w:rFonts w:ascii="仿宋" w:hAnsi="仿宋" w:eastAsia="仿宋"/>
          <w:color w:val="000000"/>
          <w:sz w:val="32"/>
          <w:szCs w:val="32"/>
        </w:rPr>
        <w:t>强化健康教育宣传工作</w:t>
      </w:r>
      <w:r>
        <w:rPr>
          <w:rFonts w:hint="eastAsia" w:ascii="仿宋" w:hAnsi="仿宋" w:eastAsia="仿宋"/>
          <w:color w:val="000000"/>
          <w:sz w:val="32"/>
          <w:szCs w:val="32"/>
          <w:lang w:eastAsia="zh-CN"/>
        </w:rPr>
        <w:t>。</w:t>
      </w:r>
      <w:r>
        <w:rPr>
          <w:rFonts w:ascii="仿宋" w:hAnsi="仿宋" w:eastAsia="仿宋"/>
          <w:color w:val="000000"/>
          <w:sz w:val="32"/>
          <w:szCs w:val="32"/>
        </w:rPr>
        <w:t>加强对全县健康管理员工作的指导督导培训工作，开展全县健康生活方式指导员培训累计1082人次；按规范设立健康教育宣传栏并定期更换宣传内容，对健康环境设施进行维修、维护；卫生健康副校长对学校的健康教育工作给予业务指导，普及学生健康知识和健康行为；充分利用节假日、宣传日、宣传月，线上线下多形式多渠道开展健康教育宣传工作，共出动健康宣传队伍738支，宣传车辆669台次，入户2807家，学校97家，入寺3家，开展现场宣传41场，横幅展板49个，微信公众号电视50条，发放宣传资料14130份，宣传品17453份，LED宣传364天，受益人群上万人次。</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9.</w:t>
      </w:r>
      <w:r>
        <w:rPr>
          <w:rFonts w:ascii="仿宋" w:hAnsi="仿宋" w:eastAsia="仿宋"/>
          <w:color w:val="000000"/>
          <w:sz w:val="32"/>
          <w:szCs w:val="32"/>
        </w:rPr>
        <w:t>加强</w:t>
      </w:r>
      <w:r>
        <w:rPr>
          <w:rFonts w:hint="eastAsia" w:ascii="仿宋" w:hAnsi="仿宋" w:eastAsia="仿宋"/>
          <w:color w:val="000000"/>
          <w:sz w:val="32"/>
          <w:szCs w:val="32"/>
          <w:lang w:eastAsia="zh-CN"/>
        </w:rPr>
        <w:t>慢性病</w:t>
      </w:r>
      <w:r>
        <w:rPr>
          <w:rFonts w:ascii="仿宋" w:hAnsi="仿宋" w:eastAsia="仿宋"/>
          <w:color w:val="000000"/>
          <w:sz w:val="32"/>
          <w:szCs w:val="32"/>
        </w:rPr>
        <w:t>示范区创建工作</w:t>
      </w:r>
      <w:r>
        <w:rPr>
          <w:rFonts w:hint="eastAsia" w:ascii="仿宋" w:hAnsi="仿宋" w:eastAsia="仿宋"/>
          <w:color w:val="000000"/>
          <w:sz w:val="32"/>
          <w:szCs w:val="32"/>
          <w:lang w:eastAsia="zh-CN"/>
        </w:rPr>
        <w:t>。</w:t>
      </w:r>
      <w:r>
        <w:rPr>
          <w:rFonts w:ascii="仿宋" w:hAnsi="仿宋" w:eastAsia="仿宋"/>
          <w:color w:val="000000"/>
          <w:sz w:val="32"/>
          <w:szCs w:val="32"/>
        </w:rPr>
        <w:t>示范区建设工作已全面铺开，确定了健康环境建设单位及场地；开展了健康生活方式主题宣传，适宜技术与工具推广，开展了各种宣传日的宣传活动；医疗机构首诊测血压达到100％，</w:t>
      </w:r>
      <w:r>
        <w:rPr>
          <w:rFonts w:hint="eastAsia" w:ascii="仿宋_GB2312" w:hAnsi="仿宋_GB2312" w:eastAsia="仿宋_GB2312" w:cs="仿宋_GB2312"/>
          <w:color w:val="auto"/>
          <w:sz w:val="32"/>
          <w:szCs w:val="32"/>
          <w:lang w:val="en-US" w:eastAsia="zh-CN"/>
        </w:rPr>
        <w:t>完成5个健康社区、5个健康单位、5个健康学校、5个健康食堂、5个健康餐厅/酒店、1个健康步道、17个健康小屋、1个健康一条街、1个健康主题公园等支持性环境建设。</w:t>
      </w:r>
      <w:r>
        <w:rPr>
          <w:rFonts w:ascii="仿宋" w:hAnsi="仿宋" w:eastAsia="仿宋"/>
          <w:color w:val="auto"/>
          <w:sz w:val="32"/>
          <w:szCs w:val="32"/>
        </w:rPr>
        <w:t>建立分级诊疗制度，推进家庭医生签约服务，开展高血压糖尿病等重点慢性病规范化管理；社会因素调查已完成2914份</w:t>
      </w:r>
      <w:r>
        <w:rPr>
          <w:rFonts w:hint="eastAsia" w:ascii="仿宋" w:hAnsi="仿宋" w:eastAsia="仿宋"/>
          <w:color w:val="auto"/>
          <w:sz w:val="32"/>
          <w:szCs w:val="32"/>
          <w:lang w:val="en-US" w:eastAsia="zh-CN"/>
        </w:rPr>
        <w:t>并完成慢性病社会因素调查报告。</w:t>
      </w:r>
      <w:r>
        <w:rPr>
          <w:rFonts w:ascii="仿宋" w:hAnsi="仿宋" w:eastAsia="仿宋"/>
          <w:color w:val="0000FF"/>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10.</w:t>
      </w:r>
      <w:r>
        <w:rPr>
          <w:rFonts w:hint="eastAsia" w:ascii="仿宋" w:hAnsi="仿宋" w:eastAsia="仿宋"/>
          <w:color w:val="000000"/>
          <w:sz w:val="32"/>
          <w:szCs w:val="32"/>
        </w:rPr>
        <w:t>加强党建工作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始终坚持贯彻“三会一课”制度，全年共召开支委会12次，党员大会4次，主题党日活动12次，领导干部讲党课4次，开展了2次专题研究意识形态工作会；次加强党风廉政建设，层层签订廉政责任书、廉政承诺书形成一级抓一级，层层抓落实的党建工作格局，组织党员干部学习了《中国共产党章程》《中国共产党廉洁自律准则》《习近平谈治国理政》第四卷、省第十二次党代会精神及上</w:t>
      </w:r>
      <w:r>
        <w:rPr>
          <w:rFonts w:ascii="仿宋" w:hAnsi="仿宋" w:eastAsia="仿宋"/>
          <w:color w:val="000000"/>
          <w:sz w:val="32"/>
          <w:szCs w:val="32"/>
        </w:rPr>
        <w:t>级临时下达的学习任务。年度内预备党员转正2人，积极分子转预备2人，积极分子1人，递交入党申请书1人。扎实开展帮扶工作，在春节、五一等节假日期间为困难群众送去大米、食用油等慰问品；是深入开展“两联一进”工作。本着为民务实，切实解决群众困难为目标，扎实开展了精准脱贫工作，全年共下村开展驻村帮扶工作32次，共出动车辆27台次，人员84人次。切实为脱贫攻坚工作打下良好基础。对全村精准识别的7户贫困户共29人，做到了扶贫对象精准、项目安排精准、措施到户精准。本着脱贫不</w:t>
      </w:r>
      <w:r>
        <w:rPr>
          <w:rFonts w:hint="eastAsia" w:ascii="仿宋" w:hAnsi="仿宋" w:eastAsia="仿宋"/>
          <w:color w:val="000000"/>
          <w:sz w:val="32"/>
          <w:szCs w:val="32"/>
          <w:lang w:eastAsia="zh-CN"/>
        </w:rPr>
        <w:t>脱</w:t>
      </w:r>
      <w:r>
        <w:rPr>
          <w:rFonts w:ascii="仿宋" w:hAnsi="仿宋" w:eastAsia="仿宋"/>
          <w:color w:val="000000"/>
          <w:sz w:val="32"/>
          <w:szCs w:val="32"/>
        </w:rPr>
        <w:t>政策的原则，对7户困难户认真细致</w:t>
      </w:r>
      <w:r>
        <w:rPr>
          <w:rFonts w:hint="eastAsia" w:ascii="仿宋" w:hAnsi="仿宋" w:eastAsia="仿宋"/>
          <w:color w:val="000000"/>
          <w:sz w:val="32"/>
          <w:szCs w:val="32"/>
          <w:lang w:eastAsia="zh-CN"/>
        </w:rPr>
        <w:t>地</w:t>
      </w:r>
      <w:r>
        <w:rPr>
          <w:rFonts w:ascii="仿宋" w:hAnsi="仿宋" w:eastAsia="仿宋"/>
          <w:color w:val="000000"/>
          <w:sz w:val="32"/>
          <w:szCs w:val="32"/>
        </w:rPr>
        <w:t>制定了帮扶措施。</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11.</w:t>
      </w:r>
      <w:r>
        <w:rPr>
          <w:rFonts w:hint="eastAsia" w:ascii="仿宋" w:hAnsi="仿宋" w:eastAsia="仿宋"/>
          <w:color w:val="000000"/>
          <w:sz w:val="32"/>
          <w:szCs w:val="32"/>
        </w:rPr>
        <w:t>财务工作</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完成各类系统报表填报、按照财政最新政策进行报账、清算等日常账务处理工作；完成固定资产和单位职工各种信息管理工作、完成项目绩效评价审计问题的整改和检查工作提出问题的</w:t>
      </w:r>
      <w:r>
        <w:rPr>
          <w:rFonts w:hint="eastAsia" w:ascii="仿宋" w:hAnsi="仿宋" w:eastAsia="仿宋"/>
          <w:color w:val="000000"/>
          <w:sz w:val="32"/>
          <w:szCs w:val="32"/>
          <w:lang w:eastAsia="zh-CN"/>
        </w:rPr>
        <w:t>整</w:t>
      </w:r>
      <w:r>
        <w:rPr>
          <w:rFonts w:hint="eastAsia" w:ascii="仿宋" w:hAnsi="仿宋" w:eastAsia="仿宋"/>
          <w:color w:val="000000"/>
          <w:sz w:val="32"/>
          <w:szCs w:val="32"/>
        </w:rPr>
        <w:t>改工作；做好二类疫苗收费和缴库工作；配合各项目工作做好资金的使用和管理。</w:t>
      </w:r>
      <w:bookmarkStart w:id="20" w:name="_Toc15377200"/>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21" w:name="_Toc111208497"/>
      <w:bookmarkStart w:id="22" w:name="_Toc1357"/>
      <w:r>
        <w:rPr>
          <w:rFonts w:hint="eastAsia" w:ascii="黑体" w:eastAsia="黑体" w:cs="Times New Roman"/>
          <w:bCs w:val="0"/>
          <w:color w:val="000000"/>
        </w:rPr>
        <w:t>二、机构设置</w:t>
      </w:r>
      <w:bookmarkEnd w:id="20"/>
      <w:bookmarkEnd w:id="21"/>
      <w:bookmarkEnd w:id="22"/>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 w:hAnsi="仿宋" w:eastAsia="仿宋"/>
          <w:color w:val="000000"/>
          <w:sz w:val="32"/>
          <w:szCs w:val="32"/>
        </w:rPr>
      </w:pPr>
      <w:r>
        <w:rPr>
          <w:rFonts w:hint="eastAsia" w:ascii="仿宋" w:hAnsi="仿宋" w:eastAsia="仿宋"/>
          <w:b/>
          <w:bCs/>
          <w:color w:val="000000"/>
          <w:sz w:val="32"/>
          <w:szCs w:val="32"/>
          <w:lang w:eastAsia="zh-CN"/>
        </w:rPr>
        <w:t>（</w:t>
      </w:r>
      <w:r>
        <w:rPr>
          <w:rFonts w:ascii="仿宋" w:hAnsi="仿宋" w:eastAsia="仿宋"/>
          <w:b/>
          <w:bCs/>
          <w:color w:val="000000"/>
          <w:sz w:val="32"/>
          <w:szCs w:val="32"/>
        </w:rPr>
        <w:t>一</w:t>
      </w:r>
      <w:r>
        <w:rPr>
          <w:rFonts w:hint="eastAsia" w:ascii="仿宋" w:hAnsi="仿宋" w:eastAsia="仿宋"/>
          <w:b/>
          <w:bCs/>
          <w:color w:val="000000"/>
          <w:sz w:val="32"/>
          <w:szCs w:val="32"/>
          <w:lang w:eastAsia="zh-CN"/>
        </w:rPr>
        <w:t>）</w:t>
      </w:r>
      <w:r>
        <w:rPr>
          <w:rFonts w:ascii="仿宋" w:hAnsi="仿宋" w:eastAsia="仿宋"/>
          <w:b/>
          <w:bCs/>
          <w:color w:val="000000"/>
          <w:sz w:val="32"/>
          <w:szCs w:val="32"/>
        </w:rPr>
        <w:t xml:space="preserve">办公室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负</w:t>
      </w:r>
      <w:r>
        <w:rPr>
          <w:rFonts w:ascii="仿宋" w:hAnsi="仿宋" w:eastAsia="仿宋"/>
          <w:color w:val="000000"/>
          <w:sz w:val="32"/>
          <w:szCs w:val="32"/>
        </w:rPr>
        <w:t>责制定全县疾病预防与控制工作规划，年度工作计划和工作总结，负责本中心业务行政事务管理、人事管理、协调各科各方面工作，处理所有对外公共关系事务</w:t>
      </w:r>
      <w:r>
        <w:rPr>
          <w:rFonts w:hint="eastAsia" w:ascii="仿宋" w:hAnsi="仿宋" w:eastAsia="仿宋"/>
          <w:color w:val="000000"/>
          <w:sz w:val="32"/>
          <w:szCs w:val="32"/>
          <w:lang w:eastAsia="zh-CN"/>
        </w:rPr>
        <w:t>；</w:t>
      </w:r>
      <w:r>
        <w:rPr>
          <w:rFonts w:ascii="仿宋" w:hAnsi="仿宋" w:eastAsia="仿宋"/>
          <w:color w:val="000000"/>
          <w:sz w:val="32"/>
          <w:szCs w:val="32"/>
        </w:rPr>
        <w:t>负责文书、档案、车辆管理等。</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二</w:t>
      </w:r>
      <w:r>
        <w:rPr>
          <w:rFonts w:hint="eastAsia" w:ascii="仿宋" w:hAnsi="仿宋" w:eastAsia="仿宋"/>
          <w:b/>
          <w:bCs/>
          <w:color w:val="000000"/>
          <w:sz w:val="32"/>
          <w:szCs w:val="32"/>
          <w:lang w:eastAsia="zh-CN"/>
        </w:rPr>
        <w:t>）</w:t>
      </w:r>
      <w:r>
        <w:rPr>
          <w:rFonts w:ascii="仿宋" w:hAnsi="仿宋" w:eastAsia="仿宋"/>
          <w:b/>
          <w:bCs/>
          <w:color w:val="000000"/>
          <w:sz w:val="32"/>
          <w:szCs w:val="32"/>
        </w:rPr>
        <w:t>党支部</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宣传、贯彻、执行党的路线、方针、政策，认真执行上级党组织的决议，充分发挥党员的先锋模范作用，动员党员努力完成所担负的各项任务；经常对党员进行政治思想教育和党的传统作风教育，严格党的组织生活，监督党员切实履行义务，遵守纪律，保障党员的权利不受侵犯。</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（三）信息安全管理科</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负责全县疾病预防控制信息网络的技术指导和日常管理；收集汇总并上报全县疫情和卫生监测报表；负责疾病预测预报及对综合疾病监测点、死因监测点的收集汇总、分析、报告；承担全县突发公共卫生事件的信息处置、传染病及直报系统管理等工作。</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（四）传染病防治管理科</w:t>
      </w:r>
      <w:r>
        <w:rPr>
          <w:rFonts w:ascii="仿宋" w:hAnsi="仿宋" w:eastAsia="仿宋"/>
          <w:b/>
          <w:bCs/>
          <w:color w:val="000000"/>
          <w:sz w:val="32"/>
          <w:szCs w:val="32"/>
        </w:rPr>
        <w:cr/>
      </w:r>
      <w:r>
        <w:rPr>
          <w:rFonts w:ascii="仿宋" w:hAnsi="仿宋" w:eastAsia="仿宋"/>
          <w:color w:val="000000"/>
          <w:sz w:val="32"/>
          <w:szCs w:val="32"/>
        </w:rPr>
        <w:t xml:space="preserve">    负责全县传染病监测和预警、预防与控制、疫情报告与调查处理。制定防制规划、防病预案，宏观管理传染病预防与控制工作。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五</w:t>
      </w:r>
      <w:r>
        <w:rPr>
          <w:rFonts w:hint="eastAsia" w:ascii="仿宋" w:hAnsi="仿宋" w:eastAsia="仿宋"/>
          <w:b/>
          <w:bCs/>
          <w:color w:val="000000"/>
          <w:sz w:val="32"/>
          <w:szCs w:val="32"/>
          <w:lang w:eastAsia="zh-CN"/>
        </w:rPr>
        <w:t>）</w:t>
      </w:r>
      <w:r>
        <w:rPr>
          <w:rFonts w:ascii="仿宋" w:hAnsi="仿宋" w:eastAsia="仿宋"/>
          <w:b/>
          <w:bCs/>
          <w:color w:val="000000"/>
          <w:sz w:val="32"/>
          <w:szCs w:val="32"/>
        </w:rPr>
        <w:t xml:space="preserve">免疫规划科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组</w:t>
      </w:r>
      <w:r>
        <w:rPr>
          <w:rFonts w:ascii="仿宋" w:hAnsi="仿宋" w:eastAsia="仿宋"/>
          <w:color w:val="000000"/>
          <w:sz w:val="32"/>
          <w:szCs w:val="32"/>
        </w:rPr>
        <w:t>织安排全县免疫规划工作。制订免疫工作规划、实施方案、技术规范、年度工作计划及各项免疫活动方案并组织实施；开展计划免疫针对疾病的流行病学调查与疫情控制，开展人群免疫抗体水平监测与接种副反应事故处理，负责</w:t>
      </w:r>
      <w:r>
        <w:rPr>
          <w:rFonts w:hint="eastAsia" w:ascii="仿宋" w:hAnsi="仿宋" w:eastAsia="仿宋"/>
          <w:color w:val="000000"/>
          <w:sz w:val="32"/>
          <w:szCs w:val="32"/>
          <w:lang w:eastAsia="zh-CN"/>
        </w:rPr>
        <w:t>其他</w:t>
      </w:r>
      <w:r>
        <w:rPr>
          <w:rFonts w:ascii="仿宋" w:hAnsi="仿宋" w:eastAsia="仿宋"/>
          <w:color w:val="000000"/>
          <w:sz w:val="32"/>
          <w:szCs w:val="32"/>
        </w:rPr>
        <w:t>生物制品定购冷链管理工作； 贯彻和组织落实上级有关免疫规划工作部署。对全县免疫工作的实施情况进行检查、督导、考核、评价。</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（六）应急办</w:t>
      </w:r>
      <w:r>
        <w:rPr>
          <w:rFonts w:ascii="仿宋" w:hAnsi="仿宋" w:eastAsia="仿宋"/>
          <w:b/>
          <w:bCs/>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建立完善全县重大疫情和突发卫生事件应急体系；负责</w:t>
      </w:r>
      <w:r>
        <w:rPr>
          <w:rFonts w:hint="eastAsia" w:ascii="仿宋" w:hAnsi="仿宋" w:eastAsia="仿宋"/>
          <w:color w:val="000000"/>
          <w:sz w:val="32"/>
          <w:szCs w:val="32"/>
          <w:lang w:eastAsia="zh-CN"/>
        </w:rPr>
        <w:t>制定</w:t>
      </w:r>
      <w:r>
        <w:rPr>
          <w:rFonts w:ascii="仿宋" w:hAnsi="仿宋" w:eastAsia="仿宋"/>
          <w:color w:val="000000"/>
          <w:sz w:val="32"/>
          <w:szCs w:val="32"/>
        </w:rPr>
        <w:t>中心年度应急业务工作目标和计划，并组织实施和管理，提高应急工作能力；负责应急24小时总值班制度的落实与管理；负责突发卫生事件应急处置的日常业务管理工作，组织、协调重大应急事件的调查和处理；及时了解国内外重大疫情、新发传染病、生物化学恐怖、职业中毒、食源性疾病及环境污染等信息与动态。</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七</w:t>
      </w:r>
      <w:r>
        <w:rPr>
          <w:rFonts w:hint="eastAsia" w:ascii="仿宋" w:hAnsi="仿宋" w:eastAsia="仿宋"/>
          <w:b/>
          <w:bCs/>
          <w:color w:val="000000"/>
          <w:sz w:val="32"/>
          <w:szCs w:val="32"/>
          <w:lang w:eastAsia="zh-CN"/>
        </w:rPr>
        <w:t>）</w:t>
      </w:r>
      <w:r>
        <w:rPr>
          <w:rFonts w:ascii="仿宋" w:hAnsi="仿宋" w:eastAsia="仿宋"/>
          <w:b/>
          <w:bCs/>
          <w:color w:val="000000"/>
          <w:sz w:val="32"/>
          <w:szCs w:val="32"/>
        </w:rPr>
        <w:t>地方病防治与重传科</w:t>
      </w:r>
      <w:r>
        <w:rPr>
          <w:rFonts w:ascii="仿宋" w:hAnsi="仿宋" w:eastAsia="仿宋"/>
          <w:color w:val="000000"/>
          <w:sz w:val="32"/>
          <w:szCs w:val="32"/>
        </w:rPr>
        <w:t xml:space="preserve">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负责全县寄生虫病、地方病和重点传染病（艾滋病、结核病）流行病学调查和防控，掌握人群感染情况、发病情况及流行规律，</w:t>
      </w:r>
      <w:r>
        <w:rPr>
          <w:rFonts w:hint="eastAsia" w:ascii="仿宋" w:hAnsi="仿宋" w:eastAsia="仿宋"/>
          <w:color w:val="000000"/>
          <w:sz w:val="32"/>
          <w:szCs w:val="32"/>
          <w:lang w:eastAsia="zh-CN"/>
        </w:rPr>
        <w:t>制定</w:t>
      </w:r>
      <w:r>
        <w:rPr>
          <w:rFonts w:ascii="仿宋" w:hAnsi="仿宋" w:eastAsia="仿宋"/>
          <w:color w:val="000000"/>
          <w:sz w:val="32"/>
          <w:szCs w:val="32"/>
        </w:rPr>
        <w:t>预防与控制策略，提出预防控制的具体方案和措施。组织对寄生虫病、地方病和重点传染病预防控制方案实施进行质量跟踪和效果评估。</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b/>
          <w:bCs/>
          <w:color w:val="000000"/>
          <w:sz w:val="32"/>
          <w:szCs w:val="32"/>
        </w:rPr>
        <w:t>八</w:t>
      </w:r>
      <w:r>
        <w:rPr>
          <w:rFonts w:hint="eastAsia" w:ascii="仿宋" w:hAnsi="仿宋" w:eastAsia="仿宋"/>
          <w:b/>
          <w:bCs/>
          <w:color w:val="000000"/>
          <w:sz w:val="32"/>
          <w:szCs w:val="32"/>
          <w:lang w:eastAsia="zh-CN"/>
        </w:rPr>
        <w:t>）</w:t>
      </w:r>
      <w:r>
        <w:rPr>
          <w:rFonts w:ascii="仿宋" w:hAnsi="仿宋" w:eastAsia="仿宋"/>
          <w:b/>
          <w:bCs/>
          <w:color w:val="000000"/>
          <w:sz w:val="32"/>
          <w:szCs w:val="32"/>
        </w:rPr>
        <w:t>卫生科</w:t>
      </w:r>
      <w:r>
        <w:rPr>
          <w:rFonts w:ascii="仿宋" w:hAnsi="仿宋" w:eastAsia="仿宋"/>
          <w:b/>
          <w:bCs/>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制定全县消毒与病媒生物控制规划，掌握全县本底资料，开展消杀调查与抗性研究</w:t>
      </w:r>
      <w:r>
        <w:rPr>
          <w:rFonts w:hint="eastAsia" w:ascii="仿宋" w:hAnsi="仿宋" w:eastAsia="仿宋"/>
          <w:color w:val="000000"/>
          <w:sz w:val="32"/>
          <w:szCs w:val="32"/>
          <w:lang w:eastAsia="zh-CN"/>
        </w:rPr>
        <w:t>；</w:t>
      </w:r>
      <w:r>
        <w:rPr>
          <w:rFonts w:ascii="仿宋" w:hAnsi="仿宋" w:eastAsia="仿宋"/>
          <w:color w:val="000000"/>
          <w:sz w:val="32"/>
          <w:szCs w:val="32"/>
        </w:rPr>
        <w:t>负责突发疫情的消杀灭处理</w:t>
      </w:r>
      <w:r>
        <w:rPr>
          <w:rFonts w:hint="eastAsia" w:ascii="仿宋" w:hAnsi="仿宋" w:eastAsia="仿宋"/>
          <w:color w:val="000000"/>
          <w:sz w:val="32"/>
          <w:szCs w:val="32"/>
          <w:lang w:eastAsia="zh-CN"/>
        </w:rPr>
        <w:t>；</w:t>
      </w:r>
      <w:r>
        <w:rPr>
          <w:rFonts w:ascii="仿宋" w:hAnsi="仿宋" w:eastAsia="仿宋"/>
          <w:color w:val="000000"/>
          <w:sz w:val="32"/>
          <w:szCs w:val="32"/>
        </w:rPr>
        <w:t>负责特种行业的预防性消毒；负责公共场所的卫生监测工作；生活饮用水水质监测采样工作；负责食品安全风险监测采样工作；负责食源性疾病及食物中毒等突发事件的调查处理；负责食源性疾病监测与报告工作；开展学校卫生与膳食营养调查工作；负责全县职业病病人的追踪、随访和报告工作。</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九</w:t>
      </w:r>
      <w:r>
        <w:rPr>
          <w:rFonts w:hint="eastAsia" w:ascii="仿宋" w:hAnsi="仿宋" w:eastAsia="仿宋"/>
          <w:b/>
          <w:bCs/>
          <w:color w:val="000000"/>
          <w:sz w:val="32"/>
          <w:szCs w:val="32"/>
          <w:lang w:eastAsia="zh-CN"/>
        </w:rPr>
        <w:t>）</w:t>
      </w:r>
      <w:r>
        <w:rPr>
          <w:rFonts w:ascii="仿宋" w:hAnsi="仿宋" w:eastAsia="仿宋"/>
          <w:b/>
          <w:bCs/>
          <w:color w:val="000000"/>
          <w:sz w:val="32"/>
          <w:szCs w:val="32"/>
        </w:rPr>
        <w:t>检验科</w:t>
      </w:r>
      <w:r>
        <w:rPr>
          <w:rFonts w:ascii="仿宋" w:hAnsi="仿宋" w:eastAsia="仿宋"/>
          <w:color w:val="000000"/>
          <w:sz w:val="32"/>
          <w:szCs w:val="32"/>
        </w:rPr>
        <w:t xml:space="preserve">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负责传染病及其食品、环境、劳动等所送样品的理化，微生物检验、检测与分析</w:t>
      </w:r>
      <w:r>
        <w:rPr>
          <w:rFonts w:hint="eastAsia" w:ascii="仿宋" w:hAnsi="仿宋" w:eastAsia="仿宋"/>
          <w:color w:val="000000"/>
          <w:sz w:val="32"/>
          <w:szCs w:val="32"/>
          <w:lang w:eastAsia="zh-CN"/>
        </w:rPr>
        <w:t>；</w:t>
      </w:r>
      <w:r>
        <w:rPr>
          <w:rFonts w:ascii="仿宋" w:hAnsi="仿宋" w:eastAsia="仿宋"/>
          <w:color w:val="000000"/>
          <w:sz w:val="32"/>
          <w:szCs w:val="32"/>
        </w:rPr>
        <w:t xml:space="preserve">负责各种疾病控制机构检测检验技术的培训与指导，解决技术难题，提高检测水平，利用国内外先进检验技术，开展技术更新与研究，为社会提供检验、检测技术服务，提供准确、公正的检测、检验数据。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十</w:t>
      </w:r>
      <w:r>
        <w:rPr>
          <w:rFonts w:hint="eastAsia" w:ascii="仿宋" w:hAnsi="仿宋" w:eastAsia="仿宋"/>
          <w:b/>
          <w:bCs/>
          <w:color w:val="000000"/>
          <w:sz w:val="32"/>
          <w:szCs w:val="32"/>
          <w:lang w:eastAsia="zh-CN"/>
        </w:rPr>
        <w:t>）</w:t>
      </w:r>
      <w:r>
        <w:rPr>
          <w:rFonts w:ascii="仿宋" w:hAnsi="仿宋" w:eastAsia="仿宋"/>
          <w:b/>
          <w:bCs/>
          <w:color w:val="000000"/>
          <w:sz w:val="32"/>
          <w:szCs w:val="32"/>
        </w:rPr>
        <w:t>健康教育与健康促进科</w:t>
      </w:r>
      <w:r>
        <w:rPr>
          <w:rFonts w:ascii="仿宋" w:hAnsi="仿宋" w:eastAsia="仿宋"/>
          <w:b/>
          <w:bCs/>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开展卫生宣传教育与健康促进活动，普及</w:t>
      </w:r>
      <w:r>
        <w:rPr>
          <w:rFonts w:hint="eastAsia" w:ascii="仿宋" w:hAnsi="仿宋" w:eastAsia="仿宋"/>
          <w:color w:val="000000"/>
          <w:sz w:val="32"/>
          <w:szCs w:val="32"/>
        </w:rPr>
        <w:t>卫生防疫</w:t>
      </w:r>
      <w:bookmarkStart w:id="89" w:name="_GoBack"/>
      <w:bookmarkEnd w:id="89"/>
      <w:r>
        <w:rPr>
          <w:rFonts w:ascii="仿宋" w:hAnsi="仿宋" w:eastAsia="仿宋"/>
          <w:color w:val="000000"/>
          <w:sz w:val="32"/>
          <w:szCs w:val="32"/>
        </w:rPr>
        <w:t>知识。开展从业人员技术培训、收集疾病预防控制工作动态，编发信息，简报</w:t>
      </w:r>
      <w:r>
        <w:rPr>
          <w:rFonts w:hint="eastAsia" w:ascii="仿宋" w:hAnsi="仿宋" w:eastAsia="仿宋"/>
          <w:color w:val="000000"/>
          <w:sz w:val="32"/>
          <w:szCs w:val="32"/>
          <w:lang w:eastAsia="zh-CN"/>
        </w:rPr>
        <w:t>；</w:t>
      </w:r>
      <w:r>
        <w:rPr>
          <w:rFonts w:ascii="仿宋" w:hAnsi="仿宋" w:eastAsia="仿宋"/>
          <w:color w:val="000000"/>
          <w:sz w:val="32"/>
          <w:szCs w:val="32"/>
        </w:rPr>
        <w:t xml:space="preserve">完成卫生宣传效果考核与评价等。 </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 xml:space="preserve"> （</w:t>
      </w:r>
      <w:r>
        <w:rPr>
          <w:rFonts w:ascii="仿宋" w:hAnsi="仿宋" w:eastAsia="仿宋"/>
          <w:b/>
          <w:bCs/>
          <w:color w:val="000000"/>
          <w:sz w:val="32"/>
          <w:szCs w:val="32"/>
        </w:rPr>
        <w:t>十一</w:t>
      </w:r>
      <w:r>
        <w:rPr>
          <w:rFonts w:hint="eastAsia" w:ascii="仿宋" w:hAnsi="仿宋" w:eastAsia="仿宋"/>
          <w:b/>
          <w:bCs/>
          <w:color w:val="000000"/>
          <w:sz w:val="32"/>
          <w:szCs w:val="32"/>
          <w:lang w:eastAsia="zh-CN"/>
        </w:rPr>
        <w:t>）</w:t>
      </w:r>
      <w:r>
        <w:rPr>
          <w:rFonts w:ascii="仿宋" w:hAnsi="仿宋" w:eastAsia="仿宋"/>
          <w:b/>
          <w:bCs/>
          <w:color w:val="000000"/>
          <w:sz w:val="32"/>
          <w:szCs w:val="32"/>
        </w:rPr>
        <w:t>综合业务质量管理科</w:t>
      </w:r>
      <w:r>
        <w:rPr>
          <w:rFonts w:ascii="仿宋" w:hAnsi="仿宋" w:eastAsia="仿宋"/>
          <w:b/>
          <w:bCs/>
          <w:color w:val="000000"/>
          <w:sz w:val="32"/>
          <w:szCs w:val="32"/>
        </w:rPr>
        <w:cr/>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负责中心卫生防病检测工作质量的控制，实施全面质量管理；建立和完善中心质量管理体系，组织</w:t>
      </w:r>
      <w:r>
        <w:rPr>
          <w:rFonts w:hint="eastAsia" w:ascii="仿宋" w:hAnsi="仿宋" w:eastAsia="仿宋"/>
          <w:color w:val="000000"/>
          <w:sz w:val="32"/>
          <w:szCs w:val="32"/>
          <w:lang w:eastAsia="zh-CN"/>
        </w:rPr>
        <w:t>制定</w:t>
      </w:r>
      <w:r>
        <w:rPr>
          <w:rFonts w:ascii="仿宋" w:hAnsi="仿宋" w:eastAsia="仿宋"/>
          <w:color w:val="000000"/>
          <w:sz w:val="32"/>
          <w:szCs w:val="32"/>
        </w:rPr>
        <w:t>和审批质量文件，负责受控文件的确认，开展实验室认可和资质认定相关工作，协助中心技术负责人和质量负责人组织管理评审和质量体系内审，负责联系外审。负责中心的质量控制、检测检验的监督检查和评价管理工作。</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w:t>
      </w:r>
      <w:r>
        <w:rPr>
          <w:rFonts w:ascii="仿宋" w:hAnsi="仿宋" w:eastAsia="仿宋"/>
          <w:b/>
          <w:bCs/>
          <w:color w:val="000000"/>
          <w:sz w:val="32"/>
          <w:szCs w:val="32"/>
        </w:rPr>
        <w:t>十二</w:t>
      </w:r>
      <w:r>
        <w:rPr>
          <w:rFonts w:hint="eastAsia" w:ascii="仿宋" w:hAnsi="仿宋" w:eastAsia="仿宋"/>
          <w:b/>
          <w:bCs/>
          <w:color w:val="000000"/>
          <w:sz w:val="32"/>
          <w:szCs w:val="32"/>
          <w:lang w:eastAsia="zh-CN"/>
        </w:rPr>
        <w:t>）</w:t>
      </w:r>
      <w:r>
        <w:rPr>
          <w:rFonts w:ascii="仿宋" w:hAnsi="仿宋" w:eastAsia="仿宋"/>
          <w:b/>
          <w:bCs/>
          <w:color w:val="000000"/>
          <w:sz w:val="32"/>
          <w:szCs w:val="32"/>
        </w:rPr>
        <w:t>财务科</w:t>
      </w:r>
      <w:r>
        <w:rPr>
          <w:rFonts w:ascii="仿宋" w:hAnsi="仿宋" w:eastAsia="仿宋"/>
          <w:b/>
          <w:bCs/>
          <w:color w:val="000000"/>
          <w:sz w:val="32"/>
          <w:szCs w:val="32"/>
        </w:rPr>
        <w:cr/>
      </w:r>
      <w:r>
        <w:rPr>
          <w:rFonts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ascii="仿宋" w:hAnsi="仿宋" w:eastAsia="仿宋"/>
          <w:color w:val="000000"/>
          <w:sz w:val="32"/>
          <w:szCs w:val="32"/>
        </w:rPr>
        <w:t>编制预、决算，检查经费执行情况，完成日常经费收支与审核报销，搞好财务监督，发现问题及时纠正</w:t>
      </w:r>
      <w:r>
        <w:rPr>
          <w:rFonts w:hint="eastAsia" w:ascii="仿宋" w:hAnsi="仿宋" w:eastAsia="仿宋"/>
          <w:color w:val="000000"/>
          <w:sz w:val="32"/>
          <w:szCs w:val="32"/>
          <w:lang w:eastAsia="zh-CN"/>
        </w:rPr>
        <w:t>；</w:t>
      </w:r>
      <w:r>
        <w:rPr>
          <w:rFonts w:ascii="仿宋" w:hAnsi="仿宋" w:eastAsia="仿宋"/>
          <w:color w:val="000000"/>
          <w:sz w:val="32"/>
          <w:szCs w:val="32"/>
        </w:rPr>
        <w:t>负责各项目资金管理与使用，对资金使用情况作出适时</w:t>
      </w:r>
      <w:r>
        <w:rPr>
          <w:rFonts w:hint="eastAsia" w:ascii="仿宋" w:hAnsi="仿宋" w:eastAsia="仿宋"/>
          <w:color w:val="000000"/>
          <w:sz w:val="32"/>
          <w:szCs w:val="32"/>
          <w:lang w:eastAsia="zh-CN"/>
        </w:rPr>
        <w:t>的</w:t>
      </w:r>
      <w:r>
        <w:rPr>
          <w:rFonts w:ascii="仿宋" w:hAnsi="仿宋" w:eastAsia="仿宋"/>
          <w:color w:val="000000"/>
          <w:sz w:val="32"/>
          <w:szCs w:val="32"/>
        </w:rPr>
        <w:t>分析与效益评估；负责固定资产管理。</w:t>
      </w:r>
      <w:r>
        <w:rPr>
          <w:rFonts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十三</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rPr>
        <w:t>预防医学门诊部</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承担开展预防性健康</w:t>
      </w:r>
      <w:r>
        <w:rPr>
          <w:rFonts w:hint="eastAsia" w:ascii="仿宋" w:hAnsi="仿宋" w:eastAsia="仿宋"/>
          <w:color w:val="000000"/>
          <w:sz w:val="32"/>
          <w:szCs w:val="32"/>
          <w:lang w:eastAsia="zh-CN"/>
        </w:rPr>
        <w:t>体检</w:t>
      </w:r>
      <w:r>
        <w:rPr>
          <w:rFonts w:hint="eastAsia" w:ascii="仿宋" w:hAnsi="仿宋" w:eastAsia="仿宋"/>
          <w:color w:val="000000"/>
          <w:sz w:val="32"/>
          <w:szCs w:val="32"/>
        </w:rPr>
        <w:t>、职业健康检查、预防接种和健康咨询活动；提供传染病、职业病及慢性非传染性疾病等诊疗服务。</w:t>
      </w:r>
    </w:p>
    <w:p>
      <w:pPr>
        <w:spacing w:line="600" w:lineRule="exact"/>
        <w:ind w:firstLine="640" w:firstLineChars="200"/>
        <w:rPr>
          <w:rFonts w:hint="eastAsia" w:ascii="仿宋" w:hAnsi="仿宋" w:eastAsia="仿宋"/>
          <w:color w:val="000000"/>
          <w:sz w:val="32"/>
          <w:szCs w:val="32"/>
        </w:rPr>
      </w:pPr>
      <w:bookmarkStart w:id="23" w:name="_Toc15377204"/>
      <w:r>
        <w:rPr>
          <w:rFonts w:hint="eastAsia" w:ascii="仿宋" w:hAnsi="仿宋" w:eastAsia="仿宋"/>
          <w:color w:val="000000"/>
          <w:sz w:val="32"/>
          <w:szCs w:val="32"/>
        </w:rPr>
        <w:br w:type="page"/>
      </w:r>
    </w:p>
    <w:p>
      <w:pPr>
        <w:pStyle w:val="3"/>
        <w:keepNext/>
        <w:keepLines/>
        <w:pageBreakBefore w:val="0"/>
        <w:widowControl/>
        <w:kinsoku w:val="0"/>
        <w:wordWrap/>
        <w:overflowPunct/>
        <w:topLinePunct w:val="0"/>
        <w:autoSpaceDE w:val="0"/>
        <w:autoSpaceDN w:val="0"/>
        <w:bidi w:val="0"/>
        <w:adjustRightInd/>
        <w:snapToGrid/>
        <w:spacing w:line="579" w:lineRule="auto"/>
        <w:jc w:val="center"/>
        <w:textAlignment w:val="baseline"/>
        <w:rPr>
          <w:rFonts w:ascii="黑体" w:hAnsi="黑体" w:eastAsia="黑体" w:cs="黑体"/>
        </w:rPr>
      </w:pPr>
      <w:bookmarkStart w:id="24" w:name="_Toc111208498"/>
      <w:bookmarkStart w:id="25" w:name="_Toc3126"/>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26" w:name="_Toc15377205"/>
      <w:bookmarkStart w:id="27" w:name="_Toc111208499"/>
      <w:bookmarkStart w:id="28" w:name="_Toc10940"/>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jc w:val="both"/>
        <w:rPr>
          <w:rFonts w:hint="eastAsia" w:ascii="仿宋_GB2312" w:hAnsi="仿宋" w:eastAsia="仿宋"/>
          <w:color w:val="00B0F0"/>
          <w:sz w:val="32"/>
          <w:szCs w:val="32"/>
          <w:lang w:eastAsia="zh-CN"/>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1035.57</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增加301.11</w:t>
      </w:r>
      <w:r>
        <w:rPr>
          <w:rFonts w:hint="eastAsia" w:ascii="仿宋" w:hAnsi="仿宋" w:eastAsia="仿宋"/>
          <w:color w:val="000000"/>
          <w:sz w:val="32"/>
          <w:szCs w:val="32"/>
        </w:rPr>
        <w:t>万元，</w:t>
      </w:r>
      <w:r>
        <w:rPr>
          <w:rFonts w:ascii="仿宋" w:hAnsi="仿宋" w:eastAsia="仿宋"/>
          <w:color w:val="000000"/>
          <w:sz w:val="32"/>
          <w:szCs w:val="32"/>
        </w:rPr>
        <w:t>增加41.00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w:t>
      </w:r>
      <w:r>
        <w:rPr>
          <w:rFonts w:hint="eastAsia" w:ascii="仿宋" w:hAnsi="仿宋" w:eastAsia="仿宋"/>
          <w:color w:val="000000"/>
          <w:sz w:val="32"/>
          <w:u w:color="auto"/>
          <w:lang w:eastAsia="zh-CN"/>
        </w:rPr>
        <w:t>人员增加，工资调整，</w:t>
      </w:r>
      <w:r>
        <w:rPr>
          <w:rFonts w:ascii="仿宋" w:hAnsi="仿宋" w:eastAsia="仿宋"/>
          <w:color w:val="000000"/>
          <w:sz w:val="32"/>
          <w:u w:color="auto"/>
        </w:rPr>
        <w:t>基本支出增加</w:t>
      </w:r>
      <w:r>
        <w:rPr>
          <w:rFonts w:hint="eastAsia" w:ascii="仿宋" w:hAnsi="仿宋" w:eastAsia="仿宋"/>
          <w:color w:val="000000"/>
          <w:sz w:val="32"/>
          <w:u w:color="auto"/>
          <w:lang w:eastAsia="zh-CN"/>
        </w:rPr>
        <w:t>。</w:t>
      </w:r>
    </w:p>
    <w:p>
      <w:pPr>
        <w:spacing w:line="600" w:lineRule="exact"/>
        <w:ind w:firstLine="640" w:firstLineChars="200"/>
        <w:jc w:val="center"/>
        <w:rPr>
          <w:rFonts w:ascii="仿宋_GB2312" w:eastAsia="仿宋_GB2312"/>
          <w:color w:val="000000"/>
          <w:sz w:val="28"/>
          <w:szCs w:val="28"/>
        </w:rPr>
      </w:pPr>
      <w:r>
        <w:rPr>
          <w:rFonts w:hint="eastAsia" w:ascii="仿宋" w:hAnsi="仿宋" w:eastAsia="仿宋"/>
          <w:color w:val="000000"/>
          <w:sz w:val="32"/>
          <w:szCs w:val="32"/>
        </w:rPr>
        <w:t>（图1：收、支决算总计变动情况图）</w:t>
      </w:r>
    </w:p>
    <w:p>
      <w:pPr>
        <w:pStyle w:val="2"/>
        <w:ind w:left="0" w:leftChars="0" w:firstLine="0" w:firstLineChars="0"/>
      </w:pPr>
      <w:r>
        <w:drawing>
          <wp:inline distT="0" distB="0" distL="114300" distR="114300">
            <wp:extent cx="5343525" cy="2815590"/>
            <wp:effectExtent l="4445" t="4445" r="5080" b="1841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29" w:name="_Toc19675"/>
      <w:bookmarkStart w:id="30" w:name="_Toc15377206"/>
      <w:bookmarkStart w:id="31" w:name="_Toc111208500"/>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1035.57万元，其中：一般公共预算财政拨款收入1035.57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0" w:leftChars="0" w:firstLine="0" w:firstLineChars="0"/>
        <w:jc w:val="both"/>
      </w:pPr>
      <w:r>
        <w:rPr>
          <w:rFonts w:hint="eastAsia" w:ascii="仿宋_GB2312" w:eastAsia="仿宋_GB2312"/>
          <w:color w:val="FF0000"/>
          <w:sz w:val="32"/>
          <w:szCs w:val="32"/>
        </w:rPr>
        <w:drawing>
          <wp:inline distT="0" distB="0" distL="114300" distR="114300">
            <wp:extent cx="5332730" cy="2699385"/>
            <wp:effectExtent l="4445" t="4445" r="15875" b="203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32" w:name="_Toc26390"/>
      <w:bookmarkStart w:id="33" w:name="_Toc15377207"/>
      <w:bookmarkStart w:id="34" w:name="_Toc111208501"/>
      <w:r>
        <w:rPr>
          <w:rFonts w:hint="eastAsia" w:ascii="黑体" w:eastAsia="黑体" w:cs="Times New Roman"/>
          <w:bCs w:val="0"/>
          <w:color w:val="000000"/>
        </w:rPr>
        <w:t>三、支出决算情况说明</w:t>
      </w:r>
      <w:bookmarkEnd w:id="32"/>
      <w:bookmarkEnd w:id="33"/>
      <w:bookmarkEnd w:id="34"/>
    </w:p>
    <w:p>
      <w:pPr>
        <w:pStyle w:val="2"/>
        <w:jc w:val="both"/>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1035.57</w:t>
      </w:r>
      <w:r>
        <w:rPr>
          <w:rFonts w:ascii="仿宋" w:hAnsi="仿宋" w:eastAsia="仿宋"/>
          <w:color w:val="000000"/>
          <w:sz w:val="32"/>
          <w:szCs w:val="32"/>
        </w:rPr>
        <w:t>万元，其中：基本支出</w:t>
      </w:r>
      <w:r>
        <w:rPr>
          <w:rFonts w:hint="eastAsia" w:ascii="仿宋" w:hAnsi="仿宋" w:eastAsia="仿宋"/>
          <w:color w:val="000000"/>
          <w:sz w:val="32"/>
          <w:szCs w:val="32"/>
        </w:rPr>
        <w:t>628.90</w:t>
      </w:r>
      <w:r>
        <w:rPr>
          <w:rFonts w:ascii="仿宋" w:hAnsi="仿宋" w:eastAsia="仿宋"/>
          <w:color w:val="000000"/>
          <w:sz w:val="32"/>
          <w:szCs w:val="32"/>
        </w:rPr>
        <w:t>万元，占</w:t>
      </w:r>
      <w:r>
        <w:rPr>
          <w:rFonts w:hint="eastAsia" w:ascii="仿宋" w:hAnsi="仿宋" w:eastAsia="仿宋"/>
          <w:color w:val="000000"/>
          <w:sz w:val="32"/>
          <w:szCs w:val="32"/>
        </w:rPr>
        <w:t>60.73</w:t>
      </w:r>
      <w:r>
        <w:rPr>
          <w:rFonts w:ascii="仿宋" w:hAnsi="仿宋" w:eastAsia="仿宋"/>
          <w:color w:val="000000"/>
          <w:sz w:val="32"/>
          <w:szCs w:val="32"/>
        </w:rPr>
        <w:t>%；项目支出</w:t>
      </w:r>
      <w:r>
        <w:rPr>
          <w:rFonts w:hint="eastAsia" w:ascii="仿宋" w:hAnsi="仿宋" w:eastAsia="仿宋"/>
          <w:color w:val="000000"/>
          <w:sz w:val="32"/>
          <w:szCs w:val="32"/>
        </w:rPr>
        <w:t>406.67</w:t>
      </w:r>
      <w:r>
        <w:rPr>
          <w:rFonts w:ascii="仿宋" w:hAnsi="仿宋" w:eastAsia="仿宋"/>
          <w:color w:val="000000"/>
          <w:sz w:val="32"/>
          <w:szCs w:val="32"/>
        </w:rPr>
        <w:t>万元，占</w:t>
      </w:r>
      <w:r>
        <w:rPr>
          <w:rFonts w:hint="eastAsia" w:ascii="仿宋" w:hAnsi="仿宋" w:eastAsia="仿宋"/>
          <w:color w:val="000000"/>
          <w:sz w:val="32"/>
          <w:szCs w:val="32"/>
        </w:rPr>
        <w:t>39.27</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4339590" cy="2703195"/>
            <wp:effectExtent l="4445" t="4445" r="18415" b="165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pP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35" w:name="_Toc15377208"/>
      <w:bookmarkStart w:id="36" w:name="_Toc111208502"/>
      <w:bookmarkStart w:id="37" w:name="_Toc27021"/>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年财政拨款收、支总计1035.57万元。与2021年相比，财政拨款收、支总计各增加301.11万元，增加41.00 %。主要变动原因是</w:t>
      </w:r>
      <w:r>
        <w:rPr>
          <w:rFonts w:hint="eastAsia" w:ascii="仿宋" w:hAnsi="仿宋" w:eastAsia="仿宋"/>
          <w:color w:val="000000"/>
          <w:sz w:val="32"/>
          <w:u w:color="auto"/>
          <w:lang w:eastAsia="zh-CN"/>
        </w:rPr>
        <w:t>人员增加，工资调整，</w:t>
      </w:r>
      <w:r>
        <w:rPr>
          <w:rFonts w:ascii="仿宋" w:hAnsi="仿宋" w:eastAsia="仿宋"/>
          <w:color w:val="000000"/>
          <w:sz w:val="32"/>
          <w:u w:color="auto"/>
        </w:rPr>
        <w:t>基本支出增加</w:t>
      </w:r>
      <w:r>
        <w:rPr>
          <w:rFonts w:hint="eastAsia" w:ascii="仿宋" w:hAnsi="仿宋" w:eastAsia="仿宋"/>
          <w:color w:val="000000"/>
          <w:sz w:val="32"/>
          <w:u w:color="auto"/>
          <w:lang w:eastAsia="zh-CN"/>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ind w:left="0" w:leftChars="0" w:firstLine="0" w:firstLineChars="0"/>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jc w:val="center"/>
      </w:pP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38" w:name="_Toc15377209"/>
      <w:bookmarkStart w:id="39" w:name="_Toc13793"/>
      <w:bookmarkStart w:id="40" w:name="_Toc111208503"/>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jc w:val="both"/>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年一般公共预算财政拨款支出1035.57</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2021相比，一般公共预算财政拨款增加301.11</w:t>
      </w:r>
      <w:r>
        <w:rPr>
          <w:rFonts w:hint="eastAsia" w:ascii="仿宋" w:hAnsi="仿宋" w:eastAsia="仿宋"/>
          <w:color w:val="000000"/>
          <w:sz w:val="32"/>
          <w:szCs w:val="32"/>
        </w:rPr>
        <w:t>万元，</w:t>
      </w:r>
      <w:r>
        <w:rPr>
          <w:rFonts w:ascii="仿宋" w:hAnsi="仿宋" w:eastAsia="仿宋"/>
          <w:color w:val="000000"/>
          <w:sz w:val="32"/>
          <w:u w:color="auto"/>
        </w:rPr>
        <w:t>增加41.00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w:t>
      </w:r>
      <w:r>
        <w:rPr>
          <w:rFonts w:hint="eastAsia" w:ascii="仿宋" w:hAnsi="仿宋" w:eastAsia="仿宋"/>
          <w:color w:val="000000"/>
          <w:sz w:val="32"/>
          <w:u w:color="auto"/>
          <w:lang w:eastAsia="zh-CN"/>
        </w:rPr>
        <w:t>人员增加，工资调整，</w:t>
      </w:r>
      <w:r>
        <w:rPr>
          <w:rFonts w:ascii="仿宋" w:hAnsi="仿宋" w:eastAsia="仿宋"/>
          <w:color w:val="000000"/>
          <w:sz w:val="32"/>
          <w:u w:color="auto"/>
        </w:rPr>
        <w:t>基本支出增加</w:t>
      </w:r>
      <w:r>
        <w:rPr>
          <w:rFonts w:hint="eastAsia" w:ascii="仿宋" w:hAnsi="仿宋" w:eastAsia="仿宋"/>
          <w:color w:val="000000"/>
          <w:sz w:val="32"/>
          <w:u w:color="auto"/>
          <w:lang w:eastAsia="zh-CN"/>
        </w:rPr>
        <w:t>。</w:t>
      </w:r>
    </w:p>
    <w:p>
      <w:pPr>
        <w:spacing w:line="600" w:lineRule="exact"/>
        <w:ind w:firstLine="640" w:firstLineChars="200"/>
        <w:rPr>
          <w:rFonts w:ascii="仿宋_GB2312" w:hAnsi="仿宋" w:eastAsia="仿宋_GB2312"/>
          <w:b/>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2737485"/>
            <wp:effectExtent l="4445" t="4445" r="5080" b="203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ind w:firstLine="0"/>
        <w:rPr>
          <w:rFonts w:ascii="仿宋_GB2312" w:hAnsi="仿宋" w:eastAsia="仿宋_GB2312"/>
          <w:b/>
          <w:color w:val="000000"/>
          <w:sz w:val="32"/>
          <w:szCs w:val="32"/>
        </w:rPr>
      </w:pPr>
    </w:p>
    <w:p>
      <w:pPr>
        <w:keepNext w:val="0"/>
        <w:keepLines w:val="0"/>
        <w:pageBreakBefore w:val="0"/>
        <w:widowControl/>
        <w:kinsoku w:val="0"/>
        <w:wordWrap/>
        <w:overflowPunct/>
        <w:topLinePunct w:val="0"/>
        <w:autoSpaceDE w:val="0"/>
        <w:autoSpaceDN w:val="0"/>
        <w:bidi w:val="0"/>
        <w:adjustRightInd/>
        <w:snapToGrid/>
        <w:spacing w:line="600" w:lineRule="exact"/>
        <w:ind w:firstLine="643" w:firstLineChars="200"/>
        <w:textAlignment w:val="baseline"/>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年一般公共预算财政拨款支出1035.57</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社会保障和就业支出73.65万元，占7.11%；卫生健康支出917.90万元，占88.64%；住房保障支出44.02万元，占4.25%。</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458720"/>
            <wp:effectExtent l="4445" t="4445" r="571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jc w:val="both"/>
        <w:rPr>
          <w:rFonts w:ascii="仿宋" w:hAnsi="仿宋" w:eastAsia="仿宋"/>
          <w:color w:val="000000"/>
          <w:sz w:val="32"/>
          <w:szCs w:val="32"/>
        </w:rPr>
      </w:pPr>
      <w:bookmarkStart w:id="44" w:name="_Toc15377444"/>
      <w:bookmarkStart w:id="45" w:name="_Toc15377213"/>
      <w:bookmarkStart w:id="46" w:name="_Toc15378460"/>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年一般公共预算支出决算数为1035.57</w:t>
      </w:r>
      <w:r>
        <w:rPr>
          <w:rFonts w:hint="eastAsia" w:ascii="仿宋" w:hAnsi="仿宋" w:eastAsia="仿宋"/>
          <w:color w:val="000000"/>
          <w:sz w:val="32"/>
          <w:szCs w:val="32"/>
        </w:rPr>
        <w:t>万，完成预算100%。其中：</w:t>
      </w:r>
      <w:bookmarkEnd w:id="44"/>
      <w:bookmarkEnd w:id="45"/>
      <w:bookmarkEnd w:id="46"/>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color w:val="000000"/>
          <w:sz w:val="32"/>
          <w:szCs w:val="32"/>
        </w:rPr>
        <w:t>社会保障和就业支出（208）行政事业单位养老支出（20805）机关事业单位基本养老保险缴费支出（2080505）支出决算49.10万元，完成预算100%。</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2.</w:t>
      </w:r>
      <w:r>
        <w:rPr>
          <w:rFonts w:hint="eastAsia" w:ascii="仿宋" w:hAnsi="仿宋" w:eastAsia="仿宋"/>
          <w:color w:val="000000"/>
          <w:sz w:val="32"/>
          <w:szCs w:val="32"/>
        </w:rPr>
        <w:t>社会保障和就业支出（208）行政事业单位养老支出（20805）机关事业单位职业年金缴费支出（2080506）支出决算24.55万元，完成预算100%。</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3.</w:t>
      </w:r>
      <w:r>
        <w:rPr>
          <w:rFonts w:hint="eastAsia" w:ascii="仿宋" w:hAnsi="仿宋" w:eastAsia="仿宋"/>
          <w:color w:val="000000"/>
          <w:sz w:val="32"/>
          <w:szCs w:val="32"/>
        </w:rPr>
        <w:t>卫生健康支出（210）公共卫生（21004）疾病预防控制机构（2100401）支出决算478.27万元，完成预算100%。</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4.</w:t>
      </w:r>
      <w:r>
        <w:rPr>
          <w:rFonts w:hint="eastAsia" w:ascii="仿宋" w:hAnsi="仿宋" w:eastAsia="仿宋"/>
          <w:color w:val="000000"/>
          <w:sz w:val="32"/>
          <w:szCs w:val="32"/>
        </w:rPr>
        <w:t>卫生健康支出（210）公共卫生（21004）基本公共卫生服务（2100408）支出决算11.47万元，完成预算100%。</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5.</w:t>
      </w:r>
      <w:r>
        <w:rPr>
          <w:rFonts w:hint="eastAsia" w:ascii="仿宋" w:hAnsi="仿宋" w:eastAsia="仿宋"/>
          <w:color w:val="000000"/>
          <w:sz w:val="32"/>
          <w:szCs w:val="32"/>
        </w:rPr>
        <w:t>卫生健康支出（210）公共卫生（21004）重大公共卫生服务（2100409）支出决算231.97万元，完成预算100%。</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6.</w:t>
      </w:r>
      <w:r>
        <w:rPr>
          <w:rFonts w:hint="eastAsia" w:ascii="仿宋" w:hAnsi="仿宋" w:eastAsia="仿宋"/>
          <w:color w:val="000000"/>
          <w:sz w:val="32"/>
          <w:szCs w:val="32"/>
        </w:rPr>
        <w:t>卫生健康支出（210）公共卫生（21004）其他公共卫生支出（2100499）支出决算163.22万元，完成预算100%。</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7.</w:t>
      </w:r>
      <w:r>
        <w:rPr>
          <w:rFonts w:hint="eastAsia" w:ascii="仿宋" w:hAnsi="仿宋" w:eastAsia="仿宋"/>
          <w:color w:val="000000"/>
          <w:sz w:val="32"/>
          <w:szCs w:val="32"/>
        </w:rPr>
        <w:t>卫生健康支出（210）行政事业单位医疗（21011）事业单位医疗（2101102）支出决算32.96万元，完成预算100%。</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8.</w:t>
      </w:r>
      <w:r>
        <w:rPr>
          <w:rFonts w:hint="eastAsia" w:ascii="仿宋" w:hAnsi="仿宋" w:eastAsia="仿宋"/>
          <w:color w:val="000000"/>
          <w:sz w:val="32"/>
          <w:szCs w:val="32"/>
        </w:rPr>
        <w:t>住房保障支出（221）住房改革支出（22102）住房公积金（2210201）支出决算44.02万元，完成预算100%。</w:t>
      </w: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 w:val="0"/>
          <w:color w:val="000000"/>
        </w:rPr>
      </w:pPr>
      <w:bookmarkStart w:id="47" w:name="_Toc15377214"/>
      <w:bookmarkStart w:id="48" w:name="_Toc16428"/>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jc w:val="both"/>
        <w:rPr>
          <w:rFonts w:hint="eastAsia"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年一般公共预算财政拨款基本支出628.90</w:t>
      </w:r>
      <w:r>
        <w:rPr>
          <w:rFonts w:hint="eastAsia" w:ascii="仿宋" w:hAnsi="仿宋" w:eastAsia="仿宋"/>
          <w:color w:val="000000"/>
          <w:sz w:val="32"/>
          <w:szCs w:val="32"/>
        </w:rPr>
        <w:t>万元，其中：</w:t>
      </w:r>
    </w:p>
    <w:p>
      <w:pPr>
        <w:spacing w:line="600" w:lineRule="exact"/>
        <w:ind w:firstLine="640"/>
        <w:jc w:val="both"/>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609.67</w:t>
      </w:r>
      <w:r>
        <w:rPr>
          <w:rFonts w:hint="eastAsia" w:ascii="仿宋" w:hAnsi="仿宋" w:eastAsia="仿宋"/>
          <w:color w:val="000000"/>
          <w:sz w:val="32"/>
          <w:szCs w:val="32"/>
        </w:rPr>
        <w:t>万元，主要包括：</w:t>
      </w:r>
      <w:r>
        <w:rPr>
          <w:rFonts w:ascii="仿宋" w:hAnsi="仿宋" w:eastAsia="仿宋"/>
          <w:color w:val="000000"/>
          <w:sz w:val="32"/>
          <w:u w:color="auto"/>
        </w:rPr>
        <w:t>基本工资121.29万元、津贴补贴80.31万元、奖金173.84万元、绩效工资75.60万元、机关事业单位基本养老保险缴费49.10万元、职业年金缴费24.55万元、职工基本医疗保险缴费32.96万元、其他社会保障缴费2.09万元、住房公积金44.02万元、生活补助5.89万元、奖励金0.01万元。</w:t>
      </w:r>
    </w:p>
    <w:p>
      <w:pPr>
        <w:spacing w:line="600" w:lineRule="exact"/>
        <w:ind w:firstLine="640"/>
        <w:jc w:val="both"/>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19.22</w:t>
      </w:r>
      <w:r>
        <w:rPr>
          <w:rFonts w:hint="eastAsia" w:ascii="仿宋" w:hAnsi="仿宋" w:eastAsia="仿宋"/>
          <w:color w:val="000000"/>
          <w:sz w:val="32"/>
          <w:szCs w:val="32"/>
        </w:rPr>
        <w:t>万元，主要包括：</w:t>
      </w:r>
      <w:r>
        <w:rPr>
          <w:rFonts w:ascii="仿宋" w:hAnsi="仿宋" w:eastAsia="仿宋"/>
          <w:color w:val="000000"/>
          <w:sz w:val="32"/>
          <w:u w:color="auto"/>
        </w:rPr>
        <w:t>办公费1.40万元、电费2.50万元、邮电费0.09万元、差旅费5.56万元、培训费0.20万元、工会经费4.78万元、公务用车运行维护费4.70万元</w:t>
      </w:r>
      <w:r>
        <w:rPr>
          <w:rFonts w:hint="eastAsia" w:ascii="仿宋" w:hAnsi="仿宋" w:eastAsia="仿宋"/>
          <w:color w:val="000000"/>
          <w:sz w:val="32"/>
          <w:szCs w:val="32"/>
        </w:rPr>
        <w:t>。</w:t>
      </w: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50" w:name="_Toc15377215"/>
      <w:bookmarkStart w:id="51" w:name="_Toc21538"/>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年“三公”经费财政拨款支出决算为8.65</w:t>
      </w:r>
      <w:r>
        <w:rPr>
          <w:rFonts w:hint="eastAsia" w:ascii="仿宋" w:hAnsi="仿宋" w:eastAsia="仿宋"/>
          <w:color w:val="000000"/>
          <w:sz w:val="32"/>
          <w:szCs w:val="32"/>
        </w:rPr>
        <w:t>万元，完成预算</w:t>
      </w:r>
      <w:r>
        <w:rPr>
          <w:rFonts w:ascii="仿宋" w:hAnsi="仿宋" w:eastAsia="仿宋"/>
          <w:color w:val="000000"/>
          <w:sz w:val="32"/>
          <w:u w:color="auto"/>
        </w:rPr>
        <w:t>100.00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年“三公”经费财政拨款支出8.65</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8.65</w:t>
      </w:r>
      <w:r>
        <w:rPr>
          <w:rFonts w:hint="eastAsia" w:ascii="仿宋" w:hAnsi="仿宋" w:eastAsia="仿宋"/>
          <w:color w:val="000000"/>
          <w:sz w:val="32"/>
          <w:szCs w:val="32"/>
        </w:rPr>
        <w:t>万元，占</w:t>
      </w:r>
      <w:r>
        <w:rPr>
          <w:rFonts w:ascii="仿宋" w:hAnsi="仿宋" w:eastAsia="仿宋"/>
          <w:color w:val="000000"/>
          <w:sz w:val="32"/>
          <w:u w:color="auto"/>
        </w:rPr>
        <w:t>100.00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color w:val="000000"/>
          <w:sz w:val="32"/>
          <w:szCs w:val="32"/>
        </w:rPr>
        <w:t>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2.</w:t>
      </w:r>
      <w:r>
        <w:rPr>
          <w:rFonts w:hint="eastAsia" w:ascii="仿宋" w:hAnsi="仿宋" w:eastAsia="仿宋"/>
          <w:color w:val="000000"/>
          <w:sz w:val="32"/>
          <w:szCs w:val="32"/>
        </w:rPr>
        <w:t>公务用车购置及运行维护费支出</w:t>
      </w:r>
      <w:r>
        <w:rPr>
          <w:rFonts w:ascii="仿宋" w:hAnsi="仿宋" w:eastAsia="仿宋"/>
          <w:color w:val="000000"/>
          <w:sz w:val="32"/>
          <w:u w:color="auto"/>
        </w:rPr>
        <w:t>8.65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100.00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2021年增加5.58</w:t>
      </w:r>
      <w:r>
        <w:rPr>
          <w:rFonts w:hint="eastAsia" w:ascii="仿宋" w:hAnsi="仿宋" w:eastAsia="仿宋"/>
          <w:color w:val="000000"/>
          <w:sz w:val="32"/>
          <w:szCs w:val="32"/>
        </w:rPr>
        <w:t>万元，</w:t>
      </w:r>
      <w:r>
        <w:rPr>
          <w:rFonts w:ascii="仿宋" w:hAnsi="仿宋" w:eastAsia="仿宋"/>
          <w:color w:val="000000"/>
          <w:sz w:val="32"/>
          <w:u w:color="auto"/>
        </w:rPr>
        <w:t>增加182.13</w:t>
      </w:r>
      <w:r>
        <w:rPr>
          <w:rFonts w:hint="eastAsia" w:ascii="仿宋" w:hAnsi="仿宋" w:eastAsia="仿宋"/>
          <w:color w:val="000000"/>
          <w:sz w:val="32"/>
          <w:szCs w:val="32"/>
        </w:rPr>
        <w:t>%。</w:t>
      </w:r>
      <w:r>
        <w:rPr>
          <w:rFonts w:ascii="仿宋" w:hAnsi="仿宋" w:eastAsia="仿宋"/>
          <w:color w:val="000000"/>
          <w:sz w:val="32"/>
          <w:u w:color="auto"/>
        </w:rPr>
        <w:t xml:space="preserve">主要原因是公务用车次数增加。 </w:t>
      </w:r>
    </w:p>
    <w:p>
      <w:pPr>
        <w:spacing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8</w:t>
      </w:r>
      <w:r>
        <w:rPr>
          <w:rFonts w:hint="eastAsia" w:ascii="仿宋" w:hAnsi="仿宋" w:eastAsia="仿宋"/>
          <w:color w:val="000000"/>
          <w:sz w:val="32"/>
          <w:szCs w:val="32"/>
        </w:rPr>
        <w:t>辆，其中：轿车</w:t>
      </w:r>
      <w:r>
        <w:rPr>
          <w:rFonts w:ascii="仿宋" w:hAnsi="仿宋" w:eastAsia="仿宋"/>
          <w:color w:val="000000"/>
          <w:sz w:val="32"/>
          <w:u w:color="auto"/>
        </w:rPr>
        <w:t>0辆、越野车8辆、载客汽车0辆。</w:t>
      </w:r>
    </w:p>
    <w:p>
      <w:pPr>
        <w:spacing w:line="600" w:lineRule="exact"/>
        <w:ind w:firstLine="640"/>
        <w:jc w:val="both"/>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8.65</w:t>
      </w:r>
      <w:r>
        <w:rPr>
          <w:rFonts w:hint="eastAsia" w:ascii="仿宋" w:hAnsi="仿宋" w:eastAsia="仿宋"/>
          <w:color w:val="000000"/>
          <w:sz w:val="32"/>
          <w:szCs w:val="32"/>
        </w:rPr>
        <w:t>万元。</w:t>
      </w:r>
      <w:r>
        <w:rPr>
          <w:rFonts w:ascii="仿宋" w:hAnsi="仿宋" w:eastAsia="仿宋"/>
          <w:color w:val="000000"/>
          <w:sz w:val="32"/>
          <w:u w:color="auto"/>
        </w:rPr>
        <w:t xml:space="preserve">主要用于公务用车次数增加。 </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3.</w:t>
      </w:r>
      <w:r>
        <w:rPr>
          <w:rFonts w:hint="eastAsia" w:ascii="仿宋" w:hAnsi="仿宋" w:eastAsia="仿宋"/>
          <w:color w:val="000000"/>
          <w:sz w:val="32"/>
          <w:szCs w:val="32"/>
        </w:rPr>
        <w:t>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jc w:val="both"/>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jc w:val="both"/>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56" w:name="_Toc15788"/>
      <w:bookmarkStart w:id="57" w:name="_Toc111208506"/>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59" w:name="_Toc111208507"/>
      <w:bookmarkStart w:id="60" w:name="_Toc5883"/>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keepNext/>
        <w:keepLines/>
        <w:pageBreakBefore w:val="0"/>
        <w:widowControl/>
        <w:kinsoku w:val="0"/>
        <w:wordWrap/>
        <w:overflowPunct/>
        <w:topLinePunct w:val="0"/>
        <w:autoSpaceDE w:val="0"/>
        <w:autoSpaceDN w:val="0"/>
        <w:bidi w:val="0"/>
        <w:adjustRightInd/>
        <w:snapToGrid/>
        <w:spacing w:line="416" w:lineRule="auto"/>
        <w:ind w:firstLine="643" w:firstLineChars="200"/>
        <w:textAlignment w:val="baseline"/>
        <w:rPr>
          <w:rFonts w:ascii="黑体" w:eastAsia="黑体" w:cs="Times New Roman"/>
          <w:bCs w:val="0"/>
          <w:color w:val="000000"/>
        </w:rPr>
      </w:pPr>
      <w:bookmarkStart w:id="61" w:name="_Toc15377221"/>
      <w:bookmarkStart w:id="62" w:name="_Toc30393"/>
      <w:bookmarkStart w:id="63" w:name="_Toc111208508"/>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jc w:val="both"/>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jc w:val="both"/>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年，政府采购支出总额87.20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87.20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jc w:val="both"/>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8辆，其中：主要领导干部用车0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600" w:lineRule="exact"/>
        <w:ind w:firstLine="64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根据预算绩效管理要求，本单位在</w:t>
      </w:r>
      <w:r>
        <w:rPr>
          <w:rFonts w:hint="eastAsia" w:ascii="仿宋" w:hAnsi="仿宋" w:eastAsia="仿宋"/>
          <w:color w:val="000000"/>
          <w:sz w:val="32"/>
          <w:szCs w:val="32"/>
          <w:lang w:val="en-US" w:eastAsia="zh-CN"/>
        </w:rPr>
        <w:t>2022年度预算编制阶段，组织对</w:t>
      </w:r>
      <w:r>
        <w:rPr>
          <w:rFonts w:hint="eastAsia" w:ascii="仿宋" w:hAnsi="仿宋" w:eastAsia="仿宋"/>
          <w:color w:val="000000"/>
          <w:sz w:val="32"/>
          <w:szCs w:val="32"/>
          <w:lang w:eastAsia="zh-CN"/>
        </w:rPr>
        <w:t>艾滋病综合防治项目等单位工作项目开展了事前绩效评估，编制了绩效目标。预算执行后对单位整体支出和项目开展绩效自评，详见第四部分附件。</w:t>
      </w:r>
    </w:p>
    <w:p>
      <w:pPr>
        <w:spacing w:line="600" w:lineRule="exact"/>
        <w:ind w:firstLine="64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从总体评价来看，各项目申报和支出基本符合工作实际，项目预算绩效完成情况较好，资金支出基本满足预期，但进度稍缓。</w:t>
      </w:r>
    </w:p>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keepNext/>
        <w:keepLines/>
        <w:pageBreakBefore w:val="0"/>
        <w:widowControl/>
        <w:kinsoku w:val="0"/>
        <w:wordWrap/>
        <w:overflowPunct/>
        <w:topLinePunct w:val="0"/>
        <w:autoSpaceDE w:val="0"/>
        <w:autoSpaceDN w:val="0"/>
        <w:bidi w:val="0"/>
        <w:adjustRightInd/>
        <w:snapToGrid/>
        <w:spacing w:line="579" w:lineRule="auto"/>
        <w:jc w:val="center"/>
        <w:textAlignment w:val="baseline"/>
        <w:rPr>
          <w:rFonts w:ascii="黑体" w:hAnsi="黑体" w:eastAsia="黑体" w:cs="黑体"/>
        </w:rPr>
      </w:pPr>
      <w:bookmarkStart w:id="67" w:name="_Toc19504"/>
      <w:bookmarkStart w:id="68" w:name="_Toc15377225"/>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jc w:val="both"/>
        <w:rPr>
          <w:rFonts w:ascii="仿宋" w:hAnsi="仿宋" w:eastAsia="仿宋"/>
          <w:color w:val="000000"/>
          <w:sz w:val="32"/>
          <w:szCs w:val="32"/>
        </w:rPr>
      </w:pPr>
      <w:r>
        <w:rPr>
          <w:rFonts w:ascii="仿宋" w:hAnsi="仿宋" w:eastAsia="仿宋"/>
          <w:b/>
          <w:bCs/>
          <w:color w:val="000000"/>
          <w:sz w:val="32"/>
          <w:szCs w:val="32"/>
        </w:rPr>
        <w:t>8</w:t>
      </w:r>
      <w:r>
        <w:rPr>
          <w:rFonts w:hint="eastAsia" w:ascii="仿宋" w:hAnsi="仿宋" w:eastAsia="仿宋"/>
          <w:b/>
          <w:bCs/>
          <w:color w:val="000000"/>
          <w:sz w:val="32"/>
          <w:szCs w:val="32"/>
        </w:rPr>
        <w:t>.</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9.</w:t>
      </w:r>
      <w:r>
        <w:rPr>
          <w:rFonts w:hint="eastAsia" w:ascii="仿宋" w:hAnsi="仿宋" w:eastAsia="仿宋"/>
          <w:color w:val="000000"/>
          <w:sz w:val="32"/>
          <w:szCs w:val="32"/>
        </w:rPr>
        <w:t>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10.</w:t>
      </w:r>
      <w:r>
        <w:rPr>
          <w:rFonts w:hint="eastAsia" w:ascii="仿宋" w:hAnsi="仿宋" w:eastAsia="仿宋"/>
          <w:color w:val="000000"/>
          <w:sz w:val="32"/>
          <w:szCs w:val="32"/>
        </w:rPr>
        <w:t>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11.</w:t>
      </w:r>
      <w:r>
        <w:rPr>
          <w:rFonts w:hint="eastAsia" w:ascii="仿宋" w:hAnsi="仿宋" w:eastAsia="仿宋"/>
          <w:color w:val="000000"/>
          <w:sz w:val="32"/>
          <w:szCs w:val="32"/>
        </w:rPr>
        <w:t>卫生健康支出（210）公共卫生（21004）疾病预防控制机构（2100401）：反映卫生健康部门所属疾病预防控制机构的支出。</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12.</w:t>
      </w:r>
      <w:r>
        <w:rPr>
          <w:rFonts w:hint="eastAsia" w:ascii="仿宋" w:hAnsi="仿宋" w:eastAsia="仿宋"/>
          <w:color w:val="000000"/>
          <w:sz w:val="32"/>
          <w:szCs w:val="32"/>
        </w:rPr>
        <w:t>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13.</w:t>
      </w:r>
      <w:r>
        <w:rPr>
          <w:rFonts w:hint="eastAsia" w:ascii="仿宋" w:hAnsi="仿宋" w:eastAsia="仿宋"/>
          <w:color w:val="000000"/>
          <w:sz w:val="32"/>
          <w:szCs w:val="32"/>
        </w:rPr>
        <w:t>卫生健康支出（210）公共卫生（21004）重大公共卫生服务（2100409）：反映重大疾病、重大传染病预防控制等重大公共卫生服务项目支出。</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14.</w:t>
      </w:r>
      <w:r>
        <w:rPr>
          <w:rFonts w:hint="eastAsia" w:ascii="仿宋" w:hAnsi="仿宋" w:eastAsia="仿宋"/>
          <w:color w:val="000000"/>
          <w:sz w:val="32"/>
          <w:szCs w:val="32"/>
        </w:rPr>
        <w:t>卫生健康支出（210）公共卫生（21004）其他公共卫生支出（2100499）：其他公共卫生支出反映除上述项目以外的其他用于公共卫生方面的支出。</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rPr>
        <w:t>15.</w:t>
      </w:r>
      <w:r>
        <w:rPr>
          <w:rFonts w:hint="eastAsia" w:ascii="仿宋" w:hAnsi="仿宋" w:eastAsia="仿宋"/>
          <w:color w:val="000000"/>
          <w:sz w:val="32"/>
          <w:szCs w:val="32"/>
        </w:rPr>
        <w:t>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lang w:val="en-US" w:eastAsia="zh-CN"/>
        </w:rPr>
        <w:t xml:space="preserve">    </w:t>
      </w:r>
      <w:r>
        <w:rPr>
          <w:rFonts w:hint="eastAsia" w:ascii="仿宋" w:hAnsi="仿宋" w:eastAsia="仿宋"/>
          <w:b/>
          <w:bCs/>
          <w:color w:val="000000"/>
          <w:sz w:val="32"/>
          <w:szCs w:val="32"/>
          <w:lang w:val="en-US" w:eastAsia="zh-CN"/>
        </w:rPr>
        <w:t>16.</w:t>
      </w:r>
      <w:r>
        <w:rPr>
          <w:rFonts w:hint="eastAsia" w:ascii="仿宋" w:hAnsi="仿宋" w:eastAsia="仿宋"/>
          <w:color w:val="000000"/>
          <w:sz w:val="32"/>
          <w:szCs w:val="32"/>
        </w:rPr>
        <w:t>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17.</w:t>
      </w:r>
      <w:r>
        <w:rPr>
          <w:rFonts w:hint="eastAsia" w:ascii="仿宋" w:hAnsi="仿宋" w:eastAsia="仿宋"/>
          <w:color w:val="000000"/>
          <w:sz w:val="32"/>
          <w:szCs w:val="32"/>
        </w:rPr>
        <w:t>基本支出：指为保障机构正常运转、完成日常工作任务而发生的人员支出和公用支出。</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lang w:val="en-US" w:eastAsia="zh-CN"/>
        </w:rPr>
        <w:t>18</w:t>
      </w:r>
      <w:r>
        <w:rPr>
          <w:rFonts w:hint="eastAsia" w:ascii="仿宋" w:hAnsi="仿宋" w:eastAsia="仿宋"/>
          <w:b/>
          <w:bCs/>
          <w:color w:val="000000"/>
          <w:sz w:val="32"/>
          <w:szCs w:val="32"/>
        </w:rPr>
        <w:t>.</w:t>
      </w:r>
      <w:r>
        <w:rPr>
          <w:rFonts w:hint="eastAsia" w:ascii="仿宋" w:hAnsi="仿宋" w:eastAsia="仿宋"/>
          <w:color w:val="000000"/>
          <w:sz w:val="32"/>
          <w:szCs w:val="32"/>
        </w:rPr>
        <w:t xml:space="preserve">项目支出：指在基本支出之外为完成特定行政任务和事业发展目标所发生的支出。 </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9</w:t>
      </w:r>
      <w:r>
        <w:rPr>
          <w:rFonts w:hint="eastAsia" w:ascii="仿宋" w:hAnsi="仿宋" w:eastAsia="仿宋"/>
          <w:b/>
          <w:bCs/>
          <w:color w:val="000000"/>
          <w:sz w:val="32"/>
          <w:szCs w:val="32"/>
        </w:rPr>
        <w:t>.</w:t>
      </w:r>
      <w:r>
        <w:rPr>
          <w:rFonts w:hint="eastAsia" w:ascii="仿宋" w:hAnsi="仿宋" w:eastAsia="仿宋"/>
          <w:color w:val="000000"/>
          <w:sz w:val="32"/>
          <w:szCs w:val="32"/>
        </w:rPr>
        <w:t>经营支出：指事业单位在专业业务活动及其辅助活动之外开展非独立核算经营活动发生的支出。</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lang w:val="en-US" w:eastAsia="zh-CN"/>
        </w:rPr>
        <w:t>20</w:t>
      </w:r>
      <w:r>
        <w:rPr>
          <w:rFonts w:hint="eastAsia" w:ascii="仿宋" w:hAnsi="仿宋" w:eastAsia="仿宋"/>
          <w:b/>
          <w:bCs/>
          <w:color w:val="000000"/>
          <w:sz w:val="32"/>
          <w:szCs w:val="32"/>
        </w:rPr>
        <w:t>.</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jc w:val="both"/>
        <w:rPr>
          <w:rFonts w:ascii="仿宋" w:hAnsi="仿宋" w:eastAsia="仿宋"/>
          <w:color w:val="000000"/>
          <w:sz w:val="32"/>
          <w:szCs w:val="32"/>
        </w:rPr>
      </w:pPr>
      <w:r>
        <w:rPr>
          <w:rFonts w:hint="eastAsia" w:ascii="仿宋" w:hAnsi="仿宋" w:eastAsia="仿宋"/>
          <w:b/>
          <w:bCs/>
          <w:color w:val="000000"/>
          <w:sz w:val="32"/>
          <w:szCs w:val="32"/>
        </w:rPr>
        <w:t>2</w:t>
      </w:r>
      <w:r>
        <w:rPr>
          <w:rFonts w:hint="eastAsia" w:ascii="仿宋" w:hAnsi="仿宋" w:eastAsia="仿宋"/>
          <w:b/>
          <w:bCs/>
          <w:color w:val="000000"/>
          <w:sz w:val="32"/>
          <w:szCs w:val="32"/>
          <w:lang w:val="en-US" w:eastAsia="zh-CN"/>
        </w:rPr>
        <w:t>1</w:t>
      </w:r>
      <w:r>
        <w:rPr>
          <w:rFonts w:hint="eastAsia" w:ascii="仿宋" w:hAnsi="仿宋" w:eastAsia="仿宋"/>
          <w:b/>
          <w:bCs/>
          <w:color w:val="000000"/>
          <w:sz w:val="32"/>
          <w:szCs w:val="32"/>
        </w:rPr>
        <w:t>.</w:t>
      </w:r>
      <w:r>
        <w:rPr>
          <w:rFonts w:hint="eastAsia" w:ascii="仿宋" w:hAnsi="仿宋"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jc w:val="both"/>
        <w:rPr>
          <w:rFonts w:ascii="仿宋_GB2312" w:eastAsia="仿宋_GB2312" w:cs="黑体"/>
          <w:sz w:val="32"/>
          <w:szCs w:val="32"/>
        </w:rPr>
      </w:pPr>
      <w:r>
        <w:rPr>
          <w:rFonts w:hint="eastAsia" w:ascii="仿宋" w:hAnsi="仿宋" w:eastAsia="仿宋"/>
          <w:b/>
          <w:bCs/>
          <w:color w:val="000000"/>
          <w:sz w:val="32"/>
          <w:szCs w:val="32"/>
        </w:rPr>
        <w:t>2</w:t>
      </w:r>
      <w:r>
        <w:rPr>
          <w:rFonts w:hint="eastAsia" w:ascii="仿宋" w:hAnsi="仿宋" w:eastAsia="仿宋"/>
          <w:b/>
          <w:bCs/>
          <w:color w:val="000000"/>
          <w:sz w:val="32"/>
          <w:szCs w:val="32"/>
          <w:lang w:val="en-US" w:eastAsia="zh-CN"/>
        </w:rPr>
        <w:t>2</w:t>
      </w:r>
      <w:r>
        <w:rPr>
          <w:rFonts w:hint="eastAsia" w:ascii="仿宋" w:hAnsi="仿宋" w:eastAsia="仿宋"/>
          <w:b/>
          <w:bCs/>
          <w:color w:val="000000"/>
          <w:sz w:val="32"/>
          <w:szCs w:val="32"/>
        </w:rPr>
        <w:t>.</w:t>
      </w:r>
      <w:r>
        <w:rPr>
          <w:rFonts w:hint="eastAsia" w:ascii="仿宋" w:hAnsi="仿宋" w:eastAsia="仿宋"/>
          <w:color w:val="000000"/>
          <w:sz w:val="32"/>
          <w:szCs w:val="32"/>
        </w:rPr>
        <w:t>财政应返还额度：为行政事业单位会计核算科目，用于核算实行国库集中支付的行政事业单位应收财政返还的资金额度。</w:t>
      </w:r>
    </w:p>
    <w:p>
      <w:pPr>
        <w:widowControl/>
        <w:jc w:val="left"/>
        <w:rPr>
          <w:rStyle w:val="28"/>
          <w:rFonts w:ascii="黑体" w:hAnsi="黑体" w:eastAsia="黑体"/>
        </w:rPr>
      </w:pPr>
      <w:r>
        <w:rPr>
          <w:rStyle w:val="28"/>
          <w:rFonts w:ascii="黑体" w:hAnsi="黑体" w:eastAsia="黑体"/>
        </w:rPr>
        <w:br w:type="page"/>
      </w:r>
    </w:p>
    <w:p>
      <w:pPr>
        <w:pStyle w:val="3"/>
        <w:keepNext/>
        <w:keepLines/>
        <w:pageBreakBefore w:val="0"/>
        <w:widowControl/>
        <w:kinsoku w:val="0"/>
        <w:wordWrap/>
        <w:overflowPunct/>
        <w:topLinePunct w:val="0"/>
        <w:autoSpaceDE w:val="0"/>
        <w:autoSpaceDN w:val="0"/>
        <w:bidi w:val="0"/>
        <w:adjustRightInd/>
        <w:snapToGrid/>
        <w:spacing w:line="579" w:lineRule="auto"/>
        <w:jc w:val="center"/>
        <w:textAlignment w:val="baseline"/>
        <w:rPr>
          <w:rFonts w:ascii="黑体" w:hAnsi="黑体" w:eastAsia="黑体" w:cs="黑体"/>
        </w:rPr>
      </w:pPr>
      <w:bookmarkStart w:id="70" w:name="_Toc111208510"/>
      <w:bookmarkStart w:id="71" w:name="_Toc1702"/>
      <w:r>
        <w:rPr>
          <w:rFonts w:hint="eastAsia" w:ascii="黑体" w:hAnsi="黑体" w:eastAsia="黑体" w:cs="黑体"/>
        </w:rPr>
        <w:t>第四部分 附件</w:t>
      </w:r>
      <w:bookmarkEnd w:id="70"/>
      <w:bookmarkEnd w:id="71"/>
    </w:p>
    <w:p>
      <w:pPr>
        <w:spacing w:before="373" w:line="220" w:lineRule="auto"/>
        <w:jc w:val="center"/>
        <w:rPr>
          <w:rFonts w:hint="eastAsia" w:ascii="宋体" w:eastAsia="宋体" w:cs="宋体"/>
          <w:b/>
          <w:bCs/>
          <w:sz w:val="44"/>
          <w:szCs w:val="44"/>
          <w:lang w:eastAsia="zh-CN" w:bidi="ar-SA"/>
        </w:rPr>
      </w:pPr>
      <w:r>
        <w:rPr>
          <w:rFonts w:hint="eastAsia" w:ascii="宋体" w:eastAsia="宋体" w:cs="宋体"/>
          <w:b/>
          <w:bCs/>
          <w:sz w:val="44"/>
          <w:szCs w:val="44"/>
          <w:lang w:eastAsia="zh-CN" w:bidi="ar-SA"/>
        </w:rPr>
        <w:t>松潘县疾病预防控制中心</w:t>
      </w:r>
    </w:p>
    <w:p>
      <w:pPr>
        <w:spacing w:before="373" w:line="220" w:lineRule="auto"/>
        <w:jc w:val="center"/>
        <w:rPr>
          <w:rFonts w:ascii="Arial" w:hAnsi="Arial"/>
          <w:b/>
          <w:bCs/>
          <w:sz w:val="44"/>
          <w:szCs w:val="44"/>
        </w:rPr>
      </w:pPr>
      <w:r>
        <w:rPr>
          <w:rFonts w:hint="eastAsia" w:ascii="宋体" w:eastAsia="宋体" w:cs="宋体"/>
          <w:b/>
          <w:bCs/>
          <w:sz w:val="44"/>
          <w:szCs w:val="44"/>
          <w:lang w:bidi="ar-SA"/>
        </w:rPr>
        <w:t>202</w:t>
      </w:r>
      <w:r>
        <w:rPr>
          <w:rFonts w:hint="eastAsia" w:ascii="宋体" w:eastAsia="宋体" w:cs="宋体"/>
          <w:b/>
          <w:bCs/>
          <w:sz w:val="44"/>
          <w:szCs w:val="44"/>
          <w:lang w:val="en-US" w:eastAsia="zh-CN" w:bidi="ar-SA"/>
        </w:rPr>
        <w:t>2</w:t>
      </w:r>
      <w:r>
        <w:rPr>
          <w:rFonts w:hint="eastAsia" w:ascii="宋体" w:eastAsia="宋体" w:cs="宋体"/>
          <w:b/>
          <w:bCs/>
          <w:sz w:val="44"/>
          <w:szCs w:val="44"/>
          <w:lang w:bidi="ar-SA"/>
        </w:rPr>
        <w:t>年县级部门整体支出绩效评价报告</w:t>
      </w:r>
    </w:p>
    <w:p>
      <w:pPr>
        <w:spacing w:before="100" w:line="223" w:lineRule="auto"/>
        <w:ind w:firstLine="0"/>
        <w:rPr>
          <w:rFonts w:hint="eastAsia" w:ascii="黑体" w:eastAsia="黑体" w:cs="黑体"/>
          <w:spacing w:val="23"/>
          <w:sz w:val="31"/>
          <w:szCs w:val="31"/>
          <w:lang w:bidi="ar-SA"/>
        </w:rPr>
      </w:pPr>
    </w:p>
    <w:p>
      <w:pPr>
        <w:spacing w:before="100" w:line="223" w:lineRule="auto"/>
        <w:ind w:firstLine="735" w:firstLineChars="200"/>
        <w:rPr>
          <w:rFonts w:hint="eastAsia" w:ascii="黑体" w:eastAsia="黑体" w:cs="黑体"/>
          <w:b/>
          <w:bCs/>
          <w:sz w:val="32"/>
          <w:szCs w:val="32"/>
          <w:lang w:bidi="ar-SA"/>
        </w:rPr>
      </w:pPr>
      <w:r>
        <w:rPr>
          <w:rFonts w:hint="eastAsia" w:ascii="黑体" w:eastAsia="黑体" w:cs="黑体"/>
          <w:b/>
          <w:bCs/>
          <w:spacing w:val="23"/>
          <w:sz w:val="32"/>
          <w:szCs w:val="32"/>
          <w:lang w:bidi="ar-SA"/>
        </w:rPr>
        <w:t>一</w:t>
      </w:r>
      <w:r>
        <w:rPr>
          <w:rFonts w:hint="eastAsia" w:ascii="黑体" w:eastAsia="黑体" w:cs="黑体"/>
          <w:b/>
          <w:bCs/>
          <w:spacing w:val="21"/>
          <w:sz w:val="32"/>
          <w:szCs w:val="32"/>
          <w:lang w:bidi="ar-SA"/>
        </w:rPr>
        <w:t>、 部门</w:t>
      </w:r>
      <w:r>
        <w:rPr>
          <w:rFonts w:hint="eastAsia" w:ascii="黑体" w:eastAsia="黑体" w:cs="黑体"/>
          <w:b/>
          <w:bCs/>
          <w:spacing w:val="21"/>
          <w:sz w:val="32"/>
          <w:szCs w:val="32"/>
          <w:lang w:eastAsia="zh-CN" w:bidi="ar-SA"/>
        </w:rPr>
        <w:t>（</w:t>
      </w:r>
      <w:r>
        <w:rPr>
          <w:rFonts w:hint="eastAsia" w:ascii="黑体" w:eastAsia="黑体" w:cs="黑体"/>
          <w:b/>
          <w:bCs/>
          <w:spacing w:val="21"/>
          <w:sz w:val="32"/>
          <w:szCs w:val="32"/>
          <w:lang w:bidi="ar-SA"/>
        </w:rPr>
        <w:t>单位</w:t>
      </w:r>
      <w:r>
        <w:rPr>
          <w:rFonts w:hint="eastAsia" w:ascii="黑体" w:eastAsia="黑体" w:cs="黑体"/>
          <w:b/>
          <w:bCs/>
          <w:spacing w:val="21"/>
          <w:sz w:val="32"/>
          <w:szCs w:val="32"/>
          <w:lang w:eastAsia="zh-CN" w:bidi="ar-SA"/>
        </w:rPr>
        <w:t>）</w:t>
      </w:r>
      <w:r>
        <w:rPr>
          <w:rFonts w:hint="eastAsia" w:ascii="黑体" w:eastAsia="黑体" w:cs="黑体"/>
          <w:b/>
          <w:bCs/>
          <w:spacing w:val="21"/>
          <w:sz w:val="32"/>
          <w:szCs w:val="32"/>
          <w:lang w:bidi="ar-SA"/>
        </w:rPr>
        <w:t>概况</w:t>
      </w:r>
    </w:p>
    <w:p>
      <w:pPr>
        <w:spacing w:before="210" w:line="220" w:lineRule="auto"/>
        <w:ind w:firstLine="743" w:firstLineChars="200"/>
        <w:rPr>
          <w:rFonts w:hint="eastAsia" w:ascii="仿宋" w:eastAsia="仿宋" w:cs="仿宋"/>
          <w:b/>
          <w:bCs/>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19"/>
          <w:sz w:val="32"/>
          <w:szCs w:val="32"/>
          <w:lang w:bidi="ar-SA"/>
        </w:rPr>
        <w:t>一</w:t>
      </w:r>
      <w:r>
        <w:rPr>
          <w:rFonts w:hint="eastAsia" w:ascii="仿宋" w:eastAsia="仿宋" w:cs="仿宋"/>
          <w:b/>
          <w:bCs/>
          <w:spacing w:val="19"/>
          <w:sz w:val="32"/>
          <w:szCs w:val="32"/>
          <w:lang w:eastAsia="zh-CN" w:bidi="ar-SA"/>
        </w:rPr>
        <w:t>）</w:t>
      </w:r>
      <w:r>
        <w:rPr>
          <w:rFonts w:hint="eastAsia" w:ascii="仿宋" w:eastAsia="仿宋" w:cs="仿宋"/>
          <w:b/>
          <w:bCs/>
          <w:spacing w:val="19"/>
          <w:sz w:val="32"/>
          <w:szCs w:val="32"/>
          <w:lang w:bidi="ar-SA"/>
        </w:rPr>
        <w:t xml:space="preserve"> 机构组成。</w:t>
      </w:r>
    </w:p>
    <w:p>
      <w:pPr>
        <w:widowControl/>
        <w:adjustRightInd w:val="0"/>
        <w:snapToGrid w:val="0"/>
        <w:spacing w:line="580" w:lineRule="exact"/>
        <w:ind w:firstLine="640" w:firstLineChars="200"/>
        <w:contextualSpacing/>
        <w:jc w:val="both"/>
        <w:rPr>
          <w:rFonts w:hint="eastAsia" w:ascii="仿宋" w:eastAsia="仿宋" w:cs="仿宋"/>
          <w:spacing w:val="25"/>
          <w:sz w:val="31"/>
          <w:szCs w:val="31"/>
          <w:lang w:bidi="ar-SA"/>
        </w:rPr>
      </w:pPr>
      <w:r>
        <w:rPr>
          <w:rFonts w:hint="eastAsia" w:ascii="仿宋_GB2312" w:hAnsi="仿宋_GB2312" w:eastAsia="仿宋_GB2312" w:cs="仿宋_GB2312"/>
          <w:sz w:val="32"/>
          <w:szCs w:val="32"/>
          <w:highlight w:val="none"/>
          <w:lang w:val="en-US" w:eastAsia="zh-CN"/>
        </w:rPr>
        <w:t>我单位为松潘县卫健局下属二级单位，内设办公室、财务科、党建办、地方病与重传办、免疫规划科、检验科、传管科、卫生科等11个科室。</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二</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机构职能。</w:t>
      </w:r>
    </w:p>
    <w:p>
      <w:pPr>
        <w:widowControl/>
        <w:adjustRightInd w:val="0"/>
        <w:snapToGrid w:val="0"/>
        <w:spacing w:line="580" w:lineRule="exact"/>
        <w:ind w:firstLine="640"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eastAsia="zh-CN"/>
        </w:rPr>
        <w:t>松潘县疾病预防控制中心属公益一类事业单位，主要职能是疾病预防控制，突发公共卫生</w:t>
      </w:r>
      <w:r>
        <w:rPr>
          <w:rFonts w:hint="eastAsia" w:ascii="仿宋_GB2312" w:hAnsi="仿宋_GB2312" w:eastAsia="仿宋_GB2312" w:cs="仿宋_GB2312"/>
          <w:sz w:val="32"/>
          <w:szCs w:val="32"/>
          <w:highlight w:val="none"/>
          <w:lang w:val="en-US" w:eastAsia="zh-CN"/>
        </w:rPr>
        <w:t>事件</w:t>
      </w:r>
      <w:r>
        <w:rPr>
          <w:rFonts w:hint="eastAsia" w:ascii="仿宋_GB2312" w:hAnsi="仿宋_GB2312" w:eastAsia="仿宋_GB2312" w:cs="仿宋_GB2312"/>
          <w:sz w:val="32"/>
          <w:szCs w:val="32"/>
          <w:highlight w:val="none"/>
          <w:lang w:val="zh-CN" w:eastAsia="zh-CN"/>
        </w:rPr>
        <w:t>应急处置、疫情及健康相关因素信息管理，健康教育与健康促进等。</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三</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人员概况。</w:t>
      </w:r>
    </w:p>
    <w:p>
      <w:pPr>
        <w:widowControl/>
        <w:adjustRightInd w:val="0"/>
        <w:snapToGrid w:val="0"/>
        <w:spacing w:line="580" w:lineRule="exact"/>
        <w:ind w:firstLine="640" w:firstLineChars="200"/>
        <w:contextualSpacing/>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2022年12月31日，</w:t>
      </w:r>
      <w:r>
        <w:rPr>
          <w:rFonts w:hint="eastAsia" w:ascii="仿宋_GB2312" w:hAnsi="仿宋_GB2312" w:eastAsia="仿宋_GB2312" w:cs="仿宋_GB2312"/>
          <w:sz w:val="32"/>
          <w:szCs w:val="32"/>
          <w:highlight w:val="none"/>
          <w:lang w:val="zh-CN" w:eastAsia="zh-CN"/>
        </w:rPr>
        <w:t>我单位编制数35，较上年度增加0，在编人数3</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较上年度增加</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eastAsia="zh-CN"/>
        </w:rPr>
        <w:t>人，</w:t>
      </w:r>
      <w:r>
        <w:rPr>
          <w:rFonts w:hint="eastAsia" w:ascii="仿宋_GB2312" w:hAnsi="仿宋_GB2312" w:eastAsia="仿宋_GB2312" w:cs="仿宋_GB2312"/>
          <w:sz w:val="32"/>
          <w:szCs w:val="32"/>
          <w:highlight w:val="none"/>
          <w:lang w:val="en-US" w:eastAsia="zh-CN"/>
        </w:rPr>
        <w:t>专业技术人员31人，卫生技术人员26人（其中3人为领导干部）；本科25人，大专8人，中专及以下1人；高级技术职称2人，中级技术职称3人，初级技术职称13人。</w:t>
      </w:r>
    </w:p>
    <w:p>
      <w:pPr>
        <w:spacing w:before="100" w:line="223" w:lineRule="auto"/>
        <w:ind w:firstLine="735" w:firstLineChars="200"/>
        <w:rPr>
          <w:rFonts w:hint="eastAsia" w:ascii="黑体" w:eastAsia="黑体" w:cs="黑体"/>
          <w:b/>
          <w:bCs/>
          <w:spacing w:val="23"/>
          <w:sz w:val="32"/>
          <w:szCs w:val="32"/>
          <w:lang w:bidi="ar-SA"/>
        </w:rPr>
      </w:pPr>
      <w:r>
        <w:rPr>
          <w:rFonts w:hint="eastAsia" w:ascii="黑体" w:eastAsia="黑体" w:cs="黑体"/>
          <w:b/>
          <w:bCs/>
          <w:spacing w:val="23"/>
          <w:sz w:val="32"/>
          <w:szCs w:val="32"/>
          <w:lang w:bidi="ar-SA"/>
        </w:rPr>
        <w:t>二、部门财政资金收支情况</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一</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部门财政资金收入情况。</w:t>
      </w:r>
    </w:p>
    <w:p>
      <w:pPr>
        <w:widowControl/>
        <w:adjustRightInd w:val="0"/>
        <w:snapToGrid w:val="0"/>
        <w:spacing w:line="580" w:lineRule="exact"/>
        <w:ind w:firstLine="640" w:firstLineChars="200"/>
        <w:contextualSpacing/>
        <w:jc w:val="both"/>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本单位2022年财政预算收入为1290.93万元（资金中含上年度结转项目资金），其中人员经费为611.63万元，公用经费为24.03万元，项目经费为655.27万元。</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二</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部门财政资金支出情况。</w:t>
      </w:r>
    </w:p>
    <w:p>
      <w:pPr>
        <w:widowControl/>
        <w:adjustRightInd w:val="0"/>
        <w:snapToGrid w:val="0"/>
        <w:spacing w:line="580" w:lineRule="exact"/>
        <w:ind w:firstLine="640" w:firstLineChars="200"/>
        <w:contextualSpacing/>
        <w:jc w:val="left"/>
        <w:rPr>
          <w:rFonts w:hint="default" w:ascii="黑体" w:eastAsia="黑体" w:cs="宋体"/>
          <w:color w:val="000000"/>
          <w:kern w:val="0"/>
          <w:sz w:val="32"/>
          <w:szCs w:val="48"/>
          <w:highlight w:val="none"/>
          <w:shd w:val="clear" w:color="auto" w:fill="FFFFFF"/>
          <w:lang w:val="en-US" w:eastAsia="zh-CN"/>
        </w:rPr>
      </w:pPr>
      <w:r>
        <w:rPr>
          <w:rFonts w:hint="eastAsia" w:ascii="仿宋_GB2312" w:hAnsi="仿宋_GB2312" w:eastAsia="仿宋_GB2312" w:cs="仿宋_GB2312"/>
          <w:sz w:val="32"/>
          <w:szCs w:val="32"/>
          <w:highlight w:val="none"/>
          <w:lang w:val="en-US" w:eastAsia="zh-CN"/>
        </w:rPr>
        <w:t>本单位2022年财政拨款支出为1242.57万元，其中社会保障和就业支出为73.65万元，占比5.93%；卫生健康支出为1124.08万元，占比90.46%；住房保障支出为44.84万元，占比3.61%。（资金中含上年度结转项目资金）</w:t>
      </w:r>
    </w:p>
    <w:p>
      <w:pPr>
        <w:spacing w:before="100" w:line="223" w:lineRule="auto"/>
        <w:ind w:firstLine="735" w:firstLineChars="200"/>
        <w:rPr>
          <w:rFonts w:hint="eastAsia" w:ascii="黑体" w:eastAsia="黑体" w:cs="黑体"/>
          <w:b/>
          <w:bCs/>
          <w:spacing w:val="23"/>
          <w:sz w:val="32"/>
          <w:szCs w:val="32"/>
          <w:lang w:bidi="ar-SA"/>
        </w:rPr>
      </w:pPr>
      <w:r>
        <w:rPr>
          <w:rFonts w:hint="eastAsia" w:ascii="黑体" w:eastAsia="黑体" w:cs="黑体"/>
          <w:b/>
          <w:bCs/>
          <w:spacing w:val="23"/>
          <w:sz w:val="32"/>
          <w:szCs w:val="32"/>
          <w:lang w:bidi="ar-SA"/>
        </w:rPr>
        <w:t>三、部门整体预算绩效管理情况</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一</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部门预算管理。</w:t>
      </w:r>
    </w:p>
    <w:p>
      <w:pPr>
        <w:widowControl/>
        <w:adjustRightInd w:val="0"/>
        <w:snapToGrid w:val="0"/>
        <w:spacing w:line="580" w:lineRule="exact"/>
        <w:ind w:firstLine="640" w:firstLineChars="200"/>
        <w:contextualSpacing/>
        <w:jc w:val="both"/>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单位严格按照预算系统设定预算人员工资、保险缴费及日常公用经费，项目资金依据中央、省级、州级和县级相关文件做项目入库，确保预算编制的准确性，减少预算偏差。依据收到的上级资金使用方案文件和项目实施方案文件制定绩效目标和资金使用方案，项目实施过程中根据工作开展实际情况，适时进行预算调整和调剂，及时完成报账支付工作，力求实现项目预期目标，严守资金管理制度，确保控制资金合理合规使用，按照项目开展进度及时推进资金支付进度。</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二</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结果应用情况。</w:t>
      </w:r>
    </w:p>
    <w:p>
      <w:pPr>
        <w:widowControl/>
        <w:adjustRightInd w:val="0"/>
        <w:snapToGrid w:val="0"/>
        <w:spacing w:line="580" w:lineRule="exact"/>
        <w:ind w:firstLine="640" w:firstLineChars="200"/>
        <w:contextualSpacing/>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zh-CN" w:eastAsia="zh-CN"/>
        </w:rPr>
        <w:t>单位绩效自评报告工作完成后，将自评情况在单位公开栏公开，并</w:t>
      </w:r>
      <w:r>
        <w:rPr>
          <w:rFonts w:hint="eastAsia" w:ascii="仿宋_GB2312" w:hAnsi="仿宋_GB2312" w:eastAsia="仿宋_GB2312" w:cs="仿宋_GB2312"/>
          <w:sz w:val="32"/>
          <w:szCs w:val="32"/>
          <w:highlight w:val="none"/>
          <w:lang w:val="en-US" w:eastAsia="zh-CN"/>
        </w:rPr>
        <w:t>适时</w:t>
      </w:r>
      <w:r>
        <w:rPr>
          <w:rFonts w:hint="eastAsia" w:ascii="仿宋_GB2312" w:hAnsi="仿宋_GB2312" w:eastAsia="仿宋_GB2312" w:cs="仿宋_GB2312"/>
          <w:sz w:val="32"/>
          <w:szCs w:val="32"/>
          <w:highlight w:val="none"/>
          <w:lang w:val="zh-CN" w:eastAsia="zh-CN"/>
        </w:rPr>
        <w:t>组织全体职工召开项目绩效自评结果的分析报告会议，通过对年度各项目工作情况的评价分析</w:t>
      </w:r>
      <w:r>
        <w:rPr>
          <w:rFonts w:hint="eastAsia" w:ascii="仿宋_GB2312" w:hAnsi="仿宋_GB2312" w:eastAsia="仿宋_GB2312" w:cs="仿宋_GB2312"/>
          <w:sz w:val="32"/>
          <w:szCs w:val="32"/>
          <w:highlight w:val="none"/>
          <w:lang w:val="en-US" w:eastAsia="zh-CN"/>
        </w:rPr>
        <w:t>以及上级部门的评审反馈等，</w:t>
      </w:r>
      <w:r>
        <w:rPr>
          <w:rFonts w:hint="eastAsia" w:ascii="仿宋_GB2312" w:hAnsi="仿宋_GB2312" w:eastAsia="仿宋_GB2312" w:cs="仿宋_GB2312"/>
          <w:sz w:val="32"/>
          <w:szCs w:val="32"/>
          <w:highlight w:val="none"/>
          <w:lang w:val="zh-CN" w:eastAsia="zh-CN"/>
        </w:rPr>
        <w:t>找出工作中的优点和不足，扬优势补短板，更好地引导今后的项目工作开展，</w:t>
      </w:r>
      <w:r>
        <w:rPr>
          <w:rFonts w:hint="eastAsia" w:ascii="仿宋_GB2312" w:hAnsi="仿宋_GB2312" w:eastAsia="仿宋_GB2312" w:cs="仿宋_GB2312"/>
          <w:sz w:val="32"/>
          <w:szCs w:val="32"/>
          <w:highlight w:val="none"/>
          <w:lang w:val="en-US" w:eastAsia="zh-CN"/>
        </w:rPr>
        <w:t>规范项目实施过程监督，提高资金使用规范性和及时性。</w:t>
      </w:r>
    </w:p>
    <w:p>
      <w:pPr>
        <w:spacing w:before="100" w:line="223" w:lineRule="auto"/>
        <w:ind w:firstLine="735" w:firstLineChars="200"/>
        <w:rPr>
          <w:rFonts w:hint="eastAsia" w:ascii="黑体" w:eastAsia="黑体" w:cs="黑体"/>
          <w:b/>
          <w:bCs/>
          <w:spacing w:val="23"/>
          <w:sz w:val="32"/>
          <w:szCs w:val="32"/>
          <w:lang w:bidi="ar-SA"/>
        </w:rPr>
      </w:pPr>
      <w:r>
        <w:rPr>
          <w:rFonts w:hint="eastAsia" w:ascii="黑体" w:eastAsia="黑体" w:cs="黑体"/>
          <w:b/>
          <w:bCs/>
          <w:spacing w:val="23"/>
          <w:sz w:val="32"/>
          <w:szCs w:val="32"/>
          <w:lang w:bidi="ar-SA"/>
        </w:rPr>
        <w:t>四、评价结论及建议</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一</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评价结论。</w:t>
      </w:r>
    </w:p>
    <w:p>
      <w:pPr>
        <w:widowControl/>
        <w:adjustRightInd w:val="0"/>
        <w:snapToGrid w:val="0"/>
        <w:spacing w:line="580" w:lineRule="exact"/>
        <w:ind w:firstLine="640" w:firstLineChars="200"/>
        <w:contextualSpacing/>
        <w:jc w:val="both"/>
        <w:rPr>
          <w:rFonts w:hint="default"/>
          <w:color w:val="auto"/>
          <w:lang w:val="en-US" w:eastAsia="zh-CN"/>
        </w:rPr>
      </w:pPr>
      <w:r>
        <w:rPr>
          <w:rFonts w:hint="eastAsia" w:ascii="仿宋_GB2312" w:hAnsi="仿宋_GB2312" w:eastAsia="仿宋_GB2312" w:cs="仿宋_GB2312"/>
          <w:color w:val="auto"/>
          <w:sz w:val="32"/>
          <w:szCs w:val="32"/>
          <w:highlight w:val="none"/>
          <w:lang w:val="en-US" w:eastAsia="zh-CN"/>
        </w:rPr>
        <w:t>2022年</w:t>
      </w:r>
      <w:r>
        <w:rPr>
          <w:rFonts w:hint="eastAsia" w:ascii="仿宋_GB2312" w:hAnsi="仿宋_GB2312" w:eastAsia="仿宋_GB2312" w:cs="仿宋_GB2312"/>
          <w:color w:val="auto"/>
          <w:sz w:val="32"/>
          <w:szCs w:val="32"/>
          <w:highlight w:val="none"/>
          <w:lang w:val="zh-CN" w:eastAsia="zh-CN"/>
        </w:rPr>
        <w:t>单位自评得分</w:t>
      </w:r>
      <w:r>
        <w:rPr>
          <w:rFonts w:hint="eastAsia" w:ascii="仿宋_GB2312" w:hAnsi="仿宋_GB2312" w:eastAsia="仿宋_GB2312" w:cs="仿宋_GB2312"/>
          <w:color w:val="auto"/>
          <w:sz w:val="32"/>
          <w:szCs w:val="32"/>
          <w:highlight w:val="none"/>
          <w:lang w:val="en-US" w:eastAsia="zh-CN"/>
        </w:rPr>
        <w:t>80分，其中目标制定10分，目标实现5分，执行进度0分，同步调整3分，及时处置3分，预算结余率1分，部门预算项目绩效16分（单位选取2022年县级配套新冠感染项目和慢病示范区项目，自评换算得分），专项预算绩效24分（单位选取2022年致病菌项目和艾滋病防治项目自评换算得分），绩效结果应用14分，自评质量4分。</w:t>
      </w:r>
    </w:p>
    <w:p>
      <w:pPr>
        <w:spacing w:before="210" w:line="220" w:lineRule="auto"/>
        <w:ind w:firstLine="743" w:firstLineChars="200"/>
        <w:rPr>
          <w:rFonts w:hint="eastAsia" w:ascii="仿宋" w:eastAsia="仿宋" w:cs="仿宋"/>
          <w:b/>
          <w:bCs/>
          <w:spacing w:val="25"/>
          <w:sz w:val="32"/>
          <w:szCs w:val="32"/>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二</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存在问题。</w:t>
      </w:r>
    </w:p>
    <w:p>
      <w:pPr>
        <w:widowControl/>
        <w:adjustRightInd w:val="0"/>
        <w:snapToGrid w:val="0"/>
        <w:spacing w:line="580" w:lineRule="exact"/>
        <w:ind w:firstLine="643"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sz w:val="32"/>
          <w:szCs w:val="32"/>
          <w:highlight w:val="none"/>
          <w:lang w:val="en-US" w:eastAsia="zh-CN"/>
        </w:rPr>
        <w:t>预算执行进度未得分，在6、9、11月实际支出进度未完全达到应达进度。</w:t>
      </w:r>
    </w:p>
    <w:p>
      <w:pPr>
        <w:widowControl/>
        <w:adjustRightInd w:val="0"/>
        <w:snapToGrid w:val="0"/>
        <w:spacing w:line="580" w:lineRule="exact"/>
        <w:ind w:firstLine="643"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sz w:val="32"/>
          <w:szCs w:val="32"/>
          <w:highlight w:val="none"/>
          <w:lang w:val="en-US" w:eastAsia="zh-CN"/>
        </w:rPr>
        <w:t>预算结余率未满分，一些项目资金支付进度偏低，结转次年使用。</w:t>
      </w:r>
    </w:p>
    <w:p>
      <w:pPr>
        <w:widowControl/>
        <w:adjustRightInd w:val="0"/>
        <w:snapToGrid w:val="0"/>
        <w:spacing w:line="580" w:lineRule="exact"/>
        <w:ind w:firstLine="643" w:firstLineChars="200"/>
        <w:contextualSpacing/>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sz w:val="32"/>
          <w:szCs w:val="32"/>
          <w:highlight w:val="none"/>
          <w:lang w:val="en-US" w:eastAsia="zh-CN"/>
        </w:rPr>
        <w:t>各项目预算科目无法精准预算，未根据工作实际进行预算调整，导致预算执行出现偏离；部分项目资金未随项目任务或实施方案同步下达，导致资金执行进度落后于项目实施。</w:t>
      </w:r>
    </w:p>
    <w:p>
      <w:pPr>
        <w:spacing w:before="219" w:line="220" w:lineRule="auto"/>
        <w:ind w:firstLine="743" w:firstLineChars="200"/>
        <w:rPr>
          <w:rFonts w:hint="eastAsia" w:ascii="仿宋" w:eastAsia="仿宋" w:cs="仿宋"/>
          <w:sz w:val="31"/>
          <w:szCs w:val="31"/>
          <w:lang w:bidi="ar-SA"/>
        </w:rPr>
      </w:pP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三</w:t>
      </w:r>
      <w:r>
        <w:rPr>
          <w:rFonts w:hint="eastAsia" w:ascii="仿宋" w:eastAsia="仿宋" w:cs="仿宋"/>
          <w:b/>
          <w:bCs/>
          <w:spacing w:val="25"/>
          <w:sz w:val="32"/>
          <w:szCs w:val="32"/>
          <w:lang w:eastAsia="zh-CN" w:bidi="ar-SA"/>
        </w:rPr>
        <w:t>）</w:t>
      </w:r>
      <w:r>
        <w:rPr>
          <w:rFonts w:hint="eastAsia" w:ascii="仿宋" w:eastAsia="仿宋" w:cs="仿宋"/>
          <w:b/>
          <w:bCs/>
          <w:spacing w:val="25"/>
          <w:sz w:val="32"/>
          <w:szCs w:val="32"/>
          <w:lang w:bidi="ar-SA"/>
        </w:rPr>
        <w:t xml:space="preserve"> 改进建议。</w:t>
      </w:r>
    </w:p>
    <w:p>
      <w:pPr>
        <w:widowControl/>
        <w:adjustRightInd w:val="0"/>
        <w:snapToGrid w:val="0"/>
        <w:spacing w:line="580" w:lineRule="exact"/>
        <w:ind w:firstLine="643" w:firstLineChars="200"/>
        <w:contextualSpacing/>
        <w:jc w:val="both"/>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sz w:val="32"/>
          <w:szCs w:val="32"/>
          <w:highlight w:val="none"/>
          <w:lang w:val="en-US" w:eastAsia="zh-CN"/>
        </w:rPr>
        <w:t>加强预算编制工作，提高预算编制的准确性，减少预算数与执行数偏差。</w:t>
      </w:r>
    </w:p>
    <w:p>
      <w:pPr>
        <w:widowControl/>
        <w:adjustRightInd w:val="0"/>
        <w:snapToGrid w:val="0"/>
        <w:spacing w:line="580" w:lineRule="exact"/>
        <w:ind w:firstLine="643"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sz w:val="32"/>
          <w:szCs w:val="32"/>
          <w:highlight w:val="none"/>
          <w:lang w:val="en-US" w:eastAsia="zh-CN"/>
        </w:rPr>
        <w:t>项目上依据上级下达的资金使用方案和项目实施方案制定单位资金使用方案时力求更加切合实际，减少方案与实际支付的偏差。</w:t>
      </w:r>
    </w:p>
    <w:p>
      <w:pPr>
        <w:widowControl/>
        <w:adjustRightInd w:val="0"/>
        <w:snapToGrid w:val="0"/>
        <w:spacing w:line="580" w:lineRule="exact"/>
        <w:ind w:firstLine="643"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sz w:val="32"/>
          <w:szCs w:val="32"/>
          <w:highlight w:val="none"/>
          <w:lang w:val="en-US" w:eastAsia="zh-CN"/>
        </w:rPr>
        <w:t>加强推进项目工作开展进度，提高资金支付进度。</w:t>
      </w:r>
    </w:p>
    <w:p>
      <w:pPr>
        <w:widowControl/>
        <w:adjustRightInd w:val="0"/>
        <w:snapToGrid w:val="0"/>
        <w:spacing w:line="580" w:lineRule="exact"/>
        <w:ind w:firstLine="643" w:firstLineChars="200"/>
        <w:contextualSpacing/>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sz w:val="32"/>
          <w:szCs w:val="32"/>
          <w:highlight w:val="none"/>
          <w:lang w:val="en-US" w:eastAsia="zh-CN"/>
        </w:rPr>
        <w:t>调整项目资金下达时限，各项目第一批资金调整为提前批下达，先于项目任务目标（实施方案）或随同项目任务目标同步下达，提高资金使用执行的时序性。</w:t>
      </w: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
      <w:pPr>
        <w:pStyle w:val="34"/>
      </w:pPr>
    </w:p>
    <w:p>
      <w:pPr>
        <w:pStyle w:val="13"/>
        <w:ind w:left="0" w:leftChars="0" w:firstLine="0" w:firstLineChars="0"/>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tbl>
      <w:tblPr>
        <w:tblStyle w:val="15"/>
        <w:tblW w:w="90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149"/>
        <w:gridCol w:w="799"/>
        <w:gridCol w:w="1079"/>
        <w:gridCol w:w="649"/>
        <w:gridCol w:w="716"/>
        <w:gridCol w:w="450"/>
        <w:gridCol w:w="1079"/>
        <w:gridCol w:w="648"/>
        <w:gridCol w:w="619"/>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905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snapToGrid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项目名称</w:t>
            </w:r>
          </w:p>
        </w:tc>
        <w:tc>
          <w:tcPr>
            <w:tcW w:w="70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城乡水质监测项目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主管部门</w:t>
            </w:r>
          </w:p>
        </w:tc>
        <w:tc>
          <w:tcPr>
            <w:tcW w:w="36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松潘县卫生健康局本级</w:t>
            </w:r>
          </w:p>
        </w:tc>
        <w:tc>
          <w:tcPr>
            <w:tcW w:w="10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实施单位 （盖章）</w:t>
            </w:r>
          </w:p>
        </w:tc>
        <w:tc>
          <w:tcPr>
            <w:tcW w:w="22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项目基本情况</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1.项目年度目标完成情况</w:t>
            </w:r>
          </w:p>
        </w:tc>
        <w:tc>
          <w:tcPr>
            <w:tcW w:w="36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项目年度目标</w:t>
            </w:r>
          </w:p>
        </w:tc>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1.开展城镇饮用水水质监测、全县农村饮用水枯水期、丰水期水质分时段监测。</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2.监测点位覆盖全县所有乡镇和重点单位（学校、乡政府）。</w:t>
            </w:r>
          </w:p>
        </w:tc>
        <w:tc>
          <w:tcPr>
            <w:tcW w:w="3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2022年已完成2022年第一季度、第二季度、第三季度、第四季度的枯水期、丰水期水质检测工作，监测点位46个，覆盖全县所有乡镇和重点单位（学校、乡政府），完成率100%。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2.项目实施内容及过程概述</w:t>
            </w:r>
          </w:p>
        </w:tc>
        <w:tc>
          <w:tcPr>
            <w:tcW w:w="70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对城镇集中供水点及各乡镇农村分散供水水质进行两次监测，分别于每年2-4月（枯水期）和6-9月（丰水期）进行。监测点位要覆盖全县所有乡镇且涵盖重点单位（乡政府、学校等）。监测结果由疾控中心按时间节点录入专用信息网络，对于重点监测数据的异常结果，需及时向水务部门和卫生健康行政主管部门反馈，提出改进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预算执行情况（10分）</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年度预算数（万元）</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年初预算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调整后预算数</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总额</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11.04</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77.54%</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下半年发生预算调减</w:t>
            </w:r>
            <w:r>
              <w:rPr>
                <w:rFonts w:hint="eastAsia" w:ascii="宋体" w:hAnsi="宋体" w:eastAsia="宋体" w:cs="宋体"/>
                <w:i w:val="0"/>
                <w:iCs w:val="0"/>
                <w:snapToGrid w:val="0"/>
                <w:color w:val="000000"/>
                <w:kern w:val="0"/>
                <w:sz w:val="18"/>
                <w:szCs w:val="18"/>
                <w:u w:val="none"/>
                <w:lang w:val="en-US" w:eastAsia="zh-CN" w:bidi="ar"/>
              </w:rPr>
              <w:t>，</w:t>
            </w:r>
            <w:r>
              <w:rPr>
                <w:rFonts w:ascii="宋体" w:hAnsi="宋体" w:eastAsia="宋体" w:cs="宋体"/>
                <w:i w:val="0"/>
                <w:iCs w:val="0"/>
                <w:snapToGrid w:val="0"/>
                <w:color w:val="000000"/>
                <w:kern w:val="0"/>
                <w:sz w:val="18"/>
                <w:szCs w:val="18"/>
                <w:u w:val="none"/>
                <w:lang w:val="en-US" w:eastAsia="zh-CN" w:bidi="ar"/>
              </w:rPr>
              <w:t>后已从23年水质经费中支付。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其中：财政资金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11.04</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8.56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77.54%</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财政专户管理资金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单位资金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其他资金</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绩效指标（90分）</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指标性质</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度量单位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完成值</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检测数据录入及时率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饮用水水质监测覆盖乡镇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17</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水质监测采样点位</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个</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92</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评价结论</w:t>
            </w:r>
          </w:p>
        </w:tc>
        <w:tc>
          <w:tcPr>
            <w:tcW w:w="82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Style w:val="35"/>
                <w:snapToGrid w:val="0"/>
                <w:color w:val="000000"/>
                <w:lang w:val="en-US" w:eastAsia="zh-CN" w:bidi="ar"/>
              </w:rPr>
              <w:t>项目自评总分97，指标任务均已完成。</w:t>
            </w:r>
            <w:r>
              <w:rPr>
                <w:rStyle w:val="36"/>
                <w:snapToGrid w:val="0"/>
                <w:color w:val="000000"/>
                <w:lang w:val="en-US" w:eastAsia="zh-CN" w:bidi="ar"/>
              </w:rPr>
              <w:t>水质监测工作能及时掌握全县城乡饮用水水质情况，对于不合格水质通报相关单位及时进行整改，改善水质状况，提高饮用水合格率，开展饮水相关疾病宣教、预警，保障广大人民群众用水安全。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存在问题</w:t>
            </w:r>
          </w:p>
        </w:tc>
        <w:tc>
          <w:tcPr>
            <w:tcW w:w="82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因后期预算调减，资金执行进度较低；水质监测检测能力不足，当前无法独立完成监测任务。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改进措施</w:t>
            </w:r>
          </w:p>
        </w:tc>
        <w:tc>
          <w:tcPr>
            <w:tcW w:w="82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提高预算编制的准确性，减少预算数与执行数偏差。提升专业人员检测能力和提升实验室检测能力。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项目负责人：母松祥</w:t>
            </w:r>
          </w:p>
        </w:tc>
        <w:tc>
          <w:tcPr>
            <w:tcW w:w="4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财务负责人：朱卫东</w:t>
            </w:r>
          </w:p>
        </w:tc>
      </w:tr>
    </w:tbl>
    <w:p>
      <w:pPr>
        <w:pStyle w:val="13"/>
        <w:ind w:left="0" w:leftChars="0" w:firstLine="0" w:firstLineChars="0"/>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tbl>
      <w:tblPr>
        <w:tblStyle w:val="1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149"/>
        <w:gridCol w:w="799"/>
        <w:gridCol w:w="1079"/>
        <w:gridCol w:w="545"/>
        <w:gridCol w:w="716"/>
        <w:gridCol w:w="450"/>
        <w:gridCol w:w="929"/>
        <w:gridCol w:w="604"/>
        <w:gridCol w:w="545"/>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snapToGrid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项目名称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艾滋病综合防治项目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主管部门</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松潘县卫生健康局本级</w:t>
            </w:r>
          </w:p>
        </w:tc>
        <w:tc>
          <w:tcPr>
            <w:tcW w:w="9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实施单位 （盖章）</w:t>
            </w:r>
          </w:p>
        </w:tc>
        <w:tc>
          <w:tcPr>
            <w:tcW w:w="2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项目基本情况</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1.项目年度目标完成情况</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1.艾滋病感染者抗病毒治疗覆盖率、成功率、病毒载量检测率90%以上；</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2.提高艾滋病检测发现率，常住人口艾滋病检测覆盖率25%；</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3.艾滋病免费抗病毒治疗达100%；</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4.艾滋病高危人群检测比例100%；</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5.艾滋病临床用血核酸检测100%；</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6.艾滋病规范化随访干预比例100%；</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7.有效控制艾滋病疫情处于低流行水平。</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常住人口艾滋病筛查检测覆盖率为26.74%。常住人口筛查完成2000人，完成率100%。全县治疗覆盖率为94.9%，CD4检测率91.14%，配偶筛查率为100%。治疗半年及以上病毒载量检测率96.96%。孕产妇艾滋病检测率100%；孕期检测率100%；孕早期检测率93.75%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2.项目实施内容及过程概述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是开展艾滋病筛查。在临床输血、血液检测、常规体检中将艾滋病筛查纳入常规检测范围并严格控制知晓范围，以提高艾滋病毒感染主动发现率。二是开展现管病人（感染者）治疗。由定点医疗机构（县人民医院）负责开展病人治疗、随访，并组织开展治疗效果监测。三是由妇幼保健机构牵总，负责对全县育龄妇女、新生儿等重点群体开展监测，特别是孕情监测、发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预算执行情况（10分）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调整后预算数</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27.83</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12.49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44.88%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预算编制的准确性、部分实施</w:t>
            </w:r>
            <w:r>
              <w:rPr>
                <w:rFonts w:hint="eastAsia" w:ascii="宋体" w:hAnsi="宋体" w:eastAsia="宋体" w:cs="宋体"/>
                <w:i w:val="0"/>
                <w:iCs w:val="0"/>
                <w:snapToGrid w:val="0"/>
                <w:color w:val="000000"/>
                <w:kern w:val="0"/>
                <w:sz w:val="18"/>
                <w:szCs w:val="18"/>
                <w:u w:val="none"/>
                <w:lang w:val="en-US" w:eastAsia="zh-CN" w:bidi="ar"/>
              </w:rPr>
              <w:t>方案</w:t>
            </w:r>
            <w:r>
              <w:rPr>
                <w:rFonts w:ascii="宋体" w:hAnsi="宋体" w:eastAsia="宋体" w:cs="宋体"/>
                <w:i w:val="0"/>
                <w:iCs w:val="0"/>
                <w:snapToGrid w:val="0"/>
                <w:color w:val="000000"/>
                <w:kern w:val="0"/>
                <w:sz w:val="18"/>
                <w:szCs w:val="18"/>
                <w:u w:val="none"/>
                <w:lang w:val="en-US" w:eastAsia="zh-CN" w:bidi="ar"/>
              </w:rPr>
              <w:t>的滞后，单位制定方案与实际执行存在一定偏差。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27.83</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12.49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44.88%</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绩效指标（90分）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完成值</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艾滋病感染者抗病毒治疗覆盖率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94.9</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艾滋病高危人群检测比例</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艾滋病临床用血核酸检测</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艾滋病规范化随访干预比例</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艾滋病感染孕妇所生儿童抗病毒用药比例</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有效控制艾滋病疫情</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高中低</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高</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评价结论</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项目自评总分94，基本完成序时任务。项目资金按要求拨付，资金进度稍缓于项目进度，项目推进正常，效益良好。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存在问题</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资金及其使用方案、实施方案下达时间与工作开展进度不完成相符，多数滞后于项目实施，导致资金使用进度与项目工作进度不完全相符。项目资金下达未考虑到项目实施具体工作，不能明确项目工作中差旅和车辆运行费用的支出方式，给资金使用带来一定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改进措施</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建议将第一批资金改为提前批次下达，随工作任务和目标同行，提高资金使用进度。明确专项资金中差旅和车辆运行费用的金额或比例，进一步规范资金使用。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项目负责人：芮国竞</w:t>
            </w:r>
          </w:p>
        </w:tc>
        <w:tc>
          <w:tcPr>
            <w:tcW w:w="4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财务负责人：朱卫东</w:t>
            </w:r>
          </w:p>
        </w:tc>
      </w:tr>
    </w:tbl>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tbl>
      <w:tblPr>
        <w:tblStyle w:val="1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149"/>
        <w:gridCol w:w="799"/>
        <w:gridCol w:w="1079"/>
        <w:gridCol w:w="545"/>
        <w:gridCol w:w="716"/>
        <w:gridCol w:w="450"/>
        <w:gridCol w:w="929"/>
        <w:gridCol w:w="604"/>
        <w:gridCol w:w="545"/>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snapToGrid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项目名称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新冠感染</w:t>
            </w:r>
            <w:r>
              <w:rPr>
                <w:rFonts w:ascii="宋体" w:hAnsi="宋体" w:eastAsia="宋体" w:cs="宋体"/>
                <w:i w:val="0"/>
                <w:iCs w:val="0"/>
                <w:snapToGrid w:val="0"/>
                <w:color w:val="000000"/>
                <w:kern w:val="0"/>
                <w:sz w:val="18"/>
                <w:szCs w:val="18"/>
                <w:u w:val="none"/>
                <w:lang w:val="en-US" w:eastAsia="zh-CN" w:bidi="ar"/>
              </w:rPr>
              <w:t>疫情防控重点物资储备采购项目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主管部门</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松潘县卫生健康局本级</w:t>
            </w:r>
          </w:p>
        </w:tc>
        <w:tc>
          <w:tcPr>
            <w:tcW w:w="9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实施单位 （盖章）</w:t>
            </w:r>
          </w:p>
        </w:tc>
        <w:tc>
          <w:tcPr>
            <w:tcW w:w="2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项目基本情况</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1.项目年度目标完成情况</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及时开展新冠病毒采样、检测耗材和试剂储备，保障全县五轮以上全员核酸所需和中心30天满负荷运行。</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按要求分批次完成核酸检测耗材和试剂等的储备，为全县2022年多轮全员核酸奠定</w:t>
            </w:r>
            <w:r>
              <w:rPr>
                <w:rFonts w:hint="eastAsia" w:ascii="宋体" w:hAnsi="宋体" w:eastAsia="宋体" w:cs="宋体"/>
                <w:i w:val="0"/>
                <w:iCs w:val="0"/>
                <w:snapToGrid w:val="0"/>
                <w:color w:val="000000"/>
                <w:kern w:val="0"/>
                <w:sz w:val="18"/>
                <w:szCs w:val="18"/>
                <w:u w:val="none"/>
                <w:lang w:val="en-US" w:eastAsia="zh-CN" w:bidi="ar"/>
              </w:rPr>
              <w:t>物质基础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2.项目实施内容及过程概述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按照疫情变化和物资使用需要，及时向政府财政部门申请资金预算并按照每一次的物资需求量和采购预算分别组织实施，紧急状态下按相关规定可实施紧急采购程序。物资储备需有提前量，既要提前于疫情发展又要提前于实际使用，要确保单位可满负荷运行30天且物资充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预算执行情况（10分）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调整后预算数</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238.42</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209.61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87.92%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疫情变化形势诡谲，对于防疫物资的储备和使用无法进行准确预算，预算编制存在一定偏差。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238.42</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209.61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87.92%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绩效指标（90分）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完成值</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实际采购物资与计划匹配度</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能够为防疫人员提供可靠安全防护</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优良中差</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优</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评价结论</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自评总分98，通过县级配套新冠物资及设备采购资金，我中心得以实施新冠病毒防控相关的物资储备、设备采购等能力提升项目，保证了多轮次全员核酸检测的顺利进行。促进了2022年新冠感染疫情防控，特别是“11.19”本土疫情的科学处置，为维护全县社会稳定和经济发展起到了关键性作用，社会反响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存在问题</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疫情变化形势诡谲，对于防疫物资的储备和使用无法进行准确预算和储备，导致物资和耗材等进行了多轮采购、资金也进行了多轮追加，给单位和采购人员以及资金安全等带来了一定风险。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改进措施</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针大型应急事件处置的物资储备由业务部门提出建议目录，由主管部门或专管部门（单位）统一采购并分发使用。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项目负责人：芮国竞</w:t>
            </w:r>
          </w:p>
        </w:tc>
        <w:tc>
          <w:tcPr>
            <w:tcW w:w="4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财务负责人：朱卫东</w:t>
            </w:r>
          </w:p>
        </w:tc>
      </w:tr>
    </w:tbl>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tbl>
      <w:tblPr>
        <w:tblStyle w:val="1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149"/>
        <w:gridCol w:w="799"/>
        <w:gridCol w:w="1079"/>
        <w:gridCol w:w="545"/>
        <w:gridCol w:w="716"/>
        <w:gridCol w:w="450"/>
        <w:gridCol w:w="930"/>
        <w:gridCol w:w="604"/>
        <w:gridCol w:w="546"/>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8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snapToGrid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项目名称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核酸实验室全自动分杯系统采购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主管部门</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松潘县卫生健康局本级</w:t>
            </w:r>
          </w:p>
        </w:tc>
        <w:tc>
          <w:tcPr>
            <w:tcW w:w="9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实施单位 （盖章）</w:t>
            </w:r>
          </w:p>
        </w:tc>
        <w:tc>
          <w:tcPr>
            <w:tcW w:w="2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项目基本情况</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1.项目年度目标完成情况</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提升中心实验室核酸检测能力和自动化水平，压缩全员核酸检测</w:t>
            </w:r>
            <w:r>
              <w:rPr>
                <w:rFonts w:hint="eastAsia" w:ascii="宋体" w:hAnsi="宋体" w:eastAsia="宋体" w:cs="宋体"/>
                <w:i w:val="0"/>
                <w:iCs w:val="0"/>
                <w:snapToGrid w:val="0"/>
                <w:color w:val="000000"/>
                <w:kern w:val="0"/>
                <w:sz w:val="18"/>
                <w:szCs w:val="18"/>
                <w:u w:val="none"/>
                <w:lang w:val="en-US" w:eastAsia="zh-CN" w:bidi="ar"/>
              </w:rPr>
              <w:t>工作</w:t>
            </w:r>
            <w:r>
              <w:rPr>
                <w:rFonts w:ascii="宋体" w:hAnsi="宋体" w:eastAsia="宋体" w:cs="宋体"/>
                <w:i w:val="0"/>
                <w:iCs w:val="0"/>
                <w:snapToGrid w:val="0"/>
                <w:color w:val="000000"/>
                <w:kern w:val="0"/>
                <w:sz w:val="18"/>
                <w:szCs w:val="18"/>
                <w:u w:val="none"/>
                <w:lang w:val="en-US" w:eastAsia="zh-CN" w:bidi="ar"/>
              </w:rPr>
              <w:t>的时间。</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完成中心实验室自动分杯系统及其配套耗材采购，提升了中心实验室自动化水平，解放了有限的检验人力资源。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2.项目实施内容及过程概述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根据中心实验室检验检测需求进行项目预算，并及时根据疫情变化适时调整采购方式，开展设备采购并及时开展履约、供货、验收、培训等。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预算执行情况（10分）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调整后预算数</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绩效指标（90分）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完成值</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完成预计设备采购量</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核酸检测能力</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持续稳定</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持续稳定</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核酸实验室设备满意度</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比较满意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成本指标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评价结论</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项目自评总分100分，</w:t>
            </w:r>
            <w:r>
              <w:rPr>
                <w:rStyle w:val="37"/>
                <w:snapToGrid w:val="0"/>
                <w:color w:val="000000"/>
                <w:lang w:val="en-US" w:eastAsia="zh-CN" w:bidi="ar"/>
              </w:rPr>
              <w:t>提升了中心实验室的日检测能力和自动化水平，缩短了全员核酸检测所需的总体时间，为及早确认核酸检测结果、科学判断疫情走向等提供了科学依据，促进了2022年新冠感染疫情防控，特别是“11.19”本土疫情的科学处置，为维护全县社会稳定和经济发展起到了关键性作用，社会反响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存在问题</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改进措施</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项目负责人：芮国竞</w:t>
            </w:r>
          </w:p>
        </w:tc>
        <w:tc>
          <w:tcPr>
            <w:tcW w:w="4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财务负责人：朱卫东</w:t>
            </w:r>
          </w:p>
        </w:tc>
      </w:tr>
    </w:tbl>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p>
      <w:pPr>
        <w:rPr>
          <w:rFonts w:hint="eastAsia"/>
          <w:lang w:eastAsia="zh-CN"/>
        </w:rPr>
      </w:pPr>
    </w:p>
    <w:p>
      <w:pPr>
        <w:pStyle w:val="13"/>
        <w:rPr>
          <w:rFonts w:hint="eastAsia"/>
          <w:lang w:eastAsia="zh-CN"/>
        </w:rPr>
      </w:pPr>
    </w:p>
    <w:tbl>
      <w:tblPr>
        <w:tblStyle w:val="1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123"/>
        <w:gridCol w:w="789"/>
        <w:gridCol w:w="1064"/>
        <w:gridCol w:w="539"/>
        <w:gridCol w:w="702"/>
        <w:gridCol w:w="447"/>
        <w:gridCol w:w="922"/>
        <w:gridCol w:w="598"/>
        <w:gridCol w:w="66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7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snapToGrid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项目名称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结核病综合防治项目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主管部门</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松潘县卫生健康局本级</w:t>
            </w:r>
          </w:p>
        </w:tc>
        <w:tc>
          <w:tcPr>
            <w:tcW w:w="93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实施单位 （盖章）</w:t>
            </w:r>
          </w:p>
        </w:tc>
        <w:tc>
          <w:tcPr>
            <w:tcW w:w="2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松潘县疾病预防控制中心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项目基本情况</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1.项目年度目标完成情况</w:t>
            </w: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项目年度目标</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1.规范治疗和随访检查的肺结核患者任务完成率≥85%；</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2.有症状的病原学阳性肺结核患者密切接触者检查率达90%；</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3.病原学阳性肺结核患者耐药筛查率80%。</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4.肺结核患者管理率≥90%。</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5.开展师生等重点人群结核病筛查。</w:t>
            </w:r>
          </w:p>
        </w:tc>
        <w:tc>
          <w:tcPr>
            <w:tcW w:w="3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累积报告松潘户籍和</w:t>
            </w:r>
            <w:r>
              <w:rPr>
                <w:rFonts w:hint="eastAsia" w:ascii="宋体" w:hAnsi="宋体" w:eastAsia="宋体" w:cs="宋体"/>
                <w:i w:val="0"/>
                <w:iCs w:val="0"/>
                <w:snapToGrid w:val="0"/>
                <w:color w:val="000000"/>
                <w:kern w:val="0"/>
                <w:sz w:val="18"/>
                <w:szCs w:val="18"/>
                <w:u w:val="none"/>
                <w:lang w:val="en-US" w:eastAsia="zh-CN" w:bidi="ar"/>
              </w:rPr>
              <w:t>常住人口</w:t>
            </w:r>
            <w:r>
              <w:rPr>
                <w:rFonts w:ascii="宋体" w:hAnsi="宋体" w:eastAsia="宋体" w:cs="宋体"/>
                <w:i w:val="0"/>
                <w:iCs w:val="0"/>
                <w:snapToGrid w:val="0"/>
                <w:color w:val="000000"/>
                <w:kern w:val="0"/>
                <w:sz w:val="18"/>
                <w:szCs w:val="18"/>
                <w:u w:val="none"/>
                <w:lang w:val="en-US" w:eastAsia="zh-CN" w:bidi="ar"/>
              </w:rPr>
              <w:t>结核病人88人，排除13人，删除重卡18人，应系统管理57人，实际管理46人，11人疑似或正在定点医院就诊。2022年我县专门针对学校开展了结核病防治工作督导，对学校所有教职工及学生将开展结核病筛查工作，共计筛查师生9945人次，筛查率达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2.项目实施内容及过程概述</w:t>
            </w:r>
          </w:p>
        </w:tc>
        <w:tc>
          <w:tcPr>
            <w:tcW w:w="6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对结核病专网报告的结核疑似感染者进行追踪，督促定点医疗机构提高诊治水平，加强患者治疗过程管理，开展密切接触者调查、预防性用药等，处置可能发生的突发事件。督促结核病患者进行耐药检查，以更好进行抗感染治疗。会同教育、宗教等部门，分时段推进重点人群筛查工作并对初筛异常情况进行妥善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预算执行情况（10分）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年度预算数（万元）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调整后预算数</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总额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103.58</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78.30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75.59%</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预算编制的准确性、部分实施</w:t>
            </w:r>
            <w:r>
              <w:rPr>
                <w:rFonts w:hint="eastAsia" w:ascii="宋体" w:hAnsi="宋体" w:eastAsia="宋体" w:cs="宋体"/>
                <w:i w:val="0"/>
                <w:iCs w:val="0"/>
                <w:snapToGrid w:val="0"/>
                <w:color w:val="000000"/>
                <w:kern w:val="0"/>
                <w:sz w:val="18"/>
                <w:szCs w:val="18"/>
                <w:u w:val="none"/>
                <w:lang w:val="en-US" w:eastAsia="zh-CN" w:bidi="ar"/>
              </w:rPr>
              <w:t>方案</w:t>
            </w:r>
            <w:r>
              <w:rPr>
                <w:rFonts w:ascii="宋体" w:hAnsi="宋体" w:eastAsia="宋体" w:cs="宋体"/>
                <w:i w:val="0"/>
                <w:iCs w:val="0"/>
                <w:snapToGrid w:val="0"/>
                <w:color w:val="000000"/>
                <w:kern w:val="0"/>
                <w:sz w:val="18"/>
                <w:szCs w:val="18"/>
                <w:u w:val="none"/>
                <w:lang w:val="en-US" w:eastAsia="zh-CN" w:bidi="ar"/>
              </w:rPr>
              <w:t>的滞后，单位制定方案与实际执行存在一定偏差。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其中：财政资金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103.58</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78.30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75.59%</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财政专户管理资金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单位资金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绩效指标（90分）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完成值</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权重</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重点人群筛查完成率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有症状的病原学阳性肺结核患者密切接触者检查率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病原学阳性肺结核患者耐药筛查率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30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县内定点医院检测能力不足，无法开展，所有病原学阳性患者耐药检测需到成都等地医院，检测费用高，患者依从性差。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产出指标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肺结核患者管理率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合计</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87.25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评价结论</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项目自评总分87.25分，项目提高了病人及感染者的筛查诊断准确率、结核病用药规范性和针对性，提升结核病人治疗效果，改善用药体验，项目实施对结核病感染者和病人积极配合治疗、开展密接人员管理有较好促进作用，能够及时发现结核分枝杆菌感染，促进结核病病情的早发现、早治疗，遏制病情扩展，特别是学校等人员集中场所的病情控制有良好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存在问题</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目前我县结核病管理工作主要问题在于定点治疗医院能力偏弱，尚未开展痰培养、耐药检测和分子生物学检测等，对结核病的诊断高度依赖县外其他医疗机构，导致病人管理较困难。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改进措施</w:t>
            </w:r>
          </w:p>
        </w:tc>
        <w:tc>
          <w:tcPr>
            <w:tcW w:w="79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加大对医院实验室和检验检测能力的投入，提高定点医院诊疗水平，开展痰培养、耐药检测项目，提高病人在县内规范治疗和随访的可能。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项目负责人：芮国竞</w:t>
            </w:r>
          </w:p>
        </w:tc>
        <w:tc>
          <w:tcPr>
            <w:tcW w:w="4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snapToGrid w:val="0"/>
                <w:color w:val="000000"/>
                <w:kern w:val="0"/>
                <w:sz w:val="18"/>
                <w:szCs w:val="18"/>
                <w:u w:val="none"/>
                <w:lang w:val="en-US" w:eastAsia="zh-CN" w:bidi="ar"/>
              </w:rPr>
              <w:t>财务负责人：朱卫东</w:t>
            </w:r>
          </w:p>
        </w:tc>
      </w:tr>
    </w:tbl>
    <w:p>
      <w:pPr>
        <w:rPr>
          <w:rFonts w:hint="eastAsia"/>
          <w:lang w:eastAsia="zh-CN"/>
        </w:rPr>
      </w:pPr>
    </w:p>
    <w:p>
      <w:pPr>
        <w:pStyle w:val="3"/>
        <w:keepNext/>
        <w:keepLines/>
        <w:pageBreakBefore w:val="0"/>
        <w:widowControl/>
        <w:kinsoku w:val="0"/>
        <w:wordWrap/>
        <w:overflowPunct/>
        <w:topLinePunct w:val="0"/>
        <w:autoSpaceDE w:val="0"/>
        <w:autoSpaceDN w:val="0"/>
        <w:bidi w:val="0"/>
        <w:adjustRightInd/>
        <w:snapToGrid/>
        <w:spacing w:line="579" w:lineRule="auto"/>
        <w:jc w:val="center"/>
        <w:textAlignment w:val="baseline"/>
        <w:rPr>
          <w:rFonts w:ascii="黑体" w:hAnsi="黑体" w:eastAsia="黑体" w:cs="黑体"/>
        </w:rPr>
      </w:pPr>
      <w:bookmarkStart w:id="72" w:name="_Toc79163635"/>
      <w:bookmarkStart w:id="73" w:name="_Toc7136"/>
      <w:bookmarkStart w:id="74" w:name="_Toc111208512"/>
      <w:bookmarkStart w:id="75" w:name="_Toc79163885"/>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28362"/>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23797"/>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16812"/>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6674"/>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176"/>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13073"/>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2093"/>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10060"/>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1286"/>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14146"/>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211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16475"/>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12343"/>
      <w:r>
        <w:rPr>
          <w:rFonts w:hint="eastAsia" w:ascii="黑体" w:eastAsia="黑体" w:cs="Times New Roman"/>
          <w:bCs w:val="0"/>
          <w:color w:val="000000"/>
        </w:rPr>
        <w:t>十三、财政拨款“三公”经费支出决算表</w:t>
      </w:r>
      <w:bookmarkEnd w:id="88"/>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EE7E18"/>
    <w:rsid w:val="03F359AA"/>
    <w:rsid w:val="0463543B"/>
    <w:rsid w:val="04A56E6E"/>
    <w:rsid w:val="051A6F96"/>
    <w:rsid w:val="06951176"/>
    <w:rsid w:val="07001BE1"/>
    <w:rsid w:val="07267DE7"/>
    <w:rsid w:val="0855442E"/>
    <w:rsid w:val="089C4B49"/>
    <w:rsid w:val="09081517"/>
    <w:rsid w:val="091B747D"/>
    <w:rsid w:val="0A19737C"/>
    <w:rsid w:val="0B7218AA"/>
    <w:rsid w:val="0B99373B"/>
    <w:rsid w:val="0BA37CB5"/>
    <w:rsid w:val="0D0429D6"/>
    <w:rsid w:val="0D093B48"/>
    <w:rsid w:val="0D322E51"/>
    <w:rsid w:val="0D6C338E"/>
    <w:rsid w:val="0DB37F58"/>
    <w:rsid w:val="0EB537EF"/>
    <w:rsid w:val="0F2E6FB2"/>
    <w:rsid w:val="0F5E6610"/>
    <w:rsid w:val="10C055FF"/>
    <w:rsid w:val="11D56DF6"/>
    <w:rsid w:val="11ED6591"/>
    <w:rsid w:val="13367661"/>
    <w:rsid w:val="16BB723D"/>
    <w:rsid w:val="17BC7656"/>
    <w:rsid w:val="17EA348C"/>
    <w:rsid w:val="1840212F"/>
    <w:rsid w:val="184656CF"/>
    <w:rsid w:val="18B96776"/>
    <w:rsid w:val="19943114"/>
    <w:rsid w:val="1AB026BC"/>
    <w:rsid w:val="1ABB32B6"/>
    <w:rsid w:val="1BF70747"/>
    <w:rsid w:val="1C06153F"/>
    <w:rsid w:val="1C986C96"/>
    <w:rsid w:val="1D7371C3"/>
    <w:rsid w:val="1DDC2BB3"/>
    <w:rsid w:val="1E34479D"/>
    <w:rsid w:val="1EF81F78"/>
    <w:rsid w:val="1F620905"/>
    <w:rsid w:val="201A6AB0"/>
    <w:rsid w:val="203B66A0"/>
    <w:rsid w:val="211A679A"/>
    <w:rsid w:val="223452D0"/>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19163E"/>
    <w:rsid w:val="28513369"/>
    <w:rsid w:val="28BF6D42"/>
    <w:rsid w:val="29FD04D3"/>
    <w:rsid w:val="2AA926BE"/>
    <w:rsid w:val="2CAE1BBE"/>
    <w:rsid w:val="2CCF04B2"/>
    <w:rsid w:val="2E4C04E0"/>
    <w:rsid w:val="2F803D16"/>
    <w:rsid w:val="31810DA9"/>
    <w:rsid w:val="31903F88"/>
    <w:rsid w:val="319F7F4E"/>
    <w:rsid w:val="323A1C2F"/>
    <w:rsid w:val="329448A6"/>
    <w:rsid w:val="32F45598"/>
    <w:rsid w:val="35244754"/>
    <w:rsid w:val="364D41F6"/>
    <w:rsid w:val="36FD0156"/>
    <w:rsid w:val="38F8371D"/>
    <w:rsid w:val="39226F5F"/>
    <w:rsid w:val="39902098"/>
    <w:rsid w:val="39AE77D7"/>
    <w:rsid w:val="3A3A0F35"/>
    <w:rsid w:val="3A4E1148"/>
    <w:rsid w:val="3A5F1C1C"/>
    <w:rsid w:val="3C0B629E"/>
    <w:rsid w:val="3C8D2F9D"/>
    <w:rsid w:val="3CE0510E"/>
    <w:rsid w:val="3D1927CA"/>
    <w:rsid w:val="3D1E4B3E"/>
    <w:rsid w:val="3D4B3814"/>
    <w:rsid w:val="3D8344ED"/>
    <w:rsid w:val="3E03620E"/>
    <w:rsid w:val="3E343C22"/>
    <w:rsid w:val="3F512FA9"/>
    <w:rsid w:val="3FAC4683"/>
    <w:rsid w:val="3FEA5DFB"/>
    <w:rsid w:val="401C35B7"/>
    <w:rsid w:val="4119235A"/>
    <w:rsid w:val="41677310"/>
    <w:rsid w:val="422C2C46"/>
    <w:rsid w:val="4251506E"/>
    <w:rsid w:val="428A675F"/>
    <w:rsid w:val="43684120"/>
    <w:rsid w:val="444F07DA"/>
    <w:rsid w:val="44601E28"/>
    <w:rsid w:val="448E13F7"/>
    <w:rsid w:val="475E72DC"/>
    <w:rsid w:val="47F514AF"/>
    <w:rsid w:val="4839282C"/>
    <w:rsid w:val="48C94492"/>
    <w:rsid w:val="48FD75BD"/>
    <w:rsid w:val="4A745623"/>
    <w:rsid w:val="4B215F25"/>
    <w:rsid w:val="4D135D42"/>
    <w:rsid w:val="4D846266"/>
    <w:rsid w:val="4D8D78A2"/>
    <w:rsid w:val="4DF123A8"/>
    <w:rsid w:val="4E832A53"/>
    <w:rsid w:val="4F6F7A34"/>
    <w:rsid w:val="4FD74194"/>
    <w:rsid w:val="4FDA49F5"/>
    <w:rsid w:val="50AE413E"/>
    <w:rsid w:val="518D64DB"/>
    <w:rsid w:val="51E1640E"/>
    <w:rsid w:val="51EE42CA"/>
    <w:rsid w:val="52302EF2"/>
    <w:rsid w:val="52ED6284"/>
    <w:rsid w:val="5322283B"/>
    <w:rsid w:val="532B0C13"/>
    <w:rsid w:val="53BE2B80"/>
    <w:rsid w:val="541505F1"/>
    <w:rsid w:val="54992FD0"/>
    <w:rsid w:val="55872E29"/>
    <w:rsid w:val="56D0674C"/>
    <w:rsid w:val="58BA52C3"/>
    <w:rsid w:val="59E11CD3"/>
    <w:rsid w:val="5B9D6521"/>
    <w:rsid w:val="5BE202EA"/>
    <w:rsid w:val="5C26725B"/>
    <w:rsid w:val="5CFA7F1D"/>
    <w:rsid w:val="5D5C0D38"/>
    <w:rsid w:val="5E2506F8"/>
    <w:rsid w:val="5EA316D6"/>
    <w:rsid w:val="5F3A07D2"/>
    <w:rsid w:val="5F593A88"/>
    <w:rsid w:val="60651EAC"/>
    <w:rsid w:val="60BB3927"/>
    <w:rsid w:val="62A42EE2"/>
    <w:rsid w:val="630D013F"/>
    <w:rsid w:val="63347FC4"/>
    <w:rsid w:val="63604CB9"/>
    <w:rsid w:val="64A36D0B"/>
    <w:rsid w:val="64C656C1"/>
    <w:rsid w:val="654562EE"/>
    <w:rsid w:val="65DF63C9"/>
    <w:rsid w:val="662A7F2C"/>
    <w:rsid w:val="682F2CB3"/>
    <w:rsid w:val="68DA2DB6"/>
    <w:rsid w:val="69725134"/>
    <w:rsid w:val="6B4666B6"/>
    <w:rsid w:val="6CB82C07"/>
    <w:rsid w:val="6CC85DA9"/>
    <w:rsid w:val="6D8F2D6B"/>
    <w:rsid w:val="6DC31436"/>
    <w:rsid w:val="6ECB49CF"/>
    <w:rsid w:val="6ECB5A2B"/>
    <w:rsid w:val="70202A42"/>
    <w:rsid w:val="72227D09"/>
    <w:rsid w:val="72E476B5"/>
    <w:rsid w:val="73BE3A62"/>
    <w:rsid w:val="7459534C"/>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 w:val="7E5946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称呼1"/>
    <w:basedOn w:val="1"/>
    <w:next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34">
    <w:name w:val="称呼11"/>
    <w:basedOn w:val="1"/>
    <w:next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35">
    <w:name w:val="font31"/>
    <w:basedOn w:val="16"/>
    <w:qFormat/>
    <w:uiPriority w:val="0"/>
    <w:rPr>
      <w:rFonts w:hint="eastAsia" w:ascii="微软雅黑" w:hAnsi="微软雅黑" w:eastAsia="微软雅黑" w:cs="微软雅黑"/>
      <w:color w:val="000000"/>
      <w:sz w:val="16"/>
      <w:szCs w:val="16"/>
      <w:u w:val="none"/>
    </w:rPr>
  </w:style>
  <w:style w:type="character" w:customStyle="1" w:styleId="36">
    <w:name w:val="font71"/>
    <w:basedOn w:val="16"/>
    <w:qFormat/>
    <w:uiPriority w:val="0"/>
    <w:rPr>
      <w:rFonts w:hint="eastAsia" w:ascii="微软雅黑" w:hAnsi="微软雅黑" w:eastAsia="微软雅黑" w:cs="微软雅黑"/>
      <w:color w:val="000000"/>
      <w:sz w:val="16"/>
      <w:szCs w:val="16"/>
      <w:u w:val="none"/>
    </w:rPr>
  </w:style>
  <w:style w:type="character" w:customStyle="1" w:styleId="37">
    <w:name w:val="font61"/>
    <w:basedOn w:val="16"/>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{734.46,1035.57}</c:f>
              <c:numCache>
                <c:formatCode>General</c:formatCode>
                <c:ptCount val="2"/>
                <c:pt idx="0">
                  <c:v>734.46</c:v>
                </c:pt>
                <c:pt idx="1">
                  <c:v>1035.57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{734.46,1035.57}</c:f>
              <c:numCache>
                <c:formatCode>General</c:formatCode>
                <c:ptCount val="2"/>
                <c:pt idx="0">
                  <c:v>734.46</c:v>
                </c:pt>
                <c:pt idx="1">
                  <c:v>1035.57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{10355658.03,0,0,0,0,0,0,0}</c:f>
              <c:numCache>
                <c:formatCode>General</c:formatCode>
                <c:ptCount val="8"/>
                <c:pt idx="0">
                  <c:v>10355658.03</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{6288972.03,4066686,0,0,0}</c:f>
              <c:numCache>
                <c:formatCode>General</c:formatCode>
                <c:ptCount val="5"/>
                <c:pt idx="0">
                  <c:v>6288972.03</c:v>
                </c:pt>
                <c:pt idx="1">
                  <c:v>4066686</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{734.46,1035.57}</c:f>
              <c:numCache>
                <c:formatCode>General</c:formatCode>
                <c:ptCount val="2"/>
                <c:pt idx="0">
                  <c:v>734.46</c:v>
                </c:pt>
                <c:pt idx="1">
                  <c:v>1035.57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{734.46,1035.57}</c:f>
              <c:numCache>
                <c:formatCode>General</c:formatCode>
                <c:ptCount val="2"/>
                <c:pt idx="0">
                  <c:v>734.46</c:v>
                </c:pt>
                <c:pt idx="1">
                  <c:v>1035.57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{734.46}</c:f>
              <c:numCache>
                <c:formatCode>General</c:formatCode>
                <c:ptCount val="1"/>
                <c:pt idx="0">
                  <c:v>734.46</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{1035.57}</c:f>
              <c:numCache>
                <c:formatCode>General</c:formatCode>
                <c:ptCount val="1"/>
                <c:pt idx="0">
                  <c:v>1035.57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{73.65,917.9,44.02}</c:f>
              <c:numCache>
                <c:formatCode>General</c:formatCode>
                <c:ptCount val="3"/>
                <c:pt idx="0">
                  <c:v>73.65</c:v>
                </c:pt>
                <c:pt idx="1">
                  <c:v>917.9</c:v>
                </c:pt>
                <c:pt idx="2">
                  <c:v>44.02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{0,8.65,0}</c:f>
              <c:numCache>
                <c:formatCode>General</c:formatCode>
                <c:ptCount val="3"/>
                <c:pt idx="0">
                  <c:v>0</c:v>
                </c:pt>
                <c:pt idx="1">
                  <c:v>8.65</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16570</Words>
  <Characters>18552</Characters>
  <Lines>51</Lines>
  <Paragraphs>14</Paragraphs>
  <TotalTime>7</TotalTime>
  <ScaleCrop>false</ScaleCrop>
  <LinksUpToDate>false</LinksUpToDate>
  <CharactersWithSpaces>18890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2023-09-11T08:05:00Z</cp:lastPrinted>
  <dcterms:modified xsi:type="dcterms:W3CDTF">2023-09-13T07:22:03Z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31B0B7E9D95546E4A2C91CF0E8E7EBED_13</vt:lpwstr>
  </property>
</Properties>
</file>