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b/>
          <w:sz w:val="72"/>
          <w:szCs w:val="72"/>
        </w:rPr>
      </w:pPr>
      <w:bookmarkStart w:id="0" w:name="_Toc15396597"/>
      <w:bookmarkStart w:id="1" w:name="_Toc15377425"/>
      <w:bookmarkStart w:id="2" w:name="_Toc15377193"/>
      <w:bookmarkStart w:id="3" w:name="_Toc15378441"/>
      <w:bookmarkStart w:id="4" w:name="_Toc15396475"/>
      <w:bookmarkStart w:id="5" w:name="_Toc15306267"/>
    </w:p>
    <w:p>
      <w:pPr>
        <w:pStyle w:val="5"/>
        <w:ind w:firstLine="0"/>
      </w:pPr>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2022</w:t>
      </w:r>
      <w:r>
        <w:rPr>
          <w:b/>
          <w:sz w:val="72"/>
          <w:u w:color="auto"/>
        </w:rPr>
        <w:t>年度</w:t>
      </w:r>
      <w:bookmarkEnd w:id="0"/>
      <w:bookmarkEnd w:id="1"/>
      <w:bookmarkEnd w:id="2"/>
      <w:bookmarkEnd w:id="3"/>
      <w:bookmarkEnd w:id="4"/>
    </w:p>
    <w:bookmarkEnd w:id="5"/>
    <w:p>
      <w:pPr>
        <w:jc w:val="center"/>
        <w:rPr>
          <w:rFonts w:asciiTheme="minorEastAsia" w:hAnsiTheme="minorEastAsia" w:eastAsiaTheme="minorEastAsia"/>
          <w:b/>
          <w:sz w:val="72"/>
          <w:szCs w:val="72"/>
        </w:rPr>
      </w:pPr>
      <w:bookmarkStart w:id="6" w:name="_Toc15396598"/>
      <w:bookmarkStart w:id="7" w:name="_Toc15377194"/>
      <w:bookmarkStart w:id="8" w:name="_Toc15306268"/>
      <w:bookmarkStart w:id="9" w:name="_Toc15396476"/>
      <w:bookmarkStart w:id="10" w:name="_Toc15378442"/>
      <w:bookmarkStart w:id="11" w:name="_Toc15377426"/>
      <w:r>
        <w:rPr>
          <w:rFonts w:asciiTheme="minorEastAsia" w:hAnsiTheme="minorEastAsia" w:eastAsiaTheme="minorEastAsia"/>
          <w:b/>
          <w:sz w:val="72"/>
          <w:szCs w:val="72"/>
        </w:rPr>
        <w:t>阿坝州松潘县十里乡卫生院</w:t>
      </w:r>
      <w:r>
        <w:rPr>
          <w:rFonts w:hint="eastAsia" w:asciiTheme="minorEastAsia" w:hAnsiTheme="minorEastAsia" w:eastAsiaTheme="minorEastAsia"/>
          <w:b/>
          <w:sz w:val="72"/>
          <w:szCs w:val="72"/>
        </w:rPr>
        <w:t>部门决算</w:t>
      </w:r>
      <w:bookmarkEnd w:id="6"/>
      <w:bookmarkEnd w:id="7"/>
      <w:bookmarkEnd w:id="8"/>
      <w:bookmarkEnd w:id="9"/>
      <w:bookmarkEnd w:id="10"/>
      <w:bookmarkEnd w:id="11"/>
      <w:r>
        <w:rPr>
          <w:rFonts w:hint="eastAsia" w:asciiTheme="minorEastAsia" w:hAnsiTheme="minorEastAsia" w:eastAsiaTheme="minorEastAsia"/>
          <w:b/>
          <w:sz w:val="72"/>
          <w:szCs w:val="72"/>
        </w:rPr>
        <w:t>编制说明</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tabs>
          <w:tab w:val="left" w:pos="3600"/>
        </w:tabs>
      </w:pPr>
      <w:r>
        <w:tab/>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hint="eastAsia" w:ascii="方正小标宋简体" w:hAnsi="宋体" w:eastAsia="方正小标宋简体"/>
          <w:color w:val="000000"/>
          <w:sz w:val="36"/>
          <w:szCs w:val="36"/>
          <w:lang w:val="en-US" w:eastAsia="zh-CN"/>
        </w:rPr>
        <w:t>2023年9月</w:t>
      </w: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bookmarkStart w:id="12" w:name="_Toc15377196"/>
    </w:p>
    <w:p>
      <w:pPr>
        <w:pStyle w:val="13"/>
        <w:tabs>
          <w:tab w:val="right" w:leader="dot" w:pos="8306"/>
          <w:tab w:val="clear" w:pos="8296"/>
        </w:tabs>
      </w:pPr>
      <w:r>
        <w:rPr>
          <w:smallCaps/>
          <w:sz w:val="20"/>
          <w:szCs w:val="20"/>
        </w:rPr>
        <w:fldChar w:fldCharType="begin"/>
      </w:r>
      <w:r>
        <w:rPr>
          <w:smallCaps/>
          <w:sz w:val="20"/>
          <w:szCs w:val="20"/>
        </w:rPr>
        <w:instrText xml:space="preserve"> TOC \o "1-2" \h \z \u </w:instrText>
      </w:r>
      <w:r>
        <w:rPr>
          <w:smallCaps/>
          <w:sz w:val="20"/>
          <w:szCs w:val="20"/>
        </w:rPr>
        <w:fldChar w:fldCharType="separate"/>
      </w:r>
      <w:r>
        <w:rPr>
          <w:smallCaps/>
          <w:szCs w:val="20"/>
        </w:rPr>
        <w:fldChar w:fldCharType="begin"/>
      </w:r>
      <w:r>
        <w:rPr>
          <w:smallCaps/>
          <w:szCs w:val="20"/>
        </w:rPr>
        <w:instrText xml:space="preserve"> HYPERLINK \l _Toc28280 </w:instrText>
      </w:r>
      <w:r>
        <w:rPr>
          <w:smallCaps/>
          <w:szCs w:val="20"/>
        </w:rPr>
        <w:fldChar w:fldCharType="separate"/>
      </w:r>
      <w:r>
        <w:rPr>
          <w:rFonts w:hint="eastAsia" w:ascii="黑体" w:hAnsi="黑体" w:eastAsia="黑体" w:cs="黑体"/>
        </w:rPr>
        <w:t xml:space="preserve">第一部分 </w:t>
      </w:r>
      <w:r>
        <w:rPr>
          <w:rFonts w:hint="eastAsia" w:ascii="黑体" w:hAnsi="黑体" w:eastAsia="黑体" w:cs="黑体"/>
          <w:bCs w:val="0"/>
        </w:rPr>
        <w:t>部门概况</w:t>
      </w:r>
      <w:r>
        <w:tab/>
      </w:r>
      <w:r>
        <w:fldChar w:fldCharType="begin"/>
      </w:r>
      <w:r>
        <w:instrText xml:space="preserve"> PAGEREF _Toc28280 \h </w:instrText>
      </w:r>
      <w:r>
        <w:fldChar w:fldCharType="separate"/>
      </w:r>
      <w:r>
        <w:t>3</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_Toc29382 </w:instrText>
      </w:r>
      <w:r>
        <w:rPr>
          <w:smallCaps/>
          <w:szCs w:val="20"/>
        </w:rPr>
        <w:fldChar w:fldCharType="separate"/>
      </w:r>
      <w:r>
        <w:rPr>
          <w:rFonts w:hint="eastAsia" w:ascii="黑体" w:eastAsia="黑体" w:cs="Times New Roman"/>
          <w:bCs w:val="0"/>
        </w:rPr>
        <w:t>一、部门职责</w:t>
      </w:r>
      <w:r>
        <w:tab/>
      </w:r>
      <w:r>
        <w:fldChar w:fldCharType="begin"/>
      </w:r>
      <w:r>
        <w:instrText xml:space="preserve"> PAGEREF _Toc29382 \h </w:instrText>
      </w:r>
      <w:r>
        <w:fldChar w:fldCharType="separate"/>
      </w:r>
      <w:r>
        <w:t>3</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_Toc7982 </w:instrText>
      </w:r>
      <w:r>
        <w:rPr>
          <w:smallCaps/>
          <w:szCs w:val="20"/>
        </w:rPr>
        <w:fldChar w:fldCharType="separate"/>
      </w:r>
      <w:r>
        <w:rPr>
          <w:rFonts w:hint="eastAsia" w:ascii="黑体" w:eastAsia="黑体" w:cs="Times New Roman"/>
          <w:bCs w:val="0"/>
        </w:rPr>
        <w:t>二、机构设置</w:t>
      </w:r>
      <w:r>
        <w:tab/>
      </w:r>
      <w:r>
        <w:fldChar w:fldCharType="begin"/>
      </w:r>
      <w:r>
        <w:instrText xml:space="preserve"> PAGEREF _Toc7982 \h </w:instrText>
      </w:r>
      <w:r>
        <w:fldChar w:fldCharType="separate"/>
      </w:r>
      <w:r>
        <w:t>3</w:t>
      </w:r>
      <w:r>
        <w:fldChar w:fldCharType="end"/>
      </w:r>
      <w:r>
        <w:rPr>
          <w:smallCaps/>
          <w:szCs w:val="20"/>
        </w:rPr>
        <w:fldChar w:fldCharType="end"/>
      </w:r>
    </w:p>
    <w:p>
      <w:pPr>
        <w:pStyle w:val="13"/>
        <w:tabs>
          <w:tab w:val="right" w:leader="dot" w:pos="8306"/>
          <w:tab w:val="clear" w:pos="8296"/>
        </w:tabs>
      </w:pPr>
      <w:r>
        <w:rPr>
          <w:smallCaps/>
          <w:szCs w:val="20"/>
        </w:rPr>
        <w:fldChar w:fldCharType="begin"/>
      </w:r>
      <w:r>
        <w:rPr>
          <w:smallCaps/>
          <w:szCs w:val="20"/>
        </w:rPr>
        <w:instrText xml:space="preserve"> HYPERLINK \l _Toc3119 </w:instrText>
      </w:r>
      <w:r>
        <w:rPr>
          <w:smallCaps/>
          <w:szCs w:val="20"/>
        </w:rPr>
        <w:fldChar w:fldCharType="separate"/>
      </w:r>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2022</w:t>
      </w:r>
      <w:r>
        <w:rPr>
          <w:rFonts w:ascii="黑体" w:hAnsi="黑体" w:eastAsia="黑体" w:cs="黑体"/>
          <w:u w:color="auto"/>
        </w:rPr>
        <w:t>年度部门决算情况说明</w:t>
      </w:r>
      <w:r>
        <w:tab/>
      </w:r>
      <w:r>
        <w:fldChar w:fldCharType="begin"/>
      </w:r>
      <w:r>
        <w:instrText xml:space="preserve"> PAGEREF _Toc3119 \h </w:instrText>
      </w:r>
      <w:r>
        <w:fldChar w:fldCharType="separate"/>
      </w:r>
      <w:r>
        <w:t>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_Toc21486 </w:instrText>
      </w:r>
      <w:r>
        <w:rPr>
          <w:smallCaps/>
          <w:szCs w:val="20"/>
        </w:rPr>
        <w:fldChar w:fldCharType="separate"/>
      </w:r>
      <w:r>
        <w:rPr>
          <w:rFonts w:hint="eastAsia" w:ascii="黑体" w:eastAsia="黑体" w:cs="Times New Roman"/>
          <w:bCs w:val="0"/>
        </w:rPr>
        <w:t>一、收入支出决算总体情况说明</w:t>
      </w:r>
      <w:r>
        <w:tab/>
      </w:r>
      <w:r>
        <w:fldChar w:fldCharType="begin"/>
      </w:r>
      <w:r>
        <w:instrText xml:space="preserve"> PAGEREF _Toc21486 \h </w:instrText>
      </w:r>
      <w:r>
        <w:fldChar w:fldCharType="separate"/>
      </w:r>
      <w:r>
        <w:t>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_Toc24609 </w:instrText>
      </w:r>
      <w:r>
        <w:rPr>
          <w:smallCaps/>
          <w:szCs w:val="20"/>
        </w:rPr>
        <w:fldChar w:fldCharType="separate"/>
      </w:r>
      <w:r>
        <w:rPr>
          <w:rFonts w:hint="eastAsia" w:ascii="黑体" w:eastAsia="黑体" w:cs="Times New Roman"/>
          <w:bCs w:val="0"/>
        </w:rPr>
        <w:t>二、收入决算情况说明</w:t>
      </w:r>
      <w:r>
        <w:tab/>
      </w:r>
      <w:r>
        <w:fldChar w:fldCharType="begin"/>
      </w:r>
      <w:r>
        <w:instrText xml:space="preserve"> PAGEREF _Toc24609 \h </w:instrText>
      </w:r>
      <w:r>
        <w:fldChar w:fldCharType="separate"/>
      </w:r>
      <w:r>
        <w:t>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_Toc8745 </w:instrText>
      </w:r>
      <w:r>
        <w:rPr>
          <w:smallCaps/>
          <w:szCs w:val="20"/>
        </w:rPr>
        <w:fldChar w:fldCharType="separate"/>
      </w:r>
      <w:r>
        <w:rPr>
          <w:rFonts w:hint="eastAsia" w:ascii="黑体" w:eastAsia="黑体" w:cs="Times New Roman"/>
          <w:bCs w:val="0"/>
        </w:rPr>
        <w:t>三、支出决算情况说明</w:t>
      </w:r>
      <w:r>
        <w:tab/>
      </w:r>
      <w:r>
        <w:fldChar w:fldCharType="begin"/>
      </w:r>
      <w:r>
        <w:instrText xml:space="preserve"> PAGEREF _Toc8745 \h </w:instrText>
      </w:r>
      <w:r>
        <w:fldChar w:fldCharType="separate"/>
      </w:r>
      <w:r>
        <w:t>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_Toc13661 </w:instrText>
      </w:r>
      <w:r>
        <w:rPr>
          <w:smallCaps/>
          <w:szCs w:val="20"/>
        </w:rPr>
        <w:fldChar w:fldCharType="separate"/>
      </w:r>
      <w:r>
        <w:rPr>
          <w:rFonts w:hint="eastAsia" w:ascii="黑体" w:eastAsia="黑体" w:cs="Times New Roman"/>
          <w:bCs w:val="0"/>
        </w:rPr>
        <w:t>四、财政拨款收入支出决算总体情况说明</w:t>
      </w:r>
      <w:r>
        <w:tab/>
      </w:r>
      <w:r>
        <w:fldChar w:fldCharType="begin"/>
      </w:r>
      <w:r>
        <w:instrText xml:space="preserve"> PAGEREF _Toc13661 \h </w:instrText>
      </w:r>
      <w:r>
        <w:fldChar w:fldCharType="separate"/>
      </w:r>
      <w:r>
        <w:t>6</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_Toc2126 </w:instrText>
      </w:r>
      <w:r>
        <w:rPr>
          <w:smallCaps/>
          <w:szCs w:val="20"/>
        </w:rPr>
        <w:fldChar w:fldCharType="separate"/>
      </w:r>
      <w:r>
        <w:rPr>
          <w:rFonts w:hint="eastAsia" w:ascii="黑体" w:eastAsia="黑体" w:cs="Times New Roman"/>
          <w:bCs w:val="0"/>
        </w:rPr>
        <w:t>五、一般公共预算财政拨款支出决算情况说明</w:t>
      </w:r>
      <w:r>
        <w:tab/>
      </w:r>
      <w:r>
        <w:fldChar w:fldCharType="begin"/>
      </w:r>
      <w:r>
        <w:instrText xml:space="preserve"> PAGEREF _Toc2126 \h </w:instrText>
      </w:r>
      <w:r>
        <w:fldChar w:fldCharType="separate"/>
      </w:r>
      <w:r>
        <w:t>7</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_Toc24703 </w:instrText>
      </w:r>
      <w:r>
        <w:rPr>
          <w:smallCaps/>
          <w:szCs w:val="20"/>
        </w:rPr>
        <w:fldChar w:fldCharType="separate"/>
      </w:r>
      <w:r>
        <w:rPr>
          <w:rFonts w:hint="eastAsia" w:ascii="黑体" w:eastAsia="黑体" w:cs="Times New Roman"/>
          <w:bCs w:val="0"/>
        </w:rPr>
        <w:t>六、一般公共预算财政拨款基本支出决算情况说明</w:t>
      </w:r>
      <w:r>
        <w:tab/>
      </w:r>
      <w:r>
        <w:fldChar w:fldCharType="begin"/>
      </w:r>
      <w:r>
        <w:instrText xml:space="preserve"> PAGEREF _Toc24703 \h </w:instrText>
      </w:r>
      <w:r>
        <w:fldChar w:fldCharType="separate"/>
      </w:r>
      <w:r>
        <w:t>9</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_Toc16585 </w:instrText>
      </w:r>
      <w:r>
        <w:rPr>
          <w:smallCaps/>
          <w:szCs w:val="20"/>
        </w:rPr>
        <w:fldChar w:fldCharType="separate"/>
      </w:r>
      <w:r>
        <w:rPr>
          <w:rFonts w:hint="eastAsia" w:ascii="黑体" w:eastAsia="黑体" w:cs="Times New Roman"/>
          <w:bCs w:val="0"/>
        </w:rPr>
        <w:t>七、“三公”经费财政拨款支出决算情况说明</w:t>
      </w:r>
      <w:r>
        <w:tab/>
      </w:r>
      <w:r>
        <w:fldChar w:fldCharType="begin"/>
      </w:r>
      <w:r>
        <w:instrText xml:space="preserve"> PAGEREF _Toc16585 \h </w:instrText>
      </w:r>
      <w:r>
        <w:fldChar w:fldCharType="separate"/>
      </w:r>
      <w:r>
        <w:t>9</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_Toc4484 </w:instrText>
      </w:r>
      <w:r>
        <w:rPr>
          <w:smallCaps/>
          <w:szCs w:val="20"/>
        </w:rPr>
        <w:fldChar w:fldCharType="separate"/>
      </w:r>
      <w:r>
        <w:rPr>
          <w:rFonts w:hint="eastAsia" w:ascii="黑体" w:eastAsia="黑体" w:cs="Times New Roman"/>
          <w:bCs w:val="0"/>
        </w:rPr>
        <w:t>八、政府性基金预算支出决算情况说明</w:t>
      </w:r>
      <w:r>
        <w:tab/>
      </w:r>
      <w:r>
        <w:fldChar w:fldCharType="begin"/>
      </w:r>
      <w:r>
        <w:instrText xml:space="preserve"> PAGEREF _Toc4484 \h </w:instrText>
      </w:r>
      <w:r>
        <w:fldChar w:fldCharType="separate"/>
      </w:r>
      <w:r>
        <w:t>11</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_Toc1532 </w:instrText>
      </w:r>
      <w:r>
        <w:rPr>
          <w:smallCaps/>
          <w:szCs w:val="20"/>
        </w:rPr>
        <w:fldChar w:fldCharType="separate"/>
      </w:r>
      <w:r>
        <w:rPr>
          <w:rFonts w:hint="eastAsia" w:ascii="黑体" w:eastAsia="黑体" w:cs="Times New Roman"/>
          <w:bCs w:val="0"/>
        </w:rPr>
        <w:t>九、国有资本经营预算支出决算情况说明</w:t>
      </w:r>
      <w:r>
        <w:tab/>
      </w:r>
      <w:r>
        <w:fldChar w:fldCharType="begin"/>
      </w:r>
      <w:r>
        <w:instrText xml:space="preserve"> PAGEREF _Toc1532 \h </w:instrText>
      </w:r>
      <w:r>
        <w:fldChar w:fldCharType="separate"/>
      </w:r>
      <w:r>
        <w:t>12</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_Toc587 </w:instrText>
      </w:r>
      <w:r>
        <w:rPr>
          <w:smallCaps/>
          <w:szCs w:val="20"/>
        </w:rPr>
        <w:fldChar w:fldCharType="separate"/>
      </w:r>
      <w:r>
        <w:rPr>
          <w:rFonts w:hint="eastAsia" w:ascii="黑体" w:eastAsia="黑体" w:cs="Times New Roman"/>
          <w:bCs w:val="0"/>
        </w:rPr>
        <w:t>十、其他重要事项的情况说明</w:t>
      </w:r>
      <w:r>
        <w:tab/>
      </w:r>
      <w:r>
        <w:fldChar w:fldCharType="begin"/>
      </w:r>
      <w:r>
        <w:instrText xml:space="preserve"> PAGEREF _Toc587 \h </w:instrText>
      </w:r>
      <w:r>
        <w:fldChar w:fldCharType="separate"/>
      </w:r>
      <w:r>
        <w:t>12</w:t>
      </w:r>
      <w:r>
        <w:fldChar w:fldCharType="end"/>
      </w:r>
      <w:r>
        <w:rPr>
          <w:smallCaps/>
          <w:szCs w:val="20"/>
        </w:rPr>
        <w:fldChar w:fldCharType="end"/>
      </w:r>
    </w:p>
    <w:p>
      <w:pPr>
        <w:pStyle w:val="13"/>
        <w:tabs>
          <w:tab w:val="right" w:leader="dot" w:pos="8306"/>
          <w:tab w:val="clear" w:pos="8296"/>
        </w:tabs>
      </w:pPr>
      <w:r>
        <w:rPr>
          <w:smallCaps/>
          <w:szCs w:val="20"/>
        </w:rPr>
        <w:fldChar w:fldCharType="begin"/>
      </w:r>
      <w:r>
        <w:rPr>
          <w:smallCaps/>
          <w:szCs w:val="20"/>
        </w:rPr>
        <w:instrText xml:space="preserve"> HYPERLINK \l _Toc5924 </w:instrText>
      </w:r>
      <w:r>
        <w:rPr>
          <w:smallCaps/>
          <w:szCs w:val="20"/>
        </w:rPr>
        <w:fldChar w:fldCharType="separate"/>
      </w:r>
      <w:r>
        <w:rPr>
          <w:rFonts w:hint="eastAsia" w:ascii="黑体" w:hAnsi="黑体" w:eastAsia="黑体" w:cs="黑体"/>
        </w:rPr>
        <w:t>第三部分 名词解释</w:t>
      </w:r>
      <w:r>
        <w:tab/>
      </w:r>
      <w:r>
        <w:fldChar w:fldCharType="begin"/>
      </w:r>
      <w:r>
        <w:instrText xml:space="preserve"> PAGEREF _Toc5924 \h </w:instrText>
      </w:r>
      <w:r>
        <w:fldChar w:fldCharType="separate"/>
      </w:r>
      <w:r>
        <w:t>13</w:t>
      </w:r>
      <w:r>
        <w:fldChar w:fldCharType="end"/>
      </w:r>
      <w:r>
        <w:rPr>
          <w:smallCaps/>
          <w:szCs w:val="20"/>
        </w:rPr>
        <w:fldChar w:fldCharType="end"/>
      </w:r>
    </w:p>
    <w:p>
      <w:pPr>
        <w:pStyle w:val="13"/>
        <w:tabs>
          <w:tab w:val="right" w:leader="dot" w:pos="8306"/>
          <w:tab w:val="clear" w:pos="8296"/>
        </w:tabs>
      </w:pPr>
      <w:r>
        <w:rPr>
          <w:smallCaps/>
          <w:szCs w:val="20"/>
        </w:rPr>
        <w:fldChar w:fldCharType="begin"/>
      </w:r>
      <w:r>
        <w:rPr>
          <w:smallCaps/>
          <w:szCs w:val="20"/>
        </w:rPr>
        <w:instrText xml:space="preserve"> HYPERLINK \l _Toc13946 </w:instrText>
      </w:r>
      <w:r>
        <w:rPr>
          <w:smallCaps/>
          <w:szCs w:val="20"/>
        </w:rPr>
        <w:fldChar w:fldCharType="separate"/>
      </w:r>
      <w:r>
        <w:rPr>
          <w:rFonts w:hint="eastAsia" w:ascii="黑体" w:hAnsi="黑体" w:eastAsia="黑体" w:cs="黑体"/>
        </w:rPr>
        <w:t>第四部分 附件</w:t>
      </w:r>
      <w:r>
        <w:tab/>
      </w:r>
      <w:r>
        <w:fldChar w:fldCharType="begin"/>
      </w:r>
      <w:r>
        <w:instrText xml:space="preserve"> PAGEREF _Toc13946 \h </w:instrText>
      </w:r>
      <w:r>
        <w:fldChar w:fldCharType="separate"/>
      </w:r>
      <w:r>
        <w:t>15</w:t>
      </w:r>
      <w:r>
        <w:fldChar w:fldCharType="end"/>
      </w:r>
      <w:r>
        <w:rPr>
          <w:smallCaps/>
          <w:szCs w:val="20"/>
        </w:rPr>
        <w:fldChar w:fldCharType="end"/>
      </w:r>
    </w:p>
    <w:p>
      <w:pPr>
        <w:pStyle w:val="13"/>
        <w:tabs>
          <w:tab w:val="right" w:leader="dot" w:pos="8306"/>
          <w:tab w:val="clear" w:pos="8296"/>
        </w:tabs>
      </w:pPr>
      <w:r>
        <w:rPr>
          <w:smallCaps/>
          <w:szCs w:val="20"/>
        </w:rPr>
        <w:fldChar w:fldCharType="begin"/>
      </w:r>
      <w:r>
        <w:rPr>
          <w:smallCaps/>
          <w:szCs w:val="20"/>
        </w:rPr>
        <w:instrText xml:space="preserve"> HYPERLINK \l _Toc3397 </w:instrText>
      </w:r>
      <w:r>
        <w:rPr>
          <w:smallCaps/>
          <w:szCs w:val="20"/>
        </w:rPr>
        <w:fldChar w:fldCharType="separate"/>
      </w:r>
      <w:r>
        <w:rPr>
          <w:rFonts w:hint="eastAsia" w:ascii="黑体" w:hAnsi="黑体" w:eastAsia="黑体" w:cs="黑体"/>
        </w:rPr>
        <w:t>第五部分 附表</w:t>
      </w:r>
      <w:r>
        <w:tab/>
      </w:r>
      <w:r>
        <w:fldChar w:fldCharType="begin"/>
      </w:r>
      <w:r>
        <w:instrText xml:space="preserve"> PAGEREF _Toc3397 \h </w:instrText>
      </w:r>
      <w:r>
        <w:fldChar w:fldCharType="separate"/>
      </w:r>
      <w:r>
        <w:t>16</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_Toc16172 </w:instrText>
      </w:r>
      <w:r>
        <w:rPr>
          <w:smallCaps/>
          <w:szCs w:val="20"/>
        </w:rPr>
        <w:fldChar w:fldCharType="separate"/>
      </w:r>
      <w:r>
        <w:rPr>
          <w:rFonts w:hint="eastAsia" w:ascii="黑体" w:eastAsia="黑体" w:cs="Times New Roman"/>
          <w:bCs w:val="0"/>
        </w:rPr>
        <w:t>一、收入支出决算总表</w:t>
      </w:r>
      <w:r>
        <w:tab/>
      </w:r>
      <w:r>
        <w:fldChar w:fldCharType="begin"/>
      </w:r>
      <w:r>
        <w:instrText xml:space="preserve"> PAGEREF _Toc16172 \h </w:instrText>
      </w:r>
      <w:r>
        <w:fldChar w:fldCharType="separate"/>
      </w:r>
      <w:r>
        <w:t>16</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_Toc18577 </w:instrText>
      </w:r>
      <w:r>
        <w:rPr>
          <w:smallCaps/>
          <w:szCs w:val="20"/>
        </w:rPr>
        <w:fldChar w:fldCharType="separate"/>
      </w:r>
      <w:r>
        <w:rPr>
          <w:rFonts w:hint="eastAsia" w:ascii="黑体" w:eastAsia="黑体" w:cs="Times New Roman"/>
          <w:bCs w:val="0"/>
        </w:rPr>
        <w:t>二、收入决算表</w:t>
      </w:r>
      <w:r>
        <w:tab/>
      </w:r>
      <w:r>
        <w:fldChar w:fldCharType="begin"/>
      </w:r>
      <w:r>
        <w:instrText xml:space="preserve"> PAGEREF _Toc18577 \h </w:instrText>
      </w:r>
      <w:r>
        <w:fldChar w:fldCharType="separate"/>
      </w:r>
      <w:r>
        <w:t>16</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_Toc18759 </w:instrText>
      </w:r>
      <w:r>
        <w:rPr>
          <w:smallCaps/>
          <w:szCs w:val="20"/>
        </w:rPr>
        <w:fldChar w:fldCharType="separate"/>
      </w:r>
      <w:r>
        <w:rPr>
          <w:rFonts w:hint="eastAsia" w:ascii="黑体" w:eastAsia="黑体" w:cs="Times New Roman"/>
          <w:bCs w:val="0"/>
        </w:rPr>
        <w:t>三、支出决算表</w:t>
      </w:r>
      <w:r>
        <w:tab/>
      </w:r>
      <w:r>
        <w:fldChar w:fldCharType="begin"/>
      </w:r>
      <w:r>
        <w:instrText xml:space="preserve"> PAGEREF _Toc18759 \h </w:instrText>
      </w:r>
      <w:r>
        <w:fldChar w:fldCharType="separate"/>
      </w:r>
      <w:r>
        <w:t>16</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_Toc16869 </w:instrText>
      </w:r>
      <w:r>
        <w:rPr>
          <w:smallCaps/>
          <w:szCs w:val="20"/>
        </w:rPr>
        <w:fldChar w:fldCharType="separate"/>
      </w:r>
      <w:r>
        <w:rPr>
          <w:rFonts w:hint="eastAsia" w:ascii="黑体" w:eastAsia="黑体" w:cs="Times New Roman"/>
          <w:bCs w:val="0"/>
        </w:rPr>
        <w:t>四、财政拨款收入支出决算总表</w:t>
      </w:r>
      <w:r>
        <w:tab/>
      </w:r>
      <w:r>
        <w:fldChar w:fldCharType="begin"/>
      </w:r>
      <w:r>
        <w:instrText xml:space="preserve"> PAGEREF _Toc16869 \h </w:instrText>
      </w:r>
      <w:r>
        <w:fldChar w:fldCharType="separate"/>
      </w:r>
      <w:r>
        <w:t>16</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_Toc13179 </w:instrText>
      </w:r>
      <w:r>
        <w:rPr>
          <w:smallCaps/>
          <w:szCs w:val="20"/>
        </w:rPr>
        <w:fldChar w:fldCharType="separate"/>
      </w:r>
      <w:r>
        <w:rPr>
          <w:rFonts w:hint="eastAsia" w:ascii="黑体" w:eastAsia="黑体" w:cs="Times New Roman"/>
          <w:bCs w:val="0"/>
        </w:rPr>
        <w:t>五、财政拨款支出决算明细表</w:t>
      </w:r>
      <w:r>
        <w:tab/>
      </w:r>
      <w:r>
        <w:fldChar w:fldCharType="begin"/>
      </w:r>
      <w:r>
        <w:instrText xml:space="preserve"> PAGEREF _Toc13179 \h </w:instrText>
      </w:r>
      <w:r>
        <w:fldChar w:fldCharType="separate"/>
      </w:r>
      <w:r>
        <w:t>16</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_Toc10578 </w:instrText>
      </w:r>
      <w:r>
        <w:rPr>
          <w:smallCaps/>
          <w:szCs w:val="20"/>
        </w:rPr>
        <w:fldChar w:fldCharType="separate"/>
      </w:r>
      <w:r>
        <w:rPr>
          <w:rFonts w:hint="eastAsia" w:ascii="黑体" w:eastAsia="黑体" w:cs="Times New Roman"/>
          <w:bCs w:val="0"/>
        </w:rPr>
        <w:t>六、一般公共预算财政拨款支出决算表</w:t>
      </w:r>
      <w:r>
        <w:tab/>
      </w:r>
      <w:r>
        <w:fldChar w:fldCharType="begin"/>
      </w:r>
      <w:r>
        <w:instrText xml:space="preserve"> PAGEREF _Toc10578 \h </w:instrText>
      </w:r>
      <w:r>
        <w:fldChar w:fldCharType="separate"/>
      </w:r>
      <w:r>
        <w:t>16</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_Toc4404 </w:instrText>
      </w:r>
      <w:r>
        <w:rPr>
          <w:smallCaps/>
          <w:szCs w:val="20"/>
        </w:rPr>
        <w:fldChar w:fldCharType="separate"/>
      </w:r>
      <w:r>
        <w:rPr>
          <w:rFonts w:hint="eastAsia" w:ascii="黑体" w:eastAsia="黑体" w:cs="Times New Roman"/>
          <w:bCs w:val="0"/>
        </w:rPr>
        <w:t>七、一般公共预算财政拨款支出决算明细表</w:t>
      </w:r>
      <w:r>
        <w:tab/>
      </w:r>
      <w:r>
        <w:fldChar w:fldCharType="begin"/>
      </w:r>
      <w:r>
        <w:instrText xml:space="preserve"> PAGEREF _Toc4404 \h </w:instrText>
      </w:r>
      <w:r>
        <w:fldChar w:fldCharType="separate"/>
      </w:r>
      <w:r>
        <w:t>16</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_Toc16845 </w:instrText>
      </w:r>
      <w:r>
        <w:rPr>
          <w:smallCaps/>
          <w:szCs w:val="20"/>
        </w:rPr>
        <w:fldChar w:fldCharType="separate"/>
      </w:r>
      <w:r>
        <w:rPr>
          <w:rFonts w:hint="eastAsia" w:ascii="黑体" w:eastAsia="黑体" w:cs="Times New Roman"/>
          <w:bCs w:val="0"/>
        </w:rPr>
        <w:t>八、一般公共预算财政拨款基本支出决算表</w:t>
      </w:r>
      <w:r>
        <w:tab/>
      </w:r>
      <w:r>
        <w:fldChar w:fldCharType="begin"/>
      </w:r>
      <w:r>
        <w:instrText xml:space="preserve"> PAGEREF _Toc16845 \h </w:instrText>
      </w:r>
      <w:r>
        <w:fldChar w:fldCharType="separate"/>
      </w:r>
      <w:r>
        <w:t>16</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_Toc27130 </w:instrText>
      </w:r>
      <w:r>
        <w:rPr>
          <w:smallCaps/>
          <w:szCs w:val="20"/>
        </w:rPr>
        <w:fldChar w:fldCharType="separate"/>
      </w:r>
      <w:r>
        <w:rPr>
          <w:rFonts w:hint="eastAsia" w:ascii="黑体" w:eastAsia="黑体" w:cs="Times New Roman"/>
          <w:bCs w:val="0"/>
        </w:rPr>
        <w:t>九、一般公共预算财政拨款项目支出决算表</w:t>
      </w:r>
      <w:r>
        <w:tab/>
      </w:r>
      <w:r>
        <w:fldChar w:fldCharType="begin"/>
      </w:r>
      <w:r>
        <w:instrText xml:space="preserve"> PAGEREF _Toc27130 \h </w:instrText>
      </w:r>
      <w:r>
        <w:fldChar w:fldCharType="separate"/>
      </w:r>
      <w:r>
        <w:t>16</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_Toc11127 </w:instrText>
      </w:r>
      <w:r>
        <w:rPr>
          <w:smallCaps/>
          <w:szCs w:val="20"/>
        </w:rPr>
        <w:fldChar w:fldCharType="separate"/>
      </w:r>
      <w:r>
        <w:rPr>
          <w:rFonts w:hint="eastAsia" w:ascii="黑体" w:eastAsia="黑体" w:cs="Times New Roman"/>
          <w:bCs w:val="0"/>
        </w:rPr>
        <w:t>十、一般公共预算财政拨款“三公”经费支出决算表</w:t>
      </w:r>
      <w:r>
        <w:tab/>
      </w:r>
      <w:r>
        <w:fldChar w:fldCharType="begin"/>
      </w:r>
      <w:r>
        <w:instrText xml:space="preserve"> PAGEREF _Toc11127 \h </w:instrText>
      </w:r>
      <w:r>
        <w:fldChar w:fldCharType="separate"/>
      </w:r>
      <w:r>
        <w:t>16</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_Toc16676 </w:instrText>
      </w:r>
      <w:r>
        <w:rPr>
          <w:smallCaps/>
          <w:szCs w:val="20"/>
        </w:rPr>
        <w:fldChar w:fldCharType="separate"/>
      </w:r>
      <w:r>
        <w:rPr>
          <w:rFonts w:hint="eastAsia" w:ascii="黑体" w:eastAsia="黑体" w:cs="Times New Roman"/>
          <w:bCs w:val="0"/>
        </w:rPr>
        <w:t>十一、政府性基金预算财政拨款收入支出决算表</w:t>
      </w:r>
      <w:r>
        <w:tab/>
      </w:r>
      <w:r>
        <w:fldChar w:fldCharType="begin"/>
      </w:r>
      <w:r>
        <w:instrText xml:space="preserve"> PAGEREF _Toc16676 \h </w:instrText>
      </w:r>
      <w:r>
        <w:fldChar w:fldCharType="separate"/>
      </w:r>
      <w:r>
        <w:t>16</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_Toc6435 </w:instrText>
      </w:r>
      <w:r>
        <w:rPr>
          <w:smallCaps/>
          <w:szCs w:val="20"/>
        </w:rPr>
        <w:fldChar w:fldCharType="separate"/>
      </w:r>
      <w:r>
        <w:rPr>
          <w:rFonts w:hint="eastAsia" w:ascii="黑体" w:eastAsia="黑体" w:cs="Times New Roman"/>
          <w:bCs w:val="0"/>
        </w:rPr>
        <w:t>十二、政府性基金预算财政拨款“三公”经费支出决算表</w:t>
      </w:r>
      <w:r>
        <w:tab/>
      </w:r>
      <w:r>
        <w:fldChar w:fldCharType="begin"/>
      </w:r>
      <w:r>
        <w:instrText xml:space="preserve"> PAGEREF _Toc6435 \h </w:instrText>
      </w:r>
      <w:r>
        <w:fldChar w:fldCharType="separate"/>
      </w:r>
      <w:r>
        <w:t>16</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_Toc4035 </w:instrText>
      </w:r>
      <w:r>
        <w:rPr>
          <w:smallCaps/>
          <w:szCs w:val="20"/>
        </w:rPr>
        <w:fldChar w:fldCharType="separate"/>
      </w:r>
      <w:r>
        <w:rPr>
          <w:rFonts w:hint="eastAsia" w:ascii="黑体" w:eastAsia="黑体" w:cs="Times New Roman"/>
          <w:bCs w:val="0"/>
        </w:rPr>
        <w:t>十三、国有资本经营预算财政拨款收入支出决算表</w:t>
      </w:r>
      <w:r>
        <w:tab/>
      </w:r>
      <w:r>
        <w:fldChar w:fldCharType="begin"/>
      </w:r>
      <w:r>
        <w:instrText xml:space="preserve"> PAGEREF _Toc4035 \h </w:instrText>
      </w:r>
      <w:r>
        <w:fldChar w:fldCharType="separate"/>
      </w:r>
      <w:r>
        <w:t>16</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_Toc4862 </w:instrText>
      </w:r>
      <w:r>
        <w:rPr>
          <w:smallCaps/>
          <w:szCs w:val="20"/>
        </w:rPr>
        <w:fldChar w:fldCharType="separate"/>
      </w:r>
      <w:r>
        <w:rPr>
          <w:rFonts w:hint="eastAsia" w:ascii="黑体" w:eastAsia="黑体" w:cs="Times New Roman"/>
          <w:bCs w:val="0"/>
        </w:rPr>
        <w:t>十四、国有资本经营预算财政拨款支出决算表</w:t>
      </w:r>
      <w:r>
        <w:tab/>
      </w:r>
      <w:r>
        <w:fldChar w:fldCharType="begin"/>
      </w:r>
      <w:r>
        <w:instrText xml:space="preserve"> PAGEREF _Toc4862 \h </w:instrText>
      </w:r>
      <w:r>
        <w:fldChar w:fldCharType="separate"/>
      </w:r>
      <w:r>
        <w:t>16</w:t>
      </w:r>
      <w:r>
        <w:fldChar w:fldCharType="end"/>
      </w:r>
      <w:r>
        <w:rPr>
          <w:smallCaps/>
          <w:szCs w:val="20"/>
        </w:rPr>
        <w:fldChar w:fldCharType="end"/>
      </w:r>
    </w:p>
    <w:p>
      <w:pPr>
        <w:pStyle w:val="5"/>
      </w:pPr>
      <w:r>
        <w:rPr>
          <w:smallCaps/>
          <w:szCs w:val="20"/>
        </w:rPr>
        <w:fldChar w:fldCharType="end"/>
      </w:r>
    </w:p>
    <w:p>
      <w:pPr>
        <w:pStyle w:val="2"/>
        <w:jc w:val="center"/>
        <w:rPr>
          <w:rFonts w:ascii="黑体" w:hAnsi="黑体" w:eastAsia="黑体" w:cs="黑体"/>
          <w:b w:val="0"/>
          <w:bCs w:val="0"/>
        </w:rPr>
      </w:pPr>
      <w:bookmarkStart w:id="13" w:name="_Toc111208495"/>
      <w:bookmarkStart w:id="14" w:name="_Toc28280"/>
      <w:r>
        <w:rPr>
          <w:rFonts w:hint="eastAsia" w:ascii="黑体" w:hAnsi="黑体" w:eastAsia="黑体" w:cs="黑体"/>
        </w:rPr>
        <w:t xml:space="preserve">第一部分 </w:t>
      </w:r>
      <w:r>
        <w:rPr>
          <w:rStyle w:val="30"/>
          <w:rFonts w:hint="eastAsia" w:ascii="黑体" w:hAnsi="黑体" w:eastAsia="黑体" w:cs="黑体"/>
          <w:b/>
          <w:bCs w:val="0"/>
        </w:rPr>
        <w:t>部门概况</w:t>
      </w:r>
      <w:bookmarkEnd w:id="12"/>
      <w:bookmarkEnd w:id="13"/>
      <w:bookmarkEnd w:id="14"/>
    </w:p>
    <w:p>
      <w:pPr>
        <w:pStyle w:val="3"/>
        <w:ind w:firstLine="643" w:firstLineChars="200"/>
        <w:rPr>
          <w:rFonts w:ascii="黑体" w:eastAsia="黑体" w:cs="Times New Roman"/>
          <w:bCs w:val="0"/>
          <w:color w:val="000000"/>
        </w:rPr>
      </w:pPr>
      <w:bookmarkStart w:id="15" w:name="_Toc15377197"/>
      <w:bookmarkStart w:id="16" w:name="_Toc111208496"/>
      <w:bookmarkStart w:id="17" w:name="_Toc29382"/>
      <w:r>
        <w:rPr>
          <w:rFonts w:hint="eastAsia" w:ascii="黑体" w:eastAsia="黑体" w:cs="Times New Roman"/>
          <w:bCs w:val="0"/>
          <w:color w:val="000000"/>
        </w:rPr>
        <w:t>一、</w:t>
      </w:r>
      <w:bookmarkEnd w:id="15"/>
      <w:bookmarkEnd w:id="16"/>
      <w:bookmarkStart w:id="18" w:name="_Toc15378445"/>
      <w:bookmarkStart w:id="19" w:name="_Toc15377198"/>
      <w:r>
        <w:rPr>
          <w:rFonts w:hint="eastAsia" w:ascii="黑体" w:eastAsia="黑体" w:cs="Times New Roman"/>
          <w:bCs w:val="0"/>
          <w:color w:val="000000"/>
        </w:rPr>
        <w:t>部门职责</w:t>
      </w:r>
      <w:bookmarkEnd w:id="17"/>
    </w:p>
    <w:bookmarkEnd w:id="18"/>
    <w:bookmarkEnd w:id="19"/>
    <w:p>
      <w:pPr>
        <w:rPr>
          <w:rFonts w:ascii="仿宋" w:hAnsi="仿宋" w:eastAsia="仿宋"/>
          <w:color w:val="000000"/>
          <w:sz w:val="32"/>
          <w:szCs w:val="32"/>
        </w:rPr>
      </w:pPr>
      <w:r>
        <w:rPr>
          <w:rFonts w:ascii="仿宋" w:hAnsi="仿宋" w:eastAsia="仿宋"/>
          <w:color w:val="000000"/>
          <w:sz w:val="32"/>
          <w:szCs w:val="32"/>
        </w:rPr>
        <w:cr/>
      </w:r>
      <w:r>
        <w:rPr>
          <w:rFonts w:ascii="仿宋" w:hAnsi="仿宋" w:eastAsia="仿宋"/>
          <w:color w:val="000000"/>
          <w:sz w:val="32"/>
          <w:szCs w:val="32"/>
        </w:rPr>
        <w:t>提供基本医疗服务。卫生院以公共卫生服务为主，综合提供预防、保健和基本医疗等服务。</w:t>
      </w:r>
      <w:r>
        <w:rPr>
          <w:rFonts w:ascii="仿宋" w:hAnsi="仿宋" w:eastAsia="仿宋"/>
          <w:color w:val="000000"/>
          <w:sz w:val="32"/>
          <w:szCs w:val="32"/>
        </w:rPr>
        <w:cr/>
      </w:r>
      <w:r>
        <w:rPr>
          <w:rFonts w:ascii="仿宋" w:hAnsi="仿宋" w:eastAsia="仿宋"/>
          <w:color w:val="000000"/>
          <w:sz w:val="32"/>
          <w:szCs w:val="32"/>
        </w:rPr>
        <w:cr/>
      </w:r>
      <w:r>
        <w:rPr>
          <w:rFonts w:ascii="仿宋" w:hAnsi="仿宋" w:eastAsia="仿宋"/>
          <w:color w:val="000000"/>
          <w:sz w:val="32"/>
          <w:szCs w:val="32"/>
        </w:rPr>
        <w:t>加强疾病预防，做好重大疾病防控并及时报告。加强农村疾病预防控制，做好传染病、地方病防治和疫情等农村突发公共卫生事件报告工作，重点控制严重危害农民身体健康的传染病、地方病、职业病和寄生虫病等重大疾病。</w:t>
      </w:r>
      <w:r>
        <w:rPr>
          <w:rFonts w:ascii="仿宋" w:hAnsi="仿宋" w:eastAsia="仿宋"/>
          <w:color w:val="000000"/>
          <w:sz w:val="32"/>
          <w:szCs w:val="32"/>
        </w:rPr>
        <w:cr/>
      </w:r>
      <w:r>
        <w:rPr>
          <w:rFonts w:ascii="仿宋" w:hAnsi="仿宋" w:eastAsia="仿宋"/>
          <w:color w:val="000000"/>
          <w:sz w:val="32"/>
          <w:szCs w:val="32"/>
        </w:rPr>
        <w:cr/>
      </w:r>
      <w:r>
        <w:rPr>
          <w:rFonts w:ascii="仿宋" w:hAnsi="仿宋" w:eastAsia="仿宋"/>
          <w:color w:val="000000"/>
          <w:sz w:val="32"/>
          <w:szCs w:val="32"/>
        </w:rPr>
        <w:t>执行免疫计划，开展慢性疾病防治工作。认真执行儿童计划免疫，积极开展慢性非传染性疾病的防治工作。</w:t>
      </w:r>
      <w:r>
        <w:rPr>
          <w:rFonts w:ascii="仿宋" w:hAnsi="仿宋" w:eastAsia="仿宋"/>
          <w:color w:val="000000"/>
          <w:sz w:val="32"/>
          <w:szCs w:val="32"/>
        </w:rPr>
        <w:cr/>
      </w:r>
      <w:r>
        <w:rPr>
          <w:rFonts w:ascii="仿宋" w:hAnsi="仿宋" w:eastAsia="仿宋"/>
          <w:color w:val="000000"/>
          <w:sz w:val="32"/>
          <w:szCs w:val="32"/>
        </w:rPr>
        <w:cr/>
      </w:r>
      <w:r>
        <w:rPr>
          <w:rFonts w:ascii="仿宋" w:hAnsi="仿宋" w:eastAsia="仿宋"/>
          <w:color w:val="000000"/>
          <w:sz w:val="32"/>
          <w:szCs w:val="32"/>
        </w:rPr>
        <w:t>做好育儿保健，提高孕妇分娩率。做好农村孕产妇和儿童保健工作，提高住院分娩率，改善儿童营养状况。</w:t>
      </w:r>
      <w:bookmarkStart w:id="20" w:name="_Toc15377200"/>
    </w:p>
    <w:p>
      <w:pPr>
        <w:pStyle w:val="3"/>
        <w:ind w:firstLine="643" w:firstLineChars="200"/>
        <w:rPr>
          <w:rFonts w:ascii="黑体" w:eastAsia="黑体" w:cs="Times New Roman"/>
          <w:bCs w:val="0"/>
          <w:color w:val="000000"/>
        </w:rPr>
      </w:pPr>
      <w:bookmarkStart w:id="21" w:name="_Toc111208497"/>
      <w:bookmarkStart w:id="22" w:name="_Toc7982"/>
      <w:r>
        <w:rPr>
          <w:rFonts w:hint="eastAsia" w:ascii="黑体" w:eastAsia="黑体" w:cs="Times New Roman"/>
          <w:bCs w:val="0"/>
          <w:color w:val="000000"/>
        </w:rPr>
        <w:t>二、机构设置</w:t>
      </w:r>
      <w:bookmarkEnd w:id="20"/>
      <w:bookmarkEnd w:id="21"/>
      <w:bookmarkEnd w:id="22"/>
    </w:p>
    <w:p>
      <w:pPr>
        <w:rPr>
          <w:rFonts w:ascii="仿宋" w:hAnsi="仿宋" w:eastAsia="仿宋"/>
          <w:color w:val="000000"/>
          <w:sz w:val="32"/>
          <w:szCs w:val="32"/>
        </w:rPr>
      </w:pPr>
      <w:r>
        <w:rPr>
          <w:rFonts w:ascii="仿宋" w:hAnsi="仿宋" w:eastAsia="仿宋"/>
          <w:color w:val="000000"/>
          <w:sz w:val="32"/>
          <w:szCs w:val="32"/>
        </w:rPr>
        <w:cr/>
      </w:r>
      <w:r>
        <w:rPr>
          <w:rFonts w:ascii="仿宋" w:hAnsi="仿宋" w:eastAsia="仿宋"/>
          <w:color w:val="000000"/>
          <w:sz w:val="32"/>
          <w:szCs w:val="32"/>
        </w:rPr>
        <w:t>预防保健科、内科、外科（普通外科）、妇产科、妇女保健科、儿科、中医科</w:t>
      </w:r>
    </w:p>
    <w:p>
      <w:pPr>
        <w:widowControl/>
        <w:jc w:val="left"/>
        <w:rPr>
          <w:rFonts w:ascii="仿宋_GB2312" w:hAnsi="黑体" w:eastAsia="仿宋_GB2312"/>
          <w:b/>
          <w:bCs/>
          <w:color w:val="000000"/>
          <w:kern w:val="44"/>
          <w:sz w:val="44"/>
          <w:szCs w:val="44"/>
        </w:rPr>
      </w:pPr>
      <w:bookmarkStart w:id="23" w:name="_Toc15377204"/>
      <w:r>
        <w:rPr>
          <w:rFonts w:ascii="仿宋_GB2312" w:hAnsi="黑体" w:eastAsia="仿宋_GB2312"/>
          <w:color w:val="000000"/>
        </w:rPr>
        <w:br w:type="page"/>
      </w:r>
    </w:p>
    <w:p>
      <w:pPr>
        <w:pStyle w:val="2"/>
        <w:jc w:val="center"/>
        <w:rPr>
          <w:rFonts w:ascii="黑体" w:hAnsi="黑体" w:eastAsia="黑体" w:cs="黑体"/>
        </w:rPr>
      </w:pPr>
      <w:bookmarkStart w:id="24" w:name="_Toc111208498"/>
      <w:bookmarkStart w:id="25" w:name="_Toc3119"/>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2022</w:t>
      </w:r>
      <w:r>
        <w:rPr>
          <w:rFonts w:ascii="黑体" w:hAnsi="黑体" w:eastAsia="黑体" w:cs="黑体"/>
          <w:u w:color="auto"/>
        </w:rPr>
        <w:t>年度部门决算情况说明</w:t>
      </w:r>
      <w:bookmarkEnd w:id="23"/>
      <w:bookmarkEnd w:id="24"/>
      <w:bookmarkEnd w:id="25"/>
    </w:p>
    <w:p>
      <w:pPr>
        <w:pStyle w:val="3"/>
        <w:ind w:firstLine="643" w:firstLineChars="200"/>
        <w:rPr>
          <w:rFonts w:ascii="黑体" w:eastAsia="黑体" w:cs="Times New Roman"/>
          <w:bCs w:val="0"/>
          <w:color w:val="000000"/>
        </w:rPr>
      </w:pPr>
      <w:bookmarkStart w:id="26" w:name="_Toc15377205"/>
      <w:bookmarkStart w:id="27" w:name="_Toc111208499"/>
      <w:bookmarkStart w:id="28" w:name="_Toc21486"/>
      <w:r>
        <w:rPr>
          <w:rFonts w:hint="eastAsia" w:ascii="黑体" w:eastAsia="黑体" w:cs="Times New Roman"/>
          <w:bCs w:val="0"/>
          <w:color w:val="000000"/>
        </w:rPr>
        <w:t>一、收入支出决算总体情况说</w:t>
      </w:r>
      <w:bookmarkEnd w:id="26"/>
      <w:r>
        <w:rPr>
          <w:rFonts w:hint="eastAsia" w:ascii="黑体" w:eastAsia="黑体" w:cs="Times New Roman"/>
          <w:bCs w:val="0"/>
          <w:color w:val="000000"/>
        </w:rPr>
        <w:t>明</w:t>
      </w:r>
      <w:bookmarkEnd w:id="27"/>
      <w:bookmarkEnd w:id="28"/>
    </w:p>
    <w:p>
      <w:pPr>
        <w:spacing w:line="600" w:lineRule="exact"/>
        <w:ind w:firstLine="640" w:firstLineChars="200"/>
        <w:rPr>
          <w:rFonts w:ascii="仿宋_GB2312" w:hAnsi="仿宋" w:eastAsia="仿宋_GB2312"/>
          <w:color w:val="00B0F0"/>
          <w:sz w:val="32"/>
          <w:szCs w:val="32"/>
        </w:rPr>
      </w:pPr>
      <w:r>
        <w:rPr>
          <w:rFonts w:ascii="仿宋" w:hAnsi="仿宋" w:eastAsia="仿宋"/>
          <w:color w:val="000000"/>
          <w:sz w:val="32"/>
          <w:szCs w:val="32"/>
        </w:rPr>
        <w:t>2022</w:t>
      </w:r>
      <w:r>
        <w:rPr>
          <w:rFonts w:hint="eastAsia" w:ascii="仿宋" w:hAnsi="仿宋" w:eastAsia="仿宋"/>
          <w:color w:val="000000"/>
          <w:sz w:val="32"/>
          <w:szCs w:val="32"/>
        </w:rPr>
        <w:t>年度收、支总计</w:t>
      </w:r>
      <w:r>
        <w:rPr>
          <w:rFonts w:ascii="仿宋" w:hAnsi="仿宋" w:eastAsia="仿宋"/>
          <w:color w:val="000000"/>
          <w:sz w:val="32"/>
          <w:szCs w:val="32"/>
        </w:rPr>
        <w:t>170.97</w:t>
      </w:r>
      <w:r>
        <w:rPr>
          <w:rFonts w:hint="eastAsia" w:ascii="仿宋" w:hAnsi="仿宋" w:eastAsia="仿宋"/>
          <w:color w:val="000000"/>
          <w:sz w:val="32"/>
          <w:szCs w:val="32"/>
        </w:rPr>
        <w:t>万元。与</w:t>
      </w:r>
      <w:r>
        <w:rPr>
          <w:rFonts w:ascii="仿宋" w:hAnsi="仿宋" w:eastAsia="仿宋"/>
          <w:color w:val="000000"/>
          <w:sz w:val="32"/>
          <w:szCs w:val="32"/>
        </w:rPr>
        <w:t>2021</w:t>
      </w:r>
      <w:r>
        <w:rPr>
          <w:rFonts w:hint="eastAsia" w:ascii="仿宋" w:hAnsi="仿宋" w:eastAsia="仿宋"/>
          <w:color w:val="000000"/>
          <w:sz w:val="32"/>
          <w:szCs w:val="32"/>
        </w:rPr>
        <w:t>年相比，收、支总计各</w:t>
      </w:r>
      <w:r>
        <w:rPr>
          <w:rFonts w:ascii="仿宋" w:hAnsi="仿宋" w:eastAsia="仿宋"/>
          <w:color w:val="000000"/>
          <w:sz w:val="32"/>
          <w:szCs w:val="32"/>
        </w:rPr>
        <w:t>增加170.97</w:t>
      </w:r>
      <w:r>
        <w:rPr>
          <w:rFonts w:hint="eastAsia" w:ascii="仿宋" w:hAnsi="仿宋" w:eastAsia="仿宋"/>
          <w:color w:val="000000"/>
          <w:sz w:val="32"/>
          <w:szCs w:val="32"/>
        </w:rPr>
        <w:t>万元，</w:t>
      </w:r>
      <w:r>
        <w:rPr>
          <w:rFonts w:ascii="仿宋" w:hAnsi="仿宋" w:eastAsia="仿宋"/>
          <w:color w:val="000000"/>
          <w:sz w:val="32"/>
          <w:szCs w:val="32"/>
        </w:rPr>
        <w:t>增加100.00</w:t>
      </w:r>
      <w:r>
        <w:rPr>
          <w:rFonts w:hint="eastAsia" w:ascii="仿宋" w:hAnsi="仿宋" w:eastAsia="仿宋"/>
          <w:color w:val="000000"/>
          <w:sz w:val="32"/>
          <w:szCs w:val="32"/>
        </w:rPr>
        <w:t xml:space="preserve"> %。</w:t>
      </w:r>
      <w:r>
        <w:rPr>
          <w:rFonts w:ascii="仿宋" w:hAnsi="仿宋" w:eastAsia="仿宋"/>
          <w:color w:val="000000"/>
          <w:sz w:val="32"/>
          <w:u w:color="auto"/>
        </w:rPr>
        <w:t>主要变动原因是上年统一上报，今年分单位上报无上年数</w:t>
      </w:r>
    </w:p>
    <w:p>
      <w:pPr>
        <w:spacing w:line="600" w:lineRule="exact"/>
        <w:ind w:firstLine="640" w:firstLineChars="200"/>
        <w:jc w:val="right"/>
        <w:rPr>
          <w:rFonts w:ascii="仿宋_GB2312" w:hAnsi="仿宋" w:eastAsia="仿宋_GB2312"/>
          <w:color w:val="000000" w:themeColor="text1"/>
          <w:sz w:val="28"/>
          <w:szCs w:val="28"/>
          <w14:textFill>
            <w14:solidFill>
              <w14:schemeClr w14:val="tx1"/>
            </w14:solidFill>
          </w14:textFill>
        </w:rPr>
      </w:pPr>
      <w:r>
        <w:rPr>
          <w:rFonts w:hint="eastAsia" w:ascii="仿宋" w:hAnsi="仿宋" w:eastAsia="仿宋"/>
          <w:color w:val="000000"/>
          <w:sz w:val="32"/>
          <w:szCs w:val="32"/>
        </w:rPr>
        <w:t>（图1：收、支决算总计变动情况图）</w:t>
      </w:r>
    </w:p>
    <w:p>
      <w:pPr>
        <w:spacing w:line="600" w:lineRule="exact"/>
        <w:ind w:firstLine="560" w:firstLineChars="200"/>
        <w:jc w:val="center"/>
        <w:rPr>
          <w:rFonts w:ascii="仿宋_GB2312" w:eastAsia="仿宋_GB2312"/>
          <w:color w:val="000000"/>
          <w:sz w:val="28"/>
          <w:szCs w:val="28"/>
        </w:rPr>
      </w:pPr>
    </w:p>
    <w:p>
      <w:pPr>
        <w:pStyle w:val="5"/>
      </w:pPr>
      <w:r>
        <w:drawing>
          <wp:inline distT="0" distB="0" distL="114300" distR="114300">
            <wp:extent cx="5343525" cy="2933700"/>
            <wp:effectExtent l="0" t="0" r="9525" b="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3"/>
        <w:ind w:firstLine="643" w:firstLineChars="200"/>
        <w:rPr>
          <w:rFonts w:ascii="黑体" w:eastAsia="黑体" w:cs="Times New Roman"/>
          <w:bCs w:val="0"/>
          <w:color w:val="000000"/>
        </w:rPr>
      </w:pPr>
      <w:bookmarkStart w:id="29" w:name="_Toc111208500"/>
      <w:bookmarkStart w:id="30" w:name="_Toc15377206"/>
      <w:bookmarkStart w:id="31" w:name="_Toc24609"/>
      <w:r>
        <w:rPr>
          <w:rFonts w:hint="eastAsia" w:ascii="黑体" w:eastAsia="黑体" w:cs="Times New Roman"/>
          <w:bCs w:val="0"/>
          <w:color w:val="000000"/>
        </w:rPr>
        <w:t>二、收入决算情况说明</w:t>
      </w:r>
      <w:bookmarkEnd w:id="29"/>
      <w:bookmarkEnd w:id="30"/>
      <w:bookmarkEnd w:id="31"/>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本年收入合计170.97万元，其中：一般公共预算财政拨款收入170.97万元，占100.00%；政府性基金预算财政拨款收入0.00万元，占0.00%；国有资本经营预算财政拨款收入0.00万元，占0.00%；上级补助收入0.00万元，占0.00%；事业收入0.00万元，占%；经营收入0.00万元，占0.00%；附属单位上缴收入0.00万元，占0.00%；其他收入0.00万元，占0.00%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（图2：收入决算结构图）</w:t>
      </w:r>
    </w:p>
    <w:p>
      <w:pPr>
        <w:pStyle w:val="14"/>
        <w:ind w:left="1060" w:hanging="640"/>
        <w:jc w:val="center"/>
      </w:pPr>
      <w:r>
        <w:rPr>
          <w:rFonts w:hint="eastAsia" w:ascii="仿宋_GB2312" w:eastAsia="仿宋_GB2312"/>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3"/>
        <w:ind w:firstLine="643" w:firstLineChars="200"/>
        <w:rPr>
          <w:rFonts w:ascii="黑体" w:eastAsia="黑体" w:cs="Times New Roman"/>
          <w:bCs w:val="0"/>
          <w:color w:val="000000"/>
        </w:rPr>
      </w:pPr>
      <w:bookmarkStart w:id="32" w:name="_Toc8745"/>
      <w:bookmarkStart w:id="33" w:name="_Toc15377207"/>
      <w:bookmarkStart w:id="34" w:name="_Toc111208501"/>
      <w:r>
        <w:rPr>
          <w:rFonts w:hint="eastAsia" w:ascii="黑体" w:eastAsia="黑体" w:cs="Times New Roman"/>
          <w:bCs w:val="0"/>
          <w:color w:val="000000"/>
        </w:rPr>
        <w:t>三、支出决算情况说明</w:t>
      </w:r>
      <w:bookmarkEnd w:id="32"/>
      <w:bookmarkEnd w:id="33"/>
      <w:bookmarkEnd w:id="34"/>
    </w:p>
    <w:p>
      <w:pPr>
        <w:pStyle w:val="5"/>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szCs w:val="32"/>
        </w:rPr>
        <w:t>年本年支出合计</w:t>
      </w:r>
      <w:r>
        <w:rPr>
          <w:rFonts w:hint="eastAsia" w:ascii="仿宋" w:hAnsi="仿宋" w:eastAsia="仿宋"/>
          <w:color w:val="000000"/>
          <w:sz w:val="32"/>
          <w:szCs w:val="32"/>
        </w:rPr>
        <w:t>170.97</w:t>
      </w:r>
      <w:r>
        <w:rPr>
          <w:rFonts w:ascii="仿宋" w:hAnsi="仿宋" w:eastAsia="仿宋"/>
          <w:color w:val="000000"/>
          <w:sz w:val="32"/>
          <w:szCs w:val="32"/>
        </w:rPr>
        <w:t>万元，其中：基本支出</w:t>
      </w:r>
      <w:r>
        <w:rPr>
          <w:rFonts w:hint="eastAsia" w:ascii="仿宋" w:hAnsi="仿宋" w:eastAsia="仿宋"/>
          <w:color w:val="000000"/>
          <w:sz w:val="32"/>
          <w:szCs w:val="32"/>
        </w:rPr>
        <w:t>144.71</w:t>
      </w:r>
      <w:r>
        <w:rPr>
          <w:rFonts w:ascii="仿宋" w:hAnsi="仿宋" w:eastAsia="仿宋"/>
          <w:color w:val="000000"/>
          <w:sz w:val="32"/>
          <w:szCs w:val="32"/>
        </w:rPr>
        <w:t>万元，占</w:t>
      </w:r>
      <w:r>
        <w:rPr>
          <w:rFonts w:hint="eastAsia" w:ascii="仿宋" w:hAnsi="仿宋" w:eastAsia="仿宋"/>
          <w:color w:val="000000"/>
          <w:sz w:val="32"/>
          <w:szCs w:val="32"/>
        </w:rPr>
        <w:t>84.64</w:t>
      </w:r>
      <w:r>
        <w:rPr>
          <w:rFonts w:ascii="仿宋" w:hAnsi="仿宋" w:eastAsia="仿宋"/>
          <w:color w:val="000000"/>
          <w:sz w:val="32"/>
          <w:szCs w:val="32"/>
        </w:rPr>
        <w:t>%；项目支出</w:t>
      </w:r>
      <w:r>
        <w:rPr>
          <w:rFonts w:hint="eastAsia" w:ascii="仿宋" w:hAnsi="仿宋" w:eastAsia="仿宋"/>
          <w:color w:val="000000"/>
          <w:sz w:val="32"/>
          <w:szCs w:val="32"/>
        </w:rPr>
        <w:t>26.25</w:t>
      </w:r>
      <w:r>
        <w:rPr>
          <w:rFonts w:ascii="仿宋" w:hAnsi="仿宋" w:eastAsia="仿宋"/>
          <w:color w:val="000000"/>
          <w:sz w:val="32"/>
          <w:szCs w:val="32"/>
        </w:rPr>
        <w:t>万元，占</w:t>
      </w:r>
      <w:r>
        <w:rPr>
          <w:rFonts w:hint="eastAsia" w:ascii="仿宋" w:hAnsi="仿宋" w:eastAsia="仿宋"/>
          <w:color w:val="000000"/>
          <w:sz w:val="32"/>
          <w:szCs w:val="32"/>
        </w:rPr>
        <w:t>15.36</w:t>
      </w:r>
      <w:r>
        <w:rPr>
          <w:rFonts w:ascii="仿宋" w:hAnsi="仿宋" w:eastAsia="仿宋"/>
          <w:color w:val="000000"/>
          <w:sz w:val="32"/>
          <w:szCs w:val="32"/>
        </w:rPr>
        <w:t>%；上缴上级支出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%；经营支出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%；对附属单位补助支出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（图3：支出决算结构图）</w:t>
      </w:r>
    </w:p>
    <w:p>
      <w:pPr>
        <w:jc w:val="center"/>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5304155" cy="3429000"/>
            <wp:effectExtent l="0" t="0" r="1079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5"/>
      </w:pPr>
    </w:p>
    <w:p>
      <w:pPr>
        <w:pStyle w:val="3"/>
        <w:ind w:firstLine="643" w:firstLineChars="200"/>
        <w:rPr>
          <w:rFonts w:ascii="黑体" w:eastAsia="黑体" w:cs="Times New Roman"/>
          <w:bCs w:val="0"/>
          <w:color w:val="000000"/>
        </w:rPr>
      </w:pPr>
      <w:bookmarkStart w:id="35" w:name="_Toc111208502"/>
      <w:bookmarkStart w:id="36" w:name="_Toc13661"/>
      <w:bookmarkStart w:id="37" w:name="_Toc15377208"/>
      <w:r>
        <w:rPr>
          <w:rFonts w:hint="eastAsia" w:ascii="黑体" w:eastAsia="黑体" w:cs="Times New Roman"/>
          <w:bCs w:val="0"/>
          <w:color w:val="000000"/>
        </w:rPr>
        <w:t>四、财政拨款收入支出决算总体情况说明</w:t>
      </w:r>
      <w:bookmarkEnd w:id="35"/>
      <w:bookmarkEnd w:id="36"/>
      <w:bookmarkEnd w:id="37"/>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年财政拨款收、支总计170.97万元。与2021年相比，财政拨款收、支总计各增加170.97万元，增加100.00 %。主要变动原因是上年统一上报，今年分单位上报无上年数</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（图4：财政拨款收、支决算总计变动情况）</w:t>
      </w:r>
    </w:p>
    <w:p>
      <w:pPr>
        <w:pStyle w:val="5"/>
        <w:ind w:firstLine="0"/>
      </w:pPr>
    </w:p>
    <w:p>
      <w:pPr>
        <w:pStyle w:val="5"/>
        <w:jc w:val="left"/>
      </w:pPr>
      <w:r>
        <w:rPr>
          <w:rFonts w:hint="eastAsia" w:ascii="仿宋_GB2312" w:hAnsi="仿宋" w:eastAsia="仿宋_GB2312"/>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5"/>
        <w:jc w:val="center"/>
      </w:pPr>
    </w:p>
    <w:p>
      <w:pPr>
        <w:pStyle w:val="3"/>
        <w:ind w:firstLine="643" w:firstLineChars="200"/>
        <w:rPr>
          <w:rFonts w:ascii="黑体" w:eastAsia="黑体" w:cs="Times New Roman"/>
          <w:bCs w:val="0"/>
          <w:color w:val="000000"/>
        </w:rPr>
      </w:pPr>
      <w:bookmarkStart w:id="38" w:name="_Toc15377209"/>
      <w:bookmarkStart w:id="39" w:name="_Toc111208503"/>
      <w:bookmarkStart w:id="40" w:name="_Toc2126"/>
      <w:r>
        <w:rPr>
          <w:rFonts w:hint="eastAsia" w:ascii="黑体" w:eastAsia="黑体" w:cs="Times New Roman"/>
          <w:bCs w:val="0"/>
          <w:color w:val="000000"/>
        </w:rPr>
        <w:t>五、一般公共预算财政拨款支出决算情况说</w:t>
      </w:r>
      <w:bookmarkEnd w:id="38"/>
      <w:r>
        <w:rPr>
          <w:rFonts w:hint="eastAsia" w:ascii="黑体" w:eastAsia="黑体" w:cs="Times New Roman"/>
          <w:bCs w:val="0"/>
          <w:color w:val="000000"/>
        </w:rPr>
        <w:t>明</w:t>
      </w:r>
      <w:bookmarkEnd w:id="39"/>
      <w:bookmarkEnd w:id="40"/>
    </w:p>
    <w:p>
      <w:pPr>
        <w:spacing w:line="600" w:lineRule="exact"/>
        <w:ind w:firstLine="643" w:firstLineChars="200"/>
        <w:outlineLvl w:val="2"/>
        <w:rPr>
          <w:rFonts w:ascii="仿宋" w:hAnsi="仿宋" w:eastAsia="仿宋"/>
          <w:b/>
          <w:color w:val="000000"/>
          <w:sz w:val="32"/>
          <w:szCs w:val="32"/>
        </w:rPr>
      </w:pPr>
      <w:bookmarkStart w:id="41" w:name="_Toc15377210"/>
      <w:r>
        <w:rPr>
          <w:rFonts w:hint="eastAsia" w:ascii="仿宋" w:hAnsi="仿宋" w:eastAsia="仿宋"/>
          <w:b/>
          <w:color w:val="000000"/>
          <w:sz w:val="32"/>
          <w:szCs w:val="32"/>
        </w:rPr>
        <w:t>（一）一般公共预算财政拨款支出决算总体情况</w:t>
      </w:r>
      <w:bookmarkEnd w:id="41"/>
    </w:p>
    <w:p>
      <w:pPr>
        <w:spacing w:line="600" w:lineRule="exact"/>
        <w:ind w:firstLine="640" w:firstLineChars="200"/>
        <w:rPr>
          <w:rFonts w:ascii="仿宋_GB2312" w:hAnsi="仿宋" w:eastAsia="仿宋_GB2312"/>
          <w:color w:val="000000"/>
          <w:sz w:val="32"/>
          <w:szCs w:val="32"/>
        </w:rPr>
      </w:pPr>
      <w:bookmarkStart w:id="42" w:name="_Toc15377211"/>
      <w:r>
        <w:rPr>
          <w:rFonts w:hint="eastAsia" w:ascii="仿宋" w:hAnsi="仿宋" w:eastAsia="仿宋"/>
          <w:color w:val="000000"/>
          <w:sz w:val="32"/>
          <w:szCs w:val="32"/>
        </w:rPr>
        <w:t>2022</w:t>
      </w:r>
      <w:r>
        <w:rPr>
          <w:rFonts w:ascii="仿宋" w:hAnsi="仿宋" w:eastAsia="仿宋"/>
          <w:color w:val="000000"/>
          <w:sz w:val="32"/>
          <w:u w:color="auto"/>
        </w:rPr>
        <w:t>年一般公共预算财政拨款支出170.97</w:t>
      </w:r>
      <w:r>
        <w:rPr>
          <w:rFonts w:hint="eastAsia" w:ascii="仿宋" w:hAnsi="仿宋" w:eastAsia="仿宋"/>
          <w:color w:val="000000"/>
          <w:sz w:val="32"/>
          <w:szCs w:val="32"/>
        </w:rPr>
        <w:t>万元，占本年支出合计的</w:t>
      </w:r>
      <w:r>
        <w:rPr>
          <w:rFonts w:ascii="仿宋" w:hAnsi="仿宋" w:eastAsia="仿宋"/>
          <w:color w:val="000000"/>
          <w:sz w:val="32"/>
          <w:u w:color="auto"/>
        </w:rPr>
        <w:t>100.00</w:t>
      </w:r>
      <w:r>
        <w:rPr>
          <w:rFonts w:hint="eastAsia" w:ascii="仿宋" w:hAnsi="仿宋" w:eastAsia="仿宋"/>
          <w:color w:val="000000"/>
          <w:sz w:val="32"/>
          <w:szCs w:val="32"/>
        </w:rPr>
        <w:t>%。与</w:t>
      </w:r>
      <w:r>
        <w:rPr>
          <w:rFonts w:ascii="仿宋" w:hAnsi="仿宋" w:eastAsia="仿宋"/>
          <w:color w:val="000000"/>
          <w:sz w:val="32"/>
          <w:u w:color="auto"/>
        </w:rPr>
        <w:t>2021相比，一般公共预算财政拨款增加170.97</w:t>
      </w:r>
      <w:r>
        <w:rPr>
          <w:rFonts w:hint="eastAsia" w:ascii="仿宋" w:hAnsi="仿宋" w:eastAsia="仿宋"/>
          <w:color w:val="000000"/>
          <w:sz w:val="32"/>
          <w:szCs w:val="32"/>
        </w:rPr>
        <w:t>万元，</w:t>
      </w:r>
      <w:r>
        <w:rPr>
          <w:rFonts w:ascii="仿宋" w:hAnsi="仿宋" w:eastAsia="仿宋"/>
          <w:color w:val="000000"/>
          <w:sz w:val="32"/>
          <w:u w:color="auto"/>
        </w:rPr>
        <w:t>增加100.00</w:t>
      </w:r>
      <w:r>
        <w:rPr>
          <w:rFonts w:hint="eastAsia" w:ascii="仿宋" w:hAnsi="仿宋" w:eastAsia="仿宋"/>
          <w:color w:val="000000"/>
          <w:sz w:val="32"/>
          <w:szCs w:val="32"/>
        </w:rPr>
        <w:t xml:space="preserve"> %。</w:t>
      </w:r>
      <w:r>
        <w:rPr>
          <w:rFonts w:ascii="仿宋" w:hAnsi="仿宋" w:eastAsia="仿宋"/>
          <w:color w:val="000000"/>
          <w:sz w:val="32"/>
          <w:u w:color="auto"/>
        </w:rPr>
        <w:t>主要变动原因是上年统一上报，今年分单位上报无上年数</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（图5：一般公共预算财政拨款支出决算变动情况）</w:t>
      </w:r>
    </w:p>
    <w:p>
      <w:pPr>
        <w:pStyle w:val="5"/>
        <w:ind w:firstLine="0"/>
        <w:rPr>
          <w:rFonts w:ascii="仿宋_GB2312" w:hAnsi="仿宋" w:eastAsia="仿宋_GB2312"/>
          <w:b/>
          <w:color w:val="000000"/>
          <w:sz w:val="32"/>
          <w:szCs w:val="32"/>
        </w:rPr>
      </w:pPr>
    </w:p>
    <w:p>
      <w:pPr>
        <w:pStyle w:val="5"/>
        <w:ind w:firstLine="0"/>
        <w:rPr>
          <w:rFonts w:ascii="仿宋_GB2312" w:hAnsi="仿宋" w:eastAsia="仿宋_GB2312"/>
          <w:b/>
          <w:color w:val="000000"/>
          <w:sz w:val="32"/>
          <w:szCs w:val="32"/>
        </w:rPr>
      </w:pPr>
      <w:r>
        <w:rPr>
          <w:rFonts w:hint="eastAsia" w:ascii="仿宋_GB2312" w:hAnsi="仿宋" w:eastAsia="仿宋_GB2312"/>
          <w:b/>
          <w:color w:val="000000"/>
          <w:sz w:val="32"/>
          <w:szCs w:val="32"/>
        </w:rPr>
        <w:drawing>
          <wp:inline distT="0" distB="0" distL="0" distR="0">
            <wp:extent cx="4905375" cy="3569970"/>
            <wp:effectExtent l="0" t="0" r="952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5"/>
        <w:ind w:firstLine="0"/>
        <w:rPr>
          <w:rFonts w:ascii="仿宋_GB2312" w:hAnsi="仿宋" w:eastAsia="仿宋_GB2312"/>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2"/>
      <w:r>
        <w:rPr>
          <w:rFonts w:hint="eastAsia" w:ascii="仿宋" w:hAnsi="仿宋" w:eastAsia="仿宋"/>
          <w:b/>
          <w:color w:val="000000"/>
          <w:sz w:val="32"/>
          <w:szCs w:val="32"/>
        </w:rPr>
        <w:t>（一般公共预算收支表）</w:t>
      </w:r>
    </w:p>
    <w:p>
      <w:pPr>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年一般公共预算财政拨款支出170.97</w:t>
      </w:r>
      <w:r>
        <w:rPr>
          <w:rFonts w:hint="eastAsia" w:ascii="仿宋" w:hAnsi="仿宋" w:eastAsia="仿宋"/>
          <w:color w:val="000000"/>
          <w:sz w:val="32"/>
          <w:szCs w:val="32"/>
        </w:rPr>
        <w:t>万元，主要用于以下方面</w:t>
      </w:r>
      <w:r>
        <w:rPr>
          <w:rFonts w:hint="eastAsia" w:ascii="仿宋" w:hAnsi="仿宋" w:eastAsia="仿宋"/>
          <w:color w:val="000000"/>
          <w:sz w:val="32"/>
          <w:szCs w:val="32"/>
          <w:lang w:eastAsia="zh-CN"/>
        </w:rPr>
        <w:t>：</w:t>
      </w:r>
      <w:r>
        <w:rPr>
          <w:rFonts w:hint="eastAsia" w:ascii="仿宋" w:hAnsi="仿宋" w:eastAsia="仿宋"/>
          <w:color w:val="000000"/>
          <w:sz w:val="32"/>
          <w:szCs w:val="32"/>
        </w:rPr>
        <w:t xml:space="preserve"> </w:t>
      </w:r>
      <w:r>
        <w:rPr>
          <w:rFonts w:ascii="仿宋" w:hAnsi="仿宋" w:eastAsia="仿宋"/>
          <w:color w:val="000000"/>
          <w:sz w:val="32"/>
          <w:u w:color="auto"/>
        </w:rPr>
        <w:t>社会保障和就业支出17.04万元，占9.97%；卫生健康支出143.10万元，占83.70%；住房保障支出10.83万元，占6.33%。</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bookmarkStart w:id="43" w:name="_Toc15377212"/>
    </w:p>
    <w:p>
      <w:pPr>
        <w:pStyle w:val="5"/>
      </w:pPr>
      <w:r>
        <w:drawing>
          <wp:inline distT="0" distB="0" distL="0" distR="0">
            <wp:extent cx="4333240" cy="2886075"/>
            <wp:effectExtent l="0" t="0" r="1016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43"/>
    </w:p>
    <w:p>
      <w:pPr>
        <w:spacing w:line="600" w:lineRule="exact"/>
        <w:ind w:firstLine="640"/>
        <w:rPr>
          <w:rFonts w:ascii="仿宋" w:hAnsi="仿宋" w:eastAsia="仿宋"/>
          <w:color w:val="000000"/>
          <w:sz w:val="32"/>
          <w:szCs w:val="32"/>
        </w:rPr>
      </w:pPr>
      <w:bookmarkStart w:id="44" w:name="_Toc15377444"/>
      <w:bookmarkStart w:id="45" w:name="_Toc15378460"/>
      <w:bookmarkStart w:id="46" w:name="_Toc15377213"/>
      <w:r>
        <w:rPr>
          <w:rFonts w:hint="eastAsia" w:ascii="仿宋" w:hAnsi="仿宋" w:eastAsia="仿宋"/>
          <w:color w:val="000000"/>
          <w:sz w:val="32"/>
          <w:szCs w:val="32"/>
        </w:rPr>
        <w:t>2022</w:t>
      </w:r>
      <w:r>
        <w:rPr>
          <w:rFonts w:ascii="仿宋" w:hAnsi="仿宋" w:eastAsia="仿宋"/>
          <w:color w:val="000000"/>
          <w:sz w:val="32"/>
          <w:u w:color="auto"/>
        </w:rPr>
        <w:t>年一般公共预算支出决算数为170.97</w:t>
      </w:r>
      <w:r>
        <w:rPr>
          <w:rFonts w:hint="eastAsia" w:ascii="仿宋" w:hAnsi="仿宋" w:eastAsia="仿宋"/>
          <w:color w:val="000000"/>
          <w:sz w:val="32"/>
          <w:szCs w:val="32"/>
        </w:rPr>
        <w:t>万，完成预算100%。其中：</w:t>
      </w:r>
      <w:bookmarkEnd w:id="44"/>
      <w:bookmarkEnd w:id="45"/>
      <w:bookmarkEnd w:id="4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1.社会保障和就业支出（208）行政事业单位养老支出（20805）机关事业单位基本养老保险缴费支出（2080505）支出决算11.36万元，完成预算100%。</w:t>
      </w:r>
      <w:r>
        <w:rPr>
          <w:rFonts w:hint="eastAsia" w:ascii="仿宋" w:hAnsi="仿宋" w:eastAsia="仿宋"/>
          <w:color w:val="000000"/>
          <w:sz w:val="32"/>
          <w:szCs w:val="32"/>
        </w:rPr>
        <w:cr/>
      </w:r>
      <w:r>
        <w:rPr>
          <w:rFonts w:hint="eastAsia" w:ascii="仿宋" w:hAnsi="仿宋" w:eastAsia="仿宋"/>
          <w:color w:val="000000"/>
          <w:sz w:val="32"/>
          <w:szCs w:val="32"/>
        </w:rPr>
        <w:t>2.社会保障和就业支出（208）行政事业单位养老支出（20805）机关事业单位职业年金缴费支出（2080506）支出决算5.68万元，完成预算100%。</w:t>
      </w:r>
      <w:r>
        <w:rPr>
          <w:rFonts w:hint="eastAsia" w:ascii="仿宋" w:hAnsi="仿宋" w:eastAsia="仿宋"/>
          <w:color w:val="000000"/>
          <w:sz w:val="32"/>
          <w:szCs w:val="32"/>
        </w:rPr>
        <w:cr/>
      </w:r>
      <w:r>
        <w:rPr>
          <w:rFonts w:hint="eastAsia" w:ascii="仿宋" w:hAnsi="仿宋" w:eastAsia="仿宋"/>
          <w:color w:val="000000"/>
          <w:sz w:val="32"/>
          <w:szCs w:val="32"/>
        </w:rPr>
        <w:t>3.卫生健康支出（210）基层医疗卫生机构（21003）乡镇卫生院（2100302）支出决算109.91万元，完成预算100%。</w:t>
      </w:r>
      <w:r>
        <w:rPr>
          <w:rFonts w:hint="eastAsia" w:ascii="仿宋" w:hAnsi="仿宋" w:eastAsia="仿宋"/>
          <w:color w:val="000000"/>
          <w:sz w:val="32"/>
          <w:szCs w:val="32"/>
        </w:rPr>
        <w:cr/>
      </w:r>
      <w:r>
        <w:rPr>
          <w:rFonts w:hint="eastAsia" w:ascii="仿宋" w:hAnsi="仿宋" w:eastAsia="仿宋"/>
          <w:color w:val="000000"/>
          <w:sz w:val="32"/>
          <w:szCs w:val="32"/>
        </w:rPr>
        <w:t>4.卫生健康支出（210）基层医疗卫生机构（21003）其他基层医疗卫生机构支出（2100399）支出决算3.22万元，完成预算100%。</w:t>
      </w:r>
      <w:r>
        <w:rPr>
          <w:rFonts w:hint="eastAsia" w:ascii="仿宋" w:hAnsi="仿宋" w:eastAsia="仿宋"/>
          <w:color w:val="000000"/>
          <w:sz w:val="32"/>
          <w:szCs w:val="32"/>
        </w:rPr>
        <w:cr/>
      </w:r>
      <w:r>
        <w:rPr>
          <w:rFonts w:hint="eastAsia" w:ascii="仿宋" w:hAnsi="仿宋" w:eastAsia="仿宋"/>
          <w:color w:val="000000"/>
          <w:sz w:val="32"/>
          <w:szCs w:val="32"/>
        </w:rPr>
        <w:t>5.卫生健康支出（210）公共卫生（21004）基本公共卫生服务（2100408）支出决算23.04万元，完成预算100%。</w:t>
      </w:r>
      <w:r>
        <w:rPr>
          <w:rFonts w:hint="eastAsia" w:ascii="仿宋" w:hAnsi="仿宋" w:eastAsia="仿宋"/>
          <w:color w:val="000000"/>
          <w:sz w:val="32"/>
          <w:szCs w:val="32"/>
        </w:rPr>
        <w:cr/>
      </w:r>
      <w:r>
        <w:rPr>
          <w:rFonts w:hint="eastAsia" w:ascii="仿宋" w:hAnsi="仿宋" w:eastAsia="仿宋"/>
          <w:color w:val="000000"/>
          <w:sz w:val="32"/>
          <w:szCs w:val="32"/>
        </w:rPr>
        <w:t>6.卫生健康支出（210）行政事业单位医疗（21011）事业单位医疗（2101102）支出决算6.93万元，完成预算100%。</w:t>
      </w:r>
      <w:r>
        <w:rPr>
          <w:rFonts w:hint="eastAsia" w:ascii="仿宋" w:hAnsi="仿宋" w:eastAsia="仿宋"/>
          <w:color w:val="000000"/>
          <w:sz w:val="32"/>
          <w:szCs w:val="32"/>
        </w:rPr>
        <w:cr/>
      </w:r>
      <w:r>
        <w:rPr>
          <w:rFonts w:hint="eastAsia" w:ascii="仿宋" w:hAnsi="仿宋" w:eastAsia="仿宋"/>
          <w:color w:val="000000"/>
          <w:sz w:val="32"/>
          <w:szCs w:val="32"/>
        </w:rPr>
        <w:t>7.住房保障支出（221）住房改革支出（22102）住房公积金（2210201）支出决算10.83万元，完成预算100%。</w:t>
      </w:r>
    </w:p>
    <w:p>
      <w:pPr>
        <w:pStyle w:val="3"/>
        <w:ind w:firstLine="643" w:firstLineChars="200"/>
        <w:rPr>
          <w:rFonts w:ascii="黑体" w:eastAsia="黑体" w:cs="Times New Roman"/>
          <w:b w:val="0"/>
          <w:color w:val="000000"/>
        </w:rPr>
      </w:pPr>
      <w:bookmarkStart w:id="47" w:name="_Toc15377214"/>
      <w:bookmarkStart w:id="48" w:name="_Toc111208504"/>
      <w:bookmarkStart w:id="49" w:name="_Toc24703"/>
      <w:r>
        <w:rPr>
          <w:rFonts w:hint="eastAsia" w:ascii="黑体" w:eastAsia="黑体" w:cs="Times New Roman"/>
          <w:bCs w:val="0"/>
          <w:color w:val="000000"/>
        </w:rPr>
        <w:t>六、一般公共预算财政拨款基本支出决算情况说</w:t>
      </w:r>
      <w:bookmarkEnd w:id="47"/>
      <w:r>
        <w:rPr>
          <w:rFonts w:hint="eastAsia" w:ascii="黑体" w:eastAsia="黑体" w:cs="Times New Roman"/>
          <w:bCs w:val="0"/>
          <w:color w:val="000000"/>
        </w:rPr>
        <w:t>明</w:t>
      </w:r>
      <w:bookmarkEnd w:id="48"/>
      <w:bookmarkEnd w:id="49"/>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年一般公共预算财政拨款基本支出144.71</w:t>
      </w:r>
      <w:r>
        <w:rPr>
          <w:rFonts w:hint="eastAsia" w:ascii="仿宋" w:hAnsi="仿宋" w:eastAsia="仿宋"/>
          <w:color w:val="000000"/>
          <w:sz w:val="32"/>
          <w:szCs w:val="32"/>
        </w:rPr>
        <w:t>万元，其中：</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u w:color="auto"/>
        </w:rPr>
        <w:t>143.38</w:t>
      </w:r>
      <w:r>
        <w:rPr>
          <w:rFonts w:hint="eastAsia" w:ascii="仿宋" w:hAnsi="仿宋" w:eastAsia="仿宋"/>
          <w:color w:val="000000"/>
          <w:sz w:val="32"/>
          <w:szCs w:val="32"/>
        </w:rPr>
        <w:t>万元，主要包括：</w:t>
      </w:r>
      <w:r>
        <w:rPr>
          <w:rFonts w:ascii="仿宋" w:hAnsi="仿宋" w:eastAsia="仿宋"/>
          <w:color w:val="000000"/>
          <w:sz w:val="32"/>
          <w:u w:color="auto"/>
        </w:rPr>
        <w:t>基本工资25.64万元、津贴补贴24.74万元、奖金38.85万元、绩效工资18.77万元、机关事业单位基本养老保险缴费11.36万元、职业年金缴费5.68万元、职工基本医疗保险缴费6.93万元、其他社会保障缴费0.58万元、住房公积金10.83万元。</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公用经费</w:t>
      </w:r>
      <w:r>
        <w:rPr>
          <w:rFonts w:ascii="仿宋" w:hAnsi="仿宋" w:eastAsia="仿宋"/>
          <w:color w:val="000000"/>
          <w:sz w:val="32"/>
          <w:u w:color="auto"/>
        </w:rPr>
        <w:t>1.33</w:t>
      </w:r>
      <w:r>
        <w:rPr>
          <w:rFonts w:hint="eastAsia" w:ascii="仿宋" w:hAnsi="仿宋" w:eastAsia="仿宋"/>
          <w:color w:val="000000"/>
          <w:sz w:val="32"/>
          <w:szCs w:val="32"/>
        </w:rPr>
        <w:t>万元，主要包括：</w:t>
      </w:r>
      <w:r>
        <w:rPr>
          <w:rFonts w:ascii="仿宋" w:hAnsi="仿宋" w:eastAsia="仿宋"/>
          <w:color w:val="000000"/>
          <w:sz w:val="32"/>
          <w:u w:color="auto"/>
        </w:rPr>
        <w:t>工会经费1.33万元</w:t>
      </w:r>
      <w:r>
        <w:rPr>
          <w:rFonts w:hint="eastAsia" w:ascii="仿宋" w:hAnsi="仿宋" w:eastAsia="仿宋"/>
          <w:color w:val="000000"/>
          <w:sz w:val="32"/>
          <w:szCs w:val="32"/>
        </w:rPr>
        <w:t>。</w:t>
      </w:r>
    </w:p>
    <w:p>
      <w:pPr>
        <w:pStyle w:val="3"/>
        <w:ind w:firstLine="643" w:firstLineChars="200"/>
        <w:rPr>
          <w:rFonts w:ascii="黑体" w:eastAsia="黑体" w:cs="Times New Roman"/>
          <w:bCs w:val="0"/>
          <w:color w:val="000000"/>
        </w:rPr>
      </w:pPr>
      <w:bookmarkStart w:id="50" w:name="_Toc111208505"/>
      <w:bookmarkStart w:id="51" w:name="_Toc15377215"/>
      <w:bookmarkStart w:id="52" w:name="_Toc16585"/>
      <w:r>
        <w:rPr>
          <w:rFonts w:hint="eastAsia" w:ascii="黑体" w:eastAsia="黑体" w:cs="Times New Roman"/>
          <w:bCs w:val="0"/>
          <w:color w:val="000000"/>
        </w:rPr>
        <w:t>七、“三公”经费财政拨款支出决算情况说明</w:t>
      </w:r>
      <w:bookmarkEnd w:id="50"/>
      <w:bookmarkEnd w:id="51"/>
      <w:bookmarkEnd w:id="52"/>
    </w:p>
    <w:p>
      <w:pPr>
        <w:spacing w:line="600" w:lineRule="exact"/>
        <w:ind w:firstLine="643" w:firstLineChars="200"/>
        <w:outlineLvl w:val="2"/>
        <w:rPr>
          <w:rFonts w:ascii="仿宋" w:hAnsi="仿宋" w:eastAsia="仿宋"/>
          <w:b/>
          <w:color w:val="000000"/>
          <w:sz w:val="32"/>
          <w:szCs w:val="32"/>
        </w:rPr>
      </w:pPr>
      <w:bookmarkStart w:id="53" w:name="_Toc15377216"/>
      <w:r>
        <w:rPr>
          <w:rFonts w:hint="eastAsia" w:ascii="仿宋" w:hAnsi="仿宋" w:eastAsia="仿宋"/>
          <w:b/>
          <w:color w:val="000000"/>
          <w:sz w:val="32"/>
          <w:szCs w:val="32"/>
        </w:rPr>
        <w:t>（一）“三公”经费财政拨款支出决算总体情况说明</w:t>
      </w:r>
      <w:bookmarkEnd w:id="53"/>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年“三公”经费财政拨款支出决算为0.00</w:t>
      </w:r>
      <w:r>
        <w:rPr>
          <w:rFonts w:hint="eastAsia" w:ascii="仿宋" w:hAnsi="仿宋" w:eastAsia="仿宋"/>
          <w:color w:val="000000"/>
          <w:sz w:val="32"/>
          <w:szCs w:val="32"/>
        </w:rPr>
        <w:t>万元，完成预算</w:t>
      </w:r>
      <w:r>
        <w:rPr>
          <w:rFonts w:ascii="仿宋" w:hAnsi="仿宋" w:eastAsia="仿宋"/>
          <w:color w:val="000000"/>
          <w:sz w:val="32"/>
          <w:u w:color="auto"/>
        </w:rPr>
        <w:t>0.00</w:t>
      </w:r>
      <w:r>
        <w:rPr>
          <w:rFonts w:hint="eastAsia" w:ascii="仿宋" w:hAnsi="仿宋" w:eastAsia="仿宋"/>
          <w:color w:val="000000"/>
          <w:sz w:val="32"/>
          <w:szCs w:val="32"/>
        </w:rPr>
        <w:t>%。</w:t>
      </w:r>
      <w:bookmarkStart w:id="54" w:name="_Toc15377217"/>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5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年“三公”经费财政拨款支出0.00</w:t>
      </w:r>
      <w:r>
        <w:rPr>
          <w:rFonts w:hint="eastAsia" w:ascii="仿宋" w:hAnsi="仿宋" w:eastAsia="仿宋"/>
          <w:color w:val="000000"/>
          <w:sz w:val="32"/>
          <w:u w:color="auto"/>
          <w:lang w:eastAsia="zh-CN"/>
        </w:rPr>
        <w:t>万元</w:t>
      </w:r>
      <w:r>
        <w:rPr>
          <w:rFonts w:hint="eastAsia" w:ascii="仿宋" w:hAnsi="仿宋" w:eastAsia="仿宋"/>
          <w:color w:val="000000"/>
          <w:sz w:val="32"/>
          <w:szCs w:val="32"/>
        </w:rPr>
        <w:t>，因公出国（境）费支出决算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%；公务接待费支出决算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%。具体情况如下：</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（图7：“三公”经费财政拨款支出结构）</w:t>
      </w:r>
    </w:p>
    <w:p>
      <w:pPr>
        <w:pStyle w:val="5"/>
        <w:rPr>
          <w:rFonts w:ascii="仿宋_GB2312" w:hAnsi="仿宋" w:eastAsia="仿宋_GB2312"/>
          <w:color w:val="000000"/>
          <w:sz w:val="32"/>
          <w:szCs w:val="32"/>
        </w:rPr>
      </w:pPr>
      <w: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1.因公出国（境）经费支出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完成预算100%。全年安排因公出国（境）团组</w:t>
      </w:r>
      <w:r>
        <w:rPr>
          <w:rFonts w:ascii="仿宋" w:hAnsi="仿宋" w:eastAsia="仿宋"/>
          <w:color w:val="000000"/>
          <w:sz w:val="32"/>
          <w:u w:color="auto"/>
        </w:rPr>
        <w:t>0</w:t>
      </w:r>
      <w:r>
        <w:rPr>
          <w:rFonts w:hint="eastAsia" w:ascii="仿宋" w:hAnsi="仿宋" w:eastAsia="仿宋"/>
          <w:color w:val="000000"/>
          <w:sz w:val="32"/>
          <w:szCs w:val="32"/>
        </w:rPr>
        <w:t>次，出国（境）</w:t>
      </w:r>
      <w:r>
        <w:rPr>
          <w:rFonts w:ascii="仿宋" w:hAnsi="仿宋" w:eastAsia="仿宋"/>
          <w:color w:val="000000"/>
          <w:sz w:val="32"/>
          <w:u w:color="auto"/>
        </w:rPr>
        <w:t>0</w:t>
      </w:r>
      <w:r>
        <w:rPr>
          <w:rFonts w:hint="eastAsia" w:ascii="仿宋" w:hAnsi="仿宋" w:eastAsia="仿宋"/>
          <w:color w:val="000000"/>
          <w:sz w:val="32"/>
          <w:szCs w:val="32"/>
        </w:rPr>
        <w:t>人。因公出国（境）支出决算比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增加100.00</w:t>
      </w:r>
      <w:r>
        <w:rPr>
          <w:rFonts w:hint="eastAsia" w:ascii="仿宋" w:hAnsi="仿宋" w:eastAsia="仿宋"/>
          <w:color w:val="000000"/>
          <w:sz w:val="32"/>
          <w:szCs w:val="32"/>
        </w:rPr>
        <w:t xml:space="preserve"> %。</w:t>
      </w:r>
      <w:r>
        <w:rPr>
          <w:rFonts w:ascii="仿宋" w:hAnsi="仿宋" w:eastAsia="仿宋"/>
          <w:color w:val="000000"/>
          <w:sz w:val="32"/>
          <w:u w:color="auto"/>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2.公务用车购置及运行维护费支出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增加0</w:t>
      </w:r>
      <w:r>
        <w:rPr>
          <w:rFonts w:hint="eastAsia" w:ascii="仿宋" w:hAnsi="仿宋" w:eastAsia="仿宋"/>
          <w:color w:val="000000"/>
          <w:sz w:val="32"/>
          <w:szCs w:val="32"/>
        </w:rPr>
        <w:t>%。</w:t>
      </w:r>
      <w:r>
        <w:rPr>
          <w:rFonts w:ascii="仿宋" w:hAnsi="仿宋" w:eastAsia="仿宋"/>
          <w:color w:val="000000"/>
          <w:sz w:val="32"/>
          <w:u w:color="auto"/>
        </w:rPr>
        <w:t xml:space="preserve">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其中：公务用车购置支出</w:t>
      </w:r>
      <w:r>
        <w:rPr>
          <w:rFonts w:ascii="仿宋" w:hAnsi="仿宋" w:eastAsia="仿宋"/>
          <w:color w:val="000000"/>
          <w:sz w:val="32"/>
          <w:u w:color="auto"/>
        </w:rPr>
        <w:t>0.00万元。全年按规定更新购置公务用车0辆，其中：轿车0辆、金额0.00万元，越野车0辆、金额0.00万元，载客汽车0辆、金额0.00万元。截至</w:t>
      </w:r>
      <w:r>
        <w:rPr>
          <w:rFonts w:ascii="仿宋" w:hAnsi="仿宋" w:eastAsia="仿宋"/>
          <w:color w:val="000000"/>
          <w:sz w:val="32"/>
          <w:szCs w:val="32"/>
        </w:rPr>
        <w:t>20</w:t>
      </w:r>
      <w:r>
        <w:rPr>
          <w:rFonts w:hint="eastAsia" w:ascii="仿宋" w:hAnsi="仿宋" w:eastAsia="仿宋"/>
          <w:color w:val="000000"/>
          <w:sz w:val="32"/>
          <w:szCs w:val="32"/>
        </w:rPr>
        <w:t>21年</w:t>
      </w:r>
      <w:r>
        <w:rPr>
          <w:rFonts w:ascii="仿宋" w:hAnsi="仿宋" w:eastAsia="仿宋"/>
          <w:color w:val="000000"/>
          <w:sz w:val="32"/>
          <w:szCs w:val="32"/>
        </w:rPr>
        <w:t>12</w:t>
      </w:r>
      <w:r>
        <w:rPr>
          <w:rFonts w:hint="eastAsia" w:ascii="仿宋" w:hAnsi="仿宋" w:eastAsia="仿宋"/>
          <w:color w:val="000000"/>
          <w:sz w:val="32"/>
          <w:szCs w:val="32"/>
        </w:rPr>
        <w:t>月底，单位共有公务用车</w:t>
      </w:r>
      <w:r>
        <w:rPr>
          <w:rFonts w:ascii="仿宋" w:hAnsi="仿宋" w:eastAsia="仿宋"/>
          <w:color w:val="000000"/>
          <w:sz w:val="32"/>
          <w:u w:color="auto"/>
        </w:rPr>
        <w:t>0</w:t>
      </w:r>
      <w:r>
        <w:rPr>
          <w:rFonts w:hint="eastAsia" w:ascii="仿宋" w:hAnsi="仿宋" w:eastAsia="仿宋"/>
          <w:color w:val="000000"/>
          <w:sz w:val="32"/>
          <w:szCs w:val="32"/>
        </w:rPr>
        <w:t>辆，其中：轿车</w:t>
      </w:r>
      <w:r>
        <w:rPr>
          <w:rFonts w:ascii="仿宋" w:hAnsi="仿宋" w:eastAsia="仿宋"/>
          <w:color w:val="000000"/>
          <w:sz w:val="32"/>
          <w:u w:color="auto"/>
        </w:rPr>
        <w:t>0辆、越野车0辆、载客汽车0辆。</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公务用车运行维护费支出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ascii="仿宋" w:hAnsi="仿宋" w:eastAsia="仿宋"/>
          <w:color w:val="000000"/>
          <w:sz w:val="32"/>
          <w:u w:color="auto"/>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3.公务接待费支出</w:t>
      </w:r>
      <w:r>
        <w:rPr>
          <w:rFonts w:ascii="仿宋" w:hAnsi="仿宋" w:eastAsia="仿宋"/>
          <w:color w:val="000000"/>
          <w:sz w:val="32"/>
          <w:u w:color="auto"/>
        </w:rPr>
        <w:t>0.00万元，完成预算0.00</w:t>
      </w:r>
      <w:r>
        <w:rPr>
          <w:rFonts w:hint="eastAsia" w:ascii="仿宋" w:hAnsi="仿宋" w:eastAsia="仿宋"/>
          <w:color w:val="000000"/>
          <w:sz w:val="32"/>
          <w:szCs w:val="32"/>
        </w:rPr>
        <w:t>%。公务接待费支出决算比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增加0.00</w:t>
      </w:r>
      <w:r>
        <w:rPr>
          <w:rFonts w:ascii="仿宋" w:hAnsi="仿宋" w:eastAsia="仿宋"/>
          <w:color w:val="000000"/>
          <w:sz w:val="32"/>
          <w:szCs w:val="32"/>
        </w:rPr>
        <w:t>%</w:t>
      </w:r>
      <w:r>
        <w:rPr>
          <w:rFonts w:hint="eastAsia" w:ascii="仿宋" w:hAnsi="仿宋" w:eastAsia="仿宋"/>
          <w:color w:val="000000"/>
          <w:sz w:val="32"/>
          <w:szCs w:val="32"/>
        </w:rPr>
        <w:t>。</w:t>
      </w:r>
      <w:bookmarkStart w:id="55" w:name="_Toc15377218"/>
      <w:r>
        <w:rPr>
          <w:rFonts w:hint="eastAsia"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国内公务接待支出</w:t>
      </w:r>
      <w:r>
        <w:rPr>
          <w:rFonts w:ascii="仿宋" w:hAnsi="仿宋" w:eastAsia="仿宋"/>
          <w:color w:val="000000"/>
          <w:sz w:val="32"/>
          <w:u w:color="auto"/>
        </w:rPr>
        <w:t>0.00万元。国内公务接待0批次，0人次（不包括陪同人员），共计支出0.00万元。</w:t>
      </w:r>
    </w:p>
    <w:p>
      <w:pPr>
        <w:pStyle w:val="5"/>
        <w:rPr>
          <w:rFonts w:ascii="仿宋" w:hAnsi="仿宋" w:eastAsia="仿宋"/>
          <w:color w:val="000000"/>
          <w:sz w:val="32"/>
          <w:szCs w:val="32"/>
        </w:rPr>
      </w:pPr>
      <w:r>
        <w:rPr>
          <w:rFonts w:hint="eastAsia" w:ascii="仿宋" w:hAnsi="仿宋" w:eastAsia="仿宋"/>
          <w:color w:val="000000"/>
          <w:sz w:val="32"/>
          <w:szCs w:val="32"/>
        </w:rPr>
        <w:t>外事接待支出</w:t>
      </w:r>
      <w:r>
        <w:rPr>
          <w:rFonts w:ascii="仿宋" w:hAnsi="仿宋" w:eastAsia="仿宋"/>
          <w:color w:val="000000"/>
          <w:sz w:val="32"/>
          <w:u w:color="auto"/>
        </w:rPr>
        <w:t>0.00万元，外事接待0批次，0人，共计支出0.00万元。</w:t>
      </w:r>
    </w:p>
    <w:p>
      <w:pPr>
        <w:pStyle w:val="3"/>
        <w:ind w:firstLine="643" w:firstLineChars="200"/>
        <w:rPr>
          <w:rFonts w:ascii="黑体" w:eastAsia="黑体" w:cs="Times New Roman"/>
          <w:bCs w:val="0"/>
          <w:color w:val="000000"/>
        </w:rPr>
      </w:pPr>
      <w:bookmarkStart w:id="56" w:name="_Toc111208506"/>
      <w:bookmarkStart w:id="57" w:name="_Toc4484"/>
      <w:r>
        <w:rPr>
          <w:rFonts w:hint="eastAsia" w:ascii="黑体" w:eastAsia="黑体" w:cs="Times New Roman"/>
          <w:bCs w:val="0"/>
          <w:color w:val="000000"/>
        </w:rPr>
        <w:t>八、政府性基金预算支出决算情况说明</w:t>
      </w:r>
      <w:bookmarkEnd w:id="55"/>
      <w:bookmarkEnd w:id="56"/>
      <w:bookmarkEnd w:id="57"/>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年政府性基金预算拨款支出0.00</w:t>
      </w:r>
      <w:r>
        <w:rPr>
          <w:rFonts w:hint="eastAsia" w:ascii="仿宋" w:hAnsi="仿宋" w:eastAsia="仿宋"/>
          <w:color w:val="000000"/>
          <w:sz w:val="32"/>
          <w:szCs w:val="32"/>
        </w:rPr>
        <w:t>万元。</w:t>
      </w:r>
      <w:bookmarkStart w:id="58" w:name="_Toc15377219"/>
    </w:p>
    <w:p>
      <w:pPr>
        <w:pStyle w:val="3"/>
        <w:ind w:firstLine="643" w:firstLineChars="200"/>
        <w:rPr>
          <w:rFonts w:ascii="黑体" w:eastAsia="黑体" w:cs="Times New Roman"/>
          <w:bCs w:val="0"/>
          <w:color w:val="000000"/>
        </w:rPr>
      </w:pPr>
      <w:bookmarkStart w:id="59" w:name="_Toc111208507"/>
      <w:bookmarkStart w:id="60" w:name="_Toc1532"/>
      <w:r>
        <w:rPr>
          <w:rFonts w:hint="eastAsia" w:ascii="黑体" w:eastAsia="黑体" w:cs="Times New Roman"/>
          <w:bCs w:val="0"/>
          <w:color w:val="000000"/>
        </w:rPr>
        <w:t>九、国有资本经营预算支出决算情况说明</w:t>
      </w:r>
      <w:bookmarkEnd w:id="58"/>
      <w:bookmarkEnd w:id="59"/>
      <w:bookmarkEnd w:id="60"/>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年国有资本经营预算拨款支出0.00</w:t>
      </w:r>
      <w:r>
        <w:rPr>
          <w:rFonts w:hint="eastAsia" w:ascii="仿宋" w:hAnsi="仿宋" w:eastAsia="仿宋"/>
          <w:color w:val="000000"/>
          <w:sz w:val="32"/>
          <w:szCs w:val="32"/>
        </w:rPr>
        <w:t>万元。</w:t>
      </w:r>
    </w:p>
    <w:p>
      <w:pPr>
        <w:pStyle w:val="3"/>
        <w:ind w:firstLine="643" w:firstLineChars="200"/>
        <w:rPr>
          <w:rFonts w:ascii="黑体" w:eastAsia="黑体" w:cs="Times New Roman"/>
          <w:bCs w:val="0"/>
          <w:color w:val="000000"/>
        </w:rPr>
      </w:pPr>
      <w:bookmarkStart w:id="61" w:name="_Toc15377221"/>
      <w:bookmarkStart w:id="62" w:name="_Toc587"/>
      <w:bookmarkStart w:id="63" w:name="_Toc111208508"/>
      <w:r>
        <w:rPr>
          <w:rFonts w:hint="eastAsia" w:ascii="黑体" w:eastAsia="黑体" w:cs="Times New Roman"/>
          <w:bCs w:val="0"/>
          <w:color w:val="000000"/>
        </w:rPr>
        <w:t>十、其他重要事项的情况说明</w:t>
      </w:r>
      <w:bookmarkEnd w:id="61"/>
      <w:bookmarkEnd w:id="62"/>
      <w:bookmarkEnd w:id="63"/>
    </w:p>
    <w:p>
      <w:pPr>
        <w:spacing w:line="600" w:lineRule="exact"/>
        <w:ind w:firstLine="643" w:firstLineChars="200"/>
        <w:outlineLvl w:val="2"/>
        <w:rPr>
          <w:rFonts w:ascii="仿宋" w:hAnsi="仿宋" w:eastAsia="仿宋"/>
          <w:b/>
          <w:color w:val="000000"/>
          <w:sz w:val="32"/>
          <w:szCs w:val="32"/>
        </w:rPr>
      </w:pPr>
      <w:bookmarkStart w:id="64" w:name="_Toc15377222"/>
      <w:r>
        <w:rPr>
          <w:rFonts w:hint="eastAsia" w:ascii="仿宋" w:hAnsi="仿宋" w:eastAsia="仿宋"/>
          <w:b/>
          <w:color w:val="000000"/>
          <w:sz w:val="32"/>
          <w:szCs w:val="32"/>
        </w:rPr>
        <w:t>（一）机关运行经费支出情况</w:t>
      </w:r>
      <w:bookmarkEnd w:id="6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年，机关运行经费支出0.00</w:t>
      </w:r>
      <w:r>
        <w:rPr>
          <w:rFonts w:hint="eastAsia" w:ascii="仿宋" w:hAnsi="仿宋" w:eastAsia="仿宋"/>
          <w:color w:val="000000"/>
          <w:sz w:val="32"/>
          <w:szCs w:val="32"/>
        </w:rPr>
        <w:t>万元，比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 xml:space="preserve">增加0 %。 </w:t>
      </w:r>
    </w:p>
    <w:p>
      <w:pPr>
        <w:spacing w:line="600" w:lineRule="exact"/>
        <w:ind w:firstLine="643" w:firstLineChars="200"/>
        <w:outlineLvl w:val="2"/>
        <w:rPr>
          <w:rFonts w:ascii="仿宋" w:hAnsi="仿宋" w:eastAsia="仿宋"/>
          <w:b/>
          <w:color w:val="000000"/>
          <w:sz w:val="32"/>
          <w:szCs w:val="32"/>
        </w:rPr>
      </w:pPr>
      <w:bookmarkStart w:id="65" w:name="_Toc15377223"/>
      <w:r>
        <w:rPr>
          <w:rFonts w:hint="eastAsia" w:ascii="仿宋" w:hAnsi="仿宋" w:eastAsia="仿宋"/>
          <w:b/>
          <w:color w:val="000000"/>
          <w:sz w:val="32"/>
          <w:szCs w:val="32"/>
        </w:rPr>
        <w:t>（二）政府采购支出情况</w:t>
      </w:r>
      <w:bookmarkEnd w:id="65"/>
      <w:r>
        <w:rPr>
          <w:rFonts w:hint="eastAsia" w:ascii="仿宋" w:hAnsi="仿宋" w:eastAsia="仿宋"/>
          <w:b/>
          <w:color w:val="000000"/>
          <w:sz w:val="32"/>
          <w:szCs w:val="32"/>
          <w:lang w:eastAsia="zh-CN"/>
        </w:rPr>
        <w:t>（</w:t>
      </w:r>
      <w:r>
        <w:rPr>
          <w:rFonts w:hint="eastAsia" w:ascii="仿宋" w:hAnsi="仿宋" w:eastAsia="仿宋"/>
          <w:b/>
          <w:color w:val="000000"/>
          <w:sz w:val="32"/>
          <w:szCs w:val="32"/>
        </w:rPr>
        <w:t>机构运行信息表</w:t>
      </w:r>
      <w:r>
        <w:rPr>
          <w:rFonts w:hint="eastAsia" w:ascii="仿宋" w:hAnsi="仿宋" w:eastAsia="仿宋"/>
          <w:b/>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年，政府采购支出总额0.00</w:t>
      </w:r>
      <w:r>
        <w:rPr>
          <w:rFonts w:hint="eastAsia" w:ascii="仿宋" w:hAnsi="仿宋" w:eastAsia="仿宋"/>
          <w:color w:val="000000"/>
          <w:sz w:val="32"/>
          <w:szCs w:val="32"/>
        </w:rPr>
        <w:t>万元，其中：政府采购货物支出</w:t>
      </w:r>
      <w:r>
        <w:rPr>
          <w:rFonts w:ascii="仿宋" w:hAnsi="仿宋" w:eastAsia="仿宋"/>
          <w:color w:val="000000"/>
          <w:sz w:val="32"/>
          <w:u w:color="auto"/>
        </w:rPr>
        <w:t>0.00</w:t>
      </w:r>
      <w:r>
        <w:rPr>
          <w:rFonts w:hint="eastAsia" w:ascii="仿宋" w:hAnsi="仿宋" w:eastAsia="仿宋"/>
          <w:color w:val="000000"/>
          <w:sz w:val="32"/>
          <w:szCs w:val="32"/>
        </w:rPr>
        <w:t>万元、政府采购工程支出</w:t>
      </w:r>
      <w:r>
        <w:rPr>
          <w:rFonts w:ascii="仿宋" w:hAnsi="仿宋" w:eastAsia="仿宋"/>
          <w:color w:val="000000"/>
          <w:sz w:val="32"/>
          <w:u w:color="auto"/>
        </w:rPr>
        <w:t>0.00</w:t>
      </w:r>
      <w:r>
        <w:rPr>
          <w:rFonts w:hint="eastAsia" w:ascii="仿宋" w:hAnsi="仿宋" w:eastAsia="仿宋"/>
          <w:color w:val="000000"/>
          <w:sz w:val="32"/>
          <w:szCs w:val="32"/>
        </w:rPr>
        <w:t>万元、政府采购服务支出</w:t>
      </w:r>
      <w:r>
        <w:rPr>
          <w:rFonts w:ascii="仿宋" w:hAnsi="仿宋" w:eastAsia="仿宋"/>
          <w:color w:val="000000"/>
          <w:sz w:val="32"/>
          <w:u w:color="auto"/>
        </w:rPr>
        <w:t>0.00</w:t>
      </w:r>
      <w:r>
        <w:rPr>
          <w:rFonts w:hint="eastAsia" w:ascii="仿宋" w:hAnsi="仿宋" w:eastAsia="仿宋"/>
          <w:color w:val="000000"/>
          <w:sz w:val="32"/>
          <w:szCs w:val="32"/>
        </w:rPr>
        <w:t>万元。授予中小企业合同金额</w:t>
      </w:r>
      <w:r>
        <w:rPr>
          <w:rFonts w:ascii="仿宋" w:hAnsi="仿宋" w:eastAsia="仿宋"/>
          <w:color w:val="000000"/>
          <w:sz w:val="32"/>
          <w:u w:color="auto"/>
        </w:rPr>
        <w:t>0.00</w:t>
      </w:r>
      <w:r>
        <w:rPr>
          <w:rFonts w:hint="eastAsia" w:ascii="仿宋" w:hAnsi="仿宋" w:eastAsia="仿宋"/>
          <w:color w:val="000000"/>
          <w:sz w:val="32"/>
          <w:szCs w:val="32"/>
        </w:rPr>
        <w:t>万元，其中：授予小微企业合同金额</w:t>
      </w:r>
      <w:r>
        <w:rPr>
          <w:rFonts w:ascii="仿宋" w:hAnsi="仿宋" w:eastAsia="仿宋"/>
          <w:color w:val="000000"/>
          <w:sz w:val="32"/>
          <w:u w:color="auto"/>
        </w:rPr>
        <w:t>0.00</w:t>
      </w:r>
      <w:r>
        <w:rPr>
          <w:rFonts w:hint="eastAsia" w:ascii="仿宋" w:hAnsi="仿宋" w:eastAsia="仿宋"/>
          <w:color w:val="000000"/>
          <w:sz w:val="32"/>
          <w:szCs w:val="32"/>
        </w:rPr>
        <w:t>万元，占总合同的</w:t>
      </w:r>
      <w:r>
        <w:rPr>
          <w:rFonts w:ascii="仿宋" w:hAnsi="仿宋" w:eastAsia="仿宋"/>
          <w:color w:val="000000"/>
          <w:sz w:val="32"/>
          <w:u w:color="auto"/>
        </w:rPr>
        <w:t>0.00</w:t>
      </w:r>
      <w:r>
        <w:rPr>
          <w:rFonts w:hint="eastAsia" w:ascii="仿宋" w:hAnsi="仿宋" w:eastAsia="仿宋"/>
          <w:color w:val="000000"/>
          <w:sz w:val="32"/>
          <w:szCs w:val="32"/>
        </w:rPr>
        <w:t>%。</w:t>
      </w:r>
    </w:p>
    <w:p>
      <w:pPr>
        <w:spacing w:line="600" w:lineRule="exact"/>
        <w:ind w:firstLine="643" w:firstLineChars="200"/>
        <w:outlineLvl w:val="2"/>
        <w:rPr>
          <w:rFonts w:ascii="仿宋" w:hAnsi="仿宋" w:eastAsia="仿宋"/>
          <w:b/>
          <w:color w:val="000000"/>
          <w:sz w:val="32"/>
          <w:szCs w:val="32"/>
        </w:rPr>
      </w:pPr>
      <w:bookmarkStart w:id="66" w:name="_Toc15377224"/>
      <w:r>
        <w:rPr>
          <w:rFonts w:hint="eastAsia" w:ascii="仿宋" w:hAnsi="仿宋" w:eastAsia="仿宋"/>
          <w:b/>
          <w:color w:val="000000"/>
          <w:sz w:val="32"/>
          <w:szCs w:val="32"/>
        </w:rPr>
        <w:t>（三）国有资产占有使用情况</w:t>
      </w:r>
      <w:bookmarkEnd w:id="6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截至</w:t>
      </w:r>
      <w:r>
        <w:rPr>
          <w:rFonts w:ascii="仿宋" w:hAnsi="仿宋" w:eastAsia="仿宋"/>
          <w:color w:val="000000"/>
          <w:sz w:val="32"/>
          <w:u w:color="auto"/>
        </w:rPr>
        <w:t>2022年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日，共有车辆</w:t>
      </w:r>
      <w:r>
        <w:rPr>
          <w:rFonts w:ascii="仿宋" w:hAnsi="仿宋" w:eastAsia="仿宋"/>
          <w:color w:val="000000"/>
          <w:sz w:val="32"/>
          <w:u w:color="auto"/>
        </w:rPr>
        <w:t>0辆，其中：主要领导干部用车0</w:t>
      </w:r>
      <w:r>
        <w:rPr>
          <w:rFonts w:hint="eastAsia" w:ascii="仿宋" w:hAnsi="仿宋" w:eastAsia="仿宋"/>
          <w:color w:val="000000"/>
          <w:sz w:val="32"/>
          <w:szCs w:val="32"/>
        </w:rPr>
        <w:t>辆、机要通信用车</w:t>
      </w:r>
      <w:r>
        <w:rPr>
          <w:rFonts w:ascii="仿宋" w:hAnsi="仿宋" w:eastAsia="仿宋"/>
          <w:color w:val="000000"/>
          <w:sz w:val="32"/>
          <w:u w:color="auto"/>
        </w:rPr>
        <w:t>0</w:t>
      </w:r>
      <w:r>
        <w:rPr>
          <w:rFonts w:hint="eastAsia" w:ascii="仿宋" w:hAnsi="仿宋" w:eastAsia="仿宋"/>
          <w:color w:val="000000"/>
          <w:sz w:val="32"/>
          <w:szCs w:val="32"/>
        </w:rPr>
        <w:t>辆、应急保障用车</w:t>
      </w:r>
      <w:r>
        <w:rPr>
          <w:rFonts w:ascii="仿宋" w:hAnsi="仿宋" w:eastAsia="仿宋"/>
          <w:color w:val="000000"/>
          <w:sz w:val="32"/>
          <w:u w:color="auto"/>
        </w:rPr>
        <w:t>0</w:t>
      </w:r>
      <w:r>
        <w:rPr>
          <w:rFonts w:hint="eastAsia" w:ascii="仿宋" w:hAnsi="仿宋" w:eastAsia="仿宋"/>
          <w:color w:val="000000"/>
          <w:sz w:val="32"/>
          <w:szCs w:val="32"/>
        </w:rPr>
        <w:t>辆、其他用车</w:t>
      </w:r>
      <w:r>
        <w:rPr>
          <w:rFonts w:ascii="仿宋" w:hAnsi="仿宋" w:eastAsia="仿宋"/>
          <w:color w:val="000000"/>
          <w:sz w:val="32"/>
          <w:u w:color="auto"/>
        </w:rPr>
        <w:t>0</w:t>
      </w:r>
      <w:r>
        <w:rPr>
          <w:rFonts w:hint="eastAsia" w:ascii="仿宋" w:hAnsi="仿宋" w:eastAsia="仿宋"/>
          <w:color w:val="000000"/>
          <w:sz w:val="32"/>
          <w:szCs w:val="32"/>
        </w:rPr>
        <w:t>辆。单价</w:t>
      </w:r>
      <w:r>
        <w:rPr>
          <w:rFonts w:ascii="仿宋" w:hAnsi="仿宋" w:eastAsia="仿宋"/>
          <w:color w:val="000000"/>
          <w:sz w:val="32"/>
          <w:szCs w:val="32"/>
        </w:rPr>
        <w:t>50</w:t>
      </w:r>
      <w:r>
        <w:rPr>
          <w:rFonts w:hint="eastAsia" w:ascii="仿宋" w:hAnsi="仿宋" w:eastAsia="仿宋"/>
          <w:color w:val="000000"/>
          <w:sz w:val="32"/>
          <w:szCs w:val="32"/>
        </w:rPr>
        <w:t>万元以上通用设备</w:t>
      </w:r>
      <w:r>
        <w:rPr>
          <w:rFonts w:ascii="仿宋" w:hAnsi="仿宋" w:eastAsia="仿宋"/>
          <w:color w:val="000000"/>
          <w:sz w:val="32"/>
          <w:u w:color="auto"/>
        </w:rPr>
        <w:t>0</w:t>
      </w:r>
      <w:r>
        <w:rPr>
          <w:rFonts w:hint="eastAsia" w:ascii="仿宋" w:hAnsi="仿宋" w:eastAsia="仿宋"/>
          <w:color w:val="000000"/>
          <w:sz w:val="32"/>
          <w:szCs w:val="32"/>
        </w:rPr>
        <w:t>台（套），单价</w:t>
      </w:r>
      <w:r>
        <w:rPr>
          <w:rFonts w:ascii="仿宋" w:hAnsi="仿宋" w:eastAsia="仿宋"/>
          <w:color w:val="000000"/>
          <w:sz w:val="32"/>
          <w:szCs w:val="32"/>
        </w:rPr>
        <w:t>100</w:t>
      </w:r>
      <w:r>
        <w:rPr>
          <w:rFonts w:hint="eastAsia" w:ascii="仿宋" w:hAnsi="仿宋" w:eastAsia="仿宋"/>
          <w:color w:val="000000"/>
          <w:sz w:val="32"/>
          <w:szCs w:val="32"/>
        </w:rPr>
        <w:t>万元以上专用设备</w:t>
      </w:r>
      <w:r>
        <w:rPr>
          <w:rFonts w:ascii="仿宋" w:hAnsi="仿宋" w:eastAsia="仿宋"/>
          <w:color w:val="000000"/>
          <w:sz w:val="32"/>
          <w:u w:color="auto"/>
        </w:rPr>
        <w:t>—</w:t>
      </w:r>
      <w:r>
        <w:rPr>
          <w:rFonts w:hint="eastAsia" w:ascii="仿宋" w:hAnsi="仿宋" w:eastAsia="仿宋"/>
          <w:color w:val="000000"/>
          <w:sz w:val="32"/>
          <w:szCs w:val="32"/>
        </w:rPr>
        <w:t>台（套）。</w:t>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widowControl/>
        <w:adjustRightInd w:val="0"/>
        <w:snapToGrid w:val="0"/>
        <w:spacing w:line="580" w:lineRule="exact"/>
        <w:ind w:firstLine="630" w:firstLineChars="300"/>
        <w:contextualSpacing/>
        <w:jc w:val="left"/>
        <w:rPr>
          <w:rFonts w:ascii="黑体" w:eastAsia="黑体" w:cs="宋体"/>
          <w:color w:val="000000"/>
          <w:kern w:val="0"/>
          <w:szCs w:val="32"/>
          <w:highlight w:val="none"/>
          <w:shd w:val="clear" w:color="auto" w:fill="FFFFFF"/>
          <w:lang w:val="zh-CN"/>
        </w:rPr>
      </w:pPr>
      <w:r>
        <w:rPr>
          <w:rFonts w:hint="eastAsia" w:ascii="黑体" w:eastAsia="黑体" w:cs="宋体"/>
          <w:color w:val="000000"/>
          <w:kern w:val="0"/>
          <w:szCs w:val="32"/>
          <w:highlight w:val="none"/>
          <w:shd w:val="clear" w:color="auto" w:fill="FFFFFF"/>
        </w:rPr>
        <w:t>一、</w:t>
      </w:r>
      <w:r>
        <w:rPr>
          <w:rFonts w:hint="eastAsia" w:ascii="黑体" w:eastAsia="黑体" w:cs="宋体"/>
          <w:color w:val="000000"/>
          <w:kern w:val="0"/>
          <w:szCs w:val="32"/>
          <w:highlight w:val="none"/>
          <w:shd w:val="clear" w:color="auto" w:fill="FFFFFF"/>
          <w:lang w:val="zh-CN"/>
        </w:rPr>
        <w:t>部门（单位）概况</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（一）机构组成。</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宋体" w:hAnsi="宋体" w:eastAsia="宋体"/>
          <w:color w:val="000000"/>
          <w:sz w:val="32"/>
          <w:szCs w:val="32"/>
          <w:highlight w:val="none"/>
          <w:lang w:eastAsia="zh-CN"/>
        </w:rPr>
        <w:t>松潘县</w:t>
      </w:r>
      <w:r>
        <w:rPr>
          <w:rFonts w:hint="eastAsia" w:ascii="宋体" w:hAnsi="宋体" w:eastAsia="宋体"/>
          <w:color w:val="000000"/>
          <w:sz w:val="32"/>
          <w:szCs w:val="32"/>
          <w:highlight w:val="none"/>
          <w:lang w:val="en-US" w:eastAsia="zh-CN"/>
        </w:rPr>
        <w:t>十里乡卫生院</w:t>
      </w:r>
      <w:r>
        <w:rPr>
          <w:rFonts w:hint="eastAsia" w:ascii="宋体" w:hAnsi="宋体" w:eastAsia="宋体"/>
          <w:color w:val="000000"/>
          <w:sz w:val="32"/>
          <w:szCs w:val="32"/>
          <w:highlight w:val="none"/>
          <w:lang w:eastAsia="zh-CN"/>
        </w:rPr>
        <w:t>属</w:t>
      </w:r>
      <w:r>
        <w:rPr>
          <w:rFonts w:hint="eastAsia" w:ascii="宋体" w:hAnsi="宋体" w:eastAsia="宋体"/>
          <w:color w:val="000000"/>
          <w:sz w:val="32"/>
          <w:szCs w:val="32"/>
          <w:highlight w:val="none"/>
          <w:lang w:val="en-US" w:eastAsia="zh-CN"/>
        </w:rPr>
        <w:t>事业</w:t>
      </w:r>
      <w:r>
        <w:rPr>
          <w:rFonts w:hint="eastAsia" w:ascii="宋体" w:hAnsi="宋体" w:eastAsia="宋体"/>
          <w:color w:val="000000"/>
          <w:sz w:val="32"/>
          <w:szCs w:val="32"/>
          <w:highlight w:val="none"/>
          <w:lang w:eastAsia="zh-CN"/>
        </w:rPr>
        <w:t>单位</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（二）机构职能。</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1、负责本乡镇的卫生工作法律法规、政策的贯彻，卫生事业发展规划和工作计划的制定，社会公共卫生工作的组织和实施。</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2、负责本乡镇的基本医疗服务。</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3、负责本乡镇突发公共卫生事件的报告，并依据上级部门要求组织实施处置。</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4、负责本乡镇辖区内的卫生信息统计、分析、上报。</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5、负责对本乡镇辖区内村级卫生组织和乡村医生的业务指导和培训。</w:t>
      </w:r>
    </w:p>
    <w:p>
      <w:pPr>
        <w:widowControl/>
        <w:adjustRightInd w:val="0"/>
        <w:snapToGrid w:val="0"/>
        <w:spacing w:line="580" w:lineRule="exact"/>
        <w:ind w:firstLine="420" w:firstLineChars="200"/>
        <w:contextualSpacing/>
        <w:jc w:val="left"/>
        <w:rPr>
          <w:rFonts w:hint="default"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6、负责承办政府卫生行政部门委托的相关业务和事项，负责上级卫生行政部门下达的其他工作。</w:t>
      </w:r>
    </w:p>
    <w:p>
      <w:pPr>
        <w:widowControl/>
        <w:adjustRightInd w:val="0"/>
        <w:snapToGrid w:val="0"/>
        <w:spacing w:line="580" w:lineRule="exact"/>
        <w:ind w:firstLine="420" w:firstLineChars="200"/>
        <w:contextualSpacing/>
        <w:jc w:val="left"/>
        <w:rPr>
          <w:rFonts w:hint="default" w:ascii="仿宋_GB2312" w:cs="宋体"/>
          <w:color w:val="000000"/>
          <w:kern w:val="0"/>
          <w:szCs w:val="32"/>
          <w:highlight w:val="none"/>
          <w:shd w:val="clear" w:color="auto" w:fill="FFFFFF"/>
          <w:lang w:val="en-US" w:eastAsia="zh-CN"/>
        </w:rPr>
      </w:pP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（三）人员概况。</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w:t>
      </w:r>
      <w:r>
        <w:rPr>
          <w:rFonts w:hint="eastAsia" w:ascii="仿宋_GB2312" w:cs="宋体"/>
          <w:color w:val="000000"/>
          <w:kern w:val="0"/>
          <w:szCs w:val="32"/>
          <w:highlight w:val="none"/>
          <w:shd w:val="clear" w:color="auto" w:fill="FFFFFF"/>
          <w:lang w:val="en-US" w:eastAsia="zh-CN"/>
        </w:rPr>
        <w:t>十里乡卫生院</w:t>
      </w:r>
      <w:r>
        <w:rPr>
          <w:rFonts w:hint="eastAsia" w:ascii="仿宋_GB2312" w:cs="宋体"/>
          <w:color w:val="000000"/>
          <w:kern w:val="0"/>
          <w:szCs w:val="32"/>
          <w:highlight w:val="none"/>
          <w:shd w:val="clear" w:color="auto" w:fill="FFFFFF"/>
          <w:lang w:val="zh-CN"/>
        </w:rPr>
        <w:t>在职人数</w:t>
      </w:r>
      <w:r>
        <w:rPr>
          <w:rFonts w:hint="eastAsia" w:ascii="仿宋_GB2312" w:cs="宋体"/>
          <w:color w:val="000000"/>
          <w:kern w:val="0"/>
          <w:szCs w:val="32"/>
          <w:highlight w:val="none"/>
          <w:shd w:val="clear" w:color="auto" w:fill="FFFFFF"/>
          <w:lang w:val="en-US" w:eastAsia="zh-CN"/>
        </w:rPr>
        <w:t>8</w:t>
      </w:r>
      <w:r>
        <w:rPr>
          <w:rFonts w:hint="eastAsia" w:ascii="仿宋_GB2312" w:cs="宋体"/>
          <w:color w:val="000000"/>
          <w:kern w:val="0"/>
          <w:szCs w:val="32"/>
          <w:highlight w:val="none"/>
          <w:shd w:val="clear" w:color="auto" w:fill="FFFFFF"/>
          <w:lang w:val="zh-CN"/>
        </w:rPr>
        <w:t>人。</w:t>
      </w:r>
    </w:p>
    <w:p>
      <w:pPr>
        <w:widowControl/>
        <w:adjustRightInd w:val="0"/>
        <w:snapToGrid w:val="0"/>
        <w:spacing w:line="580" w:lineRule="exact"/>
        <w:ind w:firstLine="420" w:firstLineChars="200"/>
        <w:contextualSpacing/>
        <w:jc w:val="left"/>
        <w:rPr>
          <w:rFonts w:ascii="黑体" w:eastAsia="黑体" w:cs="宋体"/>
          <w:color w:val="000000"/>
          <w:kern w:val="0"/>
          <w:szCs w:val="32"/>
          <w:highlight w:val="none"/>
          <w:shd w:val="clear" w:color="auto" w:fill="FFFFFF"/>
        </w:rPr>
      </w:pPr>
      <w:r>
        <w:rPr>
          <w:rFonts w:hint="eastAsia" w:ascii="黑体" w:eastAsia="黑体" w:cs="宋体"/>
          <w:color w:val="000000"/>
          <w:kern w:val="0"/>
          <w:szCs w:val="32"/>
          <w:highlight w:val="none"/>
          <w:shd w:val="clear" w:color="auto" w:fill="FFFFFF"/>
        </w:rPr>
        <w:t>二、部门财政资金收支情况</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（一）部门财政资金收入情况。</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年度财政拨款收入总计</w:t>
      </w:r>
      <w:r>
        <w:rPr>
          <w:rFonts w:hint="eastAsia" w:ascii="仿宋_GB2312" w:cs="宋体"/>
          <w:color w:val="000000"/>
          <w:kern w:val="0"/>
          <w:szCs w:val="32"/>
          <w:highlight w:val="none"/>
          <w:shd w:val="clear" w:color="auto" w:fill="FFFFFF"/>
          <w:lang w:val="en-US" w:eastAsia="zh-CN"/>
        </w:rPr>
        <w:t>172.90</w:t>
      </w:r>
      <w:r>
        <w:rPr>
          <w:rFonts w:hint="eastAsia" w:ascii="仿宋_GB2312" w:cs="宋体"/>
          <w:color w:val="000000"/>
          <w:kern w:val="0"/>
          <w:szCs w:val="32"/>
          <w:highlight w:val="none"/>
          <w:shd w:val="clear" w:color="auto" w:fill="FFFFFF"/>
          <w:lang w:val="zh-CN"/>
        </w:rPr>
        <w:t>万元（</w:t>
      </w:r>
      <w:r>
        <w:rPr>
          <w:rFonts w:hint="eastAsia" w:ascii="仿宋_GB2312" w:cs="宋体"/>
          <w:color w:val="000000"/>
          <w:kern w:val="0"/>
          <w:szCs w:val="32"/>
          <w:highlight w:val="none"/>
          <w:shd w:val="clear" w:color="auto" w:fill="FFFFFF"/>
          <w:lang w:val="en-US" w:eastAsia="zh-CN"/>
        </w:rPr>
        <w:t>2021年以前所有卫生院资金合并在大平台未分开）。</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3</w:t>
      </w:r>
      <w:r>
        <w:rPr>
          <w:rFonts w:hint="eastAsia" w:ascii="仿宋_GB2312" w:cs="宋体"/>
          <w:color w:val="000000"/>
          <w:kern w:val="0"/>
          <w:szCs w:val="32"/>
          <w:highlight w:val="none"/>
          <w:shd w:val="clear" w:color="auto" w:fill="FFFFFF"/>
          <w:lang w:val="zh-CN"/>
        </w:rPr>
        <w:t>年1-6月公共预算财政拨款收入</w:t>
      </w:r>
      <w:r>
        <w:rPr>
          <w:rFonts w:hint="eastAsia" w:ascii="仿宋_GB2312" w:cs="宋体"/>
          <w:color w:val="000000"/>
          <w:kern w:val="0"/>
          <w:szCs w:val="32"/>
          <w:highlight w:val="none"/>
          <w:shd w:val="clear" w:color="auto" w:fill="FFFFFF"/>
          <w:lang w:val="en-US" w:eastAsia="zh-CN"/>
        </w:rPr>
        <w:t>179.76</w:t>
      </w:r>
      <w:r>
        <w:rPr>
          <w:rFonts w:hint="eastAsia" w:ascii="仿宋_GB2312" w:cs="宋体"/>
          <w:color w:val="000000"/>
          <w:kern w:val="0"/>
          <w:szCs w:val="32"/>
          <w:highlight w:val="none"/>
          <w:shd w:val="clear" w:color="auto" w:fill="FFFFFF"/>
          <w:lang w:val="zh-CN"/>
        </w:rPr>
        <w:t>万元</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（二）部门财政资金支出情况。</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年度财政拨款支出</w:t>
      </w:r>
      <w:r>
        <w:rPr>
          <w:rFonts w:hint="eastAsia" w:ascii="仿宋_GB2312" w:cs="宋体"/>
          <w:color w:val="000000"/>
          <w:kern w:val="0"/>
          <w:szCs w:val="32"/>
          <w:highlight w:val="none"/>
          <w:shd w:val="clear" w:color="auto" w:fill="FFFFFF"/>
          <w:lang w:val="en-US" w:eastAsia="zh-CN"/>
        </w:rPr>
        <w:t>171.01</w:t>
      </w:r>
      <w:r>
        <w:rPr>
          <w:rFonts w:hint="eastAsia" w:ascii="仿宋_GB2312" w:cs="宋体"/>
          <w:color w:val="000000"/>
          <w:kern w:val="0"/>
          <w:szCs w:val="32"/>
          <w:highlight w:val="none"/>
          <w:shd w:val="clear" w:color="auto" w:fill="FFFFFF"/>
          <w:lang w:val="zh-CN"/>
        </w:rPr>
        <w:t>万元（</w:t>
      </w:r>
      <w:r>
        <w:rPr>
          <w:rFonts w:hint="eastAsia" w:ascii="仿宋_GB2312" w:cs="宋体"/>
          <w:color w:val="000000"/>
          <w:kern w:val="0"/>
          <w:szCs w:val="32"/>
          <w:highlight w:val="none"/>
          <w:shd w:val="clear" w:color="auto" w:fill="FFFFFF"/>
          <w:lang w:val="en-US" w:eastAsia="zh-CN"/>
        </w:rPr>
        <w:t>2021年以前所有卫生院资金合并在大平台未分开）</w:t>
      </w:r>
      <w:r>
        <w:rPr>
          <w:rFonts w:hint="eastAsia" w:ascii="仿宋_GB2312" w:cs="宋体"/>
          <w:color w:val="000000"/>
          <w:kern w:val="0"/>
          <w:szCs w:val="32"/>
          <w:highlight w:val="none"/>
          <w:shd w:val="clear" w:color="auto" w:fill="FFFFFF"/>
          <w:lang w:val="zh-CN"/>
        </w:rPr>
        <w:t>。</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1、202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年度一般公共预算财政拨款基本支出</w:t>
      </w:r>
      <w:r>
        <w:rPr>
          <w:rFonts w:hint="eastAsia" w:ascii="仿宋_GB2312" w:cs="宋体"/>
          <w:color w:val="000000"/>
          <w:kern w:val="0"/>
          <w:szCs w:val="32"/>
          <w:highlight w:val="none"/>
          <w:shd w:val="clear" w:color="auto" w:fill="FFFFFF"/>
          <w:lang w:val="en-US" w:eastAsia="zh-CN"/>
        </w:rPr>
        <w:t>144.76</w:t>
      </w:r>
      <w:r>
        <w:rPr>
          <w:rFonts w:hint="eastAsia" w:ascii="仿宋_GB2312" w:cs="宋体"/>
          <w:color w:val="000000"/>
          <w:kern w:val="0"/>
          <w:szCs w:val="32"/>
          <w:highlight w:val="none"/>
          <w:shd w:val="clear" w:color="auto" w:fill="FFFFFF"/>
          <w:lang w:val="zh-CN"/>
        </w:rPr>
        <w:t>万元，其中：</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人员经费</w:t>
      </w:r>
      <w:r>
        <w:rPr>
          <w:rFonts w:hint="eastAsia" w:ascii="仿宋_GB2312" w:cs="宋体"/>
          <w:color w:val="000000"/>
          <w:kern w:val="0"/>
          <w:szCs w:val="32"/>
          <w:highlight w:val="none"/>
          <w:shd w:val="clear" w:color="auto" w:fill="FFFFFF"/>
          <w:lang w:val="en-US" w:eastAsia="zh-CN"/>
        </w:rPr>
        <w:t>143.43</w:t>
      </w:r>
      <w:r>
        <w:rPr>
          <w:rFonts w:hint="eastAsia" w:ascii="仿宋_GB2312" w:cs="宋体"/>
          <w:color w:val="000000"/>
          <w:kern w:val="0"/>
          <w:szCs w:val="32"/>
          <w:highlight w:val="none"/>
          <w:shd w:val="clear" w:color="auto" w:fill="FFFFFF"/>
          <w:lang w:val="zh-CN"/>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zh-CN"/>
        </w:rPr>
        <w:t>公用经费</w:t>
      </w:r>
      <w:r>
        <w:rPr>
          <w:rFonts w:hint="eastAsia" w:ascii="仿宋_GB2312" w:cs="宋体"/>
          <w:color w:val="000000"/>
          <w:kern w:val="0"/>
          <w:szCs w:val="32"/>
          <w:highlight w:val="none"/>
          <w:shd w:val="clear" w:color="auto" w:fill="FFFFFF"/>
          <w:lang w:val="en-US" w:eastAsia="zh-CN"/>
        </w:rPr>
        <w:t>1.33</w:t>
      </w:r>
      <w:r>
        <w:rPr>
          <w:rFonts w:hint="eastAsia" w:ascii="仿宋_GB2312" w:cs="宋体"/>
          <w:color w:val="000000"/>
          <w:kern w:val="0"/>
          <w:szCs w:val="32"/>
          <w:highlight w:val="none"/>
          <w:shd w:val="clear" w:color="auto" w:fill="FFFFFF"/>
          <w:lang w:val="zh-CN"/>
        </w:rPr>
        <w:t>万元，主要包括：工会经费。</w:t>
      </w:r>
    </w:p>
    <w:p>
      <w:pPr>
        <w:widowControl/>
        <w:adjustRightInd w:val="0"/>
        <w:snapToGrid w:val="0"/>
        <w:spacing w:line="580" w:lineRule="exact"/>
        <w:ind w:firstLine="420" w:firstLineChars="200"/>
        <w:contextualSpacing/>
        <w:jc w:val="left"/>
        <w:rPr>
          <w:rFonts w:hint="default" w:ascii="仿宋_GB2312" w:eastAsia="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年项目支付</w:t>
      </w:r>
      <w:r>
        <w:rPr>
          <w:rFonts w:hint="eastAsia" w:ascii="仿宋_GB2312" w:cs="宋体"/>
          <w:color w:val="000000"/>
          <w:kern w:val="0"/>
          <w:szCs w:val="32"/>
          <w:highlight w:val="none"/>
          <w:shd w:val="clear" w:color="auto" w:fill="FFFFFF"/>
          <w:lang w:val="en-US" w:eastAsia="zh-CN"/>
        </w:rPr>
        <w:t>26.25</w:t>
      </w:r>
      <w:r>
        <w:rPr>
          <w:rFonts w:hint="eastAsia" w:ascii="仿宋_GB2312" w:cs="宋体"/>
          <w:color w:val="000000"/>
          <w:kern w:val="0"/>
          <w:szCs w:val="32"/>
          <w:highlight w:val="none"/>
          <w:shd w:val="clear" w:color="auto" w:fill="FFFFFF"/>
          <w:lang w:val="zh-CN"/>
        </w:rPr>
        <w:t>万元，</w:t>
      </w:r>
      <w:r>
        <w:rPr>
          <w:rFonts w:hint="eastAsia" w:ascii="仿宋_GB2312" w:cs="宋体"/>
          <w:color w:val="000000"/>
          <w:kern w:val="0"/>
          <w:szCs w:val="32"/>
          <w:highlight w:val="none"/>
          <w:shd w:val="clear" w:color="auto" w:fill="FFFFFF"/>
          <w:lang w:val="en-US" w:eastAsia="zh-CN"/>
        </w:rPr>
        <w:t>主要包括：基本药物补助资金、基本公共卫生服务补助资金。</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3</w:t>
      </w:r>
      <w:r>
        <w:rPr>
          <w:rFonts w:hint="eastAsia" w:ascii="仿宋_GB2312" w:cs="宋体"/>
          <w:color w:val="000000"/>
          <w:kern w:val="0"/>
          <w:szCs w:val="32"/>
          <w:highlight w:val="none"/>
          <w:shd w:val="clear" w:color="auto" w:fill="FFFFFF"/>
          <w:lang w:val="zh-CN"/>
        </w:rPr>
        <w:t>年1-6月公共预算财政拨款支出</w:t>
      </w:r>
      <w:r>
        <w:rPr>
          <w:rFonts w:hint="eastAsia" w:ascii="仿宋_GB2312" w:cs="宋体"/>
          <w:color w:val="000000"/>
          <w:kern w:val="0"/>
          <w:szCs w:val="32"/>
          <w:highlight w:val="none"/>
          <w:shd w:val="clear" w:color="auto" w:fill="FFFFFF"/>
          <w:lang w:val="en-US" w:eastAsia="zh-CN"/>
        </w:rPr>
        <w:t>95.37</w:t>
      </w:r>
      <w:r>
        <w:rPr>
          <w:rFonts w:hint="eastAsia" w:ascii="仿宋_GB2312" w:cs="宋体"/>
          <w:color w:val="000000"/>
          <w:kern w:val="0"/>
          <w:szCs w:val="32"/>
          <w:highlight w:val="none"/>
          <w:shd w:val="clear" w:color="auto" w:fill="FFFFFF"/>
          <w:lang w:val="zh-CN"/>
        </w:rPr>
        <w:t>万元。</w:t>
      </w:r>
    </w:p>
    <w:p>
      <w:pPr>
        <w:widowControl/>
        <w:adjustRightInd w:val="0"/>
        <w:snapToGrid w:val="0"/>
        <w:spacing w:line="580" w:lineRule="exact"/>
        <w:ind w:firstLine="420" w:firstLineChars="200"/>
        <w:contextualSpacing/>
        <w:jc w:val="left"/>
        <w:rPr>
          <w:rFonts w:ascii="黑体" w:eastAsia="黑体" w:cs="宋体"/>
          <w:color w:val="000000"/>
          <w:kern w:val="0"/>
          <w:szCs w:val="32"/>
          <w:highlight w:val="none"/>
          <w:shd w:val="clear" w:color="auto" w:fill="FFFFFF"/>
        </w:rPr>
      </w:pPr>
      <w:r>
        <w:rPr>
          <w:rFonts w:hint="eastAsia" w:ascii="黑体" w:eastAsia="黑体" w:cs="宋体"/>
          <w:color w:val="000000"/>
          <w:kern w:val="0"/>
          <w:szCs w:val="32"/>
          <w:highlight w:val="none"/>
          <w:shd w:val="clear" w:color="auto" w:fill="FFFFFF"/>
        </w:rPr>
        <w:t>三、部门整体预算绩效管理情况（根据适用指标体系进行调整</w:t>
      </w:r>
      <w:r>
        <w:rPr>
          <w:rFonts w:hint="eastAsia" w:ascii="黑体" w:eastAsia="黑体" w:cs="宋体"/>
          <w:color w:val="000000"/>
          <w:kern w:val="0"/>
          <w:szCs w:val="32"/>
          <w:highlight w:val="none"/>
          <w:shd w:val="clear" w:color="auto" w:fill="FFFFFF"/>
          <w:lang w:eastAsia="zh-CN"/>
        </w:rPr>
        <w:t>，涉及有专项预算的部门，专项预算项目自评报告根据要求另行单独报送</w:t>
      </w:r>
      <w:r>
        <w:rPr>
          <w:rFonts w:hint="eastAsia" w:ascii="黑体" w:eastAsia="黑体" w:cs="宋体"/>
          <w:color w:val="000000"/>
          <w:kern w:val="0"/>
          <w:szCs w:val="32"/>
          <w:highlight w:val="none"/>
          <w:shd w:val="clear" w:color="auto" w:fill="FFFFFF"/>
        </w:rPr>
        <w:t>）</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一</w:t>
      </w:r>
      <w:r>
        <w:rPr>
          <w:rFonts w:hint="eastAsia" w:ascii="仿宋_GB2312" w:cs="宋体"/>
          <w:color w:val="000000"/>
          <w:kern w:val="0"/>
          <w:szCs w:val="32"/>
          <w:highlight w:val="none"/>
          <w:shd w:val="clear" w:color="auto" w:fill="FFFFFF"/>
          <w:lang w:val="zh-CN"/>
        </w:rPr>
        <w:t>）预算编制情况。</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包括预算编制质量、绩效目标填报、转移支付提前下达及专项转移支付分地区分项目编制情况等。</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二</w:t>
      </w:r>
      <w:r>
        <w:rPr>
          <w:rFonts w:hint="eastAsia" w:ascii="仿宋_GB2312" w:cs="宋体"/>
          <w:color w:val="000000"/>
          <w:kern w:val="0"/>
          <w:szCs w:val="32"/>
          <w:highlight w:val="none"/>
          <w:shd w:val="clear" w:color="auto" w:fill="FFFFFF"/>
          <w:lang w:val="zh-CN"/>
        </w:rPr>
        <w:t>）执行管理情况。</w:t>
      </w:r>
      <w:r>
        <w:rPr>
          <w:rFonts w:hint="eastAsia" w:ascii="仿宋_GB2312" w:cs="宋体"/>
          <w:color w:val="000000"/>
          <w:kern w:val="0"/>
          <w:szCs w:val="32"/>
          <w:highlight w:val="none"/>
          <w:shd w:val="clear" w:color="auto" w:fill="FFFFFF"/>
          <w:lang w:val="zh-CN"/>
        </w:rPr>
        <w:tab/>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从整体情况来看，我</w:t>
      </w:r>
      <w:r>
        <w:rPr>
          <w:rFonts w:hint="eastAsia" w:ascii="仿宋_GB2312" w:cs="宋体"/>
          <w:color w:val="000000"/>
          <w:kern w:val="0"/>
          <w:szCs w:val="32"/>
          <w:highlight w:val="none"/>
          <w:shd w:val="clear" w:color="auto" w:fill="FFFFFF"/>
          <w:lang w:val="en-US" w:eastAsia="zh-CN"/>
        </w:rPr>
        <w:t>单位</w:t>
      </w:r>
      <w:r>
        <w:rPr>
          <w:rFonts w:hint="eastAsia" w:ascii="仿宋_GB2312" w:cs="宋体"/>
          <w:color w:val="000000"/>
          <w:kern w:val="0"/>
          <w:szCs w:val="32"/>
          <w:highlight w:val="none"/>
          <w:shd w:val="clear" w:color="auto" w:fill="FFFFFF"/>
          <w:lang w:val="zh-CN"/>
        </w:rPr>
        <w:t>严格按照年初预算进行部门整体支出。在支出过程中，能严格遵守各项规章制度。实行了先有预算、后有执行、“用钱必问效、无效必问责”的新常态。</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三</w:t>
      </w:r>
      <w:r>
        <w:rPr>
          <w:rFonts w:hint="eastAsia" w:ascii="仿宋_GB2312" w:cs="宋体"/>
          <w:color w:val="000000"/>
          <w:kern w:val="0"/>
          <w:szCs w:val="32"/>
          <w:highlight w:val="none"/>
          <w:shd w:val="clear" w:color="auto" w:fill="FFFFFF"/>
          <w:lang w:val="zh-CN"/>
        </w:rPr>
        <w:t>）综合管理情况。</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预决算公开：</w:t>
      </w:r>
      <w:r>
        <w:rPr>
          <w:rFonts w:hint="eastAsia" w:ascii="仿宋_GB2312" w:cs="宋体"/>
          <w:color w:val="000000"/>
          <w:kern w:val="0"/>
          <w:szCs w:val="32"/>
          <w:highlight w:val="none"/>
          <w:shd w:val="clear" w:color="auto" w:fill="FFFFFF"/>
          <w:lang w:val="en-US" w:eastAsia="zh-CN"/>
        </w:rPr>
        <w:t>2022</w:t>
      </w:r>
      <w:r>
        <w:rPr>
          <w:rFonts w:hint="eastAsia" w:ascii="仿宋_GB2312" w:cs="宋体"/>
          <w:color w:val="000000"/>
          <w:kern w:val="0"/>
          <w:szCs w:val="32"/>
          <w:highlight w:val="none"/>
          <w:shd w:val="clear" w:color="auto" w:fill="FFFFFF"/>
          <w:lang w:val="zh-CN"/>
        </w:rPr>
        <w:t>年，我</w:t>
      </w:r>
      <w:r>
        <w:rPr>
          <w:rFonts w:hint="eastAsia" w:ascii="仿宋_GB2312" w:cs="宋体"/>
          <w:color w:val="000000"/>
          <w:kern w:val="0"/>
          <w:szCs w:val="32"/>
          <w:highlight w:val="none"/>
          <w:shd w:val="clear" w:color="auto" w:fill="FFFFFF"/>
          <w:lang w:val="en-US" w:eastAsia="zh-CN"/>
        </w:rPr>
        <w:t>单位</w:t>
      </w:r>
      <w:r>
        <w:rPr>
          <w:rFonts w:hint="eastAsia" w:ascii="仿宋_GB2312" w:cs="宋体"/>
          <w:color w:val="000000"/>
          <w:kern w:val="0"/>
          <w:szCs w:val="32"/>
          <w:highlight w:val="none"/>
          <w:shd w:val="clear" w:color="auto" w:fill="FFFFFF"/>
          <w:lang w:val="zh-CN"/>
        </w:rPr>
        <w:t>按照财政要求，在网站上进行了预决算公开。</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资产管理：202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年进行全面的资产清查，并就清查中发现的问题进行全面整改。完善了单位财务管理制度，确保各项资产核算准确、账实相符、管理到位。</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“三公经费”控制情况：贯彻落实上级有关精神，严格控制“三公经费”支出。我单位202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w:t>
      </w:r>
      <w:r>
        <w:rPr>
          <w:rFonts w:hint="eastAsia" w:ascii="仿宋_GB2312" w:cs="宋体"/>
          <w:color w:val="000000"/>
          <w:kern w:val="0"/>
          <w:szCs w:val="32"/>
          <w:highlight w:val="none"/>
          <w:shd w:val="clear" w:color="auto" w:fill="FFFFFF"/>
          <w:lang w:val="en-US" w:eastAsia="zh-CN"/>
        </w:rPr>
        <w:t>无</w:t>
      </w:r>
      <w:r>
        <w:rPr>
          <w:rFonts w:hint="eastAsia" w:ascii="仿宋_GB2312" w:cs="宋体"/>
          <w:color w:val="000000"/>
          <w:kern w:val="0"/>
          <w:szCs w:val="32"/>
          <w:highlight w:val="none"/>
          <w:shd w:val="clear" w:color="auto" w:fill="FFFFFF"/>
          <w:lang w:val="zh-CN"/>
        </w:rPr>
        <w:t>“三公”经费支出。内部管理制度建设情况：近年来，我</w:t>
      </w:r>
      <w:r>
        <w:rPr>
          <w:rFonts w:hint="eastAsia" w:ascii="仿宋_GB2312" w:cs="宋体"/>
          <w:color w:val="000000"/>
          <w:kern w:val="0"/>
          <w:szCs w:val="32"/>
          <w:highlight w:val="none"/>
          <w:shd w:val="clear" w:color="auto" w:fill="FFFFFF"/>
          <w:lang w:val="en-US" w:eastAsia="zh-CN"/>
        </w:rPr>
        <w:t>单位</w:t>
      </w:r>
      <w:r>
        <w:rPr>
          <w:rFonts w:hint="eastAsia" w:ascii="仿宋_GB2312" w:cs="宋体"/>
          <w:color w:val="000000"/>
          <w:kern w:val="0"/>
          <w:szCs w:val="32"/>
          <w:highlight w:val="none"/>
          <w:shd w:val="clear" w:color="auto" w:fill="FFFFFF"/>
          <w:lang w:val="zh-CN"/>
        </w:rPr>
        <w:t>制定、完善了财务管理制度、车辆管理制度、差旅费管理实施办法等内部制度。</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四</w:t>
      </w:r>
      <w:r>
        <w:rPr>
          <w:rFonts w:hint="eastAsia" w:ascii="仿宋_GB2312" w:cs="宋体"/>
          <w:color w:val="000000"/>
          <w:kern w:val="0"/>
          <w:szCs w:val="32"/>
          <w:highlight w:val="none"/>
          <w:shd w:val="clear" w:color="auto" w:fill="FFFFFF"/>
          <w:lang w:val="zh-CN"/>
        </w:rPr>
        <w:t>）绩效评价目的：</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此次绩效评价的目的是：严格落实《</w:t>
      </w:r>
      <w:r>
        <w:rPr>
          <w:rFonts w:hint="eastAsia" w:ascii="仿宋_GB2312" w:eastAsia="宋体" w:cs="宋体"/>
          <w:color w:val="000000"/>
          <w:kern w:val="0"/>
          <w:szCs w:val="32"/>
          <w:highlight w:val="none"/>
          <w:shd w:val="clear" w:color="auto" w:fill="FFFFFF"/>
          <w:lang w:val="en-US" w:eastAsia="zh-CN"/>
        </w:rPr>
        <w:t>中华人民共和国</w:t>
      </w:r>
      <w:bookmarkStart w:id="76" w:name="_GoBack"/>
      <w:bookmarkEnd w:id="76"/>
      <w:r>
        <w:rPr>
          <w:rFonts w:hint="eastAsia" w:ascii="仿宋_GB2312" w:cs="宋体"/>
          <w:color w:val="000000"/>
          <w:kern w:val="0"/>
          <w:szCs w:val="32"/>
          <w:highlight w:val="none"/>
          <w:shd w:val="clear" w:color="auto" w:fill="FFFFFF"/>
          <w:lang w:val="zh-CN"/>
        </w:rPr>
        <w:t>预算法》及省、州绩效管理工作的有关规定，进一步规范财政资金的管理，强化财政支出绩效理念，提升部门责任意识，提高资金使用效益，促进民政事业的发展。</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五</w:t>
      </w:r>
      <w:r>
        <w:rPr>
          <w:rFonts w:hint="eastAsia" w:ascii="仿宋_GB2312" w:cs="宋体"/>
          <w:color w:val="000000"/>
          <w:kern w:val="0"/>
          <w:szCs w:val="32"/>
          <w:highlight w:val="none"/>
          <w:shd w:val="clear" w:color="auto" w:fill="FFFFFF"/>
          <w:lang w:val="zh-CN"/>
        </w:rPr>
        <w:t>）绩效评价的主要过程：</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根据绩效评价的要求，我们成立了自评工作领导小组，对照自评方案进行研究和部署，按照自评方案的要求，对照各实施项目的内容逐条逐项自评。在自评过程发现问题，查找原因，及时纠正偏差，为下一步工作夯实基础。</w:t>
      </w:r>
    </w:p>
    <w:p>
      <w:pPr>
        <w:widowControl/>
        <w:adjustRightInd w:val="0"/>
        <w:snapToGrid w:val="0"/>
        <w:spacing w:line="580" w:lineRule="exact"/>
        <w:ind w:firstLine="420" w:firstLineChars="200"/>
        <w:contextualSpacing/>
        <w:jc w:val="left"/>
        <w:rPr>
          <w:rFonts w:ascii="黑体" w:eastAsia="黑体" w:cs="宋体"/>
          <w:color w:val="000000"/>
          <w:kern w:val="0"/>
          <w:szCs w:val="32"/>
          <w:highlight w:val="none"/>
          <w:shd w:val="clear" w:color="auto" w:fill="FFFFFF"/>
        </w:rPr>
      </w:pPr>
      <w:r>
        <w:rPr>
          <w:rFonts w:hint="eastAsia" w:ascii="黑体" w:eastAsia="黑体" w:cs="宋体"/>
          <w:color w:val="000000"/>
          <w:kern w:val="0"/>
          <w:szCs w:val="32"/>
          <w:highlight w:val="none"/>
          <w:shd w:val="clear" w:color="auto" w:fill="FFFFFF"/>
        </w:rPr>
        <w:t>四、评价结论及建议</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（一）评价结论。</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规范了财政资金的管理，强化财政支出绩效理念，提升责任意识，提高资金使用效益。</w:t>
      </w:r>
    </w:p>
    <w:p>
      <w:pPr>
        <w:widowControl/>
        <w:adjustRightInd w:val="0"/>
        <w:snapToGrid w:val="0"/>
        <w:spacing w:line="580" w:lineRule="exact"/>
        <w:ind w:firstLine="420" w:firstLineChars="200"/>
        <w:contextualSpacing/>
        <w:jc w:val="left"/>
        <w:rPr>
          <w:rFonts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（二）存在问题。</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（三）改进建议。</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严肃财经纪律、规范财务管理、筑牢财政资金安全防线、防范财政资金管理风险。把财经纪律执行工作的各项任务落到实处。</w:t>
      </w:r>
    </w:p>
    <w:p>
      <w:pPr>
        <w:widowControl/>
        <w:adjustRightInd w:val="0"/>
        <w:snapToGrid w:val="0"/>
        <w:spacing w:line="580" w:lineRule="exact"/>
        <w:ind w:firstLine="420" w:firstLineChars="200"/>
        <w:contextualSpacing/>
        <w:jc w:val="left"/>
        <w:rPr>
          <w:rFonts w:hint="eastAsia" w:ascii="仿宋_GB2312" w:cs="宋体"/>
          <w:color w:val="000000"/>
          <w:kern w:val="0"/>
          <w:szCs w:val="32"/>
          <w:highlight w:val="none"/>
          <w:shd w:val="clear" w:color="auto" w:fill="FFFFFF"/>
          <w:lang w:val="zh-CN"/>
        </w:rPr>
      </w:pPr>
    </w:p>
    <w:p>
      <w:pPr>
        <w:widowControl/>
        <w:jc w:val="left"/>
        <w:rPr>
          <w:rFonts w:ascii="仿宋_GB2312" w:eastAsia="仿宋_GB2312"/>
          <w:b/>
          <w:color w:val="000000"/>
          <w:sz w:val="32"/>
          <w:szCs w:val="32"/>
        </w:rPr>
      </w:pPr>
      <w:r>
        <w:rPr>
          <w:rFonts w:hint="eastAsia" w:ascii="仿宋_GB2312" w:cs="宋体"/>
          <w:color w:val="000000"/>
          <w:kern w:val="0"/>
          <w:szCs w:val="32"/>
          <w:highlight w:val="none"/>
          <w:shd w:val="clear" w:color="auto" w:fill="FFFFFF"/>
          <w:lang w:val="en-US" w:eastAsia="zh-CN"/>
        </w:rPr>
        <w:t xml:space="preserve">                              </w:t>
      </w:r>
    </w:p>
    <w:p>
      <w:pPr>
        <w:pStyle w:val="2"/>
        <w:jc w:val="center"/>
        <w:rPr>
          <w:rFonts w:ascii="黑体" w:hAnsi="黑体" w:eastAsia="黑体" w:cs="黑体"/>
        </w:rPr>
      </w:pPr>
      <w:bookmarkStart w:id="67" w:name="_Toc5924"/>
      <w:bookmarkStart w:id="68" w:name="_Toc15377225"/>
      <w:bookmarkStart w:id="69" w:name="_Toc111208509"/>
      <w:r>
        <w:rPr>
          <w:rFonts w:hint="eastAsia" w:ascii="黑体" w:hAnsi="黑体" w:eastAsia="黑体" w:cs="黑体"/>
        </w:rPr>
        <w:t>第三部分 名词解释</w:t>
      </w:r>
      <w:bookmarkEnd w:id="67"/>
      <w:bookmarkEnd w:id="68"/>
      <w:bookmarkEnd w:id="69"/>
    </w:p>
    <w:p>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.年末结转和结余：指单位按有关规定结转到下年或以后年度继续使用的资金。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9.社会保障和就业支出（208）行政事业单位养老支出（20805）机关事业单位基本养老保险缴费支出（2080505）：反映机关事业单位实施养老保险制度由单位缴纳的基本养老保险费支出。</w:t>
      </w:r>
      <w:r>
        <w:rPr>
          <w:rFonts w:hint="eastAsia" w:ascii="仿宋" w:hAnsi="仿宋" w:eastAsia="仿宋"/>
          <w:color w:val="000000"/>
          <w:sz w:val="32"/>
          <w:szCs w:val="32"/>
        </w:rPr>
        <w:cr/>
      </w:r>
      <w:r>
        <w:rPr>
          <w:rFonts w:hint="eastAsia" w:ascii="仿宋" w:hAnsi="仿宋" w:eastAsia="仿宋"/>
          <w:color w:val="000000"/>
          <w:sz w:val="32"/>
          <w:szCs w:val="32"/>
        </w:rPr>
        <w:t>10.社会保障和就业支出（208）行政事业单位养老支出（20805）机关事业单位职业年金缴费支出（2080506）：反映机关事业单位实施养老保险制度由单位实际缴纳的职业年金支出。</w:t>
      </w:r>
      <w:r>
        <w:rPr>
          <w:rFonts w:hint="eastAsia" w:ascii="仿宋" w:hAnsi="仿宋" w:eastAsia="仿宋"/>
          <w:color w:val="000000"/>
          <w:sz w:val="32"/>
          <w:szCs w:val="32"/>
        </w:rPr>
        <w:cr/>
      </w:r>
      <w:r>
        <w:rPr>
          <w:rFonts w:hint="eastAsia" w:ascii="仿宋" w:hAnsi="仿宋" w:eastAsia="仿宋"/>
          <w:color w:val="000000"/>
          <w:sz w:val="32"/>
          <w:szCs w:val="32"/>
        </w:rPr>
        <w:t>11.卫生健康支出（210）基层医疗卫生机构（21003）乡镇卫生院（2100302）：反映用于乡镇卫生院的支出。</w:t>
      </w:r>
      <w:r>
        <w:rPr>
          <w:rFonts w:hint="eastAsia" w:ascii="仿宋" w:hAnsi="仿宋" w:eastAsia="仿宋"/>
          <w:color w:val="000000"/>
          <w:sz w:val="32"/>
          <w:szCs w:val="32"/>
        </w:rPr>
        <w:cr/>
      </w:r>
      <w:r>
        <w:rPr>
          <w:rFonts w:hint="eastAsia" w:ascii="仿宋" w:hAnsi="仿宋" w:eastAsia="仿宋"/>
          <w:color w:val="000000"/>
          <w:sz w:val="32"/>
          <w:szCs w:val="32"/>
        </w:rPr>
        <w:t>12.卫生健康支出（210）基层医疗卫生机构（21003）其他基层医疗卫生机构支出（2100399）：反映除上述项目以外的其他用于基层医疗卫生机构的支出。</w:t>
      </w:r>
      <w:r>
        <w:rPr>
          <w:rFonts w:hint="eastAsia" w:ascii="仿宋" w:hAnsi="仿宋" w:eastAsia="仿宋"/>
          <w:color w:val="000000"/>
          <w:sz w:val="32"/>
          <w:szCs w:val="32"/>
        </w:rPr>
        <w:cr/>
      </w:r>
      <w:r>
        <w:rPr>
          <w:rFonts w:hint="eastAsia" w:ascii="仿宋" w:hAnsi="仿宋" w:eastAsia="仿宋"/>
          <w:color w:val="000000"/>
          <w:sz w:val="32"/>
          <w:szCs w:val="32"/>
        </w:rPr>
        <w:t>13.卫生健康支出（210）公共卫生（21004）基本公共卫生服务（2100408）：反映基本公共卫生服务支出。</w:t>
      </w:r>
      <w:r>
        <w:rPr>
          <w:rFonts w:hint="eastAsia" w:ascii="仿宋" w:hAnsi="仿宋" w:eastAsia="仿宋"/>
          <w:color w:val="000000"/>
          <w:sz w:val="32"/>
          <w:szCs w:val="32"/>
        </w:rPr>
        <w:cr/>
      </w:r>
      <w:r>
        <w:rPr>
          <w:rFonts w:hint="eastAsia" w:ascii="仿宋" w:hAnsi="仿宋" w:eastAsia="仿宋"/>
          <w:color w:val="000000"/>
          <w:sz w:val="32"/>
          <w:szCs w:val="32"/>
        </w:rPr>
        <w:t>14.卫生健康支出（210）行政事业单位医疗（21011）事业单位医疗（2101102）：反映财政部门安排的事业单位基本医疗保险缴费经费，未参加医疗保险的事业单位的公费医疗经费，按国家规定享受离休人员待遇的医疗经费。</w:t>
      </w:r>
      <w:r>
        <w:rPr>
          <w:rFonts w:hint="eastAsia" w:ascii="仿宋" w:hAnsi="仿宋" w:eastAsia="仿宋"/>
          <w:color w:val="000000"/>
          <w:sz w:val="32"/>
          <w:szCs w:val="32"/>
        </w:rPr>
        <w:cr/>
      </w:r>
      <w:r>
        <w:rPr>
          <w:rFonts w:hint="eastAsia" w:ascii="仿宋" w:hAnsi="仿宋" w:eastAsia="仿宋"/>
          <w:color w:val="000000"/>
          <w:sz w:val="32"/>
          <w:szCs w:val="32"/>
        </w:rPr>
        <w:t>15.住房保障支出（221）住房改革支出（22102）住房公积金（2210201）：反映行政事业单位按人力资源和社会保障部、财政部规定的基本工资和津贴补贴以及规定比例为职工缴纳的住房公积金。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16.基本支出：指为保障机构正常运转、完成日常工作任务而发生的人员支出和公用支出。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25.项目支出：指在基本支出之外为完成特定行政任务和事业发展目标所发生的支出。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17.经营支出：指事业单位在专业业务活动及其辅助活动之外开展非独立核算经营活动发生的支出。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ascii="仿宋_GB2312" w:eastAsia="仿宋_GB2312" w:cs="黑体"/>
          <w:sz w:val="32"/>
          <w:szCs w:val="32"/>
        </w:rPr>
      </w:pPr>
      <w:r>
        <w:rPr>
          <w:rFonts w:hint="eastAsia" w:ascii="仿宋" w:hAnsi="仿宋" w:eastAsia="仿宋"/>
          <w:color w:val="000000"/>
          <w:sz w:val="32"/>
          <w:szCs w:val="32"/>
        </w:rPr>
        <w:t>20.财政应返还额度：为行政事业单位会计核算科目，用于核算实行国库集中支付的行政事业单位应收财政返还的资金额度。</w:t>
      </w:r>
    </w:p>
    <w:p>
      <w:pPr>
        <w:widowControl/>
        <w:jc w:val="left"/>
        <w:rPr>
          <w:rStyle w:val="30"/>
          <w:rFonts w:ascii="黑体" w:hAnsi="黑体" w:eastAsia="黑体"/>
        </w:rPr>
      </w:pPr>
      <w:r>
        <w:rPr>
          <w:rStyle w:val="30"/>
          <w:rFonts w:ascii="黑体" w:hAnsi="黑体" w:eastAsia="黑体"/>
        </w:rPr>
        <w:br w:type="page"/>
      </w:r>
    </w:p>
    <w:p>
      <w:pPr>
        <w:pStyle w:val="2"/>
        <w:jc w:val="center"/>
        <w:rPr>
          <w:rFonts w:ascii="黑体" w:hAnsi="黑体" w:eastAsia="黑体" w:cs="黑体"/>
        </w:rPr>
      </w:pPr>
      <w:bookmarkStart w:id="70" w:name="_Toc111208510"/>
      <w:bookmarkStart w:id="71" w:name="_Toc13946"/>
      <w:r>
        <w:rPr>
          <w:rFonts w:hint="eastAsia" w:ascii="黑体" w:hAnsi="黑体" w:eastAsia="黑体" w:cs="黑体"/>
        </w:rPr>
        <w:t>第四部分 附件</w:t>
      </w:r>
      <w:bookmarkEnd w:id="70"/>
      <w:bookmarkEnd w:id="71"/>
    </w:p>
    <w:p>
      <w:pPr>
        <w:spacing w:before="42" w:line="228" w:lineRule="auto"/>
        <w:ind w:left="75"/>
        <w:rPr>
          <w:rFonts w:hint="eastAsia" w:ascii="Times New Roman" w:hAnsi="Times New Roman" w:eastAsia="黑体" w:cs="Times New Roman"/>
          <w:sz w:val="21"/>
          <w:szCs w:val="21"/>
          <w:lang w:val="en-US" w:eastAsia="zh-CN"/>
        </w:rPr>
      </w:pPr>
      <w:r>
        <w:rPr>
          <w:rFonts w:ascii="黑体" w:hAnsi="黑体" w:eastAsia="黑体" w:cs="黑体"/>
          <w:spacing w:val="-3"/>
          <w:sz w:val="21"/>
          <w:szCs w:val="21"/>
        </w:rPr>
        <w:t>附件</w:t>
      </w:r>
      <w:r>
        <w:rPr>
          <w:rFonts w:hint="eastAsia" w:ascii="黑体" w:hAnsi="黑体" w:eastAsia="黑体" w:cs="黑体"/>
          <w:spacing w:val="-3"/>
          <w:sz w:val="21"/>
          <w:szCs w:val="21"/>
          <w:lang w:val="en-US" w:eastAsia="zh-CN"/>
        </w:rPr>
        <w:t>1</w:t>
      </w:r>
    </w:p>
    <w:p>
      <w:pPr>
        <w:spacing w:before="63" w:line="334" w:lineRule="exact"/>
        <w:ind w:left="2089"/>
        <w:rPr>
          <w:rFonts w:ascii="宋体" w:hAnsi="宋体" w:eastAsia="宋体" w:cs="宋体"/>
          <w:sz w:val="24"/>
          <w:szCs w:val="24"/>
        </w:rPr>
      </w:pPr>
      <w:r>
        <w:rPr>
          <w:rFonts w:ascii="宋体" w:hAnsi="宋体" w:eastAsia="宋体" w:cs="宋体"/>
          <w:spacing w:val="4"/>
          <w:position w:val="1"/>
          <w:sz w:val="24"/>
          <w:szCs w:val="24"/>
          <w14:textOutline w14:w="3175" w14:cap="flat" w14:cmpd="sng">
            <w14:solidFill>
              <w14:srgbClr w14:val="000000"/>
            </w14:solidFill>
            <w14:prstDash w14:val="solid"/>
            <w14:miter w14:val="0"/>
          </w14:textOutline>
        </w:rPr>
        <w:t>转移支付区域（项目）绩效目标自评表</w:t>
      </w:r>
    </w:p>
    <w:p>
      <w:pPr>
        <w:spacing w:before="81" w:line="220" w:lineRule="auto"/>
        <w:ind w:left="3666"/>
        <w:rPr>
          <w:rFonts w:ascii="仿宋" w:hAnsi="仿宋" w:eastAsia="仿宋" w:cs="仿宋"/>
          <w:sz w:val="16"/>
          <w:szCs w:val="16"/>
        </w:rPr>
      </w:pPr>
      <w:r>
        <w:rPr>
          <w:rFonts w:ascii="仿宋" w:hAnsi="仿宋" w:eastAsia="仿宋" w:cs="仿宋"/>
          <w:spacing w:val="4"/>
          <w:sz w:val="16"/>
          <w:szCs w:val="16"/>
        </w:rPr>
        <w:t>（2022年度）</w:t>
      </w:r>
    </w:p>
    <w:tbl>
      <w:tblPr>
        <w:tblStyle w:val="37"/>
        <w:tblW w:w="8274" w:type="dxa"/>
        <w:tblInd w:w="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5"/>
        <w:gridCol w:w="388"/>
        <w:gridCol w:w="777"/>
        <w:gridCol w:w="1688"/>
        <w:gridCol w:w="1280"/>
        <w:gridCol w:w="1016"/>
        <w:gridCol w:w="1119"/>
        <w:gridCol w:w="16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560" w:type="dxa"/>
            <w:gridSpan w:val="3"/>
            <w:vAlign w:val="top"/>
          </w:tcPr>
          <w:p>
            <w:pPr>
              <w:spacing w:before="47" w:line="221" w:lineRule="auto"/>
              <w:ind w:left="709" w:right="89" w:hanging="603"/>
              <w:rPr>
                <w:rFonts w:ascii="宋体" w:hAnsi="宋体" w:eastAsia="宋体" w:cs="宋体"/>
                <w:sz w:val="15"/>
                <w:szCs w:val="15"/>
              </w:rPr>
            </w:pPr>
            <w:r>
              <w:rPr>
                <w:rFonts w:ascii="宋体" w:hAnsi="宋体" w:eastAsia="宋体" w:cs="宋体"/>
                <w:sz w:val="15"/>
                <w:szCs w:val="15"/>
              </w:rPr>
              <w:t>转移支付（项目）名</w:t>
            </w:r>
            <w:r>
              <w:rPr>
                <w:rFonts w:ascii="宋体" w:hAnsi="宋体" w:eastAsia="宋体" w:cs="宋体"/>
                <w:spacing w:val="2"/>
                <w:sz w:val="15"/>
                <w:szCs w:val="15"/>
              </w:rPr>
              <w:t xml:space="preserve"> </w:t>
            </w:r>
            <w:r>
              <w:rPr>
                <w:rFonts w:ascii="宋体" w:hAnsi="宋体" w:eastAsia="宋体" w:cs="宋体"/>
                <w:sz w:val="15"/>
                <w:szCs w:val="15"/>
              </w:rPr>
              <w:t>称</w:t>
            </w:r>
          </w:p>
        </w:tc>
        <w:tc>
          <w:tcPr>
            <w:tcW w:w="6714" w:type="dxa"/>
            <w:gridSpan w:val="5"/>
            <w:vAlign w:val="top"/>
          </w:tcPr>
          <w:p>
            <w:pPr>
              <w:spacing w:before="142" w:line="219" w:lineRule="auto"/>
              <w:ind w:left="2906"/>
              <w:rPr>
                <w:rFonts w:ascii="宋体" w:hAnsi="宋体" w:eastAsia="宋体" w:cs="宋体"/>
                <w:sz w:val="15"/>
                <w:szCs w:val="15"/>
              </w:rPr>
            </w:pPr>
            <w:r>
              <w:rPr>
                <w:rFonts w:ascii="宋体" w:hAnsi="宋体" w:eastAsia="宋体" w:cs="宋体"/>
                <w:sz w:val="15"/>
                <w:szCs w:val="15"/>
              </w:rPr>
              <w:t>基本药物制度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1560" w:type="dxa"/>
            <w:gridSpan w:val="3"/>
            <w:vAlign w:val="top"/>
          </w:tcPr>
          <w:p>
            <w:pPr>
              <w:spacing w:before="49" w:line="219" w:lineRule="auto"/>
              <w:ind w:left="345"/>
              <w:rPr>
                <w:rFonts w:ascii="宋体" w:hAnsi="宋体" w:eastAsia="宋体" w:cs="宋体"/>
                <w:sz w:val="15"/>
                <w:szCs w:val="15"/>
              </w:rPr>
            </w:pPr>
            <w:r>
              <w:rPr>
                <w:rFonts w:ascii="宋体" w:hAnsi="宋体" w:eastAsia="宋体" w:cs="宋体"/>
                <w:spacing w:val="-3"/>
                <w:sz w:val="15"/>
                <w:szCs w:val="15"/>
              </w:rPr>
              <w:t>中央主管部门</w:t>
            </w:r>
          </w:p>
        </w:tc>
        <w:tc>
          <w:tcPr>
            <w:tcW w:w="6714" w:type="dxa"/>
            <w:gridSpan w:val="5"/>
            <w:vAlign w:val="top"/>
          </w:tcPr>
          <w:p>
            <w:pPr>
              <w:pStyle w:val="38"/>
              <w:spacing w:line="226"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1560" w:type="dxa"/>
            <w:gridSpan w:val="3"/>
            <w:vAlign w:val="top"/>
          </w:tcPr>
          <w:p>
            <w:pPr>
              <w:spacing w:before="49" w:line="219" w:lineRule="auto"/>
              <w:ind w:left="331"/>
              <w:rPr>
                <w:rFonts w:ascii="宋体" w:hAnsi="宋体" w:eastAsia="宋体" w:cs="宋体"/>
                <w:sz w:val="15"/>
                <w:szCs w:val="15"/>
              </w:rPr>
            </w:pPr>
            <w:r>
              <w:rPr>
                <w:rFonts w:ascii="宋体" w:hAnsi="宋体" w:eastAsia="宋体" w:cs="宋体"/>
                <w:sz w:val="15"/>
                <w:szCs w:val="15"/>
              </w:rPr>
              <w:t>地方主管部门</w:t>
            </w:r>
          </w:p>
        </w:tc>
        <w:tc>
          <w:tcPr>
            <w:tcW w:w="2968" w:type="dxa"/>
            <w:gridSpan w:val="2"/>
            <w:vAlign w:val="top"/>
          </w:tcPr>
          <w:p>
            <w:pPr>
              <w:spacing w:before="49" w:line="219" w:lineRule="auto"/>
              <w:ind w:left="27"/>
              <w:rPr>
                <w:rFonts w:ascii="宋体" w:hAnsi="宋体" w:eastAsia="宋体" w:cs="宋体"/>
                <w:sz w:val="15"/>
                <w:szCs w:val="15"/>
              </w:rPr>
            </w:pPr>
            <w:r>
              <w:rPr>
                <w:rFonts w:ascii="宋体" w:hAnsi="宋体" w:eastAsia="宋体" w:cs="宋体"/>
                <w:sz w:val="15"/>
                <w:szCs w:val="15"/>
              </w:rPr>
              <w:t>松潘县卫生健康局</w:t>
            </w:r>
          </w:p>
        </w:tc>
        <w:tc>
          <w:tcPr>
            <w:tcW w:w="1016" w:type="dxa"/>
            <w:vAlign w:val="top"/>
          </w:tcPr>
          <w:p>
            <w:pPr>
              <w:spacing w:before="49" w:line="219" w:lineRule="auto"/>
              <w:ind w:left="70"/>
              <w:rPr>
                <w:rFonts w:ascii="宋体" w:hAnsi="宋体" w:eastAsia="宋体" w:cs="宋体"/>
                <w:sz w:val="15"/>
                <w:szCs w:val="15"/>
              </w:rPr>
            </w:pPr>
            <w:r>
              <w:rPr>
                <w:rFonts w:ascii="宋体" w:hAnsi="宋体" w:eastAsia="宋体" w:cs="宋体"/>
                <w:spacing w:val="-1"/>
                <w:sz w:val="15"/>
                <w:szCs w:val="15"/>
              </w:rPr>
              <w:t>资金使用单位</w:t>
            </w:r>
          </w:p>
        </w:tc>
        <w:tc>
          <w:tcPr>
            <w:tcW w:w="2730" w:type="dxa"/>
            <w:gridSpan w:val="2"/>
            <w:vAlign w:val="top"/>
          </w:tcPr>
          <w:p>
            <w:pPr>
              <w:spacing w:before="49" w:line="219" w:lineRule="auto"/>
              <w:ind w:left="845"/>
              <w:rPr>
                <w:rFonts w:ascii="宋体" w:hAnsi="宋体" w:eastAsia="宋体" w:cs="宋体"/>
                <w:sz w:val="15"/>
                <w:szCs w:val="15"/>
              </w:rPr>
            </w:pPr>
            <w:r>
              <w:rPr>
                <w:rFonts w:ascii="宋体" w:hAnsi="宋体" w:eastAsia="宋体" w:cs="宋体"/>
                <w:sz w:val="15"/>
                <w:szCs w:val="15"/>
              </w:rPr>
              <w:t>各基层医疗机构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560" w:type="dxa"/>
            <w:gridSpan w:val="3"/>
            <w:vMerge w:val="restart"/>
            <w:tcBorders>
              <w:bottom w:val="nil"/>
            </w:tcBorders>
            <w:vAlign w:val="top"/>
          </w:tcPr>
          <w:p>
            <w:pPr>
              <w:pStyle w:val="38"/>
              <w:spacing w:line="472" w:lineRule="auto"/>
              <w:rPr>
                <w:sz w:val="21"/>
              </w:rPr>
            </w:pPr>
          </w:p>
          <w:p>
            <w:pPr>
              <w:spacing w:before="49" w:line="221" w:lineRule="auto"/>
              <w:ind w:left="338"/>
              <w:rPr>
                <w:rFonts w:ascii="宋体" w:hAnsi="宋体" w:eastAsia="宋体" w:cs="宋体"/>
                <w:sz w:val="15"/>
                <w:szCs w:val="15"/>
              </w:rPr>
            </w:pPr>
            <w:r>
              <w:rPr>
                <w:rFonts w:ascii="宋体" w:hAnsi="宋体" w:eastAsia="宋体" w:cs="宋体"/>
                <w:spacing w:val="-1"/>
                <w:sz w:val="15"/>
                <w:szCs w:val="15"/>
              </w:rPr>
              <w:t>资金投入情况</w:t>
            </w:r>
          </w:p>
          <w:p>
            <w:pPr>
              <w:spacing w:before="8" w:line="221" w:lineRule="auto"/>
              <w:ind w:left="487"/>
              <w:rPr>
                <w:rFonts w:ascii="宋体" w:hAnsi="宋体" w:eastAsia="宋体" w:cs="宋体"/>
                <w:sz w:val="15"/>
                <w:szCs w:val="15"/>
              </w:rPr>
            </w:pPr>
            <w:r>
              <w:rPr>
                <w:rFonts w:ascii="宋体" w:hAnsi="宋体" w:eastAsia="宋体" w:cs="宋体"/>
                <w:spacing w:val="-2"/>
                <w:sz w:val="15"/>
                <w:szCs w:val="15"/>
              </w:rPr>
              <w:t>（万元）</w:t>
            </w:r>
          </w:p>
        </w:tc>
        <w:tc>
          <w:tcPr>
            <w:tcW w:w="1688" w:type="dxa"/>
            <w:vAlign w:val="top"/>
          </w:tcPr>
          <w:p>
            <w:pPr>
              <w:pStyle w:val="38"/>
              <w:rPr>
                <w:sz w:val="21"/>
              </w:rPr>
            </w:pPr>
          </w:p>
        </w:tc>
        <w:tc>
          <w:tcPr>
            <w:tcW w:w="1280" w:type="dxa"/>
            <w:vAlign w:val="top"/>
          </w:tcPr>
          <w:p>
            <w:pPr>
              <w:spacing w:before="123" w:line="220" w:lineRule="auto"/>
              <w:ind w:left="78"/>
              <w:rPr>
                <w:rFonts w:ascii="宋体" w:hAnsi="宋体" w:eastAsia="宋体" w:cs="宋体"/>
                <w:sz w:val="15"/>
                <w:szCs w:val="15"/>
              </w:rPr>
            </w:pPr>
            <w:r>
              <w:rPr>
                <w:rFonts w:ascii="宋体" w:hAnsi="宋体" w:eastAsia="宋体" w:cs="宋体"/>
                <w:sz w:val="15"/>
                <w:szCs w:val="15"/>
              </w:rPr>
              <w:t>全年预算数（A）</w:t>
            </w:r>
          </w:p>
        </w:tc>
        <w:tc>
          <w:tcPr>
            <w:tcW w:w="2135" w:type="dxa"/>
            <w:gridSpan w:val="2"/>
            <w:vAlign w:val="top"/>
          </w:tcPr>
          <w:p>
            <w:pPr>
              <w:spacing w:before="123" w:line="220" w:lineRule="auto"/>
              <w:ind w:left="508"/>
              <w:rPr>
                <w:rFonts w:ascii="宋体" w:hAnsi="宋体" w:eastAsia="宋体" w:cs="宋体"/>
                <w:sz w:val="15"/>
                <w:szCs w:val="15"/>
              </w:rPr>
            </w:pPr>
            <w:r>
              <w:rPr>
                <w:rFonts w:ascii="宋体" w:hAnsi="宋体" w:eastAsia="宋体" w:cs="宋体"/>
                <w:sz w:val="15"/>
                <w:szCs w:val="15"/>
              </w:rPr>
              <w:t>全年执行数（B）</w:t>
            </w:r>
          </w:p>
        </w:tc>
        <w:tc>
          <w:tcPr>
            <w:tcW w:w="1611" w:type="dxa"/>
            <w:vAlign w:val="top"/>
          </w:tcPr>
          <w:p>
            <w:pPr>
              <w:spacing w:before="30" w:line="233" w:lineRule="auto"/>
              <w:ind w:left="435"/>
              <w:rPr>
                <w:rFonts w:ascii="宋体" w:hAnsi="宋体" w:eastAsia="宋体" w:cs="宋体"/>
                <w:sz w:val="15"/>
                <w:szCs w:val="15"/>
              </w:rPr>
            </w:pPr>
            <w:r>
              <w:rPr>
                <w:rFonts w:ascii="宋体" w:hAnsi="宋体" w:eastAsia="宋体" w:cs="宋体"/>
                <w:spacing w:val="-1"/>
                <w:sz w:val="15"/>
                <w:szCs w:val="15"/>
              </w:rPr>
              <w:t>预算执行率</w:t>
            </w:r>
          </w:p>
          <w:p>
            <w:pPr>
              <w:spacing w:line="195" w:lineRule="auto"/>
              <w:ind w:left="359"/>
              <w:rPr>
                <w:rFonts w:ascii="宋体" w:hAnsi="宋体" w:eastAsia="宋体" w:cs="宋体"/>
                <w:sz w:val="15"/>
                <w:szCs w:val="15"/>
              </w:rPr>
            </w:pPr>
            <w:r>
              <w:rPr>
                <w:rFonts w:hint="eastAsia" w:ascii="宋体" w:hAnsi="宋体" w:eastAsia="宋体" w:cs="宋体"/>
                <w:sz w:val="15"/>
                <w:szCs w:val="15"/>
                <w:lang w:eastAsia="zh-CN"/>
              </w:rPr>
              <w:t>(</w:t>
            </w:r>
            <w:r>
              <w:rPr>
                <w:rFonts w:ascii="宋体" w:hAnsi="宋体" w:eastAsia="宋体" w:cs="宋体"/>
                <w:sz w:val="15"/>
                <w:szCs w:val="15"/>
              </w:rPr>
              <w:t>B/A×100%)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1560" w:type="dxa"/>
            <w:gridSpan w:val="3"/>
            <w:vMerge w:val="continue"/>
            <w:tcBorders>
              <w:top w:val="nil"/>
              <w:bottom w:val="nil"/>
            </w:tcBorders>
            <w:vAlign w:val="top"/>
          </w:tcPr>
          <w:p>
            <w:pPr>
              <w:pStyle w:val="38"/>
              <w:rPr>
                <w:sz w:val="21"/>
              </w:rPr>
            </w:pPr>
          </w:p>
        </w:tc>
        <w:tc>
          <w:tcPr>
            <w:tcW w:w="1688" w:type="dxa"/>
            <w:vAlign w:val="top"/>
          </w:tcPr>
          <w:p>
            <w:pPr>
              <w:spacing w:before="49" w:line="218" w:lineRule="auto"/>
              <w:ind w:left="27"/>
              <w:rPr>
                <w:rFonts w:ascii="宋体" w:hAnsi="宋体" w:eastAsia="宋体" w:cs="宋体"/>
                <w:sz w:val="15"/>
                <w:szCs w:val="15"/>
              </w:rPr>
            </w:pPr>
            <w:r>
              <w:rPr>
                <w:rFonts w:ascii="宋体" w:hAnsi="宋体" w:eastAsia="宋体" w:cs="宋体"/>
                <w:sz w:val="15"/>
                <w:szCs w:val="15"/>
              </w:rPr>
              <w:t>年度资金总额：</w:t>
            </w:r>
          </w:p>
        </w:tc>
        <w:tc>
          <w:tcPr>
            <w:tcW w:w="1280" w:type="dxa"/>
            <w:vAlign w:val="top"/>
          </w:tcPr>
          <w:p>
            <w:pPr>
              <w:spacing w:before="73" w:line="183" w:lineRule="auto"/>
              <w:jc w:val="center"/>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3.21</w:t>
            </w:r>
          </w:p>
        </w:tc>
        <w:tc>
          <w:tcPr>
            <w:tcW w:w="2135" w:type="dxa"/>
            <w:gridSpan w:val="2"/>
            <w:vAlign w:val="top"/>
          </w:tcPr>
          <w:p>
            <w:pPr>
              <w:spacing w:before="72" w:line="184" w:lineRule="auto"/>
              <w:ind w:left="732"/>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3.21</w:t>
            </w:r>
          </w:p>
        </w:tc>
        <w:tc>
          <w:tcPr>
            <w:tcW w:w="1611" w:type="dxa"/>
            <w:vAlign w:val="top"/>
          </w:tcPr>
          <w:p>
            <w:pPr>
              <w:spacing w:before="49" w:line="218" w:lineRule="auto"/>
              <w:ind w:left="582"/>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1560" w:type="dxa"/>
            <w:gridSpan w:val="3"/>
            <w:vMerge w:val="continue"/>
            <w:tcBorders>
              <w:top w:val="nil"/>
              <w:bottom w:val="nil"/>
            </w:tcBorders>
            <w:vAlign w:val="top"/>
          </w:tcPr>
          <w:p>
            <w:pPr>
              <w:pStyle w:val="38"/>
              <w:rPr>
                <w:sz w:val="21"/>
              </w:rPr>
            </w:pPr>
          </w:p>
        </w:tc>
        <w:tc>
          <w:tcPr>
            <w:tcW w:w="1688" w:type="dxa"/>
            <w:vAlign w:val="top"/>
          </w:tcPr>
          <w:p>
            <w:pPr>
              <w:spacing w:before="49" w:line="218" w:lineRule="auto"/>
              <w:ind w:left="104"/>
              <w:rPr>
                <w:rFonts w:ascii="宋体" w:hAnsi="宋体" w:eastAsia="宋体" w:cs="宋体"/>
                <w:sz w:val="15"/>
                <w:szCs w:val="15"/>
              </w:rPr>
            </w:pPr>
            <w:r>
              <w:rPr>
                <w:rFonts w:ascii="宋体" w:hAnsi="宋体" w:eastAsia="宋体" w:cs="宋体"/>
                <w:sz w:val="15"/>
                <w:szCs w:val="15"/>
              </w:rPr>
              <w:t>其中：中央财政资金</w:t>
            </w:r>
          </w:p>
        </w:tc>
        <w:tc>
          <w:tcPr>
            <w:tcW w:w="1280" w:type="dxa"/>
            <w:vAlign w:val="top"/>
          </w:tcPr>
          <w:p>
            <w:pPr>
              <w:spacing w:before="74" w:line="183" w:lineRule="auto"/>
              <w:ind w:left="456"/>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3.21</w:t>
            </w:r>
          </w:p>
        </w:tc>
        <w:tc>
          <w:tcPr>
            <w:tcW w:w="2135" w:type="dxa"/>
            <w:gridSpan w:val="2"/>
            <w:vAlign w:val="top"/>
          </w:tcPr>
          <w:p>
            <w:pPr>
              <w:spacing w:before="73" w:line="184" w:lineRule="auto"/>
              <w:ind w:left="732"/>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3.21</w:t>
            </w:r>
          </w:p>
        </w:tc>
        <w:tc>
          <w:tcPr>
            <w:tcW w:w="1611" w:type="dxa"/>
            <w:vAlign w:val="top"/>
          </w:tcPr>
          <w:p>
            <w:pPr>
              <w:spacing w:before="49" w:line="218" w:lineRule="auto"/>
              <w:ind w:left="582"/>
              <w:rPr>
                <w:rFonts w:ascii="宋体" w:hAnsi="宋体" w:eastAsia="宋体" w:cs="宋体"/>
                <w:sz w:val="15"/>
                <w:szCs w:val="15"/>
              </w:rPr>
            </w:pPr>
            <w:r>
              <w:rPr>
                <w:rFonts w:hint="eastAsia" w:ascii="宋体" w:hAnsi="宋体" w:eastAsia="宋体" w:cs="宋体"/>
                <w:sz w:val="15"/>
                <w:szCs w:val="15"/>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1560" w:type="dxa"/>
            <w:gridSpan w:val="3"/>
            <w:vMerge w:val="continue"/>
            <w:tcBorders>
              <w:top w:val="nil"/>
              <w:bottom w:val="nil"/>
            </w:tcBorders>
            <w:vAlign w:val="top"/>
          </w:tcPr>
          <w:p>
            <w:pPr>
              <w:pStyle w:val="38"/>
              <w:rPr>
                <w:sz w:val="21"/>
              </w:rPr>
            </w:pPr>
          </w:p>
        </w:tc>
        <w:tc>
          <w:tcPr>
            <w:tcW w:w="1688" w:type="dxa"/>
            <w:vAlign w:val="top"/>
          </w:tcPr>
          <w:p>
            <w:pPr>
              <w:spacing w:before="49" w:line="218" w:lineRule="auto"/>
              <w:ind w:left="564"/>
              <w:rPr>
                <w:rFonts w:ascii="宋体" w:hAnsi="宋体" w:eastAsia="宋体" w:cs="宋体"/>
                <w:sz w:val="15"/>
                <w:szCs w:val="15"/>
              </w:rPr>
            </w:pPr>
            <w:r>
              <w:rPr>
                <w:rFonts w:ascii="宋体" w:hAnsi="宋体" w:eastAsia="宋体" w:cs="宋体"/>
                <w:spacing w:val="-1"/>
                <w:sz w:val="15"/>
                <w:szCs w:val="15"/>
              </w:rPr>
              <w:t>地方资金</w:t>
            </w:r>
          </w:p>
        </w:tc>
        <w:tc>
          <w:tcPr>
            <w:tcW w:w="1280" w:type="dxa"/>
            <w:vAlign w:val="top"/>
          </w:tcPr>
          <w:p>
            <w:pPr>
              <w:pStyle w:val="38"/>
              <w:spacing w:line="226" w:lineRule="exact"/>
              <w:rPr>
                <w:sz w:val="19"/>
              </w:rPr>
            </w:pPr>
          </w:p>
        </w:tc>
        <w:tc>
          <w:tcPr>
            <w:tcW w:w="2135" w:type="dxa"/>
            <w:gridSpan w:val="2"/>
            <w:vAlign w:val="top"/>
          </w:tcPr>
          <w:p>
            <w:pPr>
              <w:pStyle w:val="38"/>
              <w:spacing w:line="226" w:lineRule="exact"/>
              <w:rPr>
                <w:sz w:val="19"/>
              </w:rPr>
            </w:pPr>
          </w:p>
        </w:tc>
        <w:tc>
          <w:tcPr>
            <w:tcW w:w="1611" w:type="dxa"/>
            <w:vAlign w:val="top"/>
          </w:tcPr>
          <w:p>
            <w:pPr>
              <w:pStyle w:val="38"/>
              <w:spacing w:line="226"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1560" w:type="dxa"/>
            <w:gridSpan w:val="3"/>
            <w:vMerge w:val="continue"/>
            <w:tcBorders>
              <w:top w:val="nil"/>
            </w:tcBorders>
            <w:vAlign w:val="top"/>
          </w:tcPr>
          <w:p>
            <w:pPr>
              <w:pStyle w:val="38"/>
              <w:rPr>
                <w:sz w:val="21"/>
              </w:rPr>
            </w:pPr>
          </w:p>
        </w:tc>
        <w:tc>
          <w:tcPr>
            <w:tcW w:w="1688" w:type="dxa"/>
            <w:vAlign w:val="top"/>
          </w:tcPr>
          <w:p>
            <w:pPr>
              <w:spacing w:before="49" w:line="218" w:lineRule="auto"/>
              <w:ind w:left="596"/>
              <w:rPr>
                <w:rFonts w:ascii="宋体" w:hAnsi="宋体" w:eastAsia="宋体" w:cs="宋体"/>
                <w:sz w:val="15"/>
                <w:szCs w:val="15"/>
              </w:rPr>
            </w:pPr>
            <w:r>
              <w:rPr>
                <w:rFonts w:ascii="宋体" w:hAnsi="宋体" w:eastAsia="宋体" w:cs="宋体"/>
                <w:spacing w:val="-1"/>
                <w:sz w:val="15"/>
                <w:szCs w:val="15"/>
              </w:rPr>
              <w:t>其他资金</w:t>
            </w:r>
          </w:p>
        </w:tc>
        <w:tc>
          <w:tcPr>
            <w:tcW w:w="1280" w:type="dxa"/>
            <w:vAlign w:val="top"/>
          </w:tcPr>
          <w:p>
            <w:pPr>
              <w:pStyle w:val="38"/>
              <w:spacing w:line="226" w:lineRule="exact"/>
              <w:rPr>
                <w:sz w:val="19"/>
              </w:rPr>
            </w:pPr>
          </w:p>
        </w:tc>
        <w:tc>
          <w:tcPr>
            <w:tcW w:w="2135" w:type="dxa"/>
            <w:gridSpan w:val="2"/>
            <w:vAlign w:val="top"/>
          </w:tcPr>
          <w:p>
            <w:pPr>
              <w:pStyle w:val="38"/>
              <w:spacing w:line="226" w:lineRule="exact"/>
              <w:rPr>
                <w:sz w:val="19"/>
              </w:rPr>
            </w:pPr>
          </w:p>
        </w:tc>
        <w:tc>
          <w:tcPr>
            <w:tcW w:w="1611" w:type="dxa"/>
            <w:vAlign w:val="top"/>
          </w:tcPr>
          <w:p>
            <w:pPr>
              <w:pStyle w:val="38"/>
              <w:spacing w:line="226"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1560" w:type="dxa"/>
            <w:gridSpan w:val="3"/>
            <w:vMerge w:val="restart"/>
            <w:tcBorders>
              <w:bottom w:val="nil"/>
            </w:tcBorders>
            <w:vAlign w:val="top"/>
          </w:tcPr>
          <w:p>
            <w:pPr>
              <w:pStyle w:val="38"/>
              <w:spacing w:line="286" w:lineRule="auto"/>
              <w:rPr>
                <w:sz w:val="21"/>
              </w:rPr>
            </w:pPr>
          </w:p>
          <w:p>
            <w:pPr>
              <w:pStyle w:val="38"/>
              <w:spacing w:line="287" w:lineRule="auto"/>
              <w:rPr>
                <w:sz w:val="21"/>
              </w:rPr>
            </w:pPr>
          </w:p>
          <w:p>
            <w:pPr>
              <w:pStyle w:val="38"/>
              <w:spacing w:line="287" w:lineRule="auto"/>
              <w:rPr>
                <w:sz w:val="21"/>
              </w:rPr>
            </w:pPr>
          </w:p>
          <w:p>
            <w:pPr>
              <w:spacing w:before="49" w:line="220" w:lineRule="auto"/>
              <w:ind w:left="338"/>
              <w:rPr>
                <w:rFonts w:ascii="宋体" w:hAnsi="宋体" w:eastAsia="宋体" w:cs="宋体"/>
                <w:sz w:val="15"/>
                <w:szCs w:val="15"/>
              </w:rPr>
            </w:pPr>
            <w:r>
              <w:rPr>
                <w:rFonts w:ascii="宋体" w:hAnsi="宋体" w:eastAsia="宋体" w:cs="宋体"/>
                <w:spacing w:val="-1"/>
                <w:sz w:val="15"/>
                <w:szCs w:val="15"/>
              </w:rPr>
              <w:t>资金管理情况</w:t>
            </w:r>
          </w:p>
        </w:tc>
        <w:tc>
          <w:tcPr>
            <w:tcW w:w="1688" w:type="dxa"/>
            <w:vAlign w:val="top"/>
          </w:tcPr>
          <w:p>
            <w:pPr>
              <w:pStyle w:val="38"/>
              <w:spacing w:line="226" w:lineRule="exact"/>
              <w:rPr>
                <w:sz w:val="19"/>
              </w:rPr>
            </w:pPr>
          </w:p>
        </w:tc>
        <w:tc>
          <w:tcPr>
            <w:tcW w:w="3415" w:type="dxa"/>
            <w:gridSpan w:val="3"/>
            <w:vAlign w:val="top"/>
          </w:tcPr>
          <w:p>
            <w:pPr>
              <w:spacing w:before="49" w:line="218" w:lineRule="auto"/>
              <w:ind w:left="1414"/>
              <w:rPr>
                <w:rFonts w:ascii="宋体" w:hAnsi="宋体" w:eastAsia="宋体" w:cs="宋体"/>
                <w:sz w:val="15"/>
                <w:szCs w:val="15"/>
              </w:rPr>
            </w:pPr>
            <w:r>
              <w:rPr>
                <w:rFonts w:ascii="宋体" w:hAnsi="宋体" w:eastAsia="宋体" w:cs="宋体"/>
                <w:spacing w:val="-1"/>
                <w:sz w:val="15"/>
                <w:szCs w:val="15"/>
              </w:rPr>
              <w:t>情况说明</w:t>
            </w:r>
          </w:p>
        </w:tc>
        <w:tc>
          <w:tcPr>
            <w:tcW w:w="1611" w:type="dxa"/>
            <w:vAlign w:val="top"/>
          </w:tcPr>
          <w:p>
            <w:pPr>
              <w:spacing w:before="49" w:line="218" w:lineRule="auto"/>
              <w:ind w:left="131"/>
              <w:rPr>
                <w:rFonts w:ascii="宋体" w:hAnsi="宋体" w:eastAsia="宋体" w:cs="宋体"/>
                <w:sz w:val="15"/>
                <w:szCs w:val="15"/>
              </w:rPr>
            </w:pPr>
            <w:r>
              <w:rPr>
                <w:rFonts w:ascii="宋体" w:hAnsi="宋体" w:eastAsia="宋体" w:cs="宋体"/>
                <w:sz w:val="15"/>
                <w:szCs w:val="15"/>
              </w:rPr>
              <w:t>存在问题和改进措施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1560" w:type="dxa"/>
            <w:gridSpan w:val="3"/>
            <w:vMerge w:val="continue"/>
            <w:tcBorders>
              <w:top w:val="nil"/>
              <w:bottom w:val="nil"/>
            </w:tcBorders>
            <w:vAlign w:val="top"/>
          </w:tcPr>
          <w:p>
            <w:pPr>
              <w:pStyle w:val="38"/>
              <w:rPr>
                <w:sz w:val="21"/>
              </w:rPr>
            </w:pPr>
          </w:p>
        </w:tc>
        <w:tc>
          <w:tcPr>
            <w:tcW w:w="1688" w:type="dxa"/>
            <w:vAlign w:val="top"/>
          </w:tcPr>
          <w:p>
            <w:pPr>
              <w:spacing w:before="50" w:line="217" w:lineRule="auto"/>
              <w:ind w:left="29"/>
              <w:rPr>
                <w:rFonts w:ascii="宋体" w:hAnsi="宋体" w:eastAsia="宋体" w:cs="宋体"/>
                <w:sz w:val="15"/>
                <w:szCs w:val="15"/>
              </w:rPr>
            </w:pPr>
            <w:r>
              <w:rPr>
                <w:rFonts w:ascii="宋体" w:hAnsi="宋体" w:eastAsia="宋体" w:cs="宋体"/>
                <w:spacing w:val="-1"/>
                <w:sz w:val="15"/>
                <w:szCs w:val="15"/>
              </w:rPr>
              <w:t>分配科学性</w:t>
            </w:r>
          </w:p>
        </w:tc>
        <w:tc>
          <w:tcPr>
            <w:tcW w:w="3415" w:type="dxa"/>
            <w:gridSpan w:val="3"/>
            <w:vAlign w:val="top"/>
          </w:tcPr>
          <w:p>
            <w:pPr>
              <w:spacing w:before="50" w:line="217" w:lineRule="auto"/>
              <w:ind w:left="1640"/>
              <w:rPr>
                <w:rFonts w:ascii="宋体" w:hAnsi="宋体" w:eastAsia="宋体" w:cs="宋体"/>
                <w:sz w:val="15"/>
                <w:szCs w:val="15"/>
              </w:rPr>
            </w:pPr>
            <w:r>
              <w:rPr>
                <w:rFonts w:ascii="宋体" w:hAnsi="宋体" w:eastAsia="宋体" w:cs="宋体"/>
                <w:sz w:val="15"/>
                <w:szCs w:val="15"/>
              </w:rPr>
              <w:t>无</w:t>
            </w:r>
          </w:p>
        </w:tc>
        <w:tc>
          <w:tcPr>
            <w:tcW w:w="1611" w:type="dxa"/>
            <w:vAlign w:val="top"/>
          </w:tcPr>
          <w:p>
            <w:pPr>
              <w:pStyle w:val="38"/>
              <w:spacing w:line="226"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1560" w:type="dxa"/>
            <w:gridSpan w:val="3"/>
            <w:vMerge w:val="continue"/>
            <w:tcBorders>
              <w:top w:val="nil"/>
              <w:bottom w:val="nil"/>
            </w:tcBorders>
            <w:vAlign w:val="top"/>
          </w:tcPr>
          <w:p>
            <w:pPr>
              <w:pStyle w:val="38"/>
              <w:rPr>
                <w:sz w:val="21"/>
              </w:rPr>
            </w:pPr>
          </w:p>
        </w:tc>
        <w:tc>
          <w:tcPr>
            <w:tcW w:w="1688" w:type="dxa"/>
            <w:vAlign w:val="top"/>
          </w:tcPr>
          <w:p>
            <w:pPr>
              <w:spacing w:before="50" w:line="217" w:lineRule="auto"/>
              <w:ind w:left="31"/>
              <w:rPr>
                <w:rFonts w:ascii="宋体" w:hAnsi="宋体" w:eastAsia="宋体" w:cs="宋体"/>
                <w:sz w:val="15"/>
                <w:szCs w:val="15"/>
              </w:rPr>
            </w:pPr>
            <w:r>
              <w:rPr>
                <w:rFonts w:ascii="宋体" w:hAnsi="宋体" w:eastAsia="宋体" w:cs="宋体"/>
                <w:spacing w:val="-2"/>
                <w:sz w:val="15"/>
                <w:szCs w:val="15"/>
              </w:rPr>
              <w:t>下达及时性</w:t>
            </w:r>
          </w:p>
        </w:tc>
        <w:tc>
          <w:tcPr>
            <w:tcW w:w="3415" w:type="dxa"/>
            <w:gridSpan w:val="3"/>
            <w:vAlign w:val="top"/>
          </w:tcPr>
          <w:p>
            <w:pPr>
              <w:spacing w:before="50" w:line="217" w:lineRule="auto"/>
              <w:ind w:left="1640"/>
              <w:rPr>
                <w:rFonts w:ascii="宋体" w:hAnsi="宋体" w:eastAsia="宋体" w:cs="宋体"/>
                <w:sz w:val="15"/>
                <w:szCs w:val="15"/>
              </w:rPr>
            </w:pPr>
            <w:r>
              <w:rPr>
                <w:rFonts w:ascii="宋体" w:hAnsi="宋体" w:eastAsia="宋体" w:cs="宋体"/>
                <w:sz w:val="15"/>
                <w:szCs w:val="15"/>
              </w:rPr>
              <w:t>无</w:t>
            </w:r>
          </w:p>
        </w:tc>
        <w:tc>
          <w:tcPr>
            <w:tcW w:w="1611" w:type="dxa"/>
            <w:vAlign w:val="top"/>
          </w:tcPr>
          <w:p>
            <w:pPr>
              <w:pStyle w:val="38"/>
              <w:spacing w:line="226"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1560" w:type="dxa"/>
            <w:gridSpan w:val="3"/>
            <w:vMerge w:val="continue"/>
            <w:tcBorders>
              <w:top w:val="nil"/>
              <w:bottom w:val="nil"/>
            </w:tcBorders>
            <w:vAlign w:val="top"/>
          </w:tcPr>
          <w:p>
            <w:pPr>
              <w:pStyle w:val="38"/>
              <w:rPr>
                <w:sz w:val="21"/>
              </w:rPr>
            </w:pPr>
          </w:p>
        </w:tc>
        <w:tc>
          <w:tcPr>
            <w:tcW w:w="1688" w:type="dxa"/>
            <w:vAlign w:val="top"/>
          </w:tcPr>
          <w:p>
            <w:pPr>
              <w:spacing w:before="50" w:line="217" w:lineRule="auto"/>
              <w:ind w:left="28"/>
              <w:rPr>
                <w:rFonts w:ascii="宋体" w:hAnsi="宋体" w:eastAsia="宋体" w:cs="宋体"/>
                <w:sz w:val="15"/>
                <w:szCs w:val="15"/>
              </w:rPr>
            </w:pPr>
            <w:r>
              <w:rPr>
                <w:rFonts w:ascii="宋体" w:hAnsi="宋体" w:eastAsia="宋体" w:cs="宋体"/>
                <w:spacing w:val="-1"/>
                <w:sz w:val="15"/>
                <w:szCs w:val="15"/>
              </w:rPr>
              <w:t>拨付合规性</w:t>
            </w:r>
          </w:p>
        </w:tc>
        <w:tc>
          <w:tcPr>
            <w:tcW w:w="3415" w:type="dxa"/>
            <w:gridSpan w:val="3"/>
            <w:vAlign w:val="top"/>
          </w:tcPr>
          <w:p>
            <w:pPr>
              <w:spacing w:before="50" w:line="217" w:lineRule="auto"/>
              <w:ind w:left="1640"/>
              <w:rPr>
                <w:rFonts w:ascii="宋体" w:hAnsi="宋体" w:eastAsia="宋体" w:cs="宋体"/>
                <w:sz w:val="15"/>
                <w:szCs w:val="15"/>
              </w:rPr>
            </w:pPr>
            <w:r>
              <w:rPr>
                <w:rFonts w:ascii="宋体" w:hAnsi="宋体" w:eastAsia="宋体" w:cs="宋体"/>
                <w:sz w:val="15"/>
                <w:szCs w:val="15"/>
              </w:rPr>
              <w:t>无</w:t>
            </w:r>
          </w:p>
        </w:tc>
        <w:tc>
          <w:tcPr>
            <w:tcW w:w="1611" w:type="dxa"/>
            <w:vAlign w:val="top"/>
          </w:tcPr>
          <w:p>
            <w:pPr>
              <w:pStyle w:val="38"/>
              <w:spacing w:line="226"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1560" w:type="dxa"/>
            <w:gridSpan w:val="3"/>
            <w:vMerge w:val="continue"/>
            <w:tcBorders>
              <w:top w:val="nil"/>
              <w:bottom w:val="nil"/>
            </w:tcBorders>
            <w:vAlign w:val="top"/>
          </w:tcPr>
          <w:p>
            <w:pPr>
              <w:pStyle w:val="38"/>
              <w:rPr>
                <w:sz w:val="21"/>
              </w:rPr>
            </w:pPr>
          </w:p>
        </w:tc>
        <w:tc>
          <w:tcPr>
            <w:tcW w:w="1688" w:type="dxa"/>
            <w:vAlign w:val="top"/>
          </w:tcPr>
          <w:p>
            <w:pPr>
              <w:spacing w:before="50" w:line="217" w:lineRule="auto"/>
              <w:ind w:left="27"/>
              <w:rPr>
                <w:rFonts w:ascii="宋体" w:hAnsi="宋体" w:eastAsia="宋体" w:cs="宋体"/>
                <w:sz w:val="15"/>
                <w:szCs w:val="15"/>
              </w:rPr>
            </w:pPr>
            <w:r>
              <w:rPr>
                <w:rFonts w:ascii="宋体" w:hAnsi="宋体" w:eastAsia="宋体" w:cs="宋体"/>
                <w:spacing w:val="-1"/>
                <w:sz w:val="15"/>
                <w:szCs w:val="15"/>
              </w:rPr>
              <w:t>使用规范性</w:t>
            </w:r>
          </w:p>
        </w:tc>
        <w:tc>
          <w:tcPr>
            <w:tcW w:w="3415" w:type="dxa"/>
            <w:gridSpan w:val="3"/>
            <w:vAlign w:val="top"/>
          </w:tcPr>
          <w:p>
            <w:pPr>
              <w:spacing w:before="50" w:line="217" w:lineRule="auto"/>
              <w:ind w:left="1640"/>
              <w:rPr>
                <w:rFonts w:ascii="宋体" w:hAnsi="宋体" w:eastAsia="宋体" w:cs="宋体"/>
                <w:sz w:val="15"/>
                <w:szCs w:val="15"/>
              </w:rPr>
            </w:pPr>
            <w:r>
              <w:rPr>
                <w:rFonts w:ascii="宋体" w:hAnsi="宋体" w:eastAsia="宋体" w:cs="宋体"/>
                <w:sz w:val="15"/>
                <w:szCs w:val="15"/>
              </w:rPr>
              <w:t>无</w:t>
            </w:r>
          </w:p>
        </w:tc>
        <w:tc>
          <w:tcPr>
            <w:tcW w:w="1611" w:type="dxa"/>
            <w:vAlign w:val="top"/>
          </w:tcPr>
          <w:p>
            <w:pPr>
              <w:pStyle w:val="38"/>
              <w:spacing w:line="226"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1560" w:type="dxa"/>
            <w:gridSpan w:val="3"/>
            <w:vMerge w:val="continue"/>
            <w:tcBorders>
              <w:top w:val="nil"/>
              <w:bottom w:val="nil"/>
            </w:tcBorders>
            <w:vAlign w:val="top"/>
          </w:tcPr>
          <w:p>
            <w:pPr>
              <w:pStyle w:val="38"/>
              <w:rPr>
                <w:sz w:val="21"/>
              </w:rPr>
            </w:pPr>
          </w:p>
        </w:tc>
        <w:tc>
          <w:tcPr>
            <w:tcW w:w="1688" w:type="dxa"/>
            <w:vAlign w:val="top"/>
          </w:tcPr>
          <w:p>
            <w:pPr>
              <w:spacing w:before="51" w:line="216" w:lineRule="auto"/>
              <w:ind w:left="27"/>
              <w:rPr>
                <w:rFonts w:ascii="宋体" w:hAnsi="宋体" w:eastAsia="宋体" w:cs="宋体"/>
                <w:sz w:val="15"/>
                <w:szCs w:val="15"/>
              </w:rPr>
            </w:pPr>
            <w:r>
              <w:rPr>
                <w:rFonts w:ascii="宋体" w:hAnsi="宋体" w:eastAsia="宋体" w:cs="宋体"/>
                <w:spacing w:val="-1"/>
                <w:sz w:val="15"/>
                <w:szCs w:val="15"/>
              </w:rPr>
              <w:t>执行准确性</w:t>
            </w:r>
          </w:p>
        </w:tc>
        <w:tc>
          <w:tcPr>
            <w:tcW w:w="3415" w:type="dxa"/>
            <w:gridSpan w:val="3"/>
            <w:vAlign w:val="top"/>
          </w:tcPr>
          <w:p>
            <w:pPr>
              <w:spacing w:before="51" w:line="216" w:lineRule="auto"/>
              <w:ind w:left="1640"/>
              <w:rPr>
                <w:rFonts w:ascii="宋体" w:hAnsi="宋体" w:eastAsia="宋体" w:cs="宋体"/>
                <w:sz w:val="15"/>
                <w:szCs w:val="15"/>
              </w:rPr>
            </w:pPr>
            <w:r>
              <w:rPr>
                <w:rFonts w:ascii="宋体" w:hAnsi="宋体" w:eastAsia="宋体" w:cs="宋体"/>
                <w:sz w:val="15"/>
                <w:szCs w:val="15"/>
              </w:rPr>
              <w:t>无</w:t>
            </w:r>
          </w:p>
        </w:tc>
        <w:tc>
          <w:tcPr>
            <w:tcW w:w="1611" w:type="dxa"/>
            <w:vAlign w:val="top"/>
          </w:tcPr>
          <w:p>
            <w:pPr>
              <w:pStyle w:val="38"/>
              <w:spacing w:line="226"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1560" w:type="dxa"/>
            <w:gridSpan w:val="3"/>
            <w:vMerge w:val="continue"/>
            <w:tcBorders>
              <w:top w:val="nil"/>
              <w:bottom w:val="nil"/>
            </w:tcBorders>
            <w:vAlign w:val="top"/>
          </w:tcPr>
          <w:p>
            <w:pPr>
              <w:pStyle w:val="38"/>
              <w:rPr>
                <w:sz w:val="21"/>
              </w:rPr>
            </w:pPr>
          </w:p>
        </w:tc>
        <w:tc>
          <w:tcPr>
            <w:tcW w:w="1688" w:type="dxa"/>
            <w:vAlign w:val="top"/>
          </w:tcPr>
          <w:p>
            <w:pPr>
              <w:spacing w:before="51" w:line="216" w:lineRule="auto"/>
              <w:ind w:left="28"/>
              <w:rPr>
                <w:rFonts w:ascii="宋体" w:hAnsi="宋体" w:eastAsia="宋体" w:cs="宋体"/>
                <w:sz w:val="15"/>
                <w:szCs w:val="15"/>
              </w:rPr>
            </w:pPr>
            <w:r>
              <w:rPr>
                <w:rFonts w:ascii="宋体" w:hAnsi="宋体" w:eastAsia="宋体" w:cs="宋体"/>
                <w:sz w:val="15"/>
                <w:szCs w:val="15"/>
              </w:rPr>
              <w:t>预算绩效管理情况</w:t>
            </w:r>
          </w:p>
        </w:tc>
        <w:tc>
          <w:tcPr>
            <w:tcW w:w="3415" w:type="dxa"/>
            <w:gridSpan w:val="3"/>
            <w:vAlign w:val="top"/>
          </w:tcPr>
          <w:p>
            <w:pPr>
              <w:spacing w:before="51" w:line="216" w:lineRule="auto"/>
              <w:ind w:left="1640"/>
              <w:rPr>
                <w:rFonts w:ascii="宋体" w:hAnsi="宋体" w:eastAsia="宋体" w:cs="宋体"/>
                <w:sz w:val="15"/>
                <w:szCs w:val="15"/>
              </w:rPr>
            </w:pPr>
            <w:r>
              <w:rPr>
                <w:rFonts w:ascii="宋体" w:hAnsi="宋体" w:eastAsia="宋体" w:cs="宋体"/>
                <w:sz w:val="15"/>
                <w:szCs w:val="15"/>
              </w:rPr>
              <w:t>无</w:t>
            </w:r>
          </w:p>
        </w:tc>
        <w:tc>
          <w:tcPr>
            <w:tcW w:w="1611" w:type="dxa"/>
            <w:vAlign w:val="top"/>
          </w:tcPr>
          <w:p>
            <w:pPr>
              <w:pStyle w:val="38"/>
              <w:spacing w:line="226"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1560" w:type="dxa"/>
            <w:gridSpan w:val="3"/>
            <w:vMerge w:val="continue"/>
            <w:tcBorders>
              <w:top w:val="nil"/>
            </w:tcBorders>
            <w:vAlign w:val="top"/>
          </w:tcPr>
          <w:p>
            <w:pPr>
              <w:pStyle w:val="38"/>
              <w:rPr>
                <w:sz w:val="21"/>
              </w:rPr>
            </w:pPr>
          </w:p>
        </w:tc>
        <w:tc>
          <w:tcPr>
            <w:tcW w:w="1688" w:type="dxa"/>
            <w:vAlign w:val="top"/>
          </w:tcPr>
          <w:p>
            <w:pPr>
              <w:spacing w:before="51" w:line="216" w:lineRule="auto"/>
              <w:ind w:left="27"/>
              <w:rPr>
                <w:rFonts w:ascii="宋体" w:hAnsi="宋体" w:eastAsia="宋体" w:cs="宋体"/>
                <w:sz w:val="15"/>
                <w:szCs w:val="15"/>
              </w:rPr>
            </w:pPr>
            <w:r>
              <w:rPr>
                <w:rFonts w:ascii="宋体" w:hAnsi="宋体" w:eastAsia="宋体" w:cs="宋体"/>
                <w:sz w:val="15"/>
                <w:szCs w:val="15"/>
              </w:rPr>
              <w:t>支出责任履行情况</w:t>
            </w:r>
          </w:p>
        </w:tc>
        <w:tc>
          <w:tcPr>
            <w:tcW w:w="3415" w:type="dxa"/>
            <w:gridSpan w:val="3"/>
            <w:vAlign w:val="top"/>
          </w:tcPr>
          <w:p>
            <w:pPr>
              <w:spacing w:before="51" w:line="216" w:lineRule="auto"/>
              <w:ind w:left="1640"/>
              <w:rPr>
                <w:rFonts w:ascii="宋体" w:hAnsi="宋体" w:eastAsia="宋体" w:cs="宋体"/>
                <w:sz w:val="15"/>
                <w:szCs w:val="15"/>
              </w:rPr>
            </w:pPr>
            <w:r>
              <w:rPr>
                <w:rFonts w:ascii="宋体" w:hAnsi="宋体" w:eastAsia="宋体" w:cs="宋体"/>
                <w:sz w:val="15"/>
                <w:szCs w:val="15"/>
              </w:rPr>
              <w:t>无</w:t>
            </w:r>
          </w:p>
        </w:tc>
        <w:tc>
          <w:tcPr>
            <w:tcW w:w="1611" w:type="dxa"/>
            <w:vAlign w:val="top"/>
          </w:tcPr>
          <w:p>
            <w:pPr>
              <w:pStyle w:val="38"/>
              <w:spacing w:line="227" w:lineRule="exact"/>
              <w:rPr>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395" w:type="dxa"/>
            <w:vMerge w:val="restart"/>
            <w:tcBorders>
              <w:bottom w:val="nil"/>
            </w:tcBorders>
            <w:vAlign w:val="top"/>
          </w:tcPr>
          <w:p>
            <w:pPr>
              <w:spacing w:before="250" w:line="228" w:lineRule="auto"/>
              <w:ind w:left="51" w:right="37" w:firstLine="3"/>
              <w:jc w:val="both"/>
              <w:rPr>
                <w:rFonts w:ascii="宋体" w:hAnsi="宋体" w:eastAsia="宋体" w:cs="宋体"/>
                <w:sz w:val="15"/>
                <w:szCs w:val="15"/>
              </w:rPr>
            </w:pPr>
            <w:r>
              <w:rPr>
                <w:rFonts w:ascii="宋体" w:hAnsi="宋体" w:eastAsia="宋体" w:cs="宋体"/>
                <w:spacing w:val="-5"/>
                <w:sz w:val="15"/>
                <w:szCs w:val="15"/>
              </w:rPr>
              <w:t>总体</w:t>
            </w:r>
            <w:r>
              <w:rPr>
                <w:rFonts w:ascii="宋体" w:hAnsi="宋体" w:eastAsia="宋体" w:cs="宋体"/>
                <w:sz w:val="15"/>
                <w:szCs w:val="15"/>
              </w:rPr>
              <w:t xml:space="preserve"> </w:t>
            </w:r>
            <w:r>
              <w:rPr>
                <w:rFonts w:ascii="宋体" w:hAnsi="宋体" w:eastAsia="宋体" w:cs="宋体"/>
                <w:spacing w:val="-3"/>
                <w:sz w:val="15"/>
                <w:szCs w:val="15"/>
              </w:rPr>
              <w:t>目标</w:t>
            </w:r>
            <w:r>
              <w:rPr>
                <w:rFonts w:ascii="宋体" w:hAnsi="宋体" w:eastAsia="宋体" w:cs="宋体"/>
                <w:sz w:val="15"/>
                <w:szCs w:val="15"/>
              </w:rPr>
              <w:t xml:space="preserve"> </w:t>
            </w:r>
            <w:r>
              <w:rPr>
                <w:rFonts w:ascii="宋体" w:hAnsi="宋体" w:eastAsia="宋体" w:cs="宋体"/>
                <w:spacing w:val="-3"/>
                <w:sz w:val="15"/>
                <w:szCs w:val="15"/>
              </w:rPr>
              <w:t>完成</w:t>
            </w:r>
            <w:r>
              <w:rPr>
                <w:rFonts w:ascii="宋体" w:hAnsi="宋体" w:eastAsia="宋体" w:cs="宋体"/>
                <w:sz w:val="15"/>
                <w:szCs w:val="15"/>
              </w:rPr>
              <w:t xml:space="preserve"> </w:t>
            </w:r>
            <w:r>
              <w:rPr>
                <w:rFonts w:ascii="宋体" w:hAnsi="宋体" w:eastAsia="宋体" w:cs="宋体"/>
                <w:spacing w:val="-3"/>
                <w:sz w:val="15"/>
                <w:szCs w:val="15"/>
              </w:rPr>
              <w:t>情况</w:t>
            </w:r>
          </w:p>
        </w:tc>
        <w:tc>
          <w:tcPr>
            <w:tcW w:w="4133" w:type="dxa"/>
            <w:gridSpan w:val="4"/>
            <w:vAlign w:val="top"/>
          </w:tcPr>
          <w:p>
            <w:pPr>
              <w:spacing w:before="51" w:line="216" w:lineRule="auto"/>
              <w:ind w:left="1772"/>
              <w:rPr>
                <w:rFonts w:ascii="宋体" w:hAnsi="宋体" w:eastAsia="宋体" w:cs="宋体"/>
                <w:sz w:val="15"/>
                <w:szCs w:val="15"/>
              </w:rPr>
            </w:pPr>
            <w:r>
              <w:rPr>
                <w:rFonts w:ascii="宋体" w:hAnsi="宋体" w:eastAsia="宋体" w:cs="宋体"/>
                <w:spacing w:val="-2"/>
                <w:sz w:val="15"/>
                <w:szCs w:val="15"/>
              </w:rPr>
              <w:t>总体目标</w:t>
            </w:r>
          </w:p>
        </w:tc>
        <w:tc>
          <w:tcPr>
            <w:tcW w:w="3746" w:type="dxa"/>
            <w:gridSpan w:val="3"/>
            <w:vAlign w:val="top"/>
          </w:tcPr>
          <w:p>
            <w:pPr>
              <w:spacing w:before="51" w:line="216" w:lineRule="auto"/>
              <w:ind w:left="1273"/>
              <w:rPr>
                <w:rFonts w:ascii="宋体" w:hAnsi="宋体" w:eastAsia="宋体" w:cs="宋体"/>
                <w:sz w:val="15"/>
                <w:szCs w:val="15"/>
              </w:rPr>
            </w:pPr>
            <w:r>
              <w:rPr>
                <w:rFonts w:ascii="宋体" w:hAnsi="宋体" w:eastAsia="宋体" w:cs="宋体"/>
                <w:sz w:val="15"/>
                <w:szCs w:val="15"/>
              </w:rPr>
              <w:t>全年实际完成情况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395" w:type="dxa"/>
            <w:vMerge w:val="continue"/>
            <w:tcBorders>
              <w:top w:val="nil"/>
            </w:tcBorders>
            <w:vAlign w:val="top"/>
          </w:tcPr>
          <w:p>
            <w:pPr>
              <w:pStyle w:val="38"/>
              <w:rPr>
                <w:sz w:val="21"/>
              </w:rPr>
            </w:pPr>
          </w:p>
        </w:tc>
        <w:tc>
          <w:tcPr>
            <w:tcW w:w="4133" w:type="dxa"/>
            <w:gridSpan w:val="4"/>
            <w:vAlign w:val="top"/>
          </w:tcPr>
          <w:p>
            <w:pPr>
              <w:spacing w:before="35" w:line="225" w:lineRule="auto"/>
              <w:ind w:left="56" w:right="643"/>
              <w:rPr>
                <w:rFonts w:ascii="宋体" w:hAnsi="宋体" w:eastAsia="宋体" w:cs="宋体"/>
                <w:sz w:val="15"/>
                <w:szCs w:val="15"/>
              </w:rPr>
            </w:pPr>
            <w:r>
              <w:rPr>
                <w:rFonts w:ascii="宋体" w:hAnsi="宋体" w:eastAsia="宋体" w:cs="宋体"/>
                <w:spacing w:val="-1"/>
                <w:sz w:val="15"/>
                <w:szCs w:val="15"/>
              </w:rPr>
              <w:t>目标1</w:t>
            </w:r>
            <w:r>
              <w:rPr>
                <w:rFonts w:hint="eastAsia" w:ascii="宋体" w:hAnsi="宋体" w:eastAsia="宋体" w:cs="宋体"/>
                <w:spacing w:val="-1"/>
                <w:sz w:val="15"/>
                <w:szCs w:val="15"/>
                <w:lang w:eastAsia="zh-CN"/>
              </w:rPr>
              <w:t>：</w:t>
            </w:r>
            <w:r>
              <w:rPr>
                <w:rFonts w:ascii="宋体" w:hAnsi="宋体" w:eastAsia="宋体" w:cs="宋体"/>
                <w:spacing w:val="-1"/>
                <w:sz w:val="15"/>
                <w:szCs w:val="15"/>
              </w:rPr>
              <w:t>基层医疗卫生机构按要求实施基本</w:t>
            </w:r>
            <w:r>
              <w:rPr>
                <w:rFonts w:ascii="宋体" w:hAnsi="宋体" w:eastAsia="宋体" w:cs="宋体"/>
                <w:spacing w:val="-2"/>
                <w:sz w:val="15"/>
                <w:szCs w:val="15"/>
              </w:rPr>
              <w:t>药物制度。</w:t>
            </w:r>
            <w:r>
              <w:rPr>
                <w:rFonts w:ascii="宋体" w:hAnsi="宋体" w:eastAsia="宋体" w:cs="宋体"/>
                <w:sz w:val="15"/>
                <w:szCs w:val="15"/>
              </w:rPr>
              <w:t xml:space="preserve"> </w:t>
            </w:r>
            <w:r>
              <w:rPr>
                <w:rFonts w:ascii="宋体" w:hAnsi="宋体" w:eastAsia="宋体" w:cs="宋体"/>
                <w:spacing w:val="-1"/>
                <w:sz w:val="15"/>
                <w:szCs w:val="15"/>
              </w:rPr>
              <w:t>目标2</w:t>
            </w:r>
            <w:r>
              <w:rPr>
                <w:rFonts w:hint="eastAsia" w:ascii="宋体" w:hAnsi="宋体" w:eastAsia="宋体" w:cs="宋体"/>
                <w:spacing w:val="-1"/>
                <w:sz w:val="15"/>
                <w:szCs w:val="15"/>
                <w:lang w:eastAsia="zh-CN"/>
              </w:rPr>
              <w:t>：</w:t>
            </w:r>
            <w:r>
              <w:rPr>
                <w:rFonts w:ascii="宋体" w:hAnsi="宋体" w:eastAsia="宋体" w:cs="宋体"/>
                <w:spacing w:val="-1"/>
                <w:sz w:val="15"/>
                <w:szCs w:val="15"/>
              </w:rPr>
              <w:t>基本药物制度在村卫生室顺利实施。</w:t>
            </w:r>
          </w:p>
          <w:p>
            <w:pPr>
              <w:spacing w:before="9" w:line="219" w:lineRule="auto"/>
              <w:ind w:left="56"/>
              <w:rPr>
                <w:rFonts w:ascii="宋体" w:hAnsi="宋体" w:eastAsia="宋体" w:cs="宋体"/>
                <w:sz w:val="15"/>
                <w:szCs w:val="15"/>
              </w:rPr>
            </w:pPr>
            <w:r>
              <w:rPr>
                <w:rFonts w:ascii="宋体" w:hAnsi="宋体" w:eastAsia="宋体" w:cs="宋体"/>
                <w:spacing w:val="-1"/>
                <w:sz w:val="15"/>
                <w:szCs w:val="15"/>
              </w:rPr>
              <w:t>目标3</w:t>
            </w:r>
            <w:r>
              <w:rPr>
                <w:rFonts w:hint="eastAsia" w:ascii="宋体" w:hAnsi="宋体" w:eastAsia="宋体" w:cs="宋体"/>
                <w:spacing w:val="-1"/>
                <w:sz w:val="15"/>
                <w:szCs w:val="15"/>
                <w:lang w:eastAsia="zh-CN"/>
              </w:rPr>
              <w:t>：</w:t>
            </w:r>
            <w:r>
              <w:rPr>
                <w:rFonts w:ascii="宋体" w:hAnsi="宋体" w:eastAsia="宋体" w:cs="宋体"/>
                <w:spacing w:val="-1"/>
                <w:sz w:val="15"/>
                <w:szCs w:val="15"/>
              </w:rPr>
              <w:t>基层医疗卫生机构服务质量进一步提高。</w:t>
            </w:r>
          </w:p>
          <w:p>
            <w:pPr>
              <w:spacing w:before="9" w:line="212" w:lineRule="auto"/>
              <w:ind w:left="56" w:right="38"/>
              <w:rPr>
                <w:rFonts w:ascii="宋体" w:hAnsi="宋体" w:eastAsia="宋体" w:cs="宋体"/>
                <w:sz w:val="15"/>
                <w:szCs w:val="15"/>
              </w:rPr>
            </w:pPr>
            <w:r>
              <w:rPr>
                <w:rFonts w:ascii="宋体" w:hAnsi="宋体" w:eastAsia="宋体" w:cs="宋体"/>
                <w:spacing w:val="-1"/>
                <w:sz w:val="15"/>
                <w:szCs w:val="15"/>
              </w:rPr>
              <w:t>目标4</w:t>
            </w:r>
            <w:r>
              <w:rPr>
                <w:rFonts w:hint="eastAsia" w:ascii="宋体" w:hAnsi="宋体" w:eastAsia="宋体" w:cs="宋体"/>
                <w:spacing w:val="-1"/>
                <w:sz w:val="15"/>
                <w:szCs w:val="15"/>
                <w:lang w:eastAsia="zh-CN"/>
              </w:rPr>
              <w:t>：</w:t>
            </w:r>
            <w:r>
              <w:rPr>
                <w:rFonts w:ascii="宋体" w:hAnsi="宋体" w:eastAsia="宋体" w:cs="宋体"/>
                <w:spacing w:val="-1"/>
                <w:sz w:val="15"/>
                <w:szCs w:val="15"/>
              </w:rPr>
              <w:t>紧密型医共体等基层卫生综合改革在县域内稳步推进。</w:t>
            </w:r>
            <w:r>
              <w:rPr>
                <w:rFonts w:ascii="宋体" w:hAnsi="宋体" w:eastAsia="宋体" w:cs="宋体"/>
                <w:spacing w:val="4"/>
                <w:sz w:val="15"/>
                <w:szCs w:val="15"/>
              </w:rPr>
              <w:t xml:space="preserve"> </w:t>
            </w:r>
            <w:r>
              <w:rPr>
                <w:rFonts w:ascii="宋体" w:hAnsi="宋体" w:eastAsia="宋体" w:cs="宋体"/>
                <w:spacing w:val="-1"/>
                <w:sz w:val="15"/>
                <w:szCs w:val="15"/>
              </w:rPr>
              <w:t>目标5</w:t>
            </w:r>
            <w:r>
              <w:rPr>
                <w:rFonts w:hint="eastAsia" w:ascii="宋体" w:hAnsi="宋体" w:eastAsia="宋体" w:cs="宋体"/>
                <w:spacing w:val="-1"/>
                <w:sz w:val="15"/>
                <w:szCs w:val="15"/>
                <w:lang w:eastAsia="zh-CN"/>
              </w:rPr>
              <w:t>：</w:t>
            </w:r>
            <w:r>
              <w:rPr>
                <w:rFonts w:ascii="宋体" w:hAnsi="宋体" w:eastAsia="宋体" w:cs="宋体"/>
                <w:spacing w:val="-1"/>
                <w:sz w:val="15"/>
                <w:szCs w:val="15"/>
              </w:rPr>
              <w:t>对基本药物制度补助满意度进一步提高。</w:t>
            </w:r>
          </w:p>
        </w:tc>
        <w:tc>
          <w:tcPr>
            <w:tcW w:w="3746" w:type="dxa"/>
            <w:gridSpan w:val="3"/>
            <w:vAlign w:val="top"/>
          </w:tcPr>
          <w:p>
            <w:pPr>
              <w:pStyle w:val="38"/>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395" w:type="dxa"/>
            <w:vMerge w:val="restart"/>
            <w:tcBorders>
              <w:bottom w:val="nil"/>
            </w:tcBorders>
            <w:textDirection w:val="tbRlV"/>
            <w:vAlign w:val="top"/>
          </w:tcPr>
          <w:p>
            <w:pPr>
              <w:spacing w:before="96" w:line="208" w:lineRule="auto"/>
              <w:ind w:left="2822"/>
              <w:rPr>
                <w:rFonts w:ascii="宋体" w:hAnsi="宋体" w:eastAsia="宋体" w:cs="宋体"/>
                <w:sz w:val="15"/>
                <w:szCs w:val="15"/>
              </w:rPr>
            </w:pPr>
            <w:r>
              <w:rPr>
                <w:rFonts w:ascii="宋体" w:hAnsi="宋体" w:eastAsia="宋体" w:cs="宋体"/>
                <w:spacing w:val="28"/>
                <w:sz w:val="15"/>
                <w:szCs w:val="15"/>
              </w:rPr>
              <w:t>绩效指标</w:t>
            </w:r>
          </w:p>
        </w:tc>
        <w:tc>
          <w:tcPr>
            <w:tcW w:w="388" w:type="dxa"/>
            <w:vAlign w:val="top"/>
          </w:tcPr>
          <w:p>
            <w:pPr>
              <w:spacing w:before="33" w:line="212" w:lineRule="auto"/>
              <w:ind w:left="48" w:right="35"/>
              <w:rPr>
                <w:rFonts w:ascii="宋体" w:hAnsi="宋体" w:eastAsia="宋体" w:cs="宋体"/>
                <w:sz w:val="15"/>
                <w:szCs w:val="15"/>
              </w:rPr>
            </w:pPr>
            <w:r>
              <w:rPr>
                <w:rFonts w:ascii="宋体" w:hAnsi="宋体" w:eastAsia="宋体" w:cs="宋体"/>
                <w:spacing w:val="-4"/>
                <w:sz w:val="15"/>
                <w:szCs w:val="15"/>
              </w:rPr>
              <w:t>一级</w:t>
            </w:r>
            <w:r>
              <w:rPr>
                <w:rFonts w:ascii="宋体" w:hAnsi="宋体" w:eastAsia="宋体" w:cs="宋体"/>
                <w:sz w:val="15"/>
                <w:szCs w:val="15"/>
              </w:rPr>
              <w:t xml:space="preserve"> </w:t>
            </w:r>
            <w:r>
              <w:rPr>
                <w:rFonts w:ascii="宋体" w:hAnsi="宋体" w:eastAsia="宋体" w:cs="宋体"/>
                <w:spacing w:val="-3"/>
                <w:sz w:val="15"/>
                <w:szCs w:val="15"/>
              </w:rPr>
              <w:t>指标</w:t>
            </w:r>
          </w:p>
        </w:tc>
        <w:tc>
          <w:tcPr>
            <w:tcW w:w="777" w:type="dxa"/>
            <w:vAlign w:val="top"/>
          </w:tcPr>
          <w:p>
            <w:pPr>
              <w:spacing w:before="126" w:line="221" w:lineRule="auto"/>
              <w:ind w:left="91"/>
              <w:rPr>
                <w:rFonts w:ascii="宋体" w:hAnsi="宋体" w:eastAsia="宋体" w:cs="宋体"/>
                <w:sz w:val="15"/>
                <w:szCs w:val="15"/>
              </w:rPr>
            </w:pPr>
            <w:r>
              <w:rPr>
                <w:rFonts w:ascii="宋体" w:hAnsi="宋体" w:eastAsia="宋体" w:cs="宋体"/>
                <w:spacing w:val="-2"/>
                <w:sz w:val="15"/>
                <w:szCs w:val="15"/>
              </w:rPr>
              <w:t>二级指标</w:t>
            </w:r>
          </w:p>
        </w:tc>
        <w:tc>
          <w:tcPr>
            <w:tcW w:w="2968" w:type="dxa"/>
            <w:gridSpan w:val="2"/>
            <w:vAlign w:val="top"/>
          </w:tcPr>
          <w:p>
            <w:pPr>
              <w:spacing w:before="126" w:line="221" w:lineRule="auto"/>
              <w:ind w:left="1186"/>
              <w:rPr>
                <w:rFonts w:ascii="宋体" w:hAnsi="宋体" w:eastAsia="宋体" w:cs="宋体"/>
                <w:sz w:val="15"/>
                <w:szCs w:val="15"/>
              </w:rPr>
            </w:pPr>
            <w:r>
              <w:rPr>
                <w:rFonts w:ascii="宋体" w:hAnsi="宋体" w:eastAsia="宋体" w:cs="宋体"/>
                <w:spacing w:val="-1"/>
                <w:sz w:val="15"/>
                <w:szCs w:val="15"/>
              </w:rPr>
              <w:t>三级指标</w:t>
            </w:r>
          </w:p>
        </w:tc>
        <w:tc>
          <w:tcPr>
            <w:tcW w:w="1016" w:type="dxa"/>
            <w:vAlign w:val="top"/>
          </w:tcPr>
          <w:p>
            <w:pPr>
              <w:spacing w:before="127" w:line="220" w:lineRule="auto"/>
              <w:ind w:left="291"/>
              <w:rPr>
                <w:rFonts w:ascii="宋体" w:hAnsi="宋体" w:eastAsia="宋体" w:cs="宋体"/>
                <w:sz w:val="15"/>
                <w:szCs w:val="15"/>
              </w:rPr>
            </w:pPr>
            <w:r>
              <w:rPr>
                <w:rFonts w:ascii="宋体" w:hAnsi="宋体" w:eastAsia="宋体" w:cs="宋体"/>
                <w:spacing w:val="-2"/>
                <w:sz w:val="15"/>
                <w:szCs w:val="15"/>
              </w:rPr>
              <w:t>指标值</w:t>
            </w:r>
          </w:p>
        </w:tc>
        <w:tc>
          <w:tcPr>
            <w:tcW w:w="1119" w:type="dxa"/>
            <w:vAlign w:val="top"/>
          </w:tcPr>
          <w:p>
            <w:pPr>
              <w:spacing w:before="127" w:line="220" w:lineRule="auto"/>
              <w:ind w:left="39"/>
              <w:rPr>
                <w:rFonts w:ascii="宋体" w:hAnsi="宋体" w:eastAsia="宋体" w:cs="宋体"/>
                <w:sz w:val="15"/>
                <w:szCs w:val="15"/>
              </w:rPr>
            </w:pPr>
            <w:r>
              <w:rPr>
                <w:rFonts w:ascii="宋体" w:hAnsi="宋体" w:eastAsia="宋体" w:cs="宋体"/>
                <w:sz w:val="15"/>
                <w:szCs w:val="15"/>
              </w:rPr>
              <w:t>全年实际完成值</w:t>
            </w:r>
          </w:p>
        </w:tc>
        <w:tc>
          <w:tcPr>
            <w:tcW w:w="1611" w:type="dxa"/>
            <w:vAlign w:val="top"/>
          </w:tcPr>
          <w:p>
            <w:pPr>
              <w:spacing w:before="127" w:line="220" w:lineRule="auto"/>
              <w:ind w:left="59"/>
              <w:rPr>
                <w:rFonts w:ascii="宋体" w:hAnsi="宋体" w:eastAsia="宋体" w:cs="宋体"/>
                <w:sz w:val="15"/>
                <w:szCs w:val="15"/>
              </w:rPr>
            </w:pPr>
            <w:r>
              <w:rPr>
                <w:rFonts w:ascii="宋体" w:hAnsi="宋体" w:eastAsia="宋体" w:cs="宋体"/>
                <w:sz w:val="15"/>
                <w:szCs w:val="15"/>
              </w:rPr>
              <w:t>未完成原因和改进措施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395" w:type="dxa"/>
            <w:vMerge w:val="continue"/>
            <w:tcBorders>
              <w:top w:val="nil"/>
              <w:bottom w:val="nil"/>
            </w:tcBorders>
            <w:textDirection w:val="tbRlV"/>
            <w:vAlign w:val="top"/>
          </w:tcPr>
          <w:p>
            <w:pPr>
              <w:pStyle w:val="38"/>
              <w:rPr>
                <w:sz w:val="21"/>
              </w:rPr>
            </w:pPr>
          </w:p>
        </w:tc>
        <w:tc>
          <w:tcPr>
            <w:tcW w:w="388" w:type="dxa"/>
            <w:vMerge w:val="restart"/>
            <w:tcBorders>
              <w:bottom w:val="nil"/>
            </w:tcBorders>
            <w:textDirection w:val="tbRlV"/>
            <w:vAlign w:val="top"/>
          </w:tcPr>
          <w:p>
            <w:pPr>
              <w:spacing w:before="112" w:line="208" w:lineRule="auto"/>
              <w:ind w:left="941"/>
              <w:rPr>
                <w:rFonts w:ascii="宋体" w:hAnsi="宋体" w:eastAsia="宋体" w:cs="宋体"/>
                <w:sz w:val="15"/>
                <w:szCs w:val="15"/>
              </w:rPr>
            </w:pPr>
            <w:r>
              <w:rPr>
                <w:rFonts w:ascii="宋体" w:hAnsi="宋体" w:eastAsia="宋体" w:cs="宋体"/>
                <w:spacing w:val="28"/>
                <w:sz w:val="15"/>
                <w:szCs w:val="15"/>
              </w:rPr>
              <w:t>产出指标</w:t>
            </w:r>
          </w:p>
        </w:tc>
        <w:tc>
          <w:tcPr>
            <w:tcW w:w="777" w:type="dxa"/>
            <w:vMerge w:val="restart"/>
            <w:tcBorders>
              <w:bottom w:val="nil"/>
            </w:tcBorders>
            <w:vAlign w:val="top"/>
          </w:tcPr>
          <w:p>
            <w:pPr>
              <w:spacing w:before="228" w:line="220" w:lineRule="auto"/>
              <w:ind w:left="90"/>
              <w:rPr>
                <w:rFonts w:ascii="宋体" w:hAnsi="宋体" w:eastAsia="宋体" w:cs="宋体"/>
                <w:sz w:val="15"/>
                <w:szCs w:val="15"/>
              </w:rPr>
            </w:pPr>
            <w:r>
              <w:rPr>
                <w:rFonts w:ascii="宋体" w:hAnsi="宋体" w:eastAsia="宋体" w:cs="宋体"/>
                <w:spacing w:val="-1"/>
                <w:sz w:val="15"/>
                <w:szCs w:val="15"/>
              </w:rPr>
              <w:t>数量指标</w:t>
            </w:r>
          </w:p>
        </w:tc>
        <w:tc>
          <w:tcPr>
            <w:tcW w:w="2968" w:type="dxa"/>
            <w:gridSpan w:val="2"/>
            <w:vAlign w:val="top"/>
          </w:tcPr>
          <w:p>
            <w:pPr>
              <w:spacing w:before="22" w:line="193" w:lineRule="auto"/>
              <w:ind w:left="26"/>
              <w:rPr>
                <w:rFonts w:ascii="宋体" w:hAnsi="宋体" w:eastAsia="宋体" w:cs="宋体"/>
                <w:sz w:val="15"/>
                <w:szCs w:val="15"/>
              </w:rPr>
            </w:pPr>
            <w:r>
              <w:rPr>
                <w:rFonts w:ascii="宋体" w:hAnsi="宋体" w:eastAsia="宋体" w:cs="宋体"/>
                <w:sz w:val="15"/>
                <w:szCs w:val="15"/>
              </w:rPr>
              <w:t>政府办基层医疗卫生机构实施国家基本药物</w:t>
            </w:r>
          </w:p>
        </w:tc>
        <w:tc>
          <w:tcPr>
            <w:tcW w:w="1016" w:type="dxa"/>
            <w:vAlign w:val="top"/>
          </w:tcPr>
          <w:p>
            <w:pPr>
              <w:spacing w:before="29" w:line="184" w:lineRule="auto"/>
              <w:ind w:left="374"/>
              <w:rPr>
                <w:rFonts w:ascii="宋体" w:hAnsi="宋体" w:eastAsia="宋体" w:cs="宋体"/>
                <w:sz w:val="15"/>
                <w:szCs w:val="15"/>
              </w:rPr>
            </w:pPr>
            <w:r>
              <w:rPr>
                <w:rFonts w:ascii="宋体" w:hAnsi="宋体" w:eastAsia="宋体" w:cs="宋体"/>
                <w:spacing w:val="-3"/>
                <w:sz w:val="15"/>
                <w:szCs w:val="15"/>
              </w:rPr>
              <w:t>100%</w:t>
            </w:r>
          </w:p>
        </w:tc>
        <w:tc>
          <w:tcPr>
            <w:tcW w:w="1119" w:type="dxa"/>
            <w:vAlign w:val="top"/>
          </w:tcPr>
          <w:p>
            <w:pPr>
              <w:spacing w:before="29" w:line="184" w:lineRule="auto"/>
              <w:ind w:left="429"/>
              <w:rPr>
                <w:rFonts w:ascii="宋体" w:hAnsi="宋体" w:eastAsia="宋体" w:cs="宋体"/>
                <w:sz w:val="15"/>
                <w:szCs w:val="15"/>
              </w:rPr>
            </w:pPr>
            <w:r>
              <w:rPr>
                <w:rFonts w:ascii="宋体" w:hAnsi="宋体" w:eastAsia="宋体" w:cs="宋体"/>
                <w:spacing w:val="-3"/>
                <w:sz w:val="15"/>
                <w:szCs w:val="15"/>
              </w:rPr>
              <w:t>100%</w:t>
            </w:r>
          </w:p>
        </w:tc>
        <w:tc>
          <w:tcPr>
            <w:tcW w:w="1611" w:type="dxa"/>
            <w:vAlign w:val="top"/>
          </w:tcPr>
          <w:p>
            <w:pPr>
              <w:pStyle w:val="38"/>
              <w:spacing w:line="179"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395" w:type="dxa"/>
            <w:vMerge w:val="continue"/>
            <w:tcBorders>
              <w:top w:val="nil"/>
              <w:bottom w:val="nil"/>
            </w:tcBorders>
            <w:textDirection w:val="tbRlV"/>
            <w:vAlign w:val="top"/>
          </w:tcPr>
          <w:p>
            <w:pPr>
              <w:pStyle w:val="38"/>
              <w:rPr>
                <w:sz w:val="21"/>
              </w:rPr>
            </w:pPr>
          </w:p>
        </w:tc>
        <w:tc>
          <w:tcPr>
            <w:tcW w:w="388" w:type="dxa"/>
            <w:vMerge w:val="continue"/>
            <w:tcBorders>
              <w:top w:val="nil"/>
              <w:bottom w:val="nil"/>
            </w:tcBorders>
            <w:textDirection w:val="tbRlV"/>
            <w:vAlign w:val="top"/>
          </w:tcPr>
          <w:p>
            <w:pPr>
              <w:pStyle w:val="38"/>
              <w:rPr>
                <w:sz w:val="21"/>
              </w:rPr>
            </w:pPr>
          </w:p>
        </w:tc>
        <w:tc>
          <w:tcPr>
            <w:tcW w:w="777" w:type="dxa"/>
            <w:vMerge w:val="continue"/>
            <w:tcBorders>
              <w:top w:val="nil"/>
              <w:bottom w:val="nil"/>
            </w:tcBorders>
            <w:vAlign w:val="top"/>
          </w:tcPr>
          <w:p>
            <w:pPr>
              <w:pStyle w:val="38"/>
              <w:rPr>
                <w:sz w:val="21"/>
              </w:rPr>
            </w:pPr>
          </w:p>
        </w:tc>
        <w:tc>
          <w:tcPr>
            <w:tcW w:w="2968" w:type="dxa"/>
            <w:gridSpan w:val="2"/>
            <w:vAlign w:val="top"/>
          </w:tcPr>
          <w:p>
            <w:pPr>
              <w:spacing w:before="29" w:line="184" w:lineRule="auto"/>
              <w:ind w:left="27"/>
              <w:rPr>
                <w:rFonts w:ascii="宋体" w:hAnsi="宋体" w:eastAsia="宋体" w:cs="宋体"/>
                <w:sz w:val="15"/>
                <w:szCs w:val="15"/>
              </w:rPr>
            </w:pPr>
            <w:r>
              <w:rPr>
                <w:rFonts w:ascii="宋体" w:hAnsi="宋体" w:eastAsia="宋体" w:cs="宋体"/>
                <w:sz w:val="15"/>
                <w:szCs w:val="15"/>
              </w:rPr>
              <w:t>村卫生室实施国家基本药物制度覆盖率</w:t>
            </w:r>
          </w:p>
        </w:tc>
        <w:tc>
          <w:tcPr>
            <w:tcW w:w="1016" w:type="dxa"/>
            <w:vAlign w:val="top"/>
          </w:tcPr>
          <w:p>
            <w:pPr>
              <w:spacing w:before="29" w:line="184" w:lineRule="auto"/>
              <w:ind w:left="374"/>
              <w:rPr>
                <w:rFonts w:ascii="宋体" w:hAnsi="宋体" w:eastAsia="宋体" w:cs="宋体"/>
                <w:sz w:val="15"/>
                <w:szCs w:val="15"/>
              </w:rPr>
            </w:pPr>
            <w:r>
              <w:rPr>
                <w:rFonts w:ascii="宋体" w:hAnsi="宋体" w:eastAsia="宋体" w:cs="宋体"/>
                <w:spacing w:val="-3"/>
                <w:sz w:val="15"/>
                <w:szCs w:val="15"/>
              </w:rPr>
              <w:t>100%</w:t>
            </w:r>
          </w:p>
        </w:tc>
        <w:tc>
          <w:tcPr>
            <w:tcW w:w="1119" w:type="dxa"/>
            <w:vAlign w:val="top"/>
          </w:tcPr>
          <w:p>
            <w:pPr>
              <w:spacing w:before="29" w:line="184" w:lineRule="auto"/>
              <w:ind w:left="429"/>
              <w:rPr>
                <w:rFonts w:ascii="宋体" w:hAnsi="宋体" w:eastAsia="宋体" w:cs="宋体"/>
                <w:sz w:val="15"/>
                <w:szCs w:val="15"/>
              </w:rPr>
            </w:pPr>
            <w:r>
              <w:rPr>
                <w:rFonts w:ascii="宋体" w:hAnsi="宋体" w:eastAsia="宋体" w:cs="宋体"/>
                <w:spacing w:val="-3"/>
                <w:sz w:val="15"/>
                <w:szCs w:val="15"/>
              </w:rPr>
              <w:t>100%</w:t>
            </w:r>
          </w:p>
        </w:tc>
        <w:tc>
          <w:tcPr>
            <w:tcW w:w="1611" w:type="dxa"/>
            <w:vAlign w:val="top"/>
          </w:tcPr>
          <w:p>
            <w:pPr>
              <w:pStyle w:val="38"/>
              <w:spacing w:line="179"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395" w:type="dxa"/>
            <w:vMerge w:val="continue"/>
            <w:tcBorders>
              <w:top w:val="nil"/>
              <w:bottom w:val="nil"/>
            </w:tcBorders>
            <w:textDirection w:val="tbRlV"/>
            <w:vAlign w:val="top"/>
          </w:tcPr>
          <w:p>
            <w:pPr>
              <w:pStyle w:val="38"/>
              <w:rPr>
                <w:sz w:val="21"/>
              </w:rPr>
            </w:pPr>
          </w:p>
        </w:tc>
        <w:tc>
          <w:tcPr>
            <w:tcW w:w="388" w:type="dxa"/>
            <w:vMerge w:val="continue"/>
            <w:tcBorders>
              <w:top w:val="nil"/>
              <w:bottom w:val="nil"/>
            </w:tcBorders>
            <w:textDirection w:val="tbRlV"/>
            <w:vAlign w:val="top"/>
          </w:tcPr>
          <w:p>
            <w:pPr>
              <w:pStyle w:val="38"/>
              <w:rPr>
                <w:sz w:val="21"/>
              </w:rPr>
            </w:pPr>
          </w:p>
        </w:tc>
        <w:tc>
          <w:tcPr>
            <w:tcW w:w="777" w:type="dxa"/>
            <w:vMerge w:val="continue"/>
            <w:tcBorders>
              <w:top w:val="nil"/>
            </w:tcBorders>
            <w:vAlign w:val="top"/>
          </w:tcPr>
          <w:p>
            <w:pPr>
              <w:pStyle w:val="38"/>
              <w:rPr>
                <w:sz w:val="21"/>
              </w:rPr>
            </w:pPr>
          </w:p>
        </w:tc>
        <w:tc>
          <w:tcPr>
            <w:tcW w:w="2968" w:type="dxa"/>
            <w:gridSpan w:val="2"/>
            <w:vAlign w:val="top"/>
          </w:tcPr>
          <w:p>
            <w:pPr>
              <w:pStyle w:val="38"/>
              <w:spacing w:line="179" w:lineRule="exact"/>
            </w:pPr>
          </w:p>
        </w:tc>
        <w:tc>
          <w:tcPr>
            <w:tcW w:w="1016" w:type="dxa"/>
            <w:vAlign w:val="top"/>
          </w:tcPr>
          <w:p>
            <w:pPr>
              <w:pStyle w:val="38"/>
              <w:spacing w:line="179" w:lineRule="exact"/>
            </w:pPr>
          </w:p>
        </w:tc>
        <w:tc>
          <w:tcPr>
            <w:tcW w:w="1119" w:type="dxa"/>
            <w:vAlign w:val="top"/>
          </w:tcPr>
          <w:p>
            <w:pPr>
              <w:pStyle w:val="38"/>
              <w:spacing w:line="179" w:lineRule="exact"/>
            </w:pPr>
          </w:p>
        </w:tc>
        <w:tc>
          <w:tcPr>
            <w:tcW w:w="1611" w:type="dxa"/>
            <w:vAlign w:val="top"/>
          </w:tcPr>
          <w:p>
            <w:pPr>
              <w:pStyle w:val="38"/>
              <w:spacing w:line="179"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395" w:type="dxa"/>
            <w:vMerge w:val="continue"/>
            <w:tcBorders>
              <w:top w:val="nil"/>
              <w:bottom w:val="nil"/>
            </w:tcBorders>
            <w:textDirection w:val="tbRlV"/>
            <w:vAlign w:val="top"/>
          </w:tcPr>
          <w:p>
            <w:pPr>
              <w:pStyle w:val="38"/>
              <w:rPr>
                <w:sz w:val="21"/>
              </w:rPr>
            </w:pPr>
          </w:p>
        </w:tc>
        <w:tc>
          <w:tcPr>
            <w:tcW w:w="388" w:type="dxa"/>
            <w:vMerge w:val="continue"/>
            <w:tcBorders>
              <w:top w:val="nil"/>
              <w:bottom w:val="nil"/>
            </w:tcBorders>
            <w:textDirection w:val="tbRlV"/>
            <w:vAlign w:val="top"/>
          </w:tcPr>
          <w:p>
            <w:pPr>
              <w:pStyle w:val="38"/>
              <w:rPr>
                <w:sz w:val="21"/>
              </w:rPr>
            </w:pPr>
          </w:p>
        </w:tc>
        <w:tc>
          <w:tcPr>
            <w:tcW w:w="777" w:type="dxa"/>
            <w:vMerge w:val="restart"/>
            <w:tcBorders>
              <w:bottom w:val="nil"/>
            </w:tcBorders>
            <w:vAlign w:val="top"/>
          </w:tcPr>
          <w:p>
            <w:pPr>
              <w:spacing w:before="228" w:line="221" w:lineRule="auto"/>
              <w:ind w:left="89"/>
              <w:rPr>
                <w:rFonts w:ascii="宋体" w:hAnsi="宋体" w:eastAsia="宋体" w:cs="宋体"/>
                <w:sz w:val="15"/>
                <w:szCs w:val="15"/>
              </w:rPr>
            </w:pPr>
            <w:r>
              <w:rPr>
                <w:rFonts w:ascii="宋体" w:hAnsi="宋体" w:eastAsia="宋体" w:cs="宋体"/>
                <w:spacing w:val="-1"/>
                <w:sz w:val="15"/>
                <w:szCs w:val="15"/>
              </w:rPr>
              <w:t>质量指标</w:t>
            </w:r>
          </w:p>
        </w:tc>
        <w:tc>
          <w:tcPr>
            <w:tcW w:w="2968" w:type="dxa"/>
            <w:gridSpan w:val="2"/>
            <w:vAlign w:val="top"/>
          </w:tcPr>
          <w:p>
            <w:pPr>
              <w:pStyle w:val="38"/>
              <w:spacing w:line="179" w:lineRule="exact"/>
            </w:pPr>
          </w:p>
        </w:tc>
        <w:tc>
          <w:tcPr>
            <w:tcW w:w="1016" w:type="dxa"/>
            <w:vAlign w:val="top"/>
          </w:tcPr>
          <w:p>
            <w:pPr>
              <w:pStyle w:val="38"/>
              <w:spacing w:line="179" w:lineRule="exact"/>
            </w:pPr>
          </w:p>
        </w:tc>
        <w:tc>
          <w:tcPr>
            <w:tcW w:w="1119" w:type="dxa"/>
            <w:vAlign w:val="top"/>
          </w:tcPr>
          <w:p>
            <w:pPr>
              <w:pStyle w:val="38"/>
              <w:spacing w:line="179" w:lineRule="exact"/>
            </w:pPr>
          </w:p>
        </w:tc>
        <w:tc>
          <w:tcPr>
            <w:tcW w:w="1611" w:type="dxa"/>
            <w:vAlign w:val="top"/>
          </w:tcPr>
          <w:p>
            <w:pPr>
              <w:pStyle w:val="38"/>
              <w:spacing w:line="179"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395" w:type="dxa"/>
            <w:vMerge w:val="continue"/>
            <w:tcBorders>
              <w:top w:val="nil"/>
              <w:bottom w:val="nil"/>
            </w:tcBorders>
            <w:textDirection w:val="tbRlV"/>
            <w:vAlign w:val="top"/>
          </w:tcPr>
          <w:p>
            <w:pPr>
              <w:pStyle w:val="38"/>
              <w:rPr>
                <w:sz w:val="21"/>
              </w:rPr>
            </w:pPr>
          </w:p>
        </w:tc>
        <w:tc>
          <w:tcPr>
            <w:tcW w:w="388" w:type="dxa"/>
            <w:vMerge w:val="continue"/>
            <w:tcBorders>
              <w:top w:val="nil"/>
              <w:bottom w:val="nil"/>
            </w:tcBorders>
            <w:textDirection w:val="tbRlV"/>
            <w:vAlign w:val="top"/>
          </w:tcPr>
          <w:p>
            <w:pPr>
              <w:pStyle w:val="38"/>
              <w:rPr>
                <w:sz w:val="21"/>
              </w:rPr>
            </w:pPr>
          </w:p>
        </w:tc>
        <w:tc>
          <w:tcPr>
            <w:tcW w:w="777" w:type="dxa"/>
            <w:vMerge w:val="continue"/>
            <w:tcBorders>
              <w:top w:val="nil"/>
              <w:bottom w:val="nil"/>
            </w:tcBorders>
            <w:vAlign w:val="top"/>
          </w:tcPr>
          <w:p>
            <w:pPr>
              <w:pStyle w:val="38"/>
              <w:rPr>
                <w:sz w:val="21"/>
              </w:rPr>
            </w:pPr>
          </w:p>
        </w:tc>
        <w:tc>
          <w:tcPr>
            <w:tcW w:w="2968" w:type="dxa"/>
            <w:gridSpan w:val="2"/>
            <w:vAlign w:val="top"/>
          </w:tcPr>
          <w:p>
            <w:pPr>
              <w:pStyle w:val="38"/>
              <w:spacing w:line="179" w:lineRule="exact"/>
            </w:pPr>
          </w:p>
        </w:tc>
        <w:tc>
          <w:tcPr>
            <w:tcW w:w="1016" w:type="dxa"/>
            <w:vAlign w:val="top"/>
          </w:tcPr>
          <w:p>
            <w:pPr>
              <w:pStyle w:val="38"/>
              <w:spacing w:line="179" w:lineRule="exact"/>
            </w:pPr>
          </w:p>
        </w:tc>
        <w:tc>
          <w:tcPr>
            <w:tcW w:w="1119" w:type="dxa"/>
            <w:vAlign w:val="top"/>
          </w:tcPr>
          <w:p>
            <w:pPr>
              <w:pStyle w:val="38"/>
              <w:spacing w:line="179" w:lineRule="exact"/>
            </w:pPr>
          </w:p>
        </w:tc>
        <w:tc>
          <w:tcPr>
            <w:tcW w:w="1611" w:type="dxa"/>
            <w:vAlign w:val="top"/>
          </w:tcPr>
          <w:p>
            <w:pPr>
              <w:pStyle w:val="38"/>
              <w:spacing w:line="179"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395" w:type="dxa"/>
            <w:vMerge w:val="continue"/>
            <w:tcBorders>
              <w:top w:val="nil"/>
              <w:bottom w:val="nil"/>
            </w:tcBorders>
            <w:textDirection w:val="tbRlV"/>
            <w:vAlign w:val="top"/>
          </w:tcPr>
          <w:p>
            <w:pPr>
              <w:pStyle w:val="38"/>
              <w:rPr>
                <w:sz w:val="21"/>
              </w:rPr>
            </w:pPr>
          </w:p>
        </w:tc>
        <w:tc>
          <w:tcPr>
            <w:tcW w:w="388" w:type="dxa"/>
            <w:vMerge w:val="continue"/>
            <w:tcBorders>
              <w:top w:val="nil"/>
              <w:bottom w:val="nil"/>
            </w:tcBorders>
            <w:textDirection w:val="tbRlV"/>
            <w:vAlign w:val="top"/>
          </w:tcPr>
          <w:p>
            <w:pPr>
              <w:pStyle w:val="38"/>
              <w:rPr>
                <w:sz w:val="21"/>
              </w:rPr>
            </w:pPr>
          </w:p>
        </w:tc>
        <w:tc>
          <w:tcPr>
            <w:tcW w:w="777" w:type="dxa"/>
            <w:vMerge w:val="continue"/>
            <w:tcBorders>
              <w:top w:val="nil"/>
            </w:tcBorders>
            <w:vAlign w:val="top"/>
          </w:tcPr>
          <w:p>
            <w:pPr>
              <w:pStyle w:val="38"/>
              <w:rPr>
                <w:sz w:val="21"/>
              </w:rPr>
            </w:pPr>
          </w:p>
        </w:tc>
        <w:tc>
          <w:tcPr>
            <w:tcW w:w="2968" w:type="dxa"/>
            <w:gridSpan w:val="2"/>
            <w:vAlign w:val="top"/>
          </w:tcPr>
          <w:p>
            <w:pPr>
              <w:pStyle w:val="38"/>
              <w:spacing w:line="179" w:lineRule="exact"/>
            </w:pPr>
          </w:p>
        </w:tc>
        <w:tc>
          <w:tcPr>
            <w:tcW w:w="1016" w:type="dxa"/>
            <w:vAlign w:val="top"/>
          </w:tcPr>
          <w:p>
            <w:pPr>
              <w:pStyle w:val="38"/>
              <w:spacing w:line="179" w:lineRule="exact"/>
            </w:pPr>
          </w:p>
        </w:tc>
        <w:tc>
          <w:tcPr>
            <w:tcW w:w="1119" w:type="dxa"/>
            <w:vAlign w:val="top"/>
          </w:tcPr>
          <w:p>
            <w:pPr>
              <w:pStyle w:val="38"/>
              <w:spacing w:line="179" w:lineRule="exact"/>
            </w:pPr>
          </w:p>
        </w:tc>
        <w:tc>
          <w:tcPr>
            <w:tcW w:w="1611" w:type="dxa"/>
            <w:vAlign w:val="top"/>
          </w:tcPr>
          <w:p>
            <w:pPr>
              <w:pStyle w:val="38"/>
              <w:spacing w:line="179"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395" w:type="dxa"/>
            <w:vMerge w:val="continue"/>
            <w:tcBorders>
              <w:top w:val="nil"/>
              <w:bottom w:val="nil"/>
            </w:tcBorders>
            <w:textDirection w:val="tbRlV"/>
            <w:vAlign w:val="top"/>
          </w:tcPr>
          <w:p>
            <w:pPr>
              <w:pStyle w:val="38"/>
              <w:rPr>
                <w:sz w:val="21"/>
              </w:rPr>
            </w:pPr>
          </w:p>
        </w:tc>
        <w:tc>
          <w:tcPr>
            <w:tcW w:w="388" w:type="dxa"/>
            <w:vMerge w:val="continue"/>
            <w:tcBorders>
              <w:top w:val="nil"/>
              <w:bottom w:val="nil"/>
            </w:tcBorders>
            <w:textDirection w:val="tbRlV"/>
            <w:vAlign w:val="top"/>
          </w:tcPr>
          <w:p>
            <w:pPr>
              <w:pStyle w:val="38"/>
              <w:rPr>
                <w:sz w:val="21"/>
              </w:rPr>
            </w:pPr>
          </w:p>
        </w:tc>
        <w:tc>
          <w:tcPr>
            <w:tcW w:w="777" w:type="dxa"/>
            <w:vMerge w:val="restart"/>
            <w:tcBorders>
              <w:bottom w:val="nil"/>
            </w:tcBorders>
            <w:vAlign w:val="top"/>
          </w:tcPr>
          <w:p>
            <w:pPr>
              <w:spacing w:before="228" w:line="221" w:lineRule="auto"/>
              <w:ind w:left="96"/>
              <w:rPr>
                <w:rFonts w:ascii="宋体" w:hAnsi="宋体" w:eastAsia="宋体" w:cs="宋体"/>
                <w:sz w:val="15"/>
                <w:szCs w:val="15"/>
              </w:rPr>
            </w:pPr>
            <w:r>
              <w:rPr>
                <w:rFonts w:ascii="宋体" w:hAnsi="宋体" w:eastAsia="宋体" w:cs="宋体"/>
                <w:spacing w:val="-3"/>
                <w:sz w:val="15"/>
                <w:szCs w:val="15"/>
              </w:rPr>
              <w:t>时效指标</w:t>
            </w:r>
          </w:p>
        </w:tc>
        <w:tc>
          <w:tcPr>
            <w:tcW w:w="2968" w:type="dxa"/>
            <w:gridSpan w:val="2"/>
            <w:vAlign w:val="top"/>
          </w:tcPr>
          <w:p>
            <w:pPr>
              <w:pStyle w:val="38"/>
              <w:spacing w:line="179" w:lineRule="exact"/>
            </w:pPr>
          </w:p>
        </w:tc>
        <w:tc>
          <w:tcPr>
            <w:tcW w:w="1016" w:type="dxa"/>
            <w:vAlign w:val="top"/>
          </w:tcPr>
          <w:p>
            <w:pPr>
              <w:pStyle w:val="38"/>
              <w:spacing w:line="179" w:lineRule="exact"/>
            </w:pPr>
          </w:p>
        </w:tc>
        <w:tc>
          <w:tcPr>
            <w:tcW w:w="1119" w:type="dxa"/>
            <w:vAlign w:val="top"/>
          </w:tcPr>
          <w:p>
            <w:pPr>
              <w:pStyle w:val="38"/>
              <w:spacing w:line="179" w:lineRule="exact"/>
            </w:pPr>
          </w:p>
        </w:tc>
        <w:tc>
          <w:tcPr>
            <w:tcW w:w="1611" w:type="dxa"/>
            <w:vAlign w:val="top"/>
          </w:tcPr>
          <w:p>
            <w:pPr>
              <w:pStyle w:val="38"/>
              <w:spacing w:line="179"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395" w:type="dxa"/>
            <w:vMerge w:val="continue"/>
            <w:tcBorders>
              <w:top w:val="nil"/>
              <w:bottom w:val="nil"/>
            </w:tcBorders>
            <w:textDirection w:val="tbRlV"/>
            <w:vAlign w:val="top"/>
          </w:tcPr>
          <w:p>
            <w:pPr>
              <w:pStyle w:val="38"/>
              <w:rPr>
                <w:sz w:val="21"/>
              </w:rPr>
            </w:pPr>
          </w:p>
        </w:tc>
        <w:tc>
          <w:tcPr>
            <w:tcW w:w="388" w:type="dxa"/>
            <w:vMerge w:val="continue"/>
            <w:tcBorders>
              <w:top w:val="nil"/>
              <w:bottom w:val="nil"/>
            </w:tcBorders>
            <w:textDirection w:val="tbRlV"/>
            <w:vAlign w:val="top"/>
          </w:tcPr>
          <w:p>
            <w:pPr>
              <w:pStyle w:val="38"/>
              <w:rPr>
                <w:sz w:val="21"/>
              </w:rPr>
            </w:pPr>
          </w:p>
        </w:tc>
        <w:tc>
          <w:tcPr>
            <w:tcW w:w="777" w:type="dxa"/>
            <w:vMerge w:val="continue"/>
            <w:tcBorders>
              <w:top w:val="nil"/>
              <w:bottom w:val="nil"/>
            </w:tcBorders>
            <w:vAlign w:val="top"/>
          </w:tcPr>
          <w:p>
            <w:pPr>
              <w:pStyle w:val="38"/>
              <w:rPr>
                <w:sz w:val="21"/>
              </w:rPr>
            </w:pPr>
          </w:p>
        </w:tc>
        <w:tc>
          <w:tcPr>
            <w:tcW w:w="2968" w:type="dxa"/>
            <w:gridSpan w:val="2"/>
            <w:vAlign w:val="top"/>
          </w:tcPr>
          <w:p>
            <w:pPr>
              <w:pStyle w:val="38"/>
              <w:spacing w:line="179" w:lineRule="exact"/>
            </w:pPr>
          </w:p>
        </w:tc>
        <w:tc>
          <w:tcPr>
            <w:tcW w:w="1016" w:type="dxa"/>
            <w:vAlign w:val="top"/>
          </w:tcPr>
          <w:p>
            <w:pPr>
              <w:pStyle w:val="38"/>
              <w:spacing w:line="179" w:lineRule="exact"/>
            </w:pPr>
          </w:p>
        </w:tc>
        <w:tc>
          <w:tcPr>
            <w:tcW w:w="1119" w:type="dxa"/>
            <w:vAlign w:val="top"/>
          </w:tcPr>
          <w:p>
            <w:pPr>
              <w:pStyle w:val="38"/>
              <w:spacing w:line="179" w:lineRule="exact"/>
            </w:pPr>
          </w:p>
        </w:tc>
        <w:tc>
          <w:tcPr>
            <w:tcW w:w="1611" w:type="dxa"/>
            <w:vAlign w:val="top"/>
          </w:tcPr>
          <w:p>
            <w:pPr>
              <w:pStyle w:val="38"/>
              <w:spacing w:line="179"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395" w:type="dxa"/>
            <w:vMerge w:val="continue"/>
            <w:tcBorders>
              <w:top w:val="nil"/>
              <w:bottom w:val="nil"/>
            </w:tcBorders>
            <w:textDirection w:val="tbRlV"/>
            <w:vAlign w:val="top"/>
          </w:tcPr>
          <w:p>
            <w:pPr>
              <w:pStyle w:val="38"/>
              <w:rPr>
                <w:sz w:val="21"/>
              </w:rPr>
            </w:pPr>
          </w:p>
        </w:tc>
        <w:tc>
          <w:tcPr>
            <w:tcW w:w="388" w:type="dxa"/>
            <w:vMerge w:val="continue"/>
            <w:tcBorders>
              <w:top w:val="nil"/>
              <w:bottom w:val="nil"/>
            </w:tcBorders>
            <w:textDirection w:val="tbRlV"/>
            <w:vAlign w:val="top"/>
          </w:tcPr>
          <w:p>
            <w:pPr>
              <w:pStyle w:val="38"/>
              <w:rPr>
                <w:sz w:val="21"/>
              </w:rPr>
            </w:pPr>
          </w:p>
        </w:tc>
        <w:tc>
          <w:tcPr>
            <w:tcW w:w="777" w:type="dxa"/>
            <w:vMerge w:val="continue"/>
            <w:tcBorders>
              <w:top w:val="nil"/>
            </w:tcBorders>
            <w:vAlign w:val="top"/>
          </w:tcPr>
          <w:p>
            <w:pPr>
              <w:pStyle w:val="38"/>
              <w:rPr>
                <w:sz w:val="21"/>
              </w:rPr>
            </w:pPr>
          </w:p>
        </w:tc>
        <w:tc>
          <w:tcPr>
            <w:tcW w:w="2968" w:type="dxa"/>
            <w:gridSpan w:val="2"/>
            <w:vAlign w:val="top"/>
          </w:tcPr>
          <w:p>
            <w:pPr>
              <w:pStyle w:val="38"/>
              <w:spacing w:line="179" w:lineRule="exact"/>
            </w:pPr>
          </w:p>
        </w:tc>
        <w:tc>
          <w:tcPr>
            <w:tcW w:w="1016" w:type="dxa"/>
            <w:vAlign w:val="top"/>
          </w:tcPr>
          <w:p>
            <w:pPr>
              <w:pStyle w:val="38"/>
              <w:spacing w:line="179" w:lineRule="exact"/>
            </w:pPr>
          </w:p>
        </w:tc>
        <w:tc>
          <w:tcPr>
            <w:tcW w:w="1119" w:type="dxa"/>
            <w:vAlign w:val="top"/>
          </w:tcPr>
          <w:p>
            <w:pPr>
              <w:pStyle w:val="38"/>
              <w:spacing w:line="179" w:lineRule="exact"/>
            </w:pPr>
          </w:p>
        </w:tc>
        <w:tc>
          <w:tcPr>
            <w:tcW w:w="1611" w:type="dxa"/>
            <w:vAlign w:val="top"/>
          </w:tcPr>
          <w:p>
            <w:pPr>
              <w:pStyle w:val="38"/>
              <w:spacing w:line="179"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395" w:type="dxa"/>
            <w:vMerge w:val="continue"/>
            <w:tcBorders>
              <w:top w:val="nil"/>
              <w:bottom w:val="nil"/>
            </w:tcBorders>
            <w:textDirection w:val="tbRlV"/>
            <w:vAlign w:val="top"/>
          </w:tcPr>
          <w:p>
            <w:pPr>
              <w:pStyle w:val="38"/>
              <w:rPr>
                <w:sz w:val="21"/>
              </w:rPr>
            </w:pPr>
          </w:p>
        </w:tc>
        <w:tc>
          <w:tcPr>
            <w:tcW w:w="388" w:type="dxa"/>
            <w:vMerge w:val="continue"/>
            <w:tcBorders>
              <w:top w:val="nil"/>
              <w:bottom w:val="nil"/>
            </w:tcBorders>
            <w:textDirection w:val="tbRlV"/>
            <w:vAlign w:val="top"/>
          </w:tcPr>
          <w:p>
            <w:pPr>
              <w:pStyle w:val="38"/>
              <w:rPr>
                <w:sz w:val="21"/>
              </w:rPr>
            </w:pPr>
          </w:p>
        </w:tc>
        <w:tc>
          <w:tcPr>
            <w:tcW w:w="777" w:type="dxa"/>
            <w:vMerge w:val="restart"/>
            <w:tcBorders>
              <w:bottom w:val="nil"/>
            </w:tcBorders>
            <w:vAlign w:val="top"/>
          </w:tcPr>
          <w:p>
            <w:pPr>
              <w:spacing w:before="230" w:line="219" w:lineRule="auto"/>
              <w:ind w:left="90"/>
              <w:rPr>
                <w:rFonts w:ascii="宋体" w:hAnsi="宋体" w:eastAsia="宋体" w:cs="宋体"/>
                <w:sz w:val="15"/>
                <w:szCs w:val="15"/>
              </w:rPr>
            </w:pPr>
            <w:r>
              <w:rPr>
                <w:rFonts w:ascii="宋体" w:hAnsi="宋体" w:eastAsia="宋体" w:cs="宋体"/>
                <w:spacing w:val="-1"/>
                <w:sz w:val="15"/>
                <w:szCs w:val="15"/>
              </w:rPr>
              <w:t>成本指标</w:t>
            </w:r>
          </w:p>
        </w:tc>
        <w:tc>
          <w:tcPr>
            <w:tcW w:w="2968" w:type="dxa"/>
            <w:gridSpan w:val="2"/>
            <w:vAlign w:val="top"/>
          </w:tcPr>
          <w:p>
            <w:pPr>
              <w:pStyle w:val="38"/>
              <w:spacing w:line="179" w:lineRule="exact"/>
            </w:pPr>
          </w:p>
        </w:tc>
        <w:tc>
          <w:tcPr>
            <w:tcW w:w="1016" w:type="dxa"/>
            <w:vAlign w:val="top"/>
          </w:tcPr>
          <w:p>
            <w:pPr>
              <w:pStyle w:val="38"/>
              <w:spacing w:line="179" w:lineRule="exact"/>
            </w:pPr>
          </w:p>
        </w:tc>
        <w:tc>
          <w:tcPr>
            <w:tcW w:w="1119" w:type="dxa"/>
            <w:vAlign w:val="top"/>
          </w:tcPr>
          <w:p>
            <w:pPr>
              <w:pStyle w:val="38"/>
              <w:spacing w:line="179" w:lineRule="exact"/>
            </w:pPr>
          </w:p>
        </w:tc>
        <w:tc>
          <w:tcPr>
            <w:tcW w:w="1611" w:type="dxa"/>
            <w:vAlign w:val="top"/>
          </w:tcPr>
          <w:p>
            <w:pPr>
              <w:pStyle w:val="38"/>
              <w:spacing w:line="179"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395" w:type="dxa"/>
            <w:vMerge w:val="continue"/>
            <w:tcBorders>
              <w:top w:val="nil"/>
              <w:bottom w:val="nil"/>
            </w:tcBorders>
            <w:textDirection w:val="tbRlV"/>
            <w:vAlign w:val="top"/>
          </w:tcPr>
          <w:p>
            <w:pPr>
              <w:pStyle w:val="38"/>
              <w:rPr>
                <w:sz w:val="21"/>
              </w:rPr>
            </w:pPr>
          </w:p>
        </w:tc>
        <w:tc>
          <w:tcPr>
            <w:tcW w:w="388" w:type="dxa"/>
            <w:vMerge w:val="continue"/>
            <w:tcBorders>
              <w:top w:val="nil"/>
              <w:bottom w:val="nil"/>
            </w:tcBorders>
            <w:textDirection w:val="tbRlV"/>
            <w:vAlign w:val="top"/>
          </w:tcPr>
          <w:p>
            <w:pPr>
              <w:pStyle w:val="38"/>
              <w:rPr>
                <w:sz w:val="21"/>
              </w:rPr>
            </w:pPr>
          </w:p>
        </w:tc>
        <w:tc>
          <w:tcPr>
            <w:tcW w:w="777" w:type="dxa"/>
            <w:vMerge w:val="continue"/>
            <w:tcBorders>
              <w:top w:val="nil"/>
              <w:bottom w:val="nil"/>
            </w:tcBorders>
            <w:vAlign w:val="top"/>
          </w:tcPr>
          <w:p>
            <w:pPr>
              <w:pStyle w:val="38"/>
              <w:rPr>
                <w:sz w:val="21"/>
              </w:rPr>
            </w:pPr>
          </w:p>
        </w:tc>
        <w:tc>
          <w:tcPr>
            <w:tcW w:w="2968" w:type="dxa"/>
            <w:gridSpan w:val="2"/>
            <w:vAlign w:val="top"/>
          </w:tcPr>
          <w:p>
            <w:pPr>
              <w:pStyle w:val="38"/>
              <w:spacing w:line="179" w:lineRule="exact"/>
            </w:pPr>
          </w:p>
        </w:tc>
        <w:tc>
          <w:tcPr>
            <w:tcW w:w="1016" w:type="dxa"/>
            <w:vAlign w:val="top"/>
          </w:tcPr>
          <w:p>
            <w:pPr>
              <w:pStyle w:val="38"/>
              <w:spacing w:line="179" w:lineRule="exact"/>
            </w:pPr>
          </w:p>
        </w:tc>
        <w:tc>
          <w:tcPr>
            <w:tcW w:w="1119" w:type="dxa"/>
            <w:vAlign w:val="top"/>
          </w:tcPr>
          <w:p>
            <w:pPr>
              <w:pStyle w:val="38"/>
              <w:spacing w:line="179" w:lineRule="exact"/>
            </w:pPr>
          </w:p>
        </w:tc>
        <w:tc>
          <w:tcPr>
            <w:tcW w:w="1611" w:type="dxa"/>
            <w:vAlign w:val="top"/>
          </w:tcPr>
          <w:p>
            <w:pPr>
              <w:pStyle w:val="38"/>
              <w:spacing w:line="179"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395" w:type="dxa"/>
            <w:vMerge w:val="continue"/>
            <w:tcBorders>
              <w:top w:val="nil"/>
              <w:bottom w:val="nil"/>
            </w:tcBorders>
            <w:textDirection w:val="tbRlV"/>
            <w:vAlign w:val="top"/>
          </w:tcPr>
          <w:p>
            <w:pPr>
              <w:pStyle w:val="38"/>
              <w:rPr>
                <w:sz w:val="21"/>
              </w:rPr>
            </w:pPr>
          </w:p>
        </w:tc>
        <w:tc>
          <w:tcPr>
            <w:tcW w:w="388" w:type="dxa"/>
            <w:vMerge w:val="continue"/>
            <w:tcBorders>
              <w:top w:val="nil"/>
              <w:bottom w:val="nil"/>
            </w:tcBorders>
            <w:textDirection w:val="tbRlV"/>
            <w:vAlign w:val="top"/>
          </w:tcPr>
          <w:p>
            <w:pPr>
              <w:pStyle w:val="38"/>
              <w:rPr>
                <w:sz w:val="21"/>
              </w:rPr>
            </w:pPr>
          </w:p>
        </w:tc>
        <w:tc>
          <w:tcPr>
            <w:tcW w:w="777" w:type="dxa"/>
            <w:vMerge w:val="continue"/>
            <w:tcBorders>
              <w:top w:val="nil"/>
            </w:tcBorders>
            <w:vAlign w:val="top"/>
          </w:tcPr>
          <w:p>
            <w:pPr>
              <w:pStyle w:val="38"/>
              <w:rPr>
                <w:sz w:val="21"/>
              </w:rPr>
            </w:pPr>
          </w:p>
        </w:tc>
        <w:tc>
          <w:tcPr>
            <w:tcW w:w="2968" w:type="dxa"/>
            <w:gridSpan w:val="2"/>
            <w:vAlign w:val="top"/>
          </w:tcPr>
          <w:p>
            <w:pPr>
              <w:pStyle w:val="38"/>
              <w:spacing w:line="179" w:lineRule="exact"/>
            </w:pPr>
          </w:p>
        </w:tc>
        <w:tc>
          <w:tcPr>
            <w:tcW w:w="1016" w:type="dxa"/>
            <w:vAlign w:val="top"/>
          </w:tcPr>
          <w:p>
            <w:pPr>
              <w:pStyle w:val="38"/>
              <w:spacing w:line="179" w:lineRule="exact"/>
            </w:pPr>
          </w:p>
        </w:tc>
        <w:tc>
          <w:tcPr>
            <w:tcW w:w="1119" w:type="dxa"/>
            <w:vAlign w:val="top"/>
          </w:tcPr>
          <w:p>
            <w:pPr>
              <w:pStyle w:val="38"/>
              <w:spacing w:line="179" w:lineRule="exact"/>
            </w:pPr>
          </w:p>
        </w:tc>
        <w:tc>
          <w:tcPr>
            <w:tcW w:w="1611" w:type="dxa"/>
            <w:vAlign w:val="top"/>
          </w:tcPr>
          <w:p>
            <w:pPr>
              <w:pStyle w:val="38"/>
              <w:spacing w:line="179"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395" w:type="dxa"/>
            <w:vMerge w:val="continue"/>
            <w:tcBorders>
              <w:top w:val="nil"/>
              <w:bottom w:val="nil"/>
            </w:tcBorders>
            <w:textDirection w:val="tbRlV"/>
            <w:vAlign w:val="top"/>
          </w:tcPr>
          <w:p>
            <w:pPr>
              <w:pStyle w:val="38"/>
              <w:rPr>
                <w:sz w:val="21"/>
              </w:rPr>
            </w:pPr>
          </w:p>
        </w:tc>
        <w:tc>
          <w:tcPr>
            <w:tcW w:w="388" w:type="dxa"/>
            <w:vMerge w:val="continue"/>
            <w:tcBorders>
              <w:top w:val="nil"/>
            </w:tcBorders>
            <w:textDirection w:val="tbRlV"/>
            <w:vAlign w:val="top"/>
          </w:tcPr>
          <w:p>
            <w:pPr>
              <w:pStyle w:val="38"/>
              <w:rPr>
                <w:sz w:val="21"/>
              </w:rPr>
            </w:pPr>
          </w:p>
        </w:tc>
        <w:tc>
          <w:tcPr>
            <w:tcW w:w="777" w:type="dxa"/>
            <w:vAlign w:val="top"/>
          </w:tcPr>
          <w:p>
            <w:pPr>
              <w:spacing w:before="31" w:line="181" w:lineRule="auto"/>
              <w:ind w:left="249"/>
              <w:rPr>
                <w:rFonts w:ascii="宋体" w:hAnsi="宋体" w:eastAsia="宋体" w:cs="宋体"/>
                <w:sz w:val="15"/>
                <w:szCs w:val="15"/>
              </w:rPr>
            </w:pPr>
            <w:r>
              <w:rPr>
                <w:rFonts w:ascii="宋体" w:hAnsi="宋体" w:eastAsia="宋体" w:cs="宋体"/>
                <w:spacing w:val="-7"/>
                <w:sz w:val="15"/>
                <w:szCs w:val="15"/>
              </w:rPr>
              <w:t>……</w:t>
            </w:r>
          </w:p>
        </w:tc>
        <w:tc>
          <w:tcPr>
            <w:tcW w:w="2968" w:type="dxa"/>
            <w:gridSpan w:val="2"/>
            <w:vAlign w:val="top"/>
          </w:tcPr>
          <w:p>
            <w:pPr>
              <w:pStyle w:val="38"/>
              <w:spacing w:line="179" w:lineRule="exact"/>
            </w:pPr>
          </w:p>
        </w:tc>
        <w:tc>
          <w:tcPr>
            <w:tcW w:w="1016" w:type="dxa"/>
            <w:vAlign w:val="top"/>
          </w:tcPr>
          <w:p>
            <w:pPr>
              <w:pStyle w:val="38"/>
              <w:spacing w:line="179" w:lineRule="exact"/>
            </w:pPr>
          </w:p>
        </w:tc>
        <w:tc>
          <w:tcPr>
            <w:tcW w:w="1119" w:type="dxa"/>
            <w:vAlign w:val="top"/>
          </w:tcPr>
          <w:p>
            <w:pPr>
              <w:pStyle w:val="38"/>
              <w:spacing w:line="179" w:lineRule="exact"/>
            </w:pPr>
          </w:p>
        </w:tc>
        <w:tc>
          <w:tcPr>
            <w:tcW w:w="1611" w:type="dxa"/>
            <w:vAlign w:val="top"/>
          </w:tcPr>
          <w:p>
            <w:pPr>
              <w:pStyle w:val="38"/>
              <w:spacing w:line="179"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395" w:type="dxa"/>
            <w:vMerge w:val="continue"/>
            <w:tcBorders>
              <w:top w:val="nil"/>
              <w:bottom w:val="nil"/>
            </w:tcBorders>
            <w:textDirection w:val="tbRlV"/>
            <w:vAlign w:val="top"/>
          </w:tcPr>
          <w:p>
            <w:pPr>
              <w:pStyle w:val="38"/>
              <w:rPr>
                <w:sz w:val="21"/>
              </w:rPr>
            </w:pPr>
          </w:p>
        </w:tc>
        <w:tc>
          <w:tcPr>
            <w:tcW w:w="388" w:type="dxa"/>
            <w:vMerge w:val="restart"/>
            <w:tcBorders>
              <w:bottom w:val="nil"/>
            </w:tcBorders>
            <w:textDirection w:val="tbRlV"/>
            <w:vAlign w:val="top"/>
          </w:tcPr>
          <w:p>
            <w:pPr>
              <w:spacing w:before="112" w:line="208" w:lineRule="auto"/>
              <w:ind w:left="945"/>
              <w:rPr>
                <w:rFonts w:ascii="宋体" w:hAnsi="宋体" w:eastAsia="宋体" w:cs="宋体"/>
                <w:sz w:val="15"/>
                <w:szCs w:val="15"/>
              </w:rPr>
            </w:pPr>
            <w:r>
              <w:rPr>
                <w:rFonts w:ascii="宋体" w:hAnsi="宋体" w:eastAsia="宋体" w:cs="宋体"/>
                <w:spacing w:val="27"/>
                <w:sz w:val="15"/>
                <w:szCs w:val="15"/>
              </w:rPr>
              <w:t>效益指标</w:t>
            </w:r>
          </w:p>
        </w:tc>
        <w:tc>
          <w:tcPr>
            <w:tcW w:w="777" w:type="dxa"/>
            <w:vMerge w:val="restart"/>
            <w:tcBorders>
              <w:bottom w:val="nil"/>
            </w:tcBorders>
            <w:vAlign w:val="top"/>
          </w:tcPr>
          <w:p>
            <w:pPr>
              <w:spacing w:before="137" w:line="225" w:lineRule="auto"/>
              <w:ind w:left="241" w:right="79" w:hanging="151"/>
              <w:rPr>
                <w:rFonts w:ascii="宋体" w:hAnsi="宋体" w:eastAsia="宋体" w:cs="宋体"/>
                <w:sz w:val="15"/>
                <w:szCs w:val="15"/>
              </w:rPr>
            </w:pPr>
            <w:r>
              <w:rPr>
                <w:rFonts w:ascii="宋体" w:hAnsi="宋体" w:eastAsia="宋体" w:cs="宋体"/>
                <w:spacing w:val="-1"/>
                <w:sz w:val="15"/>
                <w:szCs w:val="15"/>
              </w:rPr>
              <w:t>经济效益</w:t>
            </w:r>
            <w:r>
              <w:rPr>
                <w:rFonts w:ascii="宋体" w:hAnsi="宋体" w:eastAsia="宋体" w:cs="宋体"/>
                <w:sz w:val="15"/>
                <w:szCs w:val="15"/>
              </w:rPr>
              <w:t xml:space="preserve"> </w:t>
            </w:r>
            <w:r>
              <w:rPr>
                <w:rFonts w:ascii="宋体" w:hAnsi="宋体" w:eastAsia="宋体" w:cs="宋体"/>
                <w:spacing w:val="-3"/>
                <w:sz w:val="15"/>
                <w:szCs w:val="15"/>
              </w:rPr>
              <w:t>指标</w:t>
            </w:r>
          </w:p>
        </w:tc>
        <w:tc>
          <w:tcPr>
            <w:tcW w:w="2968" w:type="dxa"/>
            <w:gridSpan w:val="2"/>
            <w:vAlign w:val="top"/>
          </w:tcPr>
          <w:p>
            <w:pPr>
              <w:pStyle w:val="38"/>
              <w:spacing w:line="179" w:lineRule="exact"/>
            </w:pPr>
          </w:p>
        </w:tc>
        <w:tc>
          <w:tcPr>
            <w:tcW w:w="1016" w:type="dxa"/>
            <w:vAlign w:val="top"/>
          </w:tcPr>
          <w:p>
            <w:pPr>
              <w:pStyle w:val="38"/>
              <w:spacing w:line="179" w:lineRule="exact"/>
            </w:pPr>
          </w:p>
        </w:tc>
        <w:tc>
          <w:tcPr>
            <w:tcW w:w="1119" w:type="dxa"/>
            <w:vAlign w:val="top"/>
          </w:tcPr>
          <w:p>
            <w:pPr>
              <w:pStyle w:val="38"/>
              <w:spacing w:line="179" w:lineRule="exact"/>
            </w:pPr>
          </w:p>
        </w:tc>
        <w:tc>
          <w:tcPr>
            <w:tcW w:w="1611" w:type="dxa"/>
            <w:vAlign w:val="top"/>
          </w:tcPr>
          <w:p>
            <w:pPr>
              <w:pStyle w:val="38"/>
              <w:spacing w:line="179"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395" w:type="dxa"/>
            <w:vMerge w:val="continue"/>
            <w:tcBorders>
              <w:top w:val="nil"/>
              <w:bottom w:val="nil"/>
            </w:tcBorders>
            <w:textDirection w:val="tbRlV"/>
            <w:vAlign w:val="top"/>
          </w:tcPr>
          <w:p>
            <w:pPr>
              <w:pStyle w:val="38"/>
              <w:rPr>
                <w:sz w:val="21"/>
              </w:rPr>
            </w:pPr>
          </w:p>
        </w:tc>
        <w:tc>
          <w:tcPr>
            <w:tcW w:w="388" w:type="dxa"/>
            <w:vMerge w:val="continue"/>
            <w:tcBorders>
              <w:top w:val="nil"/>
              <w:bottom w:val="nil"/>
            </w:tcBorders>
            <w:textDirection w:val="tbRlV"/>
            <w:vAlign w:val="top"/>
          </w:tcPr>
          <w:p>
            <w:pPr>
              <w:pStyle w:val="38"/>
              <w:rPr>
                <w:sz w:val="21"/>
              </w:rPr>
            </w:pPr>
          </w:p>
        </w:tc>
        <w:tc>
          <w:tcPr>
            <w:tcW w:w="777" w:type="dxa"/>
            <w:vMerge w:val="continue"/>
            <w:tcBorders>
              <w:top w:val="nil"/>
              <w:bottom w:val="nil"/>
            </w:tcBorders>
            <w:vAlign w:val="top"/>
          </w:tcPr>
          <w:p>
            <w:pPr>
              <w:pStyle w:val="38"/>
              <w:rPr>
                <w:sz w:val="21"/>
              </w:rPr>
            </w:pPr>
          </w:p>
        </w:tc>
        <w:tc>
          <w:tcPr>
            <w:tcW w:w="2968" w:type="dxa"/>
            <w:gridSpan w:val="2"/>
            <w:vAlign w:val="top"/>
          </w:tcPr>
          <w:p>
            <w:pPr>
              <w:pStyle w:val="38"/>
              <w:spacing w:line="179" w:lineRule="exact"/>
            </w:pPr>
          </w:p>
        </w:tc>
        <w:tc>
          <w:tcPr>
            <w:tcW w:w="1016" w:type="dxa"/>
            <w:vAlign w:val="top"/>
          </w:tcPr>
          <w:p>
            <w:pPr>
              <w:pStyle w:val="38"/>
              <w:spacing w:line="179" w:lineRule="exact"/>
            </w:pPr>
          </w:p>
        </w:tc>
        <w:tc>
          <w:tcPr>
            <w:tcW w:w="1119" w:type="dxa"/>
            <w:vAlign w:val="top"/>
          </w:tcPr>
          <w:p>
            <w:pPr>
              <w:pStyle w:val="38"/>
              <w:spacing w:line="179" w:lineRule="exact"/>
            </w:pPr>
          </w:p>
        </w:tc>
        <w:tc>
          <w:tcPr>
            <w:tcW w:w="1611" w:type="dxa"/>
            <w:vAlign w:val="top"/>
          </w:tcPr>
          <w:p>
            <w:pPr>
              <w:pStyle w:val="38"/>
              <w:spacing w:line="179"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395" w:type="dxa"/>
            <w:vMerge w:val="continue"/>
            <w:tcBorders>
              <w:top w:val="nil"/>
              <w:bottom w:val="nil"/>
            </w:tcBorders>
            <w:textDirection w:val="tbRlV"/>
            <w:vAlign w:val="top"/>
          </w:tcPr>
          <w:p>
            <w:pPr>
              <w:pStyle w:val="38"/>
              <w:rPr>
                <w:sz w:val="21"/>
              </w:rPr>
            </w:pPr>
          </w:p>
        </w:tc>
        <w:tc>
          <w:tcPr>
            <w:tcW w:w="388" w:type="dxa"/>
            <w:vMerge w:val="continue"/>
            <w:tcBorders>
              <w:top w:val="nil"/>
              <w:bottom w:val="nil"/>
            </w:tcBorders>
            <w:textDirection w:val="tbRlV"/>
            <w:vAlign w:val="top"/>
          </w:tcPr>
          <w:p>
            <w:pPr>
              <w:pStyle w:val="38"/>
              <w:rPr>
                <w:sz w:val="21"/>
              </w:rPr>
            </w:pPr>
          </w:p>
        </w:tc>
        <w:tc>
          <w:tcPr>
            <w:tcW w:w="777" w:type="dxa"/>
            <w:vMerge w:val="continue"/>
            <w:tcBorders>
              <w:top w:val="nil"/>
            </w:tcBorders>
            <w:vAlign w:val="top"/>
          </w:tcPr>
          <w:p>
            <w:pPr>
              <w:pStyle w:val="38"/>
              <w:rPr>
                <w:sz w:val="21"/>
              </w:rPr>
            </w:pPr>
          </w:p>
        </w:tc>
        <w:tc>
          <w:tcPr>
            <w:tcW w:w="2968" w:type="dxa"/>
            <w:gridSpan w:val="2"/>
            <w:vAlign w:val="top"/>
          </w:tcPr>
          <w:p>
            <w:pPr>
              <w:pStyle w:val="38"/>
              <w:spacing w:line="179" w:lineRule="exact"/>
            </w:pPr>
          </w:p>
        </w:tc>
        <w:tc>
          <w:tcPr>
            <w:tcW w:w="1016" w:type="dxa"/>
            <w:vAlign w:val="top"/>
          </w:tcPr>
          <w:p>
            <w:pPr>
              <w:pStyle w:val="38"/>
              <w:spacing w:line="179" w:lineRule="exact"/>
            </w:pPr>
          </w:p>
        </w:tc>
        <w:tc>
          <w:tcPr>
            <w:tcW w:w="1119" w:type="dxa"/>
            <w:vAlign w:val="top"/>
          </w:tcPr>
          <w:p>
            <w:pPr>
              <w:pStyle w:val="38"/>
              <w:spacing w:line="179" w:lineRule="exact"/>
            </w:pPr>
          </w:p>
        </w:tc>
        <w:tc>
          <w:tcPr>
            <w:tcW w:w="1611" w:type="dxa"/>
            <w:vAlign w:val="top"/>
          </w:tcPr>
          <w:p>
            <w:pPr>
              <w:pStyle w:val="38"/>
              <w:spacing w:line="179"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395" w:type="dxa"/>
            <w:vMerge w:val="continue"/>
            <w:tcBorders>
              <w:top w:val="nil"/>
              <w:bottom w:val="nil"/>
            </w:tcBorders>
            <w:textDirection w:val="tbRlV"/>
            <w:vAlign w:val="top"/>
          </w:tcPr>
          <w:p>
            <w:pPr>
              <w:pStyle w:val="38"/>
              <w:rPr>
                <w:sz w:val="21"/>
              </w:rPr>
            </w:pPr>
          </w:p>
        </w:tc>
        <w:tc>
          <w:tcPr>
            <w:tcW w:w="388" w:type="dxa"/>
            <w:vMerge w:val="continue"/>
            <w:tcBorders>
              <w:top w:val="nil"/>
              <w:bottom w:val="nil"/>
            </w:tcBorders>
            <w:textDirection w:val="tbRlV"/>
            <w:vAlign w:val="top"/>
          </w:tcPr>
          <w:p>
            <w:pPr>
              <w:pStyle w:val="38"/>
              <w:rPr>
                <w:sz w:val="21"/>
              </w:rPr>
            </w:pPr>
          </w:p>
        </w:tc>
        <w:tc>
          <w:tcPr>
            <w:tcW w:w="777" w:type="dxa"/>
            <w:vMerge w:val="restart"/>
            <w:tcBorders>
              <w:bottom w:val="nil"/>
            </w:tcBorders>
            <w:vAlign w:val="top"/>
          </w:tcPr>
          <w:p>
            <w:pPr>
              <w:spacing w:before="137" w:line="226" w:lineRule="auto"/>
              <w:ind w:left="241" w:right="79" w:hanging="151"/>
              <w:rPr>
                <w:rFonts w:ascii="宋体" w:hAnsi="宋体" w:eastAsia="宋体" w:cs="宋体"/>
                <w:sz w:val="15"/>
                <w:szCs w:val="15"/>
              </w:rPr>
            </w:pPr>
            <w:r>
              <w:rPr>
                <w:rFonts w:ascii="宋体" w:hAnsi="宋体" w:eastAsia="宋体" w:cs="宋体"/>
                <w:spacing w:val="-1"/>
                <w:sz w:val="15"/>
                <w:szCs w:val="15"/>
              </w:rPr>
              <w:t>社会效益</w:t>
            </w:r>
            <w:r>
              <w:rPr>
                <w:rFonts w:ascii="宋体" w:hAnsi="宋体" w:eastAsia="宋体" w:cs="宋体"/>
                <w:sz w:val="15"/>
                <w:szCs w:val="15"/>
              </w:rPr>
              <w:t xml:space="preserve"> </w:t>
            </w:r>
            <w:r>
              <w:rPr>
                <w:rFonts w:ascii="宋体" w:hAnsi="宋体" w:eastAsia="宋体" w:cs="宋体"/>
                <w:spacing w:val="-3"/>
                <w:sz w:val="15"/>
                <w:szCs w:val="15"/>
              </w:rPr>
              <w:t>指标</w:t>
            </w:r>
          </w:p>
        </w:tc>
        <w:tc>
          <w:tcPr>
            <w:tcW w:w="2968" w:type="dxa"/>
            <w:gridSpan w:val="2"/>
            <w:vAlign w:val="top"/>
          </w:tcPr>
          <w:p>
            <w:pPr>
              <w:spacing w:before="31" w:line="181" w:lineRule="auto"/>
              <w:ind w:left="33"/>
              <w:rPr>
                <w:rFonts w:ascii="宋体" w:hAnsi="宋体" w:eastAsia="宋体" w:cs="宋体"/>
                <w:sz w:val="15"/>
                <w:szCs w:val="15"/>
              </w:rPr>
            </w:pPr>
            <w:r>
              <w:rPr>
                <w:rFonts w:ascii="宋体" w:hAnsi="宋体" w:eastAsia="宋体" w:cs="宋体"/>
                <w:spacing w:val="-1"/>
                <w:sz w:val="15"/>
                <w:szCs w:val="15"/>
              </w:rPr>
              <w:t>乡村医生收入</w:t>
            </w:r>
          </w:p>
        </w:tc>
        <w:tc>
          <w:tcPr>
            <w:tcW w:w="1016" w:type="dxa"/>
            <w:vAlign w:val="top"/>
          </w:tcPr>
          <w:p>
            <w:pPr>
              <w:spacing w:before="31" w:line="181" w:lineRule="auto"/>
              <w:ind w:left="215"/>
              <w:rPr>
                <w:rFonts w:ascii="宋体" w:hAnsi="宋体" w:eastAsia="宋体" w:cs="宋体"/>
                <w:sz w:val="15"/>
                <w:szCs w:val="15"/>
              </w:rPr>
            </w:pPr>
            <w:r>
              <w:rPr>
                <w:rFonts w:ascii="宋体" w:hAnsi="宋体" w:eastAsia="宋体" w:cs="宋体"/>
                <w:spacing w:val="-1"/>
                <w:sz w:val="15"/>
                <w:szCs w:val="15"/>
              </w:rPr>
              <w:t>保持稳定</w:t>
            </w:r>
          </w:p>
        </w:tc>
        <w:tc>
          <w:tcPr>
            <w:tcW w:w="1119" w:type="dxa"/>
            <w:vAlign w:val="top"/>
          </w:tcPr>
          <w:p>
            <w:pPr>
              <w:spacing w:before="31" w:line="181" w:lineRule="auto"/>
              <w:ind w:left="267"/>
              <w:rPr>
                <w:rFonts w:ascii="宋体" w:hAnsi="宋体" w:eastAsia="宋体" w:cs="宋体"/>
                <w:sz w:val="15"/>
                <w:szCs w:val="15"/>
              </w:rPr>
            </w:pPr>
            <w:r>
              <w:rPr>
                <w:rFonts w:ascii="宋体" w:hAnsi="宋体" w:eastAsia="宋体" w:cs="宋体"/>
                <w:spacing w:val="-1"/>
                <w:sz w:val="15"/>
                <w:szCs w:val="15"/>
              </w:rPr>
              <w:t>保持稳定</w:t>
            </w:r>
          </w:p>
        </w:tc>
        <w:tc>
          <w:tcPr>
            <w:tcW w:w="1611" w:type="dxa"/>
            <w:vAlign w:val="top"/>
          </w:tcPr>
          <w:p>
            <w:pPr>
              <w:pStyle w:val="38"/>
              <w:spacing w:line="179"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395" w:type="dxa"/>
            <w:vMerge w:val="continue"/>
            <w:tcBorders>
              <w:top w:val="nil"/>
              <w:bottom w:val="nil"/>
            </w:tcBorders>
            <w:textDirection w:val="tbRlV"/>
            <w:vAlign w:val="top"/>
          </w:tcPr>
          <w:p>
            <w:pPr>
              <w:pStyle w:val="38"/>
              <w:rPr>
                <w:sz w:val="21"/>
              </w:rPr>
            </w:pPr>
          </w:p>
        </w:tc>
        <w:tc>
          <w:tcPr>
            <w:tcW w:w="388" w:type="dxa"/>
            <w:vMerge w:val="continue"/>
            <w:tcBorders>
              <w:top w:val="nil"/>
              <w:bottom w:val="nil"/>
            </w:tcBorders>
            <w:textDirection w:val="tbRlV"/>
            <w:vAlign w:val="top"/>
          </w:tcPr>
          <w:p>
            <w:pPr>
              <w:pStyle w:val="38"/>
              <w:rPr>
                <w:sz w:val="21"/>
              </w:rPr>
            </w:pPr>
          </w:p>
        </w:tc>
        <w:tc>
          <w:tcPr>
            <w:tcW w:w="777" w:type="dxa"/>
            <w:vMerge w:val="continue"/>
            <w:tcBorders>
              <w:top w:val="nil"/>
              <w:bottom w:val="nil"/>
            </w:tcBorders>
            <w:vAlign w:val="top"/>
          </w:tcPr>
          <w:p>
            <w:pPr>
              <w:pStyle w:val="38"/>
              <w:rPr>
                <w:sz w:val="21"/>
              </w:rPr>
            </w:pPr>
          </w:p>
        </w:tc>
        <w:tc>
          <w:tcPr>
            <w:tcW w:w="2968" w:type="dxa"/>
            <w:gridSpan w:val="2"/>
            <w:vAlign w:val="top"/>
          </w:tcPr>
          <w:p>
            <w:pPr>
              <w:pStyle w:val="38"/>
              <w:spacing w:line="178" w:lineRule="exact"/>
            </w:pPr>
          </w:p>
        </w:tc>
        <w:tc>
          <w:tcPr>
            <w:tcW w:w="1016" w:type="dxa"/>
            <w:vAlign w:val="top"/>
          </w:tcPr>
          <w:p>
            <w:pPr>
              <w:pStyle w:val="38"/>
              <w:spacing w:line="178" w:lineRule="exact"/>
            </w:pPr>
          </w:p>
        </w:tc>
        <w:tc>
          <w:tcPr>
            <w:tcW w:w="1119" w:type="dxa"/>
            <w:vAlign w:val="top"/>
          </w:tcPr>
          <w:p>
            <w:pPr>
              <w:pStyle w:val="38"/>
              <w:spacing w:line="178" w:lineRule="exact"/>
            </w:pPr>
          </w:p>
        </w:tc>
        <w:tc>
          <w:tcPr>
            <w:tcW w:w="1611" w:type="dxa"/>
            <w:vAlign w:val="top"/>
          </w:tcPr>
          <w:p>
            <w:pPr>
              <w:pStyle w:val="38"/>
              <w:spacing w:line="178"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395" w:type="dxa"/>
            <w:vMerge w:val="continue"/>
            <w:tcBorders>
              <w:top w:val="nil"/>
              <w:bottom w:val="nil"/>
            </w:tcBorders>
            <w:textDirection w:val="tbRlV"/>
            <w:vAlign w:val="top"/>
          </w:tcPr>
          <w:p>
            <w:pPr>
              <w:pStyle w:val="38"/>
              <w:rPr>
                <w:sz w:val="21"/>
              </w:rPr>
            </w:pPr>
          </w:p>
        </w:tc>
        <w:tc>
          <w:tcPr>
            <w:tcW w:w="388" w:type="dxa"/>
            <w:vMerge w:val="continue"/>
            <w:tcBorders>
              <w:top w:val="nil"/>
              <w:bottom w:val="nil"/>
            </w:tcBorders>
            <w:textDirection w:val="tbRlV"/>
            <w:vAlign w:val="top"/>
          </w:tcPr>
          <w:p>
            <w:pPr>
              <w:pStyle w:val="38"/>
              <w:rPr>
                <w:sz w:val="21"/>
              </w:rPr>
            </w:pPr>
          </w:p>
        </w:tc>
        <w:tc>
          <w:tcPr>
            <w:tcW w:w="777" w:type="dxa"/>
            <w:vMerge w:val="continue"/>
            <w:tcBorders>
              <w:top w:val="nil"/>
            </w:tcBorders>
            <w:vAlign w:val="top"/>
          </w:tcPr>
          <w:p>
            <w:pPr>
              <w:pStyle w:val="38"/>
              <w:rPr>
                <w:sz w:val="21"/>
              </w:rPr>
            </w:pPr>
          </w:p>
        </w:tc>
        <w:tc>
          <w:tcPr>
            <w:tcW w:w="2968" w:type="dxa"/>
            <w:gridSpan w:val="2"/>
            <w:vAlign w:val="top"/>
          </w:tcPr>
          <w:p>
            <w:pPr>
              <w:pStyle w:val="38"/>
              <w:spacing w:line="178" w:lineRule="exact"/>
            </w:pPr>
          </w:p>
        </w:tc>
        <w:tc>
          <w:tcPr>
            <w:tcW w:w="1016" w:type="dxa"/>
            <w:vAlign w:val="top"/>
          </w:tcPr>
          <w:p>
            <w:pPr>
              <w:pStyle w:val="38"/>
              <w:spacing w:line="178" w:lineRule="exact"/>
            </w:pPr>
          </w:p>
        </w:tc>
        <w:tc>
          <w:tcPr>
            <w:tcW w:w="1119" w:type="dxa"/>
            <w:vAlign w:val="top"/>
          </w:tcPr>
          <w:p>
            <w:pPr>
              <w:pStyle w:val="38"/>
              <w:spacing w:line="178" w:lineRule="exact"/>
            </w:pPr>
          </w:p>
        </w:tc>
        <w:tc>
          <w:tcPr>
            <w:tcW w:w="1611" w:type="dxa"/>
            <w:vAlign w:val="top"/>
          </w:tcPr>
          <w:p>
            <w:pPr>
              <w:pStyle w:val="38"/>
              <w:spacing w:line="178"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395" w:type="dxa"/>
            <w:vMerge w:val="continue"/>
            <w:tcBorders>
              <w:top w:val="nil"/>
              <w:bottom w:val="nil"/>
            </w:tcBorders>
            <w:textDirection w:val="tbRlV"/>
            <w:vAlign w:val="top"/>
          </w:tcPr>
          <w:p>
            <w:pPr>
              <w:pStyle w:val="38"/>
              <w:rPr>
                <w:sz w:val="21"/>
              </w:rPr>
            </w:pPr>
          </w:p>
        </w:tc>
        <w:tc>
          <w:tcPr>
            <w:tcW w:w="388" w:type="dxa"/>
            <w:vMerge w:val="continue"/>
            <w:tcBorders>
              <w:top w:val="nil"/>
              <w:bottom w:val="nil"/>
            </w:tcBorders>
            <w:textDirection w:val="tbRlV"/>
            <w:vAlign w:val="top"/>
          </w:tcPr>
          <w:p>
            <w:pPr>
              <w:pStyle w:val="38"/>
              <w:rPr>
                <w:sz w:val="21"/>
              </w:rPr>
            </w:pPr>
          </w:p>
        </w:tc>
        <w:tc>
          <w:tcPr>
            <w:tcW w:w="777" w:type="dxa"/>
            <w:vMerge w:val="restart"/>
            <w:tcBorders>
              <w:bottom w:val="nil"/>
            </w:tcBorders>
            <w:vAlign w:val="top"/>
          </w:tcPr>
          <w:p>
            <w:pPr>
              <w:spacing w:before="139" w:line="225" w:lineRule="auto"/>
              <w:ind w:left="241" w:right="79" w:hanging="151"/>
              <w:rPr>
                <w:rFonts w:ascii="宋体" w:hAnsi="宋体" w:eastAsia="宋体" w:cs="宋体"/>
                <w:sz w:val="15"/>
                <w:szCs w:val="15"/>
              </w:rPr>
            </w:pPr>
            <w:r>
              <w:rPr>
                <w:rFonts w:ascii="宋体" w:hAnsi="宋体" w:eastAsia="宋体" w:cs="宋体"/>
                <w:spacing w:val="-1"/>
                <w:sz w:val="15"/>
                <w:szCs w:val="15"/>
              </w:rPr>
              <w:t>生态效益</w:t>
            </w:r>
            <w:r>
              <w:rPr>
                <w:rFonts w:ascii="宋体" w:hAnsi="宋体" w:eastAsia="宋体" w:cs="宋体"/>
                <w:sz w:val="15"/>
                <w:szCs w:val="15"/>
              </w:rPr>
              <w:t xml:space="preserve"> </w:t>
            </w:r>
            <w:r>
              <w:rPr>
                <w:rFonts w:ascii="宋体" w:hAnsi="宋体" w:eastAsia="宋体" w:cs="宋体"/>
                <w:spacing w:val="-3"/>
                <w:sz w:val="15"/>
                <w:szCs w:val="15"/>
              </w:rPr>
              <w:t>指标</w:t>
            </w:r>
          </w:p>
        </w:tc>
        <w:tc>
          <w:tcPr>
            <w:tcW w:w="2968" w:type="dxa"/>
            <w:gridSpan w:val="2"/>
            <w:vAlign w:val="top"/>
          </w:tcPr>
          <w:p>
            <w:pPr>
              <w:pStyle w:val="38"/>
              <w:spacing w:line="178" w:lineRule="exact"/>
            </w:pPr>
          </w:p>
        </w:tc>
        <w:tc>
          <w:tcPr>
            <w:tcW w:w="1016" w:type="dxa"/>
            <w:vAlign w:val="top"/>
          </w:tcPr>
          <w:p>
            <w:pPr>
              <w:pStyle w:val="38"/>
              <w:spacing w:line="178" w:lineRule="exact"/>
            </w:pPr>
          </w:p>
        </w:tc>
        <w:tc>
          <w:tcPr>
            <w:tcW w:w="1119" w:type="dxa"/>
            <w:vAlign w:val="top"/>
          </w:tcPr>
          <w:p>
            <w:pPr>
              <w:pStyle w:val="38"/>
              <w:spacing w:line="178" w:lineRule="exact"/>
            </w:pPr>
          </w:p>
        </w:tc>
        <w:tc>
          <w:tcPr>
            <w:tcW w:w="1611" w:type="dxa"/>
            <w:vAlign w:val="top"/>
          </w:tcPr>
          <w:p>
            <w:pPr>
              <w:pStyle w:val="38"/>
              <w:spacing w:line="178"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395" w:type="dxa"/>
            <w:vMerge w:val="continue"/>
            <w:tcBorders>
              <w:top w:val="nil"/>
              <w:bottom w:val="nil"/>
            </w:tcBorders>
            <w:textDirection w:val="tbRlV"/>
            <w:vAlign w:val="top"/>
          </w:tcPr>
          <w:p>
            <w:pPr>
              <w:pStyle w:val="38"/>
              <w:rPr>
                <w:sz w:val="21"/>
              </w:rPr>
            </w:pPr>
          </w:p>
        </w:tc>
        <w:tc>
          <w:tcPr>
            <w:tcW w:w="388" w:type="dxa"/>
            <w:vMerge w:val="continue"/>
            <w:tcBorders>
              <w:top w:val="nil"/>
              <w:bottom w:val="nil"/>
            </w:tcBorders>
            <w:textDirection w:val="tbRlV"/>
            <w:vAlign w:val="top"/>
          </w:tcPr>
          <w:p>
            <w:pPr>
              <w:pStyle w:val="38"/>
              <w:rPr>
                <w:sz w:val="21"/>
              </w:rPr>
            </w:pPr>
          </w:p>
        </w:tc>
        <w:tc>
          <w:tcPr>
            <w:tcW w:w="777" w:type="dxa"/>
            <w:vMerge w:val="continue"/>
            <w:tcBorders>
              <w:top w:val="nil"/>
              <w:bottom w:val="nil"/>
            </w:tcBorders>
            <w:vAlign w:val="top"/>
          </w:tcPr>
          <w:p>
            <w:pPr>
              <w:pStyle w:val="38"/>
              <w:rPr>
                <w:sz w:val="21"/>
              </w:rPr>
            </w:pPr>
          </w:p>
        </w:tc>
        <w:tc>
          <w:tcPr>
            <w:tcW w:w="2968" w:type="dxa"/>
            <w:gridSpan w:val="2"/>
            <w:vAlign w:val="top"/>
          </w:tcPr>
          <w:p>
            <w:pPr>
              <w:pStyle w:val="38"/>
              <w:spacing w:line="178" w:lineRule="exact"/>
            </w:pPr>
          </w:p>
        </w:tc>
        <w:tc>
          <w:tcPr>
            <w:tcW w:w="1016" w:type="dxa"/>
            <w:vAlign w:val="top"/>
          </w:tcPr>
          <w:p>
            <w:pPr>
              <w:pStyle w:val="38"/>
              <w:spacing w:line="178" w:lineRule="exact"/>
            </w:pPr>
          </w:p>
        </w:tc>
        <w:tc>
          <w:tcPr>
            <w:tcW w:w="1119" w:type="dxa"/>
            <w:vAlign w:val="top"/>
          </w:tcPr>
          <w:p>
            <w:pPr>
              <w:pStyle w:val="38"/>
              <w:spacing w:line="178" w:lineRule="exact"/>
            </w:pPr>
          </w:p>
        </w:tc>
        <w:tc>
          <w:tcPr>
            <w:tcW w:w="1611" w:type="dxa"/>
            <w:vAlign w:val="top"/>
          </w:tcPr>
          <w:p>
            <w:pPr>
              <w:pStyle w:val="38"/>
              <w:spacing w:line="178"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395" w:type="dxa"/>
            <w:vMerge w:val="continue"/>
            <w:tcBorders>
              <w:top w:val="nil"/>
              <w:bottom w:val="nil"/>
            </w:tcBorders>
            <w:textDirection w:val="tbRlV"/>
            <w:vAlign w:val="top"/>
          </w:tcPr>
          <w:p>
            <w:pPr>
              <w:pStyle w:val="38"/>
              <w:rPr>
                <w:sz w:val="21"/>
              </w:rPr>
            </w:pPr>
          </w:p>
        </w:tc>
        <w:tc>
          <w:tcPr>
            <w:tcW w:w="388" w:type="dxa"/>
            <w:vMerge w:val="continue"/>
            <w:tcBorders>
              <w:top w:val="nil"/>
              <w:bottom w:val="nil"/>
            </w:tcBorders>
            <w:textDirection w:val="tbRlV"/>
            <w:vAlign w:val="top"/>
          </w:tcPr>
          <w:p>
            <w:pPr>
              <w:pStyle w:val="38"/>
              <w:rPr>
                <w:sz w:val="21"/>
              </w:rPr>
            </w:pPr>
          </w:p>
        </w:tc>
        <w:tc>
          <w:tcPr>
            <w:tcW w:w="777" w:type="dxa"/>
            <w:vMerge w:val="continue"/>
            <w:tcBorders>
              <w:top w:val="nil"/>
            </w:tcBorders>
            <w:vAlign w:val="top"/>
          </w:tcPr>
          <w:p>
            <w:pPr>
              <w:pStyle w:val="38"/>
              <w:rPr>
                <w:sz w:val="21"/>
              </w:rPr>
            </w:pPr>
          </w:p>
        </w:tc>
        <w:tc>
          <w:tcPr>
            <w:tcW w:w="2968" w:type="dxa"/>
            <w:gridSpan w:val="2"/>
            <w:vAlign w:val="top"/>
          </w:tcPr>
          <w:p>
            <w:pPr>
              <w:pStyle w:val="38"/>
              <w:spacing w:line="178" w:lineRule="exact"/>
            </w:pPr>
          </w:p>
        </w:tc>
        <w:tc>
          <w:tcPr>
            <w:tcW w:w="1016" w:type="dxa"/>
            <w:vAlign w:val="top"/>
          </w:tcPr>
          <w:p>
            <w:pPr>
              <w:pStyle w:val="38"/>
              <w:spacing w:line="178" w:lineRule="exact"/>
            </w:pPr>
          </w:p>
        </w:tc>
        <w:tc>
          <w:tcPr>
            <w:tcW w:w="1119" w:type="dxa"/>
            <w:vAlign w:val="top"/>
          </w:tcPr>
          <w:p>
            <w:pPr>
              <w:pStyle w:val="38"/>
              <w:spacing w:line="178" w:lineRule="exact"/>
            </w:pPr>
          </w:p>
        </w:tc>
        <w:tc>
          <w:tcPr>
            <w:tcW w:w="1611" w:type="dxa"/>
            <w:vAlign w:val="top"/>
          </w:tcPr>
          <w:p>
            <w:pPr>
              <w:pStyle w:val="38"/>
              <w:spacing w:line="178"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395" w:type="dxa"/>
            <w:vMerge w:val="continue"/>
            <w:tcBorders>
              <w:top w:val="nil"/>
              <w:bottom w:val="nil"/>
            </w:tcBorders>
            <w:textDirection w:val="tbRlV"/>
            <w:vAlign w:val="top"/>
          </w:tcPr>
          <w:p>
            <w:pPr>
              <w:pStyle w:val="38"/>
              <w:rPr>
                <w:sz w:val="21"/>
              </w:rPr>
            </w:pPr>
          </w:p>
        </w:tc>
        <w:tc>
          <w:tcPr>
            <w:tcW w:w="388" w:type="dxa"/>
            <w:vMerge w:val="continue"/>
            <w:tcBorders>
              <w:top w:val="nil"/>
              <w:bottom w:val="nil"/>
            </w:tcBorders>
            <w:textDirection w:val="tbRlV"/>
            <w:vAlign w:val="top"/>
          </w:tcPr>
          <w:p>
            <w:pPr>
              <w:pStyle w:val="38"/>
              <w:rPr>
                <w:sz w:val="21"/>
              </w:rPr>
            </w:pPr>
          </w:p>
        </w:tc>
        <w:tc>
          <w:tcPr>
            <w:tcW w:w="777" w:type="dxa"/>
            <w:vMerge w:val="restart"/>
            <w:tcBorders>
              <w:bottom w:val="nil"/>
            </w:tcBorders>
            <w:vAlign w:val="top"/>
          </w:tcPr>
          <w:p>
            <w:pPr>
              <w:spacing w:before="139" w:line="225" w:lineRule="auto"/>
              <w:ind w:left="173" w:right="79" w:hanging="83"/>
              <w:rPr>
                <w:rFonts w:ascii="宋体" w:hAnsi="宋体" w:eastAsia="宋体" w:cs="宋体"/>
                <w:sz w:val="15"/>
                <w:szCs w:val="15"/>
              </w:rPr>
            </w:pPr>
            <w:r>
              <w:rPr>
                <w:rFonts w:ascii="宋体" w:hAnsi="宋体" w:eastAsia="宋体" w:cs="宋体"/>
                <w:spacing w:val="-1"/>
                <w:sz w:val="15"/>
                <w:szCs w:val="15"/>
              </w:rPr>
              <w:t>可持续影</w:t>
            </w:r>
            <w:r>
              <w:rPr>
                <w:rFonts w:ascii="宋体" w:hAnsi="宋体" w:eastAsia="宋体" w:cs="宋体"/>
                <w:sz w:val="15"/>
                <w:szCs w:val="15"/>
              </w:rPr>
              <w:t xml:space="preserve"> </w:t>
            </w:r>
            <w:r>
              <w:rPr>
                <w:rFonts w:ascii="宋体" w:hAnsi="宋体" w:eastAsia="宋体" w:cs="宋体"/>
                <w:spacing w:val="-4"/>
                <w:sz w:val="15"/>
                <w:szCs w:val="15"/>
              </w:rPr>
              <w:t>响指标</w:t>
            </w:r>
          </w:p>
        </w:tc>
        <w:tc>
          <w:tcPr>
            <w:tcW w:w="2968" w:type="dxa"/>
            <w:gridSpan w:val="2"/>
            <w:vAlign w:val="top"/>
          </w:tcPr>
          <w:p>
            <w:pPr>
              <w:spacing w:before="33" w:line="179" w:lineRule="auto"/>
              <w:ind w:left="42"/>
              <w:rPr>
                <w:rFonts w:ascii="宋体" w:hAnsi="宋体" w:eastAsia="宋体" w:cs="宋体"/>
                <w:sz w:val="15"/>
                <w:szCs w:val="15"/>
              </w:rPr>
            </w:pPr>
            <w:r>
              <w:rPr>
                <w:rFonts w:ascii="宋体" w:hAnsi="宋体" w:eastAsia="宋体" w:cs="宋体"/>
                <w:spacing w:val="-1"/>
                <w:sz w:val="15"/>
                <w:szCs w:val="15"/>
              </w:rPr>
              <w:t>国家基本药物制度在基层持续实施</w:t>
            </w:r>
          </w:p>
        </w:tc>
        <w:tc>
          <w:tcPr>
            <w:tcW w:w="1016" w:type="dxa"/>
            <w:vAlign w:val="top"/>
          </w:tcPr>
          <w:p>
            <w:pPr>
              <w:spacing w:before="33" w:line="179" w:lineRule="auto"/>
              <w:ind w:left="303"/>
              <w:rPr>
                <w:rFonts w:ascii="宋体" w:hAnsi="宋体" w:eastAsia="宋体" w:cs="宋体"/>
                <w:sz w:val="15"/>
                <w:szCs w:val="15"/>
              </w:rPr>
            </w:pPr>
            <w:r>
              <w:rPr>
                <w:rFonts w:ascii="宋体" w:hAnsi="宋体" w:eastAsia="宋体" w:cs="宋体"/>
                <w:spacing w:val="-6"/>
                <w:sz w:val="15"/>
                <w:szCs w:val="15"/>
              </w:rPr>
              <w:t>中长期</w:t>
            </w:r>
          </w:p>
        </w:tc>
        <w:tc>
          <w:tcPr>
            <w:tcW w:w="1119" w:type="dxa"/>
            <w:vAlign w:val="top"/>
          </w:tcPr>
          <w:p>
            <w:pPr>
              <w:spacing w:before="33" w:line="179" w:lineRule="auto"/>
              <w:ind w:left="355"/>
              <w:rPr>
                <w:rFonts w:ascii="宋体" w:hAnsi="宋体" w:eastAsia="宋体" w:cs="宋体"/>
                <w:sz w:val="15"/>
                <w:szCs w:val="15"/>
              </w:rPr>
            </w:pPr>
            <w:r>
              <w:rPr>
                <w:rFonts w:ascii="宋体" w:hAnsi="宋体" w:eastAsia="宋体" w:cs="宋体"/>
                <w:spacing w:val="-6"/>
                <w:sz w:val="15"/>
                <w:szCs w:val="15"/>
              </w:rPr>
              <w:t>中长期</w:t>
            </w:r>
          </w:p>
        </w:tc>
        <w:tc>
          <w:tcPr>
            <w:tcW w:w="1611" w:type="dxa"/>
            <w:vAlign w:val="top"/>
          </w:tcPr>
          <w:p>
            <w:pPr>
              <w:pStyle w:val="38"/>
              <w:spacing w:line="178"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395" w:type="dxa"/>
            <w:vMerge w:val="continue"/>
            <w:tcBorders>
              <w:top w:val="nil"/>
              <w:bottom w:val="nil"/>
            </w:tcBorders>
            <w:textDirection w:val="tbRlV"/>
            <w:vAlign w:val="top"/>
          </w:tcPr>
          <w:p>
            <w:pPr>
              <w:pStyle w:val="38"/>
              <w:rPr>
                <w:sz w:val="21"/>
              </w:rPr>
            </w:pPr>
          </w:p>
        </w:tc>
        <w:tc>
          <w:tcPr>
            <w:tcW w:w="388" w:type="dxa"/>
            <w:vMerge w:val="continue"/>
            <w:tcBorders>
              <w:top w:val="nil"/>
              <w:bottom w:val="nil"/>
            </w:tcBorders>
            <w:textDirection w:val="tbRlV"/>
            <w:vAlign w:val="top"/>
          </w:tcPr>
          <w:p>
            <w:pPr>
              <w:pStyle w:val="38"/>
              <w:rPr>
                <w:sz w:val="21"/>
              </w:rPr>
            </w:pPr>
          </w:p>
        </w:tc>
        <w:tc>
          <w:tcPr>
            <w:tcW w:w="777" w:type="dxa"/>
            <w:vMerge w:val="continue"/>
            <w:tcBorders>
              <w:top w:val="nil"/>
              <w:bottom w:val="nil"/>
            </w:tcBorders>
            <w:vAlign w:val="top"/>
          </w:tcPr>
          <w:p>
            <w:pPr>
              <w:pStyle w:val="38"/>
              <w:rPr>
                <w:sz w:val="21"/>
              </w:rPr>
            </w:pPr>
          </w:p>
        </w:tc>
        <w:tc>
          <w:tcPr>
            <w:tcW w:w="2968" w:type="dxa"/>
            <w:gridSpan w:val="2"/>
            <w:vAlign w:val="top"/>
          </w:tcPr>
          <w:p>
            <w:pPr>
              <w:spacing w:before="27" w:line="187" w:lineRule="auto"/>
              <w:ind w:right="1"/>
              <w:jc w:val="right"/>
              <w:rPr>
                <w:rFonts w:ascii="宋体" w:hAnsi="宋体" w:eastAsia="宋体" w:cs="宋体"/>
                <w:sz w:val="15"/>
                <w:szCs w:val="15"/>
              </w:rPr>
            </w:pPr>
            <w:r>
              <w:rPr>
                <w:rFonts w:ascii="宋体" w:hAnsi="宋体" w:eastAsia="宋体" w:cs="宋体"/>
                <w:spacing w:val="2"/>
                <w:sz w:val="15"/>
                <w:szCs w:val="15"/>
              </w:rPr>
              <w:t>医共体建设符合“紧密型</w:t>
            </w:r>
            <w:r>
              <w:rPr>
                <w:rFonts w:ascii="宋体" w:hAnsi="宋体" w:eastAsia="宋体" w:cs="宋体"/>
                <w:spacing w:val="-50"/>
                <w:sz w:val="15"/>
                <w:szCs w:val="15"/>
              </w:rPr>
              <w:t xml:space="preserve"> </w:t>
            </w:r>
            <w:r>
              <w:rPr>
                <w:rFonts w:hint="eastAsia" w:ascii="宋体" w:hAnsi="宋体" w:eastAsia="宋体" w:cs="宋体"/>
                <w:spacing w:val="-50"/>
                <w:sz w:val="15"/>
                <w:szCs w:val="15"/>
                <w:lang w:eastAsia="zh-CN"/>
              </w:rPr>
              <w:t>”“</w:t>
            </w:r>
            <w:r>
              <w:rPr>
                <w:rFonts w:ascii="宋体" w:hAnsi="宋体" w:eastAsia="宋体" w:cs="宋体"/>
                <w:spacing w:val="2"/>
                <w:sz w:val="15"/>
                <w:szCs w:val="15"/>
              </w:rPr>
              <w:t>控费型</w:t>
            </w:r>
            <w:r>
              <w:rPr>
                <w:rFonts w:ascii="宋体" w:hAnsi="宋体" w:eastAsia="宋体" w:cs="宋体"/>
                <w:spacing w:val="22"/>
                <w:sz w:val="15"/>
                <w:szCs w:val="15"/>
              </w:rPr>
              <w:t xml:space="preserve"> </w:t>
            </w:r>
            <w:r>
              <w:rPr>
                <w:rFonts w:ascii="宋体" w:hAnsi="宋体" w:eastAsia="宋体" w:cs="宋体"/>
                <w:spacing w:val="2"/>
                <w:sz w:val="15"/>
                <w:szCs w:val="15"/>
              </w:rPr>
              <w:t>”</w:t>
            </w:r>
          </w:p>
        </w:tc>
        <w:tc>
          <w:tcPr>
            <w:tcW w:w="1016" w:type="dxa"/>
            <w:vAlign w:val="top"/>
          </w:tcPr>
          <w:p>
            <w:pPr>
              <w:spacing w:before="33" w:line="179" w:lineRule="auto"/>
              <w:ind w:left="215"/>
              <w:rPr>
                <w:rFonts w:ascii="宋体" w:hAnsi="宋体" w:eastAsia="宋体" w:cs="宋体"/>
                <w:sz w:val="15"/>
                <w:szCs w:val="15"/>
              </w:rPr>
            </w:pPr>
            <w:r>
              <w:rPr>
                <w:rFonts w:ascii="宋体" w:hAnsi="宋体" w:eastAsia="宋体" w:cs="宋体"/>
                <w:spacing w:val="-1"/>
                <w:sz w:val="15"/>
                <w:szCs w:val="15"/>
              </w:rPr>
              <w:t>稳步发展</w:t>
            </w:r>
          </w:p>
        </w:tc>
        <w:tc>
          <w:tcPr>
            <w:tcW w:w="1119" w:type="dxa"/>
            <w:vAlign w:val="top"/>
          </w:tcPr>
          <w:p>
            <w:pPr>
              <w:spacing w:before="33" w:line="179" w:lineRule="auto"/>
              <w:ind w:left="267"/>
              <w:rPr>
                <w:rFonts w:ascii="宋体" w:hAnsi="宋体" w:eastAsia="宋体" w:cs="宋体"/>
                <w:sz w:val="15"/>
                <w:szCs w:val="15"/>
              </w:rPr>
            </w:pPr>
            <w:r>
              <w:rPr>
                <w:rFonts w:ascii="宋体" w:hAnsi="宋体" w:eastAsia="宋体" w:cs="宋体"/>
                <w:spacing w:val="-1"/>
                <w:sz w:val="15"/>
                <w:szCs w:val="15"/>
              </w:rPr>
              <w:t>稳步发展</w:t>
            </w:r>
          </w:p>
        </w:tc>
        <w:tc>
          <w:tcPr>
            <w:tcW w:w="1611" w:type="dxa"/>
            <w:vAlign w:val="top"/>
          </w:tcPr>
          <w:p>
            <w:pPr>
              <w:pStyle w:val="38"/>
              <w:spacing w:line="178"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395" w:type="dxa"/>
            <w:vMerge w:val="continue"/>
            <w:tcBorders>
              <w:top w:val="nil"/>
              <w:bottom w:val="nil"/>
            </w:tcBorders>
            <w:textDirection w:val="tbRlV"/>
            <w:vAlign w:val="top"/>
          </w:tcPr>
          <w:p>
            <w:pPr>
              <w:pStyle w:val="38"/>
              <w:rPr>
                <w:sz w:val="21"/>
              </w:rPr>
            </w:pPr>
          </w:p>
        </w:tc>
        <w:tc>
          <w:tcPr>
            <w:tcW w:w="388" w:type="dxa"/>
            <w:vMerge w:val="continue"/>
            <w:tcBorders>
              <w:top w:val="nil"/>
              <w:bottom w:val="nil"/>
            </w:tcBorders>
            <w:textDirection w:val="tbRlV"/>
            <w:vAlign w:val="top"/>
          </w:tcPr>
          <w:p>
            <w:pPr>
              <w:pStyle w:val="38"/>
              <w:rPr>
                <w:sz w:val="21"/>
              </w:rPr>
            </w:pPr>
          </w:p>
        </w:tc>
        <w:tc>
          <w:tcPr>
            <w:tcW w:w="777" w:type="dxa"/>
            <w:vMerge w:val="continue"/>
            <w:tcBorders>
              <w:top w:val="nil"/>
            </w:tcBorders>
            <w:vAlign w:val="top"/>
          </w:tcPr>
          <w:p>
            <w:pPr>
              <w:pStyle w:val="38"/>
              <w:rPr>
                <w:sz w:val="21"/>
              </w:rPr>
            </w:pPr>
          </w:p>
        </w:tc>
        <w:tc>
          <w:tcPr>
            <w:tcW w:w="2968" w:type="dxa"/>
            <w:gridSpan w:val="2"/>
            <w:vAlign w:val="top"/>
          </w:tcPr>
          <w:p>
            <w:pPr>
              <w:pStyle w:val="38"/>
              <w:spacing w:line="178" w:lineRule="exact"/>
            </w:pPr>
          </w:p>
        </w:tc>
        <w:tc>
          <w:tcPr>
            <w:tcW w:w="1016" w:type="dxa"/>
            <w:vAlign w:val="top"/>
          </w:tcPr>
          <w:p>
            <w:pPr>
              <w:pStyle w:val="38"/>
              <w:spacing w:line="178" w:lineRule="exact"/>
            </w:pPr>
          </w:p>
        </w:tc>
        <w:tc>
          <w:tcPr>
            <w:tcW w:w="1119" w:type="dxa"/>
            <w:vAlign w:val="top"/>
          </w:tcPr>
          <w:p>
            <w:pPr>
              <w:pStyle w:val="38"/>
              <w:spacing w:line="178" w:lineRule="exact"/>
            </w:pPr>
          </w:p>
        </w:tc>
        <w:tc>
          <w:tcPr>
            <w:tcW w:w="1611" w:type="dxa"/>
            <w:vAlign w:val="top"/>
          </w:tcPr>
          <w:p>
            <w:pPr>
              <w:pStyle w:val="38"/>
              <w:spacing w:line="178"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395" w:type="dxa"/>
            <w:vMerge w:val="continue"/>
            <w:tcBorders>
              <w:top w:val="nil"/>
              <w:bottom w:val="nil"/>
            </w:tcBorders>
            <w:textDirection w:val="tbRlV"/>
            <w:vAlign w:val="top"/>
          </w:tcPr>
          <w:p>
            <w:pPr>
              <w:pStyle w:val="38"/>
              <w:rPr>
                <w:sz w:val="21"/>
              </w:rPr>
            </w:pPr>
          </w:p>
        </w:tc>
        <w:tc>
          <w:tcPr>
            <w:tcW w:w="388" w:type="dxa"/>
            <w:vMerge w:val="continue"/>
            <w:tcBorders>
              <w:top w:val="nil"/>
            </w:tcBorders>
            <w:textDirection w:val="tbRlV"/>
            <w:vAlign w:val="top"/>
          </w:tcPr>
          <w:p>
            <w:pPr>
              <w:pStyle w:val="38"/>
              <w:rPr>
                <w:sz w:val="21"/>
              </w:rPr>
            </w:pPr>
          </w:p>
        </w:tc>
        <w:tc>
          <w:tcPr>
            <w:tcW w:w="777" w:type="dxa"/>
            <w:vAlign w:val="top"/>
          </w:tcPr>
          <w:p>
            <w:pPr>
              <w:spacing w:before="33" w:line="179" w:lineRule="auto"/>
              <w:ind w:left="249"/>
              <w:rPr>
                <w:rFonts w:ascii="宋体" w:hAnsi="宋体" w:eastAsia="宋体" w:cs="宋体"/>
                <w:sz w:val="15"/>
                <w:szCs w:val="15"/>
              </w:rPr>
            </w:pPr>
            <w:r>
              <w:rPr>
                <w:rFonts w:ascii="宋体" w:hAnsi="宋体" w:eastAsia="宋体" w:cs="宋体"/>
                <w:spacing w:val="-7"/>
                <w:sz w:val="15"/>
                <w:szCs w:val="15"/>
              </w:rPr>
              <w:t>……</w:t>
            </w:r>
          </w:p>
        </w:tc>
        <w:tc>
          <w:tcPr>
            <w:tcW w:w="2968" w:type="dxa"/>
            <w:gridSpan w:val="2"/>
            <w:vAlign w:val="top"/>
          </w:tcPr>
          <w:p>
            <w:pPr>
              <w:pStyle w:val="38"/>
              <w:spacing w:line="178" w:lineRule="exact"/>
            </w:pPr>
          </w:p>
        </w:tc>
        <w:tc>
          <w:tcPr>
            <w:tcW w:w="1016" w:type="dxa"/>
            <w:vAlign w:val="top"/>
          </w:tcPr>
          <w:p>
            <w:pPr>
              <w:pStyle w:val="38"/>
              <w:spacing w:line="178" w:lineRule="exact"/>
            </w:pPr>
          </w:p>
        </w:tc>
        <w:tc>
          <w:tcPr>
            <w:tcW w:w="1119" w:type="dxa"/>
            <w:vAlign w:val="top"/>
          </w:tcPr>
          <w:p>
            <w:pPr>
              <w:pStyle w:val="38"/>
              <w:spacing w:line="178" w:lineRule="exact"/>
            </w:pPr>
          </w:p>
        </w:tc>
        <w:tc>
          <w:tcPr>
            <w:tcW w:w="1611" w:type="dxa"/>
            <w:vAlign w:val="top"/>
          </w:tcPr>
          <w:p>
            <w:pPr>
              <w:pStyle w:val="38"/>
              <w:spacing w:line="178"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395" w:type="dxa"/>
            <w:vMerge w:val="continue"/>
            <w:tcBorders>
              <w:top w:val="nil"/>
              <w:bottom w:val="nil"/>
            </w:tcBorders>
            <w:textDirection w:val="tbRlV"/>
            <w:vAlign w:val="top"/>
          </w:tcPr>
          <w:p>
            <w:pPr>
              <w:pStyle w:val="38"/>
              <w:rPr>
                <w:sz w:val="21"/>
              </w:rPr>
            </w:pPr>
          </w:p>
        </w:tc>
        <w:tc>
          <w:tcPr>
            <w:tcW w:w="388" w:type="dxa"/>
            <w:vMerge w:val="restart"/>
            <w:tcBorders>
              <w:bottom w:val="nil"/>
            </w:tcBorders>
            <w:vAlign w:val="top"/>
          </w:tcPr>
          <w:p>
            <w:pPr>
              <w:spacing w:before="144" w:line="220" w:lineRule="auto"/>
              <w:ind w:left="46"/>
              <w:rPr>
                <w:rFonts w:ascii="宋体" w:hAnsi="宋体" w:eastAsia="宋体" w:cs="宋体"/>
                <w:sz w:val="15"/>
                <w:szCs w:val="15"/>
              </w:rPr>
            </w:pPr>
            <w:r>
              <w:rPr>
                <w:rFonts w:ascii="宋体" w:hAnsi="宋体" w:eastAsia="宋体" w:cs="宋体"/>
                <w:spacing w:val="-3"/>
                <w:sz w:val="15"/>
                <w:szCs w:val="15"/>
              </w:rPr>
              <w:t>满意</w:t>
            </w:r>
          </w:p>
          <w:p>
            <w:pPr>
              <w:spacing w:before="7" w:line="221" w:lineRule="auto"/>
              <w:ind w:left="46"/>
              <w:rPr>
                <w:rFonts w:ascii="宋体" w:hAnsi="宋体" w:eastAsia="宋体" w:cs="宋体"/>
                <w:sz w:val="15"/>
                <w:szCs w:val="15"/>
              </w:rPr>
            </w:pPr>
            <w:r>
              <w:rPr>
                <w:rFonts w:ascii="宋体" w:hAnsi="宋体" w:eastAsia="宋体" w:cs="宋体"/>
                <w:spacing w:val="-2"/>
                <w:sz w:val="15"/>
                <w:szCs w:val="15"/>
              </w:rPr>
              <w:t>度指</w:t>
            </w:r>
          </w:p>
          <w:p>
            <w:pPr>
              <w:spacing w:before="9" w:line="221" w:lineRule="auto"/>
              <w:ind w:left="122"/>
              <w:rPr>
                <w:rFonts w:ascii="宋体" w:hAnsi="宋体" w:eastAsia="宋体" w:cs="宋体"/>
                <w:sz w:val="15"/>
                <w:szCs w:val="15"/>
              </w:rPr>
            </w:pPr>
            <w:r>
              <w:rPr>
                <w:rFonts w:ascii="宋体" w:hAnsi="宋体" w:eastAsia="宋体" w:cs="宋体"/>
                <w:sz w:val="15"/>
                <w:szCs w:val="15"/>
              </w:rPr>
              <w:t>标</w:t>
            </w:r>
          </w:p>
        </w:tc>
        <w:tc>
          <w:tcPr>
            <w:tcW w:w="777" w:type="dxa"/>
            <w:vMerge w:val="restart"/>
            <w:tcBorders>
              <w:bottom w:val="nil"/>
            </w:tcBorders>
            <w:vAlign w:val="top"/>
          </w:tcPr>
          <w:p>
            <w:pPr>
              <w:spacing w:before="46" w:line="220" w:lineRule="auto"/>
              <w:ind w:left="89"/>
              <w:rPr>
                <w:rFonts w:ascii="宋体" w:hAnsi="宋体" w:eastAsia="宋体" w:cs="宋体"/>
                <w:sz w:val="15"/>
                <w:szCs w:val="15"/>
              </w:rPr>
            </w:pPr>
            <w:r>
              <w:rPr>
                <w:rFonts w:ascii="宋体" w:hAnsi="宋体" w:eastAsia="宋体" w:cs="宋体"/>
                <w:spacing w:val="-1"/>
                <w:sz w:val="15"/>
                <w:szCs w:val="15"/>
              </w:rPr>
              <w:t>服务对象</w:t>
            </w:r>
          </w:p>
          <w:p>
            <w:pPr>
              <w:spacing w:before="8" w:line="220" w:lineRule="auto"/>
              <w:ind w:left="89"/>
              <w:rPr>
                <w:rFonts w:ascii="宋体" w:hAnsi="宋体" w:eastAsia="宋体" w:cs="宋体"/>
                <w:sz w:val="15"/>
                <w:szCs w:val="15"/>
              </w:rPr>
            </w:pPr>
            <w:r>
              <w:rPr>
                <w:rFonts w:ascii="宋体" w:hAnsi="宋体" w:eastAsia="宋体" w:cs="宋体"/>
                <w:spacing w:val="-1"/>
                <w:sz w:val="15"/>
                <w:szCs w:val="15"/>
              </w:rPr>
              <w:t>满意度指</w:t>
            </w:r>
          </w:p>
          <w:p>
            <w:pPr>
              <w:spacing w:before="9" w:line="192" w:lineRule="auto"/>
              <w:ind w:left="317"/>
              <w:rPr>
                <w:rFonts w:ascii="宋体" w:hAnsi="宋体" w:eastAsia="宋体" w:cs="宋体"/>
                <w:sz w:val="15"/>
                <w:szCs w:val="15"/>
              </w:rPr>
            </w:pPr>
            <w:r>
              <w:rPr>
                <w:rFonts w:ascii="宋体" w:hAnsi="宋体" w:eastAsia="宋体" w:cs="宋体"/>
                <w:sz w:val="15"/>
                <w:szCs w:val="15"/>
              </w:rPr>
              <w:t>标</w:t>
            </w:r>
          </w:p>
        </w:tc>
        <w:tc>
          <w:tcPr>
            <w:tcW w:w="2968" w:type="dxa"/>
            <w:gridSpan w:val="2"/>
            <w:vAlign w:val="top"/>
          </w:tcPr>
          <w:p>
            <w:pPr>
              <w:spacing w:before="34" w:line="178" w:lineRule="auto"/>
              <w:ind w:left="34"/>
              <w:rPr>
                <w:rFonts w:ascii="宋体" w:hAnsi="宋体" w:eastAsia="宋体" w:cs="宋体"/>
                <w:sz w:val="15"/>
                <w:szCs w:val="15"/>
              </w:rPr>
            </w:pPr>
            <w:r>
              <w:rPr>
                <w:rFonts w:ascii="宋体" w:hAnsi="宋体" w:eastAsia="宋体" w:cs="宋体"/>
                <w:spacing w:val="-1"/>
                <w:sz w:val="15"/>
                <w:szCs w:val="15"/>
              </w:rPr>
              <w:t>医院医务人员满意度</w:t>
            </w:r>
          </w:p>
        </w:tc>
        <w:tc>
          <w:tcPr>
            <w:tcW w:w="1016" w:type="dxa"/>
            <w:vAlign w:val="top"/>
          </w:tcPr>
          <w:p>
            <w:pPr>
              <w:spacing w:before="34" w:line="178" w:lineRule="auto"/>
              <w:ind w:left="32"/>
              <w:rPr>
                <w:rFonts w:ascii="宋体" w:hAnsi="宋体" w:eastAsia="宋体" w:cs="宋体"/>
                <w:sz w:val="15"/>
                <w:szCs w:val="15"/>
              </w:rPr>
            </w:pPr>
            <w:r>
              <w:rPr>
                <w:rFonts w:ascii="宋体" w:hAnsi="宋体" w:eastAsia="宋体" w:cs="宋体"/>
                <w:sz w:val="15"/>
                <w:szCs w:val="15"/>
              </w:rPr>
              <w:t>较上一年提高</w:t>
            </w:r>
          </w:p>
        </w:tc>
        <w:tc>
          <w:tcPr>
            <w:tcW w:w="1119" w:type="dxa"/>
            <w:vAlign w:val="top"/>
          </w:tcPr>
          <w:p>
            <w:pPr>
              <w:spacing w:before="34" w:line="178" w:lineRule="auto"/>
              <w:ind w:left="34"/>
              <w:rPr>
                <w:rFonts w:ascii="宋体" w:hAnsi="宋体" w:eastAsia="宋体" w:cs="宋体"/>
                <w:sz w:val="15"/>
                <w:szCs w:val="15"/>
              </w:rPr>
            </w:pPr>
            <w:r>
              <w:rPr>
                <w:rFonts w:ascii="宋体" w:hAnsi="宋体" w:eastAsia="宋体" w:cs="宋体"/>
                <w:sz w:val="15"/>
                <w:szCs w:val="15"/>
              </w:rPr>
              <w:t>较上一年提高</w:t>
            </w:r>
          </w:p>
        </w:tc>
        <w:tc>
          <w:tcPr>
            <w:tcW w:w="1611" w:type="dxa"/>
            <w:vAlign w:val="top"/>
          </w:tcPr>
          <w:p>
            <w:pPr>
              <w:pStyle w:val="38"/>
              <w:spacing w:line="178"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395" w:type="dxa"/>
            <w:vMerge w:val="continue"/>
            <w:tcBorders>
              <w:top w:val="nil"/>
              <w:bottom w:val="nil"/>
            </w:tcBorders>
            <w:textDirection w:val="tbRlV"/>
            <w:vAlign w:val="top"/>
          </w:tcPr>
          <w:p>
            <w:pPr>
              <w:pStyle w:val="38"/>
              <w:rPr>
                <w:sz w:val="21"/>
              </w:rPr>
            </w:pPr>
          </w:p>
        </w:tc>
        <w:tc>
          <w:tcPr>
            <w:tcW w:w="388" w:type="dxa"/>
            <w:vMerge w:val="continue"/>
            <w:tcBorders>
              <w:top w:val="nil"/>
              <w:bottom w:val="nil"/>
            </w:tcBorders>
            <w:vAlign w:val="top"/>
          </w:tcPr>
          <w:p>
            <w:pPr>
              <w:pStyle w:val="38"/>
              <w:rPr>
                <w:sz w:val="21"/>
              </w:rPr>
            </w:pPr>
          </w:p>
        </w:tc>
        <w:tc>
          <w:tcPr>
            <w:tcW w:w="777" w:type="dxa"/>
            <w:vMerge w:val="continue"/>
            <w:tcBorders>
              <w:top w:val="nil"/>
              <w:bottom w:val="nil"/>
            </w:tcBorders>
            <w:vAlign w:val="top"/>
          </w:tcPr>
          <w:p>
            <w:pPr>
              <w:pStyle w:val="38"/>
              <w:rPr>
                <w:sz w:val="21"/>
              </w:rPr>
            </w:pPr>
          </w:p>
        </w:tc>
        <w:tc>
          <w:tcPr>
            <w:tcW w:w="2968" w:type="dxa"/>
            <w:gridSpan w:val="2"/>
            <w:vAlign w:val="top"/>
          </w:tcPr>
          <w:p>
            <w:pPr>
              <w:pStyle w:val="38"/>
              <w:spacing w:line="178" w:lineRule="exact"/>
            </w:pPr>
          </w:p>
        </w:tc>
        <w:tc>
          <w:tcPr>
            <w:tcW w:w="1016" w:type="dxa"/>
            <w:vAlign w:val="top"/>
          </w:tcPr>
          <w:p>
            <w:pPr>
              <w:pStyle w:val="38"/>
              <w:spacing w:line="178" w:lineRule="exact"/>
            </w:pPr>
          </w:p>
        </w:tc>
        <w:tc>
          <w:tcPr>
            <w:tcW w:w="1119" w:type="dxa"/>
            <w:vAlign w:val="top"/>
          </w:tcPr>
          <w:p>
            <w:pPr>
              <w:pStyle w:val="38"/>
              <w:spacing w:line="178" w:lineRule="exact"/>
            </w:pPr>
          </w:p>
        </w:tc>
        <w:tc>
          <w:tcPr>
            <w:tcW w:w="1611" w:type="dxa"/>
            <w:vAlign w:val="top"/>
          </w:tcPr>
          <w:p>
            <w:pPr>
              <w:pStyle w:val="38"/>
              <w:spacing w:line="178"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395" w:type="dxa"/>
            <w:vMerge w:val="continue"/>
            <w:tcBorders>
              <w:top w:val="nil"/>
              <w:bottom w:val="nil"/>
            </w:tcBorders>
            <w:textDirection w:val="tbRlV"/>
            <w:vAlign w:val="top"/>
          </w:tcPr>
          <w:p>
            <w:pPr>
              <w:pStyle w:val="38"/>
              <w:rPr>
                <w:sz w:val="21"/>
              </w:rPr>
            </w:pPr>
          </w:p>
        </w:tc>
        <w:tc>
          <w:tcPr>
            <w:tcW w:w="388" w:type="dxa"/>
            <w:vMerge w:val="continue"/>
            <w:tcBorders>
              <w:top w:val="nil"/>
              <w:bottom w:val="nil"/>
            </w:tcBorders>
            <w:vAlign w:val="top"/>
          </w:tcPr>
          <w:p>
            <w:pPr>
              <w:pStyle w:val="38"/>
              <w:rPr>
                <w:sz w:val="21"/>
              </w:rPr>
            </w:pPr>
          </w:p>
        </w:tc>
        <w:tc>
          <w:tcPr>
            <w:tcW w:w="777" w:type="dxa"/>
            <w:vMerge w:val="continue"/>
            <w:tcBorders>
              <w:top w:val="nil"/>
            </w:tcBorders>
            <w:vAlign w:val="top"/>
          </w:tcPr>
          <w:p>
            <w:pPr>
              <w:pStyle w:val="38"/>
              <w:rPr>
                <w:sz w:val="21"/>
              </w:rPr>
            </w:pPr>
          </w:p>
        </w:tc>
        <w:tc>
          <w:tcPr>
            <w:tcW w:w="2968" w:type="dxa"/>
            <w:gridSpan w:val="2"/>
            <w:vAlign w:val="top"/>
          </w:tcPr>
          <w:p>
            <w:pPr>
              <w:pStyle w:val="38"/>
              <w:spacing w:line="178" w:lineRule="exact"/>
            </w:pPr>
          </w:p>
        </w:tc>
        <w:tc>
          <w:tcPr>
            <w:tcW w:w="1016" w:type="dxa"/>
            <w:vAlign w:val="top"/>
          </w:tcPr>
          <w:p>
            <w:pPr>
              <w:pStyle w:val="38"/>
              <w:spacing w:line="178" w:lineRule="exact"/>
            </w:pPr>
          </w:p>
        </w:tc>
        <w:tc>
          <w:tcPr>
            <w:tcW w:w="1119" w:type="dxa"/>
            <w:vAlign w:val="top"/>
          </w:tcPr>
          <w:p>
            <w:pPr>
              <w:pStyle w:val="38"/>
              <w:spacing w:line="178" w:lineRule="exact"/>
            </w:pPr>
          </w:p>
        </w:tc>
        <w:tc>
          <w:tcPr>
            <w:tcW w:w="1611" w:type="dxa"/>
            <w:vAlign w:val="top"/>
          </w:tcPr>
          <w:p>
            <w:pPr>
              <w:pStyle w:val="38"/>
              <w:spacing w:line="178"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395" w:type="dxa"/>
            <w:vMerge w:val="continue"/>
            <w:tcBorders>
              <w:top w:val="nil"/>
            </w:tcBorders>
            <w:textDirection w:val="tbRlV"/>
            <w:vAlign w:val="top"/>
          </w:tcPr>
          <w:p>
            <w:pPr>
              <w:pStyle w:val="38"/>
              <w:rPr>
                <w:sz w:val="21"/>
              </w:rPr>
            </w:pPr>
          </w:p>
        </w:tc>
        <w:tc>
          <w:tcPr>
            <w:tcW w:w="388" w:type="dxa"/>
            <w:vMerge w:val="continue"/>
            <w:tcBorders>
              <w:top w:val="nil"/>
            </w:tcBorders>
            <w:vAlign w:val="top"/>
          </w:tcPr>
          <w:p>
            <w:pPr>
              <w:pStyle w:val="38"/>
              <w:rPr>
                <w:sz w:val="21"/>
              </w:rPr>
            </w:pPr>
          </w:p>
        </w:tc>
        <w:tc>
          <w:tcPr>
            <w:tcW w:w="777" w:type="dxa"/>
            <w:vAlign w:val="top"/>
          </w:tcPr>
          <w:p>
            <w:pPr>
              <w:spacing w:before="35" w:line="177" w:lineRule="auto"/>
              <w:ind w:left="249"/>
              <w:rPr>
                <w:rFonts w:ascii="宋体" w:hAnsi="宋体" w:eastAsia="宋体" w:cs="宋体"/>
                <w:sz w:val="15"/>
                <w:szCs w:val="15"/>
              </w:rPr>
            </w:pPr>
            <w:r>
              <w:rPr>
                <w:rFonts w:ascii="宋体" w:hAnsi="宋体" w:eastAsia="宋体" w:cs="宋体"/>
                <w:spacing w:val="-7"/>
                <w:sz w:val="15"/>
                <w:szCs w:val="15"/>
              </w:rPr>
              <w:t>……</w:t>
            </w:r>
          </w:p>
        </w:tc>
        <w:tc>
          <w:tcPr>
            <w:tcW w:w="2968" w:type="dxa"/>
            <w:gridSpan w:val="2"/>
            <w:vAlign w:val="top"/>
          </w:tcPr>
          <w:p>
            <w:pPr>
              <w:pStyle w:val="38"/>
              <w:spacing w:line="178" w:lineRule="exact"/>
            </w:pPr>
          </w:p>
        </w:tc>
        <w:tc>
          <w:tcPr>
            <w:tcW w:w="1016" w:type="dxa"/>
            <w:vAlign w:val="top"/>
          </w:tcPr>
          <w:p>
            <w:pPr>
              <w:pStyle w:val="38"/>
              <w:spacing w:line="178" w:lineRule="exact"/>
            </w:pPr>
          </w:p>
        </w:tc>
        <w:tc>
          <w:tcPr>
            <w:tcW w:w="1119" w:type="dxa"/>
            <w:vAlign w:val="top"/>
          </w:tcPr>
          <w:p>
            <w:pPr>
              <w:pStyle w:val="38"/>
              <w:spacing w:line="178" w:lineRule="exact"/>
            </w:pPr>
          </w:p>
        </w:tc>
        <w:tc>
          <w:tcPr>
            <w:tcW w:w="1611" w:type="dxa"/>
            <w:vAlign w:val="top"/>
          </w:tcPr>
          <w:p>
            <w:pPr>
              <w:pStyle w:val="38"/>
              <w:spacing w:line="178"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395" w:type="dxa"/>
            <w:vAlign w:val="top"/>
          </w:tcPr>
          <w:p>
            <w:pPr>
              <w:spacing w:before="58" w:line="216" w:lineRule="auto"/>
              <w:ind w:left="53"/>
              <w:rPr>
                <w:rFonts w:ascii="宋体" w:hAnsi="宋体" w:eastAsia="宋体" w:cs="宋体"/>
                <w:sz w:val="15"/>
                <w:szCs w:val="15"/>
              </w:rPr>
            </w:pPr>
            <w:r>
              <w:rPr>
                <w:rFonts w:ascii="宋体" w:hAnsi="宋体" w:eastAsia="宋体" w:cs="宋体"/>
                <w:spacing w:val="-3"/>
                <w:sz w:val="15"/>
                <w:szCs w:val="15"/>
              </w:rPr>
              <w:t>说明</w:t>
            </w:r>
          </w:p>
        </w:tc>
        <w:tc>
          <w:tcPr>
            <w:tcW w:w="7879" w:type="dxa"/>
            <w:gridSpan w:val="7"/>
            <w:vAlign w:val="top"/>
          </w:tcPr>
          <w:p>
            <w:pPr>
              <w:spacing w:before="58" w:line="216" w:lineRule="auto"/>
              <w:ind w:left="26"/>
              <w:rPr>
                <w:rFonts w:ascii="宋体" w:hAnsi="宋体" w:eastAsia="宋体" w:cs="宋体"/>
                <w:sz w:val="15"/>
                <w:szCs w:val="15"/>
              </w:rPr>
            </w:pPr>
            <w:r>
              <w:rPr>
                <w:rFonts w:ascii="宋体" w:hAnsi="宋体" w:eastAsia="宋体" w:cs="宋体"/>
                <w:spacing w:val="1"/>
                <w:sz w:val="15"/>
                <w:szCs w:val="15"/>
              </w:rPr>
              <w:t>请在此处简要说明中央巡视、各级审计和财政监督中发现的问题及其所涉及的金额，如没有请填无。</w:t>
            </w:r>
          </w:p>
        </w:tc>
      </w:tr>
    </w:tbl>
    <w:p>
      <w:pPr>
        <w:spacing w:before="27" w:line="220" w:lineRule="auto"/>
        <w:ind w:left="61"/>
        <w:rPr>
          <w:rFonts w:ascii="宋体" w:hAnsi="宋体" w:eastAsia="宋体" w:cs="宋体"/>
          <w:sz w:val="15"/>
          <w:szCs w:val="15"/>
        </w:rPr>
      </w:pPr>
      <w:r>
        <w:rPr>
          <w:rFonts w:ascii="宋体" w:hAnsi="宋体" w:eastAsia="宋体" w:cs="宋体"/>
          <w:spacing w:val="1"/>
          <w:sz w:val="15"/>
          <w:szCs w:val="15"/>
        </w:rPr>
        <w:t>注：1.资金使用单位按项目绩效目标填报，主管部门汇总时按区域绩效目标填报。</w:t>
      </w:r>
    </w:p>
    <w:p>
      <w:pPr>
        <w:spacing w:before="26" w:line="225" w:lineRule="auto"/>
        <w:ind w:left="67" w:right="106" w:firstLine="300"/>
        <w:rPr>
          <w:rFonts w:ascii="宋体" w:hAnsi="宋体" w:eastAsia="宋体" w:cs="宋体"/>
          <w:sz w:val="15"/>
          <w:szCs w:val="15"/>
        </w:rPr>
      </w:pPr>
      <w:r>
        <w:rPr>
          <w:rFonts w:ascii="宋体" w:hAnsi="宋体" w:eastAsia="宋体" w:cs="宋体"/>
          <w:spacing w:val="1"/>
          <w:sz w:val="15"/>
          <w:szCs w:val="15"/>
        </w:rPr>
        <w:t>2.其他资金包括与中央财政资金、地方财政资金共同投入到同一项目的自有资金、社会资金，以及以前年度的结转结余</w:t>
      </w:r>
      <w:r>
        <w:rPr>
          <w:rFonts w:ascii="宋体" w:hAnsi="宋体" w:eastAsia="宋体" w:cs="宋体"/>
          <w:spacing w:val="5"/>
          <w:sz w:val="15"/>
          <w:szCs w:val="15"/>
        </w:rPr>
        <w:t xml:space="preserve"> </w:t>
      </w:r>
      <w:r>
        <w:rPr>
          <w:rFonts w:ascii="宋体" w:hAnsi="宋体" w:eastAsia="宋体" w:cs="宋体"/>
          <w:spacing w:val="-3"/>
          <w:sz w:val="15"/>
          <w:szCs w:val="15"/>
        </w:rPr>
        <w:t>资金等。</w:t>
      </w:r>
    </w:p>
    <w:p>
      <w:pPr>
        <w:spacing w:before="54" w:line="220" w:lineRule="auto"/>
        <w:ind w:left="369"/>
        <w:rPr>
          <w:rFonts w:ascii="宋体" w:hAnsi="宋体" w:eastAsia="宋体" w:cs="宋体"/>
          <w:sz w:val="15"/>
          <w:szCs w:val="15"/>
        </w:rPr>
      </w:pPr>
      <w:r>
        <w:rPr>
          <w:rFonts w:ascii="宋体" w:hAnsi="宋体" w:eastAsia="宋体" w:cs="宋体"/>
          <w:spacing w:val="1"/>
          <w:sz w:val="15"/>
          <w:szCs w:val="15"/>
        </w:rPr>
        <w:t>3.全年执行数是指按照国库集中支付制度要求所形成的实</w:t>
      </w:r>
      <w:r>
        <w:rPr>
          <w:rFonts w:ascii="宋体" w:hAnsi="宋体" w:eastAsia="宋体" w:cs="宋体"/>
          <w:sz w:val="15"/>
          <w:szCs w:val="15"/>
        </w:rPr>
        <w:t>际支出。</w:t>
      </w:r>
    </w:p>
    <w:p>
      <w:pPr>
        <w:pStyle w:val="5"/>
        <w:rPr>
          <w:rFonts w:ascii="宋体" w:hAnsi="宋体" w:eastAsia="宋体" w:cs="宋体"/>
          <w:sz w:val="15"/>
          <w:szCs w:val="15"/>
        </w:rPr>
      </w:pPr>
    </w:p>
    <w:p>
      <w:pPr>
        <w:spacing w:before="35" w:line="232" w:lineRule="auto"/>
        <w:ind w:left="52"/>
        <w:rPr>
          <w:rFonts w:ascii="黑体" w:hAnsi="黑体" w:eastAsia="黑体" w:cs="黑体"/>
          <w:sz w:val="17"/>
          <w:szCs w:val="17"/>
        </w:rPr>
      </w:pPr>
      <w:r>
        <w:rPr>
          <w:rFonts w:ascii="黑体" w:hAnsi="黑体" w:eastAsia="黑体" w:cs="黑体"/>
          <w:spacing w:val="1"/>
          <w:sz w:val="17"/>
          <w:szCs w:val="17"/>
        </w:rPr>
        <w:t>附件</w:t>
      </w:r>
      <w:r>
        <w:rPr>
          <w:rFonts w:hint="eastAsia" w:ascii="黑体" w:hAnsi="黑体" w:eastAsia="黑体" w:cs="黑体"/>
          <w:spacing w:val="1"/>
          <w:sz w:val="17"/>
          <w:szCs w:val="17"/>
          <w:lang w:val="en-US" w:eastAsia="zh-CN"/>
        </w:rPr>
        <w:t>2</w:t>
      </w:r>
      <w:r>
        <w:rPr>
          <w:rFonts w:ascii="黑体" w:hAnsi="黑体" w:eastAsia="黑体" w:cs="黑体"/>
          <w:spacing w:val="1"/>
          <w:sz w:val="17"/>
          <w:szCs w:val="17"/>
        </w:rPr>
        <w:t>：</w:t>
      </w:r>
    </w:p>
    <w:p>
      <w:pPr>
        <w:spacing w:before="135" w:line="225" w:lineRule="auto"/>
        <w:ind w:left="2995"/>
        <w:outlineLvl w:val="0"/>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中央对地方专项转移支付绩效自评表</w:t>
      </w:r>
    </w:p>
    <w:p>
      <w:pPr>
        <w:spacing w:line="71" w:lineRule="exact"/>
      </w:pPr>
    </w:p>
    <w:tbl>
      <w:tblPr>
        <w:tblStyle w:val="37"/>
        <w:tblW w:w="97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393"/>
        <w:gridCol w:w="858"/>
        <w:gridCol w:w="1345"/>
        <w:gridCol w:w="1148"/>
        <w:gridCol w:w="1470"/>
        <w:gridCol w:w="1045"/>
        <w:gridCol w:w="1024"/>
        <w:gridCol w:w="16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107" w:type="dxa"/>
            <w:gridSpan w:val="3"/>
            <w:vAlign w:val="top"/>
          </w:tcPr>
          <w:p>
            <w:pPr>
              <w:pStyle w:val="38"/>
              <w:spacing w:before="86" w:line="227" w:lineRule="auto"/>
              <w:ind w:left="705"/>
            </w:pPr>
            <w:r>
              <w:rPr>
                <w:spacing w:val="4"/>
              </w:rPr>
              <w:t>项目名称</w:t>
            </w:r>
          </w:p>
        </w:tc>
        <w:tc>
          <w:tcPr>
            <w:tcW w:w="7662" w:type="dxa"/>
            <w:gridSpan w:val="6"/>
            <w:vAlign w:val="top"/>
          </w:tcPr>
          <w:p>
            <w:pPr>
              <w:pStyle w:val="38"/>
              <w:spacing w:before="86" w:line="226" w:lineRule="auto"/>
              <w:ind w:left="2668"/>
            </w:pPr>
            <w:r>
              <w:rPr>
                <w:spacing w:val="6"/>
              </w:rPr>
              <w:t>2022年基本公共卫生服务项目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107" w:type="dxa"/>
            <w:gridSpan w:val="3"/>
            <w:vAlign w:val="top"/>
          </w:tcPr>
          <w:p>
            <w:pPr>
              <w:pStyle w:val="38"/>
              <w:spacing w:before="78" w:line="227" w:lineRule="auto"/>
              <w:ind w:left="538"/>
            </w:pPr>
            <w:r>
              <w:rPr>
                <w:spacing w:val="3"/>
              </w:rPr>
              <w:t>中央主管部门</w:t>
            </w:r>
          </w:p>
        </w:tc>
        <w:tc>
          <w:tcPr>
            <w:tcW w:w="7662" w:type="dxa"/>
            <w:gridSpan w:val="6"/>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107" w:type="dxa"/>
            <w:gridSpan w:val="3"/>
            <w:vAlign w:val="top"/>
          </w:tcPr>
          <w:p>
            <w:pPr>
              <w:pStyle w:val="38"/>
              <w:spacing w:before="79" w:line="227" w:lineRule="auto"/>
              <w:ind w:left="522"/>
            </w:pPr>
            <w:r>
              <w:rPr>
                <w:spacing w:val="6"/>
              </w:rPr>
              <w:t>地方主管部门</w:t>
            </w:r>
          </w:p>
        </w:tc>
        <w:tc>
          <w:tcPr>
            <w:tcW w:w="3963" w:type="dxa"/>
            <w:gridSpan w:val="3"/>
            <w:vAlign w:val="top"/>
          </w:tcPr>
          <w:p>
            <w:pPr>
              <w:pStyle w:val="38"/>
              <w:spacing w:before="80" w:line="227" w:lineRule="auto"/>
              <w:ind w:left="2528"/>
            </w:pPr>
            <w:r>
              <w:rPr>
                <w:spacing w:val="4"/>
              </w:rPr>
              <w:t>实施单位</w:t>
            </w:r>
          </w:p>
        </w:tc>
        <w:tc>
          <w:tcPr>
            <w:tcW w:w="3699" w:type="dxa"/>
            <w:gridSpan w:val="3"/>
            <w:vAlign w:val="top"/>
          </w:tcPr>
          <w:p>
            <w:pPr>
              <w:pStyle w:val="38"/>
              <w:spacing w:before="79" w:line="227" w:lineRule="auto"/>
              <w:ind w:left="1319"/>
            </w:pPr>
            <w:r>
              <w:rPr>
                <w:spacing w:val="6"/>
              </w:rPr>
              <w:t>松潘县卫健局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56" w:type="dxa"/>
            <w:vMerge w:val="restart"/>
            <w:tcBorders>
              <w:bottom w:val="nil"/>
            </w:tcBorders>
            <w:vAlign w:val="top"/>
          </w:tcPr>
          <w:p>
            <w:pPr>
              <w:spacing w:line="381" w:lineRule="auto"/>
              <w:rPr>
                <w:rFonts w:ascii="Arial"/>
                <w:sz w:val="21"/>
              </w:rPr>
            </w:pPr>
          </w:p>
          <w:p>
            <w:pPr>
              <w:pStyle w:val="38"/>
              <w:spacing w:before="52" w:line="232" w:lineRule="auto"/>
              <w:ind w:left="100" w:right="95" w:hanging="1"/>
              <w:jc w:val="both"/>
              <w:rPr>
                <w:sz w:val="16"/>
                <w:szCs w:val="16"/>
              </w:rPr>
            </w:pPr>
            <w:r>
              <w:rPr>
                <w:spacing w:val="2"/>
                <w:sz w:val="16"/>
                <w:szCs w:val="16"/>
                <w14:textOutline w14:w="2996" w14:cap="sq" w14:cmpd="sng">
                  <w14:solidFill>
                    <w14:srgbClr w14:val="000000"/>
                  </w14:solidFill>
                  <w14:prstDash w14:val="solid"/>
                  <w14:bevel/>
                </w14:textOutline>
              </w:rPr>
              <w:t>基本公共</w:t>
            </w:r>
            <w:r>
              <w:rPr>
                <w:spacing w:val="2"/>
                <w:sz w:val="16"/>
                <w:szCs w:val="16"/>
              </w:rPr>
              <w:t xml:space="preserve"> </w:t>
            </w:r>
            <w:r>
              <w:rPr>
                <w:spacing w:val="2"/>
                <w:sz w:val="16"/>
                <w:szCs w:val="16"/>
                <w14:textOutline w14:w="2996" w14:cap="sq" w14:cmpd="sng">
                  <w14:solidFill>
                    <w14:srgbClr w14:val="000000"/>
                  </w14:solidFill>
                  <w14:prstDash w14:val="solid"/>
                  <w14:bevel/>
                </w14:textOutline>
              </w:rPr>
              <w:t>卫生服务</w:t>
            </w:r>
            <w:r>
              <w:rPr>
                <w:spacing w:val="1"/>
                <w:sz w:val="16"/>
                <w:szCs w:val="16"/>
              </w:rPr>
              <w:t xml:space="preserve"> </w:t>
            </w:r>
            <w:r>
              <w:rPr>
                <w:spacing w:val="2"/>
                <w:sz w:val="16"/>
                <w:szCs w:val="16"/>
                <w14:textOutline w14:w="2996" w14:cap="sq" w14:cmpd="sng">
                  <w14:solidFill>
                    <w14:srgbClr w14:val="000000"/>
                  </w14:solidFill>
                  <w14:prstDash w14:val="solid"/>
                  <w14:bevel/>
                </w14:textOutline>
              </w:rPr>
              <w:t>项目资金</w:t>
            </w:r>
            <w:r>
              <w:rPr>
                <w:spacing w:val="1"/>
                <w:sz w:val="16"/>
                <w:szCs w:val="16"/>
              </w:rPr>
              <w:t xml:space="preserve"> </w:t>
            </w:r>
            <w:r>
              <w:rPr>
                <w:spacing w:val="2"/>
                <w:sz w:val="16"/>
                <w:szCs w:val="16"/>
                <w14:textOutline w14:w="2996" w14:cap="sq" w14:cmpd="sng">
                  <w14:solidFill>
                    <w14:srgbClr w14:val="000000"/>
                  </w14:solidFill>
                  <w14:prstDash w14:val="solid"/>
                  <w14:bevel/>
                </w14:textOutline>
              </w:rPr>
              <w:t>（万元）</w:t>
            </w:r>
          </w:p>
        </w:tc>
        <w:tc>
          <w:tcPr>
            <w:tcW w:w="2596" w:type="dxa"/>
            <w:gridSpan w:val="3"/>
            <w:vAlign w:val="top"/>
          </w:tcPr>
          <w:p>
            <w:pPr>
              <w:rPr>
                <w:rFonts w:ascii="Arial"/>
                <w:sz w:val="21"/>
              </w:rPr>
            </w:pPr>
          </w:p>
        </w:tc>
        <w:tc>
          <w:tcPr>
            <w:tcW w:w="1148" w:type="dxa"/>
            <w:vAlign w:val="top"/>
          </w:tcPr>
          <w:p>
            <w:pPr>
              <w:pStyle w:val="38"/>
              <w:spacing w:before="84" w:line="223" w:lineRule="auto"/>
              <w:ind w:left="29"/>
              <w:rPr>
                <w:sz w:val="16"/>
                <w:szCs w:val="16"/>
              </w:rPr>
            </w:pPr>
            <w:r>
              <w:rPr>
                <w:spacing w:val="3"/>
                <w:sz w:val="16"/>
                <w:szCs w:val="16"/>
              </w:rPr>
              <w:t>全年预算（A）</w:t>
            </w:r>
          </w:p>
        </w:tc>
        <w:tc>
          <w:tcPr>
            <w:tcW w:w="2515" w:type="dxa"/>
            <w:gridSpan w:val="2"/>
            <w:vAlign w:val="top"/>
          </w:tcPr>
          <w:p>
            <w:pPr>
              <w:pStyle w:val="38"/>
              <w:spacing w:before="84" w:line="223" w:lineRule="auto"/>
              <w:ind w:left="645"/>
              <w:rPr>
                <w:sz w:val="16"/>
                <w:szCs w:val="16"/>
              </w:rPr>
            </w:pPr>
            <w:r>
              <w:rPr>
                <w:spacing w:val="3"/>
                <w:sz w:val="16"/>
                <w:szCs w:val="16"/>
              </w:rPr>
              <w:t>全年执行数（B）</w:t>
            </w:r>
          </w:p>
        </w:tc>
        <w:tc>
          <w:tcPr>
            <w:tcW w:w="2654" w:type="dxa"/>
            <w:gridSpan w:val="2"/>
            <w:vAlign w:val="top"/>
          </w:tcPr>
          <w:p>
            <w:pPr>
              <w:pStyle w:val="38"/>
              <w:spacing w:before="84" w:line="223" w:lineRule="auto"/>
              <w:ind w:left="796"/>
              <w:rPr>
                <w:sz w:val="16"/>
                <w:szCs w:val="16"/>
              </w:rPr>
            </w:pPr>
            <w:r>
              <w:rPr>
                <w:spacing w:val="2"/>
                <w:sz w:val="16"/>
                <w:szCs w:val="16"/>
              </w:rPr>
              <w:t>执行率（B/A）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56" w:type="dxa"/>
            <w:vMerge w:val="continue"/>
            <w:tcBorders>
              <w:top w:val="nil"/>
              <w:bottom w:val="nil"/>
            </w:tcBorders>
            <w:vAlign w:val="top"/>
          </w:tcPr>
          <w:p>
            <w:pPr>
              <w:rPr>
                <w:rFonts w:ascii="Arial"/>
                <w:sz w:val="21"/>
              </w:rPr>
            </w:pPr>
          </w:p>
        </w:tc>
        <w:tc>
          <w:tcPr>
            <w:tcW w:w="2596" w:type="dxa"/>
            <w:gridSpan w:val="3"/>
            <w:vAlign w:val="top"/>
          </w:tcPr>
          <w:p>
            <w:pPr>
              <w:pStyle w:val="38"/>
              <w:spacing w:before="83" w:line="223" w:lineRule="auto"/>
              <w:ind w:left="809"/>
              <w:rPr>
                <w:sz w:val="16"/>
                <w:szCs w:val="16"/>
              </w:rPr>
            </w:pPr>
            <w:r>
              <w:rPr>
                <w:spacing w:val="2"/>
                <w:sz w:val="16"/>
                <w:szCs w:val="16"/>
              </w:rPr>
              <w:t>年度资金总额</w:t>
            </w:r>
          </w:p>
        </w:tc>
        <w:tc>
          <w:tcPr>
            <w:tcW w:w="1148" w:type="dxa"/>
            <w:vAlign w:val="top"/>
          </w:tcPr>
          <w:p>
            <w:pPr>
              <w:rPr>
                <w:rFonts w:hint="default" w:ascii="Arial" w:eastAsia="宋体"/>
                <w:sz w:val="21"/>
                <w:lang w:val="en-US" w:eastAsia="zh-CN"/>
              </w:rPr>
            </w:pPr>
          </w:p>
        </w:tc>
        <w:tc>
          <w:tcPr>
            <w:tcW w:w="2515" w:type="dxa"/>
            <w:gridSpan w:val="2"/>
            <w:vAlign w:val="top"/>
          </w:tcPr>
          <w:p>
            <w:pPr>
              <w:pStyle w:val="38"/>
              <w:spacing w:before="109" w:line="186" w:lineRule="auto"/>
              <w:ind w:left="900"/>
              <w:rPr>
                <w:rFonts w:hint="default" w:eastAsia="宋体"/>
                <w:sz w:val="16"/>
                <w:szCs w:val="16"/>
                <w:lang w:val="en-US" w:eastAsia="zh-CN"/>
              </w:rPr>
            </w:pPr>
            <w:r>
              <w:rPr>
                <w:rFonts w:hint="eastAsia"/>
                <w:sz w:val="16"/>
                <w:szCs w:val="16"/>
                <w:lang w:val="en-US" w:eastAsia="zh-CN"/>
              </w:rPr>
              <w:t>23.65</w:t>
            </w:r>
          </w:p>
        </w:tc>
        <w:tc>
          <w:tcPr>
            <w:tcW w:w="2654" w:type="dxa"/>
            <w:gridSpan w:val="2"/>
            <w:vAlign w:val="top"/>
          </w:tcPr>
          <w:p>
            <w:pPr>
              <w:pStyle w:val="38"/>
              <w:spacing w:before="84" w:line="210" w:lineRule="exact"/>
              <w:ind w:left="1215"/>
              <w:rPr>
                <w:rFonts w:hint="default" w:eastAsia="宋体"/>
                <w:sz w:val="16"/>
                <w:szCs w:val="16"/>
                <w:lang w:val="en-US" w:eastAsia="zh-CN"/>
              </w:rPr>
            </w:pPr>
            <w:r>
              <w:rPr>
                <w:rFonts w:hint="eastAsia"/>
                <w:sz w:val="16"/>
                <w:szCs w:val="16"/>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56" w:type="dxa"/>
            <w:vMerge w:val="continue"/>
            <w:tcBorders>
              <w:top w:val="nil"/>
              <w:bottom w:val="nil"/>
            </w:tcBorders>
            <w:vAlign w:val="top"/>
          </w:tcPr>
          <w:p>
            <w:pPr>
              <w:rPr>
                <w:rFonts w:ascii="Arial"/>
                <w:sz w:val="21"/>
              </w:rPr>
            </w:pPr>
          </w:p>
        </w:tc>
        <w:tc>
          <w:tcPr>
            <w:tcW w:w="2596" w:type="dxa"/>
            <w:gridSpan w:val="3"/>
            <w:vAlign w:val="top"/>
          </w:tcPr>
          <w:p>
            <w:pPr>
              <w:pStyle w:val="38"/>
              <w:spacing w:before="83" w:line="223" w:lineRule="auto"/>
              <w:ind w:left="725"/>
              <w:rPr>
                <w:sz w:val="16"/>
                <w:szCs w:val="16"/>
              </w:rPr>
            </w:pPr>
            <w:r>
              <w:rPr>
                <w:spacing w:val="3"/>
                <w:sz w:val="16"/>
                <w:szCs w:val="16"/>
              </w:rPr>
              <w:t>其中：中央补助</w:t>
            </w:r>
          </w:p>
        </w:tc>
        <w:tc>
          <w:tcPr>
            <w:tcW w:w="1148" w:type="dxa"/>
            <w:vAlign w:val="top"/>
          </w:tcPr>
          <w:p>
            <w:pPr>
              <w:pStyle w:val="38"/>
              <w:spacing w:before="106" w:line="189" w:lineRule="auto"/>
              <w:ind w:left="312"/>
              <w:rPr>
                <w:rFonts w:hint="default" w:eastAsia="宋体"/>
                <w:lang w:val="en-US" w:eastAsia="zh-CN"/>
              </w:rPr>
            </w:pPr>
            <w:r>
              <w:rPr>
                <w:rFonts w:hint="eastAsia"/>
                <w:spacing w:val="2"/>
                <w:lang w:val="en-US" w:eastAsia="zh-CN"/>
              </w:rPr>
              <w:t>24.57</w:t>
            </w:r>
          </w:p>
        </w:tc>
        <w:tc>
          <w:tcPr>
            <w:tcW w:w="2515" w:type="dxa"/>
            <w:gridSpan w:val="2"/>
            <w:vAlign w:val="top"/>
          </w:tcPr>
          <w:p>
            <w:pPr>
              <w:pStyle w:val="38"/>
              <w:spacing w:before="108" w:line="186" w:lineRule="auto"/>
              <w:ind w:left="900"/>
              <w:rPr>
                <w:rFonts w:hint="default" w:eastAsia="宋体"/>
                <w:sz w:val="16"/>
                <w:szCs w:val="16"/>
                <w:lang w:val="en-US" w:eastAsia="zh-CN"/>
              </w:rPr>
            </w:pPr>
            <w:r>
              <w:rPr>
                <w:rFonts w:hint="eastAsia"/>
                <w:sz w:val="16"/>
                <w:szCs w:val="16"/>
                <w:lang w:val="en-US" w:eastAsia="zh-CN"/>
              </w:rPr>
              <w:t>23.65</w:t>
            </w:r>
          </w:p>
        </w:tc>
        <w:tc>
          <w:tcPr>
            <w:tcW w:w="2654" w:type="dxa"/>
            <w:gridSpan w:val="2"/>
            <w:vAlign w:val="top"/>
          </w:tcPr>
          <w:p>
            <w:pPr>
              <w:pStyle w:val="38"/>
              <w:spacing w:before="83" w:line="210" w:lineRule="exact"/>
              <w:ind w:left="1215"/>
              <w:rPr>
                <w:sz w:val="16"/>
                <w:szCs w:val="16"/>
              </w:rPr>
            </w:pPr>
            <w:r>
              <w:rPr>
                <w:rFonts w:hint="eastAsia"/>
                <w:sz w:val="16"/>
                <w:szCs w:val="16"/>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56" w:type="dxa"/>
            <w:vMerge w:val="continue"/>
            <w:tcBorders>
              <w:top w:val="nil"/>
              <w:bottom w:val="nil"/>
            </w:tcBorders>
            <w:vAlign w:val="top"/>
          </w:tcPr>
          <w:p>
            <w:pPr>
              <w:rPr>
                <w:rFonts w:ascii="Arial"/>
                <w:sz w:val="21"/>
              </w:rPr>
            </w:pPr>
          </w:p>
        </w:tc>
        <w:tc>
          <w:tcPr>
            <w:tcW w:w="2596" w:type="dxa"/>
            <w:gridSpan w:val="3"/>
            <w:vAlign w:val="top"/>
          </w:tcPr>
          <w:p>
            <w:pPr>
              <w:pStyle w:val="38"/>
              <w:spacing w:before="83" w:line="224" w:lineRule="auto"/>
              <w:ind w:left="971"/>
              <w:rPr>
                <w:sz w:val="16"/>
                <w:szCs w:val="16"/>
              </w:rPr>
            </w:pPr>
            <w:r>
              <w:rPr>
                <w:spacing w:val="1"/>
                <w:sz w:val="16"/>
                <w:szCs w:val="16"/>
              </w:rPr>
              <w:t>地方资金</w:t>
            </w:r>
          </w:p>
        </w:tc>
        <w:tc>
          <w:tcPr>
            <w:tcW w:w="1148" w:type="dxa"/>
            <w:vAlign w:val="top"/>
          </w:tcPr>
          <w:p>
            <w:pPr>
              <w:rPr>
                <w:rFonts w:ascii="Arial"/>
                <w:sz w:val="21"/>
              </w:rPr>
            </w:pPr>
          </w:p>
        </w:tc>
        <w:tc>
          <w:tcPr>
            <w:tcW w:w="2515" w:type="dxa"/>
            <w:gridSpan w:val="2"/>
            <w:vAlign w:val="top"/>
          </w:tcPr>
          <w:p>
            <w:pPr>
              <w:rPr>
                <w:rFonts w:ascii="Arial"/>
                <w:sz w:val="21"/>
              </w:rPr>
            </w:pPr>
          </w:p>
        </w:tc>
        <w:tc>
          <w:tcPr>
            <w:tcW w:w="2654"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56" w:type="dxa"/>
            <w:vMerge w:val="continue"/>
            <w:tcBorders>
              <w:top w:val="nil"/>
            </w:tcBorders>
            <w:vAlign w:val="top"/>
          </w:tcPr>
          <w:p>
            <w:pPr>
              <w:rPr>
                <w:rFonts w:ascii="Arial"/>
                <w:sz w:val="21"/>
              </w:rPr>
            </w:pPr>
          </w:p>
        </w:tc>
        <w:tc>
          <w:tcPr>
            <w:tcW w:w="2596" w:type="dxa"/>
            <w:gridSpan w:val="3"/>
            <w:vAlign w:val="top"/>
          </w:tcPr>
          <w:p>
            <w:pPr>
              <w:pStyle w:val="38"/>
              <w:spacing w:before="83" w:line="223" w:lineRule="auto"/>
              <w:ind w:left="972"/>
              <w:rPr>
                <w:sz w:val="16"/>
                <w:szCs w:val="16"/>
              </w:rPr>
            </w:pPr>
            <w:r>
              <w:rPr>
                <w:spacing w:val="1"/>
                <w:sz w:val="16"/>
                <w:szCs w:val="16"/>
              </w:rPr>
              <w:t>其他资金</w:t>
            </w:r>
          </w:p>
        </w:tc>
        <w:tc>
          <w:tcPr>
            <w:tcW w:w="1148" w:type="dxa"/>
            <w:vAlign w:val="top"/>
          </w:tcPr>
          <w:p>
            <w:pPr>
              <w:rPr>
                <w:rFonts w:ascii="Arial"/>
                <w:sz w:val="21"/>
              </w:rPr>
            </w:pPr>
          </w:p>
        </w:tc>
        <w:tc>
          <w:tcPr>
            <w:tcW w:w="2515" w:type="dxa"/>
            <w:gridSpan w:val="2"/>
            <w:vAlign w:val="top"/>
          </w:tcPr>
          <w:p>
            <w:pPr>
              <w:rPr>
                <w:rFonts w:ascii="Arial"/>
                <w:sz w:val="21"/>
              </w:rPr>
            </w:pPr>
          </w:p>
        </w:tc>
        <w:tc>
          <w:tcPr>
            <w:tcW w:w="2654"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56" w:type="dxa"/>
            <w:vAlign w:val="top"/>
          </w:tcPr>
          <w:p>
            <w:pPr>
              <w:rPr>
                <w:rFonts w:ascii="Arial"/>
                <w:sz w:val="21"/>
              </w:rPr>
            </w:pPr>
          </w:p>
        </w:tc>
        <w:tc>
          <w:tcPr>
            <w:tcW w:w="2596" w:type="dxa"/>
            <w:gridSpan w:val="3"/>
            <w:vAlign w:val="top"/>
          </w:tcPr>
          <w:p>
            <w:pPr>
              <w:rPr>
                <w:rFonts w:ascii="Arial"/>
                <w:sz w:val="21"/>
              </w:rPr>
            </w:pPr>
          </w:p>
        </w:tc>
        <w:tc>
          <w:tcPr>
            <w:tcW w:w="1148" w:type="dxa"/>
            <w:vAlign w:val="top"/>
          </w:tcPr>
          <w:p>
            <w:pPr>
              <w:rPr>
                <w:rFonts w:ascii="Arial"/>
                <w:sz w:val="21"/>
              </w:rPr>
            </w:pPr>
          </w:p>
        </w:tc>
        <w:tc>
          <w:tcPr>
            <w:tcW w:w="2515" w:type="dxa"/>
            <w:gridSpan w:val="2"/>
            <w:vAlign w:val="top"/>
          </w:tcPr>
          <w:p>
            <w:pPr>
              <w:pStyle w:val="38"/>
              <w:spacing w:before="84" w:line="223" w:lineRule="auto"/>
              <w:ind w:left="645"/>
              <w:rPr>
                <w:sz w:val="16"/>
                <w:szCs w:val="16"/>
              </w:rPr>
            </w:pPr>
            <w:r>
              <w:rPr>
                <w:spacing w:val="3"/>
                <w:sz w:val="16"/>
                <w:szCs w:val="16"/>
              </w:rPr>
              <w:t>全年执行数（B）</w:t>
            </w:r>
          </w:p>
        </w:tc>
        <w:tc>
          <w:tcPr>
            <w:tcW w:w="2654" w:type="dxa"/>
            <w:gridSpan w:val="2"/>
            <w:vAlign w:val="top"/>
          </w:tcPr>
          <w:p>
            <w:pPr>
              <w:pStyle w:val="38"/>
              <w:spacing w:before="84" w:line="223" w:lineRule="auto"/>
              <w:ind w:left="796"/>
              <w:rPr>
                <w:sz w:val="16"/>
                <w:szCs w:val="16"/>
              </w:rPr>
            </w:pPr>
            <w:r>
              <w:rPr>
                <w:spacing w:val="2"/>
                <w:sz w:val="16"/>
                <w:szCs w:val="16"/>
              </w:rPr>
              <w:t>执行率（B/A）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856" w:type="dxa"/>
            <w:vMerge w:val="restart"/>
            <w:tcBorders>
              <w:bottom w:val="nil"/>
            </w:tcBorders>
            <w:vAlign w:val="top"/>
          </w:tcPr>
          <w:p>
            <w:pPr>
              <w:pStyle w:val="38"/>
              <w:spacing w:before="105" w:line="234" w:lineRule="auto"/>
              <w:ind w:left="75" w:right="67"/>
              <w:jc w:val="both"/>
            </w:pPr>
            <w:r>
              <w:rPr>
                <w:spacing w:val="5"/>
              </w:rPr>
              <w:t>基层基本</w:t>
            </w:r>
            <w:r>
              <w:rPr>
                <w:spacing w:val="1"/>
              </w:rPr>
              <w:t xml:space="preserve"> </w:t>
            </w:r>
            <w:r>
              <w:rPr>
                <w:spacing w:val="5"/>
              </w:rPr>
              <w:t>公共卫生</w:t>
            </w:r>
            <w:r>
              <w:rPr>
                <w:spacing w:val="1"/>
              </w:rPr>
              <w:t xml:space="preserve"> </w:t>
            </w:r>
            <w:r>
              <w:rPr>
                <w:spacing w:val="5"/>
              </w:rPr>
              <w:t>服务项目</w:t>
            </w:r>
            <w:r>
              <w:rPr>
                <w:spacing w:val="1"/>
              </w:rPr>
              <w:t xml:space="preserve"> </w:t>
            </w:r>
            <w:r>
              <w:rPr>
                <w:spacing w:val="3"/>
              </w:rPr>
              <w:t>（12类）</w:t>
            </w:r>
          </w:p>
          <w:p>
            <w:pPr>
              <w:pStyle w:val="38"/>
              <w:spacing w:before="12" w:line="232" w:lineRule="auto"/>
              <w:ind w:left="256" w:right="60" w:hanging="173"/>
            </w:pPr>
            <w:r>
              <w:rPr>
                <w:spacing w:val="5"/>
              </w:rPr>
              <w:t>资金（万</w:t>
            </w:r>
            <w:r>
              <w:rPr>
                <w:spacing w:val="1"/>
              </w:rPr>
              <w:t xml:space="preserve"> </w:t>
            </w:r>
            <w:r>
              <w:rPr>
                <w:spacing w:val="-1"/>
              </w:rPr>
              <w:t>元）</w:t>
            </w:r>
          </w:p>
        </w:tc>
        <w:tc>
          <w:tcPr>
            <w:tcW w:w="2596" w:type="dxa"/>
            <w:gridSpan w:val="3"/>
            <w:vAlign w:val="top"/>
          </w:tcPr>
          <w:p>
            <w:pPr>
              <w:pStyle w:val="38"/>
              <w:spacing w:before="155" w:line="227" w:lineRule="auto"/>
              <w:ind w:left="718"/>
            </w:pPr>
            <w:r>
              <w:rPr>
                <w:spacing w:val="5"/>
              </w:rPr>
              <w:t>年度资金总额：</w:t>
            </w:r>
          </w:p>
        </w:tc>
        <w:tc>
          <w:tcPr>
            <w:tcW w:w="1148" w:type="dxa"/>
            <w:vAlign w:val="top"/>
          </w:tcPr>
          <w:p>
            <w:pPr>
              <w:pStyle w:val="38"/>
              <w:spacing w:before="185" w:line="186" w:lineRule="auto"/>
              <w:ind w:left="332"/>
              <w:rPr>
                <w:rFonts w:hint="default" w:eastAsia="宋体"/>
                <w:sz w:val="16"/>
                <w:szCs w:val="16"/>
                <w:lang w:val="en-US" w:eastAsia="zh-CN"/>
              </w:rPr>
            </w:pPr>
            <w:r>
              <w:rPr>
                <w:rFonts w:hint="eastAsia"/>
                <w:sz w:val="16"/>
                <w:szCs w:val="16"/>
                <w:lang w:val="en-US" w:eastAsia="zh-CN"/>
              </w:rPr>
              <w:t>24.57</w:t>
            </w:r>
          </w:p>
        </w:tc>
        <w:tc>
          <w:tcPr>
            <w:tcW w:w="2515" w:type="dxa"/>
            <w:gridSpan w:val="2"/>
            <w:vAlign w:val="top"/>
          </w:tcPr>
          <w:p>
            <w:pPr>
              <w:pStyle w:val="38"/>
              <w:spacing w:before="185" w:line="186" w:lineRule="auto"/>
              <w:ind w:left="900"/>
              <w:rPr>
                <w:rFonts w:hint="default" w:eastAsia="宋体"/>
                <w:sz w:val="16"/>
                <w:szCs w:val="16"/>
                <w:lang w:val="en-US" w:eastAsia="zh-CN"/>
              </w:rPr>
            </w:pPr>
            <w:r>
              <w:rPr>
                <w:rFonts w:hint="eastAsia"/>
                <w:sz w:val="16"/>
                <w:szCs w:val="16"/>
                <w:lang w:val="en-US" w:eastAsia="zh-CN"/>
              </w:rPr>
              <w:t>23.65</w:t>
            </w:r>
          </w:p>
        </w:tc>
        <w:tc>
          <w:tcPr>
            <w:tcW w:w="2654" w:type="dxa"/>
            <w:gridSpan w:val="2"/>
            <w:vAlign w:val="top"/>
          </w:tcPr>
          <w:p>
            <w:pPr>
              <w:pStyle w:val="38"/>
              <w:spacing w:before="160" w:line="210" w:lineRule="exact"/>
              <w:ind w:left="1215"/>
              <w:rPr>
                <w:sz w:val="16"/>
                <w:szCs w:val="16"/>
              </w:rPr>
            </w:pPr>
            <w:r>
              <w:rPr>
                <w:rFonts w:hint="eastAsia"/>
                <w:sz w:val="16"/>
                <w:szCs w:val="16"/>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56" w:type="dxa"/>
            <w:vMerge w:val="continue"/>
            <w:tcBorders>
              <w:top w:val="nil"/>
              <w:bottom w:val="nil"/>
            </w:tcBorders>
            <w:vAlign w:val="top"/>
          </w:tcPr>
          <w:p>
            <w:pPr>
              <w:rPr>
                <w:rFonts w:ascii="Arial"/>
                <w:sz w:val="21"/>
              </w:rPr>
            </w:pPr>
          </w:p>
        </w:tc>
        <w:tc>
          <w:tcPr>
            <w:tcW w:w="2596" w:type="dxa"/>
            <w:gridSpan w:val="3"/>
            <w:vAlign w:val="top"/>
          </w:tcPr>
          <w:p>
            <w:pPr>
              <w:pStyle w:val="38"/>
              <w:spacing w:before="80" w:line="227" w:lineRule="auto"/>
              <w:ind w:left="989"/>
            </w:pPr>
            <w:r>
              <w:rPr>
                <w:spacing w:val="1"/>
              </w:rPr>
              <w:t>其中：</w:t>
            </w:r>
            <w:r>
              <w:rPr>
                <w:spacing w:val="-41"/>
              </w:rPr>
              <w:t xml:space="preserve"> </w:t>
            </w:r>
            <w:r>
              <w:rPr>
                <w:spacing w:val="1"/>
              </w:rPr>
              <w:t>中央补助</w:t>
            </w:r>
          </w:p>
        </w:tc>
        <w:tc>
          <w:tcPr>
            <w:tcW w:w="1148" w:type="dxa"/>
            <w:vAlign w:val="top"/>
          </w:tcPr>
          <w:p>
            <w:pPr>
              <w:pStyle w:val="38"/>
              <w:spacing w:before="107" w:line="189" w:lineRule="auto"/>
              <w:ind w:left="312"/>
              <w:rPr>
                <w:rFonts w:hint="default" w:eastAsia="宋体"/>
                <w:lang w:val="en-US" w:eastAsia="zh-CN"/>
              </w:rPr>
            </w:pPr>
            <w:r>
              <w:rPr>
                <w:rFonts w:hint="eastAsia"/>
                <w:lang w:val="en-US" w:eastAsia="zh-CN"/>
              </w:rPr>
              <w:t>24.57</w:t>
            </w:r>
          </w:p>
        </w:tc>
        <w:tc>
          <w:tcPr>
            <w:tcW w:w="2515" w:type="dxa"/>
            <w:gridSpan w:val="2"/>
            <w:vAlign w:val="top"/>
          </w:tcPr>
          <w:p>
            <w:pPr>
              <w:pStyle w:val="38"/>
              <w:spacing w:before="109" w:line="186" w:lineRule="auto"/>
              <w:ind w:left="900"/>
              <w:rPr>
                <w:rFonts w:hint="default" w:eastAsia="宋体"/>
                <w:sz w:val="16"/>
                <w:szCs w:val="16"/>
                <w:lang w:val="en-US" w:eastAsia="zh-CN"/>
              </w:rPr>
            </w:pPr>
            <w:r>
              <w:rPr>
                <w:rFonts w:hint="eastAsia"/>
                <w:sz w:val="16"/>
                <w:szCs w:val="16"/>
                <w:lang w:val="en-US" w:eastAsia="zh-CN"/>
              </w:rPr>
              <w:t>23.65</w:t>
            </w:r>
          </w:p>
        </w:tc>
        <w:tc>
          <w:tcPr>
            <w:tcW w:w="2654" w:type="dxa"/>
            <w:gridSpan w:val="2"/>
            <w:vAlign w:val="top"/>
          </w:tcPr>
          <w:p>
            <w:pPr>
              <w:pStyle w:val="38"/>
              <w:spacing w:before="84" w:line="210" w:lineRule="exact"/>
              <w:ind w:left="1215"/>
              <w:rPr>
                <w:sz w:val="16"/>
                <w:szCs w:val="16"/>
              </w:rPr>
            </w:pPr>
            <w:r>
              <w:rPr>
                <w:rFonts w:hint="eastAsia"/>
                <w:sz w:val="16"/>
                <w:szCs w:val="16"/>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56" w:type="dxa"/>
            <w:vMerge w:val="continue"/>
            <w:tcBorders>
              <w:top w:val="nil"/>
              <w:bottom w:val="nil"/>
            </w:tcBorders>
            <w:vAlign w:val="top"/>
          </w:tcPr>
          <w:p>
            <w:pPr>
              <w:rPr>
                <w:rFonts w:ascii="Arial"/>
                <w:sz w:val="21"/>
              </w:rPr>
            </w:pPr>
          </w:p>
        </w:tc>
        <w:tc>
          <w:tcPr>
            <w:tcW w:w="2596" w:type="dxa"/>
            <w:gridSpan w:val="3"/>
            <w:vAlign w:val="top"/>
          </w:tcPr>
          <w:p>
            <w:pPr>
              <w:pStyle w:val="38"/>
              <w:spacing w:before="80" w:line="228" w:lineRule="auto"/>
              <w:ind w:left="1529"/>
            </w:pPr>
            <w:r>
              <w:rPr>
                <w:spacing w:val="5"/>
              </w:rPr>
              <w:t>地方资金</w:t>
            </w:r>
          </w:p>
        </w:tc>
        <w:tc>
          <w:tcPr>
            <w:tcW w:w="1148" w:type="dxa"/>
            <w:vAlign w:val="top"/>
          </w:tcPr>
          <w:p>
            <w:pPr>
              <w:rPr>
                <w:rFonts w:ascii="Arial"/>
                <w:sz w:val="21"/>
              </w:rPr>
            </w:pPr>
          </w:p>
        </w:tc>
        <w:tc>
          <w:tcPr>
            <w:tcW w:w="2515" w:type="dxa"/>
            <w:gridSpan w:val="2"/>
            <w:vAlign w:val="top"/>
          </w:tcPr>
          <w:p>
            <w:pPr>
              <w:rPr>
                <w:rFonts w:ascii="Arial"/>
                <w:sz w:val="21"/>
              </w:rPr>
            </w:pPr>
          </w:p>
        </w:tc>
        <w:tc>
          <w:tcPr>
            <w:tcW w:w="2654"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56" w:type="dxa"/>
            <w:vMerge w:val="continue"/>
            <w:tcBorders>
              <w:top w:val="nil"/>
            </w:tcBorders>
            <w:vAlign w:val="top"/>
          </w:tcPr>
          <w:p>
            <w:pPr>
              <w:rPr>
                <w:rFonts w:ascii="Arial"/>
                <w:sz w:val="21"/>
              </w:rPr>
            </w:pPr>
          </w:p>
        </w:tc>
        <w:tc>
          <w:tcPr>
            <w:tcW w:w="2596" w:type="dxa"/>
            <w:gridSpan w:val="3"/>
            <w:vAlign w:val="top"/>
          </w:tcPr>
          <w:p>
            <w:pPr>
              <w:pStyle w:val="38"/>
              <w:spacing w:before="80" w:line="227" w:lineRule="auto"/>
              <w:ind w:left="1529"/>
            </w:pPr>
            <w:r>
              <w:rPr>
                <w:spacing w:val="5"/>
              </w:rPr>
              <w:t>其他资金</w:t>
            </w:r>
          </w:p>
        </w:tc>
        <w:tc>
          <w:tcPr>
            <w:tcW w:w="1148" w:type="dxa"/>
            <w:vAlign w:val="top"/>
          </w:tcPr>
          <w:p>
            <w:pPr>
              <w:rPr>
                <w:rFonts w:ascii="Arial"/>
                <w:sz w:val="21"/>
              </w:rPr>
            </w:pPr>
          </w:p>
        </w:tc>
        <w:tc>
          <w:tcPr>
            <w:tcW w:w="2515" w:type="dxa"/>
            <w:gridSpan w:val="2"/>
            <w:vAlign w:val="top"/>
          </w:tcPr>
          <w:p>
            <w:pPr>
              <w:rPr>
                <w:rFonts w:ascii="Arial"/>
                <w:sz w:val="21"/>
              </w:rPr>
            </w:pPr>
          </w:p>
        </w:tc>
        <w:tc>
          <w:tcPr>
            <w:tcW w:w="2654"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56"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38"/>
              <w:spacing w:before="55" w:line="232" w:lineRule="auto"/>
              <w:ind w:left="165" w:right="155"/>
            </w:pPr>
            <w:r>
              <w:rPr>
                <w:spacing w:val="4"/>
              </w:rPr>
              <w:t>年度总</w:t>
            </w:r>
            <w:r>
              <w:rPr>
                <w:spacing w:val="1"/>
              </w:rPr>
              <w:t xml:space="preserve"> </w:t>
            </w:r>
            <w:r>
              <w:rPr>
                <w:spacing w:val="5"/>
              </w:rPr>
              <w:t>体目标</w:t>
            </w:r>
          </w:p>
        </w:tc>
        <w:tc>
          <w:tcPr>
            <w:tcW w:w="3744" w:type="dxa"/>
            <w:gridSpan w:val="4"/>
            <w:vAlign w:val="top"/>
          </w:tcPr>
          <w:p>
            <w:pPr>
              <w:pStyle w:val="38"/>
              <w:spacing w:before="80" w:line="227" w:lineRule="auto"/>
              <w:ind w:left="1337"/>
            </w:pPr>
            <w:r>
              <w:rPr>
                <w:spacing w:val="6"/>
              </w:rPr>
              <w:t>年初设定目标</w:t>
            </w:r>
          </w:p>
        </w:tc>
        <w:tc>
          <w:tcPr>
            <w:tcW w:w="5169" w:type="dxa"/>
            <w:gridSpan w:val="4"/>
            <w:vAlign w:val="top"/>
          </w:tcPr>
          <w:p>
            <w:pPr>
              <w:pStyle w:val="38"/>
              <w:spacing w:before="80" w:line="227" w:lineRule="auto"/>
              <w:ind w:left="2232"/>
            </w:pPr>
            <w:r>
              <w:rPr>
                <w:spacing w:val="5"/>
              </w:rPr>
              <w:t>年度目标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3" w:hRule="atLeast"/>
        </w:trPr>
        <w:tc>
          <w:tcPr>
            <w:tcW w:w="856" w:type="dxa"/>
            <w:vMerge w:val="continue"/>
            <w:tcBorders>
              <w:top w:val="nil"/>
            </w:tcBorders>
            <w:vAlign w:val="top"/>
          </w:tcPr>
          <w:p>
            <w:pPr>
              <w:rPr>
                <w:rFonts w:ascii="Arial"/>
                <w:sz w:val="21"/>
              </w:rPr>
            </w:pPr>
          </w:p>
        </w:tc>
        <w:tc>
          <w:tcPr>
            <w:tcW w:w="3744" w:type="dxa"/>
            <w:gridSpan w:val="4"/>
            <w:vAlign w:val="top"/>
          </w:tcPr>
          <w:p>
            <w:pPr>
              <w:pStyle w:val="38"/>
              <w:spacing w:before="38" w:line="234" w:lineRule="auto"/>
              <w:ind w:left="28" w:right="23" w:firstLine="2"/>
            </w:pPr>
            <w:r>
              <w:rPr>
                <w:spacing w:val="8"/>
              </w:rPr>
              <w:t>按照《国家基本公共卫生服务规范（2017年第</w:t>
            </w:r>
            <w:r>
              <w:rPr>
                <w:spacing w:val="4"/>
              </w:rPr>
              <w:t xml:space="preserve">  </w:t>
            </w:r>
            <w:r>
              <w:rPr>
                <w:spacing w:val="6"/>
              </w:rPr>
              <w:t>三版）》14大类的具体要求</w:t>
            </w:r>
            <w:r>
              <w:rPr>
                <w:spacing w:val="-36"/>
              </w:rPr>
              <w:t xml:space="preserve"> </w:t>
            </w:r>
            <w:r>
              <w:rPr>
                <w:spacing w:val="6"/>
              </w:rPr>
              <w:t>，规范开展</w:t>
            </w:r>
            <w:r>
              <w:rPr>
                <w:rFonts w:hint="eastAsia" w:eastAsia="宋体"/>
                <w:spacing w:val="6"/>
                <w:lang w:eastAsia="zh-CN"/>
              </w:rPr>
              <w:t>基本公共</w:t>
            </w:r>
            <w:r>
              <w:rPr>
                <w:spacing w:val="6"/>
              </w:rPr>
              <w:t>卫生服务工作</w:t>
            </w:r>
            <w:r>
              <w:rPr>
                <w:spacing w:val="-42"/>
              </w:rPr>
              <w:t xml:space="preserve"> </w:t>
            </w:r>
            <w:r>
              <w:rPr>
                <w:spacing w:val="6"/>
              </w:rPr>
              <w:t>，使我县公共卫生服务能力进</w:t>
            </w:r>
            <w:r>
              <w:t xml:space="preserve">  </w:t>
            </w:r>
            <w:r>
              <w:rPr>
                <w:spacing w:val="7"/>
              </w:rPr>
              <w:t>一步提高，居民健康档案</w:t>
            </w:r>
            <w:r>
              <w:rPr>
                <w:spacing w:val="-41"/>
              </w:rPr>
              <w:t xml:space="preserve"> </w:t>
            </w:r>
            <w:r>
              <w:rPr>
                <w:spacing w:val="7"/>
              </w:rPr>
              <w:t>、健康教育、预防接</w:t>
            </w:r>
            <w:r>
              <w:t xml:space="preserve">  </w:t>
            </w:r>
            <w:r>
              <w:rPr>
                <w:spacing w:val="6"/>
              </w:rPr>
              <w:t>种、传染病及突发公共卫生事件报告与处置</w:t>
            </w:r>
            <w:r>
              <w:rPr>
                <w:spacing w:val="-15"/>
              </w:rPr>
              <w:t xml:space="preserve"> </w:t>
            </w:r>
            <w:r>
              <w:rPr>
                <w:spacing w:val="6"/>
              </w:rPr>
              <w:t>、0</w:t>
            </w:r>
            <w:r>
              <w:t xml:space="preserve"> </w:t>
            </w:r>
            <w:r>
              <w:rPr>
                <w:spacing w:val="9"/>
              </w:rPr>
              <w:t>-2岁儿童健康管理</w:t>
            </w:r>
            <w:r>
              <w:rPr>
                <w:spacing w:val="-46"/>
              </w:rPr>
              <w:t xml:space="preserve"> </w:t>
            </w:r>
            <w:r>
              <w:rPr>
                <w:spacing w:val="9"/>
              </w:rPr>
              <w:t>、3-6岁儿童健康管理</w:t>
            </w:r>
            <w:r>
              <w:rPr>
                <w:spacing w:val="-48"/>
              </w:rPr>
              <w:t xml:space="preserve"> </w:t>
            </w:r>
            <w:r>
              <w:rPr>
                <w:spacing w:val="9"/>
              </w:rPr>
              <w:t>、孕</w:t>
            </w:r>
            <w:r>
              <w:t xml:space="preserve">  </w:t>
            </w:r>
            <w:r>
              <w:rPr>
                <w:spacing w:val="5"/>
              </w:rPr>
              <w:t>产妇健康管理</w:t>
            </w:r>
            <w:r>
              <w:rPr>
                <w:spacing w:val="-42"/>
              </w:rPr>
              <w:t xml:space="preserve"> </w:t>
            </w:r>
            <w:r>
              <w:rPr>
                <w:spacing w:val="5"/>
              </w:rPr>
              <w:t>、老年人健康管理</w:t>
            </w:r>
            <w:r>
              <w:rPr>
                <w:spacing w:val="-48"/>
              </w:rPr>
              <w:t xml:space="preserve"> </w:t>
            </w:r>
            <w:r>
              <w:rPr>
                <w:spacing w:val="5"/>
              </w:rPr>
              <w:t>、高血压患者</w:t>
            </w:r>
            <w:r>
              <w:t xml:space="preserve">  </w:t>
            </w:r>
            <w:r>
              <w:rPr>
                <w:spacing w:val="6"/>
              </w:rPr>
              <w:t>健康管理、2型糖尿病患者健康管理</w:t>
            </w:r>
            <w:r>
              <w:rPr>
                <w:spacing w:val="-26"/>
              </w:rPr>
              <w:t xml:space="preserve"> </w:t>
            </w:r>
            <w:r>
              <w:rPr>
                <w:spacing w:val="6"/>
              </w:rPr>
              <w:t>、严重精神</w:t>
            </w:r>
            <w:r>
              <w:t xml:space="preserve"> </w:t>
            </w:r>
            <w:r>
              <w:rPr>
                <w:spacing w:val="7"/>
              </w:rPr>
              <w:t>障碍患者健康管理</w:t>
            </w:r>
            <w:r>
              <w:rPr>
                <w:spacing w:val="-45"/>
              </w:rPr>
              <w:t xml:space="preserve"> </w:t>
            </w:r>
            <w:r>
              <w:rPr>
                <w:spacing w:val="7"/>
              </w:rPr>
              <w:t>、中医药管理、结核病管理</w:t>
            </w:r>
            <w:r>
              <w:t xml:space="preserve">  </w:t>
            </w:r>
            <w:r>
              <w:rPr>
                <w:spacing w:val="7"/>
              </w:rPr>
              <w:t>、卫生监督协管等工作</w:t>
            </w:r>
          </w:p>
        </w:tc>
        <w:tc>
          <w:tcPr>
            <w:tcW w:w="5169" w:type="dxa"/>
            <w:gridSpan w:val="4"/>
            <w:vAlign w:val="top"/>
          </w:tcPr>
          <w:p>
            <w:pPr>
              <w:pStyle w:val="38"/>
              <w:spacing w:before="40" w:line="236" w:lineRule="auto"/>
              <w:ind w:left="30" w:right="99" w:firstLine="2"/>
            </w:pPr>
            <w:r>
              <w:rPr>
                <w:spacing w:val="7"/>
              </w:rPr>
              <w:t>按照《国家基本公共卫生服务规范（2017年第三版）</w:t>
            </w:r>
            <w:r>
              <w:rPr>
                <w:spacing w:val="-40"/>
              </w:rPr>
              <w:t xml:space="preserve"> </w:t>
            </w:r>
            <w:r>
              <w:rPr>
                <w:spacing w:val="7"/>
              </w:rPr>
              <w:t>》14大类的</w:t>
            </w:r>
            <w:r>
              <w:t xml:space="preserve"> </w:t>
            </w:r>
            <w:r>
              <w:rPr>
                <w:spacing w:val="7"/>
              </w:rPr>
              <w:t>具体要求，规范开展基本公共卫生服务工作</w:t>
            </w:r>
            <w:r>
              <w:rPr>
                <w:spacing w:val="-29"/>
              </w:rPr>
              <w:t xml:space="preserve"> </w:t>
            </w:r>
            <w:r>
              <w:rPr>
                <w:spacing w:val="7"/>
              </w:rPr>
              <w:t>，使我县公共卫生服</w:t>
            </w:r>
            <w:r>
              <w:t xml:space="preserve"> </w:t>
            </w:r>
            <w:r>
              <w:rPr>
                <w:spacing w:val="7"/>
              </w:rPr>
              <w:t>务能力进一步提高</w:t>
            </w:r>
            <w:r>
              <w:rPr>
                <w:spacing w:val="-44"/>
              </w:rPr>
              <w:t xml:space="preserve"> </w:t>
            </w:r>
            <w:r>
              <w:rPr>
                <w:spacing w:val="7"/>
              </w:rPr>
              <w:t>，居民健康档案</w:t>
            </w:r>
            <w:r>
              <w:rPr>
                <w:spacing w:val="-50"/>
              </w:rPr>
              <w:t xml:space="preserve"> </w:t>
            </w:r>
            <w:r>
              <w:rPr>
                <w:spacing w:val="7"/>
              </w:rPr>
              <w:t>、健康教育、预防</w:t>
            </w:r>
            <w:r>
              <w:rPr>
                <w:spacing w:val="6"/>
              </w:rPr>
              <w:t>接种、传染</w:t>
            </w:r>
            <w:r>
              <w:t xml:space="preserve"> </w:t>
            </w:r>
            <w:r>
              <w:rPr>
                <w:spacing w:val="6"/>
              </w:rPr>
              <w:t>病及突发公共卫生事件报告与处置</w:t>
            </w:r>
            <w:r>
              <w:rPr>
                <w:spacing w:val="-29"/>
              </w:rPr>
              <w:t xml:space="preserve"> </w:t>
            </w:r>
            <w:r>
              <w:rPr>
                <w:spacing w:val="6"/>
              </w:rPr>
              <w:t>、0－2岁儿童健</w:t>
            </w:r>
            <w:r>
              <w:rPr>
                <w:spacing w:val="5"/>
              </w:rPr>
              <w:t>康管理</w:t>
            </w:r>
            <w:r>
              <w:rPr>
                <w:spacing w:val="-48"/>
              </w:rPr>
              <w:t xml:space="preserve"> </w:t>
            </w:r>
            <w:r>
              <w:rPr>
                <w:spacing w:val="5"/>
              </w:rPr>
              <w:t>、3-6</w:t>
            </w:r>
            <w:r>
              <w:t xml:space="preserve">  </w:t>
            </w:r>
            <w:r>
              <w:rPr>
                <w:spacing w:val="5"/>
              </w:rPr>
              <w:t>岁儿童健康管理</w:t>
            </w:r>
            <w:r>
              <w:rPr>
                <w:spacing w:val="-37"/>
              </w:rPr>
              <w:t xml:space="preserve"> </w:t>
            </w:r>
            <w:r>
              <w:rPr>
                <w:spacing w:val="5"/>
              </w:rPr>
              <w:t>、孕产妇健康管理</w:t>
            </w:r>
            <w:r>
              <w:rPr>
                <w:spacing w:val="-48"/>
              </w:rPr>
              <w:t xml:space="preserve"> </w:t>
            </w:r>
            <w:r>
              <w:rPr>
                <w:spacing w:val="5"/>
              </w:rPr>
              <w:t>、老年人健康管理</w:t>
            </w:r>
            <w:r>
              <w:rPr>
                <w:spacing w:val="-48"/>
              </w:rPr>
              <w:t xml:space="preserve"> </w:t>
            </w:r>
            <w:r>
              <w:rPr>
                <w:spacing w:val="5"/>
              </w:rPr>
              <w:t>、高血压患</w:t>
            </w:r>
            <w:r>
              <w:t xml:space="preserve"> </w:t>
            </w:r>
            <w:r>
              <w:rPr>
                <w:spacing w:val="7"/>
              </w:rPr>
              <w:t>者健康管理、2型糖尿病患者健康管理</w:t>
            </w:r>
            <w:r>
              <w:rPr>
                <w:spacing w:val="-38"/>
              </w:rPr>
              <w:t xml:space="preserve"> </w:t>
            </w:r>
            <w:r>
              <w:rPr>
                <w:spacing w:val="7"/>
              </w:rPr>
              <w:t>、严重精神障碍患者健康</w:t>
            </w:r>
            <w:r>
              <w:t xml:space="preserve">  </w:t>
            </w:r>
            <w:r>
              <w:rPr>
                <w:spacing w:val="8"/>
              </w:rPr>
              <w:t>管理、中医药管理、结核病管理、卫生监督协管等工作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56" w:type="dxa"/>
            <w:vMerge w:val="restart"/>
            <w:tcBorders>
              <w:bottom w:val="nil"/>
            </w:tcBorders>
            <w:vAlign w:val="top"/>
          </w:tcPr>
          <w:p>
            <w:pPr>
              <w:rPr>
                <w:rFonts w:ascii="Arial"/>
                <w:sz w:val="21"/>
              </w:rPr>
            </w:pPr>
          </w:p>
        </w:tc>
        <w:tc>
          <w:tcPr>
            <w:tcW w:w="393" w:type="dxa"/>
            <w:vAlign w:val="top"/>
          </w:tcPr>
          <w:p>
            <w:pPr>
              <w:pStyle w:val="38"/>
              <w:spacing w:before="51" w:line="236" w:lineRule="auto"/>
              <w:ind w:left="53" w:right="40"/>
              <w:rPr>
                <w:sz w:val="14"/>
                <w:szCs w:val="14"/>
              </w:rPr>
            </w:pPr>
            <w:r>
              <w:rPr>
                <w:spacing w:val="3"/>
                <w:sz w:val="14"/>
                <w:szCs w:val="14"/>
              </w:rPr>
              <w:t>一级</w:t>
            </w:r>
            <w:r>
              <w:rPr>
                <w:sz w:val="14"/>
                <w:szCs w:val="14"/>
              </w:rPr>
              <w:t xml:space="preserve"> </w:t>
            </w:r>
            <w:r>
              <w:rPr>
                <w:spacing w:val="4"/>
                <w:sz w:val="14"/>
                <w:szCs w:val="14"/>
              </w:rPr>
              <w:t>指标</w:t>
            </w:r>
          </w:p>
        </w:tc>
        <w:tc>
          <w:tcPr>
            <w:tcW w:w="858" w:type="dxa"/>
            <w:vAlign w:val="top"/>
          </w:tcPr>
          <w:p>
            <w:pPr>
              <w:pStyle w:val="38"/>
              <w:spacing w:before="133" w:line="227" w:lineRule="auto"/>
              <w:ind w:left="75"/>
            </w:pPr>
            <w:r>
              <w:rPr>
                <w:spacing w:val="4"/>
              </w:rPr>
              <w:t>二级指标</w:t>
            </w:r>
          </w:p>
        </w:tc>
        <w:tc>
          <w:tcPr>
            <w:tcW w:w="2493" w:type="dxa"/>
            <w:gridSpan w:val="2"/>
            <w:vAlign w:val="top"/>
          </w:tcPr>
          <w:p>
            <w:pPr>
              <w:pStyle w:val="38"/>
              <w:spacing w:before="133" w:line="227" w:lineRule="auto"/>
              <w:ind w:left="892"/>
            </w:pPr>
            <w:r>
              <w:rPr>
                <w:spacing w:val="5"/>
              </w:rPr>
              <w:t>三级指标</w:t>
            </w:r>
          </w:p>
        </w:tc>
        <w:tc>
          <w:tcPr>
            <w:tcW w:w="1470" w:type="dxa"/>
            <w:vAlign w:val="top"/>
          </w:tcPr>
          <w:p>
            <w:pPr>
              <w:pStyle w:val="38"/>
              <w:spacing w:before="133" w:line="227" w:lineRule="auto"/>
              <w:ind w:left="384"/>
            </w:pPr>
            <w:r>
              <w:rPr>
                <w:spacing w:val="5"/>
              </w:rPr>
              <w:t>年度指标</w:t>
            </w:r>
          </w:p>
        </w:tc>
        <w:tc>
          <w:tcPr>
            <w:tcW w:w="2069" w:type="dxa"/>
            <w:gridSpan w:val="2"/>
            <w:vAlign w:val="top"/>
          </w:tcPr>
          <w:p>
            <w:pPr>
              <w:pStyle w:val="38"/>
              <w:spacing w:before="133" w:line="227" w:lineRule="auto"/>
              <w:ind w:left="596"/>
            </w:pPr>
            <w:r>
              <w:rPr>
                <w:spacing w:val="6"/>
              </w:rPr>
              <w:t>全年完成值</w:t>
            </w:r>
          </w:p>
        </w:tc>
        <w:tc>
          <w:tcPr>
            <w:tcW w:w="1630" w:type="dxa"/>
            <w:vAlign w:val="top"/>
          </w:tcPr>
          <w:p>
            <w:pPr>
              <w:pStyle w:val="38"/>
              <w:spacing w:before="27" w:line="207" w:lineRule="auto"/>
              <w:ind w:left="644" w:right="102" w:hanging="537"/>
            </w:pPr>
            <w:r>
              <w:rPr>
                <w:spacing w:val="6"/>
              </w:rPr>
              <w:t>未完成原因和改进</w:t>
            </w:r>
            <w:r>
              <w:rPr>
                <w:spacing w:val="1"/>
              </w:rPr>
              <w:t xml:space="preserve"> </w:t>
            </w:r>
            <w:r>
              <w:rPr>
                <w:spacing w:val="3"/>
              </w:rPr>
              <w:t>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856" w:type="dxa"/>
            <w:vMerge w:val="continue"/>
            <w:tcBorders>
              <w:top w:val="nil"/>
              <w:bottom w:val="nil"/>
            </w:tcBorders>
            <w:vAlign w:val="top"/>
          </w:tcPr>
          <w:p>
            <w:pPr>
              <w:rPr>
                <w:rFonts w:ascii="Arial"/>
                <w:sz w:val="21"/>
              </w:rPr>
            </w:pPr>
          </w:p>
        </w:tc>
        <w:tc>
          <w:tcPr>
            <w:tcW w:w="393" w:type="dxa"/>
            <w:vMerge w:val="restart"/>
            <w:tcBorders>
              <w:bottom w:val="nil"/>
            </w:tcBorders>
            <w:vAlign w:val="top"/>
          </w:tcPr>
          <w:p>
            <w:pPr>
              <w:rPr>
                <w:rFonts w:ascii="Arial"/>
                <w:sz w:val="21"/>
              </w:rPr>
            </w:pPr>
          </w:p>
        </w:tc>
        <w:tc>
          <w:tcPr>
            <w:tcW w:w="858"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38"/>
              <w:spacing w:before="55" w:line="227" w:lineRule="auto"/>
              <w:ind w:left="74"/>
            </w:pPr>
            <w:r>
              <w:rPr>
                <w:spacing w:val="5"/>
              </w:rPr>
              <w:t>数量指标</w:t>
            </w:r>
          </w:p>
        </w:tc>
        <w:tc>
          <w:tcPr>
            <w:tcW w:w="2493" w:type="dxa"/>
            <w:gridSpan w:val="2"/>
            <w:vAlign w:val="top"/>
          </w:tcPr>
          <w:p>
            <w:pPr>
              <w:spacing w:line="268" w:lineRule="auto"/>
              <w:rPr>
                <w:rFonts w:ascii="Arial"/>
                <w:sz w:val="21"/>
              </w:rPr>
            </w:pPr>
          </w:p>
          <w:p>
            <w:pPr>
              <w:pStyle w:val="38"/>
              <w:spacing w:before="56" w:line="227" w:lineRule="auto"/>
              <w:ind w:left="308"/>
            </w:pPr>
            <w:r>
              <w:rPr>
                <w:spacing w:val="6"/>
              </w:rPr>
              <w:t>健康档案建档数</w:t>
            </w:r>
            <w:r>
              <w:rPr>
                <w:rFonts w:hint="eastAsia"/>
                <w:spacing w:val="6"/>
                <w:lang w:val="en-US" w:eastAsia="zh-CN"/>
              </w:rPr>
              <w:t>3214</w:t>
            </w:r>
            <w:r>
              <w:rPr>
                <w:spacing w:val="6"/>
              </w:rPr>
              <w:t>。</w:t>
            </w:r>
          </w:p>
        </w:tc>
        <w:tc>
          <w:tcPr>
            <w:tcW w:w="1470" w:type="dxa"/>
            <w:vAlign w:val="top"/>
          </w:tcPr>
          <w:p>
            <w:pPr>
              <w:pStyle w:val="38"/>
              <w:spacing w:before="216" w:line="242" w:lineRule="auto"/>
              <w:ind w:left="31" w:right="193"/>
            </w:pPr>
            <w:r>
              <w:rPr>
                <w:spacing w:val="6"/>
              </w:rPr>
              <w:t>健康档案建档率</w:t>
            </w:r>
            <w:r>
              <w:rPr>
                <w:spacing w:val="2"/>
              </w:rPr>
              <w:t xml:space="preserve"> 99.01%。</w:t>
            </w:r>
          </w:p>
        </w:tc>
        <w:tc>
          <w:tcPr>
            <w:tcW w:w="2069" w:type="dxa"/>
            <w:gridSpan w:val="2"/>
            <w:vAlign w:val="top"/>
          </w:tcPr>
          <w:p>
            <w:pPr>
              <w:pStyle w:val="38"/>
              <w:spacing w:before="215" w:line="243" w:lineRule="auto"/>
              <w:ind w:left="35" w:right="188"/>
            </w:pPr>
            <w:r>
              <w:rPr>
                <w:spacing w:val="3"/>
              </w:rPr>
              <w:t>健康档案建档数</w:t>
            </w:r>
            <w:r>
              <w:rPr>
                <w:rFonts w:hint="eastAsia"/>
                <w:spacing w:val="3"/>
                <w:lang w:val="en-US" w:eastAsia="zh-CN"/>
              </w:rPr>
              <w:t>3214</w:t>
            </w:r>
            <w:r>
              <w:rPr>
                <w:spacing w:val="3"/>
              </w:rPr>
              <w:t>，</w:t>
            </w:r>
            <w:r>
              <w:rPr>
                <w:spacing w:val="10"/>
              </w:rPr>
              <w:t xml:space="preserve"> </w:t>
            </w:r>
            <w:r>
              <w:rPr>
                <w:spacing w:val="2"/>
              </w:rPr>
              <w:t>97.47%</w:t>
            </w:r>
          </w:p>
        </w:tc>
        <w:tc>
          <w:tcPr>
            <w:tcW w:w="1630" w:type="dxa"/>
            <w:vAlign w:val="top"/>
          </w:tcPr>
          <w:p>
            <w:pPr>
              <w:spacing w:line="268" w:lineRule="auto"/>
              <w:rPr>
                <w:rFonts w:ascii="Arial"/>
                <w:sz w:val="21"/>
              </w:rPr>
            </w:pPr>
          </w:p>
          <w:p>
            <w:pPr>
              <w:pStyle w:val="38"/>
              <w:spacing w:before="56" w:line="227" w:lineRule="auto"/>
              <w:ind w:left="35"/>
            </w:pPr>
            <w:r>
              <w:rPr>
                <w:spacing w:val="6"/>
              </w:rPr>
              <w:t>稳定提高使用率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1" w:hRule="atLeast"/>
        </w:trPr>
        <w:tc>
          <w:tcPr>
            <w:tcW w:w="856" w:type="dxa"/>
            <w:vMerge w:val="continue"/>
            <w:tcBorders>
              <w:top w:val="nil"/>
              <w:bottom w:val="nil"/>
            </w:tcBorders>
            <w:vAlign w:val="top"/>
          </w:tcPr>
          <w:p>
            <w:pPr>
              <w:rPr>
                <w:rFonts w:ascii="Arial"/>
                <w:sz w:val="21"/>
              </w:rPr>
            </w:pPr>
          </w:p>
        </w:tc>
        <w:tc>
          <w:tcPr>
            <w:tcW w:w="393" w:type="dxa"/>
            <w:vMerge w:val="continue"/>
            <w:tcBorders>
              <w:top w:val="nil"/>
              <w:bottom w:val="nil"/>
            </w:tcBorders>
            <w:vAlign w:val="top"/>
          </w:tcPr>
          <w:p>
            <w:pPr>
              <w:rPr>
                <w:rFonts w:ascii="Arial"/>
                <w:sz w:val="21"/>
              </w:rPr>
            </w:pPr>
          </w:p>
        </w:tc>
        <w:tc>
          <w:tcPr>
            <w:tcW w:w="858" w:type="dxa"/>
            <w:vMerge w:val="continue"/>
            <w:tcBorders>
              <w:top w:val="nil"/>
              <w:bottom w:val="nil"/>
            </w:tcBorders>
            <w:vAlign w:val="top"/>
          </w:tcPr>
          <w:p>
            <w:pPr>
              <w:rPr>
                <w:rFonts w:ascii="Arial"/>
                <w:sz w:val="21"/>
              </w:rPr>
            </w:pPr>
          </w:p>
        </w:tc>
        <w:tc>
          <w:tcPr>
            <w:tcW w:w="2493" w:type="dxa"/>
            <w:gridSpan w:val="2"/>
            <w:vAlign w:val="top"/>
          </w:tcPr>
          <w:p>
            <w:pPr>
              <w:spacing w:line="369" w:lineRule="auto"/>
              <w:rPr>
                <w:rFonts w:ascii="Arial"/>
                <w:sz w:val="21"/>
              </w:rPr>
            </w:pPr>
          </w:p>
          <w:p>
            <w:pPr>
              <w:pStyle w:val="38"/>
              <w:spacing w:before="56" w:line="226" w:lineRule="auto"/>
              <w:ind w:left="83"/>
            </w:pPr>
            <w:r>
              <w:rPr>
                <w:spacing w:val="7"/>
              </w:rPr>
              <w:t>健康教育设置健康教育宣传栏</w:t>
            </w:r>
          </w:p>
          <w:p>
            <w:pPr>
              <w:pStyle w:val="38"/>
              <w:spacing w:before="13" w:line="226" w:lineRule="auto"/>
              <w:ind w:left="40"/>
            </w:pPr>
            <w:r>
              <w:rPr>
                <w:rFonts w:hint="eastAsia"/>
                <w:spacing w:val="6"/>
                <w:lang w:val="en-US" w:eastAsia="zh-CN"/>
              </w:rPr>
              <w:t>12</w:t>
            </w:r>
            <w:r>
              <w:rPr>
                <w:spacing w:val="6"/>
              </w:rPr>
              <w:t>期，健康教育咨询活动举办</w:t>
            </w:r>
          </w:p>
          <w:p>
            <w:pPr>
              <w:pStyle w:val="38"/>
              <w:spacing w:before="9" w:line="227" w:lineRule="auto"/>
              <w:ind w:left="96"/>
              <w:rPr>
                <w:rFonts w:hint="default" w:eastAsia="宋体"/>
                <w:lang w:val="en-US" w:eastAsia="zh-CN"/>
              </w:rPr>
            </w:pPr>
            <w:r>
              <w:rPr>
                <w:rFonts w:hint="eastAsia"/>
                <w:spacing w:val="6"/>
                <w:lang w:val="en-US" w:eastAsia="zh-CN"/>
              </w:rPr>
              <w:t>12</w:t>
            </w:r>
            <w:r>
              <w:rPr>
                <w:spacing w:val="6"/>
              </w:rPr>
              <w:t>次，健康教育讲座开展</w:t>
            </w:r>
            <w:r>
              <w:rPr>
                <w:rFonts w:hint="eastAsia"/>
                <w:spacing w:val="6"/>
                <w:lang w:val="en-US" w:eastAsia="zh-CN"/>
              </w:rPr>
              <w:t>12</w:t>
            </w:r>
          </w:p>
          <w:p>
            <w:pPr>
              <w:pStyle w:val="38"/>
              <w:spacing w:before="9" w:line="227" w:lineRule="auto"/>
              <w:ind w:left="1167"/>
            </w:pPr>
            <w:r>
              <w:t>次</w:t>
            </w:r>
          </w:p>
        </w:tc>
        <w:tc>
          <w:tcPr>
            <w:tcW w:w="1470" w:type="dxa"/>
            <w:vAlign w:val="top"/>
          </w:tcPr>
          <w:p>
            <w:pPr>
              <w:pStyle w:val="38"/>
              <w:spacing w:before="209" w:line="235" w:lineRule="auto"/>
              <w:ind w:left="30" w:right="89" w:firstLine="1"/>
            </w:pPr>
            <w:r>
              <w:rPr>
                <w:spacing w:val="6"/>
              </w:rPr>
              <w:t>健康教育设置健</w:t>
            </w:r>
            <w:r>
              <w:rPr>
                <w:spacing w:val="1"/>
              </w:rPr>
              <w:t xml:space="preserve">  </w:t>
            </w:r>
            <w:r>
              <w:rPr>
                <w:spacing w:val="7"/>
              </w:rPr>
              <w:t>康教育宣传栏</w:t>
            </w:r>
            <w:r>
              <w:rPr>
                <w:rFonts w:hint="eastAsia"/>
                <w:spacing w:val="7"/>
                <w:lang w:val="en-US" w:eastAsia="zh-CN"/>
              </w:rPr>
              <w:t>12</w:t>
            </w:r>
            <w:r>
              <w:rPr>
                <w:spacing w:val="1"/>
              </w:rPr>
              <w:t xml:space="preserve"> </w:t>
            </w:r>
            <w:r>
              <w:rPr>
                <w:spacing w:val="7"/>
              </w:rPr>
              <w:t>期，健康教育宣</w:t>
            </w:r>
            <w:r>
              <w:t xml:space="preserve">  </w:t>
            </w:r>
            <w:r>
              <w:rPr>
                <w:spacing w:val="6"/>
              </w:rPr>
              <w:t>传活动举办</w:t>
            </w:r>
          </w:p>
          <w:p>
            <w:pPr>
              <w:pStyle w:val="38"/>
              <w:spacing w:before="9" w:line="232" w:lineRule="auto"/>
              <w:ind w:left="31" w:right="95" w:firstLine="13"/>
            </w:pPr>
            <w:r>
              <w:rPr>
                <w:rFonts w:hint="eastAsia"/>
                <w:spacing w:val="5"/>
                <w:lang w:val="en-US" w:eastAsia="zh-CN"/>
              </w:rPr>
              <w:t>12</w:t>
            </w:r>
            <w:r>
              <w:rPr>
                <w:spacing w:val="5"/>
              </w:rPr>
              <w:t>次，健康教育</w:t>
            </w:r>
            <w:r>
              <w:t xml:space="preserve"> </w:t>
            </w:r>
            <w:r>
              <w:rPr>
                <w:spacing w:val="6"/>
              </w:rPr>
              <w:t>讲座开展</w:t>
            </w:r>
            <w:r>
              <w:rPr>
                <w:rFonts w:hint="eastAsia"/>
                <w:spacing w:val="6"/>
                <w:lang w:val="en-US" w:eastAsia="zh-CN"/>
              </w:rPr>
              <w:t>12</w:t>
            </w:r>
            <w:r>
              <w:rPr>
                <w:spacing w:val="6"/>
              </w:rPr>
              <w:t>次</w:t>
            </w:r>
          </w:p>
        </w:tc>
        <w:tc>
          <w:tcPr>
            <w:tcW w:w="2069" w:type="dxa"/>
            <w:gridSpan w:val="2"/>
            <w:vAlign w:val="top"/>
          </w:tcPr>
          <w:p>
            <w:pPr>
              <w:spacing w:line="260" w:lineRule="auto"/>
              <w:rPr>
                <w:rFonts w:ascii="Arial"/>
                <w:sz w:val="21"/>
              </w:rPr>
            </w:pPr>
          </w:p>
          <w:p>
            <w:pPr>
              <w:pStyle w:val="38"/>
              <w:spacing w:before="55" w:line="236" w:lineRule="auto"/>
              <w:ind w:left="34" w:right="144" w:firstLine="2"/>
            </w:pPr>
            <w:r>
              <w:rPr>
                <w:spacing w:val="6"/>
              </w:rPr>
              <w:t>指标2：健康教育设置健</w:t>
            </w:r>
            <w:r>
              <w:rPr>
                <w:spacing w:val="9"/>
              </w:rPr>
              <w:t xml:space="preserve"> </w:t>
            </w:r>
            <w:r>
              <w:rPr>
                <w:spacing w:val="7"/>
              </w:rPr>
              <w:t>康教育宣传栏</w:t>
            </w:r>
            <w:r>
              <w:rPr>
                <w:rFonts w:hint="eastAsia"/>
                <w:spacing w:val="7"/>
                <w:lang w:val="en-US" w:eastAsia="zh-CN"/>
              </w:rPr>
              <w:t>12</w:t>
            </w:r>
            <w:r>
              <w:rPr>
                <w:spacing w:val="7"/>
              </w:rPr>
              <w:t>期，健</w:t>
            </w:r>
            <w:r>
              <w:rPr>
                <w:spacing w:val="9"/>
              </w:rPr>
              <w:t xml:space="preserve"> </w:t>
            </w:r>
            <w:r>
              <w:rPr>
                <w:spacing w:val="4"/>
              </w:rPr>
              <w:t>康教育咨询活动举办</w:t>
            </w:r>
            <w:r>
              <w:rPr>
                <w:spacing w:val="-40"/>
              </w:rPr>
              <w:t xml:space="preserve"> </w:t>
            </w:r>
            <w:r>
              <w:rPr>
                <w:rFonts w:hint="eastAsia"/>
                <w:spacing w:val="4"/>
                <w:lang w:val="en-US" w:eastAsia="zh-CN"/>
              </w:rPr>
              <w:t>12</w:t>
            </w:r>
            <w:r>
              <w:rPr>
                <w:spacing w:val="7"/>
              </w:rPr>
              <w:t>次，健康教育讲座开展</w:t>
            </w:r>
            <w:r>
              <w:rPr>
                <w:spacing w:val="1"/>
              </w:rPr>
              <w:t xml:space="preserve">  </w:t>
            </w:r>
            <w:r>
              <w:rPr>
                <w:rFonts w:hint="eastAsia"/>
                <w:spacing w:val="3"/>
                <w:lang w:val="en-US" w:eastAsia="zh-CN"/>
              </w:rPr>
              <w:t>12</w:t>
            </w:r>
            <w:r>
              <w:rPr>
                <w:spacing w:val="3"/>
              </w:rPr>
              <w:t>次</w:t>
            </w:r>
          </w:p>
        </w:tc>
        <w:tc>
          <w:tcPr>
            <w:tcW w:w="1630" w:type="dxa"/>
            <w:vAlign w:val="top"/>
          </w:tcPr>
          <w:p>
            <w:pPr>
              <w:spacing w:line="478" w:lineRule="auto"/>
              <w:rPr>
                <w:rFonts w:ascii="Arial"/>
                <w:sz w:val="21"/>
              </w:rPr>
            </w:pPr>
          </w:p>
          <w:p>
            <w:pPr>
              <w:pStyle w:val="38"/>
              <w:spacing w:before="56" w:line="234" w:lineRule="auto"/>
              <w:ind w:left="36" w:right="162" w:hanging="2"/>
              <w:jc w:val="both"/>
            </w:pPr>
            <w:r>
              <w:rPr>
                <w:spacing w:val="6"/>
              </w:rPr>
              <w:t>加强健康教育讲座</w:t>
            </w:r>
            <w:r>
              <w:rPr>
                <w:spacing w:val="4"/>
              </w:rPr>
              <w:t xml:space="preserve"> </w:t>
            </w:r>
            <w:r>
              <w:rPr>
                <w:spacing w:val="7"/>
              </w:rPr>
              <w:t>的开展，全年完成</w:t>
            </w:r>
            <w:r>
              <w:rPr>
                <w:spacing w:val="3"/>
              </w:rPr>
              <w:t xml:space="preserve"> </w:t>
            </w:r>
            <w:r>
              <w:rPr>
                <w:rFonts w:hint="eastAsia"/>
                <w:spacing w:val="3"/>
                <w:lang w:val="en-US" w:eastAsia="zh-CN"/>
              </w:rPr>
              <w:t>12</w:t>
            </w:r>
            <w:r>
              <w:rPr>
                <w:spacing w:val="3"/>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856" w:type="dxa"/>
            <w:vMerge w:val="continue"/>
            <w:tcBorders>
              <w:top w:val="nil"/>
              <w:bottom w:val="nil"/>
            </w:tcBorders>
            <w:vAlign w:val="top"/>
          </w:tcPr>
          <w:p>
            <w:pPr>
              <w:rPr>
                <w:rFonts w:ascii="Arial"/>
                <w:sz w:val="21"/>
              </w:rPr>
            </w:pPr>
          </w:p>
        </w:tc>
        <w:tc>
          <w:tcPr>
            <w:tcW w:w="393" w:type="dxa"/>
            <w:vMerge w:val="continue"/>
            <w:tcBorders>
              <w:top w:val="nil"/>
              <w:bottom w:val="nil"/>
            </w:tcBorders>
            <w:vAlign w:val="top"/>
          </w:tcPr>
          <w:p>
            <w:pPr>
              <w:rPr>
                <w:rFonts w:ascii="Arial"/>
                <w:sz w:val="21"/>
              </w:rPr>
            </w:pPr>
          </w:p>
        </w:tc>
        <w:tc>
          <w:tcPr>
            <w:tcW w:w="858" w:type="dxa"/>
            <w:vMerge w:val="continue"/>
            <w:tcBorders>
              <w:top w:val="nil"/>
              <w:bottom w:val="nil"/>
            </w:tcBorders>
            <w:vAlign w:val="top"/>
          </w:tcPr>
          <w:p>
            <w:pPr>
              <w:rPr>
                <w:rFonts w:ascii="Arial"/>
                <w:sz w:val="21"/>
              </w:rPr>
            </w:pPr>
          </w:p>
        </w:tc>
        <w:tc>
          <w:tcPr>
            <w:tcW w:w="2493" w:type="dxa"/>
            <w:gridSpan w:val="2"/>
            <w:vAlign w:val="top"/>
          </w:tcPr>
          <w:p>
            <w:pPr>
              <w:spacing w:line="296" w:lineRule="auto"/>
              <w:rPr>
                <w:rFonts w:ascii="Arial"/>
                <w:sz w:val="21"/>
              </w:rPr>
            </w:pPr>
          </w:p>
          <w:p>
            <w:pPr>
              <w:pStyle w:val="38"/>
              <w:spacing w:before="56" w:line="234" w:lineRule="auto"/>
              <w:ind w:left="1092" w:right="25" w:hanging="1063"/>
            </w:pPr>
            <w:r>
              <w:rPr>
                <w:spacing w:val="6"/>
              </w:rPr>
              <w:t>“五苗</w:t>
            </w:r>
            <w:r>
              <w:rPr>
                <w:spacing w:val="-43"/>
              </w:rPr>
              <w:t xml:space="preserve"> </w:t>
            </w:r>
            <w:r>
              <w:rPr>
                <w:spacing w:val="6"/>
              </w:rPr>
              <w:t>”单苗接种率均达到90%</w:t>
            </w:r>
            <w:r>
              <w:t xml:space="preserve"> </w:t>
            </w:r>
            <w:r>
              <w:rPr>
                <w:spacing w:val="-7"/>
              </w:rPr>
              <w:t>以上</w:t>
            </w:r>
          </w:p>
        </w:tc>
        <w:tc>
          <w:tcPr>
            <w:tcW w:w="1470" w:type="dxa"/>
            <w:vAlign w:val="top"/>
          </w:tcPr>
          <w:p>
            <w:pPr>
              <w:pStyle w:val="38"/>
              <w:spacing w:before="244" w:line="239" w:lineRule="auto"/>
              <w:ind w:left="30" w:right="87" w:hanging="8"/>
              <w:jc w:val="both"/>
            </w:pPr>
            <w:r>
              <w:rPr>
                <w:spacing w:val="5"/>
              </w:rPr>
              <w:t>“五苗</w:t>
            </w:r>
            <w:r>
              <w:rPr>
                <w:spacing w:val="-56"/>
              </w:rPr>
              <w:t xml:space="preserve"> </w:t>
            </w:r>
            <w:r>
              <w:rPr>
                <w:spacing w:val="5"/>
              </w:rPr>
              <w:t>”单苗接</w:t>
            </w:r>
            <w:r>
              <w:t xml:space="preserve">  </w:t>
            </w:r>
            <w:r>
              <w:rPr>
                <w:spacing w:val="7"/>
              </w:rPr>
              <w:t>种率均达到90%以</w:t>
            </w:r>
            <w:r>
              <w:rPr>
                <w:spacing w:val="1"/>
              </w:rPr>
              <w:t xml:space="preserve"> </w:t>
            </w:r>
            <w:r>
              <w:t>上</w:t>
            </w:r>
          </w:p>
        </w:tc>
        <w:tc>
          <w:tcPr>
            <w:tcW w:w="2069" w:type="dxa"/>
            <w:gridSpan w:val="2"/>
            <w:vAlign w:val="top"/>
          </w:tcPr>
          <w:p>
            <w:pPr>
              <w:spacing w:line="296" w:lineRule="auto"/>
              <w:rPr>
                <w:rFonts w:ascii="Arial"/>
                <w:sz w:val="21"/>
              </w:rPr>
            </w:pPr>
          </w:p>
          <w:p>
            <w:pPr>
              <w:pStyle w:val="38"/>
              <w:spacing w:before="56" w:line="233" w:lineRule="auto"/>
              <w:ind w:left="644" w:right="47" w:hanging="597"/>
            </w:pPr>
            <w:r>
              <w:rPr>
                <w:spacing w:val="5"/>
              </w:rPr>
              <w:t>“五苗</w:t>
            </w:r>
            <w:r>
              <w:rPr>
                <w:spacing w:val="-47"/>
              </w:rPr>
              <w:t xml:space="preserve"> </w:t>
            </w:r>
            <w:r>
              <w:rPr>
                <w:spacing w:val="5"/>
              </w:rPr>
              <w:t>”单苗接种率均达</w:t>
            </w:r>
            <w:r>
              <w:t xml:space="preserve"> </w:t>
            </w:r>
            <w:r>
              <w:rPr>
                <w:spacing w:val="4"/>
              </w:rPr>
              <w:t>到90%以上</w:t>
            </w:r>
          </w:p>
        </w:tc>
        <w:tc>
          <w:tcPr>
            <w:tcW w:w="163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856" w:type="dxa"/>
            <w:vMerge w:val="continue"/>
            <w:tcBorders>
              <w:top w:val="nil"/>
              <w:bottom w:val="nil"/>
            </w:tcBorders>
            <w:vAlign w:val="top"/>
          </w:tcPr>
          <w:p>
            <w:pPr>
              <w:rPr>
                <w:rFonts w:ascii="Arial"/>
                <w:sz w:val="21"/>
              </w:rPr>
            </w:pPr>
          </w:p>
        </w:tc>
        <w:tc>
          <w:tcPr>
            <w:tcW w:w="393" w:type="dxa"/>
            <w:vMerge w:val="continue"/>
            <w:tcBorders>
              <w:top w:val="nil"/>
              <w:bottom w:val="nil"/>
            </w:tcBorders>
            <w:vAlign w:val="top"/>
          </w:tcPr>
          <w:p>
            <w:pPr>
              <w:rPr>
                <w:rFonts w:ascii="Arial"/>
                <w:sz w:val="21"/>
              </w:rPr>
            </w:pPr>
          </w:p>
        </w:tc>
        <w:tc>
          <w:tcPr>
            <w:tcW w:w="858" w:type="dxa"/>
            <w:vMerge w:val="continue"/>
            <w:tcBorders>
              <w:top w:val="nil"/>
              <w:bottom w:val="nil"/>
            </w:tcBorders>
            <w:vAlign w:val="top"/>
          </w:tcPr>
          <w:p>
            <w:pPr>
              <w:rPr>
                <w:rFonts w:ascii="Arial"/>
                <w:sz w:val="21"/>
              </w:rPr>
            </w:pPr>
          </w:p>
        </w:tc>
        <w:tc>
          <w:tcPr>
            <w:tcW w:w="2493" w:type="dxa"/>
            <w:gridSpan w:val="2"/>
            <w:vAlign w:val="top"/>
          </w:tcPr>
          <w:p>
            <w:pPr>
              <w:spacing w:line="296" w:lineRule="auto"/>
              <w:rPr>
                <w:rFonts w:ascii="Arial"/>
                <w:sz w:val="21"/>
              </w:rPr>
            </w:pPr>
          </w:p>
          <w:p>
            <w:pPr>
              <w:pStyle w:val="38"/>
              <w:spacing w:before="55" w:line="225" w:lineRule="auto"/>
              <w:ind w:left="36"/>
            </w:pPr>
            <w:r>
              <w:rPr>
                <w:spacing w:val="7"/>
              </w:rPr>
              <w:t>传染病报告发病率</w:t>
            </w:r>
            <w:r>
              <w:rPr>
                <w:rFonts w:hint="eastAsia"/>
                <w:spacing w:val="7"/>
                <w:lang w:val="en-US" w:eastAsia="zh-CN"/>
              </w:rPr>
              <w:t>0</w:t>
            </w:r>
          </w:p>
        </w:tc>
        <w:tc>
          <w:tcPr>
            <w:tcW w:w="1470" w:type="dxa"/>
            <w:vAlign w:val="top"/>
          </w:tcPr>
          <w:p>
            <w:pPr>
              <w:pStyle w:val="38"/>
              <w:spacing w:before="243" w:line="232" w:lineRule="auto"/>
              <w:ind w:left="32" w:right="193" w:hanging="2"/>
              <w:rPr>
                <w:rFonts w:hint="eastAsia" w:eastAsia="宋体"/>
                <w:lang w:eastAsia="zh-CN"/>
              </w:rPr>
            </w:pPr>
            <w:r>
              <w:rPr>
                <w:spacing w:val="6"/>
              </w:rPr>
              <w:t>传染病报告发病</w:t>
            </w:r>
            <w:r>
              <w:rPr>
                <w:spacing w:val="3"/>
              </w:rPr>
              <w:t xml:space="preserve"> </w:t>
            </w:r>
            <w:r>
              <w:rPr>
                <w:spacing w:val="4"/>
              </w:rPr>
              <w:t>率</w:t>
            </w:r>
            <w:r>
              <w:rPr>
                <w:rFonts w:hint="eastAsia"/>
                <w:spacing w:val="4"/>
                <w:lang w:val="en-US" w:eastAsia="zh-CN"/>
              </w:rPr>
              <w:t>0</w:t>
            </w:r>
          </w:p>
        </w:tc>
        <w:tc>
          <w:tcPr>
            <w:tcW w:w="2069" w:type="dxa"/>
            <w:gridSpan w:val="2"/>
            <w:vAlign w:val="top"/>
          </w:tcPr>
          <w:p>
            <w:pPr>
              <w:pStyle w:val="38"/>
              <w:spacing w:before="241" w:line="233" w:lineRule="auto"/>
              <w:ind w:left="554" w:right="320" w:hanging="230"/>
              <w:rPr>
                <w:rFonts w:hint="eastAsia" w:eastAsia="宋体"/>
                <w:lang w:eastAsia="zh-CN"/>
              </w:rPr>
            </w:pPr>
            <w:r>
              <w:rPr>
                <w:spacing w:val="6"/>
              </w:rPr>
              <w:t>传染病报告发病率</w:t>
            </w:r>
            <w:r>
              <w:rPr>
                <w:spacing w:val="5"/>
              </w:rPr>
              <w:t xml:space="preserve"> </w:t>
            </w:r>
            <w:r>
              <w:rPr>
                <w:rFonts w:hint="eastAsia"/>
                <w:spacing w:val="3"/>
                <w:lang w:val="en-US" w:eastAsia="zh-CN"/>
              </w:rPr>
              <w:t>0</w:t>
            </w:r>
          </w:p>
        </w:tc>
        <w:tc>
          <w:tcPr>
            <w:tcW w:w="163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856" w:type="dxa"/>
            <w:vMerge w:val="continue"/>
            <w:tcBorders>
              <w:top w:val="nil"/>
              <w:bottom w:val="nil"/>
            </w:tcBorders>
            <w:vAlign w:val="top"/>
          </w:tcPr>
          <w:p>
            <w:pPr>
              <w:rPr>
                <w:rFonts w:ascii="Arial"/>
                <w:sz w:val="21"/>
              </w:rPr>
            </w:pPr>
          </w:p>
        </w:tc>
        <w:tc>
          <w:tcPr>
            <w:tcW w:w="393" w:type="dxa"/>
            <w:vMerge w:val="continue"/>
            <w:tcBorders>
              <w:top w:val="nil"/>
              <w:bottom w:val="nil"/>
            </w:tcBorders>
            <w:vAlign w:val="top"/>
          </w:tcPr>
          <w:p>
            <w:pPr>
              <w:rPr>
                <w:rFonts w:ascii="Arial"/>
                <w:sz w:val="21"/>
              </w:rPr>
            </w:pPr>
          </w:p>
        </w:tc>
        <w:tc>
          <w:tcPr>
            <w:tcW w:w="858" w:type="dxa"/>
            <w:vMerge w:val="continue"/>
            <w:tcBorders>
              <w:top w:val="nil"/>
              <w:bottom w:val="nil"/>
            </w:tcBorders>
            <w:vAlign w:val="top"/>
          </w:tcPr>
          <w:p>
            <w:pPr>
              <w:rPr>
                <w:rFonts w:ascii="Arial"/>
                <w:sz w:val="21"/>
              </w:rPr>
            </w:pPr>
          </w:p>
        </w:tc>
        <w:tc>
          <w:tcPr>
            <w:tcW w:w="2493" w:type="dxa"/>
            <w:gridSpan w:val="2"/>
            <w:vAlign w:val="top"/>
          </w:tcPr>
          <w:p>
            <w:pPr>
              <w:pStyle w:val="38"/>
              <w:spacing w:before="207" w:line="227" w:lineRule="auto"/>
              <w:ind w:left="84"/>
            </w:pPr>
            <w:r>
              <w:rPr>
                <w:spacing w:val="6"/>
              </w:rPr>
              <w:t>65岁以上的老年人规范管理率</w:t>
            </w:r>
          </w:p>
          <w:p>
            <w:pPr>
              <w:pStyle w:val="38"/>
              <w:spacing w:before="9" w:line="227" w:lineRule="auto"/>
              <w:ind w:left="82"/>
            </w:pPr>
            <w:r>
              <w:rPr>
                <w:spacing w:val="6"/>
              </w:rPr>
              <w:t>43.94%（应管</w:t>
            </w:r>
            <w:r>
              <w:rPr>
                <w:rFonts w:hint="eastAsia"/>
                <w:spacing w:val="6"/>
                <w:lang w:val="en-US" w:eastAsia="zh-CN"/>
              </w:rPr>
              <w:t>354</w:t>
            </w:r>
            <w:r>
              <w:rPr>
                <w:spacing w:val="6"/>
              </w:rPr>
              <w:t>人实际管理</w:t>
            </w:r>
          </w:p>
          <w:p>
            <w:pPr>
              <w:pStyle w:val="38"/>
              <w:spacing w:before="12" w:line="239" w:lineRule="auto"/>
              <w:ind w:left="986"/>
            </w:pPr>
            <w:r>
              <w:rPr>
                <w:rFonts w:hint="eastAsia"/>
                <w:lang w:val="en-US" w:eastAsia="zh-CN"/>
              </w:rPr>
              <w:t>354</w:t>
            </w:r>
            <w:r>
              <w:t>）</w:t>
            </w:r>
          </w:p>
        </w:tc>
        <w:tc>
          <w:tcPr>
            <w:tcW w:w="1470" w:type="dxa"/>
            <w:vAlign w:val="top"/>
          </w:tcPr>
          <w:p>
            <w:pPr>
              <w:spacing w:line="261" w:lineRule="auto"/>
              <w:rPr>
                <w:rFonts w:ascii="Arial"/>
                <w:sz w:val="21"/>
              </w:rPr>
            </w:pPr>
          </w:p>
          <w:p>
            <w:pPr>
              <w:pStyle w:val="38"/>
              <w:spacing w:before="55" w:line="232" w:lineRule="auto"/>
              <w:ind w:left="32" w:right="89"/>
            </w:pPr>
            <w:r>
              <w:rPr>
                <w:spacing w:val="5"/>
              </w:rPr>
              <w:t>65岁以上的老年</w:t>
            </w:r>
            <w:r>
              <w:rPr>
                <w:spacing w:val="2"/>
              </w:rPr>
              <w:t xml:space="preserve">  </w:t>
            </w:r>
            <w:r>
              <w:rPr>
                <w:spacing w:val="6"/>
              </w:rPr>
              <w:t>人规范管理率67%</w:t>
            </w:r>
          </w:p>
        </w:tc>
        <w:tc>
          <w:tcPr>
            <w:tcW w:w="2069" w:type="dxa"/>
            <w:gridSpan w:val="2"/>
            <w:vAlign w:val="top"/>
          </w:tcPr>
          <w:p>
            <w:pPr>
              <w:pStyle w:val="38"/>
              <w:spacing w:before="207" w:line="227" w:lineRule="auto"/>
              <w:ind w:left="57"/>
            </w:pPr>
            <w:r>
              <w:rPr>
                <w:spacing w:val="6"/>
              </w:rPr>
              <w:t>65岁以上的老年人规范管</w:t>
            </w:r>
          </w:p>
          <w:p>
            <w:pPr>
              <w:pStyle w:val="38"/>
              <w:spacing w:before="8" w:line="234" w:lineRule="auto"/>
              <w:ind w:left="420" w:right="32" w:hanging="362"/>
            </w:pPr>
            <w:r>
              <w:rPr>
                <w:spacing w:val="6"/>
              </w:rPr>
              <w:t>理率43.94%（应管</w:t>
            </w:r>
            <w:r>
              <w:rPr>
                <w:rFonts w:hint="eastAsia"/>
                <w:spacing w:val="6"/>
                <w:lang w:val="en-US" w:eastAsia="zh-CN"/>
              </w:rPr>
              <w:t>354</w:t>
            </w:r>
            <w:r>
              <w:rPr>
                <w:spacing w:val="6"/>
              </w:rPr>
              <w:t>人</w:t>
            </w:r>
            <w:r>
              <w:t xml:space="preserve"> </w:t>
            </w:r>
            <w:r>
              <w:rPr>
                <w:spacing w:val="4"/>
              </w:rPr>
              <w:t>实际管理</w:t>
            </w:r>
            <w:r>
              <w:rPr>
                <w:rFonts w:hint="eastAsia"/>
                <w:spacing w:val="4"/>
                <w:lang w:val="en-US" w:eastAsia="zh-CN"/>
              </w:rPr>
              <w:t>354</w:t>
            </w:r>
            <w:r>
              <w:rPr>
                <w:spacing w:val="4"/>
              </w:rPr>
              <w:t>）</w:t>
            </w:r>
          </w:p>
        </w:tc>
        <w:tc>
          <w:tcPr>
            <w:tcW w:w="1630" w:type="dxa"/>
            <w:vAlign w:val="top"/>
          </w:tcPr>
          <w:p>
            <w:pPr>
              <w:pStyle w:val="38"/>
              <w:spacing w:before="207" w:line="235" w:lineRule="auto"/>
              <w:ind w:left="34" w:right="167"/>
              <w:jc w:val="both"/>
            </w:pPr>
            <w:r>
              <w:rPr>
                <w:spacing w:val="6"/>
              </w:rPr>
              <w:t>加强老年人规范管</w:t>
            </w:r>
            <w:r>
              <w:rPr>
                <w:spacing w:val="4"/>
              </w:rPr>
              <w:t xml:space="preserve"> </w:t>
            </w:r>
            <w:r>
              <w:rPr>
                <w:spacing w:val="7"/>
              </w:rPr>
              <w:t>理，及时完成年度</w:t>
            </w:r>
            <w:r>
              <w:t xml:space="preserve"> </w:t>
            </w:r>
            <w:r>
              <w:rPr>
                <w:spacing w:val="3"/>
              </w:rPr>
              <w:t>体检</w:t>
            </w:r>
          </w:p>
        </w:tc>
      </w:tr>
    </w:tbl>
    <w:p>
      <w:pPr>
        <w:rPr>
          <w:rFonts w:ascii="Arial"/>
          <w:sz w:val="21"/>
        </w:rPr>
      </w:pPr>
    </w:p>
    <w:p>
      <w:pPr>
        <w:rPr>
          <w:rFonts w:ascii="Arial" w:hAnsi="Arial" w:eastAsia="Arial" w:cs="Arial"/>
          <w:sz w:val="21"/>
          <w:szCs w:val="21"/>
        </w:rPr>
        <w:sectPr>
          <w:pgSz w:w="11905" w:h="16837"/>
          <w:pgMar w:top="1092" w:right="1109" w:bottom="0" w:left="1015" w:header="0" w:footer="0" w:gutter="0"/>
          <w:cols w:space="720" w:num="1"/>
        </w:sectPr>
      </w:pPr>
    </w:p>
    <w:tbl>
      <w:tblPr>
        <w:tblStyle w:val="37"/>
        <w:tblW w:w="97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393"/>
        <w:gridCol w:w="858"/>
        <w:gridCol w:w="2493"/>
        <w:gridCol w:w="1470"/>
        <w:gridCol w:w="2069"/>
        <w:gridCol w:w="16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rPr>
        <w:tc>
          <w:tcPr>
            <w:tcW w:w="856" w:type="dxa"/>
            <w:vMerge w:val="restart"/>
            <w:tcBorders>
              <w:top w:val="nil"/>
              <w:bottom w:val="nil"/>
            </w:tcBorders>
            <w:textDirection w:val="tbRlV"/>
            <w:vAlign w:val="top"/>
          </w:tcPr>
          <w:p>
            <w:pPr>
              <w:spacing w:line="265" w:lineRule="auto"/>
              <w:rPr>
                <w:rFonts w:ascii="Arial"/>
                <w:sz w:val="21"/>
              </w:rPr>
            </w:pPr>
          </w:p>
          <w:p>
            <w:pPr>
              <w:pStyle w:val="38"/>
              <w:spacing w:before="57" w:line="215" w:lineRule="auto"/>
              <w:ind w:left="2048"/>
            </w:pPr>
            <w:r>
              <w:rPr>
                <w:spacing w:val="38"/>
              </w:rPr>
              <w:t>绩效指标</w:t>
            </w:r>
          </w:p>
        </w:tc>
        <w:tc>
          <w:tcPr>
            <w:tcW w:w="393" w:type="dxa"/>
            <w:vMerge w:val="restart"/>
            <w:tcBorders>
              <w:top w:val="nil"/>
              <w:bottom w:val="nil"/>
            </w:tcBorders>
            <w:textDirection w:val="tbRlV"/>
            <w:vAlign w:val="top"/>
          </w:tcPr>
          <w:p>
            <w:pPr>
              <w:pStyle w:val="38"/>
              <w:spacing w:before="102" w:line="215" w:lineRule="auto"/>
              <w:ind w:left="302"/>
            </w:pPr>
            <w:r>
              <w:rPr>
                <w:spacing w:val="38"/>
              </w:rPr>
              <w:t>产出指标</w:t>
            </w:r>
          </w:p>
        </w:tc>
        <w:tc>
          <w:tcPr>
            <w:tcW w:w="858" w:type="dxa"/>
            <w:vMerge w:val="restart"/>
            <w:tcBorders>
              <w:top w:val="nil"/>
              <w:bottom w:val="nil"/>
            </w:tcBorders>
            <w:vAlign w:val="top"/>
          </w:tcPr>
          <w:p>
            <w:pPr>
              <w:rPr>
                <w:rFonts w:ascii="Arial"/>
                <w:sz w:val="21"/>
              </w:rPr>
            </w:pPr>
          </w:p>
        </w:tc>
        <w:tc>
          <w:tcPr>
            <w:tcW w:w="2493" w:type="dxa"/>
            <w:vAlign w:val="top"/>
          </w:tcPr>
          <w:p>
            <w:pPr>
              <w:pStyle w:val="38"/>
              <w:spacing w:before="76" w:line="227" w:lineRule="auto"/>
              <w:ind w:left="87"/>
            </w:pPr>
            <w:r>
              <w:rPr>
                <w:spacing w:val="7"/>
              </w:rPr>
              <w:t>高血压患者管理率84.31%（管</w:t>
            </w:r>
          </w:p>
          <w:p>
            <w:pPr>
              <w:pStyle w:val="38"/>
              <w:spacing w:before="11" w:line="227" w:lineRule="auto"/>
              <w:ind w:left="40"/>
            </w:pPr>
            <w:r>
              <w:rPr>
                <w:spacing w:val="5"/>
              </w:rPr>
              <w:t>理</w:t>
            </w:r>
            <w:r>
              <w:rPr>
                <w:rFonts w:hint="eastAsia"/>
                <w:spacing w:val="5"/>
                <w:lang w:val="en-US" w:eastAsia="zh-CN"/>
              </w:rPr>
              <w:t>160</w:t>
            </w:r>
            <w:r>
              <w:rPr>
                <w:spacing w:val="5"/>
              </w:rPr>
              <w:t>人，规范管理</w:t>
            </w:r>
            <w:r>
              <w:rPr>
                <w:rFonts w:hint="eastAsia"/>
                <w:spacing w:val="5"/>
                <w:lang w:val="en-US" w:eastAsia="zh-CN"/>
              </w:rPr>
              <w:t>160</w:t>
            </w:r>
            <w:r>
              <w:rPr>
                <w:spacing w:val="5"/>
              </w:rPr>
              <w:t>）</w:t>
            </w:r>
            <w:r>
              <w:rPr>
                <w:spacing w:val="-46"/>
              </w:rPr>
              <w:t xml:space="preserve"> </w:t>
            </w:r>
            <w:r>
              <w:rPr>
                <w:spacing w:val="5"/>
              </w:rPr>
              <w:t>、2</w:t>
            </w:r>
          </w:p>
          <w:p>
            <w:pPr>
              <w:pStyle w:val="38"/>
              <w:spacing w:before="9" w:line="227" w:lineRule="auto"/>
              <w:ind w:left="134"/>
            </w:pPr>
            <w:r>
              <w:rPr>
                <w:spacing w:val="11"/>
              </w:rPr>
              <w:t>型糖尿病患者管理率77.41%</w:t>
            </w:r>
          </w:p>
          <w:p>
            <w:pPr>
              <w:pStyle w:val="38"/>
              <w:spacing w:before="9" w:line="227" w:lineRule="auto"/>
              <w:ind w:left="91"/>
            </w:pPr>
            <w:r>
              <w:rPr>
                <w:spacing w:val="6"/>
              </w:rPr>
              <w:t>（管理</w:t>
            </w:r>
            <w:r>
              <w:rPr>
                <w:rFonts w:hint="eastAsia"/>
                <w:spacing w:val="6"/>
                <w:lang w:val="en-US" w:eastAsia="zh-CN"/>
              </w:rPr>
              <w:t>32</w:t>
            </w:r>
            <w:r>
              <w:rPr>
                <w:spacing w:val="6"/>
              </w:rPr>
              <w:t>人，规范管理</w:t>
            </w:r>
            <w:r>
              <w:rPr>
                <w:rFonts w:hint="eastAsia"/>
                <w:spacing w:val="6"/>
                <w:lang w:val="en-US" w:eastAsia="zh-CN"/>
              </w:rPr>
              <w:t>32</w:t>
            </w:r>
            <w:r>
              <w:rPr>
                <w:spacing w:val="6"/>
              </w:rPr>
              <w:t>）</w:t>
            </w:r>
          </w:p>
          <w:p>
            <w:pPr>
              <w:pStyle w:val="38"/>
              <w:spacing w:before="123" w:line="87" w:lineRule="exact"/>
              <w:ind w:left="1180"/>
            </w:pPr>
          </w:p>
        </w:tc>
        <w:tc>
          <w:tcPr>
            <w:tcW w:w="1470" w:type="dxa"/>
            <w:vAlign w:val="top"/>
          </w:tcPr>
          <w:p>
            <w:pPr>
              <w:pStyle w:val="38"/>
              <w:spacing w:before="187"/>
              <w:ind w:left="30" w:right="178" w:firstLine="5"/>
              <w:jc w:val="both"/>
            </w:pPr>
            <w:r>
              <w:rPr>
                <w:spacing w:val="5"/>
              </w:rPr>
              <w:t>高血压患者管理</w:t>
            </w:r>
            <w:r>
              <w:rPr>
                <w:spacing w:val="4"/>
              </w:rPr>
              <w:t xml:space="preserve"> </w:t>
            </w:r>
            <w:r>
              <w:rPr>
                <w:spacing w:val="6"/>
              </w:rPr>
              <w:t>率65%、2型糖尿</w:t>
            </w:r>
            <w:r>
              <w:t xml:space="preserve"> </w:t>
            </w:r>
            <w:r>
              <w:rPr>
                <w:spacing w:val="7"/>
              </w:rPr>
              <w:t>病患者管理率65</w:t>
            </w:r>
            <w:r>
              <w:rPr>
                <w:spacing w:val="4"/>
              </w:rPr>
              <w:t xml:space="preserve"> </w:t>
            </w:r>
            <w:r>
              <w:rPr>
                <w:spacing w:val="12"/>
                <w:w w:val="158"/>
              </w:rPr>
              <w:t>%</w:t>
            </w:r>
          </w:p>
        </w:tc>
        <w:tc>
          <w:tcPr>
            <w:tcW w:w="2069" w:type="dxa"/>
            <w:vAlign w:val="top"/>
          </w:tcPr>
          <w:p>
            <w:pPr>
              <w:pStyle w:val="38"/>
              <w:spacing w:before="28" w:line="236" w:lineRule="auto"/>
              <w:ind w:left="57" w:right="75" w:firstLine="44"/>
              <w:jc w:val="both"/>
            </w:pPr>
            <w:r>
              <w:rPr>
                <w:spacing w:val="7"/>
              </w:rPr>
              <w:t>指标6：高血压患者管理</w:t>
            </w:r>
            <w:r>
              <w:rPr>
                <w:spacing w:val="1"/>
              </w:rPr>
              <w:t xml:space="preserve"> </w:t>
            </w:r>
            <w:r>
              <w:rPr>
                <w:spacing w:val="3"/>
              </w:rPr>
              <w:t>率84.31%（管理</w:t>
            </w:r>
            <w:r>
              <w:rPr>
                <w:rFonts w:hint="eastAsia"/>
                <w:spacing w:val="3"/>
                <w:lang w:val="en-US" w:eastAsia="zh-CN"/>
              </w:rPr>
              <w:t>160</w:t>
            </w:r>
            <w:r>
              <w:rPr>
                <w:spacing w:val="3"/>
              </w:rPr>
              <w:t>人，</w:t>
            </w:r>
            <w:r>
              <w:rPr>
                <w:spacing w:val="6"/>
              </w:rPr>
              <w:t xml:space="preserve"> </w:t>
            </w:r>
            <w:r>
              <w:rPr>
                <w:spacing w:val="7"/>
              </w:rPr>
              <w:t>规范管理</w:t>
            </w:r>
            <w:r>
              <w:rPr>
                <w:rFonts w:hint="eastAsia"/>
                <w:spacing w:val="7"/>
                <w:lang w:val="en-US" w:eastAsia="zh-CN"/>
              </w:rPr>
              <w:t>160</w:t>
            </w:r>
            <w:r>
              <w:rPr>
                <w:spacing w:val="7"/>
              </w:rPr>
              <w:t>）</w:t>
            </w:r>
            <w:r>
              <w:rPr>
                <w:spacing w:val="-41"/>
              </w:rPr>
              <w:t xml:space="preserve"> </w:t>
            </w:r>
            <w:r>
              <w:rPr>
                <w:spacing w:val="7"/>
              </w:rPr>
              <w:t>、2型</w:t>
            </w:r>
            <w:r>
              <w:rPr>
                <w:rFonts w:hint="eastAsia" w:eastAsia="宋体"/>
                <w:spacing w:val="7"/>
                <w:lang w:eastAsia="zh-CN"/>
              </w:rPr>
              <w:t>糖尿病患者</w:t>
            </w:r>
            <w:r>
              <w:rPr>
                <w:spacing w:val="15"/>
              </w:rPr>
              <w:t>管理率77.41%</w:t>
            </w:r>
            <w:r>
              <w:rPr>
                <w:spacing w:val="4"/>
              </w:rPr>
              <w:t xml:space="preserve"> </w:t>
            </w:r>
            <w:r>
              <w:rPr>
                <w:spacing w:val="10"/>
              </w:rPr>
              <w:t>管理</w:t>
            </w:r>
            <w:r>
              <w:rPr>
                <w:rFonts w:hint="eastAsia"/>
                <w:spacing w:val="10"/>
                <w:lang w:val="en-US" w:eastAsia="zh-CN"/>
              </w:rPr>
              <w:t>32</w:t>
            </w:r>
            <w:r>
              <w:rPr>
                <w:spacing w:val="10"/>
              </w:rPr>
              <w:t>人，规范管理</w:t>
            </w:r>
          </w:p>
        </w:tc>
        <w:tc>
          <w:tcPr>
            <w:tcW w:w="163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continue"/>
            <w:tcBorders>
              <w:top w:val="nil"/>
              <w:bottom w:val="nil"/>
            </w:tcBorders>
            <w:vAlign w:val="top"/>
          </w:tcPr>
          <w:p>
            <w:pPr>
              <w:rPr>
                <w:rFonts w:ascii="Arial"/>
                <w:sz w:val="21"/>
              </w:rPr>
            </w:pPr>
          </w:p>
        </w:tc>
        <w:tc>
          <w:tcPr>
            <w:tcW w:w="2493" w:type="dxa"/>
            <w:vAlign w:val="top"/>
          </w:tcPr>
          <w:p>
            <w:pPr>
              <w:pStyle w:val="38"/>
              <w:spacing w:before="104" w:line="226" w:lineRule="auto"/>
              <w:ind w:left="83"/>
            </w:pPr>
            <w:r>
              <w:rPr>
                <w:spacing w:val="6"/>
              </w:rPr>
              <w:t>严重精神障碍患者规范管理率</w:t>
            </w:r>
          </w:p>
          <w:p>
            <w:pPr>
              <w:pStyle w:val="38"/>
              <w:spacing w:before="10" w:line="238" w:lineRule="auto"/>
              <w:ind w:left="986" w:right="31" w:hanging="949"/>
            </w:pPr>
            <w:r>
              <w:rPr>
                <w:spacing w:val="6"/>
              </w:rPr>
              <w:t>48.72%（应管</w:t>
            </w:r>
            <w:r>
              <w:rPr>
                <w:rFonts w:hint="eastAsia"/>
                <w:spacing w:val="6"/>
                <w:lang w:val="en-US" w:eastAsia="zh-CN"/>
              </w:rPr>
              <w:t>15</w:t>
            </w:r>
            <w:r>
              <w:rPr>
                <w:spacing w:val="6"/>
              </w:rPr>
              <w:t>人，规范管理</w:t>
            </w:r>
            <w:r>
              <w:rPr>
                <w:spacing w:val="10"/>
              </w:rPr>
              <w:t xml:space="preserve"> </w:t>
            </w:r>
            <w:r>
              <w:rPr>
                <w:rFonts w:hint="eastAsia"/>
                <w:spacing w:val="-1"/>
                <w:lang w:val="en-US" w:eastAsia="zh-CN"/>
              </w:rPr>
              <w:t>14</w:t>
            </w:r>
            <w:r>
              <w:rPr>
                <w:spacing w:val="-1"/>
              </w:rPr>
              <w:t>）。</w:t>
            </w:r>
          </w:p>
        </w:tc>
        <w:tc>
          <w:tcPr>
            <w:tcW w:w="1470" w:type="dxa"/>
            <w:vAlign w:val="top"/>
          </w:tcPr>
          <w:p>
            <w:pPr>
              <w:pStyle w:val="38"/>
              <w:spacing w:before="212" w:line="233" w:lineRule="auto"/>
              <w:ind w:left="32" w:right="89"/>
            </w:pPr>
            <w:r>
              <w:rPr>
                <w:spacing w:val="6"/>
              </w:rPr>
              <w:t>严重精神障碍患</w:t>
            </w:r>
            <w:r>
              <w:t xml:space="preserve">  </w:t>
            </w:r>
            <w:r>
              <w:rPr>
                <w:spacing w:val="6"/>
              </w:rPr>
              <w:t>者规范管理率90%</w:t>
            </w:r>
          </w:p>
        </w:tc>
        <w:tc>
          <w:tcPr>
            <w:tcW w:w="2069" w:type="dxa"/>
            <w:vAlign w:val="top"/>
          </w:tcPr>
          <w:p>
            <w:pPr>
              <w:pStyle w:val="38"/>
              <w:spacing w:before="104" w:line="226" w:lineRule="auto"/>
              <w:ind w:left="56"/>
            </w:pPr>
            <w:r>
              <mc:AlternateContent>
                <mc:Choice Requires="wps">
                  <w:drawing>
                    <wp:anchor distT="0" distB="0" distL="114300" distR="114300" simplePos="0" relativeHeight="251659264" behindDoc="0" locked="0" layoutInCell="1" allowOverlap="1">
                      <wp:simplePos x="0" y="0"/>
                      <wp:positionH relativeFrom="page">
                        <wp:posOffset>454660</wp:posOffset>
                      </wp:positionH>
                      <wp:positionV relativeFrom="page">
                        <wp:posOffset>-50165</wp:posOffset>
                      </wp:positionV>
                      <wp:extent cx="295275" cy="137795"/>
                      <wp:effectExtent l="0" t="0" r="0" b="0"/>
                      <wp:wrapNone/>
                      <wp:docPr id="5" name="文本框 5"/>
                      <wp:cNvGraphicFramePr/>
                      <a:graphic xmlns:a="http://schemas.openxmlformats.org/drawingml/2006/main">
                        <a:graphicData uri="http://schemas.microsoft.com/office/word/2010/wordprocessingShape">
                          <wps:wsp>
                            <wps:cNvSpPr txBox="1"/>
                            <wps:spPr>
                              <a:xfrm>
                                <a:off x="0" y="0"/>
                                <a:ext cx="295275" cy="137795"/>
                              </a:xfrm>
                              <a:prstGeom prst="rect">
                                <a:avLst/>
                              </a:prstGeom>
                              <a:noFill/>
                              <a:ln>
                                <a:noFill/>
                              </a:ln>
                            </wps:spPr>
                            <wps:txbx>
                              <w:txbxContent>
                                <w:p>
                                  <w:pPr>
                                    <w:pStyle w:val="38"/>
                                    <w:spacing w:before="19" w:line="192" w:lineRule="auto"/>
                                    <w:ind w:left="20"/>
                                  </w:pPr>
                                  <w:r>
                                    <w:rPr>
                                      <w:rFonts w:hint="eastAsia"/>
                                      <w:spacing w:val="1"/>
                                      <w:lang w:val="en-US" w:eastAsia="zh-CN"/>
                                    </w:rPr>
                                    <w:t>32</w:t>
                                  </w:r>
                                  <w:r>
                                    <w:rPr>
                                      <w:spacing w:val="1"/>
                                    </w:rPr>
                                    <w:t>）</w:t>
                                  </w:r>
                                </w:p>
                              </w:txbxContent>
                            </wps:txbx>
                            <wps:bodyPr lIns="0" tIns="0" rIns="0" bIns="0" upright="1"/>
                          </wps:wsp>
                        </a:graphicData>
                      </a:graphic>
                    </wp:anchor>
                  </w:drawing>
                </mc:Choice>
                <mc:Fallback>
                  <w:pict>
                    <v:shape id="_x0000_s1026" o:spid="_x0000_s1026" o:spt="202" type="#_x0000_t202" style="position:absolute;left:0pt;margin-left:35.8pt;margin-top:-3.95pt;height:10.85pt;width:23.25pt;mso-position-horizontal-relative:page;mso-position-vertical-relative:page;z-index:251659264;mso-width-relative:page;mso-height-relative:page;" filled="f" stroked="f" coordsize="21600,21600" o:gfxdata="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lh6NdcAAAAIAQAADwAAAAAAAAABACAAAAAiAAAAZHJzL2Rvd25yZXYueG1sUEsBAhQA&#10;FAAAAAgAh07iQHr0CV+6AQAAcQMAAA4AAAAAAAAAAQAgAAAAJgEAAGRycy9lMm9Eb2MueG1sUEsF&#10;BgAAAAAGAAYAWQEAAFIFAAAAAA==&#10;">
                      <v:fill on="f" focussize="0,0"/>
                      <v:stroke on="f"/>
                      <v:imagedata o:title=""/>
                      <o:lock v:ext="edit" aspectratio="f"/>
                      <v:textbox inset="0mm,0mm,0mm,0mm">
                        <w:txbxContent>
                          <w:p>
                            <w:pPr>
                              <w:pStyle w:val="38"/>
                              <w:spacing w:before="19" w:line="192" w:lineRule="auto"/>
                              <w:ind w:left="20"/>
                            </w:pPr>
                            <w:r>
                              <w:rPr>
                                <w:rFonts w:hint="eastAsia"/>
                                <w:spacing w:val="1"/>
                                <w:lang w:val="en-US" w:eastAsia="zh-CN"/>
                              </w:rPr>
                              <w:t>32</w:t>
                            </w:r>
                            <w:r>
                              <w:rPr>
                                <w:spacing w:val="1"/>
                              </w:rPr>
                              <w:t>）</w:t>
                            </w:r>
                          </w:p>
                        </w:txbxContent>
                      </v:textbox>
                    </v:shape>
                  </w:pict>
                </mc:Fallback>
              </mc:AlternateContent>
            </w:r>
            <w:r>
              <w:rPr>
                <w:spacing w:val="6"/>
              </w:rPr>
              <w:t>严重精神障碍患者规范管</w:t>
            </w:r>
          </w:p>
          <w:p>
            <w:pPr>
              <w:pStyle w:val="38"/>
              <w:spacing w:before="9" w:line="227" w:lineRule="auto"/>
              <w:ind w:left="327"/>
            </w:pPr>
            <w:r>
              <w:rPr>
                <w:spacing w:val="5"/>
              </w:rPr>
              <w:t>理率48.72%（应管</w:t>
            </w:r>
          </w:p>
          <w:p>
            <w:pPr>
              <w:pStyle w:val="38"/>
              <w:spacing w:before="9" w:line="227" w:lineRule="auto"/>
              <w:ind w:left="204"/>
            </w:pPr>
            <w:r>
              <w:rPr>
                <w:rFonts w:hint="eastAsia"/>
                <w:spacing w:val="5"/>
                <w:lang w:val="en-US" w:eastAsia="zh-CN"/>
              </w:rPr>
              <w:t>15</w:t>
            </w:r>
            <w:r>
              <w:rPr>
                <w:spacing w:val="5"/>
              </w:rPr>
              <w:t>人，规范管理</w:t>
            </w:r>
            <w:r>
              <w:rPr>
                <w:rFonts w:hint="eastAsia"/>
                <w:spacing w:val="5"/>
                <w:lang w:val="en-US" w:eastAsia="zh-CN"/>
              </w:rPr>
              <w:t>14</w:t>
            </w:r>
            <w:r>
              <w:rPr>
                <w:spacing w:val="5"/>
              </w:rPr>
              <w:t>）</w:t>
            </w:r>
          </w:p>
        </w:tc>
        <w:tc>
          <w:tcPr>
            <w:tcW w:w="1630" w:type="dxa"/>
            <w:vAlign w:val="top"/>
          </w:tcPr>
          <w:p>
            <w:pPr>
              <w:pStyle w:val="38"/>
              <w:spacing w:before="212" w:line="233" w:lineRule="auto"/>
              <w:ind w:left="35" w:right="172" w:hanging="1"/>
            </w:pPr>
            <w:r>
              <w:rPr>
                <w:spacing w:val="6"/>
              </w:rPr>
              <w:t>加强重精患者服药</w:t>
            </w:r>
            <w:r>
              <w:rPr>
                <w:spacing w:val="4"/>
              </w:rPr>
              <w:t xml:space="preserve"> </w:t>
            </w:r>
            <w: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continue"/>
            <w:tcBorders>
              <w:top w:val="nil"/>
              <w:bottom w:val="nil"/>
            </w:tcBorders>
            <w:vAlign w:val="top"/>
          </w:tcPr>
          <w:p>
            <w:pPr>
              <w:rPr>
                <w:rFonts w:ascii="Arial"/>
                <w:sz w:val="21"/>
              </w:rPr>
            </w:pPr>
          </w:p>
        </w:tc>
        <w:tc>
          <w:tcPr>
            <w:tcW w:w="2493" w:type="dxa"/>
            <w:vAlign w:val="top"/>
          </w:tcPr>
          <w:p>
            <w:pPr>
              <w:spacing w:line="258" w:lineRule="auto"/>
              <w:rPr>
                <w:rFonts w:ascii="Arial"/>
                <w:sz w:val="21"/>
              </w:rPr>
            </w:pPr>
          </w:p>
          <w:p>
            <w:pPr>
              <w:pStyle w:val="38"/>
              <w:spacing w:before="55" w:line="227" w:lineRule="auto"/>
              <w:ind w:left="85"/>
            </w:pPr>
            <w:r>
              <w:rPr>
                <w:spacing w:val="6"/>
              </w:rPr>
              <w:t>孕产妇系统管理率达</w:t>
            </w:r>
            <w:r>
              <w:rPr>
                <w:rFonts w:hint="eastAsia"/>
                <w:spacing w:val="6"/>
                <w:lang w:val="en-US" w:eastAsia="zh-CN"/>
              </w:rPr>
              <w:t>100</w:t>
            </w:r>
            <w:r>
              <w:rPr>
                <w:spacing w:val="6"/>
              </w:rPr>
              <w:t>%。</w:t>
            </w:r>
          </w:p>
        </w:tc>
        <w:tc>
          <w:tcPr>
            <w:tcW w:w="1470" w:type="dxa"/>
            <w:vAlign w:val="top"/>
          </w:tcPr>
          <w:p>
            <w:pPr>
              <w:pStyle w:val="38"/>
              <w:spacing w:before="205" w:line="233" w:lineRule="auto"/>
              <w:ind w:left="32" w:right="193"/>
            </w:pPr>
            <w:r>
              <w:rPr>
                <w:spacing w:val="6"/>
              </w:rPr>
              <w:t>孕产妇系统管理</w:t>
            </w:r>
            <w:r>
              <w:t xml:space="preserve"> </w:t>
            </w:r>
            <w:r>
              <w:rPr>
                <w:spacing w:val="3"/>
              </w:rPr>
              <w:t>率达</w:t>
            </w:r>
            <w:r>
              <w:rPr>
                <w:rFonts w:hint="eastAsia"/>
                <w:spacing w:val="3"/>
                <w:lang w:val="en-US" w:eastAsia="zh-CN"/>
              </w:rPr>
              <w:t>100</w:t>
            </w:r>
            <w:r>
              <w:rPr>
                <w:spacing w:val="3"/>
              </w:rPr>
              <w:t>%。</w:t>
            </w:r>
          </w:p>
        </w:tc>
        <w:tc>
          <w:tcPr>
            <w:tcW w:w="2069" w:type="dxa"/>
            <w:vAlign w:val="top"/>
          </w:tcPr>
          <w:p>
            <w:pPr>
              <w:pStyle w:val="38"/>
              <w:spacing w:before="205" w:line="242" w:lineRule="auto"/>
              <w:ind w:left="685" w:right="232" w:hanging="447"/>
            </w:pPr>
            <w:r>
              <w:rPr>
                <w:spacing w:val="6"/>
              </w:rPr>
              <w:t>孕产妇系统管理率达</w:t>
            </w:r>
            <w:r>
              <w:rPr>
                <w:spacing w:val="3"/>
              </w:rPr>
              <w:t xml:space="preserve"> </w:t>
            </w:r>
            <w:r>
              <w:rPr>
                <w:rFonts w:hint="eastAsia"/>
                <w:spacing w:val="2"/>
                <w:lang w:val="en-US" w:eastAsia="zh-CN"/>
              </w:rPr>
              <w:t>100</w:t>
            </w:r>
            <w:r>
              <w:rPr>
                <w:spacing w:val="2"/>
              </w:rPr>
              <w:t>%。</w:t>
            </w:r>
          </w:p>
        </w:tc>
        <w:tc>
          <w:tcPr>
            <w:tcW w:w="1630" w:type="dxa"/>
            <w:vAlign w:val="top"/>
          </w:tcPr>
          <w:p>
            <w:pPr>
              <w:pStyle w:val="38"/>
              <w:spacing w:before="205" w:line="233" w:lineRule="auto"/>
              <w:ind w:left="34" w:right="172"/>
            </w:pPr>
            <w:r>
              <w:rPr>
                <w:spacing w:val="6"/>
              </w:rPr>
              <w:t>提高早孕建册率及</w:t>
            </w:r>
            <w:r>
              <w:rPr>
                <w:spacing w:val="3"/>
              </w:rPr>
              <w:t xml:space="preserve"> </w:t>
            </w:r>
            <w:r>
              <w:rPr>
                <w:spacing w:val="6"/>
              </w:rPr>
              <w:t>产后访视率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continue"/>
            <w:tcBorders>
              <w:top w:val="nil"/>
            </w:tcBorders>
            <w:vAlign w:val="top"/>
          </w:tcPr>
          <w:p>
            <w:pPr>
              <w:rPr>
                <w:rFonts w:ascii="Arial"/>
                <w:sz w:val="21"/>
              </w:rPr>
            </w:pPr>
          </w:p>
        </w:tc>
        <w:tc>
          <w:tcPr>
            <w:tcW w:w="2493" w:type="dxa"/>
            <w:vAlign w:val="top"/>
          </w:tcPr>
          <w:p>
            <w:pPr>
              <w:pStyle w:val="38"/>
              <w:spacing w:before="192" w:line="241" w:lineRule="auto"/>
              <w:ind w:left="891" w:right="225" w:hanging="672"/>
            </w:pPr>
            <w:r>
              <w:rPr>
                <w:spacing w:val="6"/>
              </w:rPr>
              <w:t>0-6岁儿童系统管理率达到</w:t>
            </w:r>
            <w:r>
              <w:rPr>
                <w:spacing w:val="3"/>
              </w:rPr>
              <w:t xml:space="preserve"> </w:t>
            </w:r>
            <w:r>
              <w:rPr>
                <w:rFonts w:hint="eastAsia"/>
                <w:spacing w:val="2"/>
                <w:lang w:val="en-US" w:eastAsia="zh-CN"/>
              </w:rPr>
              <w:t>60</w:t>
            </w:r>
            <w:r>
              <w:rPr>
                <w:spacing w:val="2"/>
              </w:rPr>
              <w:t>%。</w:t>
            </w:r>
          </w:p>
        </w:tc>
        <w:tc>
          <w:tcPr>
            <w:tcW w:w="1470" w:type="dxa"/>
            <w:vAlign w:val="top"/>
          </w:tcPr>
          <w:p>
            <w:pPr>
              <w:pStyle w:val="38"/>
              <w:spacing w:before="80" w:line="234" w:lineRule="auto"/>
              <w:ind w:left="32" w:right="99"/>
            </w:pPr>
            <w:r>
              <w:rPr>
                <w:spacing w:val="5"/>
              </w:rPr>
              <w:t>0-6岁儿童系统管</w:t>
            </w:r>
            <w:r>
              <w:rPr>
                <w:spacing w:val="6"/>
              </w:rPr>
              <w:t xml:space="preserve"> </w:t>
            </w:r>
            <w:r>
              <w:rPr>
                <w:spacing w:val="5"/>
              </w:rPr>
              <w:t>理率达</w:t>
            </w:r>
            <w:r>
              <w:rPr>
                <w:rFonts w:hint="eastAsia"/>
                <w:spacing w:val="5"/>
                <w:lang w:val="en-US" w:eastAsia="zh-CN"/>
              </w:rPr>
              <w:t>6</w:t>
            </w:r>
            <w:r>
              <w:rPr>
                <w:spacing w:val="5"/>
              </w:rPr>
              <w:t>0%</w:t>
            </w:r>
          </w:p>
          <w:p>
            <w:pPr>
              <w:pStyle w:val="38"/>
              <w:spacing w:before="123" w:line="87" w:lineRule="exact"/>
              <w:ind w:left="48"/>
            </w:pPr>
          </w:p>
        </w:tc>
        <w:tc>
          <w:tcPr>
            <w:tcW w:w="2069" w:type="dxa"/>
            <w:vAlign w:val="top"/>
          </w:tcPr>
          <w:p>
            <w:pPr>
              <w:pStyle w:val="38"/>
              <w:spacing w:before="191" w:line="233" w:lineRule="auto"/>
              <w:ind w:left="600" w:right="97" w:hanging="499"/>
            </w:pPr>
            <w:r>
              <w:rPr>
                <w:spacing w:val="6"/>
              </w:rPr>
              <w:t>0-6岁儿童系统管理率达</w:t>
            </w:r>
            <w:r>
              <w:rPr>
                <w:spacing w:val="2"/>
              </w:rPr>
              <w:t xml:space="preserve"> 到</w:t>
            </w:r>
            <w:r>
              <w:rPr>
                <w:rFonts w:hint="eastAsia"/>
                <w:spacing w:val="2"/>
                <w:lang w:val="en-US" w:eastAsia="zh-CN"/>
              </w:rPr>
              <w:t>60</w:t>
            </w:r>
            <w:r>
              <w:rPr>
                <w:spacing w:val="2"/>
              </w:rPr>
              <w:t>%。</w:t>
            </w:r>
          </w:p>
        </w:tc>
        <w:tc>
          <w:tcPr>
            <w:tcW w:w="1630" w:type="dxa"/>
            <w:vAlign w:val="top"/>
          </w:tcPr>
          <w:p>
            <w:pPr>
              <w:pStyle w:val="38"/>
              <w:spacing w:before="80" w:line="234" w:lineRule="auto"/>
              <w:ind w:left="35" w:right="78" w:hanging="1"/>
            </w:pPr>
            <w:r>
              <w:rPr>
                <w:spacing w:val="6"/>
              </w:rPr>
              <w:t>加强新生儿访视及</w:t>
            </w:r>
            <w:r>
              <w:rPr>
                <w:spacing w:val="2"/>
              </w:rPr>
              <w:t xml:space="preserve">  </w:t>
            </w:r>
            <w:r>
              <w:rPr>
                <w:spacing w:val="6"/>
              </w:rPr>
              <w:t>0-6岁儿童健康管理</w:t>
            </w:r>
          </w:p>
          <w:p>
            <w:pPr>
              <w:pStyle w:val="38"/>
              <w:spacing w:before="123" w:line="87" w:lineRule="exact"/>
              <w:ind w:left="52"/>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restart"/>
            <w:tcBorders>
              <w:bottom w:val="nil"/>
            </w:tcBorders>
            <w:vAlign w:val="top"/>
          </w:tcPr>
          <w:p>
            <w:pPr>
              <w:spacing w:line="354" w:lineRule="auto"/>
              <w:rPr>
                <w:rFonts w:ascii="Arial"/>
                <w:sz w:val="21"/>
              </w:rPr>
            </w:pPr>
          </w:p>
          <w:p>
            <w:pPr>
              <w:pStyle w:val="38"/>
              <w:spacing w:before="56" w:line="227" w:lineRule="auto"/>
              <w:ind w:left="73"/>
            </w:pPr>
            <w:r>
              <w:rPr>
                <w:spacing w:val="5"/>
              </w:rPr>
              <w:t>质量指标</w:t>
            </w:r>
          </w:p>
        </w:tc>
        <w:tc>
          <w:tcPr>
            <w:tcW w:w="2493" w:type="dxa"/>
            <w:vAlign w:val="top"/>
          </w:tcPr>
          <w:p>
            <w:pPr>
              <w:rPr>
                <w:rFonts w:ascii="Arial"/>
                <w:sz w:val="21"/>
              </w:rPr>
            </w:pPr>
          </w:p>
        </w:tc>
        <w:tc>
          <w:tcPr>
            <w:tcW w:w="1470" w:type="dxa"/>
            <w:vAlign w:val="top"/>
          </w:tcPr>
          <w:p>
            <w:pPr>
              <w:rPr>
                <w:rFonts w:ascii="Arial"/>
                <w:sz w:val="21"/>
              </w:rPr>
            </w:pPr>
          </w:p>
        </w:tc>
        <w:tc>
          <w:tcPr>
            <w:tcW w:w="2069" w:type="dxa"/>
            <w:vAlign w:val="top"/>
          </w:tcPr>
          <w:p>
            <w:pPr>
              <w:rPr>
                <w:rFonts w:ascii="Arial"/>
                <w:sz w:val="21"/>
              </w:rPr>
            </w:pPr>
          </w:p>
        </w:tc>
        <w:tc>
          <w:tcPr>
            <w:tcW w:w="163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continue"/>
            <w:tcBorders>
              <w:top w:val="nil"/>
              <w:bottom w:val="nil"/>
            </w:tcBorders>
            <w:vAlign w:val="top"/>
          </w:tcPr>
          <w:p>
            <w:pPr>
              <w:rPr>
                <w:rFonts w:ascii="Arial"/>
                <w:sz w:val="21"/>
              </w:rPr>
            </w:pPr>
          </w:p>
        </w:tc>
        <w:tc>
          <w:tcPr>
            <w:tcW w:w="2493" w:type="dxa"/>
            <w:vAlign w:val="top"/>
          </w:tcPr>
          <w:p>
            <w:pPr>
              <w:rPr>
                <w:rFonts w:ascii="Arial"/>
                <w:sz w:val="21"/>
              </w:rPr>
            </w:pPr>
          </w:p>
        </w:tc>
        <w:tc>
          <w:tcPr>
            <w:tcW w:w="1470" w:type="dxa"/>
            <w:vAlign w:val="top"/>
          </w:tcPr>
          <w:p>
            <w:pPr>
              <w:rPr>
                <w:rFonts w:ascii="Arial"/>
                <w:sz w:val="21"/>
              </w:rPr>
            </w:pPr>
          </w:p>
        </w:tc>
        <w:tc>
          <w:tcPr>
            <w:tcW w:w="2069" w:type="dxa"/>
            <w:vAlign w:val="top"/>
          </w:tcPr>
          <w:p>
            <w:pPr>
              <w:rPr>
                <w:rFonts w:ascii="Arial"/>
                <w:sz w:val="21"/>
              </w:rPr>
            </w:pPr>
          </w:p>
        </w:tc>
        <w:tc>
          <w:tcPr>
            <w:tcW w:w="163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continue"/>
            <w:tcBorders>
              <w:top w:val="nil"/>
            </w:tcBorders>
            <w:vAlign w:val="top"/>
          </w:tcPr>
          <w:p>
            <w:pPr>
              <w:rPr>
                <w:rFonts w:ascii="Arial"/>
                <w:sz w:val="21"/>
              </w:rPr>
            </w:pPr>
          </w:p>
        </w:tc>
        <w:tc>
          <w:tcPr>
            <w:tcW w:w="2493" w:type="dxa"/>
            <w:vAlign w:val="top"/>
          </w:tcPr>
          <w:p>
            <w:pPr>
              <w:rPr>
                <w:rFonts w:ascii="Arial"/>
                <w:sz w:val="21"/>
              </w:rPr>
            </w:pPr>
          </w:p>
        </w:tc>
        <w:tc>
          <w:tcPr>
            <w:tcW w:w="1470" w:type="dxa"/>
            <w:vAlign w:val="top"/>
          </w:tcPr>
          <w:p>
            <w:pPr>
              <w:rPr>
                <w:rFonts w:ascii="Arial"/>
                <w:sz w:val="21"/>
              </w:rPr>
            </w:pPr>
          </w:p>
        </w:tc>
        <w:tc>
          <w:tcPr>
            <w:tcW w:w="2069" w:type="dxa"/>
            <w:vAlign w:val="top"/>
          </w:tcPr>
          <w:p>
            <w:pPr>
              <w:rPr>
                <w:rFonts w:ascii="Arial"/>
                <w:sz w:val="21"/>
              </w:rPr>
            </w:pPr>
          </w:p>
        </w:tc>
        <w:tc>
          <w:tcPr>
            <w:tcW w:w="163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restart"/>
            <w:tcBorders>
              <w:bottom w:val="nil"/>
            </w:tcBorders>
            <w:vAlign w:val="top"/>
          </w:tcPr>
          <w:p>
            <w:pPr>
              <w:spacing w:line="355" w:lineRule="auto"/>
              <w:rPr>
                <w:rFonts w:ascii="Arial"/>
                <w:sz w:val="21"/>
              </w:rPr>
            </w:pPr>
          </w:p>
          <w:p>
            <w:pPr>
              <w:pStyle w:val="38"/>
              <w:spacing w:before="55" w:line="227" w:lineRule="auto"/>
              <w:ind w:left="81"/>
            </w:pPr>
            <w:r>
              <w:rPr>
                <w:spacing w:val="3"/>
              </w:rPr>
              <w:t>时效指标</w:t>
            </w:r>
          </w:p>
        </w:tc>
        <w:tc>
          <w:tcPr>
            <w:tcW w:w="2493" w:type="dxa"/>
            <w:vAlign w:val="top"/>
          </w:tcPr>
          <w:p>
            <w:pPr>
              <w:pStyle w:val="38"/>
              <w:spacing w:before="82" w:line="227" w:lineRule="auto"/>
              <w:ind w:left="715"/>
            </w:pPr>
            <w:r>
              <w:rPr>
                <w:spacing w:val="5"/>
              </w:rPr>
              <w:t>项目完成时限</w:t>
            </w:r>
          </w:p>
        </w:tc>
        <w:tc>
          <w:tcPr>
            <w:tcW w:w="1470" w:type="dxa"/>
            <w:vAlign w:val="top"/>
          </w:tcPr>
          <w:p>
            <w:pPr>
              <w:pStyle w:val="38"/>
              <w:spacing w:before="82" w:line="227" w:lineRule="auto"/>
              <w:ind w:left="32"/>
            </w:pPr>
            <w:r>
              <w:rPr>
                <w:spacing w:val="3"/>
              </w:rPr>
              <w:t>年内</w:t>
            </w:r>
          </w:p>
        </w:tc>
        <w:tc>
          <w:tcPr>
            <w:tcW w:w="2069" w:type="dxa"/>
            <w:vAlign w:val="top"/>
          </w:tcPr>
          <w:p>
            <w:pPr>
              <w:pStyle w:val="38"/>
              <w:spacing w:before="82" w:line="227" w:lineRule="auto"/>
              <w:ind w:left="35"/>
            </w:pPr>
            <w:r>
              <w:rPr>
                <w:spacing w:val="3"/>
              </w:rPr>
              <w:t>年内</w:t>
            </w:r>
          </w:p>
        </w:tc>
        <w:tc>
          <w:tcPr>
            <w:tcW w:w="163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continue"/>
            <w:tcBorders>
              <w:top w:val="nil"/>
              <w:bottom w:val="nil"/>
            </w:tcBorders>
            <w:vAlign w:val="top"/>
          </w:tcPr>
          <w:p>
            <w:pPr>
              <w:rPr>
                <w:rFonts w:ascii="Arial"/>
                <w:sz w:val="21"/>
              </w:rPr>
            </w:pPr>
          </w:p>
        </w:tc>
        <w:tc>
          <w:tcPr>
            <w:tcW w:w="2493" w:type="dxa"/>
            <w:vAlign w:val="top"/>
          </w:tcPr>
          <w:p>
            <w:pPr>
              <w:rPr>
                <w:rFonts w:ascii="Arial"/>
                <w:sz w:val="21"/>
              </w:rPr>
            </w:pPr>
          </w:p>
        </w:tc>
        <w:tc>
          <w:tcPr>
            <w:tcW w:w="1470" w:type="dxa"/>
            <w:vAlign w:val="top"/>
          </w:tcPr>
          <w:p>
            <w:pPr>
              <w:rPr>
                <w:rFonts w:ascii="Arial"/>
                <w:sz w:val="21"/>
              </w:rPr>
            </w:pPr>
          </w:p>
        </w:tc>
        <w:tc>
          <w:tcPr>
            <w:tcW w:w="2069" w:type="dxa"/>
            <w:vAlign w:val="top"/>
          </w:tcPr>
          <w:p>
            <w:pPr>
              <w:rPr>
                <w:rFonts w:ascii="Arial"/>
                <w:sz w:val="21"/>
              </w:rPr>
            </w:pPr>
          </w:p>
        </w:tc>
        <w:tc>
          <w:tcPr>
            <w:tcW w:w="163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continue"/>
            <w:tcBorders>
              <w:top w:val="nil"/>
            </w:tcBorders>
            <w:vAlign w:val="top"/>
          </w:tcPr>
          <w:p>
            <w:pPr>
              <w:rPr>
                <w:rFonts w:ascii="Arial"/>
                <w:sz w:val="21"/>
              </w:rPr>
            </w:pPr>
          </w:p>
        </w:tc>
        <w:tc>
          <w:tcPr>
            <w:tcW w:w="2493" w:type="dxa"/>
            <w:vAlign w:val="top"/>
          </w:tcPr>
          <w:p>
            <w:pPr>
              <w:rPr>
                <w:rFonts w:ascii="Arial"/>
                <w:sz w:val="21"/>
              </w:rPr>
            </w:pPr>
          </w:p>
        </w:tc>
        <w:tc>
          <w:tcPr>
            <w:tcW w:w="1470" w:type="dxa"/>
            <w:vAlign w:val="top"/>
          </w:tcPr>
          <w:p>
            <w:pPr>
              <w:rPr>
                <w:rFonts w:ascii="Arial"/>
                <w:sz w:val="21"/>
              </w:rPr>
            </w:pPr>
          </w:p>
        </w:tc>
        <w:tc>
          <w:tcPr>
            <w:tcW w:w="2069" w:type="dxa"/>
            <w:vAlign w:val="top"/>
          </w:tcPr>
          <w:p>
            <w:pPr>
              <w:rPr>
                <w:rFonts w:ascii="Arial"/>
                <w:sz w:val="21"/>
              </w:rPr>
            </w:pPr>
          </w:p>
        </w:tc>
        <w:tc>
          <w:tcPr>
            <w:tcW w:w="163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restart"/>
            <w:tcBorders>
              <w:bottom w:val="nil"/>
            </w:tcBorders>
            <w:vAlign w:val="top"/>
          </w:tcPr>
          <w:p>
            <w:pPr>
              <w:spacing w:line="356" w:lineRule="auto"/>
              <w:rPr>
                <w:rFonts w:ascii="Arial"/>
                <w:sz w:val="21"/>
              </w:rPr>
            </w:pPr>
          </w:p>
          <w:p>
            <w:pPr>
              <w:pStyle w:val="38"/>
              <w:spacing w:before="55" w:line="226" w:lineRule="auto"/>
              <w:ind w:left="74"/>
            </w:pPr>
            <w:r>
              <w:rPr>
                <w:spacing w:val="5"/>
              </w:rPr>
              <w:t>成本指标</w:t>
            </w:r>
          </w:p>
        </w:tc>
        <w:tc>
          <w:tcPr>
            <w:tcW w:w="2493" w:type="dxa"/>
            <w:vAlign w:val="top"/>
          </w:tcPr>
          <w:p>
            <w:pPr>
              <w:rPr>
                <w:rFonts w:ascii="Arial"/>
                <w:sz w:val="21"/>
              </w:rPr>
            </w:pPr>
          </w:p>
        </w:tc>
        <w:tc>
          <w:tcPr>
            <w:tcW w:w="1470" w:type="dxa"/>
            <w:vAlign w:val="top"/>
          </w:tcPr>
          <w:p>
            <w:pPr>
              <w:rPr>
                <w:rFonts w:ascii="Arial"/>
                <w:sz w:val="21"/>
              </w:rPr>
            </w:pPr>
          </w:p>
        </w:tc>
        <w:tc>
          <w:tcPr>
            <w:tcW w:w="2069" w:type="dxa"/>
            <w:vAlign w:val="top"/>
          </w:tcPr>
          <w:p>
            <w:pPr>
              <w:rPr>
                <w:rFonts w:ascii="Arial"/>
                <w:sz w:val="21"/>
              </w:rPr>
            </w:pPr>
          </w:p>
        </w:tc>
        <w:tc>
          <w:tcPr>
            <w:tcW w:w="163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continue"/>
            <w:tcBorders>
              <w:top w:val="nil"/>
              <w:bottom w:val="nil"/>
            </w:tcBorders>
            <w:vAlign w:val="top"/>
          </w:tcPr>
          <w:p>
            <w:pPr>
              <w:rPr>
                <w:rFonts w:ascii="Arial"/>
                <w:sz w:val="21"/>
              </w:rPr>
            </w:pPr>
          </w:p>
        </w:tc>
        <w:tc>
          <w:tcPr>
            <w:tcW w:w="2493" w:type="dxa"/>
            <w:vAlign w:val="top"/>
          </w:tcPr>
          <w:p>
            <w:pPr>
              <w:rPr>
                <w:rFonts w:ascii="Arial"/>
                <w:sz w:val="21"/>
              </w:rPr>
            </w:pPr>
          </w:p>
        </w:tc>
        <w:tc>
          <w:tcPr>
            <w:tcW w:w="1470" w:type="dxa"/>
            <w:vAlign w:val="top"/>
          </w:tcPr>
          <w:p>
            <w:pPr>
              <w:rPr>
                <w:rFonts w:ascii="Arial"/>
                <w:sz w:val="21"/>
              </w:rPr>
            </w:pPr>
          </w:p>
        </w:tc>
        <w:tc>
          <w:tcPr>
            <w:tcW w:w="2069" w:type="dxa"/>
            <w:vAlign w:val="top"/>
          </w:tcPr>
          <w:p>
            <w:pPr>
              <w:rPr>
                <w:rFonts w:ascii="Arial"/>
                <w:sz w:val="21"/>
              </w:rPr>
            </w:pPr>
          </w:p>
        </w:tc>
        <w:tc>
          <w:tcPr>
            <w:tcW w:w="163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continue"/>
            <w:tcBorders>
              <w:top w:val="nil"/>
            </w:tcBorders>
            <w:vAlign w:val="top"/>
          </w:tcPr>
          <w:p>
            <w:pPr>
              <w:rPr>
                <w:rFonts w:ascii="Arial"/>
                <w:sz w:val="21"/>
              </w:rPr>
            </w:pPr>
          </w:p>
        </w:tc>
        <w:tc>
          <w:tcPr>
            <w:tcW w:w="2493" w:type="dxa"/>
            <w:vAlign w:val="top"/>
          </w:tcPr>
          <w:p>
            <w:pPr>
              <w:rPr>
                <w:rFonts w:ascii="Arial"/>
                <w:sz w:val="21"/>
              </w:rPr>
            </w:pPr>
          </w:p>
        </w:tc>
        <w:tc>
          <w:tcPr>
            <w:tcW w:w="1470" w:type="dxa"/>
            <w:vAlign w:val="top"/>
          </w:tcPr>
          <w:p>
            <w:pPr>
              <w:rPr>
                <w:rFonts w:ascii="Arial"/>
                <w:sz w:val="21"/>
              </w:rPr>
            </w:pPr>
          </w:p>
        </w:tc>
        <w:tc>
          <w:tcPr>
            <w:tcW w:w="2069" w:type="dxa"/>
            <w:vAlign w:val="top"/>
          </w:tcPr>
          <w:p>
            <w:pPr>
              <w:rPr>
                <w:rFonts w:ascii="Arial"/>
                <w:sz w:val="21"/>
              </w:rPr>
            </w:pPr>
          </w:p>
        </w:tc>
        <w:tc>
          <w:tcPr>
            <w:tcW w:w="163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tcBorders>
            <w:textDirection w:val="tbRlV"/>
            <w:vAlign w:val="top"/>
          </w:tcPr>
          <w:p>
            <w:pPr>
              <w:rPr>
                <w:rFonts w:ascii="Arial"/>
                <w:sz w:val="21"/>
              </w:rPr>
            </w:pPr>
          </w:p>
        </w:tc>
        <w:tc>
          <w:tcPr>
            <w:tcW w:w="858" w:type="dxa"/>
            <w:vAlign w:val="top"/>
          </w:tcPr>
          <w:p>
            <w:pPr>
              <w:pStyle w:val="38"/>
              <w:spacing w:before="86" w:line="242" w:lineRule="auto"/>
              <w:ind w:left="263"/>
            </w:pPr>
            <w:r>
              <w:rPr>
                <w:spacing w:val="-2"/>
              </w:rPr>
              <w:t>……</w:t>
            </w:r>
          </w:p>
        </w:tc>
        <w:tc>
          <w:tcPr>
            <w:tcW w:w="2493" w:type="dxa"/>
            <w:vAlign w:val="top"/>
          </w:tcPr>
          <w:p>
            <w:pPr>
              <w:rPr>
                <w:rFonts w:ascii="Arial"/>
                <w:sz w:val="21"/>
              </w:rPr>
            </w:pPr>
          </w:p>
        </w:tc>
        <w:tc>
          <w:tcPr>
            <w:tcW w:w="1470" w:type="dxa"/>
            <w:vAlign w:val="top"/>
          </w:tcPr>
          <w:p>
            <w:pPr>
              <w:rPr>
                <w:rFonts w:ascii="Arial"/>
                <w:sz w:val="21"/>
              </w:rPr>
            </w:pPr>
          </w:p>
        </w:tc>
        <w:tc>
          <w:tcPr>
            <w:tcW w:w="2069" w:type="dxa"/>
            <w:vAlign w:val="top"/>
          </w:tcPr>
          <w:p>
            <w:pPr>
              <w:rPr>
                <w:rFonts w:ascii="Arial"/>
                <w:sz w:val="21"/>
              </w:rPr>
            </w:pPr>
          </w:p>
        </w:tc>
        <w:tc>
          <w:tcPr>
            <w:tcW w:w="163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56" w:type="dxa"/>
            <w:vMerge w:val="continue"/>
            <w:tcBorders>
              <w:top w:val="nil"/>
              <w:bottom w:val="nil"/>
            </w:tcBorders>
            <w:textDirection w:val="tbRlV"/>
            <w:vAlign w:val="top"/>
          </w:tcPr>
          <w:p>
            <w:pPr>
              <w:rPr>
                <w:rFonts w:ascii="Arial"/>
                <w:sz w:val="21"/>
              </w:rPr>
            </w:pPr>
          </w:p>
        </w:tc>
        <w:tc>
          <w:tcPr>
            <w:tcW w:w="393" w:type="dxa"/>
            <w:vMerge w:val="restart"/>
            <w:tcBorders>
              <w:bottom w:val="nil"/>
            </w:tcBorders>
            <w:textDirection w:val="tbRlV"/>
            <w:vAlign w:val="top"/>
          </w:tcPr>
          <w:p>
            <w:pPr>
              <w:pStyle w:val="38"/>
              <w:spacing w:before="102" w:line="215" w:lineRule="auto"/>
              <w:ind w:left="1233"/>
            </w:pPr>
            <w:r>
              <w:rPr>
                <w:spacing w:val="38"/>
              </w:rPr>
              <w:t>效益指标</w:t>
            </w:r>
          </w:p>
        </w:tc>
        <w:tc>
          <w:tcPr>
            <w:tcW w:w="858" w:type="dxa"/>
            <w:vMerge w:val="restart"/>
            <w:tcBorders>
              <w:bottom w:val="nil"/>
            </w:tcBorders>
            <w:vAlign w:val="top"/>
          </w:tcPr>
          <w:p>
            <w:pPr>
              <w:spacing w:line="250" w:lineRule="auto"/>
              <w:rPr>
                <w:rFonts w:ascii="Arial"/>
                <w:sz w:val="21"/>
              </w:rPr>
            </w:pPr>
          </w:p>
          <w:p>
            <w:pPr>
              <w:pStyle w:val="38"/>
              <w:spacing w:before="55" w:line="232" w:lineRule="auto"/>
              <w:ind w:left="254" w:right="72" w:hanging="180"/>
            </w:pPr>
            <w:r>
              <w:rPr>
                <w:spacing w:val="5"/>
              </w:rPr>
              <w:t>经济效益</w:t>
            </w:r>
            <w:r>
              <w:t xml:space="preserve"> </w:t>
            </w:r>
            <w:r>
              <w:rPr>
                <w:spacing w:val="2"/>
              </w:rPr>
              <w:t>指标</w:t>
            </w:r>
          </w:p>
        </w:tc>
        <w:tc>
          <w:tcPr>
            <w:tcW w:w="2493" w:type="dxa"/>
            <w:vAlign w:val="top"/>
          </w:tcPr>
          <w:p>
            <w:pPr>
              <w:rPr>
                <w:rFonts w:ascii="Arial"/>
                <w:sz w:val="21"/>
              </w:rPr>
            </w:pPr>
          </w:p>
        </w:tc>
        <w:tc>
          <w:tcPr>
            <w:tcW w:w="1470" w:type="dxa"/>
            <w:vAlign w:val="top"/>
          </w:tcPr>
          <w:p>
            <w:pPr>
              <w:rPr>
                <w:rFonts w:ascii="Arial"/>
                <w:sz w:val="21"/>
              </w:rPr>
            </w:pPr>
          </w:p>
        </w:tc>
        <w:tc>
          <w:tcPr>
            <w:tcW w:w="2069" w:type="dxa"/>
            <w:vAlign w:val="top"/>
          </w:tcPr>
          <w:p>
            <w:pPr>
              <w:rPr>
                <w:rFonts w:ascii="Arial"/>
                <w:sz w:val="21"/>
              </w:rPr>
            </w:pPr>
          </w:p>
        </w:tc>
        <w:tc>
          <w:tcPr>
            <w:tcW w:w="163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continue"/>
            <w:tcBorders>
              <w:top w:val="nil"/>
              <w:bottom w:val="nil"/>
            </w:tcBorders>
            <w:vAlign w:val="top"/>
          </w:tcPr>
          <w:p>
            <w:pPr>
              <w:rPr>
                <w:rFonts w:ascii="Arial"/>
                <w:sz w:val="21"/>
              </w:rPr>
            </w:pPr>
          </w:p>
        </w:tc>
        <w:tc>
          <w:tcPr>
            <w:tcW w:w="2493" w:type="dxa"/>
            <w:vAlign w:val="top"/>
          </w:tcPr>
          <w:p>
            <w:pPr>
              <w:rPr>
                <w:rFonts w:ascii="Arial"/>
                <w:sz w:val="21"/>
              </w:rPr>
            </w:pPr>
          </w:p>
        </w:tc>
        <w:tc>
          <w:tcPr>
            <w:tcW w:w="1470" w:type="dxa"/>
            <w:vAlign w:val="top"/>
          </w:tcPr>
          <w:p>
            <w:pPr>
              <w:rPr>
                <w:rFonts w:ascii="Arial"/>
                <w:sz w:val="21"/>
              </w:rPr>
            </w:pPr>
          </w:p>
        </w:tc>
        <w:tc>
          <w:tcPr>
            <w:tcW w:w="2069" w:type="dxa"/>
            <w:vAlign w:val="top"/>
          </w:tcPr>
          <w:p>
            <w:pPr>
              <w:rPr>
                <w:rFonts w:ascii="Arial"/>
                <w:sz w:val="21"/>
              </w:rPr>
            </w:pPr>
          </w:p>
        </w:tc>
        <w:tc>
          <w:tcPr>
            <w:tcW w:w="163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continue"/>
            <w:tcBorders>
              <w:top w:val="nil"/>
            </w:tcBorders>
            <w:vAlign w:val="top"/>
          </w:tcPr>
          <w:p>
            <w:pPr>
              <w:rPr>
                <w:rFonts w:ascii="Arial"/>
                <w:sz w:val="21"/>
              </w:rPr>
            </w:pPr>
          </w:p>
        </w:tc>
        <w:tc>
          <w:tcPr>
            <w:tcW w:w="2493" w:type="dxa"/>
            <w:vAlign w:val="top"/>
          </w:tcPr>
          <w:p>
            <w:pPr>
              <w:rPr>
                <w:rFonts w:ascii="Arial"/>
                <w:sz w:val="21"/>
              </w:rPr>
            </w:pPr>
          </w:p>
        </w:tc>
        <w:tc>
          <w:tcPr>
            <w:tcW w:w="1470" w:type="dxa"/>
            <w:vAlign w:val="top"/>
          </w:tcPr>
          <w:p>
            <w:pPr>
              <w:rPr>
                <w:rFonts w:ascii="Arial"/>
                <w:sz w:val="21"/>
              </w:rPr>
            </w:pPr>
          </w:p>
        </w:tc>
        <w:tc>
          <w:tcPr>
            <w:tcW w:w="2069" w:type="dxa"/>
            <w:vAlign w:val="top"/>
          </w:tcPr>
          <w:p>
            <w:pPr>
              <w:rPr>
                <w:rFonts w:ascii="Arial"/>
                <w:sz w:val="21"/>
              </w:rPr>
            </w:pPr>
          </w:p>
        </w:tc>
        <w:tc>
          <w:tcPr>
            <w:tcW w:w="163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restart"/>
            <w:tcBorders>
              <w:bottom w:val="nil"/>
            </w:tcBorders>
            <w:vAlign w:val="top"/>
          </w:tcPr>
          <w:p>
            <w:pPr>
              <w:spacing w:line="307" w:lineRule="auto"/>
              <w:rPr>
                <w:rFonts w:ascii="Arial"/>
                <w:sz w:val="21"/>
              </w:rPr>
            </w:pPr>
          </w:p>
          <w:p>
            <w:pPr>
              <w:spacing w:line="307" w:lineRule="auto"/>
              <w:rPr>
                <w:rFonts w:ascii="Arial"/>
                <w:sz w:val="21"/>
              </w:rPr>
            </w:pPr>
          </w:p>
          <w:p>
            <w:pPr>
              <w:pStyle w:val="38"/>
              <w:spacing w:before="55" w:line="233" w:lineRule="auto"/>
              <w:ind w:left="254" w:right="72" w:hanging="180"/>
            </w:pPr>
            <w:r>
              <w:rPr>
                <w:spacing w:val="5"/>
              </w:rPr>
              <w:t>社会效益</w:t>
            </w:r>
            <w:r>
              <w:t xml:space="preserve"> </w:t>
            </w:r>
            <w:r>
              <w:rPr>
                <w:spacing w:val="2"/>
              </w:rPr>
              <w:t>指标</w:t>
            </w:r>
          </w:p>
        </w:tc>
        <w:tc>
          <w:tcPr>
            <w:tcW w:w="2493" w:type="dxa"/>
            <w:vAlign w:val="top"/>
          </w:tcPr>
          <w:p>
            <w:pPr>
              <w:pStyle w:val="38"/>
              <w:spacing w:before="208" w:line="227" w:lineRule="auto"/>
              <w:ind w:left="352"/>
            </w:pPr>
            <w:r>
              <w:rPr>
                <w:spacing w:val="6"/>
              </w:rPr>
              <w:t>城乡居民公共卫生差距</w:t>
            </w:r>
          </w:p>
        </w:tc>
        <w:tc>
          <w:tcPr>
            <w:tcW w:w="1470" w:type="dxa"/>
            <w:vAlign w:val="top"/>
          </w:tcPr>
          <w:p>
            <w:pPr>
              <w:pStyle w:val="38"/>
              <w:spacing w:before="221" w:line="230" w:lineRule="auto"/>
              <w:ind w:left="32"/>
              <w:rPr>
                <w:sz w:val="14"/>
                <w:szCs w:val="14"/>
              </w:rPr>
            </w:pPr>
            <w:r>
              <w:rPr>
                <w:spacing w:val="5"/>
                <w:sz w:val="14"/>
                <w:szCs w:val="14"/>
              </w:rPr>
              <w:t>不断缩小</w:t>
            </w:r>
          </w:p>
        </w:tc>
        <w:tc>
          <w:tcPr>
            <w:tcW w:w="2069" w:type="dxa"/>
            <w:vAlign w:val="top"/>
          </w:tcPr>
          <w:p>
            <w:pPr>
              <w:pStyle w:val="38"/>
              <w:spacing w:before="221" w:line="230" w:lineRule="auto"/>
              <w:ind w:left="36"/>
              <w:rPr>
                <w:sz w:val="14"/>
                <w:szCs w:val="14"/>
              </w:rPr>
            </w:pPr>
            <w:r>
              <w:rPr>
                <w:spacing w:val="5"/>
                <w:sz w:val="14"/>
                <w:szCs w:val="14"/>
              </w:rPr>
              <w:t>不断缩小</w:t>
            </w:r>
          </w:p>
        </w:tc>
        <w:tc>
          <w:tcPr>
            <w:tcW w:w="163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continue"/>
            <w:tcBorders>
              <w:top w:val="nil"/>
              <w:bottom w:val="nil"/>
            </w:tcBorders>
            <w:vAlign w:val="top"/>
          </w:tcPr>
          <w:p>
            <w:pPr>
              <w:rPr>
                <w:rFonts w:ascii="Arial"/>
                <w:sz w:val="21"/>
              </w:rPr>
            </w:pPr>
          </w:p>
        </w:tc>
        <w:tc>
          <w:tcPr>
            <w:tcW w:w="2493" w:type="dxa"/>
            <w:vAlign w:val="top"/>
          </w:tcPr>
          <w:p>
            <w:pPr>
              <w:pStyle w:val="38"/>
              <w:spacing w:before="101" w:line="232" w:lineRule="auto"/>
              <w:ind w:left="986" w:right="98" w:hanging="902"/>
            </w:pPr>
            <w:r>
              <w:rPr>
                <w:spacing w:val="6"/>
              </w:rPr>
              <w:t>居民健康保健意识和健康知识</w:t>
            </w:r>
            <w:r>
              <w:rPr>
                <w:spacing w:val="10"/>
              </w:rPr>
              <w:t xml:space="preserve"> </w:t>
            </w:r>
            <w:r>
              <w:rPr>
                <w:spacing w:val="3"/>
              </w:rPr>
              <w:t>知晓率</w:t>
            </w:r>
          </w:p>
        </w:tc>
        <w:tc>
          <w:tcPr>
            <w:tcW w:w="1470" w:type="dxa"/>
            <w:vAlign w:val="top"/>
          </w:tcPr>
          <w:p>
            <w:pPr>
              <w:pStyle w:val="38"/>
              <w:spacing w:before="221" w:line="190" w:lineRule="exact"/>
              <w:ind w:left="577"/>
              <w:rPr>
                <w:sz w:val="14"/>
                <w:szCs w:val="14"/>
              </w:rPr>
            </w:pPr>
            <w:r>
              <w:rPr>
                <w:spacing w:val="-2"/>
                <w:position w:val="1"/>
                <w:sz w:val="14"/>
                <w:szCs w:val="14"/>
              </w:rPr>
              <w:t>≧80%</w:t>
            </w:r>
          </w:p>
        </w:tc>
        <w:tc>
          <w:tcPr>
            <w:tcW w:w="2069" w:type="dxa"/>
            <w:vAlign w:val="top"/>
          </w:tcPr>
          <w:p>
            <w:pPr>
              <w:pStyle w:val="38"/>
              <w:spacing w:before="221" w:line="190" w:lineRule="exact"/>
              <w:ind w:left="878"/>
              <w:rPr>
                <w:sz w:val="14"/>
                <w:szCs w:val="14"/>
              </w:rPr>
            </w:pPr>
            <w:r>
              <w:rPr>
                <w:spacing w:val="-2"/>
                <w:position w:val="1"/>
                <w:sz w:val="14"/>
                <w:szCs w:val="14"/>
              </w:rPr>
              <w:t>≧80%</w:t>
            </w:r>
          </w:p>
        </w:tc>
        <w:tc>
          <w:tcPr>
            <w:tcW w:w="163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textDirection w:val="tbRlV"/>
            <w:vAlign w:val="top"/>
          </w:tcPr>
          <w:p>
            <w:pPr>
              <w:rPr>
                <w:rFonts w:ascii="Arial"/>
                <w:sz w:val="21"/>
              </w:rPr>
            </w:pPr>
          </w:p>
        </w:tc>
        <w:tc>
          <w:tcPr>
            <w:tcW w:w="858" w:type="dxa"/>
            <w:vMerge w:val="continue"/>
            <w:tcBorders>
              <w:top w:val="nil"/>
            </w:tcBorders>
            <w:vAlign w:val="top"/>
          </w:tcPr>
          <w:p>
            <w:pPr>
              <w:rPr>
                <w:rFonts w:ascii="Arial"/>
                <w:sz w:val="21"/>
              </w:rPr>
            </w:pPr>
          </w:p>
        </w:tc>
        <w:tc>
          <w:tcPr>
            <w:tcW w:w="2493" w:type="dxa"/>
            <w:vAlign w:val="top"/>
          </w:tcPr>
          <w:p>
            <w:pPr>
              <w:pStyle w:val="38"/>
              <w:spacing w:before="99" w:line="233" w:lineRule="auto"/>
              <w:ind w:left="444" w:right="98" w:hanging="359"/>
            </w:pPr>
            <w:r>
              <w:rPr>
                <w:spacing w:val="6"/>
              </w:rPr>
              <w:t>建档立卡贫困人口健康保健意</w:t>
            </w:r>
            <w:r>
              <w:rPr>
                <w:spacing w:val="10"/>
              </w:rPr>
              <w:t xml:space="preserve"> </w:t>
            </w:r>
            <w:r>
              <w:rPr>
                <w:spacing w:val="6"/>
              </w:rPr>
              <w:t>识和健康知识知晓率</w:t>
            </w:r>
          </w:p>
        </w:tc>
        <w:tc>
          <w:tcPr>
            <w:tcW w:w="1470" w:type="dxa"/>
            <w:vAlign w:val="top"/>
          </w:tcPr>
          <w:p>
            <w:pPr>
              <w:pStyle w:val="38"/>
              <w:spacing w:before="219" w:line="190" w:lineRule="exact"/>
              <w:ind w:left="577"/>
              <w:rPr>
                <w:sz w:val="14"/>
                <w:szCs w:val="14"/>
              </w:rPr>
            </w:pPr>
            <w:r>
              <w:rPr>
                <w:spacing w:val="-2"/>
                <w:position w:val="1"/>
                <w:sz w:val="14"/>
                <w:szCs w:val="14"/>
              </w:rPr>
              <w:t>≧90%</w:t>
            </w:r>
          </w:p>
        </w:tc>
        <w:tc>
          <w:tcPr>
            <w:tcW w:w="2069" w:type="dxa"/>
            <w:vAlign w:val="top"/>
          </w:tcPr>
          <w:p>
            <w:pPr>
              <w:pStyle w:val="38"/>
              <w:spacing w:before="219" w:line="190" w:lineRule="exact"/>
              <w:ind w:left="878"/>
              <w:rPr>
                <w:sz w:val="14"/>
                <w:szCs w:val="14"/>
              </w:rPr>
            </w:pPr>
            <w:r>
              <w:rPr>
                <w:spacing w:val="-2"/>
                <w:position w:val="1"/>
                <w:sz w:val="14"/>
                <w:szCs w:val="14"/>
              </w:rPr>
              <w:t>≧90%</w:t>
            </w:r>
          </w:p>
        </w:tc>
        <w:tc>
          <w:tcPr>
            <w:tcW w:w="163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tcBorders>
            <w:textDirection w:val="tbRlV"/>
            <w:vAlign w:val="top"/>
          </w:tcPr>
          <w:p>
            <w:pPr>
              <w:rPr>
                <w:rFonts w:ascii="Arial"/>
                <w:sz w:val="21"/>
              </w:rPr>
            </w:pPr>
          </w:p>
        </w:tc>
        <w:tc>
          <w:tcPr>
            <w:tcW w:w="858" w:type="dxa"/>
            <w:vAlign w:val="top"/>
          </w:tcPr>
          <w:p>
            <w:pPr>
              <w:pStyle w:val="38"/>
              <w:spacing w:before="99" w:line="227" w:lineRule="auto"/>
              <w:ind w:left="74"/>
            </w:pPr>
            <w:r>
              <w:rPr>
                <w:spacing w:val="5"/>
              </w:rPr>
              <w:t>可持续影</w:t>
            </w:r>
            <w:r>
              <w:rPr>
                <w:spacing w:val="2"/>
              </w:rPr>
              <w:t>响指标</w:t>
            </w:r>
          </w:p>
        </w:tc>
        <w:tc>
          <w:tcPr>
            <w:tcW w:w="2493" w:type="dxa"/>
            <w:vAlign w:val="top"/>
          </w:tcPr>
          <w:p>
            <w:pPr>
              <w:pStyle w:val="38"/>
              <w:spacing w:before="220" w:line="230" w:lineRule="auto"/>
              <w:ind w:left="27"/>
              <w:rPr>
                <w:sz w:val="14"/>
                <w:szCs w:val="14"/>
              </w:rPr>
            </w:pPr>
            <w:r>
              <w:rPr>
                <w:spacing w:val="6"/>
                <w:sz w:val="14"/>
                <w:szCs w:val="14"/>
              </w:rPr>
              <w:t>基本公共卫生服务水平</w:t>
            </w:r>
          </w:p>
        </w:tc>
        <w:tc>
          <w:tcPr>
            <w:tcW w:w="1470" w:type="dxa"/>
            <w:vAlign w:val="top"/>
          </w:tcPr>
          <w:p>
            <w:pPr>
              <w:pStyle w:val="38"/>
              <w:spacing w:before="220" w:line="231" w:lineRule="auto"/>
              <w:ind w:left="32"/>
              <w:rPr>
                <w:sz w:val="14"/>
                <w:szCs w:val="14"/>
              </w:rPr>
            </w:pPr>
            <w:r>
              <w:rPr>
                <w:spacing w:val="5"/>
                <w:sz w:val="14"/>
                <w:szCs w:val="14"/>
              </w:rPr>
              <w:t>不断提高</w:t>
            </w:r>
          </w:p>
        </w:tc>
        <w:tc>
          <w:tcPr>
            <w:tcW w:w="2069" w:type="dxa"/>
            <w:vAlign w:val="top"/>
          </w:tcPr>
          <w:p>
            <w:pPr>
              <w:pStyle w:val="38"/>
              <w:spacing w:before="220" w:line="231" w:lineRule="auto"/>
              <w:ind w:left="748"/>
              <w:rPr>
                <w:sz w:val="14"/>
                <w:szCs w:val="14"/>
              </w:rPr>
            </w:pPr>
            <w:r>
              <w:rPr>
                <w:spacing w:val="5"/>
                <w:sz w:val="14"/>
                <w:szCs w:val="14"/>
              </w:rPr>
              <w:t>不断提高</w:t>
            </w:r>
          </w:p>
        </w:tc>
        <w:tc>
          <w:tcPr>
            <w:tcW w:w="163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856" w:type="dxa"/>
            <w:vMerge w:val="continue"/>
            <w:tcBorders>
              <w:top w:val="nil"/>
              <w:bottom w:val="nil"/>
            </w:tcBorders>
            <w:textDirection w:val="tbRlV"/>
            <w:vAlign w:val="top"/>
          </w:tcPr>
          <w:p>
            <w:pPr>
              <w:rPr>
                <w:rFonts w:ascii="Arial"/>
                <w:sz w:val="21"/>
              </w:rPr>
            </w:pPr>
          </w:p>
        </w:tc>
        <w:tc>
          <w:tcPr>
            <w:tcW w:w="393" w:type="dxa"/>
            <w:vMerge w:val="restart"/>
            <w:tcBorders>
              <w:bottom w:val="nil"/>
            </w:tcBorders>
            <w:vAlign w:val="top"/>
          </w:tcPr>
          <w:p>
            <w:pPr>
              <w:pStyle w:val="38"/>
              <w:spacing w:before="68" w:line="241" w:lineRule="auto"/>
              <w:ind w:left="51" w:right="40"/>
              <w:jc w:val="both"/>
              <w:rPr>
                <w:sz w:val="14"/>
                <w:szCs w:val="14"/>
              </w:rPr>
            </w:pPr>
            <w:r>
              <w:rPr>
                <w:spacing w:val="5"/>
                <w:sz w:val="14"/>
                <w:szCs w:val="14"/>
              </w:rPr>
              <w:t>满意</w:t>
            </w:r>
            <w:r>
              <w:rPr>
                <w:sz w:val="14"/>
                <w:szCs w:val="14"/>
              </w:rPr>
              <w:t xml:space="preserve"> </w:t>
            </w:r>
            <w:r>
              <w:rPr>
                <w:spacing w:val="5"/>
                <w:sz w:val="14"/>
                <w:szCs w:val="14"/>
              </w:rPr>
              <w:t>度指</w:t>
            </w:r>
            <w:r>
              <w:rPr>
                <w:sz w:val="14"/>
                <w:szCs w:val="14"/>
              </w:rPr>
              <w:t xml:space="preserve"> </w:t>
            </w:r>
            <w:r>
              <w:rPr>
                <w:spacing w:val="22"/>
                <w:w w:val="138"/>
                <w:sz w:val="14"/>
                <w:szCs w:val="14"/>
              </w:rPr>
              <w:t>标</w:t>
            </w:r>
          </w:p>
        </w:tc>
        <w:tc>
          <w:tcPr>
            <w:tcW w:w="858" w:type="dxa"/>
            <w:vMerge w:val="restart"/>
            <w:tcBorders>
              <w:bottom w:val="nil"/>
            </w:tcBorders>
            <w:vAlign w:val="top"/>
          </w:tcPr>
          <w:p>
            <w:pPr>
              <w:pStyle w:val="38"/>
              <w:spacing w:before="163" w:line="237" w:lineRule="auto"/>
              <w:ind w:left="59" w:right="56" w:firstLine="74"/>
              <w:rPr>
                <w:sz w:val="14"/>
                <w:szCs w:val="14"/>
              </w:rPr>
            </w:pPr>
            <w:r>
              <w:rPr>
                <w:spacing w:val="6"/>
                <w:sz w:val="14"/>
                <w:szCs w:val="14"/>
              </w:rPr>
              <w:t>服务对象</w:t>
            </w:r>
            <w:r>
              <w:rPr>
                <w:sz w:val="14"/>
                <w:szCs w:val="14"/>
              </w:rPr>
              <w:t xml:space="preserve">  </w:t>
            </w:r>
            <w:r>
              <w:rPr>
                <w:spacing w:val="6"/>
                <w:sz w:val="14"/>
                <w:szCs w:val="14"/>
              </w:rPr>
              <w:t>满意度指标</w:t>
            </w:r>
          </w:p>
        </w:tc>
        <w:tc>
          <w:tcPr>
            <w:tcW w:w="2493" w:type="dxa"/>
            <w:vAlign w:val="top"/>
          </w:tcPr>
          <w:p>
            <w:pPr>
              <w:pStyle w:val="38"/>
              <w:spacing w:before="41" w:line="200" w:lineRule="auto"/>
              <w:ind w:left="27"/>
              <w:rPr>
                <w:sz w:val="14"/>
                <w:szCs w:val="14"/>
              </w:rPr>
            </w:pPr>
            <w:r>
              <w:rPr>
                <w:spacing w:val="6"/>
                <w:sz w:val="14"/>
                <w:szCs w:val="14"/>
              </w:rPr>
              <w:t>服务对象满意度</w:t>
            </w:r>
          </w:p>
        </w:tc>
        <w:tc>
          <w:tcPr>
            <w:tcW w:w="1470" w:type="dxa"/>
            <w:vAlign w:val="top"/>
          </w:tcPr>
          <w:p>
            <w:pPr>
              <w:pStyle w:val="38"/>
              <w:spacing w:before="41" w:line="200" w:lineRule="auto"/>
              <w:ind w:left="32"/>
              <w:rPr>
                <w:sz w:val="14"/>
                <w:szCs w:val="14"/>
              </w:rPr>
            </w:pPr>
            <w:r>
              <w:rPr>
                <w:spacing w:val="5"/>
                <w:sz w:val="14"/>
                <w:szCs w:val="14"/>
              </w:rPr>
              <w:t>不断提高</w:t>
            </w:r>
          </w:p>
        </w:tc>
        <w:tc>
          <w:tcPr>
            <w:tcW w:w="2069" w:type="dxa"/>
            <w:vAlign w:val="top"/>
          </w:tcPr>
          <w:p>
            <w:pPr>
              <w:pStyle w:val="38"/>
              <w:spacing w:before="41" w:line="200" w:lineRule="auto"/>
              <w:ind w:left="36"/>
              <w:rPr>
                <w:sz w:val="14"/>
                <w:szCs w:val="14"/>
              </w:rPr>
            </w:pPr>
            <w:r>
              <w:rPr>
                <w:spacing w:val="5"/>
                <w:sz w:val="14"/>
                <w:szCs w:val="14"/>
              </w:rPr>
              <w:t>不断提高</w:t>
            </w:r>
          </w:p>
        </w:tc>
        <w:tc>
          <w:tcPr>
            <w:tcW w:w="1630" w:type="dxa"/>
            <w:vAlign w:val="top"/>
          </w:tcPr>
          <w:p>
            <w:pPr>
              <w:spacing w:line="192"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856" w:type="dxa"/>
            <w:vMerge w:val="continue"/>
            <w:tcBorders>
              <w:top w:val="nil"/>
              <w:bottom w:val="nil"/>
            </w:tcBorders>
            <w:textDirection w:val="tbRlV"/>
            <w:vAlign w:val="top"/>
          </w:tcPr>
          <w:p>
            <w:pPr>
              <w:rPr>
                <w:rFonts w:ascii="Arial"/>
                <w:sz w:val="21"/>
              </w:rPr>
            </w:pPr>
          </w:p>
        </w:tc>
        <w:tc>
          <w:tcPr>
            <w:tcW w:w="393" w:type="dxa"/>
            <w:vMerge w:val="continue"/>
            <w:tcBorders>
              <w:top w:val="nil"/>
              <w:bottom w:val="nil"/>
            </w:tcBorders>
            <w:vAlign w:val="top"/>
          </w:tcPr>
          <w:p>
            <w:pPr>
              <w:rPr>
                <w:rFonts w:ascii="Arial"/>
                <w:sz w:val="21"/>
              </w:rPr>
            </w:pPr>
          </w:p>
        </w:tc>
        <w:tc>
          <w:tcPr>
            <w:tcW w:w="858" w:type="dxa"/>
            <w:vMerge w:val="continue"/>
            <w:tcBorders>
              <w:top w:val="nil"/>
              <w:bottom w:val="nil"/>
            </w:tcBorders>
            <w:vAlign w:val="top"/>
          </w:tcPr>
          <w:p>
            <w:pPr>
              <w:rPr>
                <w:rFonts w:ascii="Arial"/>
                <w:sz w:val="21"/>
              </w:rPr>
            </w:pPr>
          </w:p>
        </w:tc>
        <w:tc>
          <w:tcPr>
            <w:tcW w:w="2493" w:type="dxa"/>
            <w:vAlign w:val="top"/>
          </w:tcPr>
          <w:p>
            <w:pPr>
              <w:pStyle w:val="38"/>
              <w:spacing w:before="26" w:line="219" w:lineRule="auto"/>
              <w:ind w:left="28"/>
              <w:rPr>
                <w:sz w:val="14"/>
                <w:szCs w:val="14"/>
              </w:rPr>
            </w:pPr>
            <w:r>
              <w:rPr>
                <w:spacing w:val="7"/>
                <w:sz w:val="14"/>
                <w:szCs w:val="14"/>
              </w:rPr>
              <w:t>居民满意度、建档立卡贫困户满意度</w:t>
            </w:r>
          </w:p>
        </w:tc>
        <w:tc>
          <w:tcPr>
            <w:tcW w:w="1470" w:type="dxa"/>
            <w:vAlign w:val="top"/>
          </w:tcPr>
          <w:p>
            <w:pPr>
              <w:pStyle w:val="38"/>
              <w:spacing w:before="44" w:line="196" w:lineRule="auto"/>
              <w:ind w:right="14"/>
              <w:jc w:val="right"/>
              <w:rPr>
                <w:sz w:val="14"/>
                <w:szCs w:val="14"/>
              </w:rPr>
            </w:pPr>
            <w:r>
              <w:rPr>
                <w:sz w:val="14"/>
                <w:szCs w:val="14"/>
              </w:rPr>
              <w:t>100%</w:t>
            </w:r>
          </w:p>
        </w:tc>
        <w:tc>
          <w:tcPr>
            <w:tcW w:w="2069" w:type="dxa"/>
            <w:vAlign w:val="top"/>
          </w:tcPr>
          <w:p>
            <w:pPr>
              <w:pStyle w:val="38"/>
              <w:spacing w:before="44" w:line="196" w:lineRule="auto"/>
              <w:ind w:right="11"/>
              <w:jc w:val="right"/>
              <w:rPr>
                <w:sz w:val="14"/>
                <w:szCs w:val="14"/>
              </w:rPr>
            </w:pPr>
            <w:r>
              <w:rPr>
                <w:sz w:val="14"/>
                <w:szCs w:val="14"/>
              </w:rPr>
              <w:t>100%</w:t>
            </w:r>
          </w:p>
        </w:tc>
        <w:tc>
          <w:tcPr>
            <w:tcW w:w="1630" w:type="dxa"/>
            <w:vAlign w:val="top"/>
          </w:tcPr>
          <w:p>
            <w:pPr>
              <w:spacing w:line="192"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856" w:type="dxa"/>
            <w:vMerge w:val="continue"/>
            <w:tcBorders>
              <w:top w:val="nil"/>
            </w:tcBorders>
            <w:textDirection w:val="tbRlV"/>
            <w:vAlign w:val="top"/>
          </w:tcPr>
          <w:p>
            <w:pPr>
              <w:rPr>
                <w:rFonts w:ascii="Arial"/>
                <w:sz w:val="21"/>
              </w:rPr>
            </w:pPr>
          </w:p>
        </w:tc>
        <w:tc>
          <w:tcPr>
            <w:tcW w:w="393" w:type="dxa"/>
            <w:vMerge w:val="continue"/>
            <w:tcBorders>
              <w:top w:val="nil"/>
            </w:tcBorders>
            <w:vAlign w:val="top"/>
          </w:tcPr>
          <w:p>
            <w:pPr>
              <w:rPr>
                <w:rFonts w:ascii="Arial"/>
                <w:sz w:val="21"/>
              </w:rPr>
            </w:pPr>
          </w:p>
        </w:tc>
        <w:tc>
          <w:tcPr>
            <w:tcW w:w="858" w:type="dxa"/>
            <w:vMerge w:val="continue"/>
            <w:tcBorders>
              <w:top w:val="nil"/>
            </w:tcBorders>
            <w:vAlign w:val="top"/>
          </w:tcPr>
          <w:p>
            <w:pPr>
              <w:rPr>
                <w:rFonts w:ascii="Arial"/>
                <w:sz w:val="21"/>
              </w:rPr>
            </w:pPr>
          </w:p>
        </w:tc>
        <w:tc>
          <w:tcPr>
            <w:tcW w:w="2493" w:type="dxa"/>
            <w:vAlign w:val="top"/>
          </w:tcPr>
          <w:p>
            <w:pPr>
              <w:spacing w:line="201" w:lineRule="exact"/>
              <w:rPr>
                <w:rFonts w:ascii="Arial"/>
                <w:sz w:val="17"/>
              </w:rPr>
            </w:pPr>
          </w:p>
        </w:tc>
        <w:tc>
          <w:tcPr>
            <w:tcW w:w="1470" w:type="dxa"/>
            <w:vAlign w:val="top"/>
          </w:tcPr>
          <w:p>
            <w:pPr>
              <w:spacing w:line="201" w:lineRule="exact"/>
              <w:rPr>
                <w:rFonts w:ascii="Arial"/>
                <w:sz w:val="17"/>
              </w:rPr>
            </w:pPr>
          </w:p>
        </w:tc>
        <w:tc>
          <w:tcPr>
            <w:tcW w:w="2069" w:type="dxa"/>
            <w:vAlign w:val="top"/>
          </w:tcPr>
          <w:p>
            <w:pPr>
              <w:spacing w:line="201" w:lineRule="exact"/>
              <w:rPr>
                <w:rFonts w:ascii="Arial"/>
                <w:sz w:val="17"/>
              </w:rPr>
            </w:pPr>
          </w:p>
        </w:tc>
        <w:tc>
          <w:tcPr>
            <w:tcW w:w="1630" w:type="dxa"/>
            <w:vAlign w:val="top"/>
          </w:tcPr>
          <w:p>
            <w:pPr>
              <w:spacing w:line="201" w:lineRule="exact"/>
              <w:rPr>
                <w:rFonts w:ascii="Arial"/>
                <w:sz w:val="17"/>
              </w:rPr>
            </w:pPr>
          </w:p>
        </w:tc>
      </w:tr>
    </w:tbl>
    <w:p>
      <w:pPr>
        <w:pStyle w:val="5"/>
        <w:rPr>
          <w:rFonts w:ascii="宋体" w:hAnsi="宋体" w:eastAsia="宋体" w:cs="宋体"/>
          <w:sz w:val="15"/>
          <w:szCs w:val="15"/>
        </w:rPr>
      </w:pPr>
    </w:p>
    <w:p>
      <w:pPr>
        <w:pStyle w:val="2"/>
        <w:jc w:val="center"/>
        <w:rPr>
          <w:rFonts w:ascii="黑体" w:hAnsi="黑体" w:eastAsia="黑体" w:cs="黑体"/>
        </w:rPr>
      </w:pPr>
      <w:bookmarkStart w:id="72" w:name="_Toc3397"/>
      <w:bookmarkStart w:id="73" w:name="_Toc79163885"/>
      <w:bookmarkStart w:id="74" w:name="_Toc111208512"/>
      <w:bookmarkStart w:id="75" w:name="_Toc79163635"/>
      <w:r>
        <w:rPr>
          <w:rFonts w:hint="eastAsia" w:ascii="黑体" w:hAnsi="黑体" w:eastAsia="黑体" w:cs="黑体"/>
        </w:rPr>
        <w:t>第五部分 附表</w:t>
      </w:r>
      <w:bookmarkEnd w:id="72"/>
      <w:bookmarkEnd w:id="73"/>
      <w:bookmarkEnd w:id="74"/>
      <w:bookmarkEnd w:id="75"/>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一、收入支出决算总表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二、收入决算表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三、支出决算表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四、财政拨款收入支出决算总表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五、财政拨款支出决算明细表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六、一般公共预算财政拨款支出决算表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七、一般公共预算财政拨款支出决算明细表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八、一般公共预算财政拨款基本支出决算表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九、一般公共预算财政拨款项目支出决算表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十、政府性基金预算财政拨款收入支出决算表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十一、国有资本经营预算财政拨款收入支出决算表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十二、国有资本经营预算财政拨款支出决算表</w:t>
      </w:r>
    </w:p>
    <w:p>
      <w:pPr>
        <w:pStyle w:val="3"/>
        <w:ind w:firstLine="643" w:firstLineChars="200"/>
        <w:rPr>
          <w:rFonts w:ascii="黑体" w:eastAsia="黑体" w:cs="Times New Roman"/>
          <w:b w:val="0"/>
          <w:color w:val="000000"/>
        </w:rPr>
      </w:pPr>
      <w:r>
        <w:rPr>
          <w:rFonts w:hint="eastAsia" w:ascii="黑体" w:eastAsia="黑体" w:cs="Times New Roman"/>
          <w:bCs w:val="0"/>
          <w:color w:val="000000"/>
        </w:rPr>
        <w:t>十三、财政拨款“三公”经费支出决算表</w:t>
      </w:r>
    </w:p>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4</w:t>
        </w:r>
        <w:r>
          <w:fldChar w:fldCharType="end"/>
        </w:r>
      </w:p>
    </w:sdtContent>
  </w:sdt>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1MWNhN2ZmY2ZhZmY3ODhlYTg0MWU5OGMyY2QwZmU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54D1"/>
    <w:rsid w:val="00166A14"/>
    <w:rsid w:val="00166F25"/>
    <w:rsid w:val="0016730C"/>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8122F"/>
    <w:rsid w:val="00885AF4"/>
    <w:rsid w:val="00886435"/>
    <w:rsid w:val="008875FA"/>
    <w:rsid w:val="00887A58"/>
    <w:rsid w:val="008918AA"/>
    <w:rsid w:val="008918C9"/>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3F359AA"/>
    <w:rsid w:val="0463543B"/>
    <w:rsid w:val="04A56E6E"/>
    <w:rsid w:val="051A6F96"/>
    <w:rsid w:val="06951176"/>
    <w:rsid w:val="07001BE1"/>
    <w:rsid w:val="07267DE7"/>
    <w:rsid w:val="089C4B49"/>
    <w:rsid w:val="09081517"/>
    <w:rsid w:val="091B747D"/>
    <w:rsid w:val="0A19737C"/>
    <w:rsid w:val="0B7218AA"/>
    <w:rsid w:val="0B99373B"/>
    <w:rsid w:val="0BA37CB5"/>
    <w:rsid w:val="0D0429D6"/>
    <w:rsid w:val="0D093B48"/>
    <w:rsid w:val="0D322E51"/>
    <w:rsid w:val="0D6C338E"/>
    <w:rsid w:val="0DB37F58"/>
    <w:rsid w:val="0F5E6610"/>
    <w:rsid w:val="10C055FF"/>
    <w:rsid w:val="11D56DF6"/>
    <w:rsid w:val="11ED6591"/>
    <w:rsid w:val="13367661"/>
    <w:rsid w:val="14B438AA"/>
    <w:rsid w:val="16BB723D"/>
    <w:rsid w:val="17BC7656"/>
    <w:rsid w:val="17EA348C"/>
    <w:rsid w:val="1840212F"/>
    <w:rsid w:val="184656CF"/>
    <w:rsid w:val="19943114"/>
    <w:rsid w:val="1AB026BC"/>
    <w:rsid w:val="1ABB32B6"/>
    <w:rsid w:val="1BF70747"/>
    <w:rsid w:val="1C06153F"/>
    <w:rsid w:val="1C986C96"/>
    <w:rsid w:val="1D7371C3"/>
    <w:rsid w:val="1DDC2BB3"/>
    <w:rsid w:val="1E34479D"/>
    <w:rsid w:val="1EF81F78"/>
    <w:rsid w:val="1F620905"/>
    <w:rsid w:val="201A6AB0"/>
    <w:rsid w:val="203B66A0"/>
    <w:rsid w:val="211A679A"/>
    <w:rsid w:val="23902475"/>
    <w:rsid w:val="240371BF"/>
    <w:rsid w:val="2435534E"/>
    <w:rsid w:val="24534F10"/>
    <w:rsid w:val="24DF6C66"/>
    <w:rsid w:val="253D03DB"/>
    <w:rsid w:val="25A20B86"/>
    <w:rsid w:val="25B1070F"/>
    <w:rsid w:val="25DD571A"/>
    <w:rsid w:val="25E62567"/>
    <w:rsid w:val="265C1D1F"/>
    <w:rsid w:val="26BB36DB"/>
    <w:rsid w:val="271C5A93"/>
    <w:rsid w:val="276F1834"/>
    <w:rsid w:val="27B459F9"/>
    <w:rsid w:val="27C51E91"/>
    <w:rsid w:val="28513369"/>
    <w:rsid w:val="28BF6D42"/>
    <w:rsid w:val="29FD04D3"/>
    <w:rsid w:val="2CAE1BBE"/>
    <w:rsid w:val="2CCF04B2"/>
    <w:rsid w:val="2E4C04E0"/>
    <w:rsid w:val="2F803D16"/>
    <w:rsid w:val="31810DA9"/>
    <w:rsid w:val="31903F88"/>
    <w:rsid w:val="319F7F4E"/>
    <w:rsid w:val="329448A6"/>
    <w:rsid w:val="32F45598"/>
    <w:rsid w:val="35244754"/>
    <w:rsid w:val="364D41F6"/>
    <w:rsid w:val="36FD0156"/>
    <w:rsid w:val="38F8371D"/>
    <w:rsid w:val="39226F5F"/>
    <w:rsid w:val="39902098"/>
    <w:rsid w:val="39FF0D34"/>
    <w:rsid w:val="3A3A0F35"/>
    <w:rsid w:val="3A4E1148"/>
    <w:rsid w:val="3C8D2F9D"/>
    <w:rsid w:val="3CE0510E"/>
    <w:rsid w:val="3D1927CA"/>
    <w:rsid w:val="3D1E4B3E"/>
    <w:rsid w:val="3D8344ED"/>
    <w:rsid w:val="3E03620E"/>
    <w:rsid w:val="3E343C22"/>
    <w:rsid w:val="3F512FA9"/>
    <w:rsid w:val="3FAC4683"/>
    <w:rsid w:val="3FD943DF"/>
    <w:rsid w:val="3FEA5DFB"/>
    <w:rsid w:val="401C35B7"/>
    <w:rsid w:val="4119235A"/>
    <w:rsid w:val="41677310"/>
    <w:rsid w:val="422C2C46"/>
    <w:rsid w:val="4251506E"/>
    <w:rsid w:val="43684120"/>
    <w:rsid w:val="444F07DA"/>
    <w:rsid w:val="44601E28"/>
    <w:rsid w:val="475E72DC"/>
    <w:rsid w:val="47F514AF"/>
    <w:rsid w:val="4839282C"/>
    <w:rsid w:val="48FD75BD"/>
    <w:rsid w:val="4A745623"/>
    <w:rsid w:val="4D135D42"/>
    <w:rsid w:val="4D846266"/>
    <w:rsid w:val="4D8D78A2"/>
    <w:rsid w:val="4DF123A8"/>
    <w:rsid w:val="4E832A53"/>
    <w:rsid w:val="4F6F7A34"/>
    <w:rsid w:val="4FD74194"/>
    <w:rsid w:val="4FDA49F5"/>
    <w:rsid w:val="50AE413E"/>
    <w:rsid w:val="51E1640E"/>
    <w:rsid w:val="51EE42CA"/>
    <w:rsid w:val="52302EF2"/>
    <w:rsid w:val="52ED6284"/>
    <w:rsid w:val="5322283B"/>
    <w:rsid w:val="532B0C13"/>
    <w:rsid w:val="53BE2B80"/>
    <w:rsid w:val="541505F1"/>
    <w:rsid w:val="54992FD0"/>
    <w:rsid w:val="55872E29"/>
    <w:rsid w:val="56D0674C"/>
    <w:rsid w:val="58BA52C3"/>
    <w:rsid w:val="59E11CD3"/>
    <w:rsid w:val="5BE202EA"/>
    <w:rsid w:val="5CFA7F1D"/>
    <w:rsid w:val="5E2506F8"/>
    <w:rsid w:val="5EA316D6"/>
    <w:rsid w:val="5F3A07D2"/>
    <w:rsid w:val="5F593A88"/>
    <w:rsid w:val="60651EAC"/>
    <w:rsid w:val="60BB3927"/>
    <w:rsid w:val="61143F14"/>
    <w:rsid w:val="62A42EE2"/>
    <w:rsid w:val="630D013F"/>
    <w:rsid w:val="63347FC4"/>
    <w:rsid w:val="63604CB9"/>
    <w:rsid w:val="64A36D0B"/>
    <w:rsid w:val="64C656C1"/>
    <w:rsid w:val="65DF63C9"/>
    <w:rsid w:val="662A7F2C"/>
    <w:rsid w:val="68674545"/>
    <w:rsid w:val="68DA2DB6"/>
    <w:rsid w:val="69725134"/>
    <w:rsid w:val="6B4666B6"/>
    <w:rsid w:val="6CC85DA9"/>
    <w:rsid w:val="6D8F2D6B"/>
    <w:rsid w:val="6DC31436"/>
    <w:rsid w:val="6ECB49CF"/>
    <w:rsid w:val="6ECB5A2B"/>
    <w:rsid w:val="70202A42"/>
    <w:rsid w:val="72227D09"/>
    <w:rsid w:val="72E476B5"/>
    <w:rsid w:val="73BE3A62"/>
    <w:rsid w:val="746C7E4B"/>
    <w:rsid w:val="750E6C6B"/>
    <w:rsid w:val="755E374E"/>
    <w:rsid w:val="76377F56"/>
    <w:rsid w:val="764B35A7"/>
    <w:rsid w:val="78A4106B"/>
    <w:rsid w:val="79975481"/>
    <w:rsid w:val="79F60BE5"/>
    <w:rsid w:val="7A1B4027"/>
    <w:rsid w:val="7A4756DE"/>
    <w:rsid w:val="7A965738"/>
    <w:rsid w:val="7ABC1C9C"/>
    <w:rsid w:val="7B022DCE"/>
    <w:rsid w:val="7B272834"/>
    <w:rsid w:val="7B8F71DF"/>
    <w:rsid w:val="7CB2612E"/>
    <w:rsid w:val="7CC25607"/>
    <w:rsid w:val="7DE859ED"/>
    <w:rsid w:val="7E4C610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30"/>
    <w:qFormat/>
    <w:uiPriority w:val="0"/>
    <w:pPr>
      <w:keepNext/>
      <w:keepLines/>
      <w:spacing w:before="340" w:after="330" w:line="578" w:lineRule="auto"/>
      <w:outlineLvl w:val="0"/>
    </w:pPr>
    <w:rPr>
      <w:b/>
      <w:bCs/>
      <w:kern w:val="44"/>
      <w:sz w:val="44"/>
    </w:rPr>
  </w:style>
  <w:style w:type="paragraph" w:styleId="3">
    <w:name w:val="heading 2"/>
    <w:basedOn w:val="1"/>
    <w:next w:val="1"/>
    <w:link w:val="3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34"/>
    <w:qFormat/>
    <w:uiPriority w:val="0"/>
    <w:pPr>
      <w:keepNext/>
      <w:keepLines/>
      <w:spacing w:before="260" w:after="260" w:line="415" w:lineRule="auto"/>
      <w:outlineLvl w:val="2"/>
    </w:pPr>
    <w:rPr>
      <w:b/>
      <w:sz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ind w:firstLine="680"/>
    </w:pPr>
  </w:style>
  <w:style w:type="paragraph" w:styleId="6">
    <w:name w:val="Document Map"/>
    <w:basedOn w:val="1"/>
    <w:qFormat/>
    <w:uiPriority w:val="0"/>
    <w:rPr>
      <w:rFonts w:ascii="宋体" w:eastAsia="宋体"/>
      <w:sz w:val="18"/>
      <w:szCs w:val="18"/>
    </w:rPr>
  </w:style>
  <w:style w:type="paragraph" w:styleId="7">
    <w:name w:val="annotation text"/>
    <w:basedOn w:val="1"/>
    <w:semiHidden/>
    <w:unhideWhenUsed/>
    <w:qFormat/>
    <w:uiPriority w:val="99"/>
    <w:pPr>
      <w:jc w:val="left"/>
    </w:pPr>
  </w:style>
  <w:style w:type="paragraph" w:styleId="8">
    <w:name w:val="Body Text"/>
    <w:basedOn w:val="1"/>
    <w:link w:val="28"/>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qFormat/>
    <w:uiPriority w:val="0"/>
    <w:rPr>
      <w:sz w:val="18"/>
      <w:szCs w:val="18"/>
    </w:rPr>
  </w:style>
  <w:style w:type="paragraph" w:styleId="11">
    <w:name w:val="footer"/>
    <w:basedOn w:val="1"/>
    <w:link w:val="26"/>
    <w:qFormat/>
    <w:uiPriority w:val="0"/>
    <w:pPr>
      <w:tabs>
        <w:tab w:val="center" w:pos="4153"/>
        <w:tab w:val="right" w:pos="8306"/>
      </w:tabs>
      <w:snapToGrid w:val="0"/>
      <w:jc w:val="left"/>
    </w:pPr>
    <w:rPr>
      <w:rFonts w:eastAsia="宋体"/>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0"/>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page number"/>
    <w:basedOn w:val="17"/>
    <w:qFormat/>
    <w:uiPriority w:val="0"/>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3">
    <w:name w:val="Header Char"/>
    <w:basedOn w:val="17"/>
    <w:semiHidden/>
    <w:qFormat/>
    <w:uiPriority w:val="99"/>
    <w:rPr>
      <w:rFonts w:ascii="Times New Roman" w:hAnsi="Times New Roman"/>
      <w:sz w:val="18"/>
      <w:szCs w:val="18"/>
    </w:rPr>
  </w:style>
  <w:style w:type="character" w:customStyle="1" w:styleId="24">
    <w:name w:val="页眉 字符"/>
    <w:link w:val="12"/>
    <w:semiHidden/>
    <w:qFormat/>
    <w:locked/>
    <w:uiPriority w:val="99"/>
    <w:rPr>
      <w:sz w:val="18"/>
    </w:rPr>
  </w:style>
  <w:style w:type="character" w:customStyle="1" w:styleId="25">
    <w:name w:val="Footer Char"/>
    <w:basedOn w:val="17"/>
    <w:semiHidden/>
    <w:qFormat/>
    <w:uiPriority w:val="99"/>
    <w:rPr>
      <w:rFonts w:ascii="Times New Roman" w:hAnsi="Times New Roman"/>
      <w:sz w:val="18"/>
      <w:szCs w:val="18"/>
    </w:rPr>
  </w:style>
  <w:style w:type="character" w:customStyle="1" w:styleId="26">
    <w:name w:val="页脚 字符"/>
    <w:link w:val="11"/>
    <w:qFormat/>
    <w:locked/>
    <w:uiPriority w:val="99"/>
    <w:rPr>
      <w:sz w:val="18"/>
    </w:rPr>
  </w:style>
  <w:style w:type="character" w:customStyle="1" w:styleId="27">
    <w:name w:val="Body Text Char"/>
    <w:basedOn w:val="17"/>
    <w:semiHidden/>
    <w:qFormat/>
    <w:uiPriority w:val="99"/>
    <w:rPr>
      <w:rFonts w:ascii="Times New Roman" w:hAnsi="Times New Roman"/>
      <w:szCs w:val="24"/>
    </w:rPr>
  </w:style>
  <w:style w:type="character" w:customStyle="1" w:styleId="28">
    <w:name w:val="正文文本 字符"/>
    <w:link w:val="8"/>
    <w:qFormat/>
    <w:locked/>
    <w:uiPriority w:val="99"/>
    <w:rPr>
      <w:rFonts w:ascii="仿宋_GB2312" w:hAnsi="Times New Roman" w:eastAsia="仿宋_GB2312"/>
      <w:sz w:val="24"/>
    </w:rPr>
  </w:style>
  <w:style w:type="paragraph" w:styleId="29">
    <w:name w:val="List Paragraph"/>
    <w:basedOn w:val="1"/>
    <w:qFormat/>
    <w:uiPriority w:val="34"/>
    <w:pPr>
      <w:ind w:firstLine="420" w:firstLineChars="200"/>
    </w:pPr>
  </w:style>
  <w:style w:type="character" w:customStyle="1" w:styleId="30">
    <w:name w:val="标题 1 字符"/>
    <w:basedOn w:val="17"/>
    <w:link w:val="2"/>
    <w:qFormat/>
    <w:uiPriority w:val="9"/>
    <w:rPr>
      <w:rFonts w:ascii="Times New Roman" w:hAnsi="Times New Roman"/>
      <w:b/>
      <w:bCs/>
      <w:kern w:val="44"/>
      <w:sz w:val="44"/>
      <w:szCs w:val="44"/>
    </w:rPr>
  </w:style>
  <w:style w:type="character" w:customStyle="1" w:styleId="31">
    <w:name w:val="标题 2 字符"/>
    <w:basedOn w:val="17"/>
    <w:link w:val="3"/>
    <w:qFormat/>
    <w:uiPriority w:val="9"/>
    <w:rPr>
      <w:rFonts w:asciiTheme="majorHAnsi" w:hAnsiTheme="majorHAnsi" w:eastAsiaTheme="majorEastAsia" w:cstheme="majorBidi"/>
      <w:b/>
      <w:bCs/>
      <w:kern w:val="2"/>
      <w:sz w:val="32"/>
      <w:szCs w:val="32"/>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7"/>
    <w:link w:val="10"/>
    <w:semiHidden/>
    <w:qFormat/>
    <w:uiPriority w:val="99"/>
    <w:rPr>
      <w:rFonts w:ascii="Times New Roman" w:hAnsi="Times New Roman"/>
      <w:kern w:val="2"/>
      <w:sz w:val="18"/>
      <w:szCs w:val="18"/>
    </w:rPr>
  </w:style>
  <w:style w:type="character" w:customStyle="1" w:styleId="34">
    <w:name w:val="标题 3 字符"/>
    <w:basedOn w:val="17"/>
    <w:link w:val="4"/>
    <w:qFormat/>
    <w:uiPriority w:val="9"/>
    <w:rPr>
      <w:rFonts w:ascii="Times New Roman" w:hAnsi="Times New Roman"/>
      <w:b/>
      <w:bCs/>
      <w:kern w:val="2"/>
      <w:sz w:val="32"/>
      <w:szCs w:val="32"/>
    </w:rPr>
  </w:style>
  <w:style w:type="paragraph" w:customStyle="1" w:styleId="35">
    <w:name w:val="四号正文"/>
    <w:basedOn w:val="1"/>
    <w:qFormat/>
    <w:uiPriority w:val="0"/>
    <w:pPr>
      <w:spacing w:line="360" w:lineRule="auto"/>
    </w:pPr>
    <w:rPr>
      <w:rFonts w:ascii="??" w:hAnsi="??" w:eastAsia="宋体" w:cs="宋体"/>
      <w:color w:val="000000"/>
      <w:kern w:val="0"/>
      <w:sz w:val="28"/>
      <w:szCs w:val="21"/>
    </w:rPr>
  </w:style>
  <w:style w:type="paragraph" w:customStyle="1" w:styleId="36">
    <w:name w:val="a"/>
    <w:basedOn w:val="1"/>
    <w:qFormat/>
    <w:uiPriority w:val="0"/>
    <w:pPr>
      <w:widowControl/>
      <w:spacing w:before="100" w:beforeAutospacing="1" w:after="100" w:afterAutospacing="1"/>
      <w:jc w:val="left"/>
    </w:pPr>
    <w:rPr>
      <w:rFonts w:ascii="宋体" w:eastAsia="宋体" w:cs="宋体"/>
      <w:kern w:val="0"/>
      <w:sz w:val="24"/>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Table Text"/>
    <w:basedOn w:val="1"/>
    <w:semiHidden/>
    <w:qFormat/>
    <w:uiPriority w:val="0"/>
    <w:rPr>
      <w:rFonts w:ascii="Arial" w:hAnsi="Arial" w:eastAsia="Arial" w:cs="Arial"/>
      <w:sz w:val="15"/>
      <w:szCs w:val="1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{0,170.97}</c:f>
              <c:numCache>
                <c:formatCode>General</c:formatCode>
                <c:ptCount val="2"/>
                <c:pt idx="0">
                  <c:v>0</c:v>
                </c:pt>
                <c:pt idx="1">
                  <c:v>170.97</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{0,170.97}</c:f>
              <c:numCache>
                <c:formatCode>General</c:formatCode>
                <c:ptCount val="2"/>
                <c:pt idx="0">
                  <c:v>0</c:v>
                </c:pt>
                <c:pt idx="1">
                  <c:v>170.97</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{1709684.56,0,0,0,0,0,0,0}</c:f>
              <c:numCache>
                <c:formatCode>General</c:formatCode>
                <c:ptCount val="8"/>
                <c:pt idx="0">
                  <c:v>1709684.56</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{"基本支出","项目支出","上缴上级支出","经营支出","对附属单位补助支出"}</c:f>
              <c:strCache>
                <c:ptCount val="5"/>
                <c:pt idx="0">
                  <c:v>基本支出</c:v>
                </c:pt>
                <c:pt idx="1">
                  <c:v>项目支出</c:v>
                </c:pt>
                <c:pt idx="2">
                  <c:v>上缴上级支出</c:v>
                </c:pt>
                <c:pt idx="3">
                  <c:v>经营支出</c:v>
                </c:pt>
                <c:pt idx="4">
                  <c:v>对附属单位补助支出</c:v>
                </c:pt>
              </c:strCache>
            </c:strRef>
          </c:cat>
          <c:val>
            <c:numRef>
              <c:f>{1447137.56,262547,0,0,0}</c:f>
              <c:numCache>
                <c:formatCode>General</c:formatCode>
                <c:ptCount val="5"/>
                <c:pt idx="0">
                  <c:v>1447137.56</c:v>
                </c:pt>
                <c:pt idx="1">
                  <c:v>262547</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{0,170.97}</c:f>
              <c:numCache>
                <c:formatCode>General</c:formatCode>
                <c:ptCount val="2"/>
                <c:pt idx="0">
                  <c:v>0</c:v>
                </c:pt>
                <c:pt idx="1">
                  <c:v>170.97</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{0,170.97}</c:f>
              <c:numCache>
                <c:formatCode>General</c:formatCode>
                <c:ptCount val="2"/>
                <c:pt idx="0">
                  <c:v>0</c:v>
                </c:pt>
                <c:pt idx="1">
                  <c:v>170.97</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2021</c:f>
              <c:strCache>
                <c:ptCount val="1"/>
                <c:pt idx="0">
                  <c:v>2021</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{0}</c:f>
              <c:numCache>
                <c:formatCode>General</c:formatCode>
                <c:ptCount val="1"/>
                <c:pt idx="0">
                  <c:v>0</c:v>
                </c:pt>
              </c:numCache>
            </c:numRef>
          </c:val>
        </c:ser>
        <c:ser>
          <c:idx val="2"/>
          <c:order val="1"/>
          <c:tx>
            <c:strRef>
              <c:f>2022</c:f>
              <c:strCache>
                <c:ptCount val="1"/>
                <c:pt idx="0">
                  <c:v>2022</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{170.97}</c:f>
              <c:numCache>
                <c:formatCode>General</c:formatCode>
                <c:ptCount val="1"/>
                <c:pt idx="0">
                  <c:v>170.97</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{"社会保障和就业支出","卫生健康支出","住房保障支出"}</c:f>
              <c:strCache>
                <c:ptCount val="3"/>
                <c:pt idx="0">
                  <c:v>社会保障和就业支出</c:v>
                </c:pt>
                <c:pt idx="1">
                  <c:v>卫生健康支出</c:v>
                </c:pt>
                <c:pt idx="2">
                  <c:v>住房保障支出</c:v>
                </c:pt>
              </c:strCache>
            </c:strRef>
          </c:cat>
          <c:val>
            <c:numRef>
              <c:f>{17.04,143.1,10.83}</c:f>
              <c:numCache>
                <c:formatCode>General</c:formatCode>
                <c:ptCount val="3"/>
                <c:pt idx="0">
                  <c:v>17.04</c:v>
                </c:pt>
                <c:pt idx="1">
                  <c:v>143.1</c:v>
                </c:pt>
                <c:pt idx="2">
                  <c:v>10.83</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{0,0,0}</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8126</Words>
  <Characters>9181</Characters>
  <Lines>51</Lines>
  <Paragraphs>14</Paragraphs>
  <TotalTime>2</TotalTime>
  <ScaleCrop>false</ScaleCrop>
  <LinksUpToDate>false</LinksUpToDate>
  <CharactersWithSpaces>9396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奕夕^_^</cp:lastModifiedBy>
  <cp:lastPrinted>2021-09-26T08:39:00Z</cp:lastPrinted>
  <dcterms:modified xsi:type="dcterms:W3CDTF">2023-09-13T07:27:33Z</dcterms:modified>
  <dc:title>四川省决算编制说明</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75E9B74D62DC4978AA0A9FEFAF5449AF_13</vt:lpwstr>
  </property>
</Properties>
</file>