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425"/>
      <w:bookmarkStart w:id="1" w:name="_Toc15378441"/>
      <w:bookmarkStart w:id="2" w:name="_Toc15396597"/>
      <w:bookmarkStart w:id="3" w:name="_Toc15377193"/>
      <w:bookmarkStart w:id="4" w:name="_Toc15396475"/>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194"/>
      <w:bookmarkStart w:id="7" w:name="_Toc15306268"/>
      <w:bookmarkStart w:id="8" w:name="_Toc15396476"/>
      <w:bookmarkStart w:id="9" w:name="_Toc15377426"/>
      <w:bookmarkStart w:id="10" w:name="_Toc15378442"/>
      <w:bookmarkStart w:id="11" w:name="_Toc15396598"/>
      <w:r>
        <w:rPr>
          <w:rFonts w:asciiTheme="minorEastAsia" w:hAnsiTheme="minorEastAsia" w:eastAsiaTheme="minorEastAsia"/>
          <w:b/>
          <w:sz w:val="72"/>
          <w:szCs w:val="72"/>
        </w:rPr>
        <w:t>阿坝州松潘县小姓乡卫生院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default" w:ascii="宋体" w:hAnsi="宋体" w:eastAsia="宋体" w:cs="仿宋_GB2312"/>
          <w:sz w:val="32"/>
          <w:szCs w:val="32"/>
          <w:lang w:val="en-US" w:eastAsia="zh-CN"/>
        </w:rPr>
      </w:pPr>
      <w:r>
        <w:rPr>
          <w:rFonts w:hint="eastAsia" w:ascii="宋体" w:hAnsi="宋体" w:cs="仿宋_GB2312"/>
          <w:sz w:val="32"/>
          <w:szCs w:val="32"/>
          <w:lang w:val="en-US" w:eastAsia="zh-CN"/>
        </w:rPr>
        <w:t xml:space="preserve">                     2023年9月</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"_Toc1816" </w:instrText>
      </w:r>
      <w:r>
        <w:fldChar w:fldCharType="separate"/>
      </w:r>
      <w:r>
        <w:rPr>
          <w:rFonts w:hint="eastAsia" w:ascii="黑体" w:hAnsi="黑体" w:eastAsia="黑体" w:cs="黑体"/>
        </w:rPr>
        <w:t>第一部分 部门概况</w:t>
      </w:r>
      <w:r>
        <w:tab/>
      </w:r>
      <w:r>
        <w:fldChar w:fldCharType="begin"/>
      </w:r>
      <w:r>
        <w:instrText xml:space="preserve"> PAGEREF _Toc1816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"_Toc24373" </w:instrText>
      </w:r>
      <w:r>
        <w:fldChar w:fldCharType="separate"/>
      </w:r>
      <w:r>
        <w:rPr>
          <w:rFonts w:hint="eastAsia" w:ascii="黑体" w:eastAsia="黑体"/>
        </w:rPr>
        <w:t>一、部门职责</w:t>
      </w:r>
      <w:r>
        <w:tab/>
      </w:r>
      <w:r>
        <w:fldChar w:fldCharType="begin"/>
      </w:r>
      <w:r>
        <w:instrText xml:space="preserve"> PAGEREF _Toc24373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"_Toc31790" </w:instrText>
      </w:r>
      <w:r>
        <w:fldChar w:fldCharType="separate"/>
      </w:r>
      <w:r>
        <w:rPr>
          <w:rFonts w:hint="eastAsia" w:ascii="黑体" w:eastAsia="黑体"/>
        </w:rPr>
        <w:t>二、机构设置</w:t>
      </w:r>
      <w:r>
        <w:tab/>
      </w:r>
      <w:r>
        <w:fldChar w:fldCharType="begin"/>
      </w:r>
      <w:r>
        <w:instrText xml:space="preserve"> PAGEREF _Toc31790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"_Toc16001" </w:instrText>
      </w:r>
      <w: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"_Toc20541" </w:instrText>
      </w:r>
      <w:r>
        <w:fldChar w:fldCharType="separate"/>
      </w:r>
      <w:r>
        <w:rPr>
          <w:rFonts w:hint="eastAsia" w:ascii="黑体" w:eastAsia="黑体"/>
        </w:rPr>
        <w:t>一、收入支出决算总体情况说明</w:t>
      </w:r>
      <w:r>
        <w:tab/>
      </w:r>
      <w:r>
        <w:fldChar w:fldCharType="begin"/>
      </w:r>
      <w:r>
        <w:instrText xml:space="preserve"> PAGEREF _Toc20541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"_Toc25498" </w:instrText>
      </w:r>
      <w:r>
        <w:fldChar w:fldCharType="separate"/>
      </w:r>
      <w:r>
        <w:rPr>
          <w:rFonts w:hint="eastAsia" w:ascii="黑体" w:eastAsia="黑体"/>
        </w:rPr>
        <w:t>二、收入决算情况说明</w:t>
      </w:r>
      <w:r>
        <w:tab/>
      </w:r>
      <w:r>
        <w:fldChar w:fldCharType="begin"/>
      </w:r>
      <w:r>
        <w:instrText xml:space="preserve"> PAGEREF _Toc25498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"_Toc6080" </w:instrText>
      </w:r>
      <w:r>
        <w:fldChar w:fldCharType="separate"/>
      </w:r>
      <w:r>
        <w:rPr>
          <w:rFonts w:hint="eastAsia" w:ascii="黑体" w:eastAsia="黑体"/>
        </w:rPr>
        <w:t>三、支出决算情况说明</w:t>
      </w:r>
      <w:r>
        <w:tab/>
      </w:r>
      <w:r>
        <w:fldChar w:fldCharType="begin"/>
      </w:r>
      <w:r>
        <w:instrText xml:space="preserve"> PAGEREF _Toc6080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"_Toc6346" </w:instrText>
      </w:r>
      <w:r>
        <w:fldChar w:fldCharType="separate"/>
      </w:r>
      <w:r>
        <w:rPr>
          <w:rFonts w:hint="eastAsia" w:ascii="黑体" w:eastAsia="黑体"/>
        </w:rPr>
        <w:t>四、财政拨款收入支出决算总体情况说明</w:t>
      </w:r>
      <w:r>
        <w:tab/>
      </w:r>
      <w:r>
        <w:fldChar w:fldCharType="begin"/>
      </w:r>
      <w:r>
        <w:instrText xml:space="preserve"> PAGEREF _Toc6346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"_Toc17578" </w:instrText>
      </w:r>
      <w:r>
        <w:fldChar w:fldCharType="separate"/>
      </w:r>
      <w:r>
        <w:rPr>
          <w:rFonts w:hint="eastAsia" w:ascii="黑体" w:eastAsia="黑体"/>
        </w:rPr>
        <w:t>五、一般公共预算财政拨款支出决算情况说明</w:t>
      </w:r>
      <w:r>
        <w:tab/>
      </w:r>
      <w:r>
        <w:fldChar w:fldCharType="begin"/>
      </w:r>
      <w:r>
        <w:instrText xml:space="preserve"> PAGEREF _Toc17578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"_Toc24000" </w:instrText>
      </w:r>
      <w:r>
        <w:fldChar w:fldCharType="separate"/>
      </w:r>
      <w:r>
        <w:rPr>
          <w:rFonts w:hint="eastAsia" w:ascii="黑体" w:eastAsia="黑体"/>
        </w:rPr>
        <w:t>六、一般公共预算财政拨款基本支出决算情况说明</w:t>
      </w:r>
      <w:r>
        <w:tab/>
      </w:r>
      <w:r>
        <w:fldChar w:fldCharType="begin"/>
      </w:r>
      <w:r>
        <w:instrText xml:space="preserve"> PAGEREF _Toc24000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"_Toc32593" </w:instrText>
      </w:r>
      <w:r>
        <w:fldChar w:fldCharType="separate"/>
      </w:r>
      <w:r>
        <w:rPr>
          <w:rFonts w:hint="eastAsia" w:ascii="黑体" w:eastAsia="黑体"/>
        </w:rPr>
        <w:t>七、“三公”经费财政拨款支出决算情况说明</w:t>
      </w:r>
      <w:r>
        <w:tab/>
      </w:r>
      <w:r>
        <w:fldChar w:fldCharType="begin"/>
      </w:r>
      <w:r>
        <w:instrText xml:space="preserve"> PAGEREF _Toc32593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"_Toc19281" </w:instrText>
      </w:r>
      <w:r>
        <w:fldChar w:fldCharType="separate"/>
      </w:r>
      <w:r>
        <w:rPr>
          <w:rFonts w:hint="eastAsia" w:ascii="黑体" w:eastAsia="黑体"/>
        </w:rPr>
        <w:t>八、政府性基金预算支出决算情况说明</w:t>
      </w:r>
      <w:r>
        <w:tab/>
      </w:r>
      <w:r>
        <w:fldChar w:fldCharType="begin"/>
      </w:r>
      <w:r>
        <w:instrText xml:space="preserve"> PAGEREF _Toc19281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"_Toc12199" </w:instrText>
      </w:r>
      <w:r>
        <w:fldChar w:fldCharType="separate"/>
      </w:r>
      <w:r>
        <w:rPr>
          <w:rFonts w:hint="eastAsia" w:ascii="黑体" w:eastAsia="黑体"/>
        </w:rPr>
        <w:t>九、国有资本经营预算支出决算情况说明</w:t>
      </w:r>
      <w:r>
        <w:tab/>
      </w:r>
      <w:r>
        <w:fldChar w:fldCharType="begin"/>
      </w:r>
      <w:r>
        <w:instrText xml:space="preserve"> PAGEREF _Toc12199 \h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"_Toc23126" </w:instrText>
      </w:r>
      <w:r>
        <w:fldChar w:fldCharType="separate"/>
      </w:r>
      <w:r>
        <w:rPr>
          <w:rFonts w:hint="eastAsia" w:ascii="黑体" w:eastAsia="黑体"/>
        </w:rPr>
        <w:t>十、其他重要事项的情况说明</w:t>
      </w:r>
      <w:r>
        <w:tab/>
      </w:r>
      <w:r>
        <w:fldChar w:fldCharType="begin"/>
      </w:r>
      <w:r>
        <w:instrText xml:space="preserve"> PAGEREF _Toc23126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"_Toc288" </w:instrText>
      </w:r>
      <w: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"_Toc20076" </w:instrText>
      </w:r>
      <w: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"_Toc16128" </w:instrText>
      </w:r>
      <w: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"_Toc19345" </w:instrText>
      </w:r>
      <w:r>
        <w:fldChar w:fldCharType="separate"/>
      </w:r>
      <w:r>
        <w:rPr>
          <w:rFonts w:hint="eastAsia" w:ascii="黑体" w:eastAsia="黑体"/>
        </w:rPr>
        <w:t>一、收入支出决算总表</w:t>
      </w:r>
      <w:r>
        <w:tab/>
      </w:r>
      <w:r>
        <w:fldChar w:fldCharType="begin"/>
      </w:r>
      <w:r>
        <w:instrText xml:space="preserve"> PAGEREF _Toc19345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"_Toc5091" </w:instrText>
      </w:r>
      <w:r>
        <w:fldChar w:fldCharType="separate"/>
      </w:r>
      <w:r>
        <w:rPr>
          <w:rFonts w:hint="eastAsia" w:ascii="黑体" w:eastAsia="黑体"/>
        </w:rPr>
        <w:t>二、收入决算表</w:t>
      </w:r>
      <w:r>
        <w:tab/>
      </w:r>
      <w:r>
        <w:fldChar w:fldCharType="begin"/>
      </w:r>
      <w:r>
        <w:instrText xml:space="preserve"> PAGEREF _Toc5091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"_Toc5639" </w:instrText>
      </w:r>
      <w:r>
        <w:fldChar w:fldCharType="separate"/>
      </w:r>
      <w:r>
        <w:rPr>
          <w:rFonts w:hint="eastAsia" w:ascii="黑体" w:eastAsia="黑体"/>
        </w:rPr>
        <w:t>三、支出决算表</w:t>
      </w:r>
      <w:r>
        <w:tab/>
      </w:r>
      <w:r>
        <w:fldChar w:fldCharType="begin"/>
      </w:r>
      <w:r>
        <w:instrText xml:space="preserve"> PAGEREF _Toc5639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"_Toc20160" </w:instrText>
      </w:r>
      <w:r>
        <w:fldChar w:fldCharType="separate"/>
      </w:r>
      <w:r>
        <w:rPr>
          <w:rFonts w:hint="eastAsia" w:ascii="黑体" w:eastAsia="黑体"/>
        </w:rPr>
        <w:t>四、财政拨款收入支出决算总表</w:t>
      </w:r>
      <w:r>
        <w:tab/>
      </w:r>
      <w:r>
        <w:fldChar w:fldCharType="begin"/>
      </w:r>
      <w:r>
        <w:instrText xml:space="preserve"> PAGEREF _Toc20160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"_Toc13786" </w:instrText>
      </w:r>
      <w:r>
        <w:fldChar w:fldCharType="separate"/>
      </w:r>
      <w:r>
        <w:rPr>
          <w:rFonts w:hint="eastAsia" w:ascii="黑体" w:eastAsia="黑体"/>
        </w:rPr>
        <w:t>五、财政拨款支出决算明细表</w:t>
      </w:r>
      <w:r>
        <w:tab/>
      </w:r>
      <w:r>
        <w:fldChar w:fldCharType="begin"/>
      </w:r>
      <w:r>
        <w:instrText xml:space="preserve"> PAGEREF _Toc13786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"_Toc8367" </w:instrText>
      </w:r>
      <w:r>
        <w:fldChar w:fldCharType="separate"/>
      </w:r>
      <w:r>
        <w:rPr>
          <w:rFonts w:hint="eastAsia" w:ascii="黑体" w:eastAsia="黑体"/>
        </w:rPr>
        <w:t>六、一般公共预算财政拨款支出决算表</w:t>
      </w:r>
      <w:r>
        <w:tab/>
      </w:r>
      <w:r>
        <w:fldChar w:fldCharType="begin"/>
      </w:r>
      <w:r>
        <w:instrText xml:space="preserve"> PAGEREF _Toc8367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"_Toc17399" </w:instrText>
      </w:r>
      <w:r>
        <w:fldChar w:fldCharType="separate"/>
      </w:r>
      <w:r>
        <w:rPr>
          <w:rFonts w:hint="eastAsia" w:ascii="黑体" w:eastAsia="黑体"/>
        </w:rPr>
        <w:t>七、一般公共预算财政拨款支出决算明细表</w:t>
      </w:r>
      <w:r>
        <w:tab/>
      </w:r>
      <w:r>
        <w:fldChar w:fldCharType="begin"/>
      </w:r>
      <w:r>
        <w:instrText xml:space="preserve"> PAGEREF _Toc17399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"_Toc8764" </w:instrText>
      </w:r>
      <w:r>
        <w:fldChar w:fldCharType="separate"/>
      </w:r>
      <w:r>
        <w:rPr>
          <w:rFonts w:hint="eastAsia" w:ascii="黑体" w:eastAsia="黑体"/>
        </w:rPr>
        <w:t>八、一般公共预算财政拨款基本支出决算表</w:t>
      </w:r>
      <w:r>
        <w:tab/>
      </w:r>
      <w:r>
        <w:fldChar w:fldCharType="begin"/>
      </w:r>
      <w:r>
        <w:instrText xml:space="preserve"> PAGEREF _Toc8764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"_Toc5316" </w:instrText>
      </w:r>
      <w:r>
        <w:fldChar w:fldCharType="separate"/>
      </w:r>
      <w:r>
        <w:rPr>
          <w:rFonts w:hint="eastAsia" w:ascii="黑体" w:eastAsia="黑体"/>
        </w:rPr>
        <w:t>九、一般公共预算财政拨款项目支出决算表</w:t>
      </w:r>
      <w:r>
        <w:tab/>
      </w:r>
      <w:r>
        <w:fldChar w:fldCharType="begin"/>
      </w:r>
      <w:r>
        <w:instrText xml:space="preserve"> PAGEREF _Toc5316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"_Toc9239" </w:instrText>
      </w:r>
      <w:r>
        <w:fldChar w:fldCharType="separate"/>
      </w:r>
      <w:r>
        <w:rPr>
          <w:rFonts w:hint="eastAsia" w:ascii="黑体" w:eastAsia="黑体"/>
        </w:rPr>
        <w:t>十、政府性基金预算财政拨款收入支出决算表</w:t>
      </w:r>
      <w:r>
        <w:tab/>
      </w:r>
      <w:r>
        <w:fldChar w:fldCharType="begin"/>
      </w:r>
      <w:r>
        <w:instrText xml:space="preserve"> PAGEREF _Toc9239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"_Toc21643" </w:instrText>
      </w:r>
      <w:r>
        <w:fldChar w:fldCharType="separate"/>
      </w:r>
      <w:r>
        <w:rPr>
          <w:rFonts w:hint="eastAsia" w:ascii="黑体" w:eastAsia="黑体"/>
        </w:rPr>
        <w:t>十一、国有资本经营预算财政拨款收入支出决算表</w:t>
      </w:r>
      <w:r>
        <w:tab/>
      </w:r>
      <w:r>
        <w:fldChar w:fldCharType="begin"/>
      </w:r>
      <w:r>
        <w:instrText xml:space="preserve"> PAGEREF _Toc21643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"_Toc11859" </w:instrText>
      </w:r>
      <w:r>
        <w:fldChar w:fldCharType="separate"/>
      </w:r>
      <w:r>
        <w:rPr>
          <w:rFonts w:hint="eastAsia" w:ascii="黑体" w:eastAsia="黑体"/>
        </w:rPr>
        <w:t>十二、国有资本经营预算财政拨款支出决算表</w:t>
      </w:r>
      <w:r>
        <w:tab/>
      </w:r>
      <w:r>
        <w:fldChar w:fldCharType="begin"/>
      </w:r>
      <w:r>
        <w:instrText xml:space="preserve"> PAGEREF _Toc11859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"_Toc3136" </w:instrText>
      </w:r>
      <w:r>
        <w:fldChar w:fldCharType="separate"/>
      </w:r>
      <w:r>
        <w:rPr>
          <w:rFonts w:hint="eastAsia" w:ascii="黑体" w:eastAsia="黑体"/>
        </w:rPr>
        <w:t>十三、财政拨款“三公”经费支出决算表</w:t>
      </w:r>
      <w:r>
        <w:tab/>
      </w:r>
      <w:r>
        <w:fldChar w:fldCharType="begin"/>
      </w:r>
      <w:r>
        <w:instrText xml:space="preserve"> PAGEREF _Toc3136 \h </w:instrText>
      </w:r>
      <w:r>
        <w:fldChar w:fldCharType="separate"/>
      </w:r>
      <w:r>
        <w:t>15</w:t>
      </w:r>
      <w:r>
        <w:fldChar w:fldCharType="end"/>
      </w:r>
      <w: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1208495"/>
      <w:bookmarkStart w:id="14" w:name="_Toc1816"/>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11208496"/>
      <w:bookmarkStart w:id="16" w:name="_Toc15377197"/>
      <w:bookmarkStart w:id="17" w:name="_Toc24373"/>
      <w:r>
        <w:rPr>
          <w:rFonts w:hint="eastAsia" w:ascii="黑体" w:eastAsia="黑体" w:cs="Times New Roman"/>
          <w:bCs w:val="0"/>
          <w:color w:val="000000"/>
        </w:rPr>
        <w:t>一、</w:t>
      </w:r>
      <w:bookmarkEnd w:id="15"/>
      <w:bookmarkEnd w:id="16"/>
      <w:bookmarkStart w:id="18" w:name="_Toc15377198"/>
      <w:bookmarkStart w:id="19" w:name="_Toc15378445"/>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1、乡镇卫生院以公共卫生服务为主，综合提供预防、保健和基本医疗等服务。</w:t>
      </w:r>
      <w:r>
        <w:rPr>
          <w:rFonts w:ascii="仿宋" w:hAnsi="仿宋" w:eastAsia="仿宋"/>
          <w:color w:val="000000"/>
          <w:sz w:val="32"/>
          <w:szCs w:val="32"/>
        </w:rPr>
        <w:cr/>
      </w:r>
      <w:r>
        <w:rPr>
          <w:rFonts w:ascii="仿宋" w:hAnsi="仿宋" w:eastAsia="仿宋"/>
          <w:color w:val="000000"/>
          <w:sz w:val="32"/>
          <w:szCs w:val="32"/>
        </w:rPr>
        <w:t xml:space="preserve">    2、加强农村疾病预防控制，做好传染病、地方病防治和疫情等农村突发</w:t>
      </w:r>
      <w:bookmarkStart w:id="89" w:name="_GoBack"/>
      <w:bookmarkEnd w:id="89"/>
      <w:r>
        <w:rPr>
          <w:rFonts w:ascii="仿宋" w:hAnsi="仿宋" w:eastAsia="仿宋"/>
          <w:color w:val="000000"/>
          <w:sz w:val="32"/>
          <w:szCs w:val="32"/>
        </w:rPr>
        <w:t>公共卫生事件报告工作，重点控制严重危害农民身体健康的传染病、地方病、职业病和寄生虫病等重大疾病。</w:t>
      </w:r>
      <w:r>
        <w:rPr>
          <w:rFonts w:ascii="仿宋" w:hAnsi="仿宋" w:eastAsia="仿宋"/>
          <w:color w:val="000000"/>
          <w:sz w:val="32"/>
          <w:szCs w:val="32"/>
        </w:rPr>
        <w:cr/>
      </w:r>
      <w:r>
        <w:rPr>
          <w:rFonts w:ascii="仿宋" w:hAnsi="仿宋" w:eastAsia="仿宋"/>
          <w:color w:val="000000"/>
          <w:sz w:val="32"/>
          <w:szCs w:val="32"/>
        </w:rPr>
        <w:t>　　3、认真执行儿童计划免疫。积极开展慢性非传染性疾病的防治工作。</w:t>
      </w:r>
      <w:r>
        <w:rPr>
          <w:rFonts w:ascii="仿宋" w:hAnsi="仿宋" w:eastAsia="仿宋"/>
          <w:color w:val="000000"/>
          <w:sz w:val="32"/>
          <w:szCs w:val="32"/>
        </w:rPr>
        <w:cr/>
      </w:r>
      <w:r>
        <w:rPr>
          <w:rFonts w:ascii="仿宋" w:hAnsi="仿宋" w:eastAsia="仿宋"/>
          <w:color w:val="000000"/>
          <w:sz w:val="32"/>
          <w:szCs w:val="32"/>
        </w:rPr>
        <w:t>　　4、做好农村孕产妇和儿童保健工作，提高住院分娩率，改善儿童营养状况。</w:t>
      </w:r>
      <w:r>
        <w:rPr>
          <w:rFonts w:ascii="仿宋" w:hAnsi="仿宋" w:eastAsia="仿宋"/>
          <w:color w:val="000000"/>
          <w:sz w:val="32"/>
          <w:szCs w:val="32"/>
        </w:rPr>
        <w:cr/>
      </w:r>
      <w:r>
        <w:rPr>
          <w:rFonts w:ascii="仿宋" w:hAnsi="仿宋" w:eastAsia="仿宋"/>
          <w:color w:val="000000"/>
          <w:sz w:val="32"/>
          <w:szCs w:val="32"/>
        </w:rPr>
        <w:t>　　5、积极做好新型农村合作医疗的服务、计划生育技术指导、康复等工作。</w:t>
      </w:r>
      <w:r>
        <w:rPr>
          <w:rFonts w:ascii="仿宋" w:hAnsi="仿宋" w:eastAsia="仿宋"/>
          <w:color w:val="000000"/>
          <w:sz w:val="32"/>
          <w:szCs w:val="32"/>
        </w:rPr>
        <w:cr/>
      </w:r>
      <w:r>
        <w:rPr>
          <w:rFonts w:ascii="仿宋" w:hAnsi="仿宋" w:eastAsia="仿宋"/>
          <w:color w:val="000000"/>
          <w:sz w:val="32"/>
          <w:szCs w:val="32"/>
        </w:rPr>
        <w:t>　　6、开展爱国卫生运动，普及疾病预防和卫生保健知识，指导群众改善居住、饮食、饮水和环境卫生条件，引导和帮助农民建立良好的卫生习惯。</w:t>
      </w:r>
      <w:bookmarkStart w:id="20" w:name="_Toc15377200"/>
    </w:p>
    <w:p>
      <w:pPr>
        <w:pStyle w:val="4"/>
        <w:ind w:firstLine="643" w:firstLineChars="200"/>
        <w:rPr>
          <w:rFonts w:ascii="黑体" w:eastAsia="黑体" w:cs="Times New Roman"/>
          <w:bCs w:val="0"/>
          <w:color w:val="000000"/>
        </w:rPr>
      </w:pPr>
      <w:bookmarkStart w:id="21" w:name="_Toc111208497"/>
      <w:bookmarkStart w:id="22" w:name="_Toc31790"/>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医院设内外妇儿中医科等科室，医院编制床位4张，开放床位2张，医院编制8个，在编制职工6人，实际在岗6人，借调0人，全院医护人员共计6人，执业助理医师1人，护师2人，管理岗1人，技术人员2人，医院平均年门诊人次3000余人次，2022年1月至今门、急诊人次2938人次，业务收入8.89万余元，较去年同期基本持平。</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11208498"/>
      <w:bookmarkStart w:id="25" w:name="_Toc16001"/>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20541"/>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132.89</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增加132.89</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11208500"/>
      <w:bookmarkStart w:id="30" w:name="_Toc25498"/>
      <w:bookmarkStart w:id="31" w:name="_Toc15377206"/>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132.89万元，其中：一般公共预算财政拨款收入132.89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11208501"/>
      <w:bookmarkStart w:id="33" w:name="_Toc15377207"/>
      <w:bookmarkStart w:id="34" w:name="_Toc6080"/>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132.89</w:t>
      </w:r>
      <w:r>
        <w:rPr>
          <w:rFonts w:ascii="仿宋" w:hAnsi="仿宋" w:eastAsia="仿宋"/>
          <w:color w:val="000000"/>
          <w:sz w:val="32"/>
          <w:szCs w:val="32"/>
        </w:rPr>
        <w:t>万元，其中：基本支出</w:t>
      </w:r>
      <w:r>
        <w:rPr>
          <w:rFonts w:hint="eastAsia" w:ascii="仿宋" w:hAnsi="仿宋" w:eastAsia="仿宋"/>
          <w:color w:val="000000"/>
          <w:sz w:val="32"/>
          <w:szCs w:val="32"/>
        </w:rPr>
        <w:t>121.18</w:t>
      </w:r>
      <w:r>
        <w:rPr>
          <w:rFonts w:ascii="仿宋" w:hAnsi="仿宋" w:eastAsia="仿宋"/>
          <w:color w:val="000000"/>
          <w:sz w:val="32"/>
          <w:szCs w:val="32"/>
        </w:rPr>
        <w:t>万元，占</w:t>
      </w:r>
      <w:r>
        <w:rPr>
          <w:rFonts w:hint="eastAsia" w:ascii="仿宋" w:hAnsi="仿宋" w:eastAsia="仿宋"/>
          <w:color w:val="000000"/>
          <w:sz w:val="32"/>
          <w:szCs w:val="32"/>
        </w:rPr>
        <w:t>91.19</w:t>
      </w:r>
      <w:r>
        <w:rPr>
          <w:rFonts w:ascii="仿宋" w:hAnsi="仿宋" w:eastAsia="仿宋"/>
          <w:color w:val="000000"/>
          <w:sz w:val="32"/>
          <w:szCs w:val="32"/>
        </w:rPr>
        <w:t>%；项目支出</w:t>
      </w:r>
      <w:r>
        <w:rPr>
          <w:rFonts w:hint="eastAsia" w:ascii="仿宋" w:hAnsi="仿宋" w:eastAsia="仿宋"/>
          <w:color w:val="000000"/>
          <w:sz w:val="32"/>
          <w:szCs w:val="32"/>
        </w:rPr>
        <w:t>11.71</w:t>
      </w:r>
      <w:r>
        <w:rPr>
          <w:rFonts w:ascii="仿宋" w:hAnsi="仿宋" w:eastAsia="仿宋"/>
          <w:color w:val="000000"/>
          <w:sz w:val="32"/>
          <w:szCs w:val="32"/>
        </w:rPr>
        <w:t>万元，占</w:t>
      </w:r>
      <w:r>
        <w:rPr>
          <w:rFonts w:hint="eastAsia" w:ascii="仿宋" w:hAnsi="仿宋" w:eastAsia="仿宋"/>
          <w:color w:val="000000"/>
          <w:sz w:val="32"/>
          <w:szCs w:val="32"/>
        </w:rPr>
        <w:t>8.81</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111208502"/>
      <w:bookmarkStart w:id="36" w:name="_Toc6346"/>
      <w:bookmarkStart w:id="37" w:name="_Toc15377208"/>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 xml:space="preserve">年财政拨款收、支总计132.89万元。与2021年相比，财政拨款收、支总计各增加132.89万元，增加100.00 %。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17578"/>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年一般公共预算财政拨款支出132.89</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2021相比，一般公共预算财政拨款增加132.89</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年一般公共预算财政拨款支出132.89</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社会保障和就业支出15.20万元，占11.44%；卫生健康支出108.15万元，占81.38%；住房保障支出9.53万元，占7.18%。</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213"/>
      <w:bookmarkStart w:id="45" w:name="_Toc15377444"/>
      <w:bookmarkStart w:id="46" w:name="_Toc15378460"/>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年一般公共预算支出决算数为132.89</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1.社会保障和就业支出（208）行政事业单位养老支出（20805）机关事业单位基本养老保险缴费支出（2080505）支出决算10.14万元，完成预算100%。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2.社会保障和就业支出（208）行政事业单位养老支出（20805）机关事业单位职业年金缴费支出（2080506）支出决算5.07万元，完成预算100%。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3.卫生健康支出（210）基层医疗卫生机构（21003）乡镇卫生院（2100302）支出决算90.46万元，完成预算100%。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4.卫生健康支出（210）基层医疗卫生机构（21003）其他基层医疗卫生机构支出（2100399）支出决算1.53万元，完成预算100%。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5.卫生健康支出（210）公共卫生（21004）基本公共卫生服务（2100408）支出决算10.18万元，完成预算100%。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6.卫生健康支出（210）行政事业单位医疗（21011）事业单位医疗（2101102）支出决算5.99万元，完成预算100%。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7.住房保障支出（221）住房改革支出（22102）住房公积金（2210201）支出决算9.53万元，完成预算100%。</w:t>
      </w:r>
    </w:p>
    <w:p>
      <w:pPr>
        <w:pStyle w:val="4"/>
        <w:ind w:firstLine="643" w:firstLineChars="200"/>
        <w:rPr>
          <w:rFonts w:ascii="黑体" w:eastAsia="黑体" w:cs="Times New Roman"/>
          <w:b w:val="0"/>
          <w:color w:val="000000"/>
        </w:rPr>
      </w:pPr>
      <w:bookmarkStart w:id="47" w:name="_Toc15377214"/>
      <w:bookmarkStart w:id="48" w:name="_Toc24000"/>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年一般公共预算财政拨款基本支出121.18</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120.72</w:t>
      </w:r>
      <w:r>
        <w:rPr>
          <w:rFonts w:hint="eastAsia" w:ascii="仿宋" w:hAnsi="仿宋" w:eastAsia="仿宋"/>
          <w:color w:val="000000"/>
          <w:sz w:val="32"/>
          <w:szCs w:val="32"/>
        </w:rPr>
        <w:t>万元，主要包括：</w:t>
      </w:r>
      <w:r>
        <w:rPr>
          <w:rFonts w:ascii="仿宋" w:hAnsi="仿宋" w:eastAsia="仿宋"/>
          <w:color w:val="000000"/>
          <w:sz w:val="32"/>
          <w:u w:color="auto"/>
        </w:rPr>
        <w:t>基本工资20.92万元、津贴补贴23.46万元、奖金31.36万元、绩效工资13.70万元、机关事业单位基本养老保险缴费10.14万元、职业年金缴费5.07万元、职工基本医疗保险缴费5.99万元、其他社会保障缴费0.55万元、住房公积金9.53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0.47</w:t>
      </w:r>
      <w:r>
        <w:rPr>
          <w:rFonts w:hint="eastAsia" w:ascii="仿宋" w:hAnsi="仿宋" w:eastAsia="仿宋"/>
          <w:color w:val="000000"/>
          <w:sz w:val="32"/>
          <w:szCs w:val="32"/>
        </w:rPr>
        <w:t>万元，主要包括：</w:t>
      </w:r>
      <w:r>
        <w:rPr>
          <w:rFonts w:ascii="仿宋" w:hAnsi="仿宋" w:eastAsia="仿宋"/>
          <w:color w:val="000000"/>
          <w:sz w:val="32"/>
          <w:u w:color="auto"/>
        </w:rPr>
        <w:t>工会经费0.47万元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32593"/>
      <w:bookmarkStart w:id="51" w:name="_Toc15377215"/>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9281"/>
      <w:bookmarkStart w:id="57" w:name="_Toc111208506"/>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11208507"/>
      <w:bookmarkStart w:id="60" w:name="_Toc12199"/>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23126"/>
      <w:bookmarkStart w:id="62" w:name="_Toc111208508"/>
      <w:bookmarkStart w:id="63" w:name="_Toc1537722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2"/>
      </w:pPr>
      <w:r>
        <w:rPr>
          <w:rFonts w:hint="eastAsia"/>
        </w:rPr>
        <w:t xml:space="preserve"> </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111208509"/>
      <w:bookmarkStart w:id="68" w:name="_Toc288"/>
      <w:bookmarkStart w:id="69" w:name="_Toc15377225"/>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 xml:space="preserve">    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 xml:space="preserve">    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15.住房保障支出（221）住房改革支出（22102）住房公积金（2210201）：反映行政事业单位按人力资源和社会保障部、财政部规定的基本工资和津贴补贴以及规定比例为职工缴纳的住房公积金。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17.项目支出：指在基本支出之外为完成特定行政任务和事业发展目标所发生的支出。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70" w:name="_Toc20076"/>
      <w:bookmarkStart w:id="71" w:name="_Toc111208510"/>
      <w:r>
        <w:rPr>
          <w:rFonts w:hint="eastAsia" w:ascii="黑体" w:hAnsi="黑体" w:eastAsia="黑体" w:cs="黑体"/>
        </w:rPr>
        <w:t>第四部分 附件</w:t>
      </w:r>
      <w:bookmarkEnd w:id="70"/>
      <w:bookmarkEnd w:id="71"/>
    </w:p>
    <w:p>
      <w:pPr>
        <w:pStyle w:val="2"/>
      </w:pPr>
      <w:r>
        <w:rPr>
          <w:rFonts w:hint="eastAsia"/>
        </w:rPr>
        <w:t xml:space="preserve"> </w:t>
      </w:r>
    </w:p>
    <w:p>
      <w:pPr>
        <w:pStyle w:val="3"/>
        <w:jc w:val="center"/>
        <w:rPr>
          <w:rFonts w:ascii="黑体" w:hAnsi="黑体" w:eastAsia="黑体" w:cs="黑体"/>
        </w:rPr>
      </w:pPr>
      <w:bookmarkStart w:id="72" w:name="_Toc16128"/>
      <w:bookmarkStart w:id="73" w:name="_Toc79163885"/>
      <w:bookmarkStart w:id="74" w:name="_Toc79163635"/>
      <w:bookmarkStart w:id="75" w:name="_Toc111208512"/>
      <w:r>
        <w:rPr>
          <w:rFonts w:hint="eastAsia" w:ascii="黑体" w:hAnsi="黑体" w:eastAsia="黑体" w:cs="黑体"/>
        </w:rPr>
        <w:t>第五部分 附表</w:t>
      </w:r>
      <w:bookmarkEnd w:id="72"/>
      <w:bookmarkEnd w:id="73"/>
      <w:bookmarkEnd w:id="74"/>
      <w:bookmarkEnd w:id="75"/>
    </w:p>
    <w:p>
      <w:pPr>
        <w:pStyle w:val="4"/>
        <w:ind w:firstLine="643" w:firstLineChars="200"/>
        <w:rPr>
          <w:rFonts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5BEA"/>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D41"/>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64AA"/>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580724E"/>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0F7602"/>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3A1C2F"/>
    <w:rsid w:val="329448A6"/>
    <w:rsid w:val="32F45598"/>
    <w:rsid w:val="35244754"/>
    <w:rsid w:val="364D41F6"/>
    <w:rsid w:val="36FD0156"/>
    <w:rsid w:val="381B5805"/>
    <w:rsid w:val="38F8371D"/>
    <w:rsid w:val="39226F5F"/>
    <w:rsid w:val="39902098"/>
    <w:rsid w:val="39CD52F7"/>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7D391A"/>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{0,132.89}</c:f>
              <c:numCache>
                <c:formatCode>General</c:formatCode>
                <c:ptCount val="2"/>
                <c:pt idx="0">
                  <c:v>0</c:v>
                </c:pt>
                <c:pt idx="1">
                  <c:v>132.89</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{0,132.89}</c:f>
              <c:numCache>
                <c:formatCode>General</c:formatCode>
                <c:ptCount val="2"/>
                <c:pt idx="0">
                  <c:v>0</c:v>
                </c:pt>
                <c:pt idx="1">
                  <c:v>132.89</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{1328906.16,0,0,0,0,0,0,0}</c:f>
              <c:numCache>
                <c:formatCode>General</c:formatCode>
                <c:ptCount val="8"/>
                <c:pt idx="0">
                  <c:v>1328906.16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{1211848.16,117058,0,0,0}</c:f>
              <c:numCache>
                <c:formatCode>General</c:formatCode>
                <c:ptCount val="5"/>
                <c:pt idx="0">
                  <c:v>1211848.16</c:v>
                </c:pt>
                <c:pt idx="1">
                  <c:v>117058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{0,132.89}</c:f>
              <c:numCache>
                <c:formatCode>General</c:formatCode>
                <c:ptCount val="2"/>
                <c:pt idx="0">
                  <c:v>0</c:v>
                </c:pt>
                <c:pt idx="1">
                  <c:v>132.89</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{0,132.89}</c:f>
              <c:numCache>
                <c:formatCode>General</c:formatCode>
                <c:ptCount val="2"/>
                <c:pt idx="0">
                  <c:v>0</c:v>
                </c:pt>
                <c:pt idx="1">
                  <c:v>132.89</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{132.89}</c:f>
              <c:numCache>
                <c:formatCode>General</c:formatCode>
                <c:ptCount val="1"/>
                <c:pt idx="0">
                  <c:v>132.89</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{15.2,108.15,9.53}</c:f>
              <c:numCache>
                <c:formatCode>General</c:formatCode>
                <c:ptCount val="3"/>
                <c:pt idx="0">
                  <c:v>15.2</c:v>
                </c:pt>
                <c:pt idx="1">
                  <c:v>108.15</c:v>
                </c:pt>
                <c:pt idx="2">
                  <c:v>9.53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1007</Words>
  <Characters>5746</Characters>
  <Lines>47</Lines>
  <Paragraphs>13</Paragraphs>
  <TotalTime>0</TotalTime>
  <ScaleCrop>false</ScaleCrop>
  <LinksUpToDate>false</LinksUpToDate>
  <CharactersWithSpaces>6740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2023-09-13T07:32:06Z</dcterms:modified>
  <dc:title>四川省决算编制说明</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70102CC19363441EA1EE87A3AC2E5A14_13</vt:lpwstr>
  </property>
</Properties>
</file>