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7193"/>
      <w:bookmarkStart w:id="1" w:name="_Toc15396597"/>
      <w:bookmarkStart w:id="2" w:name="_Toc15377425"/>
      <w:bookmarkStart w:id="3" w:name="_Toc15396475"/>
      <w:bookmarkStart w:id="4" w:name="_Toc15378441"/>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outlineLvl w:val="0"/>
        <w:rPr>
          <w:rFonts w:asciiTheme="minorEastAsia" w:hAnsiTheme="minorEastAsia" w:eastAsiaTheme="minorEastAsia"/>
          <w:b/>
          <w:sz w:val="72"/>
          <w:szCs w:val="72"/>
        </w:rPr>
      </w:pPr>
      <w:bookmarkStart w:id="6" w:name="_Toc15378442"/>
      <w:bookmarkStart w:id="7" w:name="_Toc15396598"/>
      <w:bookmarkStart w:id="8" w:name="_Toc15306268"/>
      <w:bookmarkStart w:id="9" w:name="_Toc15377194"/>
      <w:bookmarkStart w:id="10" w:name="_Toc15377426"/>
      <w:bookmarkStart w:id="11" w:name="_Toc15396476"/>
      <w:bookmarkStart w:id="12" w:name="_Toc31316"/>
      <w:r>
        <w:rPr>
          <w:rFonts w:asciiTheme="minorEastAsia" w:hAnsiTheme="minorEastAsia" w:eastAsiaTheme="minorEastAsia"/>
          <w:b/>
          <w:sz w:val="72"/>
          <w:szCs w:val="72"/>
        </w:rPr>
        <w:t>阿坝州松潘县小河镇中心卫生院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bookmarkEnd w:id="12"/>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hint="eastAsia" w:ascii="宋体" w:hAnsi="宋体" w:eastAsia="宋体" w:cs="宋体"/>
          <w:color w:val="000000"/>
          <w:sz w:val="32"/>
          <w:szCs w:val="32"/>
          <w:lang w:val="en-US" w:eastAsia="zh-CN"/>
        </w:rPr>
      </w:pPr>
    </w:p>
    <w:p>
      <w:pPr>
        <w:widowControl/>
        <w:jc w:val="center"/>
        <w:rPr>
          <w:rFonts w:hint="eastAsia" w:ascii="宋体" w:hAnsi="宋体" w:eastAsia="宋体" w:cs="宋体"/>
          <w:color w:val="000000"/>
          <w:sz w:val="32"/>
          <w:szCs w:val="32"/>
          <w:lang w:val="en-US" w:eastAsia="zh-CN"/>
        </w:rPr>
      </w:pPr>
    </w:p>
    <w:p>
      <w:pPr>
        <w:widowControl/>
        <w:jc w:val="center"/>
        <w:rPr>
          <w:rFonts w:ascii="黑体" w:hAnsi="黑体" w:eastAsia="黑体"/>
          <w:color w:val="000000"/>
          <w:sz w:val="48"/>
          <w:szCs w:val="48"/>
        </w:rPr>
      </w:pPr>
      <w:r>
        <w:rPr>
          <w:rFonts w:hint="eastAsia" w:ascii="宋体" w:hAnsi="宋体" w:eastAsia="宋体" w:cs="宋体"/>
          <w:color w:val="000000"/>
          <w:sz w:val="32"/>
          <w:szCs w:val="32"/>
          <w:lang w:val="en-US" w:eastAsia="zh-CN"/>
        </w:rPr>
        <w:t>公开时间：2023年9月</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3" w:name="_Toc15377196"/>
    </w:p>
    <w:p>
      <w:pPr>
        <w:pStyle w:val="2"/>
        <w:rPr>
          <w:smallCaps/>
          <w:szCs w:val="20"/>
        </w:rPr>
      </w:pPr>
    </w:p>
    <w:sdt>
      <w:sdtPr>
        <w:rPr>
          <w:rFonts w:ascii="宋体" w:hAnsi="宋体" w:eastAsia="宋体" w:cs="Times New Roman"/>
          <w:kern w:val="2"/>
          <w:sz w:val="21"/>
          <w:szCs w:val="24"/>
          <w:lang w:val="en-US" w:eastAsia="zh-CN" w:bidi="ar-SA"/>
        </w:rPr>
        <w:id w:val="147462701"/>
        <w15:color w:val="DBDBDB"/>
        <w:docPartObj>
          <w:docPartGallery w:val="Table of Contents"/>
          <w:docPartUnique/>
        </w:docPartObj>
      </w:sdtPr>
      <w:sdtEndPr>
        <w:rPr>
          <w:rFonts w:ascii="Times New Roman" w:hAnsi="Times New Roman" w:eastAsia="宋体" w:cs="Times New Roman"/>
          <w:b/>
          <w:smallCaps/>
          <w:kern w:val="2"/>
          <w:sz w:val="21"/>
          <w:szCs w:val="20"/>
          <w:lang w:val="en-US" w:eastAsia="zh-CN" w:bidi="ar-SA"/>
        </w:rPr>
      </w:sdtEndPr>
      <w:sdtContent>
        <w:p>
          <w:pPr>
            <w:spacing w:before="0" w:beforeLines="0" w:after="0" w:afterLines="0" w:line="240" w:lineRule="auto"/>
            <w:ind w:left="0" w:leftChars="0" w:right="0" w:rightChars="0" w:firstLine="0" w:firstLineChars="0"/>
            <w:jc w:val="center"/>
            <w:rPr>
              <w:b/>
            </w:rPr>
          </w:pPr>
          <w:r>
            <w:rPr>
              <w:smallCaps/>
              <w:szCs w:val="20"/>
            </w:rPr>
            <w:fldChar w:fldCharType="begin"/>
          </w:r>
          <w:r>
            <w:rPr>
              <w:smallCaps/>
              <w:szCs w:val="20"/>
            </w:rPr>
            <w:instrText xml:space="preserve">TOC \o "1-2" \h \u </w:instrText>
          </w:r>
          <w:r>
            <w:rPr>
              <w:smallCaps/>
              <w:szCs w:val="20"/>
            </w:rPr>
            <w:fldChar w:fldCharType="separate"/>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sz w:val="20"/>
              <w:szCs w:val="20"/>
            </w:rPr>
          </w:pPr>
          <w:r>
            <w:rPr>
              <w:b/>
              <w:smallCaps/>
              <w:sz w:val="20"/>
              <w:szCs w:val="20"/>
            </w:rPr>
            <w:fldChar w:fldCharType="begin"/>
          </w:r>
          <w:r>
            <w:rPr>
              <w:b/>
              <w:smallCaps/>
              <w:sz w:val="20"/>
              <w:szCs w:val="20"/>
            </w:rPr>
            <w:instrText xml:space="preserve"> HYPERLINK \l _Toc27966 </w:instrText>
          </w:r>
          <w:r>
            <w:rPr>
              <w:b/>
              <w:smallCaps/>
              <w:sz w:val="20"/>
              <w:szCs w:val="20"/>
            </w:rPr>
            <w:fldChar w:fldCharType="separate"/>
          </w:r>
          <w:r>
            <w:rPr>
              <w:rFonts w:hint="eastAsia" w:ascii="黑体" w:hAnsi="黑体" w:eastAsia="黑体" w:cs="黑体"/>
              <w:b/>
              <w:sz w:val="20"/>
              <w:szCs w:val="20"/>
            </w:rPr>
            <w:t xml:space="preserve">第一部分 </w:t>
          </w:r>
          <w:r>
            <w:rPr>
              <w:rFonts w:hint="eastAsia" w:ascii="黑体" w:hAnsi="黑体" w:eastAsia="黑体" w:cs="黑体"/>
              <w:b/>
              <w:bCs w:val="0"/>
              <w:sz w:val="20"/>
              <w:szCs w:val="20"/>
            </w:rPr>
            <w:t>部门概况</w:t>
          </w:r>
          <w:r>
            <w:rPr>
              <w:b/>
              <w:sz w:val="20"/>
              <w:szCs w:val="20"/>
            </w:rPr>
            <w:tab/>
          </w:r>
          <w:r>
            <w:rPr>
              <w:b/>
              <w:sz w:val="20"/>
              <w:szCs w:val="20"/>
            </w:rPr>
            <w:fldChar w:fldCharType="begin"/>
          </w:r>
          <w:r>
            <w:rPr>
              <w:b/>
              <w:sz w:val="20"/>
              <w:szCs w:val="20"/>
            </w:rPr>
            <w:instrText xml:space="preserve"> PAGEREF _Toc27966 \h </w:instrText>
          </w:r>
          <w:r>
            <w:rPr>
              <w:b/>
              <w:sz w:val="20"/>
              <w:szCs w:val="20"/>
            </w:rPr>
            <w:fldChar w:fldCharType="separate"/>
          </w:r>
          <w:r>
            <w:rPr>
              <w:b/>
              <w:sz w:val="20"/>
              <w:szCs w:val="20"/>
            </w:rPr>
            <w:t>3</w:t>
          </w:r>
          <w:r>
            <w:rPr>
              <w:b/>
              <w:sz w:val="20"/>
              <w:szCs w:val="20"/>
            </w:rPr>
            <w:fldChar w:fldCharType="end"/>
          </w:r>
          <w:r>
            <w:rPr>
              <w:b/>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_Toc31549 </w:instrText>
          </w:r>
          <w:r>
            <w:rPr>
              <w:smallCaps/>
              <w:sz w:val="20"/>
              <w:szCs w:val="20"/>
            </w:rPr>
            <w:fldChar w:fldCharType="separate"/>
          </w:r>
          <w:r>
            <w:rPr>
              <w:rFonts w:hint="eastAsia" w:ascii="黑体" w:eastAsia="黑体" w:cs="Times New Roman"/>
              <w:bCs w:val="0"/>
              <w:sz w:val="20"/>
              <w:szCs w:val="20"/>
            </w:rPr>
            <w:t>一、部门职责</w:t>
          </w:r>
          <w:r>
            <w:rPr>
              <w:sz w:val="20"/>
              <w:szCs w:val="20"/>
            </w:rPr>
            <w:tab/>
          </w:r>
          <w:r>
            <w:rPr>
              <w:sz w:val="20"/>
              <w:szCs w:val="20"/>
            </w:rPr>
            <w:fldChar w:fldCharType="begin"/>
          </w:r>
          <w:r>
            <w:rPr>
              <w:sz w:val="20"/>
              <w:szCs w:val="20"/>
            </w:rPr>
            <w:instrText xml:space="preserve"> PAGEREF _Toc31549 \h </w:instrText>
          </w:r>
          <w:r>
            <w:rPr>
              <w:sz w:val="20"/>
              <w:szCs w:val="20"/>
            </w:rPr>
            <w:fldChar w:fldCharType="separate"/>
          </w:r>
          <w:r>
            <w:rPr>
              <w:sz w:val="20"/>
              <w:szCs w:val="20"/>
            </w:rPr>
            <w:t>3</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_Toc9398 </w:instrText>
          </w:r>
          <w:r>
            <w:rPr>
              <w:smallCaps/>
              <w:sz w:val="20"/>
              <w:szCs w:val="20"/>
            </w:rPr>
            <w:fldChar w:fldCharType="separate"/>
          </w:r>
          <w:r>
            <w:rPr>
              <w:rFonts w:hint="eastAsia" w:ascii="黑体" w:eastAsia="黑体" w:cs="Times New Roman"/>
              <w:bCs w:val="0"/>
              <w:sz w:val="20"/>
              <w:szCs w:val="20"/>
            </w:rPr>
            <w:t>二、机构设置</w:t>
          </w:r>
          <w:r>
            <w:rPr>
              <w:sz w:val="20"/>
              <w:szCs w:val="20"/>
            </w:rPr>
            <w:tab/>
          </w:r>
          <w:r>
            <w:rPr>
              <w:sz w:val="20"/>
              <w:szCs w:val="20"/>
            </w:rPr>
            <w:fldChar w:fldCharType="begin"/>
          </w:r>
          <w:r>
            <w:rPr>
              <w:sz w:val="20"/>
              <w:szCs w:val="20"/>
            </w:rPr>
            <w:instrText xml:space="preserve"> PAGEREF _Toc9398 \h </w:instrText>
          </w:r>
          <w:r>
            <w:rPr>
              <w:sz w:val="20"/>
              <w:szCs w:val="20"/>
            </w:rPr>
            <w:fldChar w:fldCharType="separate"/>
          </w:r>
          <w:r>
            <w:rPr>
              <w:sz w:val="20"/>
              <w:szCs w:val="20"/>
            </w:rPr>
            <w:t>3</w:t>
          </w:r>
          <w:r>
            <w:rPr>
              <w:sz w:val="20"/>
              <w:szCs w:val="20"/>
            </w:rPr>
            <w:fldChar w:fldCharType="end"/>
          </w:r>
          <w:r>
            <w:rPr>
              <w:smallCaps/>
              <w:sz w:val="20"/>
              <w:szCs w:val="20"/>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sz w:val="20"/>
              <w:szCs w:val="20"/>
            </w:rPr>
          </w:pPr>
          <w:r>
            <w:rPr>
              <w:b/>
              <w:smallCaps/>
              <w:sz w:val="20"/>
              <w:szCs w:val="20"/>
            </w:rPr>
            <w:fldChar w:fldCharType="begin"/>
          </w:r>
          <w:r>
            <w:rPr>
              <w:b/>
              <w:smallCaps/>
              <w:sz w:val="20"/>
              <w:szCs w:val="20"/>
            </w:rPr>
            <w:instrText xml:space="preserve"> HYPERLINK \l _Toc22236 </w:instrText>
          </w:r>
          <w:r>
            <w:rPr>
              <w:b/>
              <w:smallCaps/>
              <w:sz w:val="20"/>
              <w:szCs w:val="20"/>
            </w:rPr>
            <w:fldChar w:fldCharType="separate"/>
          </w:r>
          <w:r>
            <w:rPr>
              <w:rFonts w:hint="eastAsia" w:ascii="黑体" w:hAnsi="黑体" w:eastAsia="黑体" w:cs="黑体"/>
              <w:b/>
              <w:sz w:val="20"/>
              <w:szCs w:val="20"/>
            </w:rPr>
            <w:t>第二部分</w:t>
          </w:r>
          <w:r>
            <w:rPr>
              <w:rFonts w:ascii="黑体" w:hAnsi="黑体" w:eastAsia="黑体" w:cs="黑体"/>
              <w:b/>
              <w:sz w:val="20"/>
              <w:szCs w:val="20"/>
            </w:rPr>
            <w:t xml:space="preserve"> </w:t>
          </w:r>
          <w:r>
            <w:rPr>
              <w:rFonts w:hint="eastAsia" w:ascii="黑体" w:hAnsi="黑体" w:eastAsia="黑体" w:cs="黑体"/>
              <w:b/>
              <w:sz w:val="20"/>
              <w:szCs w:val="20"/>
            </w:rPr>
            <w:t>2022</w:t>
          </w:r>
          <w:r>
            <w:rPr>
              <w:rFonts w:ascii="黑体" w:hAnsi="黑体" w:eastAsia="黑体" w:cs="黑体"/>
              <w:b/>
              <w:sz w:val="20"/>
              <w:szCs w:val="20"/>
            </w:rPr>
            <w:t>年度部门决算情况说明</w:t>
          </w:r>
          <w:r>
            <w:rPr>
              <w:b/>
              <w:sz w:val="20"/>
              <w:szCs w:val="20"/>
            </w:rPr>
            <w:tab/>
          </w:r>
          <w:r>
            <w:rPr>
              <w:b/>
              <w:sz w:val="20"/>
              <w:szCs w:val="20"/>
            </w:rPr>
            <w:fldChar w:fldCharType="begin"/>
          </w:r>
          <w:r>
            <w:rPr>
              <w:b/>
              <w:sz w:val="20"/>
              <w:szCs w:val="20"/>
            </w:rPr>
            <w:instrText xml:space="preserve"> PAGEREF _Toc22236 \h </w:instrText>
          </w:r>
          <w:r>
            <w:rPr>
              <w:b/>
              <w:sz w:val="20"/>
              <w:szCs w:val="20"/>
            </w:rPr>
            <w:fldChar w:fldCharType="separate"/>
          </w:r>
          <w:r>
            <w:rPr>
              <w:b/>
              <w:sz w:val="20"/>
              <w:szCs w:val="20"/>
            </w:rPr>
            <w:t>4</w:t>
          </w:r>
          <w:r>
            <w:rPr>
              <w:b/>
              <w:sz w:val="20"/>
              <w:szCs w:val="20"/>
            </w:rPr>
            <w:fldChar w:fldCharType="end"/>
          </w:r>
          <w:r>
            <w:rPr>
              <w:b/>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_Toc31210 </w:instrText>
          </w:r>
          <w:r>
            <w:rPr>
              <w:smallCaps/>
              <w:sz w:val="20"/>
              <w:szCs w:val="20"/>
            </w:rPr>
            <w:fldChar w:fldCharType="separate"/>
          </w:r>
          <w:r>
            <w:rPr>
              <w:rFonts w:hint="eastAsia" w:ascii="黑体" w:eastAsia="黑体" w:cs="Times New Roman"/>
              <w:bCs w:val="0"/>
              <w:sz w:val="20"/>
              <w:szCs w:val="20"/>
            </w:rPr>
            <w:t>一、收入支出决算总体情况说明</w:t>
          </w:r>
          <w:r>
            <w:rPr>
              <w:sz w:val="20"/>
              <w:szCs w:val="20"/>
            </w:rPr>
            <w:tab/>
          </w:r>
          <w:r>
            <w:rPr>
              <w:sz w:val="20"/>
              <w:szCs w:val="20"/>
            </w:rPr>
            <w:fldChar w:fldCharType="begin"/>
          </w:r>
          <w:r>
            <w:rPr>
              <w:sz w:val="20"/>
              <w:szCs w:val="20"/>
            </w:rPr>
            <w:instrText xml:space="preserve"> PAGEREF _Toc31210 \h </w:instrText>
          </w:r>
          <w:r>
            <w:rPr>
              <w:sz w:val="20"/>
              <w:szCs w:val="20"/>
            </w:rPr>
            <w:fldChar w:fldCharType="separate"/>
          </w:r>
          <w:r>
            <w:rPr>
              <w:sz w:val="20"/>
              <w:szCs w:val="20"/>
            </w:rPr>
            <w:t>4</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_Toc21675 </w:instrText>
          </w:r>
          <w:r>
            <w:rPr>
              <w:smallCaps/>
              <w:sz w:val="20"/>
              <w:szCs w:val="20"/>
            </w:rPr>
            <w:fldChar w:fldCharType="separate"/>
          </w:r>
          <w:r>
            <w:rPr>
              <w:rFonts w:hint="eastAsia" w:ascii="黑体" w:eastAsia="黑体" w:cs="Times New Roman"/>
              <w:bCs w:val="0"/>
              <w:sz w:val="20"/>
              <w:szCs w:val="20"/>
            </w:rPr>
            <w:t>二、收入决算情况说明</w:t>
          </w:r>
          <w:r>
            <w:rPr>
              <w:sz w:val="20"/>
              <w:szCs w:val="20"/>
            </w:rPr>
            <w:tab/>
          </w:r>
          <w:r>
            <w:rPr>
              <w:sz w:val="20"/>
              <w:szCs w:val="20"/>
            </w:rPr>
            <w:fldChar w:fldCharType="begin"/>
          </w:r>
          <w:r>
            <w:rPr>
              <w:sz w:val="20"/>
              <w:szCs w:val="20"/>
            </w:rPr>
            <w:instrText xml:space="preserve"> PAGEREF _Toc21675 \h </w:instrText>
          </w:r>
          <w:r>
            <w:rPr>
              <w:sz w:val="20"/>
              <w:szCs w:val="20"/>
            </w:rPr>
            <w:fldChar w:fldCharType="separate"/>
          </w:r>
          <w:r>
            <w:rPr>
              <w:sz w:val="20"/>
              <w:szCs w:val="20"/>
            </w:rPr>
            <w:t>4</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_Toc26453 </w:instrText>
          </w:r>
          <w:r>
            <w:rPr>
              <w:smallCaps/>
              <w:sz w:val="20"/>
              <w:szCs w:val="20"/>
            </w:rPr>
            <w:fldChar w:fldCharType="separate"/>
          </w:r>
          <w:r>
            <w:rPr>
              <w:rFonts w:hint="eastAsia" w:ascii="黑体" w:eastAsia="黑体" w:cs="Times New Roman"/>
              <w:bCs w:val="0"/>
              <w:sz w:val="20"/>
              <w:szCs w:val="20"/>
            </w:rPr>
            <w:t>三、支出决算情况说明</w:t>
          </w:r>
          <w:r>
            <w:rPr>
              <w:sz w:val="20"/>
              <w:szCs w:val="20"/>
            </w:rPr>
            <w:tab/>
          </w:r>
          <w:r>
            <w:rPr>
              <w:sz w:val="20"/>
              <w:szCs w:val="20"/>
            </w:rPr>
            <w:fldChar w:fldCharType="begin"/>
          </w:r>
          <w:r>
            <w:rPr>
              <w:sz w:val="20"/>
              <w:szCs w:val="20"/>
            </w:rPr>
            <w:instrText xml:space="preserve"> PAGEREF _Toc26453 \h </w:instrText>
          </w:r>
          <w:r>
            <w:rPr>
              <w:sz w:val="20"/>
              <w:szCs w:val="20"/>
            </w:rPr>
            <w:fldChar w:fldCharType="separate"/>
          </w:r>
          <w:r>
            <w:rPr>
              <w:sz w:val="20"/>
              <w:szCs w:val="20"/>
            </w:rPr>
            <w:t>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_Toc14980 </w:instrText>
          </w:r>
          <w:r>
            <w:rPr>
              <w:smallCaps/>
              <w:sz w:val="20"/>
              <w:szCs w:val="20"/>
            </w:rPr>
            <w:fldChar w:fldCharType="separate"/>
          </w:r>
          <w:r>
            <w:rPr>
              <w:rFonts w:hint="eastAsia" w:ascii="黑体" w:eastAsia="黑体" w:cs="Times New Roman"/>
              <w:bCs w:val="0"/>
              <w:sz w:val="20"/>
              <w:szCs w:val="20"/>
            </w:rPr>
            <w:t>四、财政拨款收入支出决算总体情况说明</w:t>
          </w:r>
          <w:r>
            <w:rPr>
              <w:sz w:val="20"/>
              <w:szCs w:val="20"/>
            </w:rPr>
            <w:tab/>
          </w:r>
          <w:r>
            <w:rPr>
              <w:sz w:val="20"/>
              <w:szCs w:val="20"/>
            </w:rPr>
            <w:fldChar w:fldCharType="begin"/>
          </w:r>
          <w:r>
            <w:rPr>
              <w:sz w:val="20"/>
              <w:szCs w:val="20"/>
            </w:rPr>
            <w:instrText xml:space="preserve"> PAGEREF _Toc14980 \h </w:instrText>
          </w:r>
          <w:r>
            <w:rPr>
              <w:sz w:val="20"/>
              <w:szCs w:val="20"/>
            </w:rPr>
            <w:fldChar w:fldCharType="separate"/>
          </w:r>
          <w:r>
            <w:rPr>
              <w:sz w:val="20"/>
              <w:szCs w:val="20"/>
            </w:rPr>
            <w:t>6</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_Toc932 </w:instrText>
          </w:r>
          <w:r>
            <w:rPr>
              <w:smallCaps/>
              <w:sz w:val="20"/>
              <w:szCs w:val="20"/>
            </w:rPr>
            <w:fldChar w:fldCharType="separate"/>
          </w:r>
          <w:r>
            <w:rPr>
              <w:rFonts w:hint="eastAsia" w:ascii="黑体" w:eastAsia="黑体" w:cs="Times New Roman"/>
              <w:bCs w:val="0"/>
              <w:sz w:val="20"/>
              <w:szCs w:val="20"/>
            </w:rPr>
            <w:t>五、一般公共预算财政拨款支出决算情况说明</w:t>
          </w:r>
          <w:r>
            <w:rPr>
              <w:sz w:val="20"/>
              <w:szCs w:val="20"/>
            </w:rPr>
            <w:tab/>
          </w:r>
          <w:r>
            <w:rPr>
              <w:sz w:val="20"/>
              <w:szCs w:val="20"/>
            </w:rPr>
            <w:fldChar w:fldCharType="begin"/>
          </w:r>
          <w:r>
            <w:rPr>
              <w:sz w:val="20"/>
              <w:szCs w:val="20"/>
            </w:rPr>
            <w:instrText xml:space="preserve"> PAGEREF _Toc932 \h </w:instrText>
          </w:r>
          <w:r>
            <w:rPr>
              <w:sz w:val="20"/>
              <w:szCs w:val="20"/>
            </w:rPr>
            <w:fldChar w:fldCharType="separate"/>
          </w:r>
          <w:r>
            <w:rPr>
              <w:sz w:val="20"/>
              <w:szCs w:val="20"/>
            </w:rPr>
            <w:t>7</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_Toc29609 </w:instrText>
          </w:r>
          <w:r>
            <w:rPr>
              <w:smallCaps/>
              <w:sz w:val="20"/>
              <w:szCs w:val="20"/>
            </w:rPr>
            <w:fldChar w:fldCharType="separate"/>
          </w:r>
          <w:r>
            <w:rPr>
              <w:rFonts w:hint="eastAsia" w:ascii="黑体" w:eastAsia="黑体" w:cs="Times New Roman"/>
              <w:bCs w:val="0"/>
              <w:sz w:val="20"/>
              <w:szCs w:val="20"/>
            </w:rPr>
            <w:t>六、一般公共预算财政拨款基本支出决算情况说明</w:t>
          </w:r>
          <w:r>
            <w:rPr>
              <w:sz w:val="20"/>
              <w:szCs w:val="20"/>
            </w:rPr>
            <w:tab/>
          </w:r>
          <w:r>
            <w:rPr>
              <w:sz w:val="20"/>
              <w:szCs w:val="20"/>
            </w:rPr>
            <w:fldChar w:fldCharType="begin"/>
          </w:r>
          <w:r>
            <w:rPr>
              <w:sz w:val="20"/>
              <w:szCs w:val="20"/>
            </w:rPr>
            <w:instrText xml:space="preserve"> PAGEREF _Toc29609 \h </w:instrText>
          </w:r>
          <w:r>
            <w:rPr>
              <w:sz w:val="20"/>
              <w:szCs w:val="20"/>
            </w:rPr>
            <w:fldChar w:fldCharType="separate"/>
          </w:r>
          <w:r>
            <w:rPr>
              <w:sz w:val="20"/>
              <w:szCs w:val="20"/>
            </w:rPr>
            <w:t>10</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_Toc18202 </w:instrText>
          </w:r>
          <w:r>
            <w:rPr>
              <w:smallCaps/>
              <w:sz w:val="20"/>
              <w:szCs w:val="20"/>
            </w:rPr>
            <w:fldChar w:fldCharType="separate"/>
          </w:r>
          <w:r>
            <w:rPr>
              <w:rFonts w:hint="eastAsia" w:ascii="黑体" w:eastAsia="黑体" w:cs="Times New Roman"/>
              <w:bCs w:val="0"/>
              <w:sz w:val="20"/>
              <w:szCs w:val="20"/>
            </w:rPr>
            <w:t>七、“三公”经费财政拨款支出决算情况说明</w:t>
          </w:r>
          <w:r>
            <w:rPr>
              <w:sz w:val="20"/>
              <w:szCs w:val="20"/>
            </w:rPr>
            <w:tab/>
          </w:r>
          <w:r>
            <w:rPr>
              <w:sz w:val="20"/>
              <w:szCs w:val="20"/>
            </w:rPr>
            <w:fldChar w:fldCharType="begin"/>
          </w:r>
          <w:r>
            <w:rPr>
              <w:sz w:val="20"/>
              <w:szCs w:val="20"/>
            </w:rPr>
            <w:instrText xml:space="preserve"> PAGEREF _Toc18202 \h </w:instrText>
          </w:r>
          <w:r>
            <w:rPr>
              <w:sz w:val="20"/>
              <w:szCs w:val="20"/>
            </w:rPr>
            <w:fldChar w:fldCharType="separate"/>
          </w:r>
          <w:r>
            <w:rPr>
              <w:sz w:val="20"/>
              <w:szCs w:val="20"/>
            </w:rPr>
            <w:t>10</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_Toc4409 </w:instrText>
          </w:r>
          <w:r>
            <w:rPr>
              <w:smallCaps/>
              <w:sz w:val="20"/>
              <w:szCs w:val="20"/>
            </w:rPr>
            <w:fldChar w:fldCharType="separate"/>
          </w:r>
          <w:r>
            <w:rPr>
              <w:rFonts w:hint="eastAsia" w:ascii="黑体" w:eastAsia="黑体" w:cs="Times New Roman"/>
              <w:bCs w:val="0"/>
              <w:sz w:val="20"/>
              <w:szCs w:val="20"/>
            </w:rPr>
            <w:t>八、政府性基金预算支出决算情况说明</w:t>
          </w:r>
          <w:r>
            <w:rPr>
              <w:sz w:val="20"/>
              <w:szCs w:val="20"/>
            </w:rPr>
            <w:tab/>
          </w:r>
          <w:r>
            <w:rPr>
              <w:sz w:val="20"/>
              <w:szCs w:val="20"/>
            </w:rPr>
            <w:fldChar w:fldCharType="begin"/>
          </w:r>
          <w:r>
            <w:rPr>
              <w:sz w:val="20"/>
              <w:szCs w:val="20"/>
            </w:rPr>
            <w:instrText xml:space="preserve"> PAGEREF _Toc4409 \h </w:instrText>
          </w:r>
          <w:r>
            <w:rPr>
              <w:sz w:val="20"/>
              <w:szCs w:val="20"/>
            </w:rPr>
            <w:fldChar w:fldCharType="separate"/>
          </w:r>
          <w:r>
            <w:rPr>
              <w:sz w:val="20"/>
              <w:szCs w:val="20"/>
            </w:rPr>
            <w:t>12</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_Toc6324 </w:instrText>
          </w:r>
          <w:r>
            <w:rPr>
              <w:smallCaps/>
              <w:sz w:val="20"/>
              <w:szCs w:val="20"/>
            </w:rPr>
            <w:fldChar w:fldCharType="separate"/>
          </w:r>
          <w:r>
            <w:rPr>
              <w:rFonts w:hint="eastAsia" w:ascii="黑体" w:eastAsia="黑体" w:cs="Times New Roman"/>
              <w:bCs w:val="0"/>
              <w:sz w:val="20"/>
              <w:szCs w:val="20"/>
            </w:rPr>
            <w:t>九、国有资本经营预算支出决算情况说明</w:t>
          </w:r>
          <w:r>
            <w:rPr>
              <w:sz w:val="20"/>
              <w:szCs w:val="20"/>
            </w:rPr>
            <w:tab/>
          </w:r>
          <w:r>
            <w:rPr>
              <w:sz w:val="20"/>
              <w:szCs w:val="20"/>
            </w:rPr>
            <w:fldChar w:fldCharType="begin"/>
          </w:r>
          <w:r>
            <w:rPr>
              <w:sz w:val="20"/>
              <w:szCs w:val="20"/>
            </w:rPr>
            <w:instrText xml:space="preserve"> PAGEREF _Toc6324 \h </w:instrText>
          </w:r>
          <w:r>
            <w:rPr>
              <w:sz w:val="20"/>
              <w:szCs w:val="20"/>
            </w:rPr>
            <w:fldChar w:fldCharType="separate"/>
          </w:r>
          <w:r>
            <w:rPr>
              <w:sz w:val="20"/>
              <w:szCs w:val="20"/>
            </w:rPr>
            <w:t>12</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_Toc30509 </w:instrText>
          </w:r>
          <w:r>
            <w:rPr>
              <w:smallCaps/>
              <w:sz w:val="20"/>
              <w:szCs w:val="20"/>
            </w:rPr>
            <w:fldChar w:fldCharType="separate"/>
          </w:r>
          <w:r>
            <w:rPr>
              <w:rFonts w:hint="eastAsia" w:ascii="黑体" w:eastAsia="黑体" w:cs="Times New Roman"/>
              <w:bCs w:val="0"/>
              <w:sz w:val="20"/>
              <w:szCs w:val="20"/>
            </w:rPr>
            <w:t>十、其他重要事项的情况说明</w:t>
          </w:r>
          <w:r>
            <w:rPr>
              <w:sz w:val="20"/>
              <w:szCs w:val="20"/>
            </w:rPr>
            <w:tab/>
          </w:r>
          <w:r>
            <w:rPr>
              <w:sz w:val="20"/>
              <w:szCs w:val="20"/>
            </w:rPr>
            <w:fldChar w:fldCharType="begin"/>
          </w:r>
          <w:r>
            <w:rPr>
              <w:sz w:val="20"/>
              <w:szCs w:val="20"/>
            </w:rPr>
            <w:instrText xml:space="preserve"> PAGEREF _Toc30509 \h </w:instrText>
          </w:r>
          <w:r>
            <w:rPr>
              <w:sz w:val="20"/>
              <w:szCs w:val="20"/>
            </w:rPr>
            <w:fldChar w:fldCharType="separate"/>
          </w:r>
          <w:r>
            <w:rPr>
              <w:sz w:val="20"/>
              <w:szCs w:val="20"/>
            </w:rPr>
            <w:t>12</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_Toc18865 </w:instrText>
          </w:r>
          <w:r>
            <w:rPr>
              <w:smallCaps/>
              <w:sz w:val="20"/>
              <w:szCs w:val="20"/>
            </w:rPr>
            <w:fldChar w:fldCharType="separate"/>
          </w:r>
          <w:r>
            <w:rPr>
              <w:rFonts w:hint="eastAsia" w:ascii="黑体" w:eastAsia="黑体" w:cs="宋体"/>
              <w:bCs/>
              <w:kern w:val="0"/>
              <w:sz w:val="20"/>
              <w:szCs w:val="20"/>
              <w:highlight w:val="none"/>
              <w:shd w:val="clear" w:color="auto" w:fill="FFFFFF"/>
              <w:lang w:eastAsia="zh-CN"/>
            </w:rPr>
            <w:t>十一、</w:t>
          </w:r>
          <w:r>
            <w:rPr>
              <w:rFonts w:hint="eastAsia" w:ascii="黑体" w:eastAsia="黑体" w:cs="宋体"/>
              <w:bCs/>
              <w:kern w:val="0"/>
              <w:sz w:val="20"/>
              <w:szCs w:val="20"/>
              <w:highlight w:val="none"/>
              <w:shd w:val="clear" w:color="auto" w:fill="FFFFFF"/>
            </w:rPr>
            <w:t>部门财政资金收支情况</w:t>
          </w:r>
          <w:r>
            <w:rPr>
              <w:sz w:val="20"/>
              <w:szCs w:val="20"/>
            </w:rPr>
            <w:tab/>
          </w:r>
          <w:r>
            <w:rPr>
              <w:sz w:val="20"/>
              <w:szCs w:val="20"/>
            </w:rPr>
            <w:fldChar w:fldCharType="begin"/>
          </w:r>
          <w:r>
            <w:rPr>
              <w:sz w:val="20"/>
              <w:szCs w:val="20"/>
            </w:rPr>
            <w:instrText xml:space="preserve"> PAGEREF _Toc18865 \h </w:instrText>
          </w:r>
          <w:r>
            <w:rPr>
              <w:sz w:val="20"/>
              <w:szCs w:val="20"/>
            </w:rPr>
            <w:fldChar w:fldCharType="separate"/>
          </w:r>
          <w:r>
            <w:rPr>
              <w:sz w:val="20"/>
              <w:szCs w:val="20"/>
            </w:rPr>
            <w:t>13</w:t>
          </w:r>
          <w:r>
            <w:rPr>
              <w:sz w:val="20"/>
              <w:szCs w:val="20"/>
            </w:rPr>
            <w:fldChar w:fldCharType="end"/>
          </w:r>
          <w:r>
            <w:rPr>
              <w:smallCaps/>
              <w:sz w:val="20"/>
              <w:szCs w:val="20"/>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sz w:val="20"/>
              <w:szCs w:val="20"/>
            </w:rPr>
          </w:pPr>
          <w:r>
            <w:rPr>
              <w:b/>
              <w:smallCaps/>
              <w:sz w:val="20"/>
              <w:szCs w:val="20"/>
            </w:rPr>
            <w:fldChar w:fldCharType="begin"/>
          </w:r>
          <w:r>
            <w:rPr>
              <w:b/>
              <w:smallCaps/>
              <w:sz w:val="20"/>
              <w:szCs w:val="20"/>
            </w:rPr>
            <w:instrText xml:space="preserve"> HYPERLINK \l _Toc25165 </w:instrText>
          </w:r>
          <w:r>
            <w:rPr>
              <w:b/>
              <w:smallCaps/>
              <w:sz w:val="20"/>
              <w:szCs w:val="20"/>
            </w:rPr>
            <w:fldChar w:fldCharType="separate"/>
          </w:r>
          <w:r>
            <w:rPr>
              <w:rFonts w:hint="eastAsia" w:ascii="黑体" w:hAnsi="黑体" w:eastAsia="黑体" w:cs="黑体"/>
              <w:b/>
              <w:sz w:val="20"/>
              <w:szCs w:val="20"/>
            </w:rPr>
            <w:t>第三部分 名词解释</w:t>
          </w:r>
          <w:r>
            <w:rPr>
              <w:b/>
              <w:sz w:val="20"/>
              <w:szCs w:val="20"/>
            </w:rPr>
            <w:tab/>
          </w:r>
          <w:r>
            <w:rPr>
              <w:b/>
              <w:sz w:val="20"/>
              <w:szCs w:val="20"/>
            </w:rPr>
            <w:fldChar w:fldCharType="begin"/>
          </w:r>
          <w:r>
            <w:rPr>
              <w:b/>
              <w:sz w:val="20"/>
              <w:szCs w:val="20"/>
            </w:rPr>
            <w:instrText xml:space="preserve"> PAGEREF _Toc25165 \h </w:instrText>
          </w:r>
          <w:r>
            <w:rPr>
              <w:b/>
              <w:sz w:val="20"/>
              <w:szCs w:val="20"/>
            </w:rPr>
            <w:fldChar w:fldCharType="separate"/>
          </w:r>
          <w:r>
            <w:rPr>
              <w:b/>
              <w:sz w:val="20"/>
              <w:szCs w:val="20"/>
            </w:rPr>
            <w:t>21</w:t>
          </w:r>
          <w:r>
            <w:rPr>
              <w:b/>
              <w:sz w:val="20"/>
              <w:szCs w:val="20"/>
            </w:rPr>
            <w:fldChar w:fldCharType="end"/>
          </w:r>
          <w:r>
            <w:rPr>
              <w:b/>
              <w:smallCaps/>
              <w:sz w:val="20"/>
              <w:szCs w:val="20"/>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sz w:val="20"/>
              <w:szCs w:val="20"/>
            </w:rPr>
          </w:pPr>
          <w:r>
            <w:rPr>
              <w:b/>
              <w:smallCaps/>
              <w:sz w:val="20"/>
              <w:szCs w:val="20"/>
            </w:rPr>
            <w:fldChar w:fldCharType="begin"/>
          </w:r>
          <w:r>
            <w:rPr>
              <w:b/>
              <w:smallCaps/>
              <w:sz w:val="20"/>
              <w:szCs w:val="20"/>
            </w:rPr>
            <w:instrText xml:space="preserve"> HYPERLINK \l _Toc6707 </w:instrText>
          </w:r>
          <w:r>
            <w:rPr>
              <w:b/>
              <w:smallCaps/>
              <w:sz w:val="20"/>
              <w:szCs w:val="20"/>
            </w:rPr>
            <w:fldChar w:fldCharType="separate"/>
          </w:r>
          <w:r>
            <w:rPr>
              <w:rFonts w:hint="eastAsia" w:ascii="黑体" w:hAnsi="黑体" w:eastAsia="黑体" w:cs="黑体"/>
              <w:b/>
              <w:sz w:val="20"/>
              <w:szCs w:val="20"/>
            </w:rPr>
            <w:t>第四部分 附件</w:t>
          </w:r>
          <w:r>
            <w:rPr>
              <w:b/>
              <w:sz w:val="20"/>
              <w:szCs w:val="20"/>
            </w:rPr>
            <w:tab/>
          </w:r>
          <w:r>
            <w:rPr>
              <w:b/>
              <w:sz w:val="20"/>
              <w:szCs w:val="20"/>
            </w:rPr>
            <w:fldChar w:fldCharType="begin"/>
          </w:r>
          <w:r>
            <w:rPr>
              <w:b/>
              <w:sz w:val="20"/>
              <w:szCs w:val="20"/>
            </w:rPr>
            <w:instrText xml:space="preserve"> PAGEREF _Toc6707 \h </w:instrText>
          </w:r>
          <w:r>
            <w:rPr>
              <w:b/>
              <w:sz w:val="20"/>
              <w:szCs w:val="20"/>
            </w:rPr>
            <w:fldChar w:fldCharType="separate"/>
          </w:r>
          <w:r>
            <w:rPr>
              <w:b/>
              <w:sz w:val="20"/>
              <w:szCs w:val="20"/>
            </w:rPr>
            <w:t>25</w:t>
          </w:r>
          <w:r>
            <w:rPr>
              <w:b/>
              <w:sz w:val="20"/>
              <w:szCs w:val="20"/>
            </w:rPr>
            <w:fldChar w:fldCharType="end"/>
          </w:r>
          <w:r>
            <w:rPr>
              <w:b/>
              <w:smallCaps/>
              <w:sz w:val="20"/>
              <w:szCs w:val="20"/>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sz w:val="20"/>
              <w:szCs w:val="20"/>
            </w:rPr>
          </w:pPr>
          <w:r>
            <w:rPr>
              <w:b/>
              <w:smallCaps/>
              <w:sz w:val="20"/>
              <w:szCs w:val="20"/>
            </w:rPr>
            <w:fldChar w:fldCharType="begin"/>
          </w:r>
          <w:r>
            <w:rPr>
              <w:b/>
              <w:smallCaps/>
              <w:sz w:val="20"/>
              <w:szCs w:val="20"/>
            </w:rPr>
            <w:instrText xml:space="preserve"> HYPERLINK \l _Toc5823 </w:instrText>
          </w:r>
          <w:r>
            <w:rPr>
              <w:b/>
              <w:smallCaps/>
              <w:sz w:val="20"/>
              <w:szCs w:val="20"/>
            </w:rPr>
            <w:fldChar w:fldCharType="separate"/>
          </w:r>
          <w:r>
            <w:rPr>
              <w:rFonts w:hint="eastAsia" w:ascii="黑体" w:hAnsi="黑体" w:eastAsia="黑体" w:cs="黑体"/>
              <w:b/>
              <w:sz w:val="20"/>
              <w:szCs w:val="20"/>
            </w:rPr>
            <w:t>第五部分 附表</w:t>
          </w:r>
          <w:r>
            <w:rPr>
              <w:b/>
              <w:sz w:val="20"/>
              <w:szCs w:val="20"/>
            </w:rPr>
            <w:tab/>
          </w:r>
          <w:r>
            <w:rPr>
              <w:b/>
              <w:sz w:val="20"/>
              <w:szCs w:val="20"/>
            </w:rPr>
            <w:fldChar w:fldCharType="begin"/>
          </w:r>
          <w:r>
            <w:rPr>
              <w:b/>
              <w:sz w:val="20"/>
              <w:szCs w:val="20"/>
            </w:rPr>
            <w:instrText xml:space="preserve"> PAGEREF _Toc5823 \h </w:instrText>
          </w:r>
          <w:r>
            <w:rPr>
              <w:b/>
              <w:sz w:val="20"/>
              <w:szCs w:val="20"/>
            </w:rPr>
            <w:fldChar w:fldCharType="separate"/>
          </w:r>
          <w:r>
            <w:rPr>
              <w:b/>
              <w:sz w:val="20"/>
              <w:szCs w:val="20"/>
            </w:rPr>
            <w:t>25</w:t>
          </w:r>
          <w:r>
            <w:rPr>
              <w:b/>
              <w:sz w:val="20"/>
              <w:szCs w:val="20"/>
            </w:rPr>
            <w:fldChar w:fldCharType="end"/>
          </w:r>
          <w:r>
            <w:rPr>
              <w:b/>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_Toc30739 </w:instrText>
          </w:r>
          <w:r>
            <w:rPr>
              <w:smallCaps/>
              <w:sz w:val="20"/>
              <w:szCs w:val="20"/>
            </w:rPr>
            <w:fldChar w:fldCharType="separate"/>
          </w:r>
          <w:r>
            <w:rPr>
              <w:rFonts w:hint="eastAsia" w:ascii="黑体" w:eastAsia="黑体" w:cs="Times New Roman"/>
              <w:bCs w:val="0"/>
              <w:sz w:val="20"/>
              <w:szCs w:val="20"/>
            </w:rPr>
            <w:t>一、收入支出决算总表</w:t>
          </w:r>
          <w:r>
            <w:rPr>
              <w:sz w:val="20"/>
              <w:szCs w:val="20"/>
            </w:rPr>
            <w:tab/>
          </w:r>
          <w:r>
            <w:rPr>
              <w:sz w:val="20"/>
              <w:szCs w:val="20"/>
            </w:rPr>
            <w:fldChar w:fldCharType="begin"/>
          </w:r>
          <w:r>
            <w:rPr>
              <w:sz w:val="20"/>
              <w:szCs w:val="20"/>
            </w:rPr>
            <w:instrText xml:space="preserve"> PAGEREF _Toc30739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_Toc17437 </w:instrText>
          </w:r>
          <w:r>
            <w:rPr>
              <w:smallCaps/>
              <w:sz w:val="20"/>
              <w:szCs w:val="20"/>
            </w:rPr>
            <w:fldChar w:fldCharType="separate"/>
          </w:r>
          <w:r>
            <w:rPr>
              <w:rFonts w:hint="eastAsia" w:ascii="黑体" w:eastAsia="黑体" w:cs="Times New Roman"/>
              <w:bCs w:val="0"/>
              <w:sz w:val="20"/>
              <w:szCs w:val="20"/>
            </w:rPr>
            <w:t>二、收入决算表</w:t>
          </w:r>
          <w:r>
            <w:rPr>
              <w:sz w:val="20"/>
              <w:szCs w:val="20"/>
            </w:rPr>
            <w:tab/>
          </w:r>
          <w:r>
            <w:rPr>
              <w:sz w:val="20"/>
              <w:szCs w:val="20"/>
            </w:rPr>
            <w:fldChar w:fldCharType="begin"/>
          </w:r>
          <w:r>
            <w:rPr>
              <w:sz w:val="20"/>
              <w:szCs w:val="20"/>
            </w:rPr>
            <w:instrText xml:space="preserve"> PAGEREF _Toc17437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_Toc28957 </w:instrText>
          </w:r>
          <w:r>
            <w:rPr>
              <w:smallCaps/>
              <w:sz w:val="20"/>
              <w:szCs w:val="20"/>
            </w:rPr>
            <w:fldChar w:fldCharType="separate"/>
          </w:r>
          <w:r>
            <w:rPr>
              <w:rFonts w:hint="eastAsia" w:ascii="黑体" w:eastAsia="黑体" w:cs="Times New Roman"/>
              <w:bCs w:val="0"/>
              <w:sz w:val="20"/>
              <w:szCs w:val="20"/>
            </w:rPr>
            <w:t>三、支出决算表</w:t>
          </w:r>
          <w:r>
            <w:rPr>
              <w:sz w:val="20"/>
              <w:szCs w:val="20"/>
            </w:rPr>
            <w:tab/>
          </w:r>
          <w:r>
            <w:rPr>
              <w:sz w:val="20"/>
              <w:szCs w:val="20"/>
            </w:rPr>
            <w:fldChar w:fldCharType="begin"/>
          </w:r>
          <w:r>
            <w:rPr>
              <w:sz w:val="20"/>
              <w:szCs w:val="20"/>
            </w:rPr>
            <w:instrText xml:space="preserve"> PAGEREF _Toc28957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_Toc21304 </w:instrText>
          </w:r>
          <w:r>
            <w:rPr>
              <w:smallCaps/>
              <w:sz w:val="20"/>
              <w:szCs w:val="20"/>
            </w:rPr>
            <w:fldChar w:fldCharType="separate"/>
          </w:r>
          <w:r>
            <w:rPr>
              <w:rFonts w:hint="eastAsia" w:ascii="黑体" w:eastAsia="黑体" w:cs="Times New Roman"/>
              <w:bCs w:val="0"/>
              <w:sz w:val="20"/>
              <w:szCs w:val="20"/>
            </w:rPr>
            <w:t>四、财政拨款收入支出决算总表</w:t>
          </w:r>
          <w:r>
            <w:rPr>
              <w:sz w:val="20"/>
              <w:szCs w:val="20"/>
            </w:rPr>
            <w:tab/>
          </w:r>
          <w:r>
            <w:rPr>
              <w:sz w:val="20"/>
              <w:szCs w:val="20"/>
            </w:rPr>
            <w:fldChar w:fldCharType="begin"/>
          </w:r>
          <w:r>
            <w:rPr>
              <w:sz w:val="20"/>
              <w:szCs w:val="20"/>
            </w:rPr>
            <w:instrText xml:space="preserve"> PAGEREF _Toc21304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_Toc23621 </w:instrText>
          </w:r>
          <w:r>
            <w:rPr>
              <w:smallCaps/>
              <w:sz w:val="20"/>
              <w:szCs w:val="20"/>
            </w:rPr>
            <w:fldChar w:fldCharType="separate"/>
          </w:r>
          <w:r>
            <w:rPr>
              <w:rFonts w:hint="eastAsia" w:ascii="黑体" w:eastAsia="黑体" w:cs="Times New Roman"/>
              <w:bCs w:val="0"/>
              <w:sz w:val="20"/>
              <w:szCs w:val="20"/>
            </w:rPr>
            <w:t>五、财政拨款支出决算明细表</w:t>
          </w:r>
          <w:r>
            <w:rPr>
              <w:sz w:val="20"/>
              <w:szCs w:val="20"/>
            </w:rPr>
            <w:tab/>
          </w:r>
          <w:r>
            <w:rPr>
              <w:sz w:val="20"/>
              <w:szCs w:val="20"/>
            </w:rPr>
            <w:fldChar w:fldCharType="begin"/>
          </w:r>
          <w:r>
            <w:rPr>
              <w:sz w:val="20"/>
              <w:szCs w:val="20"/>
            </w:rPr>
            <w:instrText xml:space="preserve"> PAGEREF _Toc23621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_Toc13041 </w:instrText>
          </w:r>
          <w:r>
            <w:rPr>
              <w:smallCaps/>
              <w:sz w:val="20"/>
              <w:szCs w:val="20"/>
            </w:rPr>
            <w:fldChar w:fldCharType="separate"/>
          </w:r>
          <w:r>
            <w:rPr>
              <w:rFonts w:hint="eastAsia" w:ascii="黑体" w:eastAsia="黑体" w:cs="Times New Roman"/>
              <w:bCs w:val="0"/>
              <w:sz w:val="20"/>
              <w:szCs w:val="20"/>
            </w:rPr>
            <w:t>六、一般公共预算财政拨款支出决算表</w:t>
          </w:r>
          <w:r>
            <w:rPr>
              <w:sz w:val="20"/>
              <w:szCs w:val="20"/>
            </w:rPr>
            <w:tab/>
          </w:r>
          <w:r>
            <w:rPr>
              <w:sz w:val="20"/>
              <w:szCs w:val="20"/>
            </w:rPr>
            <w:fldChar w:fldCharType="begin"/>
          </w:r>
          <w:r>
            <w:rPr>
              <w:sz w:val="20"/>
              <w:szCs w:val="20"/>
            </w:rPr>
            <w:instrText xml:space="preserve"> PAGEREF _Toc13041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_Toc6567 </w:instrText>
          </w:r>
          <w:r>
            <w:rPr>
              <w:smallCaps/>
              <w:sz w:val="20"/>
              <w:szCs w:val="20"/>
            </w:rPr>
            <w:fldChar w:fldCharType="separate"/>
          </w:r>
          <w:r>
            <w:rPr>
              <w:rFonts w:hint="eastAsia" w:ascii="黑体" w:eastAsia="黑体" w:cs="Times New Roman"/>
              <w:bCs w:val="0"/>
              <w:sz w:val="20"/>
              <w:szCs w:val="20"/>
            </w:rPr>
            <w:t>七、一般公共预算财政拨款支出决算明细表</w:t>
          </w:r>
          <w:r>
            <w:rPr>
              <w:sz w:val="20"/>
              <w:szCs w:val="20"/>
            </w:rPr>
            <w:tab/>
          </w:r>
          <w:r>
            <w:rPr>
              <w:sz w:val="20"/>
              <w:szCs w:val="20"/>
            </w:rPr>
            <w:fldChar w:fldCharType="begin"/>
          </w:r>
          <w:r>
            <w:rPr>
              <w:sz w:val="20"/>
              <w:szCs w:val="20"/>
            </w:rPr>
            <w:instrText xml:space="preserve"> PAGEREF _Toc6567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_Toc9418 </w:instrText>
          </w:r>
          <w:r>
            <w:rPr>
              <w:smallCaps/>
              <w:sz w:val="20"/>
              <w:szCs w:val="20"/>
            </w:rPr>
            <w:fldChar w:fldCharType="separate"/>
          </w:r>
          <w:r>
            <w:rPr>
              <w:rFonts w:hint="eastAsia" w:ascii="黑体" w:eastAsia="黑体" w:cs="Times New Roman"/>
              <w:bCs w:val="0"/>
              <w:sz w:val="20"/>
              <w:szCs w:val="20"/>
            </w:rPr>
            <w:t>八、一般公共预算财政拨款基本支出决算表</w:t>
          </w:r>
          <w:r>
            <w:rPr>
              <w:sz w:val="20"/>
              <w:szCs w:val="20"/>
            </w:rPr>
            <w:tab/>
          </w:r>
          <w:r>
            <w:rPr>
              <w:sz w:val="20"/>
              <w:szCs w:val="20"/>
            </w:rPr>
            <w:fldChar w:fldCharType="begin"/>
          </w:r>
          <w:r>
            <w:rPr>
              <w:sz w:val="20"/>
              <w:szCs w:val="20"/>
            </w:rPr>
            <w:instrText xml:space="preserve"> PAGEREF _Toc9418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_Toc1858 </w:instrText>
          </w:r>
          <w:r>
            <w:rPr>
              <w:smallCaps/>
              <w:sz w:val="20"/>
              <w:szCs w:val="20"/>
            </w:rPr>
            <w:fldChar w:fldCharType="separate"/>
          </w:r>
          <w:r>
            <w:rPr>
              <w:rFonts w:hint="eastAsia" w:ascii="黑体" w:eastAsia="黑体" w:cs="Times New Roman"/>
              <w:bCs w:val="0"/>
              <w:sz w:val="20"/>
              <w:szCs w:val="20"/>
            </w:rPr>
            <w:t>九、一般公共预算财政拨款项目支出决算表</w:t>
          </w:r>
          <w:r>
            <w:rPr>
              <w:sz w:val="20"/>
              <w:szCs w:val="20"/>
            </w:rPr>
            <w:tab/>
          </w:r>
          <w:r>
            <w:rPr>
              <w:sz w:val="20"/>
              <w:szCs w:val="20"/>
            </w:rPr>
            <w:fldChar w:fldCharType="begin"/>
          </w:r>
          <w:r>
            <w:rPr>
              <w:sz w:val="20"/>
              <w:szCs w:val="20"/>
            </w:rPr>
            <w:instrText xml:space="preserve"> PAGEREF _Toc1858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_Toc20259 </w:instrText>
          </w:r>
          <w:r>
            <w:rPr>
              <w:smallCaps/>
              <w:sz w:val="20"/>
              <w:szCs w:val="20"/>
            </w:rPr>
            <w:fldChar w:fldCharType="separate"/>
          </w:r>
          <w:r>
            <w:rPr>
              <w:rFonts w:hint="eastAsia" w:ascii="黑体" w:eastAsia="黑体" w:cs="Times New Roman"/>
              <w:bCs w:val="0"/>
              <w:sz w:val="20"/>
              <w:szCs w:val="20"/>
            </w:rPr>
            <w:t>十、政府性基金预算财政拨款收入支出决算表</w:t>
          </w:r>
          <w:r>
            <w:rPr>
              <w:sz w:val="20"/>
              <w:szCs w:val="20"/>
            </w:rPr>
            <w:tab/>
          </w:r>
          <w:r>
            <w:rPr>
              <w:sz w:val="20"/>
              <w:szCs w:val="20"/>
            </w:rPr>
            <w:fldChar w:fldCharType="begin"/>
          </w:r>
          <w:r>
            <w:rPr>
              <w:sz w:val="20"/>
              <w:szCs w:val="20"/>
            </w:rPr>
            <w:instrText xml:space="preserve"> PAGEREF _Toc20259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_Toc30930 </w:instrText>
          </w:r>
          <w:r>
            <w:rPr>
              <w:smallCaps/>
              <w:sz w:val="20"/>
              <w:szCs w:val="20"/>
            </w:rPr>
            <w:fldChar w:fldCharType="separate"/>
          </w:r>
          <w:r>
            <w:rPr>
              <w:rFonts w:hint="eastAsia" w:ascii="黑体" w:eastAsia="黑体" w:cs="Times New Roman"/>
              <w:bCs w:val="0"/>
              <w:sz w:val="20"/>
              <w:szCs w:val="20"/>
            </w:rPr>
            <w:t>十一、国有资本经营预算财政拨款收入支出决算表</w:t>
          </w:r>
          <w:r>
            <w:rPr>
              <w:sz w:val="20"/>
              <w:szCs w:val="20"/>
            </w:rPr>
            <w:tab/>
          </w:r>
          <w:r>
            <w:rPr>
              <w:sz w:val="20"/>
              <w:szCs w:val="20"/>
            </w:rPr>
            <w:fldChar w:fldCharType="begin"/>
          </w:r>
          <w:r>
            <w:rPr>
              <w:sz w:val="20"/>
              <w:szCs w:val="20"/>
            </w:rPr>
            <w:instrText xml:space="preserve"> PAGEREF _Toc30930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sz w:val="20"/>
              <w:szCs w:val="20"/>
            </w:rPr>
          </w:pPr>
          <w:r>
            <w:rPr>
              <w:smallCaps/>
              <w:sz w:val="20"/>
              <w:szCs w:val="20"/>
            </w:rPr>
            <w:fldChar w:fldCharType="begin"/>
          </w:r>
          <w:r>
            <w:rPr>
              <w:smallCaps/>
              <w:sz w:val="20"/>
              <w:szCs w:val="20"/>
            </w:rPr>
            <w:instrText xml:space="preserve"> HYPERLINK \l _Toc19008 </w:instrText>
          </w:r>
          <w:r>
            <w:rPr>
              <w:smallCaps/>
              <w:sz w:val="20"/>
              <w:szCs w:val="20"/>
            </w:rPr>
            <w:fldChar w:fldCharType="separate"/>
          </w:r>
          <w:r>
            <w:rPr>
              <w:rFonts w:hint="eastAsia" w:ascii="黑体" w:eastAsia="黑体" w:cs="Times New Roman"/>
              <w:bCs w:val="0"/>
              <w:sz w:val="20"/>
              <w:szCs w:val="20"/>
            </w:rPr>
            <w:t>十二、国有资本经营预算财政拨款支出决算表</w:t>
          </w:r>
          <w:r>
            <w:rPr>
              <w:sz w:val="20"/>
              <w:szCs w:val="20"/>
            </w:rPr>
            <w:tab/>
          </w:r>
          <w:r>
            <w:rPr>
              <w:sz w:val="20"/>
              <w:szCs w:val="20"/>
            </w:rPr>
            <w:fldChar w:fldCharType="begin"/>
          </w:r>
          <w:r>
            <w:rPr>
              <w:sz w:val="20"/>
              <w:szCs w:val="20"/>
            </w:rPr>
            <w:instrText xml:space="preserve"> PAGEREF _Toc19008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40"/>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smallCaps/>
              <w:sz w:val="20"/>
              <w:szCs w:val="20"/>
            </w:rPr>
            <w:fldChar w:fldCharType="begin"/>
          </w:r>
          <w:r>
            <w:rPr>
              <w:smallCaps/>
              <w:sz w:val="20"/>
              <w:szCs w:val="20"/>
            </w:rPr>
            <w:instrText xml:space="preserve"> HYPERLINK \l _Toc13110 </w:instrText>
          </w:r>
          <w:r>
            <w:rPr>
              <w:smallCaps/>
              <w:sz w:val="20"/>
              <w:szCs w:val="20"/>
            </w:rPr>
            <w:fldChar w:fldCharType="separate"/>
          </w:r>
          <w:r>
            <w:rPr>
              <w:rFonts w:hint="eastAsia" w:ascii="黑体" w:eastAsia="黑体" w:cs="Times New Roman"/>
              <w:bCs w:val="0"/>
              <w:sz w:val="20"/>
              <w:szCs w:val="20"/>
            </w:rPr>
            <w:t>十三、财政拨款“三公”经费支出决算表</w:t>
          </w:r>
          <w:r>
            <w:rPr>
              <w:sz w:val="20"/>
              <w:szCs w:val="20"/>
            </w:rPr>
            <w:tab/>
          </w:r>
          <w:r>
            <w:rPr>
              <w:sz w:val="20"/>
              <w:szCs w:val="20"/>
            </w:rPr>
            <w:fldChar w:fldCharType="begin"/>
          </w:r>
          <w:r>
            <w:rPr>
              <w:sz w:val="20"/>
              <w:szCs w:val="20"/>
            </w:rPr>
            <w:instrText xml:space="preserve"> PAGEREF _Toc13110 \h </w:instrText>
          </w:r>
          <w:r>
            <w:rPr>
              <w:sz w:val="20"/>
              <w:szCs w:val="20"/>
            </w:rPr>
            <w:fldChar w:fldCharType="separate"/>
          </w:r>
          <w:r>
            <w:rPr>
              <w:sz w:val="20"/>
              <w:szCs w:val="20"/>
            </w:rPr>
            <w:t>25</w:t>
          </w:r>
          <w:r>
            <w:rPr>
              <w:sz w:val="20"/>
              <w:szCs w:val="20"/>
            </w:rPr>
            <w:fldChar w:fldCharType="end"/>
          </w:r>
          <w:r>
            <w:rPr>
              <w:smallCaps/>
              <w:sz w:val="20"/>
              <w:szCs w:val="20"/>
            </w:rPr>
            <w:fldChar w:fldCharType="end"/>
          </w:r>
        </w:p>
        <w:p>
          <w:pPr>
            <w:pStyle w:val="2"/>
            <w:rPr>
              <w:smallCaps/>
              <w:szCs w:val="20"/>
            </w:rPr>
          </w:pPr>
          <w:r>
            <w:rPr>
              <w:b/>
              <w:smallCaps/>
              <w:szCs w:val="20"/>
            </w:rPr>
            <w:fldChar w:fldCharType="end"/>
          </w:r>
        </w:p>
      </w:sdtContent>
    </w:sdt>
    <w:p>
      <w:pPr>
        <w:pStyle w:val="3"/>
        <w:jc w:val="center"/>
        <w:rPr>
          <w:rFonts w:ascii="黑体" w:hAnsi="黑体" w:eastAsia="黑体" w:cs="黑体"/>
          <w:b w:val="0"/>
          <w:bCs w:val="0"/>
        </w:rPr>
      </w:pPr>
      <w:bookmarkStart w:id="14" w:name="_Toc28280"/>
      <w:bookmarkStart w:id="15" w:name="_Toc111208495"/>
      <w:bookmarkStart w:id="16" w:name="_Toc27966"/>
      <w:r>
        <w:rPr>
          <w:rFonts w:hint="eastAsia" w:ascii="黑体" w:hAnsi="黑体" w:eastAsia="黑体" w:cs="黑体"/>
        </w:rPr>
        <w:t xml:space="preserve">第一部分 </w:t>
      </w:r>
      <w:r>
        <w:rPr>
          <w:rStyle w:val="28"/>
          <w:rFonts w:hint="eastAsia" w:ascii="黑体" w:hAnsi="黑体" w:eastAsia="黑体" w:cs="黑体"/>
          <w:b/>
          <w:bCs w:val="0"/>
        </w:rPr>
        <w:t>部门概况</w:t>
      </w:r>
      <w:bookmarkEnd w:id="13"/>
      <w:bookmarkEnd w:id="14"/>
      <w:bookmarkEnd w:id="15"/>
      <w:bookmarkEnd w:id="16"/>
    </w:p>
    <w:p>
      <w:pPr>
        <w:pStyle w:val="4"/>
        <w:ind w:firstLine="643" w:firstLineChars="200"/>
        <w:rPr>
          <w:rFonts w:ascii="黑体" w:eastAsia="黑体" w:cs="Times New Roman"/>
          <w:bCs w:val="0"/>
          <w:color w:val="000000"/>
        </w:rPr>
      </w:pPr>
      <w:bookmarkStart w:id="17" w:name="_Toc15377197"/>
      <w:bookmarkStart w:id="18" w:name="_Toc111208496"/>
      <w:bookmarkStart w:id="19" w:name="_Toc31549"/>
      <w:bookmarkStart w:id="20" w:name="_Toc29382"/>
      <w:r>
        <w:rPr>
          <w:rFonts w:hint="eastAsia" w:ascii="黑体" w:eastAsia="黑体" w:cs="Times New Roman"/>
          <w:bCs w:val="0"/>
          <w:color w:val="000000"/>
        </w:rPr>
        <w:t>一、</w:t>
      </w:r>
      <w:bookmarkEnd w:id="17"/>
      <w:bookmarkEnd w:id="18"/>
      <w:bookmarkStart w:id="21" w:name="_Toc15378445"/>
      <w:bookmarkStart w:id="22" w:name="_Toc15377198"/>
      <w:r>
        <w:rPr>
          <w:rFonts w:hint="eastAsia" w:ascii="黑体" w:eastAsia="黑体" w:cs="Times New Roman"/>
          <w:bCs w:val="0"/>
          <w:color w:val="000000"/>
        </w:rPr>
        <w:t>部门职责</w:t>
      </w:r>
      <w:bookmarkEnd w:id="19"/>
      <w:bookmarkEnd w:id="20"/>
    </w:p>
    <w:bookmarkEnd w:id="21"/>
    <w:bookmarkEnd w:id="22"/>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1、医疗救护：负责辖区居民日常医疗诊疗救护工作；</w:t>
      </w:r>
      <w:r>
        <w:rPr>
          <w:rFonts w:ascii="仿宋" w:hAnsi="仿宋" w:eastAsia="仿宋"/>
          <w:color w:val="000000"/>
          <w:sz w:val="32"/>
          <w:szCs w:val="32"/>
        </w:rPr>
        <w:cr/>
      </w:r>
      <w:r>
        <w:rPr>
          <w:rFonts w:ascii="仿宋" w:hAnsi="仿宋" w:eastAsia="仿宋"/>
          <w:color w:val="000000"/>
          <w:sz w:val="32"/>
          <w:szCs w:val="32"/>
        </w:rPr>
        <w:t>2、计划免疫：0-6岁儿童接种；结核等传染病上报、食源性上报；地方病监测；儿童保健；</w:t>
      </w:r>
      <w:r>
        <w:rPr>
          <w:rFonts w:ascii="仿宋" w:hAnsi="仿宋" w:eastAsia="仿宋"/>
          <w:color w:val="000000"/>
          <w:sz w:val="32"/>
          <w:szCs w:val="32"/>
        </w:rPr>
        <w:cr/>
      </w:r>
      <w:r>
        <w:rPr>
          <w:rFonts w:ascii="仿宋" w:hAnsi="仿宋" w:eastAsia="仿宋"/>
          <w:color w:val="000000"/>
          <w:sz w:val="32"/>
          <w:szCs w:val="32"/>
        </w:rPr>
        <w:t>3、</w:t>
      </w:r>
      <w:bookmarkStart w:id="108" w:name="_GoBack"/>
      <w:r>
        <w:rPr>
          <w:rFonts w:ascii="仿宋" w:hAnsi="仿宋" w:eastAsia="仿宋"/>
          <w:color w:val="000000"/>
          <w:sz w:val="32"/>
          <w:szCs w:val="32"/>
        </w:rPr>
        <w:t>突发</w:t>
      </w:r>
      <w:bookmarkEnd w:id="108"/>
      <w:r>
        <w:rPr>
          <w:rFonts w:ascii="仿宋" w:hAnsi="仿宋" w:eastAsia="仿宋"/>
          <w:color w:val="000000"/>
          <w:sz w:val="32"/>
          <w:szCs w:val="32"/>
        </w:rPr>
        <w:t>公共卫生事件应急：参与全县范围内突发公共卫生事件的应急处理工作；</w:t>
      </w:r>
      <w:r>
        <w:rPr>
          <w:rFonts w:ascii="仿宋" w:hAnsi="仿宋" w:eastAsia="仿宋"/>
          <w:color w:val="000000"/>
          <w:sz w:val="32"/>
          <w:szCs w:val="32"/>
        </w:rPr>
        <w:cr/>
      </w:r>
      <w:r>
        <w:rPr>
          <w:rFonts w:ascii="仿宋" w:hAnsi="仿宋" w:eastAsia="仿宋"/>
          <w:color w:val="000000"/>
          <w:sz w:val="32"/>
          <w:szCs w:val="32"/>
        </w:rPr>
        <w:t>4、卫生监督：职业病监测；辖区内学校卫生室的食品药品安全‘辖区内饮用水安全监测。’</w:t>
      </w:r>
      <w:bookmarkStart w:id="23" w:name="_Toc15377200"/>
    </w:p>
    <w:p>
      <w:pPr>
        <w:pStyle w:val="4"/>
        <w:ind w:firstLine="643" w:firstLineChars="200"/>
        <w:rPr>
          <w:rFonts w:ascii="黑体" w:eastAsia="黑体" w:cs="Times New Roman"/>
          <w:bCs w:val="0"/>
          <w:color w:val="000000"/>
        </w:rPr>
      </w:pPr>
      <w:bookmarkStart w:id="24" w:name="_Toc9398"/>
      <w:bookmarkStart w:id="25" w:name="_Toc7982"/>
      <w:bookmarkStart w:id="26" w:name="_Toc111208497"/>
      <w:r>
        <w:rPr>
          <w:rFonts w:hint="eastAsia" w:ascii="黑体" w:eastAsia="黑体" w:cs="Times New Roman"/>
          <w:bCs w:val="0"/>
          <w:color w:val="000000"/>
        </w:rPr>
        <w:t>二、机构设置</w:t>
      </w:r>
      <w:bookmarkEnd w:id="23"/>
      <w:bookmarkEnd w:id="24"/>
      <w:bookmarkEnd w:id="25"/>
      <w:bookmarkEnd w:id="26"/>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独立编制机构一个，独立预算单位一个，设有预防保健科、内科、外科；普通外科专业、妇产科、妇女保健科、儿科、儿童保健科、急诊医学科、康复医学科、麻醉科、医学检验科、医学影像科、中医科</w:t>
      </w:r>
    </w:p>
    <w:p>
      <w:pPr>
        <w:widowControl/>
        <w:jc w:val="left"/>
        <w:rPr>
          <w:rFonts w:ascii="仿宋_GB2312" w:hAnsi="黑体" w:eastAsia="仿宋_GB2312"/>
          <w:b/>
          <w:bCs/>
          <w:color w:val="000000"/>
          <w:kern w:val="44"/>
          <w:sz w:val="44"/>
          <w:szCs w:val="44"/>
        </w:rPr>
      </w:pPr>
      <w:bookmarkStart w:id="27" w:name="_Toc15377204"/>
      <w:r>
        <w:rPr>
          <w:rFonts w:ascii="仿宋_GB2312" w:hAnsi="黑体" w:eastAsia="仿宋_GB2312"/>
          <w:color w:val="000000"/>
        </w:rPr>
        <w:br w:type="page"/>
      </w:r>
    </w:p>
    <w:p>
      <w:pPr>
        <w:pStyle w:val="3"/>
        <w:jc w:val="center"/>
        <w:rPr>
          <w:rFonts w:ascii="黑体" w:hAnsi="黑体" w:eastAsia="黑体" w:cs="黑体"/>
        </w:rPr>
      </w:pPr>
      <w:bookmarkStart w:id="28" w:name="_Toc3119"/>
      <w:bookmarkStart w:id="29" w:name="_Toc22236"/>
      <w:bookmarkStart w:id="30" w:name="_Toc111208498"/>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7"/>
      <w:bookmarkEnd w:id="28"/>
      <w:bookmarkEnd w:id="29"/>
      <w:bookmarkEnd w:id="30"/>
    </w:p>
    <w:p>
      <w:pPr>
        <w:pStyle w:val="4"/>
        <w:ind w:firstLine="643" w:firstLineChars="200"/>
        <w:rPr>
          <w:rFonts w:ascii="黑体" w:eastAsia="黑体" w:cs="Times New Roman"/>
          <w:bCs w:val="0"/>
          <w:color w:val="000000"/>
        </w:rPr>
      </w:pPr>
      <w:bookmarkStart w:id="31" w:name="_Toc15377205"/>
      <w:bookmarkStart w:id="32" w:name="_Toc31210"/>
      <w:bookmarkStart w:id="33" w:name="_Toc21486"/>
      <w:bookmarkStart w:id="34" w:name="_Toc111208499"/>
      <w:r>
        <w:rPr>
          <w:rFonts w:hint="eastAsia" w:ascii="黑体" w:eastAsia="黑体" w:cs="Times New Roman"/>
          <w:bCs w:val="0"/>
          <w:color w:val="000000"/>
        </w:rPr>
        <w:t>一、收入支出决算总体情况说</w:t>
      </w:r>
      <w:bookmarkEnd w:id="31"/>
      <w:r>
        <w:rPr>
          <w:rFonts w:hint="eastAsia" w:ascii="黑体" w:eastAsia="黑体" w:cs="Times New Roman"/>
          <w:bCs w:val="0"/>
          <w:color w:val="000000"/>
        </w:rPr>
        <w:t>明</w:t>
      </w:r>
      <w:bookmarkEnd w:id="32"/>
      <w:bookmarkEnd w:id="33"/>
      <w:bookmarkEnd w:id="34"/>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341.52</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增加341.52</w:t>
      </w:r>
      <w:r>
        <w:rPr>
          <w:rFonts w:hint="eastAsia" w:ascii="仿宋" w:hAnsi="仿宋" w:eastAsia="仿宋"/>
          <w:color w:val="000000"/>
          <w:sz w:val="32"/>
          <w:szCs w:val="32"/>
        </w:rPr>
        <w:t>万元，</w:t>
      </w:r>
      <w:r>
        <w:rPr>
          <w:rFonts w:ascii="仿宋" w:hAnsi="仿宋" w:eastAsia="仿宋"/>
          <w:color w:val="000000"/>
          <w:sz w:val="32"/>
          <w:szCs w:val="32"/>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35" w:name="_Toc111208500"/>
      <w:bookmarkStart w:id="36" w:name="_Toc24609"/>
      <w:bookmarkStart w:id="37" w:name="_Toc21675"/>
      <w:bookmarkStart w:id="38" w:name="_Toc15377206"/>
      <w:r>
        <w:rPr>
          <w:rFonts w:hint="eastAsia" w:ascii="黑体" w:eastAsia="黑体" w:cs="Times New Roman"/>
          <w:bCs w:val="0"/>
          <w:color w:val="000000"/>
        </w:rPr>
        <w:t>二、收入决算情况说明</w:t>
      </w:r>
      <w:bookmarkEnd w:id="35"/>
      <w:bookmarkEnd w:id="36"/>
      <w:bookmarkEnd w:id="37"/>
      <w:bookmarkEnd w:id="38"/>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341.52万元，其中：一般公共预算财政拨款收入341.52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9" w:name="_Toc15377207"/>
      <w:bookmarkStart w:id="40" w:name="_Toc111208501"/>
      <w:bookmarkStart w:id="41" w:name="_Toc26453"/>
      <w:bookmarkStart w:id="42" w:name="_Toc8745"/>
      <w:r>
        <w:rPr>
          <w:rFonts w:hint="eastAsia" w:ascii="黑体" w:eastAsia="黑体" w:cs="Times New Roman"/>
          <w:bCs w:val="0"/>
          <w:color w:val="000000"/>
        </w:rPr>
        <w:t>三、支出决算情况说明</w:t>
      </w:r>
      <w:bookmarkEnd w:id="39"/>
      <w:bookmarkEnd w:id="40"/>
      <w:bookmarkEnd w:id="41"/>
      <w:bookmarkEnd w:id="42"/>
    </w:p>
    <w:p>
      <w:pPr>
        <w:pStyle w:val="2"/>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341.52</w:t>
      </w:r>
      <w:r>
        <w:rPr>
          <w:rFonts w:ascii="仿宋" w:hAnsi="仿宋" w:eastAsia="仿宋"/>
          <w:color w:val="000000"/>
          <w:sz w:val="32"/>
          <w:szCs w:val="32"/>
        </w:rPr>
        <w:t>万元，其中：基本支出</w:t>
      </w:r>
      <w:r>
        <w:rPr>
          <w:rFonts w:hint="eastAsia" w:ascii="仿宋" w:hAnsi="仿宋" w:eastAsia="仿宋"/>
          <w:color w:val="000000"/>
          <w:sz w:val="32"/>
          <w:szCs w:val="32"/>
        </w:rPr>
        <w:t>319.07</w:t>
      </w:r>
      <w:r>
        <w:rPr>
          <w:rFonts w:ascii="仿宋" w:hAnsi="仿宋" w:eastAsia="仿宋"/>
          <w:color w:val="000000"/>
          <w:sz w:val="32"/>
          <w:szCs w:val="32"/>
        </w:rPr>
        <w:t>万元，占</w:t>
      </w:r>
      <w:r>
        <w:rPr>
          <w:rFonts w:hint="eastAsia" w:ascii="仿宋" w:hAnsi="仿宋" w:eastAsia="仿宋"/>
          <w:color w:val="000000"/>
          <w:sz w:val="32"/>
          <w:szCs w:val="32"/>
        </w:rPr>
        <w:t>93.43</w:t>
      </w:r>
      <w:r>
        <w:rPr>
          <w:rFonts w:ascii="仿宋" w:hAnsi="仿宋" w:eastAsia="仿宋"/>
          <w:color w:val="000000"/>
          <w:sz w:val="32"/>
          <w:szCs w:val="32"/>
        </w:rPr>
        <w:t>%；项目支出</w:t>
      </w:r>
      <w:r>
        <w:rPr>
          <w:rFonts w:hint="eastAsia" w:ascii="仿宋" w:hAnsi="仿宋" w:eastAsia="仿宋"/>
          <w:color w:val="000000"/>
          <w:sz w:val="32"/>
          <w:szCs w:val="32"/>
        </w:rPr>
        <w:t>22.45</w:t>
      </w:r>
      <w:r>
        <w:rPr>
          <w:rFonts w:ascii="仿宋" w:hAnsi="仿宋" w:eastAsia="仿宋"/>
          <w:color w:val="000000"/>
          <w:sz w:val="32"/>
          <w:szCs w:val="32"/>
        </w:rPr>
        <w:t>万元，占</w:t>
      </w:r>
      <w:r>
        <w:rPr>
          <w:rFonts w:hint="eastAsia" w:ascii="仿宋" w:hAnsi="仿宋" w:eastAsia="仿宋"/>
          <w:color w:val="000000"/>
          <w:sz w:val="32"/>
          <w:szCs w:val="32"/>
        </w:rPr>
        <w:t>6.57</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3" w:firstLineChars="200"/>
        <w:rPr>
          <w:rFonts w:ascii="黑体" w:eastAsia="黑体" w:cs="Times New Roman"/>
          <w:bCs w:val="0"/>
          <w:color w:val="000000"/>
        </w:rPr>
      </w:pPr>
      <w:bookmarkStart w:id="43" w:name="_Toc14980"/>
      <w:bookmarkStart w:id="44" w:name="_Toc13661"/>
      <w:bookmarkStart w:id="45" w:name="_Toc111208502"/>
      <w:bookmarkStart w:id="46" w:name="_Toc15377208"/>
      <w:r>
        <w:rPr>
          <w:rFonts w:hint="eastAsia" w:ascii="黑体" w:eastAsia="黑体" w:cs="Times New Roman"/>
          <w:bCs w:val="0"/>
          <w:color w:val="000000"/>
        </w:rPr>
        <w:t>四、财政拨款收入支出决算总体情况说明</w:t>
      </w:r>
      <w:bookmarkEnd w:id="43"/>
      <w:bookmarkEnd w:id="44"/>
      <w:bookmarkEnd w:id="45"/>
      <w:bookmarkEnd w:id="46"/>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 xml:space="preserve">年财政拨款收、支总计341.52万元。与2021年相比，财政拨款收、支总计各增加341.52万元，增加100.00 %。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3" w:firstLineChars="200"/>
        <w:rPr>
          <w:rFonts w:ascii="黑体" w:eastAsia="黑体" w:cs="Times New Roman"/>
          <w:bCs w:val="0"/>
          <w:color w:val="000000"/>
        </w:rPr>
      </w:pPr>
      <w:bookmarkStart w:id="47" w:name="_Toc15377209"/>
      <w:bookmarkStart w:id="48" w:name="_Toc2126"/>
      <w:bookmarkStart w:id="49" w:name="_Toc111208503"/>
      <w:bookmarkStart w:id="50" w:name="_Toc932"/>
      <w:r>
        <w:rPr>
          <w:rFonts w:hint="eastAsia" w:ascii="黑体" w:eastAsia="黑体" w:cs="Times New Roman"/>
          <w:bCs w:val="0"/>
          <w:color w:val="000000"/>
        </w:rPr>
        <w:t>五、一般公共预算财政拨款支出决算情况说</w:t>
      </w:r>
      <w:bookmarkEnd w:id="47"/>
      <w:r>
        <w:rPr>
          <w:rFonts w:hint="eastAsia" w:ascii="黑体" w:eastAsia="黑体" w:cs="Times New Roman"/>
          <w:bCs w:val="0"/>
          <w:color w:val="000000"/>
        </w:rPr>
        <w:t>明</w:t>
      </w:r>
      <w:bookmarkEnd w:id="48"/>
      <w:bookmarkEnd w:id="49"/>
      <w:bookmarkEnd w:id="50"/>
    </w:p>
    <w:p>
      <w:pPr>
        <w:spacing w:line="600" w:lineRule="exact"/>
        <w:ind w:firstLine="643" w:firstLineChars="200"/>
        <w:outlineLvl w:val="2"/>
        <w:rPr>
          <w:rFonts w:ascii="仿宋" w:hAnsi="仿宋" w:eastAsia="仿宋"/>
          <w:b/>
          <w:color w:val="000000"/>
          <w:sz w:val="32"/>
          <w:szCs w:val="32"/>
        </w:rPr>
      </w:pPr>
      <w:bookmarkStart w:id="51" w:name="_Toc15377210"/>
      <w:r>
        <w:rPr>
          <w:rFonts w:hint="eastAsia" w:ascii="仿宋" w:hAnsi="仿宋" w:eastAsia="仿宋"/>
          <w:b/>
          <w:color w:val="000000"/>
          <w:sz w:val="32"/>
          <w:szCs w:val="32"/>
        </w:rPr>
        <w:t>（一）一般公共预算财政拨款支出决算总体情况</w:t>
      </w:r>
      <w:bookmarkEnd w:id="51"/>
    </w:p>
    <w:p>
      <w:pPr>
        <w:spacing w:line="600" w:lineRule="exact"/>
        <w:ind w:firstLine="640" w:firstLineChars="200"/>
        <w:rPr>
          <w:rFonts w:ascii="仿宋_GB2312" w:hAnsi="仿宋" w:eastAsia="仿宋_GB2312"/>
          <w:color w:val="000000"/>
          <w:sz w:val="32"/>
          <w:szCs w:val="32"/>
        </w:rPr>
      </w:pPr>
      <w:bookmarkStart w:id="5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年一般公共预算财政拨款支出341.52</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2021相比，一般公共预算财政拨款增加341.52</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5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年一般公共预算财政拨款支出341.52</w:t>
      </w:r>
      <w:r>
        <w:rPr>
          <w:rFonts w:hint="eastAsia" w:ascii="仿宋" w:hAnsi="仿宋" w:eastAsia="仿宋"/>
          <w:color w:val="000000"/>
          <w:sz w:val="32"/>
          <w:szCs w:val="32"/>
        </w:rPr>
        <w:t>万元，主要用于以下方面:</w:t>
      </w:r>
      <w:r>
        <w:rPr>
          <w:rFonts w:ascii="仿宋" w:hAnsi="仿宋" w:eastAsia="仿宋"/>
          <w:color w:val="000000"/>
          <w:sz w:val="32"/>
          <w:u w:color="auto"/>
        </w:rPr>
        <w:t>社会保障和就业支出40.45万元，占11.84%；卫生健康支出277.25万元，占81.18%；住房保障支出23.82万元，占6.98%。</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53"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53"/>
    </w:p>
    <w:p>
      <w:pPr>
        <w:spacing w:line="600" w:lineRule="exact"/>
        <w:ind w:firstLine="640"/>
        <w:rPr>
          <w:rFonts w:ascii="仿宋" w:hAnsi="仿宋" w:eastAsia="仿宋"/>
          <w:color w:val="000000"/>
          <w:sz w:val="32"/>
          <w:szCs w:val="32"/>
        </w:rPr>
      </w:pPr>
      <w:bookmarkStart w:id="54" w:name="_Toc15378460"/>
      <w:bookmarkStart w:id="55" w:name="_Toc15377444"/>
      <w:bookmarkStart w:id="56" w:name="_Toc15377213"/>
      <w:r>
        <w:rPr>
          <w:rFonts w:hint="eastAsia" w:ascii="仿宋" w:hAnsi="仿宋" w:eastAsia="仿宋"/>
          <w:color w:val="000000"/>
          <w:sz w:val="32"/>
          <w:szCs w:val="32"/>
        </w:rPr>
        <w:t>2022</w:t>
      </w:r>
      <w:r>
        <w:rPr>
          <w:rFonts w:ascii="仿宋" w:hAnsi="仿宋" w:eastAsia="仿宋"/>
          <w:color w:val="000000"/>
          <w:sz w:val="32"/>
          <w:u w:color="auto"/>
        </w:rPr>
        <w:t>年一般公共预算支出决算数为341.52</w:t>
      </w:r>
      <w:r>
        <w:rPr>
          <w:rFonts w:hint="eastAsia" w:ascii="仿宋" w:hAnsi="仿宋" w:eastAsia="仿宋"/>
          <w:color w:val="000000"/>
          <w:sz w:val="32"/>
          <w:szCs w:val="32"/>
        </w:rPr>
        <w:t>万，完成预算100%。其中：</w:t>
      </w:r>
      <w:bookmarkEnd w:id="54"/>
      <w:bookmarkEnd w:id="55"/>
      <w:bookmarkEnd w:id="5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1.社会保障和就业支出（208）行政事业单位养老支出（20805）机关事业单位基本养老保险缴费支出（2080505）支出决算36.89万元，完成预算100%。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2.社会保障和就业支出（208）行政事业单位养老支出（20805）机关事业单位职业年金缴费支出（2080506）支出决算3.56万元，完成预算100%。</w:t>
      </w:r>
      <w:r>
        <w:rPr>
          <w:rFonts w:hint="eastAsia" w:ascii="仿宋" w:hAnsi="仿宋" w:eastAsia="仿宋"/>
          <w:color w:val="000000"/>
          <w:sz w:val="32"/>
          <w:szCs w:val="32"/>
        </w:rPr>
        <w:cr/>
      </w:r>
      <w:r>
        <w:rPr>
          <w:rFonts w:hint="eastAsia" w:ascii="仿宋" w:hAnsi="仿宋" w:eastAsia="仿宋"/>
          <w:color w:val="000000"/>
          <w:sz w:val="32"/>
          <w:szCs w:val="32"/>
        </w:rPr>
        <w:t>3.卫生健康支出（210）基层医疗卫生机构（21003）乡镇卫生院（2100302）支出决算239.18万元，完成预算100%。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4.卫生健康支出（210）基层医疗卫生机构（21003）其他基层医疗卫生机构支出（2100399）支出决算3.39万元，完成预算100%。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5.卫生健康支出（210）公共卫生（21004）基本公共卫生服务（2100408）支出决算19.05万元，完成预算100%。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6.卫生健康支出（210）行政事业单位医疗（21011）事业单位医疗（2101102）支出决算15.63万元，完成预算100%。</w:t>
      </w:r>
      <w:r>
        <w:rPr>
          <w:rFonts w:hint="eastAsia" w:ascii="仿宋" w:hAnsi="仿宋" w:eastAsia="仿宋"/>
          <w:color w:val="000000"/>
          <w:sz w:val="32"/>
          <w:szCs w:val="32"/>
        </w:rPr>
        <w:cr/>
      </w:r>
      <w:r>
        <w:rPr>
          <w:rFonts w:hint="eastAsia" w:ascii="仿宋" w:hAnsi="仿宋" w:eastAsia="仿宋"/>
          <w:color w:val="000000"/>
          <w:sz w:val="32"/>
          <w:szCs w:val="32"/>
        </w:rPr>
        <w:t>7.住房保障支出（221）住房改革支出（22102）住房公积金（2210201）支出决算23.82万元，完成预算100%。</w:t>
      </w:r>
    </w:p>
    <w:p>
      <w:pPr>
        <w:pStyle w:val="4"/>
        <w:ind w:firstLine="643" w:firstLineChars="200"/>
        <w:rPr>
          <w:rFonts w:ascii="黑体" w:eastAsia="黑体" w:cs="Times New Roman"/>
          <w:b w:val="0"/>
          <w:color w:val="000000"/>
        </w:rPr>
      </w:pPr>
      <w:bookmarkStart w:id="57" w:name="_Toc15377214"/>
      <w:bookmarkStart w:id="58" w:name="_Toc111208504"/>
      <w:bookmarkStart w:id="59" w:name="_Toc24703"/>
      <w:bookmarkStart w:id="60" w:name="_Toc29609"/>
      <w:r>
        <w:rPr>
          <w:rFonts w:hint="eastAsia" w:ascii="黑体" w:eastAsia="黑体" w:cs="Times New Roman"/>
          <w:bCs w:val="0"/>
          <w:color w:val="000000"/>
        </w:rPr>
        <w:t>六、一般公共预算财政拨款基本支出决算情况说</w:t>
      </w:r>
      <w:bookmarkEnd w:id="57"/>
      <w:r>
        <w:rPr>
          <w:rFonts w:hint="eastAsia" w:ascii="黑体" w:eastAsia="黑体" w:cs="Times New Roman"/>
          <w:bCs w:val="0"/>
          <w:color w:val="000000"/>
        </w:rPr>
        <w:t>明</w:t>
      </w:r>
      <w:bookmarkEnd w:id="58"/>
      <w:bookmarkEnd w:id="59"/>
      <w:bookmarkEnd w:id="60"/>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年一般公共预算财政拨款基本支出319.07</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316.59</w:t>
      </w:r>
      <w:r>
        <w:rPr>
          <w:rFonts w:hint="eastAsia" w:ascii="仿宋" w:hAnsi="仿宋" w:eastAsia="仿宋"/>
          <w:color w:val="000000"/>
          <w:sz w:val="32"/>
          <w:szCs w:val="32"/>
        </w:rPr>
        <w:t>万元，主要包括：</w:t>
      </w:r>
      <w:r>
        <w:rPr>
          <w:rFonts w:ascii="仿宋" w:hAnsi="仿宋" w:eastAsia="仿宋"/>
          <w:color w:val="000000"/>
          <w:sz w:val="32"/>
          <w:u w:color="auto"/>
        </w:rPr>
        <w:t>基本工资58.89万元、津贴补贴56.54万元、奖金83.54万元、绩效工资36.31万元、机关事业单位基本养老保险缴费36.89万元、职业年金缴费3.56万元、职工基本医疗保险缴费15.63万元、其他社会保障缴费1.42万元、住房公积金23.82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2.48</w:t>
      </w:r>
      <w:r>
        <w:rPr>
          <w:rFonts w:hint="eastAsia" w:ascii="仿宋" w:hAnsi="仿宋" w:eastAsia="仿宋"/>
          <w:color w:val="000000"/>
          <w:sz w:val="32"/>
          <w:szCs w:val="32"/>
        </w:rPr>
        <w:t>万元，主要包括：</w:t>
      </w:r>
      <w:r>
        <w:rPr>
          <w:rFonts w:ascii="仿宋" w:hAnsi="仿宋" w:eastAsia="仿宋"/>
          <w:color w:val="000000"/>
          <w:sz w:val="32"/>
          <w:u w:color="auto"/>
        </w:rPr>
        <w:t>工会经费2.48万元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61" w:name="_Toc18202"/>
      <w:bookmarkStart w:id="62" w:name="_Toc15377215"/>
      <w:bookmarkStart w:id="63" w:name="_Toc16585"/>
      <w:bookmarkStart w:id="64" w:name="_Toc111208505"/>
      <w:r>
        <w:rPr>
          <w:rFonts w:hint="eastAsia" w:ascii="黑体" w:eastAsia="黑体" w:cs="Times New Roman"/>
          <w:bCs w:val="0"/>
          <w:color w:val="000000"/>
        </w:rPr>
        <w:t>七、“三公”经费财政拨款支出决算情况说明</w:t>
      </w:r>
      <w:bookmarkEnd w:id="61"/>
      <w:bookmarkEnd w:id="62"/>
      <w:bookmarkEnd w:id="63"/>
      <w:bookmarkEnd w:id="64"/>
    </w:p>
    <w:p>
      <w:pPr>
        <w:spacing w:line="600" w:lineRule="exact"/>
        <w:ind w:firstLine="643" w:firstLineChars="200"/>
        <w:outlineLvl w:val="2"/>
        <w:rPr>
          <w:rFonts w:ascii="仿宋" w:hAnsi="仿宋" w:eastAsia="仿宋"/>
          <w:b/>
          <w:color w:val="000000"/>
          <w:sz w:val="32"/>
          <w:szCs w:val="32"/>
        </w:rPr>
      </w:pPr>
      <w:bookmarkStart w:id="65" w:name="_Toc15377216"/>
      <w:r>
        <w:rPr>
          <w:rFonts w:hint="eastAsia" w:ascii="仿宋" w:hAnsi="仿宋" w:eastAsia="仿宋"/>
          <w:b/>
          <w:color w:val="000000"/>
          <w:sz w:val="32"/>
          <w:szCs w:val="32"/>
        </w:rPr>
        <w:t>（一）“三公”经费财政拨款支出决算总体情况说明</w:t>
      </w:r>
      <w:bookmarkEnd w:id="6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66"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0</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ascii="仿宋" w:hAnsi="仿宋" w:eastAsia="仿宋"/>
          <w:color w:val="000000"/>
          <w:sz w:val="32"/>
          <w:szCs w:val="32"/>
        </w:rPr>
        <w:t>%</w:t>
      </w:r>
      <w:r>
        <w:rPr>
          <w:rFonts w:hint="eastAsia" w:ascii="仿宋" w:hAnsi="仿宋" w:eastAsia="仿宋"/>
          <w:color w:val="000000"/>
          <w:sz w:val="32"/>
          <w:szCs w:val="32"/>
        </w:rPr>
        <w:t>。</w:t>
      </w:r>
      <w:bookmarkStart w:id="67"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ind w:firstLine="643" w:firstLineChars="200"/>
        <w:rPr>
          <w:rFonts w:ascii="黑体" w:eastAsia="黑体" w:cs="Times New Roman"/>
          <w:bCs w:val="0"/>
          <w:color w:val="000000"/>
        </w:rPr>
      </w:pPr>
      <w:bookmarkStart w:id="68" w:name="_Toc4409"/>
      <w:bookmarkStart w:id="69" w:name="_Toc111208506"/>
      <w:bookmarkStart w:id="70" w:name="_Toc4484"/>
      <w:r>
        <w:rPr>
          <w:rFonts w:hint="eastAsia" w:ascii="黑体" w:eastAsia="黑体" w:cs="Times New Roman"/>
          <w:bCs w:val="0"/>
          <w:color w:val="000000"/>
        </w:rPr>
        <w:t>八、政府性基金预算支出决算情况说明</w:t>
      </w:r>
      <w:bookmarkEnd w:id="67"/>
      <w:bookmarkEnd w:id="68"/>
      <w:bookmarkEnd w:id="69"/>
      <w:bookmarkEnd w:id="7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71" w:name="_Toc15377219"/>
    </w:p>
    <w:p>
      <w:pPr>
        <w:pStyle w:val="4"/>
        <w:ind w:firstLine="643" w:firstLineChars="200"/>
        <w:rPr>
          <w:rFonts w:ascii="黑体" w:eastAsia="黑体" w:cs="Times New Roman"/>
          <w:bCs w:val="0"/>
          <w:color w:val="000000"/>
        </w:rPr>
      </w:pPr>
      <w:bookmarkStart w:id="72" w:name="_Toc1532"/>
      <w:bookmarkStart w:id="73" w:name="_Toc6324"/>
      <w:bookmarkStart w:id="74" w:name="_Toc111208507"/>
      <w:r>
        <w:rPr>
          <w:rFonts w:hint="eastAsia" w:ascii="黑体" w:eastAsia="黑体" w:cs="Times New Roman"/>
          <w:bCs w:val="0"/>
          <w:color w:val="000000"/>
        </w:rPr>
        <w:t>九、国有资本经营预算支出决算情况说明</w:t>
      </w:r>
      <w:bookmarkEnd w:id="71"/>
      <w:bookmarkEnd w:id="72"/>
      <w:bookmarkEnd w:id="73"/>
      <w:bookmarkEnd w:id="74"/>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75" w:name="_Toc111208508"/>
      <w:bookmarkStart w:id="76" w:name="_Toc15377221"/>
      <w:bookmarkStart w:id="77" w:name="_Toc30509"/>
      <w:bookmarkStart w:id="78" w:name="_Toc587"/>
      <w:r>
        <w:rPr>
          <w:rFonts w:hint="eastAsia" w:ascii="黑体" w:eastAsia="黑体" w:cs="Times New Roman"/>
          <w:bCs w:val="0"/>
          <w:color w:val="000000"/>
        </w:rPr>
        <w:t>十、其他重要事项的情况说明</w:t>
      </w:r>
      <w:bookmarkEnd w:id="75"/>
      <w:bookmarkEnd w:id="76"/>
      <w:bookmarkEnd w:id="77"/>
      <w:bookmarkEnd w:id="78"/>
    </w:p>
    <w:p>
      <w:pPr>
        <w:spacing w:line="600" w:lineRule="exact"/>
        <w:ind w:firstLine="643" w:firstLineChars="200"/>
        <w:outlineLvl w:val="2"/>
        <w:rPr>
          <w:rFonts w:ascii="仿宋" w:hAnsi="仿宋" w:eastAsia="仿宋"/>
          <w:b/>
          <w:color w:val="000000"/>
          <w:sz w:val="32"/>
          <w:szCs w:val="32"/>
        </w:rPr>
      </w:pPr>
      <w:bookmarkStart w:id="79" w:name="_Toc15377222"/>
      <w:r>
        <w:rPr>
          <w:rFonts w:hint="eastAsia" w:ascii="仿宋" w:hAnsi="仿宋" w:eastAsia="仿宋"/>
          <w:b/>
          <w:color w:val="000000"/>
          <w:sz w:val="32"/>
          <w:szCs w:val="32"/>
        </w:rPr>
        <w:t>（一）机关运行经费支出情况</w:t>
      </w:r>
      <w:bookmarkEnd w:id="7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增加0 %。 </w:t>
      </w:r>
    </w:p>
    <w:p>
      <w:pPr>
        <w:spacing w:line="600" w:lineRule="exact"/>
        <w:ind w:firstLine="643" w:firstLineChars="200"/>
        <w:outlineLvl w:val="2"/>
        <w:rPr>
          <w:rFonts w:ascii="仿宋" w:hAnsi="仿宋" w:eastAsia="仿宋"/>
          <w:b/>
          <w:color w:val="000000"/>
          <w:sz w:val="32"/>
          <w:szCs w:val="32"/>
        </w:rPr>
      </w:pPr>
      <w:bookmarkStart w:id="80" w:name="_Toc15377223"/>
      <w:r>
        <w:rPr>
          <w:rFonts w:hint="eastAsia" w:ascii="仿宋" w:hAnsi="仿宋" w:eastAsia="仿宋"/>
          <w:b/>
          <w:color w:val="000000"/>
          <w:sz w:val="32"/>
          <w:szCs w:val="32"/>
        </w:rPr>
        <w:t>（二）政府采购支出情况</w:t>
      </w:r>
      <w:bookmarkEnd w:id="80"/>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81" w:name="_Toc15377224"/>
      <w:r>
        <w:rPr>
          <w:rFonts w:hint="eastAsia" w:ascii="仿宋" w:hAnsi="仿宋" w:eastAsia="仿宋"/>
          <w:b/>
          <w:color w:val="000000"/>
          <w:sz w:val="32"/>
          <w:szCs w:val="32"/>
        </w:rPr>
        <w:t>（三）国有资产占有使用情况</w:t>
      </w:r>
      <w:bookmarkEnd w:id="81"/>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2"/>
      </w:pPr>
      <w:r>
        <w:rPr>
          <w:rFonts w:hint="eastAsia"/>
        </w:rPr>
        <w:t xml:space="preserve"> </w:t>
      </w:r>
    </w:p>
    <w:p>
      <w:pPr>
        <w:widowControl/>
        <w:numPr>
          <w:ilvl w:val="0"/>
          <w:numId w:val="0"/>
        </w:numPr>
        <w:adjustRightInd w:val="0"/>
        <w:snapToGrid w:val="0"/>
        <w:spacing w:line="580" w:lineRule="exact"/>
        <w:ind w:left="630" w:leftChars="0"/>
        <w:contextualSpacing/>
        <w:jc w:val="left"/>
        <w:outlineLvl w:val="1"/>
        <w:rPr>
          <w:rFonts w:hint="eastAsia" w:ascii="黑体" w:eastAsia="黑体" w:cs="宋体"/>
          <w:b/>
          <w:bCs/>
          <w:color w:val="000000"/>
          <w:kern w:val="0"/>
          <w:sz w:val="32"/>
          <w:szCs w:val="32"/>
          <w:highlight w:val="none"/>
          <w:shd w:val="clear" w:color="auto" w:fill="FFFFFF"/>
        </w:rPr>
      </w:pPr>
      <w:bookmarkStart w:id="82" w:name="_Toc18865"/>
      <w:r>
        <w:rPr>
          <w:rFonts w:hint="eastAsia" w:ascii="黑体" w:eastAsia="黑体" w:cs="宋体"/>
          <w:b/>
          <w:bCs/>
          <w:color w:val="000000"/>
          <w:kern w:val="0"/>
          <w:sz w:val="32"/>
          <w:szCs w:val="32"/>
          <w:highlight w:val="none"/>
          <w:shd w:val="clear" w:color="auto" w:fill="FFFFFF"/>
          <w:lang w:eastAsia="zh-CN"/>
        </w:rPr>
        <w:t>十一、</w:t>
      </w:r>
      <w:r>
        <w:rPr>
          <w:rFonts w:hint="eastAsia" w:ascii="黑体" w:eastAsia="黑体" w:cs="宋体"/>
          <w:b/>
          <w:bCs/>
          <w:color w:val="000000"/>
          <w:kern w:val="0"/>
          <w:sz w:val="32"/>
          <w:szCs w:val="32"/>
          <w:highlight w:val="none"/>
          <w:shd w:val="clear" w:color="auto" w:fill="FFFFFF"/>
        </w:rPr>
        <w:t>部门财政资金收支情况</w:t>
      </w:r>
      <w:bookmarkEnd w:id="82"/>
    </w:p>
    <w:p>
      <w:pPr>
        <w:pStyle w:val="2"/>
        <w:numPr>
          <w:ilvl w:val="0"/>
          <w:numId w:val="0"/>
        </w:numPr>
      </w:pP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年度财政拨款收入总计</w:t>
      </w:r>
      <w:r>
        <w:rPr>
          <w:rFonts w:hint="eastAsia" w:ascii="仿宋" w:hAnsi="仿宋" w:eastAsia="仿宋" w:cs="仿宋"/>
          <w:color w:val="000000"/>
          <w:kern w:val="0"/>
          <w:sz w:val="32"/>
          <w:szCs w:val="32"/>
          <w:highlight w:val="none"/>
          <w:shd w:val="clear" w:color="auto" w:fill="FFFFFF"/>
          <w:lang w:val="en-US" w:eastAsia="zh-CN"/>
        </w:rPr>
        <w:t>342.01</w:t>
      </w:r>
      <w:r>
        <w:rPr>
          <w:rFonts w:hint="eastAsia" w:ascii="仿宋" w:hAnsi="仿宋" w:eastAsia="仿宋" w:cs="仿宋"/>
          <w:color w:val="000000"/>
          <w:kern w:val="0"/>
          <w:sz w:val="32"/>
          <w:szCs w:val="32"/>
          <w:highlight w:val="none"/>
          <w:shd w:val="clear" w:color="auto" w:fill="FFFFFF"/>
          <w:lang w:val="zh-CN"/>
        </w:rPr>
        <w:t>万元（</w:t>
      </w:r>
      <w:r>
        <w:rPr>
          <w:rFonts w:hint="eastAsia" w:ascii="仿宋" w:hAnsi="仿宋" w:eastAsia="仿宋" w:cs="仿宋"/>
          <w:color w:val="000000"/>
          <w:kern w:val="0"/>
          <w:sz w:val="32"/>
          <w:szCs w:val="32"/>
          <w:highlight w:val="none"/>
          <w:shd w:val="clear" w:color="auto" w:fill="FFFFFF"/>
          <w:lang w:val="en-US" w:eastAsia="zh-CN"/>
        </w:rPr>
        <w:t>2021年以前所有卫生院资金合并在大平台未分开）。</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202</w:t>
      </w:r>
      <w:r>
        <w:rPr>
          <w:rFonts w:hint="eastAsia" w:ascii="仿宋" w:hAnsi="仿宋" w:eastAsia="仿宋" w:cs="仿宋"/>
          <w:color w:val="000000"/>
          <w:kern w:val="0"/>
          <w:sz w:val="32"/>
          <w:szCs w:val="32"/>
          <w:highlight w:val="none"/>
          <w:shd w:val="clear" w:color="auto" w:fill="FFFFFF"/>
          <w:lang w:val="en-US" w:eastAsia="zh-CN"/>
        </w:rPr>
        <w:t>3</w:t>
      </w:r>
      <w:r>
        <w:rPr>
          <w:rFonts w:hint="eastAsia" w:ascii="仿宋" w:hAnsi="仿宋" w:eastAsia="仿宋" w:cs="仿宋"/>
          <w:color w:val="000000"/>
          <w:kern w:val="0"/>
          <w:sz w:val="32"/>
          <w:szCs w:val="32"/>
          <w:highlight w:val="none"/>
          <w:shd w:val="clear" w:color="auto" w:fill="FFFFFF"/>
          <w:lang w:val="zh-CN"/>
        </w:rPr>
        <w:t>年1-6月公共预算财政拨款收入</w:t>
      </w:r>
      <w:r>
        <w:rPr>
          <w:rFonts w:hint="eastAsia" w:ascii="仿宋" w:hAnsi="仿宋" w:eastAsia="仿宋" w:cs="仿宋"/>
          <w:color w:val="000000"/>
          <w:kern w:val="0"/>
          <w:sz w:val="32"/>
          <w:szCs w:val="32"/>
          <w:highlight w:val="none"/>
          <w:shd w:val="clear" w:color="auto" w:fill="FFFFFF"/>
          <w:lang w:val="en-US" w:eastAsia="zh-CN"/>
        </w:rPr>
        <w:t>359.36</w:t>
      </w:r>
      <w:r>
        <w:rPr>
          <w:rFonts w:hint="eastAsia" w:ascii="仿宋" w:hAnsi="仿宋" w:eastAsia="仿宋" w:cs="仿宋"/>
          <w:color w:val="000000"/>
          <w:kern w:val="0"/>
          <w:sz w:val="32"/>
          <w:szCs w:val="32"/>
          <w:highlight w:val="none"/>
          <w:shd w:val="clear" w:color="auto" w:fill="FFFFFF"/>
          <w:lang w:val="zh-CN"/>
        </w:rPr>
        <w:t>万元</w:t>
      </w: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年度财政拨款支出</w:t>
      </w:r>
      <w:r>
        <w:rPr>
          <w:rFonts w:hint="eastAsia" w:ascii="仿宋" w:hAnsi="仿宋" w:eastAsia="仿宋" w:cs="仿宋"/>
          <w:color w:val="000000"/>
          <w:kern w:val="0"/>
          <w:sz w:val="32"/>
          <w:szCs w:val="32"/>
          <w:highlight w:val="none"/>
          <w:shd w:val="clear" w:color="auto" w:fill="FFFFFF"/>
          <w:lang w:val="en-US" w:eastAsia="zh-CN"/>
        </w:rPr>
        <w:t>341.68</w:t>
      </w:r>
      <w:r>
        <w:rPr>
          <w:rFonts w:hint="eastAsia" w:ascii="仿宋" w:hAnsi="仿宋" w:eastAsia="仿宋" w:cs="仿宋"/>
          <w:color w:val="000000"/>
          <w:kern w:val="0"/>
          <w:sz w:val="32"/>
          <w:szCs w:val="32"/>
          <w:highlight w:val="none"/>
          <w:shd w:val="clear" w:color="auto" w:fill="FFFFFF"/>
          <w:lang w:val="zh-CN"/>
        </w:rPr>
        <w:t>万元（</w:t>
      </w:r>
      <w:r>
        <w:rPr>
          <w:rFonts w:hint="eastAsia" w:ascii="仿宋" w:hAnsi="仿宋" w:eastAsia="仿宋" w:cs="仿宋"/>
          <w:color w:val="000000"/>
          <w:kern w:val="0"/>
          <w:sz w:val="32"/>
          <w:szCs w:val="32"/>
          <w:highlight w:val="none"/>
          <w:shd w:val="clear" w:color="auto" w:fill="FFFFFF"/>
          <w:lang w:val="en-US" w:eastAsia="zh-CN"/>
        </w:rPr>
        <w:t>2021年以前所有卫生院资金合并在大平台未分开）</w:t>
      </w:r>
      <w:r>
        <w:rPr>
          <w:rFonts w:hint="eastAsia" w:ascii="仿宋" w:hAnsi="仿宋" w:eastAsia="仿宋" w:cs="仿宋"/>
          <w:color w:val="000000"/>
          <w:kern w:val="0"/>
          <w:sz w:val="32"/>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1、202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年度一般公共预算财政拨款基本支出</w:t>
      </w:r>
      <w:r>
        <w:rPr>
          <w:rFonts w:hint="eastAsia" w:ascii="仿宋" w:hAnsi="仿宋" w:eastAsia="仿宋" w:cs="仿宋"/>
          <w:color w:val="000000"/>
          <w:kern w:val="0"/>
          <w:sz w:val="32"/>
          <w:szCs w:val="32"/>
          <w:highlight w:val="none"/>
          <w:shd w:val="clear" w:color="auto" w:fill="FFFFFF"/>
          <w:lang w:val="en-US" w:eastAsia="zh-CN"/>
        </w:rPr>
        <w:t>319.24</w:t>
      </w:r>
      <w:r>
        <w:rPr>
          <w:rFonts w:hint="eastAsia" w:ascii="仿宋" w:hAnsi="仿宋" w:eastAsia="仿宋" w:cs="仿宋"/>
          <w:color w:val="000000"/>
          <w:kern w:val="0"/>
          <w:sz w:val="32"/>
          <w:szCs w:val="32"/>
          <w:highlight w:val="none"/>
          <w:shd w:val="clear" w:color="auto" w:fill="FFFFFF"/>
          <w:lang w:val="zh-CN"/>
        </w:rPr>
        <w:t>万元，其中：</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人员经费</w:t>
      </w:r>
      <w:r>
        <w:rPr>
          <w:rFonts w:hint="eastAsia" w:ascii="仿宋" w:hAnsi="仿宋" w:eastAsia="仿宋" w:cs="仿宋"/>
          <w:color w:val="000000"/>
          <w:kern w:val="0"/>
          <w:sz w:val="32"/>
          <w:szCs w:val="32"/>
          <w:highlight w:val="none"/>
          <w:shd w:val="clear" w:color="auto" w:fill="FFFFFF"/>
          <w:lang w:val="en-US" w:eastAsia="zh-CN"/>
        </w:rPr>
        <w:t>316.76</w:t>
      </w:r>
      <w:r>
        <w:rPr>
          <w:rFonts w:hint="eastAsia" w:ascii="仿宋" w:hAnsi="仿宋" w:eastAsia="仿宋" w:cs="仿宋"/>
          <w:color w:val="000000"/>
          <w:kern w:val="0"/>
          <w:sz w:val="32"/>
          <w:szCs w:val="32"/>
          <w:highlight w:val="none"/>
          <w:shd w:val="clear" w:color="auto" w:fill="FFFFFF"/>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zh-CN"/>
        </w:rPr>
        <w:t>公用经费</w:t>
      </w:r>
      <w:r>
        <w:rPr>
          <w:rFonts w:hint="eastAsia" w:ascii="仿宋" w:hAnsi="仿宋" w:eastAsia="仿宋" w:cs="仿宋"/>
          <w:color w:val="000000"/>
          <w:kern w:val="0"/>
          <w:sz w:val="32"/>
          <w:szCs w:val="32"/>
          <w:highlight w:val="none"/>
          <w:shd w:val="clear" w:color="auto" w:fill="FFFFFF"/>
          <w:lang w:val="en-US" w:eastAsia="zh-CN"/>
        </w:rPr>
        <w:t>2.48</w:t>
      </w:r>
      <w:r>
        <w:rPr>
          <w:rFonts w:hint="eastAsia" w:ascii="仿宋" w:hAnsi="仿宋" w:eastAsia="仿宋" w:cs="仿宋"/>
          <w:color w:val="000000"/>
          <w:kern w:val="0"/>
          <w:sz w:val="32"/>
          <w:szCs w:val="32"/>
          <w:highlight w:val="none"/>
          <w:shd w:val="clear" w:color="auto" w:fill="FFFFFF"/>
          <w:lang w:val="zh-CN"/>
        </w:rPr>
        <w:t>万元，主要包括：工会经费</w:t>
      </w:r>
      <w:r>
        <w:rPr>
          <w:rFonts w:hint="eastAsia" w:ascii="仿宋" w:hAnsi="仿宋" w:eastAsia="仿宋" w:cs="仿宋"/>
          <w:color w:val="000000"/>
          <w:kern w:val="0"/>
          <w:sz w:val="32"/>
          <w:szCs w:val="32"/>
          <w:highlight w:val="none"/>
          <w:shd w:val="clear" w:color="auto" w:fill="FFFFFF"/>
          <w:lang w:val="en-US" w:eastAsia="zh-CN"/>
        </w:rPr>
        <w:t>.</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年项目支付</w:t>
      </w:r>
      <w:r>
        <w:rPr>
          <w:rFonts w:hint="eastAsia" w:ascii="仿宋" w:hAnsi="仿宋" w:eastAsia="仿宋" w:cs="仿宋"/>
          <w:color w:val="000000"/>
          <w:kern w:val="0"/>
          <w:sz w:val="32"/>
          <w:szCs w:val="32"/>
          <w:highlight w:val="none"/>
          <w:shd w:val="clear" w:color="auto" w:fill="FFFFFF"/>
          <w:lang w:val="en-US" w:eastAsia="zh-CN"/>
        </w:rPr>
        <w:t>22.44</w:t>
      </w:r>
      <w:r>
        <w:rPr>
          <w:rFonts w:hint="eastAsia" w:ascii="仿宋" w:hAnsi="仿宋" w:eastAsia="仿宋" w:cs="仿宋"/>
          <w:color w:val="000000"/>
          <w:kern w:val="0"/>
          <w:sz w:val="32"/>
          <w:szCs w:val="32"/>
          <w:highlight w:val="none"/>
          <w:shd w:val="clear" w:color="auto" w:fill="FFFFFF"/>
          <w:lang w:val="zh-CN"/>
        </w:rPr>
        <w:t>万元，</w:t>
      </w:r>
      <w:r>
        <w:rPr>
          <w:rFonts w:hint="eastAsia" w:ascii="仿宋" w:hAnsi="仿宋" w:eastAsia="仿宋" w:cs="仿宋"/>
          <w:color w:val="000000"/>
          <w:kern w:val="0"/>
          <w:sz w:val="32"/>
          <w:szCs w:val="32"/>
          <w:highlight w:val="none"/>
          <w:shd w:val="clear" w:color="auto" w:fill="FFFFFF"/>
          <w:lang w:val="en-US" w:eastAsia="zh-CN"/>
        </w:rPr>
        <w:t>主要包括：基本药物补助资金，基本公共卫生服务补助资金。</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202</w:t>
      </w:r>
      <w:r>
        <w:rPr>
          <w:rFonts w:hint="eastAsia" w:ascii="仿宋" w:hAnsi="仿宋" w:eastAsia="仿宋" w:cs="仿宋"/>
          <w:color w:val="000000"/>
          <w:kern w:val="0"/>
          <w:sz w:val="32"/>
          <w:szCs w:val="32"/>
          <w:highlight w:val="none"/>
          <w:shd w:val="clear" w:color="auto" w:fill="FFFFFF"/>
          <w:lang w:val="en-US" w:eastAsia="zh-CN"/>
        </w:rPr>
        <w:t>3</w:t>
      </w:r>
      <w:r>
        <w:rPr>
          <w:rFonts w:hint="eastAsia" w:ascii="仿宋" w:hAnsi="仿宋" w:eastAsia="仿宋" w:cs="仿宋"/>
          <w:color w:val="000000"/>
          <w:kern w:val="0"/>
          <w:sz w:val="32"/>
          <w:szCs w:val="32"/>
          <w:highlight w:val="none"/>
          <w:shd w:val="clear" w:color="auto" w:fill="FFFFFF"/>
          <w:lang w:val="zh-CN"/>
        </w:rPr>
        <w:t>年1-6月公共预算财政拨款支出</w:t>
      </w:r>
      <w:r>
        <w:rPr>
          <w:rFonts w:hint="eastAsia" w:ascii="仿宋" w:hAnsi="仿宋" w:eastAsia="仿宋" w:cs="仿宋"/>
          <w:color w:val="000000"/>
          <w:kern w:val="0"/>
          <w:sz w:val="32"/>
          <w:szCs w:val="32"/>
          <w:highlight w:val="none"/>
          <w:shd w:val="clear" w:color="auto" w:fill="FFFFFF"/>
          <w:lang w:val="en-US" w:eastAsia="zh-CN"/>
        </w:rPr>
        <w:t>210.14</w:t>
      </w:r>
      <w:r>
        <w:rPr>
          <w:rFonts w:hint="eastAsia" w:ascii="仿宋" w:hAnsi="仿宋" w:eastAsia="仿宋" w:cs="仿宋"/>
          <w:color w:val="000000"/>
          <w:kern w:val="0"/>
          <w:sz w:val="32"/>
          <w:szCs w:val="32"/>
          <w:highlight w:val="none"/>
          <w:shd w:val="clear" w:color="auto" w:fill="FFFFFF"/>
          <w:lang w:val="zh-CN"/>
        </w:rPr>
        <w:t>万元。</w:t>
      </w:r>
    </w:p>
    <w:p>
      <w:pPr>
        <w:pStyle w:val="2"/>
        <w:rPr>
          <w:rFonts w:hint="eastAsia"/>
          <w:lang w:val="zh-CN"/>
        </w:rPr>
      </w:pPr>
    </w:p>
    <w:p>
      <w:pPr>
        <w:widowControl/>
        <w:numPr>
          <w:ilvl w:val="0"/>
          <w:numId w:val="0"/>
        </w:numPr>
        <w:adjustRightInd w:val="0"/>
        <w:snapToGrid w:val="0"/>
        <w:spacing w:line="580" w:lineRule="exact"/>
        <w:ind w:firstLine="643" w:firstLineChars="200"/>
        <w:contextualSpacing/>
        <w:jc w:val="left"/>
        <w:rPr>
          <w:rFonts w:hint="eastAsia" w:ascii="仿宋" w:hAnsi="仿宋" w:eastAsia="仿宋" w:cs="仿宋"/>
          <w:color w:val="000000"/>
          <w:kern w:val="0"/>
          <w:sz w:val="32"/>
          <w:szCs w:val="32"/>
          <w:highlight w:val="none"/>
          <w:shd w:val="clear" w:color="auto" w:fill="FFFFFF"/>
        </w:rPr>
      </w:pPr>
      <w:r>
        <w:rPr>
          <w:rFonts w:hint="eastAsia" w:ascii="仿宋" w:hAnsi="仿宋" w:eastAsia="仿宋" w:cs="仿宋"/>
          <w:b/>
          <w:bCs/>
          <w:color w:val="000000"/>
          <w:kern w:val="0"/>
          <w:sz w:val="32"/>
          <w:szCs w:val="32"/>
          <w:highlight w:val="none"/>
          <w:shd w:val="clear" w:color="auto" w:fill="FFFFFF"/>
          <w:lang w:eastAsia="zh-CN"/>
        </w:rPr>
        <w:t>十二、</w:t>
      </w:r>
      <w:r>
        <w:rPr>
          <w:rFonts w:hint="eastAsia" w:ascii="仿宋" w:hAnsi="仿宋" w:eastAsia="仿宋" w:cs="仿宋"/>
          <w:b/>
          <w:bCs/>
          <w:color w:val="000000"/>
          <w:kern w:val="0"/>
          <w:sz w:val="32"/>
          <w:szCs w:val="32"/>
          <w:highlight w:val="none"/>
          <w:shd w:val="clear" w:color="auto" w:fill="FFFFFF"/>
        </w:rPr>
        <w:t>部门整体预算绩效管理情况</w:t>
      </w:r>
      <w:r>
        <w:rPr>
          <w:rFonts w:hint="eastAsia" w:ascii="仿宋" w:hAnsi="仿宋" w:eastAsia="仿宋" w:cs="仿宋"/>
          <w:color w:val="000000"/>
          <w:kern w:val="0"/>
          <w:sz w:val="32"/>
          <w:szCs w:val="32"/>
          <w:highlight w:val="none"/>
          <w:shd w:val="clear" w:color="auto" w:fill="FFFFFF"/>
        </w:rPr>
        <w:t>（根据适用指标体系进行调整</w:t>
      </w:r>
      <w:r>
        <w:rPr>
          <w:rFonts w:hint="eastAsia" w:ascii="仿宋" w:hAnsi="仿宋" w:eastAsia="仿宋" w:cs="仿宋"/>
          <w:color w:val="000000"/>
          <w:kern w:val="0"/>
          <w:sz w:val="32"/>
          <w:szCs w:val="32"/>
          <w:highlight w:val="none"/>
          <w:shd w:val="clear" w:color="auto" w:fill="FFFFFF"/>
          <w:lang w:eastAsia="zh-CN"/>
        </w:rPr>
        <w:t>，涉及有专项预算的部门，专项预算项目自评报告根据要求另行单独报送</w:t>
      </w:r>
      <w:r>
        <w:rPr>
          <w:rFonts w:hint="eastAsia" w:ascii="仿宋" w:hAnsi="仿宋" w:eastAsia="仿宋" w:cs="仿宋"/>
          <w:color w:val="000000"/>
          <w:kern w:val="0"/>
          <w:sz w:val="32"/>
          <w:szCs w:val="32"/>
          <w:highlight w:val="none"/>
          <w:shd w:val="clear" w:color="auto" w:fill="FFFFFF"/>
        </w:rPr>
        <w:t>）</w:t>
      </w:r>
    </w:p>
    <w:p>
      <w:pPr>
        <w:pStyle w:val="2"/>
        <w:numPr>
          <w:ilvl w:val="0"/>
          <w:numId w:val="0"/>
        </w:numPr>
        <w:rPr>
          <w:rFonts w:hint="eastAsia"/>
        </w:rPr>
      </w:pP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w:t>
      </w:r>
      <w:r>
        <w:rPr>
          <w:rFonts w:hint="eastAsia" w:ascii="仿宋" w:hAnsi="仿宋" w:eastAsia="仿宋" w:cs="仿宋"/>
          <w:b/>
          <w:bCs/>
          <w:color w:val="000000"/>
          <w:kern w:val="0"/>
          <w:sz w:val="32"/>
          <w:szCs w:val="32"/>
          <w:highlight w:val="none"/>
          <w:shd w:val="clear" w:color="auto" w:fill="FFFFFF"/>
          <w:lang w:val="en-US" w:eastAsia="zh-CN"/>
        </w:rPr>
        <w:t>一</w:t>
      </w:r>
      <w:r>
        <w:rPr>
          <w:rFonts w:hint="eastAsia" w:ascii="仿宋" w:hAnsi="仿宋" w:eastAsia="仿宋" w:cs="仿宋"/>
          <w:b/>
          <w:bCs/>
          <w:color w:val="000000"/>
          <w:kern w:val="0"/>
          <w:sz w:val="32"/>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3"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w:t>
      </w:r>
      <w:r>
        <w:rPr>
          <w:rFonts w:hint="eastAsia" w:ascii="仿宋" w:hAnsi="仿宋" w:eastAsia="仿宋" w:cs="仿宋"/>
          <w:b/>
          <w:bCs/>
          <w:color w:val="000000"/>
          <w:kern w:val="0"/>
          <w:sz w:val="32"/>
          <w:szCs w:val="32"/>
          <w:highlight w:val="none"/>
          <w:shd w:val="clear" w:color="auto" w:fill="FFFFFF"/>
          <w:lang w:val="en-US" w:eastAsia="zh-CN"/>
        </w:rPr>
        <w:t>二</w:t>
      </w:r>
      <w:r>
        <w:rPr>
          <w:rFonts w:hint="eastAsia" w:ascii="仿宋" w:hAnsi="仿宋" w:eastAsia="仿宋" w:cs="仿宋"/>
          <w:b/>
          <w:bCs/>
          <w:color w:val="000000"/>
          <w:kern w:val="0"/>
          <w:sz w:val="32"/>
          <w:szCs w:val="32"/>
          <w:highlight w:val="none"/>
          <w:shd w:val="clear" w:color="auto" w:fill="FFFFFF"/>
          <w:lang w:val="zh-CN"/>
        </w:rPr>
        <w:t>）执行管理情况。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从整体情况来看，我</w:t>
      </w:r>
      <w:r>
        <w:rPr>
          <w:rFonts w:hint="eastAsia" w:ascii="仿宋" w:hAnsi="仿宋" w:eastAsia="仿宋" w:cs="仿宋"/>
          <w:color w:val="000000"/>
          <w:kern w:val="0"/>
          <w:sz w:val="32"/>
          <w:szCs w:val="32"/>
          <w:highlight w:val="none"/>
          <w:shd w:val="clear" w:color="auto" w:fill="FFFFFF"/>
          <w:lang w:val="en-US" w:eastAsia="zh-CN"/>
        </w:rPr>
        <w:t>单位</w:t>
      </w:r>
      <w:r>
        <w:rPr>
          <w:rFonts w:hint="eastAsia" w:ascii="仿宋" w:hAnsi="仿宋" w:eastAsia="仿宋" w:cs="仿宋"/>
          <w:color w:val="000000"/>
          <w:kern w:val="0"/>
          <w:sz w:val="32"/>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w:t>
      </w:r>
      <w:r>
        <w:rPr>
          <w:rFonts w:hint="eastAsia" w:ascii="仿宋" w:hAnsi="仿宋" w:eastAsia="仿宋" w:cs="仿宋"/>
          <w:b/>
          <w:bCs/>
          <w:color w:val="000000"/>
          <w:kern w:val="0"/>
          <w:sz w:val="32"/>
          <w:szCs w:val="32"/>
          <w:highlight w:val="none"/>
          <w:shd w:val="clear" w:color="auto" w:fill="FFFFFF"/>
          <w:lang w:val="en-US" w:eastAsia="zh-CN"/>
        </w:rPr>
        <w:t>三</w:t>
      </w:r>
      <w:r>
        <w:rPr>
          <w:rFonts w:hint="eastAsia" w:ascii="仿宋" w:hAnsi="仿宋" w:eastAsia="仿宋" w:cs="仿宋"/>
          <w:b/>
          <w:bCs/>
          <w:color w:val="000000"/>
          <w:kern w:val="0"/>
          <w:sz w:val="32"/>
          <w:szCs w:val="32"/>
          <w:highlight w:val="none"/>
          <w:shd w:val="clear" w:color="auto" w:fill="FFFFFF"/>
          <w:lang w:val="zh-CN"/>
        </w:rPr>
        <w:t>）综合管理情况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预决算公开：</w:t>
      </w:r>
      <w:r>
        <w:rPr>
          <w:rFonts w:hint="eastAsia" w:ascii="仿宋" w:hAnsi="仿宋" w:eastAsia="仿宋" w:cs="仿宋"/>
          <w:color w:val="000000"/>
          <w:kern w:val="0"/>
          <w:sz w:val="32"/>
          <w:szCs w:val="32"/>
          <w:highlight w:val="none"/>
          <w:shd w:val="clear" w:color="auto" w:fill="FFFFFF"/>
          <w:lang w:val="en-US" w:eastAsia="zh-CN"/>
        </w:rPr>
        <w:t>2022</w:t>
      </w:r>
      <w:r>
        <w:rPr>
          <w:rFonts w:hint="eastAsia" w:ascii="仿宋" w:hAnsi="仿宋" w:eastAsia="仿宋" w:cs="仿宋"/>
          <w:color w:val="000000"/>
          <w:kern w:val="0"/>
          <w:sz w:val="32"/>
          <w:szCs w:val="32"/>
          <w:highlight w:val="none"/>
          <w:shd w:val="clear" w:color="auto" w:fill="FFFFFF"/>
          <w:lang w:val="zh-CN"/>
        </w:rPr>
        <w:t>年，我</w:t>
      </w:r>
      <w:r>
        <w:rPr>
          <w:rFonts w:hint="eastAsia" w:ascii="仿宋" w:hAnsi="仿宋" w:eastAsia="仿宋" w:cs="仿宋"/>
          <w:color w:val="000000"/>
          <w:kern w:val="0"/>
          <w:sz w:val="32"/>
          <w:szCs w:val="32"/>
          <w:highlight w:val="none"/>
          <w:shd w:val="clear" w:color="auto" w:fill="FFFFFF"/>
          <w:lang w:val="en-US" w:eastAsia="zh-CN"/>
        </w:rPr>
        <w:t>单位</w:t>
      </w:r>
      <w:r>
        <w:rPr>
          <w:rFonts w:hint="eastAsia" w:ascii="仿宋" w:hAnsi="仿宋" w:eastAsia="仿宋" w:cs="仿宋"/>
          <w:color w:val="000000"/>
          <w:kern w:val="0"/>
          <w:sz w:val="32"/>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资产管理：202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“三公经费”控制情况：贯彻落实上级有关精神，严格控制“三公经费”支出。我单位202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w:t>
      </w:r>
      <w:r>
        <w:rPr>
          <w:rFonts w:hint="eastAsia" w:ascii="仿宋" w:hAnsi="仿宋" w:eastAsia="仿宋" w:cs="仿宋"/>
          <w:color w:val="000000"/>
          <w:kern w:val="0"/>
          <w:sz w:val="32"/>
          <w:szCs w:val="32"/>
          <w:highlight w:val="none"/>
          <w:shd w:val="clear" w:color="auto" w:fill="FFFFFF"/>
          <w:lang w:val="en-US" w:eastAsia="zh-CN"/>
        </w:rPr>
        <w:t>无</w:t>
      </w:r>
      <w:r>
        <w:rPr>
          <w:rFonts w:hint="eastAsia" w:ascii="仿宋" w:hAnsi="仿宋" w:eastAsia="仿宋" w:cs="仿宋"/>
          <w:color w:val="000000"/>
          <w:kern w:val="0"/>
          <w:sz w:val="32"/>
          <w:szCs w:val="32"/>
          <w:highlight w:val="none"/>
          <w:shd w:val="clear" w:color="auto" w:fill="FFFFFF"/>
          <w:lang w:val="zh-CN"/>
        </w:rPr>
        <w:t>“三公”经费支出。内部管理制度建设情况：近年来，我</w:t>
      </w:r>
      <w:r>
        <w:rPr>
          <w:rFonts w:hint="eastAsia" w:ascii="仿宋" w:hAnsi="仿宋" w:eastAsia="仿宋" w:cs="仿宋"/>
          <w:color w:val="000000"/>
          <w:kern w:val="0"/>
          <w:sz w:val="32"/>
          <w:szCs w:val="32"/>
          <w:highlight w:val="none"/>
          <w:shd w:val="clear" w:color="auto" w:fill="FFFFFF"/>
          <w:lang w:val="en-US" w:eastAsia="zh-CN"/>
        </w:rPr>
        <w:t>单位</w:t>
      </w:r>
      <w:r>
        <w:rPr>
          <w:rFonts w:hint="eastAsia" w:ascii="仿宋" w:hAnsi="仿宋" w:eastAsia="仿宋" w:cs="仿宋"/>
          <w:color w:val="000000"/>
          <w:kern w:val="0"/>
          <w:sz w:val="32"/>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w:t>
      </w:r>
      <w:r>
        <w:rPr>
          <w:rFonts w:hint="eastAsia" w:ascii="仿宋" w:hAnsi="仿宋" w:eastAsia="仿宋" w:cs="仿宋"/>
          <w:b/>
          <w:bCs/>
          <w:color w:val="000000"/>
          <w:kern w:val="0"/>
          <w:sz w:val="32"/>
          <w:szCs w:val="32"/>
          <w:highlight w:val="none"/>
          <w:shd w:val="clear" w:color="auto" w:fill="FFFFFF"/>
          <w:lang w:val="en-US" w:eastAsia="zh-CN"/>
        </w:rPr>
        <w:t>四</w:t>
      </w:r>
      <w:r>
        <w:rPr>
          <w:rFonts w:hint="eastAsia" w:ascii="仿宋" w:hAnsi="仿宋" w:eastAsia="仿宋" w:cs="仿宋"/>
          <w:b/>
          <w:bCs/>
          <w:color w:val="000000"/>
          <w:kern w:val="0"/>
          <w:sz w:val="32"/>
          <w:szCs w:val="32"/>
          <w:highlight w:val="none"/>
          <w:shd w:val="clear" w:color="auto" w:fill="FFFFFF"/>
          <w:lang w:val="zh-CN"/>
        </w:rPr>
        <w:t>）绩效评价目的</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此次绩效评价的目的是：严格落实《</w:t>
      </w:r>
      <w:r>
        <w:rPr>
          <w:rFonts w:hint="eastAsia" w:ascii="仿宋" w:hAnsi="仿宋" w:eastAsia="仿宋" w:cs="仿宋"/>
          <w:color w:val="000000"/>
          <w:kern w:val="0"/>
          <w:sz w:val="32"/>
          <w:szCs w:val="32"/>
          <w:highlight w:val="none"/>
          <w:shd w:val="clear" w:color="auto" w:fill="FFFFFF"/>
          <w:lang w:val="en-US" w:eastAsia="zh-CN"/>
        </w:rPr>
        <w:t>中华人民共和国</w:t>
      </w:r>
      <w:r>
        <w:rPr>
          <w:rFonts w:hint="eastAsia" w:ascii="仿宋" w:hAnsi="仿宋" w:eastAsia="仿宋" w:cs="仿宋"/>
          <w:color w:val="000000"/>
          <w:kern w:val="0"/>
          <w:sz w:val="32"/>
          <w:szCs w:val="32"/>
          <w:highlight w:val="none"/>
          <w:shd w:val="clear" w:color="auto" w:fill="FFFFFF"/>
          <w:lang w:val="zh-CN"/>
        </w:rPr>
        <w:t>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highlight w:val="none"/>
          <w:shd w:val="clear" w:color="auto" w:fill="FFFFFF"/>
          <w:lang w:val="zh-CN"/>
        </w:rPr>
      </w:pPr>
      <w:r>
        <w:rPr>
          <w:rFonts w:hint="eastAsia" w:ascii="仿宋" w:hAnsi="仿宋" w:eastAsia="仿宋" w:cs="仿宋"/>
          <w:b/>
          <w:bCs/>
          <w:color w:val="000000"/>
          <w:kern w:val="0"/>
          <w:sz w:val="32"/>
          <w:szCs w:val="32"/>
          <w:highlight w:val="none"/>
          <w:shd w:val="clear" w:color="auto" w:fill="FFFFFF"/>
          <w:lang w:val="zh-CN"/>
        </w:rPr>
        <w:t>（</w:t>
      </w:r>
      <w:r>
        <w:rPr>
          <w:rFonts w:hint="eastAsia" w:ascii="仿宋" w:hAnsi="仿宋" w:eastAsia="仿宋" w:cs="仿宋"/>
          <w:b/>
          <w:bCs/>
          <w:color w:val="000000"/>
          <w:kern w:val="0"/>
          <w:sz w:val="32"/>
          <w:szCs w:val="32"/>
          <w:highlight w:val="none"/>
          <w:shd w:val="clear" w:color="auto" w:fill="FFFFFF"/>
          <w:lang w:val="en-US" w:eastAsia="zh-CN"/>
        </w:rPr>
        <w:t>五</w:t>
      </w:r>
      <w:r>
        <w:rPr>
          <w:rFonts w:hint="eastAsia" w:ascii="仿宋" w:hAnsi="仿宋" w:eastAsia="仿宋" w:cs="仿宋"/>
          <w:b/>
          <w:bCs/>
          <w:color w:val="000000"/>
          <w:kern w:val="0"/>
          <w:sz w:val="32"/>
          <w:szCs w:val="32"/>
          <w:highlight w:val="none"/>
          <w:shd w:val="clear" w:color="auto" w:fill="FFFFFF"/>
          <w:lang w:val="zh-CN"/>
        </w:rPr>
        <w:t>）绩效评价的主要过程</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tbl>
      <w:tblPr>
        <w:tblStyle w:val="15"/>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0"/>
        <w:gridCol w:w="564"/>
        <w:gridCol w:w="1208"/>
        <w:gridCol w:w="725"/>
        <w:gridCol w:w="1409"/>
        <w:gridCol w:w="2054"/>
        <w:gridCol w:w="222"/>
        <w:gridCol w:w="1432"/>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3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附件1：</w:t>
            </w:r>
          </w:p>
        </w:tc>
        <w:tc>
          <w:tcPr>
            <w:tcW w:w="57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246"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765"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4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4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中央对地方专项转移支付绩效自评表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4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4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4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4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4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地方主管部门</w:t>
            </w:r>
          </w:p>
        </w:tc>
        <w:tc>
          <w:tcPr>
            <w:tcW w:w="2205"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松潘县卫健局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基本公共卫生服务项目资金（万元）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全年预算（A）</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19.0548</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其中：中央补助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27.3374</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19.0548</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基层基本公共卫生服务项目（12类）资金（万元）</w:t>
            </w: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27.3374</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19.0548</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其中：中央补助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27.3374</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19.0548</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地方资金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体目标</w:t>
            </w:r>
          </w:p>
        </w:tc>
        <w:tc>
          <w:tcPr>
            <w:tcW w:w="40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年初设定目标</w:t>
            </w:r>
          </w:p>
        </w:tc>
        <w:tc>
          <w:tcPr>
            <w:tcW w:w="42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c>
          <w:tcPr>
            <w:tcW w:w="428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健康档案建档数3695。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健康档案建档率90%。</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健康档案建档数3695，90%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稳定提高使用率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健康教育设置健康教育宣传栏13期，健康教育咨询活动举办9次，健康教育讲座开展12次</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健康教育设置健康教育宣传栏13期，健康教育宣传活动举办9次，健康教育讲座开展12次</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健康教育设置健康教育宣传栏13期，健康教育咨询活动举办9次，健康教育讲座开展12次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加强健康教育讲座的开展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传染病报告发病率25/10万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传染病报告发病率25/10万</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传染病报告发病率25/10万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65岁以上的老年人规范管理率99%（应管682人实际管理677）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65岁以上的老年人规范管理率99%</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65岁以上的老年人规范管理率99%（应管682人实际管理677）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加强老年人规范管理，及时完成年度体检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高血压患者管理率91.34%（管理277人，规范管理253）、2型糖尿病患者管理率100％（管理22人，规范管理22）。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高血压患者管理率91.34%、2型糖尿病患者管理率100％</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高血压患者管理率91.34%（管理277人，规范管理253）、2型糖尿病患者管理率100％（管理22人，规范管理22）。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严重精神障碍患者规范管理率84.62%（应管13人，规范管理11）。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严重精神障碍患者规范管理率84.62%</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严重精神障碍患者规范管理率84.62%（应管13人，规范管理11）。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加强重精患者服药率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孕产妇系统管理率达100%。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孕产妇系统管理率达100%。</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提高早孕建册率及产后访视率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0-6岁儿童系统管理率达到85%。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0-6岁儿童系统管理率达到85%。</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0-6岁儿童系统管理率达到85%。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加强新生儿访视及0-6岁儿童健康管理。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项目完成时限</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城乡居民公共卫生差距</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居民健康保健意识和健康知识知晓率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建档立卡贫困人口健康保健意识和健康知识知晓率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基本公共卫生服务水平</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居民满意度、建档立卡贫困户满意度。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tbl>
      <w:tblPr>
        <w:tblStyle w:val="15"/>
        <w:tblW w:w="8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537"/>
        <w:gridCol w:w="616"/>
        <w:gridCol w:w="1479"/>
        <w:gridCol w:w="1505"/>
        <w:gridCol w:w="1479"/>
        <w:gridCol w:w="616"/>
        <w:gridCol w:w="1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33"/>
                <w:lang w:val="en-US" w:eastAsia="zh-CN" w:bidi="ar"/>
              </w:rPr>
              <w:t>附件</w:t>
            </w:r>
            <w:r>
              <w:rPr>
                <w:rStyle w:val="34"/>
                <w:rFonts w:eastAsia="宋体"/>
                <w:lang w:val="en-US" w:eastAsia="zh-CN" w:bidi="ar"/>
              </w:rPr>
              <w:t>2</w:t>
            </w:r>
          </w:p>
        </w:tc>
        <w:tc>
          <w:tcPr>
            <w:tcW w:w="556"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504"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609"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4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9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32"/>
                <w:szCs w:val="32"/>
                <w:u w:val="none"/>
                <w:lang w:val="en-US" w:eastAsia="zh-CN" w:bidi="ar"/>
              </w:rPr>
              <w:t>转移支付区域（项目）绩效目标自评表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393"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67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基本药物制度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67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松潘县卫生健康局</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各基层医疗机构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6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预算执行率（B/A×100%</w:t>
            </w:r>
            <w:r>
              <w:rPr>
                <w:rFonts w:hint="eastAsia" w:ascii="宋体" w:hAnsi="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7.1371</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3.3904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5"/>
                <w:lang w:val="en-US" w:eastAsia="zh-CN" w:bidi="ar"/>
              </w:rPr>
              <w:t xml:space="preserve"> </w:t>
            </w:r>
            <w:r>
              <w:rPr>
                <w:rStyle w:val="36"/>
                <w:lang w:val="en-US" w:eastAsia="zh-CN" w:bidi="ar"/>
              </w:rPr>
              <w:t>其中：中央财政资金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7.1371</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3.3904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6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5"/>
                <w:lang w:val="en-US" w:eastAsia="zh-CN" w:bidi="ar"/>
              </w:rPr>
              <w:t xml:space="preserve"> </w:t>
            </w:r>
            <w:r>
              <w:rPr>
                <w:rStyle w:val="37"/>
                <w:rFonts w:ascii="宋体" w:hAnsi="宋体" w:eastAsia="宋体" w:cs="宋体"/>
                <w:sz w:val="24"/>
                <w:szCs w:val="24"/>
                <w:lang w:val="en-US" w:eastAsia="zh-CN" w:bidi="ar"/>
              </w:rPr>
              <w:t xml:space="preserve">      地方资金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8"/>
                <w:lang w:val="en-US" w:eastAsia="zh-CN" w:bidi="ar"/>
              </w:rPr>
              <w:t xml:space="preserve">      </w:t>
            </w:r>
            <w:r>
              <w:rPr>
                <w:rStyle w:val="36"/>
                <w:lang w:val="en-US" w:eastAsia="zh-CN" w:bidi="ar"/>
              </w:rPr>
              <w:t xml:space="preserve">  其他资金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6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6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6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5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4278"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3559"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基层医疗卫生机构按要求实施基本药物制度。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基本药物制度在村卫生室顺利实施。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基层医疗卫生机构服务质量进一步提高。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紧密型医共体等基层卫生综合改革在县域内稳步推进。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对基本药物制度补助满意度进一步提高。</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政府办基层医疗卫生机构实施国家基本药物制度覆盖率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村卫生室实施国家基本药物制度覆盖率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乡村医生收入</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国家基本药物制度在基层持续实施</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医共体建设符合“紧密型</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控费型 </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同质化</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促分工”发展方向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医院医务人员满意度</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78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请在此处简要说明中央巡视、各级审计和财政监督中发现的问题及其所涉及的金额，如没有请填无。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393"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93"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393"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tbl>
    <w:p>
      <w:pPr>
        <w:pStyle w:val="2"/>
      </w:pPr>
    </w:p>
    <w:p>
      <w:pPr>
        <w:pStyle w:val="2"/>
      </w:pPr>
    </w:p>
    <w:p>
      <w:pPr>
        <w:pStyle w:val="3"/>
        <w:jc w:val="center"/>
        <w:rPr>
          <w:rFonts w:ascii="黑体" w:hAnsi="黑体" w:eastAsia="黑体" w:cs="黑体"/>
        </w:rPr>
      </w:pPr>
      <w:bookmarkStart w:id="83" w:name="_Toc15377225"/>
      <w:bookmarkStart w:id="84" w:name="_Toc111208509"/>
      <w:bookmarkStart w:id="85" w:name="_Toc25165"/>
      <w:bookmarkStart w:id="86" w:name="_Toc5924"/>
      <w:r>
        <w:rPr>
          <w:rFonts w:hint="eastAsia" w:ascii="黑体" w:hAnsi="黑体" w:eastAsia="黑体" w:cs="黑体"/>
        </w:rPr>
        <w:t>第三部分 名词解释</w:t>
      </w:r>
      <w:bookmarkEnd w:id="83"/>
      <w:bookmarkEnd w:id="84"/>
      <w:bookmarkEnd w:id="85"/>
      <w:bookmarkEnd w:id="86"/>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11.卫生健康支出（210）基层医疗卫生机构（21003）乡镇卫生院（2100302）：反映用于乡镇卫生院的支出。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20.财政应返还额度：为行政事业单位会计核算科目，用于核算实行国库集中支付的行政事业单位应收财政返还的资金额度。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p>
      <w:pPr>
        <w:pStyle w:val="3"/>
        <w:jc w:val="center"/>
        <w:rPr>
          <w:rFonts w:ascii="黑体" w:hAnsi="黑体" w:eastAsia="黑体" w:cs="黑体"/>
        </w:rPr>
      </w:pPr>
      <w:bookmarkStart w:id="87" w:name="_Toc13946"/>
      <w:bookmarkStart w:id="88" w:name="_Toc111208510"/>
      <w:bookmarkStart w:id="89" w:name="_Toc6707"/>
      <w:r>
        <w:rPr>
          <w:rFonts w:hint="eastAsia" w:ascii="黑体" w:hAnsi="黑体" w:eastAsia="黑体" w:cs="黑体"/>
        </w:rPr>
        <w:t>第四部分 附件</w:t>
      </w:r>
      <w:bookmarkEnd w:id="87"/>
      <w:bookmarkEnd w:id="88"/>
      <w:bookmarkEnd w:id="89"/>
    </w:p>
    <w:p>
      <w:pPr>
        <w:pStyle w:val="2"/>
      </w:pPr>
      <w:r>
        <w:rPr>
          <w:rFonts w:hint="eastAsia"/>
        </w:rPr>
        <w:t xml:space="preserve"> </w:t>
      </w:r>
    </w:p>
    <w:p>
      <w:pPr>
        <w:pStyle w:val="3"/>
        <w:jc w:val="center"/>
        <w:rPr>
          <w:rFonts w:ascii="黑体" w:hAnsi="黑体" w:eastAsia="黑体" w:cs="黑体"/>
        </w:rPr>
      </w:pPr>
      <w:bookmarkStart w:id="90" w:name="_Toc5823"/>
      <w:bookmarkStart w:id="91" w:name="_Toc111208512"/>
      <w:bookmarkStart w:id="92" w:name="_Toc79163635"/>
      <w:bookmarkStart w:id="93" w:name="_Toc79163885"/>
      <w:bookmarkStart w:id="94" w:name="_Toc3397"/>
      <w:r>
        <w:rPr>
          <w:rFonts w:hint="eastAsia" w:ascii="黑体" w:hAnsi="黑体" w:eastAsia="黑体" w:cs="黑体"/>
        </w:rPr>
        <w:t>第五部分 附表</w:t>
      </w:r>
      <w:bookmarkEnd w:id="90"/>
      <w:bookmarkEnd w:id="91"/>
      <w:bookmarkEnd w:id="92"/>
      <w:bookmarkEnd w:id="93"/>
      <w:bookmarkEnd w:id="94"/>
    </w:p>
    <w:p>
      <w:pPr>
        <w:pStyle w:val="4"/>
        <w:ind w:firstLine="643" w:firstLineChars="200"/>
        <w:rPr>
          <w:rFonts w:hint="eastAsia" w:ascii="黑体" w:eastAsia="黑体" w:cs="Times New Roman"/>
          <w:bCs w:val="0"/>
          <w:color w:val="000000"/>
        </w:rPr>
      </w:pPr>
      <w:bookmarkStart w:id="95" w:name="_Toc30739"/>
      <w:r>
        <w:rPr>
          <w:rFonts w:hint="eastAsia" w:ascii="黑体" w:eastAsia="黑体" w:cs="Times New Roman"/>
          <w:bCs w:val="0"/>
          <w:color w:val="000000"/>
        </w:rPr>
        <w:t>一、收入支出决算总表</w:t>
      </w:r>
      <w:bookmarkEnd w:id="95"/>
    </w:p>
    <w:p>
      <w:pPr>
        <w:pStyle w:val="4"/>
        <w:ind w:firstLine="643" w:firstLineChars="200"/>
        <w:rPr>
          <w:rFonts w:hint="eastAsia" w:ascii="黑体" w:eastAsia="黑体" w:cs="Times New Roman"/>
          <w:bCs w:val="0"/>
          <w:color w:val="000000"/>
        </w:rPr>
      </w:pPr>
      <w:bookmarkStart w:id="96" w:name="_Toc17437"/>
      <w:r>
        <w:rPr>
          <w:rFonts w:hint="eastAsia" w:ascii="黑体" w:eastAsia="黑体" w:cs="Times New Roman"/>
          <w:bCs w:val="0"/>
          <w:color w:val="000000"/>
        </w:rPr>
        <w:t>二、收入决算表</w:t>
      </w:r>
      <w:bookmarkEnd w:id="96"/>
    </w:p>
    <w:p>
      <w:pPr>
        <w:pStyle w:val="4"/>
        <w:ind w:firstLine="643" w:firstLineChars="200"/>
        <w:rPr>
          <w:rFonts w:hint="eastAsia" w:ascii="黑体" w:eastAsia="黑体" w:cs="Times New Roman"/>
          <w:bCs w:val="0"/>
          <w:color w:val="000000"/>
        </w:rPr>
      </w:pPr>
      <w:bookmarkStart w:id="97" w:name="_Toc28957"/>
      <w:r>
        <w:rPr>
          <w:rFonts w:hint="eastAsia" w:ascii="黑体" w:eastAsia="黑体" w:cs="Times New Roman"/>
          <w:bCs w:val="0"/>
          <w:color w:val="000000"/>
        </w:rPr>
        <w:t>三、支出决算表</w:t>
      </w:r>
      <w:bookmarkEnd w:id="97"/>
    </w:p>
    <w:p>
      <w:pPr>
        <w:pStyle w:val="4"/>
        <w:ind w:firstLine="643" w:firstLineChars="200"/>
        <w:rPr>
          <w:rFonts w:hint="eastAsia" w:ascii="黑体" w:eastAsia="黑体" w:cs="Times New Roman"/>
          <w:bCs w:val="0"/>
          <w:color w:val="000000"/>
        </w:rPr>
      </w:pPr>
      <w:bookmarkStart w:id="98" w:name="_Toc21304"/>
      <w:r>
        <w:rPr>
          <w:rFonts w:hint="eastAsia" w:ascii="黑体" w:eastAsia="黑体" w:cs="Times New Roman"/>
          <w:bCs w:val="0"/>
          <w:color w:val="000000"/>
        </w:rPr>
        <w:t>四、财政拨款收入支出决算总表</w:t>
      </w:r>
      <w:bookmarkEnd w:id="98"/>
    </w:p>
    <w:p>
      <w:pPr>
        <w:pStyle w:val="4"/>
        <w:ind w:firstLine="643" w:firstLineChars="200"/>
        <w:rPr>
          <w:rFonts w:hint="eastAsia" w:ascii="黑体" w:eastAsia="黑体" w:cs="Times New Roman"/>
          <w:bCs w:val="0"/>
          <w:color w:val="000000"/>
        </w:rPr>
      </w:pPr>
      <w:bookmarkStart w:id="99" w:name="_Toc23621"/>
      <w:r>
        <w:rPr>
          <w:rFonts w:hint="eastAsia" w:ascii="黑体" w:eastAsia="黑体" w:cs="Times New Roman"/>
          <w:bCs w:val="0"/>
          <w:color w:val="000000"/>
        </w:rPr>
        <w:t>五、财政拨款支出决算明细表</w:t>
      </w:r>
      <w:bookmarkEnd w:id="99"/>
    </w:p>
    <w:p>
      <w:pPr>
        <w:pStyle w:val="4"/>
        <w:ind w:firstLine="643" w:firstLineChars="200"/>
        <w:rPr>
          <w:rFonts w:hint="eastAsia" w:ascii="黑体" w:eastAsia="黑体" w:cs="Times New Roman"/>
          <w:bCs w:val="0"/>
          <w:color w:val="000000"/>
        </w:rPr>
      </w:pPr>
      <w:bookmarkStart w:id="100" w:name="_Toc13041"/>
      <w:r>
        <w:rPr>
          <w:rFonts w:hint="eastAsia" w:ascii="黑体" w:eastAsia="黑体" w:cs="Times New Roman"/>
          <w:bCs w:val="0"/>
          <w:color w:val="000000"/>
        </w:rPr>
        <w:t>六、一般公共预算财政拨款支出决算表</w:t>
      </w:r>
      <w:bookmarkEnd w:id="100"/>
    </w:p>
    <w:p>
      <w:pPr>
        <w:pStyle w:val="4"/>
        <w:ind w:firstLine="643" w:firstLineChars="200"/>
        <w:rPr>
          <w:rFonts w:hint="eastAsia" w:ascii="黑体" w:eastAsia="黑体" w:cs="Times New Roman"/>
          <w:bCs w:val="0"/>
          <w:color w:val="000000"/>
        </w:rPr>
      </w:pPr>
      <w:bookmarkStart w:id="101" w:name="_Toc6567"/>
      <w:r>
        <w:rPr>
          <w:rFonts w:hint="eastAsia" w:ascii="黑体" w:eastAsia="黑体" w:cs="Times New Roman"/>
          <w:bCs w:val="0"/>
          <w:color w:val="000000"/>
        </w:rPr>
        <w:t>七、一般公共预算财政拨款支出决算明细表</w:t>
      </w:r>
      <w:bookmarkEnd w:id="101"/>
    </w:p>
    <w:p>
      <w:pPr>
        <w:pStyle w:val="4"/>
        <w:ind w:firstLine="643" w:firstLineChars="200"/>
        <w:rPr>
          <w:rFonts w:hint="eastAsia" w:ascii="黑体" w:eastAsia="黑体" w:cs="Times New Roman"/>
          <w:bCs w:val="0"/>
          <w:color w:val="000000"/>
        </w:rPr>
      </w:pPr>
      <w:bookmarkStart w:id="102" w:name="_Toc9418"/>
      <w:r>
        <w:rPr>
          <w:rFonts w:hint="eastAsia" w:ascii="黑体" w:eastAsia="黑体" w:cs="Times New Roman"/>
          <w:bCs w:val="0"/>
          <w:color w:val="000000"/>
        </w:rPr>
        <w:t>八、一般公共预算财政拨款基本支出决算表</w:t>
      </w:r>
      <w:bookmarkEnd w:id="102"/>
    </w:p>
    <w:p>
      <w:pPr>
        <w:pStyle w:val="4"/>
        <w:ind w:firstLine="643" w:firstLineChars="200"/>
        <w:rPr>
          <w:rFonts w:hint="eastAsia" w:ascii="黑体" w:eastAsia="黑体" w:cs="Times New Roman"/>
          <w:bCs w:val="0"/>
          <w:color w:val="000000"/>
        </w:rPr>
      </w:pPr>
      <w:bookmarkStart w:id="103" w:name="_Toc1858"/>
      <w:r>
        <w:rPr>
          <w:rFonts w:hint="eastAsia" w:ascii="黑体" w:eastAsia="黑体" w:cs="Times New Roman"/>
          <w:bCs w:val="0"/>
          <w:color w:val="000000"/>
        </w:rPr>
        <w:t>九、一般公共预算财政拨款项目支出决算表</w:t>
      </w:r>
      <w:bookmarkEnd w:id="103"/>
    </w:p>
    <w:p>
      <w:pPr>
        <w:pStyle w:val="4"/>
        <w:ind w:firstLine="643" w:firstLineChars="200"/>
        <w:rPr>
          <w:rFonts w:hint="eastAsia" w:ascii="黑体" w:eastAsia="黑体" w:cs="Times New Roman"/>
          <w:bCs w:val="0"/>
          <w:color w:val="000000"/>
        </w:rPr>
      </w:pPr>
      <w:bookmarkStart w:id="104" w:name="_Toc20259"/>
      <w:r>
        <w:rPr>
          <w:rFonts w:hint="eastAsia" w:ascii="黑体" w:eastAsia="黑体" w:cs="Times New Roman"/>
          <w:bCs w:val="0"/>
          <w:color w:val="000000"/>
        </w:rPr>
        <w:t>十、政府性基金预算财政拨款收入支出决算表</w:t>
      </w:r>
      <w:bookmarkEnd w:id="104"/>
    </w:p>
    <w:p>
      <w:pPr>
        <w:pStyle w:val="4"/>
        <w:ind w:firstLine="643" w:firstLineChars="200"/>
        <w:rPr>
          <w:rFonts w:hint="eastAsia" w:ascii="黑体" w:eastAsia="黑体" w:cs="Times New Roman"/>
          <w:bCs w:val="0"/>
          <w:color w:val="000000"/>
        </w:rPr>
      </w:pPr>
      <w:bookmarkStart w:id="105" w:name="_Toc30930"/>
      <w:r>
        <w:rPr>
          <w:rFonts w:hint="eastAsia" w:ascii="黑体" w:eastAsia="黑体" w:cs="Times New Roman"/>
          <w:bCs w:val="0"/>
          <w:color w:val="000000"/>
        </w:rPr>
        <w:t>十一、国有资本经营预算财政拨款收入支出决算表</w:t>
      </w:r>
      <w:bookmarkEnd w:id="105"/>
    </w:p>
    <w:p>
      <w:pPr>
        <w:pStyle w:val="4"/>
        <w:ind w:firstLine="643" w:firstLineChars="200"/>
        <w:rPr>
          <w:rFonts w:hint="eastAsia" w:ascii="黑体" w:eastAsia="黑体" w:cs="Times New Roman"/>
          <w:bCs w:val="0"/>
          <w:color w:val="000000"/>
        </w:rPr>
      </w:pPr>
      <w:bookmarkStart w:id="106" w:name="_Toc19008"/>
      <w:r>
        <w:rPr>
          <w:rFonts w:hint="eastAsia" w:ascii="黑体" w:eastAsia="黑体" w:cs="Times New Roman"/>
          <w:bCs w:val="0"/>
          <w:color w:val="000000"/>
        </w:rPr>
        <w:t>十二、国有资本经营预算财政拨款支出决算表</w:t>
      </w:r>
      <w:bookmarkEnd w:id="106"/>
    </w:p>
    <w:p>
      <w:pPr>
        <w:pStyle w:val="4"/>
        <w:ind w:firstLine="643" w:firstLineChars="200"/>
        <w:rPr>
          <w:rFonts w:ascii="黑体" w:eastAsia="黑体" w:cs="Times New Roman"/>
          <w:b w:val="0"/>
          <w:color w:val="000000"/>
        </w:rPr>
      </w:pPr>
      <w:bookmarkStart w:id="107" w:name="_Toc13110"/>
      <w:r>
        <w:rPr>
          <w:rFonts w:hint="eastAsia" w:ascii="黑体" w:eastAsia="黑体" w:cs="Times New Roman"/>
          <w:bCs w:val="0"/>
          <w:color w:val="000000"/>
        </w:rPr>
        <w:t>十三、财政拨款“三公”经费支出决算表</w:t>
      </w:r>
      <w:bookmarkEnd w:id="10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671365"/>
    <w:rsid w:val="089C4B49"/>
    <w:rsid w:val="09081517"/>
    <w:rsid w:val="091B747D"/>
    <w:rsid w:val="0A19737C"/>
    <w:rsid w:val="0B7218AA"/>
    <w:rsid w:val="0B99373B"/>
    <w:rsid w:val="0BA37CB5"/>
    <w:rsid w:val="0D0429D6"/>
    <w:rsid w:val="0D093B48"/>
    <w:rsid w:val="0D322E51"/>
    <w:rsid w:val="0D6C338E"/>
    <w:rsid w:val="0DB37F58"/>
    <w:rsid w:val="0F5E6610"/>
    <w:rsid w:val="0FBB7F44"/>
    <w:rsid w:val="100915A8"/>
    <w:rsid w:val="10C055FF"/>
    <w:rsid w:val="1153127C"/>
    <w:rsid w:val="11805FC9"/>
    <w:rsid w:val="11D56DF6"/>
    <w:rsid w:val="11ED6591"/>
    <w:rsid w:val="13367661"/>
    <w:rsid w:val="16BB723D"/>
    <w:rsid w:val="17BC7656"/>
    <w:rsid w:val="17EA348C"/>
    <w:rsid w:val="1840212F"/>
    <w:rsid w:val="184656CF"/>
    <w:rsid w:val="19943114"/>
    <w:rsid w:val="1AB026BC"/>
    <w:rsid w:val="1ABB32B6"/>
    <w:rsid w:val="1BF70747"/>
    <w:rsid w:val="1C06153F"/>
    <w:rsid w:val="1C986C96"/>
    <w:rsid w:val="1D7371C3"/>
    <w:rsid w:val="1DDC2BB3"/>
    <w:rsid w:val="1E34479D"/>
    <w:rsid w:val="1E7900F3"/>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9754D9"/>
    <w:rsid w:val="28BF6D42"/>
    <w:rsid w:val="29FD04D3"/>
    <w:rsid w:val="2C971CDE"/>
    <w:rsid w:val="2CAE1BBE"/>
    <w:rsid w:val="2CCF04B2"/>
    <w:rsid w:val="2E4C04E0"/>
    <w:rsid w:val="2F803D16"/>
    <w:rsid w:val="31810DA9"/>
    <w:rsid w:val="31903F88"/>
    <w:rsid w:val="319F7F4E"/>
    <w:rsid w:val="329448A6"/>
    <w:rsid w:val="32F45598"/>
    <w:rsid w:val="35244754"/>
    <w:rsid w:val="363741F8"/>
    <w:rsid w:val="364D41F6"/>
    <w:rsid w:val="36FD0156"/>
    <w:rsid w:val="37CD1C50"/>
    <w:rsid w:val="38F8371D"/>
    <w:rsid w:val="39226F5F"/>
    <w:rsid w:val="39902098"/>
    <w:rsid w:val="3A3A0F35"/>
    <w:rsid w:val="3A4E1148"/>
    <w:rsid w:val="3B09765B"/>
    <w:rsid w:val="3C8D2F9D"/>
    <w:rsid w:val="3CE0510E"/>
    <w:rsid w:val="3D1927CA"/>
    <w:rsid w:val="3D1E4B3E"/>
    <w:rsid w:val="3D8344ED"/>
    <w:rsid w:val="3E03620E"/>
    <w:rsid w:val="3E26410E"/>
    <w:rsid w:val="3E343C22"/>
    <w:rsid w:val="3F512FA9"/>
    <w:rsid w:val="3FAC4683"/>
    <w:rsid w:val="3FEA5DFB"/>
    <w:rsid w:val="401C35B7"/>
    <w:rsid w:val="4119235A"/>
    <w:rsid w:val="41677310"/>
    <w:rsid w:val="422C2C46"/>
    <w:rsid w:val="4251506E"/>
    <w:rsid w:val="43684120"/>
    <w:rsid w:val="444F07DA"/>
    <w:rsid w:val="44601E28"/>
    <w:rsid w:val="46E100CE"/>
    <w:rsid w:val="475E72DC"/>
    <w:rsid w:val="47F514AF"/>
    <w:rsid w:val="4839282C"/>
    <w:rsid w:val="48FD75BD"/>
    <w:rsid w:val="4A1D1BE7"/>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9F60BE5"/>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character" w:customStyle="1" w:styleId="33">
    <w:name w:val="font121"/>
    <w:basedOn w:val="16"/>
    <w:qFormat/>
    <w:uiPriority w:val="0"/>
    <w:rPr>
      <w:rFonts w:ascii="黑体" w:hAnsi="宋体" w:eastAsia="黑体" w:cs="黑体"/>
      <w:color w:val="000000"/>
      <w:sz w:val="28"/>
      <w:szCs w:val="28"/>
      <w:u w:val="none"/>
    </w:rPr>
  </w:style>
  <w:style w:type="character" w:customStyle="1" w:styleId="34">
    <w:name w:val="font41"/>
    <w:basedOn w:val="16"/>
    <w:qFormat/>
    <w:uiPriority w:val="0"/>
    <w:rPr>
      <w:rFonts w:hint="default" w:ascii="Times New Roman" w:hAnsi="Times New Roman" w:cs="Times New Roman"/>
      <w:color w:val="000000"/>
      <w:sz w:val="28"/>
      <w:szCs w:val="28"/>
      <w:u w:val="none"/>
    </w:rPr>
  </w:style>
  <w:style w:type="character" w:customStyle="1" w:styleId="35">
    <w:name w:val="font21"/>
    <w:basedOn w:val="16"/>
    <w:qFormat/>
    <w:uiPriority w:val="0"/>
    <w:rPr>
      <w:rFonts w:hint="eastAsia" w:ascii="宋体" w:hAnsi="宋体" w:eastAsia="宋体" w:cs="宋体"/>
      <w:color w:val="000000"/>
      <w:sz w:val="20"/>
      <w:szCs w:val="20"/>
      <w:u w:val="none"/>
    </w:rPr>
  </w:style>
  <w:style w:type="character" w:customStyle="1" w:styleId="36">
    <w:name w:val="font131"/>
    <w:basedOn w:val="16"/>
    <w:qFormat/>
    <w:uiPriority w:val="0"/>
    <w:rPr>
      <w:rFonts w:hint="eastAsia" w:ascii="宋体" w:hAnsi="宋体" w:eastAsia="宋体" w:cs="宋体"/>
      <w:color w:val="000000"/>
      <w:sz w:val="20"/>
      <w:szCs w:val="20"/>
      <w:u w:val="none"/>
    </w:rPr>
  </w:style>
  <w:style w:type="character" w:customStyle="1" w:styleId="37">
    <w:name w:val="font112"/>
    <w:basedOn w:val="16"/>
    <w:qFormat/>
    <w:uiPriority w:val="0"/>
    <w:rPr>
      <w:rFonts w:hint="eastAsia" w:ascii="宋体" w:hAnsi="宋体" w:eastAsia="宋体" w:cs="宋体"/>
      <w:color w:val="000000"/>
      <w:sz w:val="20"/>
      <w:szCs w:val="20"/>
      <w:u w:val="none"/>
    </w:rPr>
  </w:style>
  <w:style w:type="character" w:customStyle="1" w:styleId="38">
    <w:name w:val="font91"/>
    <w:basedOn w:val="16"/>
    <w:qFormat/>
    <w:uiPriority w:val="0"/>
    <w:rPr>
      <w:rFonts w:hint="eastAsia" w:ascii="宋体" w:hAnsi="宋体" w:eastAsia="宋体" w:cs="宋体"/>
      <w:color w:val="000000"/>
      <w:sz w:val="18"/>
      <w:szCs w:val="18"/>
      <w:u w:val="none"/>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{0,341.52}</c:f>
              <c:numCache>
                <c:formatCode>General</c:formatCode>
                <c:ptCount val="2"/>
                <c:pt idx="0">
                  <c:v>0</c:v>
                </c:pt>
                <c:pt idx="1">
                  <c:v>341.52</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{0,341.52}</c:f>
              <c:numCache>
                <c:formatCode>General</c:formatCode>
                <c:ptCount val="2"/>
                <c:pt idx="0">
                  <c:v>0</c:v>
                </c:pt>
                <c:pt idx="1">
                  <c:v>341.52</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{3415197.66,0,0,0,0,0,0,0}</c:f>
              <c:numCache>
                <c:formatCode>General</c:formatCode>
                <c:ptCount val="8"/>
                <c:pt idx="0">
                  <c:v>3415197.66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{3190745.28,224452.38,0,0,0}</c:f>
              <c:numCache>
                <c:formatCode>General</c:formatCode>
                <c:ptCount val="5"/>
                <c:pt idx="0">
                  <c:v>3190745.28</c:v>
                </c:pt>
                <c:pt idx="1">
                  <c:v>224452.38</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{0,341.52}</c:f>
              <c:numCache>
                <c:formatCode>General</c:formatCode>
                <c:ptCount val="2"/>
                <c:pt idx="0">
                  <c:v>0</c:v>
                </c:pt>
                <c:pt idx="1">
                  <c:v>341.52</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{0,341.52}</c:f>
              <c:numCache>
                <c:formatCode>General</c:formatCode>
                <c:ptCount val="2"/>
                <c:pt idx="0">
                  <c:v>0</c:v>
                </c:pt>
                <c:pt idx="1">
                  <c:v>341.52</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{341.52}</c:f>
              <c:numCache>
                <c:formatCode>General</c:formatCode>
                <c:ptCount val="1"/>
                <c:pt idx="0">
                  <c:v>341.52</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{40.45,277.25,23.82}</c:f>
              <c:numCache>
                <c:formatCode>General</c:formatCode>
                <c:ptCount val="3"/>
                <c:pt idx="0">
                  <c:v>40.45</c:v>
                </c:pt>
                <c:pt idx="1">
                  <c:v>277.25</c:v>
                </c:pt>
                <c:pt idx="2">
                  <c:v>23.82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7623</Words>
  <Characters>8713</Characters>
  <Lines>51</Lines>
  <Paragraphs>14</Paragraphs>
  <TotalTime>1</TotalTime>
  <ScaleCrop>false</ScaleCrop>
  <LinksUpToDate>false</LinksUpToDate>
  <CharactersWithSpaces>8896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2023-09-09T02:59:00Z</cp:lastPrinted>
  <dcterms:modified xsi:type="dcterms:W3CDTF">2023-09-13T07:31:46Z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ACB7A0B6D4554A93989D097F6FB735AA_13</vt:lpwstr>
  </property>
</Properties>
</file>