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425"/>
      <w:bookmarkStart w:id="1" w:name="_Toc15396475"/>
      <w:bookmarkStart w:id="2" w:name="_Toc15377193"/>
      <w:bookmarkStart w:id="3" w:name="_Toc15378441"/>
      <w:bookmarkStart w:id="4" w:name="_Toc15396597"/>
      <w:bookmarkStart w:id="5" w:name="_Toc15306267"/>
    </w:p>
    <w:p>
      <w:pPr>
        <w:pStyle w:val="5"/>
        <w:rPr>
          <w:rFonts w:asciiTheme="minorEastAsia" w:hAnsiTheme="minorEastAsia" w:eastAsiaTheme="minorEastAsia"/>
          <w:b/>
          <w:sz w:val="72"/>
          <w:szCs w:val="72"/>
        </w:rPr>
      </w:pPr>
    </w:p>
    <w:p>
      <w:pPr>
        <w:pStyle w:val="5"/>
        <w:rPr>
          <w:rFonts w:asciiTheme="minorEastAsia" w:hAnsiTheme="minorEastAsia" w:eastAsiaTheme="minorEastAsia"/>
          <w:b/>
          <w:sz w:val="72"/>
          <w:szCs w:val="72"/>
        </w:rPr>
      </w:pPr>
    </w:p>
    <w:p>
      <w:pPr>
        <w:pStyle w:val="5"/>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476"/>
      <w:bookmarkStart w:id="7" w:name="_Toc15306268"/>
      <w:bookmarkStart w:id="8" w:name="_Toc15377426"/>
      <w:bookmarkStart w:id="9" w:name="_Toc15396598"/>
      <w:bookmarkStart w:id="10" w:name="_Toc15377194"/>
      <w:bookmarkStart w:id="11" w:name="_Toc15378442"/>
      <w:r>
        <w:rPr>
          <w:rFonts w:asciiTheme="minorEastAsia" w:hAnsiTheme="minorEastAsia" w:eastAsiaTheme="minorEastAsia"/>
          <w:b/>
          <w:sz w:val="72"/>
          <w:szCs w:val="72"/>
        </w:rPr>
        <w:t>阿坝州松潘县镇江关镇中心卫生院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tabs>
          <w:tab w:val="left" w:pos="3600"/>
        </w:tabs>
        <w:ind w:left="0" w:leftChars="0" w:firstLine="320" w:firstLineChars="100"/>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ind w:firstLine="3960" w:firstLineChars="1100"/>
        <w:jc w:val="both"/>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_Toc28280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_Toc28280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_Toc29382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_Toc29382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_Toc7982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_Toc7982 \h </w:instrText>
      </w:r>
      <w:r>
        <w:fldChar w:fldCharType="separate"/>
      </w:r>
      <w:r>
        <w:t>4</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_Toc3119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_Toc3119 \h </w:instrText>
      </w:r>
      <w:r>
        <w:fldChar w:fldCharType="separate"/>
      </w:r>
      <w:r>
        <w:t>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_Toc21486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_Toc21486 \h </w:instrText>
      </w:r>
      <w:r>
        <w:fldChar w:fldCharType="separate"/>
      </w:r>
      <w:r>
        <w:t>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_Toc24609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_Toc24609 \h </w:instrText>
      </w:r>
      <w:r>
        <w:fldChar w:fldCharType="separate"/>
      </w:r>
      <w:r>
        <w:t>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_Toc8745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_Toc8745 \h </w:instrText>
      </w:r>
      <w:r>
        <w:fldChar w:fldCharType="separate"/>
      </w:r>
      <w:r>
        <w:t>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_Toc13661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_Toc13661 \h </w:instrText>
      </w:r>
      <w:r>
        <w:fldChar w:fldCharType="separate"/>
      </w:r>
      <w:r>
        <w:t>7</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_Toc2126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_Toc2126 \h </w:instrText>
      </w:r>
      <w:r>
        <w:fldChar w:fldCharType="separate"/>
      </w:r>
      <w:r>
        <w:t>8</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_Toc24703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_Toc24703 \h </w:instrText>
      </w:r>
      <w:r>
        <w:fldChar w:fldCharType="separate"/>
      </w:r>
      <w:r>
        <w:t>11</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_Toc16585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_Toc16585 \h </w:instrText>
      </w:r>
      <w:r>
        <w:fldChar w:fldCharType="separate"/>
      </w:r>
      <w:r>
        <w:t>11</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_Toc4484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_Toc4484 \h </w:instrText>
      </w:r>
      <w:r>
        <w:fldChar w:fldCharType="separate"/>
      </w:r>
      <w:r>
        <w:t>13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_Toc1532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_Toc1532 \h </w:instrText>
      </w:r>
      <w:r>
        <w:fldChar w:fldCharType="separate"/>
      </w:r>
      <w:r>
        <w:t>13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_Toc587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_Toc587 \h </w:instrText>
      </w:r>
      <w:r>
        <w:fldChar w:fldCharType="separate"/>
      </w:r>
      <w:r>
        <w:t>13</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_Toc5924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_Toc5924 \h </w:instrText>
      </w:r>
      <w:r>
        <w:fldChar w:fldCharType="separate"/>
      </w:r>
      <w:r>
        <w:t>14</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_Toc13946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_Toc13946 \h </w:instrText>
      </w:r>
      <w:r>
        <w:fldChar w:fldCharType="separate"/>
      </w:r>
      <w:r>
        <w:t>18</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_Toc3397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_Toc3397 \h </w:instrText>
      </w:r>
      <w:r>
        <w:fldChar w:fldCharType="separate"/>
      </w:r>
      <w:r>
        <w:t>23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_Toc16172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_Toc16172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_Toc18577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_Toc18577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_Toc18759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_Toc18759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_Toc16869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_Toc16869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_Toc13179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_Toc13179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_Toc10578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_Toc10578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_Toc4404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_Toc4404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_Toc16845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_Toc16845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_Toc27130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_Toc27130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_Toc11127 </w:instrText>
      </w:r>
      <w:r>
        <w:rPr>
          <w:smallCaps/>
          <w:szCs w:val="20"/>
        </w:rP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_Toc11127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_Toc16676 </w:instrText>
      </w:r>
      <w:r>
        <w:rPr>
          <w:smallCaps/>
          <w:szCs w:val="20"/>
        </w:rP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_Toc16676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_Toc6435 </w:instrText>
      </w:r>
      <w:r>
        <w:rPr>
          <w:smallCaps/>
          <w:szCs w:val="20"/>
        </w:rP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_Toc6435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_Toc4035 </w:instrText>
      </w:r>
      <w:r>
        <w:rPr>
          <w:smallCaps/>
          <w:szCs w:val="20"/>
        </w:rP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_Toc4035 \h </w:instrText>
      </w:r>
      <w:r>
        <w:fldChar w:fldCharType="separate"/>
      </w:r>
      <w:r>
        <w:rPr>
          <w:b/>
        </w:rPr>
        <w:t>错误！未定义书签。</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_Toc4862 </w:instrText>
      </w:r>
      <w:r>
        <w:rPr>
          <w:smallCaps/>
          <w:szCs w:val="20"/>
        </w:rP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_Toc4862 \h </w:instrText>
      </w:r>
      <w:r>
        <w:fldChar w:fldCharType="separate"/>
      </w:r>
      <w:r>
        <w:rPr>
          <w:b/>
        </w:rPr>
        <w:t>错误！未定义书签。</w:t>
      </w:r>
      <w:r>
        <w:fldChar w:fldCharType="end"/>
      </w:r>
      <w:r>
        <w:rPr>
          <w:smallCaps/>
          <w:szCs w:val="20"/>
        </w:rPr>
        <w:fldChar w:fldCharType="end"/>
      </w:r>
    </w:p>
    <w:p>
      <w:pPr>
        <w:pStyle w:val="5"/>
      </w:pPr>
      <w:r>
        <w:rPr>
          <w:smallCaps/>
          <w:szCs w:val="20"/>
        </w:rPr>
        <w:fldChar w:fldCharType="end"/>
      </w:r>
    </w:p>
    <w:p>
      <w:pPr>
        <w:pStyle w:val="2"/>
        <w:jc w:val="center"/>
        <w:rPr>
          <w:rFonts w:ascii="黑体" w:hAnsi="黑体" w:eastAsia="黑体" w:cs="黑体"/>
          <w:b w:val="0"/>
          <w:bCs w:val="0"/>
        </w:rPr>
      </w:pPr>
      <w:bookmarkStart w:id="13" w:name="_Toc111208495"/>
      <w:bookmarkStart w:id="14" w:name="_Toc28280"/>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3"/>
        <w:ind w:firstLine="643" w:firstLineChars="200"/>
        <w:rPr>
          <w:rFonts w:ascii="黑体" w:eastAsia="黑体" w:cs="Times New Roman"/>
          <w:bCs w:val="0"/>
          <w:color w:val="000000"/>
        </w:rPr>
      </w:pPr>
      <w:bookmarkStart w:id="15" w:name="_Toc111208496"/>
      <w:bookmarkStart w:id="16" w:name="_Toc15377197"/>
      <w:bookmarkStart w:id="17" w:name="_Toc29382"/>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基层乡医疗机构（乡镇卫生院）</w:t>
      </w:r>
      <w:r>
        <w:rPr>
          <w:rFonts w:ascii="仿宋" w:hAnsi="仿宋" w:eastAsia="仿宋"/>
          <w:color w:val="000000"/>
          <w:sz w:val="32"/>
          <w:szCs w:val="32"/>
        </w:rPr>
        <w:cr/>
      </w:r>
      <w:r>
        <w:rPr>
          <w:rFonts w:ascii="仿宋" w:hAnsi="仿宋" w:eastAsia="仿宋"/>
          <w:color w:val="000000"/>
          <w:sz w:val="32"/>
          <w:szCs w:val="32"/>
        </w:rPr>
        <w:t>1、乡镇卫生院以公共卫生服务为主，综合提供预防、保健和基本医疗等服务。</w:t>
      </w:r>
      <w:r>
        <w:rPr>
          <w:rFonts w:ascii="仿宋" w:hAnsi="仿宋" w:eastAsia="仿宋"/>
          <w:color w:val="000000"/>
          <w:sz w:val="32"/>
          <w:szCs w:val="32"/>
        </w:rPr>
        <w:cr/>
      </w:r>
      <w:r>
        <w:rPr>
          <w:rFonts w:ascii="仿宋" w:hAnsi="仿宋" w:eastAsia="仿宋"/>
          <w:color w:val="000000"/>
          <w:sz w:val="32"/>
          <w:szCs w:val="32"/>
        </w:rPr>
        <w:t xml:space="preserve"> 2、加强农村疾病预防控制，做好传染病、地方病防治和疫情等农村突发</w:t>
      </w:r>
      <w:bookmarkStart w:id="76" w:name="_GoBack"/>
      <w:bookmarkEnd w:id="76"/>
      <w:r>
        <w:rPr>
          <w:rFonts w:ascii="仿宋" w:hAnsi="仿宋" w:eastAsia="仿宋"/>
          <w:color w:val="000000"/>
          <w:sz w:val="32"/>
          <w:szCs w:val="32"/>
        </w:rPr>
        <w:t>公共卫生事件报告工作，重点控制严重危害农民身体健康的传染病、地方病、职业病和寄生虫病等重大疾病。</w:t>
      </w:r>
      <w:r>
        <w:rPr>
          <w:rFonts w:ascii="仿宋" w:hAnsi="仿宋" w:eastAsia="仿宋"/>
          <w:color w:val="000000"/>
          <w:sz w:val="32"/>
          <w:szCs w:val="32"/>
        </w:rPr>
        <w:cr/>
      </w:r>
      <w:r>
        <w:rPr>
          <w:rFonts w:ascii="仿宋" w:hAnsi="仿宋" w:eastAsia="仿宋"/>
          <w:color w:val="000000"/>
          <w:sz w:val="32"/>
          <w:szCs w:val="32"/>
        </w:rPr>
        <w:t>　　3、认真执行儿童计划免疫。积极开展慢性非传染性疾病的防治工作。</w:t>
      </w:r>
      <w:r>
        <w:rPr>
          <w:rFonts w:ascii="仿宋" w:hAnsi="仿宋" w:eastAsia="仿宋"/>
          <w:color w:val="000000"/>
          <w:sz w:val="32"/>
          <w:szCs w:val="32"/>
        </w:rPr>
        <w:cr/>
      </w:r>
      <w:r>
        <w:rPr>
          <w:rFonts w:ascii="仿宋" w:hAnsi="仿宋" w:eastAsia="仿宋"/>
          <w:color w:val="000000"/>
          <w:sz w:val="32"/>
          <w:szCs w:val="32"/>
        </w:rPr>
        <w:t>　　4、做好农村孕产妇和儿童保健工作，提高住院分娩率，改善儿童营养状况。</w:t>
      </w:r>
      <w:r>
        <w:rPr>
          <w:rFonts w:ascii="仿宋" w:hAnsi="仿宋" w:eastAsia="仿宋"/>
          <w:color w:val="000000"/>
          <w:sz w:val="32"/>
          <w:szCs w:val="32"/>
        </w:rPr>
        <w:cr/>
      </w:r>
      <w:r>
        <w:rPr>
          <w:rFonts w:ascii="仿宋" w:hAnsi="仿宋" w:eastAsia="仿宋"/>
          <w:color w:val="000000"/>
          <w:sz w:val="32"/>
          <w:szCs w:val="32"/>
        </w:rPr>
        <w:t>　　5、积极做好新型农村合作医疗的服务、计划生育技术指导、康复等工作。</w:t>
      </w:r>
      <w:r>
        <w:rPr>
          <w:rFonts w:ascii="仿宋" w:hAnsi="仿宋" w:eastAsia="仿宋"/>
          <w:color w:val="000000"/>
          <w:sz w:val="32"/>
          <w:szCs w:val="32"/>
        </w:rPr>
        <w:cr/>
      </w:r>
      <w:r>
        <w:rPr>
          <w:rFonts w:ascii="仿宋" w:hAnsi="仿宋" w:eastAsia="仿宋"/>
          <w:color w:val="000000"/>
          <w:sz w:val="32"/>
          <w:szCs w:val="32"/>
        </w:rPr>
        <w:t>　　6、开展爱国卫生运动，普及疾病预防和卫生保健知识，指导群众改善居住、饮食、饮水和环境卫生条件，引导和帮助农民建立良好的卫生习惯。</w:t>
      </w:r>
      <w:bookmarkStart w:id="20" w:name="_Toc15377200"/>
    </w:p>
    <w:p>
      <w:pPr>
        <w:pStyle w:val="3"/>
        <w:ind w:firstLine="643" w:firstLineChars="200"/>
        <w:rPr>
          <w:rFonts w:ascii="黑体" w:eastAsia="黑体" w:cs="Times New Roman"/>
          <w:bCs w:val="0"/>
          <w:color w:val="000000"/>
        </w:rPr>
      </w:pPr>
      <w:bookmarkStart w:id="21" w:name="_Toc111208497"/>
      <w:bookmarkStart w:id="22" w:name="_Toc7982"/>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镇江关镇中心卫生院总面积4000余平方米，建筑面积400余平方米，主要开设有内、外、妇、儿、中医保健、疾病预防科室等。</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2"/>
        <w:jc w:val="center"/>
        <w:rPr>
          <w:rFonts w:ascii="黑体" w:hAnsi="黑体" w:eastAsia="黑体" w:cs="黑体"/>
        </w:rPr>
      </w:pPr>
      <w:bookmarkStart w:id="24" w:name="_Toc3119"/>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3"/>
        <w:ind w:firstLine="643" w:firstLineChars="200"/>
        <w:rPr>
          <w:rFonts w:ascii="黑体" w:eastAsia="黑体" w:cs="Times New Roman"/>
          <w:bCs w:val="0"/>
          <w:color w:val="000000"/>
        </w:rPr>
      </w:pPr>
      <w:bookmarkStart w:id="26" w:name="_Toc15377205"/>
      <w:bookmarkStart w:id="27" w:name="_Toc21486"/>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270.76</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增加270.76</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5"/>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ind w:firstLine="643" w:firstLineChars="200"/>
        <w:rPr>
          <w:rFonts w:ascii="黑体" w:eastAsia="黑体" w:cs="Times New Roman"/>
          <w:bCs w:val="0"/>
          <w:color w:val="000000"/>
        </w:rPr>
      </w:pPr>
      <w:bookmarkStart w:id="29" w:name="_Toc111208500"/>
      <w:bookmarkStart w:id="30" w:name="_Toc15377206"/>
      <w:bookmarkStart w:id="31" w:name="_Toc24609"/>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270.76万元，其中：一般公共预算财政拨款收入270.76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ind w:firstLine="643" w:firstLineChars="200"/>
        <w:rPr>
          <w:rFonts w:ascii="黑体" w:eastAsia="黑体" w:cs="Times New Roman"/>
          <w:bCs w:val="0"/>
          <w:color w:val="000000"/>
        </w:rPr>
      </w:pPr>
      <w:bookmarkStart w:id="32" w:name="_Toc8745"/>
      <w:bookmarkStart w:id="33" w:name="_Toc111208501"/>
      <w:bookmarkStart w:id="34" w:name="_Toc15377207"/>
      <w:r>
        <w:rPr>
          <w:rFonts w:hint="eastAsia" w:ascii="黑体" w:eastAsia="黑体" w:cs="Times New Roman"/>
          <w:bCs w:val="0"/>
          <w:color w:val="000000"/>
        </w:rPr>
        <w:t>三、支出决算情况说明</w:t>
      </w:r>
      <w:bookmarkEnd w:id="32"/>
      <w:bookmarkEnd w:id="33"/>
      <w:bookmarkEnd w:id="34"/>
    </w:p>
    <w:p>
      <w:pPr>
        <w:pStyle w:val="5"/>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270.76</w:t>
      </w:r>
      <w:r>
        <w:rPr>
          <w:rFonts w:ascii="仿宋" w:hAnsi="仿宋" w:eastAsia="仿宋"/>
          <w:color w:val="000000"/>
          <w:sz w:val="32"/>
          <w:szCs w:val="32"/>
        </w:rPr>
        <w:t>万元，其中：基本支出</w:t>
      </w:r>
      <w:r>
        <w:rPr>
          <w:rFonts w:hint="eastAsia" w:ascii="仿宋" w:hAnsi="仿宋" w:eastAsia="仿宋"/>
          <w:color w:val="000000"/>
          <w:sz w:val="32"/>
          <w:szCs w:val="32"/>
        </w:rPr>
        <w:t>245.98</w:t>
      </w:r>
      <w:r>
        <w:rPr>
          <w:rFonts w:ascii="仿宋" w:hAnsi="仿宋" w:eastAsia="仿宋"/>
          <w:color w:val="000000"/>
          <w:sz w:val="32"/>
          <w:szCs w:val="32"/>
        </w:rPr>
        <w:t>万元，占</w:t>
      </w:r>
      <w:r>
        <w:rPr>
          <w:rFonts w:hint="eastAsia" w:ascii="仿宋" w:hAnsi="仿宋" w:eastAsia="仿宋"/>
          <w:color w:val="000000"/>
          <w:sz w:val="32"/>
          <w:szCs w:val="32"/>
        </w:rPr>
        <w:t>90.85</w:t>
      </w:r>
      <w:r>
        <w:rPr>
          <w:rFonts w:ascii="仿宋" w:hAnsi="仿宋" w:eastAsia="仿宋"/>
          <w:color w:val="000000"/>
          <w:sz w:val="32"/>
          <w:szCs w:val="32"/>
        </w:rPr>
        <w:t>%；项目支出</w:t>
      </w:r>
      <w:r>
        <w:rPr>
          <w:rFonts w:hint="eastAsia" w:ascii="仿宋" w:hAnsi="仿宋" w:eastAsia="仿宋"/>
          <w:color w:val="000000"/>
          <w:sz w:val="32"/>
          <w:szCs w:val="32"/>
        </w:rPr>
        <w:t>24.77</w:t>
      </w:r>
      <w:r>
        <w:rPr>
          <w:rFonts w:ascii="仿宋" w:hAnsi="仿宋" w:eastAsia="仿宋"/>
          <w:color w:val="000000"/>
          <w:sz w:val="32"/>
          <w:szCs w:val="32"/>
        </w:rPr>
        <w:t>万元，占</w:t>
      </w:r>
      <w:r>
        <w:rPr>
          <w:rFonts w:hint="eastAsia" w:ascii="仿宋" w:hAnsi="仿宋" w:eastAsia="仿宋"/>
          <w:color w:val="000000"/>
          <w:sz w:val="32"/>
          <w:szCs w:val="32"/>
        </w:rPr>
        <w:t>9.15</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pPr>
    </w:p>
    <w:p>
      <w:pPr>
        <w:pStyle w:val="3"/>
        <w:ind w:firstLine="643" w:firstLineChars="200"/>
        <w:rPr>
          <w:rFonts w:ascii="黑体" w:eastAsia="黑体" w:cs="Times New Roman"/>
          <w:bCs w:val="0"/>
          <w:color w:val="000000"/>
        </w:rPr>
      </w:pPr>
      <w:bookmarkStart w:id="35" w:name="_Toc15377208"/>
      <w:bookmarkStart w:id="36" w:name="_Toc13661"/>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年财政拨款收、支总计270.76万元。与2021年相比，财政拨款收、支总计各增加270.76万元，增加100.00 %。主要变动原因是上年汇总到一个卫生院录入</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5"/>
        <w:ind w:firstLine="0"/>
      </w:pPr>
    </w:p>
    <w:p>
      <w:pPr>
        <w:pStyle w:val="5"/>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jc w:val="center"/>
      </w:pPr>
    </w:p>
    <w:p>
      <w:pPr>
        <w:pStyle w:val="3"/>
        <w:ind w:firstLine="643" w:firstLineChars="200"/>
        <w:rPr>
          <w:rFonts w:ascii="黑体" w:eastAsia="黑体" w:cs="Times New Roman"/>
          <w:bCs w:val="0"/>
          <w:color w:val="000000"/>
        </w:rPr>
      </w:pPr>
      <w:bookmarkStart w:id="38" w:name="_Toc15377209"/>
      <w:bookmarkStart w:id="39" w:name="_Toc2126"/>
      <w:bookmarkStart w:id="40" w:name="_Toc111208503"/>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年一般公共预算财政拨款支出270.76</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2021相比，一般公共预算财政拨款增加270.76</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5"/>
        <w:ind w:firstLine="0"/>
        <w:rPr>
          <w:rFonts w:ascii="仿宋_GB2312" w:hAnsi="仿宋" w:eastAsia="仿宋_GB2312"/>
          <w:b/>
          <w:color w:val="000000"/>
          <w:sz w:val="32"/>
          <w:szCs w:val="32"/>
        </w:rPr>
      </w:pPr>
    </w:p>
    <w:p>
      <w:pPr>
        <w:pStyle w:val="5"/>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年一般公共预算财政拨款支出270.76</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社会保障和就业支出28.74万元，占10.61%；卫生健康支出222.85万元，占82.31%；住房保障支出19.18万元，占7.08%。</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5"/>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年一般公共预算支出决算数为270.76</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1.社会保障和就业支出（208）行政事业单位养老支出（20805）机关事业单位基本养老保险缴费支出（2080505）支出决算19.49万元，完成预算100%。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2.社会保障和就业支出（208）行政事业单位养老支出（20805）机关事业单位职业年金缴费支出（2080506）支出决算9.24万元，完成预算100%。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3.卫生健康支出（210）基层医疗卫生机构（21003）乡镇卫生院（2100302）支出决算186.53万元，完成预算100%。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4.卫生健康支出（210）基层医疗卫生机构（21003）其他基层医疗卫生机构支出（2100399）支出决算2.74万元，完成预算100%。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5.卫生健康支出（210）公共卫生（21004）基本公共卫生服务（2100408）支出决算22.03万元，完成预算100%。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6.卫生健康支出（210）行政事业单位医疗（21011）事业单位医疗（2101102）支出决算11.54万元，完成预算100%。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7.住房保障支出（221）住房改革支出（22102）住房公积金（2210201）支出决算19.18万元，完成预算100%。</w:t>
      </w:r>
    </w:p>
    <w:p>
      <w:pPr>
        <w:pStyle w:val="3"/>
        <w:ind w:firstLine="643" w:firstLineChars="200"/>
        <w:rPr>
          <w:rFonts w:ascii="黑体" w:eastAsia="黑体" w:cs="Times New Roman"/>
          <w:b w:val="0"/>
          <w:color w:val="000000"/>
        </w:rPr>
      </w:pPr>
      <w:bookmarkStart w:id="47" w:name="_Toc15377214"/>
      <w:bookmarkStart w:id="48" w:name="_Toc111208504"/>
      <w:bookmarkStart w:id="49" w:name="_Toc24703"/>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年一般公共预算财政拨款基本支出245.98</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243.22</w:t>
      </w:r>
      <w:r>
        <w:rPr>
          <w:rFonts w:hint="eastAsia" w:ascii="仿宋" w:hAnsi="仿宋" w:eastAsia="仿宋"/>
          <w:color w:val="000000"/>
          <w:sz w:val="32"/>
          <w:szCs w:val="32"/>
        </w:rPr>
        <w:t>万元，主要包括：</w:t>
      </w:r>
      <w:r>
        <w:rPr>
          <w:rFonts w:ascii="仿宋" w:hAnsi="仿宋" w:eastAsia="仿宋"/>
          <w:color w:val="000000"/>
          <w:sz w:val="32"/>
          <w:u w:color="auto"/>
        </w:rPr>
        <w:t>基本工资45.63万元、津贴补贴44.41万元、奖金63.95万元、绩效工资28.74万元、机关事业单位基本养老保险缴费19.49万元、职业年金缴费9.24万元、职工基本医疗保险缴费11.54万元、其他社会保障缴费1.04万元、住房公积金19.18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2.76</w:t>
      </w:r>
      <w:r>
        <w:rPr>
          <w:rFonts w:hint="eastAsia" w:ascii="仿宋" w:hAnsi="仿宋" w:eastAsia="仿宋"/>
          <w:color w:val="000000"/>
          <w:sz w:val="32"/>
          <w:szCs w:val="32"/>
        </w:rPr>
        <w:t>万元，主要包括：</w:t>
      </w:r>
      <w:r>
        <w:rPr>
          <w:rFonts w:ascii="仿宋" w:hAnsi="仿宋" w:eastAsia="仿宋"/>
          <w:color w:val="000000"/>
          <w:sz w:val="32"/>
          <w:u w:color="auto"/>
        </w:rPr>
        <w:t>工会经费2.76万元</w:t>
      </w:r>
      <w:r>
        <w:rPr>
          <w:rFonts w:hint="eastAsia" w:ascii="仿宋" w:hAnsi="仿宋" w:eastAsia="仿宋"/>
          <w:color w:val="000000"/>
          <w:sz w:val="32"/>
          <w:szCs w:val="32"/>
        </w:rPr>
        <w:t>。</w:t>
      </w:r>
    </w:p>
    <w:p>
      <w:pPr>
        <w:pStyle w:val="3"/>
        <w:ind w:firstLine="643" w:firstLineChars="200"/>
        <w:rPr>
          <w:rFonts w:ascii="黑体" w:eastAsia="黑体" w:cs="Times New Roman"/>
          <w:bCs w:val="0"/>
          <w:color w:val="000000"/>
        </w:rPr>
      </w:pPr>
      <w:bookmarkStart w:id="50" w:name="_Toc15377215"/>
      <w:bookmarkStart w:id="51" w:name="_Toc1658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5"/>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0.00万元。全年按规定更新购置公务用车-15辆，其中：轿车0辆、金额0.00万元，越野车0辆、金额0.00万元，载客汽车0辆、金额0.00万元。截至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1</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5"/>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3"/>
        <w:ind w:firstLine="643" w:firstLineChars="200"/>
        <w:rPr>
          <w:rFonts w:ascii="黑体" w:eastAsia="黑体" w:cs="Times New Roman"/>
          <w:bCs w:val="0"/>
          <w:color w:val="000000"/>
        </w:rPr>
      </w:pPr>
      <w:bookmarkStart w:id="56" w:name="_Toc111208506"/>
      <w:bookmarkStart w:id="57" w:name="_Toc4484"/>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3"/>
        <w:ind w:firstLine="643" w:firstLineChars="200"/>
        <w:rPr>
          <w:rFonts w:ascii="黑体" w:eastAsia="黑体" w:cs="Times New Roman"/>
          <w:bCs w:val="0"/>
          <w:color w:val="000000"/>
        </w:rPr>
      </w:pPr>
      <w:bookmarkStart w:id="59" w:name="_Toc111208507"/>
      <w:bookmarkStart w:id="60" w:name="_Toc1532"/>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3"/>
        <w:ind w:firstLine="643" w:firstLineChars="200"/>
        <w:rPr>
          <w:rFonts w:ascii="黑体" w:eastAsia="黑体" w:cs="Times New Roman"/>
          <w:bCs w:val="0"/>
          <w:color w:val="000000"/>
        </w:rPr>
      </w:pPr>
      <w:bookmarkStart w:id="61" w:name="_Toc587"/>
      <w:bookmarkStart w:id="62" w:name="_Toc111208508"/>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1辆，其中：主要领导干部用车0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1</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5"/>
      </w:pPr>
      <w:r>
        <w:rPr>
          <w:rFonts w:hint="eastAsia"/>
        </w:rPr>
        <w:t xml:space="preserve"> </w:t>
      </w:r>
    </w:p>
    <w:p>
      <w:pPr>
        <w:widowControl/>
        <w:jc w:val="left"/>
        <w:rPr>
          <w:rFonts w:hint="eastAsia" w:ascii="仿宋" w:hAnsi="仿宋" w:eastAsia="仿宋" w:cs="仿宋"/>
          <w:b/>
          <w:color w:val="000000"/>
          <w:sz w:val="32"/>
          <w:szCs w:val="32"/>
          <w:shd w:val="clear" w:color="auto" w:fill="auto"/>
        </w:rPr>
      </w:pPr>
      <w:r>
        <w:rPr>
          <w:rFonts w:hint="eastAsia" w:ascii="仿宋" w:hAnsi="仿宋" w:eastAsia="仿宋" w:cs="仿宋"/>
          <w:i w:val="0"/>
          <w:iCs w:val="0"/>
          <w:caps w:val="0"/>
          <w:color w:val="353535"/>
          <w:spacing w:val="0"/>
          <w:sz w:val="32"/>
          <w:szCs w:val="32"/>
          <w:shd w:val="clear" w:color="auto" w:fill="auto"/>
        </w:rPr>
        <w:t>根据预算绩效管理要求，本部门在2022年度预算编制阶段，组织对基本公共卫生服务补助资金、基本药物制度补助资金、计划生育转移支付资金、医疗服务与保障能力提升补助资金、重大传染病防控经费等5个项目开展了预算事前绩效评估，对5个项目编制了绩效目标，预算执行过程中，选取5个项目开展绩效监控，组织对5个项目开展绩效自评，绩效自评表详见第四部分附件1。</w:t>
      </w:r>
      <w:r>
        <w:rPr>
          <w:rFonts w:hint="eastAsia" w:ascii="仿宋" w:hAnsi="仿宋" w:eastAsia="仿宋" w:cs="仿宋"/>
          <w:i w:val="0"/>
          <w:iCs w:val="0"/>
          <w:caps w:val="0"/>
          <w:color w:val="353535"/>
          <w:spacing w:val="0"/>
          <w:sz w:val="32"/>
          <w:szCs w:val="32"/>
          <w:shd w:val="clear" w:color="auto" w:fill="auto"/>
        </w:rPr>
        <w:br w:type="textWrapping"/>
      </w:r>
      <w:r>
        <w:rPr>
          <w:rFonts w:hint="eastAsia" w:ascii="仿宋" w:hAnsi="仿宋" w:eastAsia="仿宋" w:cs="仿宋"/>
          <w:i w:val="0"/>
          <w:iCs w:val="0"/>
          <w:caps w:val="0"/>
          <w:color w:val="353535"/>
          <w:spacing w:val="0"/>
          <w:sz w:val="32"/>
          <w:szCs w:val="32"/>
          <w:shd w:val="clear" w:color="auto" w:fill="auto"/>
        </w:rPr>
        <w:t>本单位按要求对2022年单位整体支出绩效评价情况开展自评，《松潘县卫生健康局2022年单位整体支出绩效评价报告》见第四部分附件2</w:t>
      </w:r>
    </w:p>
    <w:p>
      <w:pPr>
        <w:pStyle w:val="2"/>
        <w:jc w:val="center"/>
        <w:rPr>
          <w:rFonts w:ascii="黑体" w:hAnsi="黑体" w:eastAsia="黑体" w:cs="黑体"/>
        </w:rPr>
      </w:pPr>
      <w:bookmarkStart w:id="67" w:name="_Toc15377225"/>
      <w:bookmarkStart w:id="68" w:name="_Toc5924"/>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tbl>
      <w:tblPr>
        <w:tblStyle w:val="15"/>
        <w:tblpPr w:leftFromText="180" w:rightFromText="180" w:vertAnchor="text" w:horzAnchor="page" w:tblpX="105" w:tblpY="347"/>
        <w:tblOverlap w:val="never"/>
        <w:tblW w:w="87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449"/>
        <w:gridCol w:w="570"/>
        <w:gridCol w:w="534"/>
        <w:gridCol w:w="830"/>
        <w:gridCol w:w="1582"/>
        <w:gridCol w:w="250"/>
        <w:gridCol w:w="466"/>
        <w:gridCol w:w="688"/>
        <w:gridCol w:w="24"/>
        <w:gridCol w:w="913"/>
        <w:gridCol w:w="1217"/>
        <w:gridCol w:w="1079"/>
        <w:gridCol w:w="437"/>
        <w:gridCol w:w="1484"/>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6098" w:type="dxa"/>
            <w:gridSpan w:val="16"/>
            <w:tcBorders>
              <w:top w:val="nil"/>
              <w:left w:val="nil"/>
              <w:bottom w:val="nil"/>
              <w:right w:val="nil"/>
            </w:tcBorders>
            <w:shd w:val="clear" w:color="auto" w:fill="auto"/>
            <w:vAlign w:val="center"/>
          </w:tcPr>
          <w:p>
            <w:pPr>
              <w:keepNext w:val="0"/>
              <w:keepLines w:val="0"/>
              <w:widowControl/>
              <w:suppressLineNumbers w:val="0"/>
              <w:ind w:firstLine="4176" w:firstLineChars="1300"/>
              <w:jc w:val="both"/>
              <w:textAlignment w:val="center"/>
              <w:rPr>
                <w:rFonts w:hint="default" w:ascii="宋体" w:hAnsi="宋体" w:eastAsia="宋体" w:cs="宋体"/>
                <w:b/>
                <w:bCs/>
                <w:i w:val="0"/>
                <w:iCs w:val="0"/>
                <w:color w:val="000000"/>
                <w:kern w:val="0"/>
                <w:sz w:val="32"/>
                <w:szCs w:val="32"/>
                <w:u w:val="none"/>
                <w:lang w:val="en-US" w:eastAsia="zh-CN" w:bidi="ar"/>
              </w:rPr>
            </w:pPr>
            <w:bookmarkStart w:id="70" w:name="_Toc13946"/>
            <w:bookmarkStart w:id="71" w:name="_Toc111208510"/>
            <w:r>
              <w:rPr>
                <w:rFonts w:hint="eastAsia" w:ascii="宋体" w:hAnsi="宋体" w:cs="宋体"/>
                <w:b/>
                <w:bCs/>
                <w:i w:val="0"/>
                <w:iCs w:val="0"/>
                <w:color w:val="000000"/>
                <w:kern w:val="0"/>
                <w:sz w:val="32"/>
                <w:szCs w:val="32"/>
                <w:u w:val="none"/>
                <w:lang w:val="en-US" w:eastAsia="zh-CN" w:bidi="ar"/>
              </w:rPr>
              <w:t>第四部分 附件</w:t>
            </w:r>
          </w:p>
          <w:p>
            <w:pPr>
              <w:keepNext w:val="0"/>
              <w:keepLines w:val="0"/>
              <w:widowControl/>
              <w:suppressLineNumbers w:val="0"/>
              <w:ind w:firstLine="2570" w:firstLineChars="80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3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130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6"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5566" w:type="dxa"/>
            <w:gridSpan w:val="5"/>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5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松潘县大姓乡卫生院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73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7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38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748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健康档案建档数3250。</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健康档案建档数3230，99.33%</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65岁以上的老年人规范管理率100%（应管394人实际管理394）</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65岁以上的老年人规范管理率100%（应管394人实际管理394</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高血压患者管理率100%（管理194人，规范管理194）、2型糖尿病患者管理率100％（管理44人，规范管理44）。</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高血压患者管理率100%、2型糖尿病患者管理率100％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指标6：高血压患者管理率100%（管理194人，规范管理194）、2型糖尿病患者管理率100％（管理44人，规范管理44）。</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严重精神障碍患者规范管理率100%（应管22人，规范管理22）。</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严重精神障碍患者规范管理率100%（应管22人，规范管理22）</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600" w:hRule="atLeast"/>
        </w:trPr>
        <w:tc>
          <w:tcPr>
            <w:tcW w:w="11821"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277" w:type="dxa"/>
          <w:trHeight w:val="320" w:hRule="atLeast"/>
        </w:trPr>
        <w:tc>
          <w:tcPr>
            <w:tcW w:w="11821" w:type="dxa"/>
            <w:gridSpan w:val="13"/>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552" w:hRule="atLeast"/>
        </w:trPr>
        <w:tc>
          <w:tcPr>
            <w:tcW w:w="2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9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520" w:hRule="atLeast"/>
        </w:trPr>
        <w:tc>
          <w:tcPr>
            <w:tcW w:w="22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3"/>
                <w:lang w:val="en-US" w:eastAsia="zh-CN" w:bidi="ar"/>
              </w:rPr>
              <w:t xml:space="preserve"> </w:t>
            </w:r>
            <w:r>
              <w:rPr>
                <w:rStyle w:val="34"/>
                <w:lang w:val="en-US" w:eastAsia="zh-CN" w:bidi="ar"/>
              </w:rPr>
              <w:t>其中：中央财政资金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3"/>
                <w:lang w:val="en-US" w:eastAsia="zh-CN" w:bidi="ar"/>
              </w:rPr>
              <w:t xml:space="preserve"> </w:t>
            </w:r>
            <w:r>
              <w:rPr>
                <w:rStyle w:val="35"/>
                <w:lang w:val="en-US" w:eastAsia="zh-CN" w:bidi="ar"/>
              </w:rPr>
              <w:t xml:space="preserve">      地方资金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lang w:val="en-US" w:eastAsia="zh-CN" w:bidi="ar"/>
              </w:rPr>
              <w:t xml:space="preserve">      </w:t>
            </w:r>
            <w:r>
              <w:rPr>
                <w:rStyle w:val="34"/>
                <w:lang w:val="en-US" w:eastAsia="zh-CN" w:bidi="ar"/>
              </w:rPr>
              <w:t xml:space="preserve">  其他资金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22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5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5902"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363"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1260" w:hRule="atLeast"/>
        </w:trPr>
        <w:tc>
          <w:tcPr>
            <w:tcW w:w="5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对基本药物制度补助满意度进一步提高。</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52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控费型 </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同质化</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促分工”发展方向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23"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12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260" w:hRule="atLeast"/>
        </w:trPr>
        <w:tc>
          <w:tcPr>
            <w:tcW w:w="11821"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520" w:hRule="atLeast"/>
        </w:trPr>
        <w:tc>
          <w:tcPr>
            <w:tcW w:w="11821"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277" w:type="dxa"/>
          <w:trHeight w:val="340" w:hRule="atLeast"/>
        </w:trPr>
        <w:tc>
          <w:tcPr>
            <w:tcW w:w="11821"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bookmarkEnd w:id="70"/>
      <w:bookmarkEnd w:id="71"/>
    </w:tbl>
    <w:p>
      <w:pPr>
        <w:pStyle w:val="5"/>
      </w:pPr>
      <w:r>
        <w:rPr>
          <w:rFonts w:hint="eastAsia"/>
        </w:rPr>
        <w:t xml:space="preserve"> </w:t>
      </w:r>
    </w:p>
    <w:p>
      <w:pPr>
        <w:pStyle w:val="5"/>
      </w:pPr>
    </w:p>
    <w:p>
      <w:pPr>
        <w:pStyle w:val="2"/>
        <w:jc w:val="center"/>
        <w:rPr>
          <w:rFonts w:ascii="黑体" w:hAnsi="黑体" w:eastAsia="黑体" w:cs="黑体"/>
        </w:rPr>
      </w:pPr>
      <w:bookmarkStart w:id="72" w:name="_Toc79163635"/>
      <w:bookmarkStart w:id="73" w:name="_Toc111208512"/>
      <w:bookmarkStart w:id="74" w:name="_Toc79163885"/>
      <w:bookmarkStart w:id="75" w:name="_Toc3397"/>
      <w:r>
        <w:rPr>
          <w:rFonts w:hint="eastAsia" w:ascii="黑体" w:hAnsi="黑体" w:eastAsia="黑体" w:cs="黑体"/>
        </w:rPr>
        <w:t>第五部分 附表</w:t>
      </w:r>
      <w:bookmarkEnd w:id="72"/>
      <w:bookmarkEnd w:id="73"/>
      <w:bookmarkEnd w:id="74"/>
      <w:bookmarkEnd w:id="75"/>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一、收入支出决算总表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二、收入决算表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三、支出决算表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四、财政拨款收入支出决算总表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五、财政拨款支出决算明细表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六、一般公共预算财政拨款支出决算表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七、一般公共预算财政拨款支出决算明细表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八、一般公共预算财政拨款基本支出决算表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九、一般公共预算财政拨款项目支出决算表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十、政府性基金预算财政拨款收入支出决算表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十一、国有资本经营预算财政拨款收入支出决算表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十二、国有资本经营预算财政拨款支出决算表</w:t>
      </w:r>
    </w:p>
    <w:p>
      <w:pPr>
        <w:pStyle w:val="3"/>
        <w:ind w:firstLine="643" w:firstLineChars="200"/>
        <w:rPr>
          <w:rFonts w:ascii="黑体" w:eastAsia="黑体" w:cs="Times New Roman"/>
          <w:b w:val="0"/>
          <w:color w:val="000000"/>
        </w:rPr>
      </w:pPr>
      <w:r>
        <w:rPr>
          <w:rFonts w:hint="eastAsia" w:ascii="黑体" w:eastAsia="黑体" w:cs="Times New Roman"/>
          <w:bCs w:val="0"/>
          <w:color w:val="000000"/>
        </w:rPr>
        <w:t>十三、财政拨款“三公”经费支出决算表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7D7616"/>
    <w:rsid w:val="11D56DF6"/>
    <w:rsid w:val="11ED6591"/>
    <w:rsid w:val="13367661"/>
    <w:rsid w:val="16BB723D"/>
    <w:rsid w:val="17BC7656"/>
    <w:rsid w:val="17EA348C"/>
    <w:rsid w:val="1840212F"/>
    <w:rsid w:val="184656CF"/>
    <w:rsid w:val="19745B60"/>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566494"/>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EA8186A"/>
    <w:rsid w:val="3F512FA9"/>
    <w:rsid w:val="3FAC4683"/>
    <w:rsid w:val="3FEA5DFB"/>
    <w:rsid w:val="401C35B7"/>
    <w:rsid w:val="40381A73"/>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DE53B01"/>
    <w:rsid w:val="6ECB49CF"/>
    <w:rsid w:val="6ECB5A2B"/>
    <w:rsid w:val="70202A42"/>
    <w:rsid w:val="72227D09"/>
    <w:rsid w:val="724B7271"/>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character" w:customStyle="1" w:styleId="33">
    <w:name w:val="font11"/>
    <w:basedOn w:val="16"/>
    <w:qFormat/>
    <w:uiPriority w:val="0"/>
    <w:rPr>
      <w:rFonts w:hint="eastAsia" w:ascii="宋体" w:hAnsi="宋体" w:eastAsia="宋体" w:cs="宋体"/>
      <w:color w:val="000000"/>
      <w:sz w:val="20"/>
      <w:szCs w:val="20"/>
      <w:u w:val="none"/>
    </w:rPr>
  </w:style>
  <w:style w:type="character" w:customStyle="1" w:styleId="34">
    <w:name w:val="font91"/>
    <w:basedOn w:val="16"/>
    <w:qFormat/>
    <w:uiPriority w:val="0"/>
    <w:rPr>
      <w:rFonts w:hint="eastAsia" w:ascii="宋体" w:hAnsi="宋体" w:eastAsia="宋体" w:cs="宋体"/>
      <w:color w:val="000000"/>
      <w:sz w:val="20"/>
      <w:szCs w:val="20"/>
      <w:u w:val="none"/>
    </w:rPr>
  </w:style>
  <w:style w:type="character" w:customStyle="1" w:styleId="35">
    <w:name w:val="font101"/>
    <w:basedOn w:val="16"/>
    <w:qFormat/>
    <w:uiPriority w:val="0"/>
    <w:rPr>
      <w:rFonts w:hint="eastAsia" w:ascii="宋体" w:hAnsi="宋体" w:eastAsia="宋体" w:cs="宋体"/>
      <w:color w:val="000000"/>
      <w:sz w:val="20"/>
      <w:szCs w:val="20"/>
      <w:u w:val="none"/>
    </w:rPr>
  </w:style>
  <w:style w:type="character" w:customStyle="1" w:styleId="36">
    <w:name w:val="font6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{0,270.76}</c:f>
              <c:numCache>
                <c:formatCode>General</c:formatCode>
                <c:ptCount val="2"/>
                <c:pt idx="0">
                  <c:v>0</c:v>
                </c:pt>
                <c:pt idx="1">
                  <c:v>270.76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{0,270.76}</c:f>
              <c:numCache>
                <c:formatCode>General</c:formatCode>
                <c:ptCount val="2"/>
                <c:pt idx="0">
                  <c:v>0</c:v>
                </c:pt>
                <c:pt idx="1">
                  <c:v>270.76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{2707590.39,0,0,0,0,0,0,0}</c:f>
              <c:numCache>
                <c:formatCode>General</c:formatCode>
                <c:ptCount val="8"/>
                <c:pt idx="0">
                  <c:v>2707590.39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{2459846.84,247743.55,0,0,0}</c:f>
              <c:numCache>
                <c:formatCode>General</c:formatCode>
                <c:ptCount val="5"/>
                <c:pt idx="0">
                  <c:v>2459846.84</c:v>
                </c:pt>
                <c:pt idx="1">
                  <c:v>247743.55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{0,270.76}</c:f>
              <c:numCache>
                <c:formatCode>General</c:formatCode>
                <c:ptCount val="2"/>
                <c:pt idx="0">
                  <c:v>0</c:v>
                </c:pt>
                <c:pt idx="1">
                  <c:v>270.76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{0,270.76}</c:f>
              <c:numCache>
                <c:formatCode>General</c:formatCode>
                <c:ptCount val="2"/>
                <c:pt idx="0">
                  <c:v>0</c:v>
                </c:pt>
                <c:pt idx="1">
                  <c:v>270.76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{270.76}</c:f>
              <c:numCache>
                <c:formatCode>General</c:formatCode>
                <c:ptCount val="1"/>
                <c:pt idx="0">
                  <c:v>270.76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{28.74,222.85,19.18}</c:f>
              <c:numCache>
                <c:formatCode>General</c:formatCode>
                <c:ptCount val="3"/>
                <c:pt idx="0">
                  <c:v>28.74</c:v>
                </c:pt>
                <c:pt idx="1">
                  <c:v>222.85</c:v>
                </c:pt>
                <c:pt idx="2">
                  <c:v>19.18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7157</Words>
  <Characters>8145</Characters>
  <Lines>51</Lines>
  <Paragraphs>14</Paragraphs>
  <TotalTime>3</TotalTime>
  <ScaleCrop>false</ScaleCrop>
  <LinksUpToDate>false</LinksUpToDate>
  <CharactersWithSpaces>8333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2023-09-13T07:37:35Z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0840372B74CC48CBA6FFCB39E5A48348_13</vt:lpwstr>
  </property>
</Properties>
</file>