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2A27">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96597"/>
      <w:bookmarkStart w:id="1" w:name="_Toc15377425"/>
      <w:bookmarkStart w:id="2" w:name="_Toc15378441"/>
      <w:bookmarkStart w:id="3" w:name="_Toc15377193"/>
      <w:bookmarkStart w:id="4" w:name="_Toc15396475"/>
      <w:bookmarkStart w:id="5" w:name="_Toc15306267"/>
    </w:p>
    <w:p w14:paraId="44DCA5A7">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08F32C0E">
      <w:pPr>
        <w:pStyle w:val="6"/>
        <w:jc w:val="center"/>
        <w:rPr>
          <w:rFonts w:hint="eastAsia" w:ascii="Times New Roman" w:eastAsia="方正小标宋简体" w:cs="Times New Roman"/>
          <w:color w:val="auto"/>
          <w:kern w:val="2"/>
          <w:sz w:val="44"/>
          <w:szCs w:val="44"/>
          <w:highlight w:val="none"/>
          <w:lang w:val="en-US" w:eastAsia="zh-CN" w:bidi="ar-SA"/>
        </w:rPr>
      </w:pPr>
      <w:bookmarkStart w:id="6" w:name="_Toc15396476"/>
      <w:bookmarkStart w:id="7" w:name="_Toc15377194"/>
      <w:bookmarkStart w:id="8" w:name="_Toc15377426"/>
      <w:bookmarkStart w:id="9" w:name="_Toc15396598"/>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松潘县林业和草原局（本级）</w:t>
      </w:r>
    </w:p>
    <w:p w14:paraId="5E288856">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4C712D4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（注：</w:t>
      </w:r>
      <w:r>
        <w:rPr>
          <w:rFonts w:hint="eastAsia" w:eastAsia="仿宋_GB2312" w:cs="仿宋_GB2312"/>
          <w:color w:val="auto"/>
          <w:sz w:val="32"/>
          <w:szCs w:val="32"/>
          <w:highlight w:val="none"/>
          <w:lang w:val="en-US" w:eastAsia="zh-CN"/>
        </w:rPr>
        <w:t>以下为部门公开范本。单位公开内容应参照部门公开内容和报表格式，并与部门公开内容做好衔接）</w:t>
      </w:r>
    </w:p>
    <w:p w14:paraId="7204BC3E">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2CBA1F2E">
      <w:pPr>
        <w:widowControl/>
        <w:jc w:val="center"/>
        <w:rPr>
          <w:rFonts w:ascii="Times New Roman" w:hAnsi="Times New Roman" w:eastAsia="黑体" w:cstheme="minorBidi"/>
          <w:color w:val="auto"/>
          <w:sz w:val="28"/>
          <w:szCs w:val="28"/>
          <w:highlight w:val="none"/>
        </w:rPr>
      </w:pPr>
    </w:p>
    <w:p w14:paraId="16F7274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14:paraId="375DC3A3">
      <w:pPr>
        <w:rPr>
          <w:rFonts w:ascii="Times New Roman" w:hAnsi="Times New Roman"/>
          <w:color w:val="auto"/>
          <w:highlight w:val="none"/>
        </w:rPr>
      </w:pPr>
    </w:p>
    <w:p w14:paraId="430190C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4EF9C8A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1E58717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1134A96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0E0A45D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204445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682E563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238625B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3B3F9DA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50EE744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188B328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1B1986A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395276F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3357134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2B2DD45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4CD960D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52CAABB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668AAA7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741B197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18A1C01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53096FF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7BD4514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00BBBAF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6097792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67C345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7085F4A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6967994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5FFEDAA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0CA7B3D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7C93FC9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5EB91D7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1279643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4A3AADDE">
      <w:pPr>
        <w:pStyle w:val="3"/>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79438900">
      <w:pPr>
        <w:widowControl/>
        <w:jc w:val="left"/>
        <w:rPr>
          <w:rFonts w:ascii="Times New Roman" w:hAnsi="Times New Roman" w:eastAsia="黑体"/>
          <w:color w:val="auto"/>
          <w:sz w:val="32"/>
          <w:szCs w:val="32"/>
          <w:highlight w:val="none"/>
        </w:rPr>
      </w:pPr>
    </w:p>
    <w:p w14:paraId="7019BD6A">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02C78699">
      <w:pPr>
        <w:pStyle w:val="36"/>
        <w:keepNext w:val="0"/>
        <w:keepLines w:val="0"/>
        <w:widowControl/>
        <w:suppressLineNumbers w:val="0"/>
        <w:spacing w:before="0" w:beforeAutospacing="0"/>
        <w:ind w:left="0"/>
        <w:jc w:val="left"/>
        <w:rPr>
          <w:rFonts w:hint="eastAsia" w:ascii="仿宋_GB2312" w:hAnsi="仿宋_GB2312" w:eastAsia="仿宋_GB2312" w:cs="仿宋_GB2312"/>
          <w:kern w:val="0"/>
          <w:sz w:val="32"/>
          <w:szCs w:val="32"/>
          <w:shd w:val="clear" w:fill="FFFFFF"/>
        </w:rPr>
      </w:pPr>
      <w:r>
        <w:rPr>
          <w:rFonts w:hint="eastAsia" w:ascii="仿宋_GB2312" w:hAnsi="仿宋_GB2312" w:eastAsia="仿宋_GB2312" w:cs="仿宋_GB2312"/>
          <w:kern w:val="0"/>
          <w:sz w:val="32"/>
          <w:szCs w:val="32"/>
          <w:shd w:val="clear" w:fill="FFFFFF"/>
        </w:rPr>
        <w:t>（一）主要职能</w:t>
      </w:r>
    </w:p>
    <w:p w14:paraId="444FBCA4">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val="0"/>
          <w:kern w:val="0"/>
          <w:sz w:val="32"/>
          <w:szCs w:val="32"/>
        </w:rPr>
        <w:t>松潘县</w:t>
      </w:r>
      <w:r>
        <w:rPr>
          <w:rFonts w:hint="eastAsia" w:ascii="仿宋_GB2312" w:hAnsi="仿宋_GB2312" w:eastAsia="仿宋_GB2312" w:cs="仿宋_GB2312"/>
          <w:b w:val="0"/>
          <w:kern w:val="0"/>
          <w:sz w:val="32"/>
          <w:szCs w:val="32"/>
          <w:lang w:eastAsia="zh-CN"/>
        </w:rPr>
        <w:t>林业和草原局</w:t>
      </w:r>
      <w:r>
        <w:rPr>
          <w:rFonts w:hint="eastAsia" w:ascii="仿宋_GB2312" w:hAnsi="仿宋_GB2312" w:eastAsia="仿宋_GB2312" w:cs="仿宋_GB2312"/>
          <w:kern w:val="0"/>
          <w:sz w:val="32"/>
          <w:szCs w:val="32"/>
        </w:rPr>
        <w:t>贯彻落实党中央关于林业和草原工作的方针政策和省委、州委、县委的决策部署，在履行职责过程中坚持和加强党对林业和草原工作的集中统一领导。主要职责是：</w:t>
      </w:r>
    </w:p>
    <w:p w14:paraId="129EF4BD">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rPr>
        <w:t>负责全县林业和草原及其生态保护修复的监督管理。拟订全县林业和草原及其生态保护修复的政策、规划、地方标准并组织实施。组织开展全县森林、草原、湿地、荒漠和陆生野生动植物资源动态监测与评价，推进全县林业和草原数字化建设。</w:t>
      </w:r>
    </w:p>
    <w:p w14:paraId="1D759FC7">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rPr>
        <w:t>组织全县林业和草原生态保护修复和造林绿化工作。组织实施林业和草原重点生态保护修复工程，指导公益林和商品林的培育，指导、监督全民义务植树、城乡绿化工作。指导林业和草原有害生物防治、检疫工作。承担林业和草原应对气候变化的相关工作。</w:t>
      </w:r>
    </w:p>
    <w:p w14:paraId="7DC7C457">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rPr>
        <w:t>负责全县自然保护区、风景名胜区、自然遗产、地质公园、森林、草原、湿地资源的监督管理。组织编制并监督执行全县森林采伐限额。负责林地管理，拟订林地保护利用规划并组织实施，组织实施公益林划定和管理工作，管理国有森林资源。负责草原禁牧、草畜平衡和草原生态修复治理工作，监督管理草原的开发利用。负责湿地生态保</w:t>
      </w:r>
      <w:r>
        <w:rPr>
          <w:rFonts w:hint="eastAsia" w:ascii="仿宋_GB2312" w:hAnsi="仿宋_GB2312" w:eastAsia="仿宋_GB2312" w:cs="仿宋_GB2312"/>
          <w:kern w:val="0"/>
          <w:sz w:val="32"/>
          <w:szCs w:val="32"/>
          <w:lang w:eastAsia="zh-CN"/>
        </w:rPr>
        <w:t>护和</w:t>
      </w:r>
      <w:r>
        <w:rPr>
          <w:rFonts w:hint="eastAsia" w:ascii="仿宋_GB2312" w:hAnsi="仿宋_GB2312" w:eastAsia="仿宋_GB2312" w:cs="仿宋_GB2312"/>
          <w:kern w:val="0"/>
          <w:sz w:val="32"/>
          <w:szCs w:val="32"/>
        </w:rPr>
        <w:t>修复工作，拟订全县湿地保护规划和相关地方标准，监督管理湿地的开发利用。</w:t>
      </w:r>
    </w:p>
    <w:p w14:paraId="1CE6C49A">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4.</w:t>
      </w:r>
      <w:r>
        <w:rPr>
          <w:rFonts w:hint="eastAsia" w:ascii="仿宋_GB2312" w:hAnsi="仿宋_GB2312" w:eastAsia="仿宋_GB2312" w:cs="仿宋_GB2312"/>
          <w:kern w:val="0"/>
          <w:sz w:val="32"/>
          <w:szCs w:val="32"/>
        </w:rPr>
        <w:t>负责监督管理全县荒漠化防治工作。组织开展荒漠调查，组织拟订防沙治沙及沙化土地封禁保护区建设规划，监督管理沙化土地的开发利用，组织沙尘暴灾害预测预报和应急处置。</w:t>
      </w:r>
    </w:p>
    <w:p w14:paraId="10CB70F8">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5.</w:t>
      </w:r>
      <w:r>
        <w:rPr>
          <w:rFonts w:hint="eastAsia" w:ascii="仿宋_GB2312" w:hAnsi="仿宋_GB2312" w:eastAsia="仿宋_GB2312" w:cs="仿宋_GB2312"/>
          <w:kern w:val="0"/>
          <w:sz w:val="32"/>
          <w:szCs w:val="32"/>
        </w:rPr>
        <w:t>负责全县陆生野生动植物资源监督管理。组织开展陆生野生动植物资源调查，拟订及调整全县重点保护陆生野生动物、植物名录，指导陆生野生动植物的救护繁育、栖息地恢复发展、疫源疫病监测，监督管理陆生野生动植物猎捕或采集、驯养繁殖或培植、经营利用，按分工监督管理野生动植物进出口。</w:t>
      </w:r>
    </w:p>
    <w:p w14:paraId="389C0B48">
      <w:pPr>
        <w:keepNext w:val="0"/>
        <w:keepLines w:val="0"/>
        <w:widowControl/>
        <w:suppressLineNumbers w:val="0"/>
        <w:ind w:lef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6.</w:t>
      </w:r>
      <w:r>
        <w:rPr>
          <w:rFonts w:hint="eastAsia" w:ascii="仿宋_GB2312" w:hAnsi="仿宋_GB2312" w:eastAsia="仿宋_GB2312" w:cs="仿宋_GB2312"/>
          <w:kern w:val="0"/>
          <w:sz w:val="32"/>
          <w:szCs w:val="32"/>
        </w:rPr>
        <w:t>负责监督管理全县各类自然保护地。拟订各类自然保护地规划和相关地方标准。负责国家公园申报设立、规划、建设和特许经营等工作，负责县级政府直接行使和代理行使全民所有权的国家公园等自然保护地的自然资源资产管理和国土空间用途管制。提出新建、调整各类自然保护地的审核建议并按程序报批，组织世界自然遗产和世界自然与文化双重遗产的申报。负责生物多样性保护相关工作。</w:t>
      </w:r>
    </w:p>
    <w:p w14:paraId="30A7E410">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7.</w:t>
      </w:r>
      <w:r>
        <w:rPr>
          <w:rFonts w:hint="eastAsia" w:ascii="仿宋_GB2312" w:hAnsi="仿宋_GB2312" w:eastAsia="仿宋_GB2312" w:cs="仿宋_GB2312"/>
          <w:kern w:val="0"/>
          <w:sz w:val="32"/>
          <w:szCs w:val="32"/>
        </w:rPr>
        <w:t>负责推进全县林业和草原改革相关工作。拟订集体林权制度、国有林区、草原等重大改革意见并监督实施。拟订农村林业发展、维护林业经营者合法权益的政策措施。指导农村林地承包经营工作。开展退耕（牧）还林还草，负责天然林保护工作。</w:t>
      </w:r>
    </w:p>
    <w:p w14:paraId="769AD61F">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8.</w:t>
      </w:r>
      <w:r>
        <w:rPr>
          <w:rFonts w:hint="eastAsia" w:ascii="仿宋_GB2312" w:hAnsi="仿宋_GB2312" w:eastAsia="仿宋_GB2312" w:cs="仿宋_GB2312"/>
          <w:kern w:val="0"/>
          <w:sz w:val="32"/>
          <w:szCs w:val="32"/>
        </w:rPr>
        <w:t>拟订全县林业和草原资源优化配置及木材利用政策，拟订相关林业产业地方标准并监督实施，组织、指导林草产品质量监督。指导开展林业和草原现代园区建设，指导花卉、特色经济林、森林林下经济、森林康养和生态旅游产业发展。推进林业和草原绿色产业发展。</w:t>
      </w:r>
    </w:p>
    <w:p w14:paraId="381A4EC4">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9.</w:t>
      </w:r>
      <w:r>
        <w:rPr>
          <w:rFonts w:hint="eastAsia" w:ascii="仿宋_GB2312" w:hAnsi="仿宋_GB2312" w:eastAsia="仿宋_GB2312" w:cs="仿宋_GB2312"/>
          <w:kern w:val="0"/>
          <w:sz w:val="32"/>
          <w:szCs w:val="32"/>
        </w:rPr>
        <w:t>指导全县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14:paraId="64B41A62">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10.</w:t>
      </w:r>
      <w:r>
        <w:rPr>
          <w:rFonts w:hint="eastAsia" w:ascii="仿宋_GB2312" w:hAnsi="仿宋_GB2312" w:eastAsia="仿宋_GB2312" w:cs="仿宋_GB2312"/>
          <w:kern w:val="0"/>
          <w:sz w:val="32"/>
          <w:szCs w:val="32"/>
        </w:rPr>
        <w:t>指导全县森林公安工作，监督管理森林公安队伍，指导全县林业重大违法案件的查处，负责相关行政执法监管工作，指导林区社会治安治理工作。</w:t>
      </w:r>
    </w:p>
    <w:p w14:paraId="2436C665">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11.</w:t>
      </w:r>
      <w:r>
        <w:rPr>
          <w:rFonts w:hint="eastAsia" w:ascii="仿宋_GB2312" w:hAnsi="仿宋_GB2312" w:eastAsia="仿宋_GB2312" w:cs="仿宋_GB2312"/>
          <w:kern w:val="0"/>
          <w:sz w:val="32"/>
          <w:szCs w:val="32"/>
        </w:rPr>
        <w:t>负责落实全县综合防灾减灾规划相关要求，组织编制森林和草原火灾防治规划和防护标准并指导实施，组织、指导开展防火巡护、火源管理、防火设施建设等工作。负责森林和草原火情监测预警、火灾预防工作，发送森林和草原火险信息。组织指导国有林场林区和草原开展宣传教育、监测预警、督促检查等防火工作。</w:t>
      </w:r>
    </w:p>
    <w:p w14:paraId="79F5AE2D">
      <w:pPr>
        <w:keepNext w:val="0"/>
        <w:keepLines w:val="0"/>
        <w:widowControl/>
        <w:suppressLineNumbers w:val="0"/>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12.</w:t>
      </w:r>
      <w:r>
        <w:rPr>
          <w:rFonts w:hint="eastAsia" w:ascii="仿宋_GB2312" w:hAnsi="仿宋_GB2312" w:eastAsia="仿宋_GB2312" w:cs="仿宋_GB2312"/>
          <w:kern w:val="0"/>
          <w:sz w:val="32"/>
          <w:szCs w:val="32"/>
        </w:rPr>
        <w:t xml:space="preserve">监督管理全县林业和草原资金和国有资产，提出林业和草原预算内投资、县级财政性资金安排建议，按县政府规定权限，核报、核准规划内和年度计划内投资项目。参与拟订全县林业和草原经济调节政策，组织实施林业和草原生态补偿 </w:t>
      </w:r>
    </w:p>
    <w:p w14:paraId="61F9F63A">
      <w:pPr>
        <w:numPr>
          <w:ilvl w:val="0"/>
          <w:numId w:val="1"/>
        </w:numPr>
        <w:rPr>
          <w:rFonts w:hint="eastAsia"/>
          <w:lang w:eastAsia="zh-CN"/>
        </w:rPr>
      </w:pPr>
      <w:r>
        <w:rPr>
          <w:rFonts w:hint="eastAsia" w:ascii="仿宋_GB2312" w:hAnsi="仿宋_GB2312" w:eastAsia="仿宋_GB2312" w:cs="仿宋_GB2312"/>
          <w:kern w:val="0"/>
          <w:sz w:val="32"/>
          <w:szCs w:val="32"/>
          <w:lang w:eastAsia="zh-CN"/>
        </w:rPr>
        <w:t>13.</w:t>
      </w:r>
      <w:r>
        <w:rPr>
          <w:rFonts w:hint="eastAsia" w:ascii="仿宋_GB2312" w:hAnsi="仿宋_GB2312" w:eastAsia="仿宋_GB2312" w:cs="仿宋_GB2312"/>
          <w:kern w:val="0"/>
          <w:sz w:val="32"/>
          <w:szCs w:val="32"/>
        </w:rPr>
        <w:t>负责林业和草原科技、教育和对外交流工作，指导全县林业和草原人才队伍建设，组织实施林业和草原对外交流与合作事务，承担湿地、防治荒漠化、濒危野生动植物等国际公约履约有关工作。</w:t>
      </w:r>
    </w:p>
    <w:p w14:paraId="116D39CD">
      <w:pPr>
        <w:pStyle w:val="4"/>
        <w:rPr>
          <w:rStyle w:val="30"/>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48FEEDF2">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松潘县林业和草原局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rPr>
        <w:t>个。</w:t>
      </w:r>
    </w:p>
    <w:p w14:paraId="1AC99A1B">
      <w:pPr>
        <w:pStyle w:val="6"/>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松潘县林业和草原局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1770B11C">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bookmarkStart w:id="16" w:name="_Toc15378449"/>
      <w:bookmarkStart w:id="17" w:name="_Toc15306276"/>
      <w:bookmarkStart w:id="18" w:name="_Toc15377433"/>
      <w:bookmarkStart w:id="19" w:name="_Toc15377202"/>
      <w:r>
        <w:rPr>
          <w:rFonts w:hint="eastAsia" w:ascii="Times New Roman" w:hAnsi="Times New Roman" w:eastAsia="仿宋_GB2312" w:cs="仿宋_GB2312"/>
          <w:color w:val="auto"/>
          <w:sz w:val="32"/>
          <w:szCs w:val="32"/>
          <w:highlight w:val="none"/>
        </w:rPr>
        <w:t>办公室</w:t>
      </w:r>
    </w:p>
    <w:p w14:paraId="5515DD9D">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规划发展股</w:t>
      </w:r>
    </w:p>
    <w:p w14:paraId="109B94F7">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生态资源股</w:t>
      </w:r>
    </w:p>
    <w:p w14:paraId="278EA0E9">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防火股</w:t>
      </w:r>
    </w:p>
    <w:p w14:paraId="34DFB1D2">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林长制工作股</w:t>
      </w:r>
      <w:bookmarkEnd w:id="16"/>
      <w:bookmarkEnd w:id="17"/>
      <w:bookmarkEnd w:id="18"/>
      <w:bookmarkEnd w:id="19"/>
    </w:p>
    <w:p w14:paraId="0487DCAE">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松潘县岷江源国家湿地公园事务中心</w:t>
      </w:r>
    </w:p>
    <w:p w14:paraId="51105D5D">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县森林植物检疫站（参公）</w:t>
      </w:r>
    </w:p>
    <w:p w14:paraId="6FBA7B01">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县红土林业和草原工作站</w:t>
      </w:r>
    </w:p>
    <w:p w14:paraId="675EE584">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县川主寺林业和草原工作站</w:t>
      </w:r>
    </w:p>
    <w:p w14:paraId="10190726">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县进安林业和草原工作站</w:t>
      </w:r>
    </w:p>
    <w:p w14:paraId="21298AC9">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县镇江关林业和草原工作站</w:t>
      </w:r>
    </w:p>
    <w:p w14:paraId="7C385F85">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县毛尔盖林业和草原工作站</w:t>
      </w:r>
    </w:p>
    <w:p w14:paraId="1E112272">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县小河林业和草原工作站</w:t>
      </w:r>
    </w:p>
    <w:p w14:paraId="76D1EA4D">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县育苗中心</w:t>
      </w:r>
    </w:p>
    <w:p w14:paraId="304434E4">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大熊猫国家公园松潘管理总站</w:t>
      </w:r>
    </w:p>
    <w:p w14:paraId="73D88239">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县森林草原防火中心</w:t>
      </w:r>
    </w:p>
    <w:p w14:paraId="1996F7C0">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县解放村木材检查站</w:t>
      </w:r>
    </w:p>
    <w:p w14:paraId="5F2602FA">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县小河木材检查站</w:t>
      </w:r>
    </w:p>
    <w:p w14:paraId="7BBF0171">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县草原工作站</w:t>
      </w:r>
    </w:p>
    <w:p w14:paraId="4E3DC4EB">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县国有林保护中心</w:t>
      </w:r>
    </w:p>
    <w:p w14:paraId="40C245EF">
      <w:pPr>
        <w:pStyle w:val="6"/>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县野生动植物保护站。</w:t>
      </w:r>
    </w:p>
    <w:p w14:paraId="6C465413">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7865B08">
      <w:pPr>
        <w:pStyle w:val="3"/>
        <w:jc w:val="center"/>
        <w:rPr>
          <w:rFonts w:hint="eastAsia" w:ascii="Times New Roman" w:hAnsi="Times New Roman" w:eastAsia="方正小标宋简体" w:cs="方正小标宋简体"/>
          <w:b w:val="0"/>
          <w:color w:val="auto"/>
          <w:highlight w:val="none"/>
        </w:rPr>
      </w:pPr>
      <w:bookmarkStart w:id="20" w:name="_Toc15396602"/>
      <w:bookmarkStart w:id="2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0"/>
      <w:bookmarkEnd w:id="21"/>
    </w:p>
    <w:p w14:paraId="2B9FA1C6">
      <w:pPr>
        <w:rPr>
          <w:rFonts w:ascii="Times New Roman" w:hAnsi="Times New Roman"/>
          <w:color w:val="auto"/>
          <w:highlight w:val="none"/>
        </w:rPr>
      </w:pPr>
    </w:p>
    <w:p w14:paraId="43DE833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96603"/>
      <w:bookmarkStart w:id="2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2"/>
      <w:bookmarkEnd w:id="23"/>
    </w:p>
    <w:p w14:paraId="0488947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8763.35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8878.92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101.31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2024年度无年初结转结余资金以及项目减少。</w:t>
      </w:r>
    </w:p>
    <w:p w14:paraId="5A7E67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仿宋_GB2312" w:cs="仿宋_GB2312"/>
          <w:color w:val="auto"/>
          <w:sz w:val="32"/>
          <w:szCs w:val="32"/>
          <w:highlight w:val="none"/>
        </w:rPr>
      </w:pPr>
      <w:r>
        <w:rPr>
          <w:rFonts w:hint="eastAsia" w:ascii="宋体" w:hAnsi="宋体" w:eastAsia="宋体" w:cs="宋体"/>
          <w:kern w:val="0"/>
          <w:sz w:val="24"/>
          <w:szCs w:val="24"/>
          <w:shd w:val="clear" w:fill="FFFFFF"/>
          <w:lang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78D3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4BDD140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96604"/>
      <w:bookmarkStart w:id="25" w:name="_Toc15377206"/>
      <w:r>
        <w:rPr>
          <w:rFonts w:hint="eastAsia" w:ascii="Times New Roman" w:hAnsi="Times New Roman" w:eastAsia="黑体"/>
          <w:color w:val="auto"/>
          <w:sz w:val="32"/>
          <w:szCs w:val="32"/>
          <w:highlight w:val="none"/>
          <w:lang w:eastAsia="zh-CN"/>
        </w:rPr>
        <w:t>二、收入决算情况说明</w:t>
      </w:r>
      <w:bookmarkEnd w:id="24"/>
      <w:bookmarkEnd w:id="25"/>
    </w:p>
    <w:p w14:paraId="602FBBD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8763.35万元，其中：一般公共预算财政拨款收入8763.35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486E2843">
      <w:pPr>
        <w:ind w:firstLine="600" w:firstLineChars="250"/>
        <w:rPr>
          <w:rFonts w:hint="eastAsia" w:ascii="Times New Roman" w:hAnsi="Times New Roman" w:eastAsia="仿宋_GB2312" w:cs="仿宋_GB2312"/>
          <w:color w:val="auto"/>
          <w:sz w:val="32"/>
          <w:szCs w:val="32"/>
          <w:highlight w:val="none"/>
          <w:lang w:eastAsia="zh-CN"/>
        </w:rPr>
      </w:pPr>
      <w:r>
        <w:rPr>
          <w:rFonts w:hint="eastAsia" w:ascii="宋体" w:hAnsi="宋体" w:eastAsia="宋体" w:cs="宋体"/>
          <w:kern w:val="0"/>
          <w:sz w:val="24"/>
          <w:szCs w:val="24"/>
          <w:shd w:val="clear" w:fill="FFFFFF"/>
          <w:lang w:eastAsia="zh-CN"/>
        </w:rPr>
        <w:drawing>
          <wp:inline distT="0" distB="0" distL="114300" distR="114300">
            <wp:extent cx="5256530" cy="2988310"/>
            <wp:effectExtent l="5080" t="4445" r="15240"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ABEAA5">
      <w:pPr>
        <w:ind w:firstLine="800" w:firstLineChars="250"/>
        <w:rPr>
          <w:rFonts w:hint="eastAsia" w:ascii="Times New Roman" w:hAnsi="Times New Roman" w:eastAsia="仿宋_GB2312" w:cs="仿宋_GB2312"/>
          <w:color w:val="auto"/>
          <w:sz w:val="32"/>
          <w:szCs w:val="32"/>
          <w:highlight w:val="none"/>
          <w:lang w:eastAsia="zh-CN"/>
        </w:rPr>
      </w:pPr>
    </w:p>
    <w:p w14:paraId="2BE3A71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6" w:name="_Toc15396605"/>
      <w:bookmarkStart w:id="2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6"/>
      <w:bookmarkEnd w:id="27"/>
    </w:p>
    <w:p w14:paraId="6ACDB99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8763.35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2162.71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24.67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6600.63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75.32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（注：仅罗列本部门涉及的支出）</w:t>
      </w:r>
    </w:p>
    <w:p w14:paraId="05AA92DF">
      <w:pPr>
        <w:ind w:firstLine="600" w:firstLineChars="250"/>
        <w:jc w:val="center"/>
        <w:rPr>
          <w:rFonts w:hint="eastAsia" w:ascii="Times New Roman" w:hAnsi="Times New Roman" w:eastAsia="仿宋_GB2312" w:cs="仿宋_GB2312"/>
          <w:color w:val="auto"/>
          <w:sz w:val="32"/>
          <w:szCs w:val="32"/>
          <w:highlight w:val="none"/>
          <w:lang w:eastAsia="zh-CN"/>
        </w:rPr>
      </w:pPr>
      <w:r>
        <w:rPr>
          <w:rFonts w:hint="eastAsia" w:ascii="宋体" w:hAnsi="宋体" w:eastAsia="宋体" w:cs="宋体"/>
          <w:kern w:val="0"/>
          <w:sz w:val="24"/>
          <w:szCs w:val="24"/>
          <w:shd w:val="clear" w:fill="FFFFFF"/>
          <w:lang w:eastAsia="zh-CN"/>
        </w:rPr>
        <w:drawing>
          <wp:inline distT="0" distB="0" distL="114300" distR="114300">
            <wp:extent cx="4293870" cy="2596515"/>
            <wp:effectExtent l="4445" t="4445" r="6985" b="889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2E76B3">
      <w:pPr>
        <w:spacing w:line="600" w:lineRule="exact"/>
        <w:ind w:firstLine="640" w:firstLineChars="200"/>
        <w:outlineLvl w:val="1"/>
        <w:rPr>
          <w:rStyle w:val="30"/>
          <w:rFonts w:ascii="Times New Roman" w:hAnsi="Times New Roman" w:eastAsia="黑体"/>
          <w:b w:val="0"/>
          <w:color w:val="auto"/>
          <w:highlight w:val="none"/>
        </w:rPr>
      </w:pPr>
      <w:bookmarkStart w:id="28" w:name="_Toc15377208"/>
      <w:bookmarkStart w:id="29"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8"/>
      <w:bookmarkEnd w:id="29"/>
    </w:p>
    <w:p w14:paraId="357F7EC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8763.35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8878.92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101.31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2024年度无年初结转结余资金以及项目减少。</w:t>
      </w:r>
    </w:p>
    <w:p w14:paraId="49C80B0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p>
    <w:p w14:paraId="109728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6D5EC9F">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宋体" w:hAnsi="宋体" w:eastAsia="宋体" w:cs="宋体"/>
          <w:kern w:val="0"/>
          <w:sz w:val="24"/>
          <w:szCs w:val="24"/>
          <w:shd w:val="clear" w:fill="FFFFFF"/>
          <w:lang w:eastAsia="zh-CN"/>
        </w:rPr>
        <w:drawing>
          <wp:inline distT="0" distB="0" distL="114300" distR="114300">
            <wp:extent cx="5256530" cy="2988310"/>
            <wp:effectExtent l="5080" t="4445" r="15240" b="1714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D32D95">
      <w:pPr>
        <w:pStyle w:val="2"/>
        <w:rPr>
          <w:rFonts w:hint="eastAsia" w:ascii="Times New Roman" w:hAnsi="Times New Roman" w:eastAsia="仿宋_GB2312" w:cs="仿宋_GB2312"/>
          <w:color w:val="auto"/>
          <w:kern w:val="2"/>
          <w:sz w:val="32"/>
          <w:szCs w:val="32"/>
          <w:highlight w:val="none"/>
          <w:lang w:val="en-US" w:eastAsia="zh-CN" w:bidi="ar-SA"/>
        </w:rPr>
      </w:pPr>
    </w:p>
    <w:p w14:paraId="6FC76465">
      <w:pPr>
        <w:spacing w:line="600" w:lineRule="exact"/>
        <w:ind w:firstLine="640" w:firstLineChars="200"/>
        <w:outlineLvl w:val="1"/>
        <w:rPr>
          <w:rStyle w:val="30"/>
          <w:rFonts w:ascii="Times New Roman" w:hAnsi="Times New Roman" w:eastAsia="黑体"/>
          <w:b w:val="0"/>
          <w:color w:val="auto"/>
          <w:highlight w:val="none"/>
        </w:rPr>
      </w:pPr>
      <w:bookmarkStart w:id="30" w:name="_Toc15396607"/>
      <w:bookmarkStart w:id="3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0"/>
      <w:bookmarkEnd w:id="31"/>
    </w:p>
    <w:p w14:paraId="278FCD3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2"/>
    </w:p>
    <w:p w14:paraId="5CE70BE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楷体_GB2312" w:cs="楷体_GB2312"/>
          <w:b/>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8763.35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8878.92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101.31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2024年度无年初结转结余资金以及项目减少。</w:t>
      </w:r>
      <w:bookmarkStart w:id="33" w:name="_Toc15377211"/>
    </w:p>
    <w:p w14:paraId="34A0E84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F72E15C">
      <w:pPr>
        <w:pStyle w:val="2"/>
        <w:rPr>
          <w:rFonts w:hint="eastAsia" w:ascii="Times New Roman" w:hAnsi="Times New Roman" w:eastAsia="楷体_GB2312" w:cs="楷体_GB2312"/>
          <w:b/>
          <w:color w:val="auto"/>
          <w:sz w:val="32"/>
          <w:szCs w:val="32"/>
          <w:highlight w:val="none"/>
        </w:rPr>
      </w:pPr>
      <w:r>
        <w:rPr>
          <w:rFonts w:hint="eastAsia" w:ascii="宋体" w:hAnsi="宋体" w:eastAsia="宋体" w:cs="宋体"/>
          <w:kern w:val="0"/>
          <w:sz w:val="24"/>
          <w:szCs w:val="24"/>
          <w:shd w:val="clear" w:fill="FFFFFF"/>
          <w:lang w:eastAsia="zh-CN"/>
        </w:rPr>
        <w:drawing>
          <wp:inline distT="0" distB="0" distL="114300" distR="114300">
            <wp:extent cx="5256530" cy="2988310"/>
            <wp:effectExtent l="5080" t="4445" r="15240" b="1714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787BBF">
      <w:pPr>
        <w:pStyle w:val="2"/>
        <w:rPr>
          <w:rFonts w:hint="eastAsia" w:ascii="Times New Roman" w:hAnsi="Times New Roman" w:eastAsia="楷体_GB2312" w:cs="楷体_GB2312"/>
          <w:b/>
          <w:color w:val="auto"/>
          <w:sz w:val="32"/>
          <w:szCs w:val="32"/>
          <w:highlight w:val="none"/>
        </w:rPr>
      </w:pPr>
    </w:p>
    <w:p w14:paraId="45DAD6ED">
      <w:pPr>
        <w:pStyle w:val="2"/>
        <w:rPr>
          <w:rFonts w:hint="eastAsia" w:ascii="Times New Roman" w:hAnsi="Times New Roman" w:eastAsia="楷体_GB2312" w:cs="楷体_GB2312"/>
          <w:b/>
          <w:color w:val="auto"/>
          <w:sz w:val="32"/>
          <w:szCs w:val="32"/>
          <w:highlight w:val="none"/>
        </w:rPr>
      </w:pPr>
    </w:p>
    <w:p w14:paraId="3191ACE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33"/>
    </w:p>
    <w:p w14:paraId="5493FF17">
      <w:pPr>
        <w:spacing w:line="600" w:lineRule="exact"/>
        <w:ind w:firstLine="640"/>
        <w:rPr>
          <w:rFonts w:hint="eastAsia" w:ascii="仿宋_GB2312" w:hAnsi="仿宋_GB2312" w:eastAsia="仿宋_GB2312" w:cs="仿宋_GB2312"/>
          <w:b w:val="0"/>
          <w:bCs w:val="0"/>
          <w:kern w:val="0"/>
          <w:sz w:val="32"/>
          <w:szCs w:val="32"/>
          <w:shd w:val="clear" w:fill="FFFFFF"/>
          <w:lang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8763.35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622.65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7.11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91.17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112.65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kern w:val="0"/>
          <w:sz w:val="32"/>
          <w:szCs w:val="32"/>
          <w:shd w:val="clear" w:fill="FFFFFF"/>
        </w:rPr>
        <w:t>节能环保支出（类）</w:t>
      </w:r>
      <w:r>
        <w:rPr>
          <w:rFonts w:hint="eastAsia" w:ascii="仿宋_GB2312" w:hAnsi="仿宋_GB2312" w:eastAsia="仿宋_GB2312" w:cs="仿宋_GB2312"/>
          <w:b w:val="0"/>
          <w:bCs w:val="0"/>
          <w:kern w:val="0"/>
          <w:sz w:val="32"/>
          <w:szCs w:val="32"/>
          <w:shd w:val="clear" w:fill="FFFFFF"/>
          <w:lang w:val="en-US" w:eastAsia="zh-CN"/>
        </w:rPr>
        <w:t>2465.16</w:t>
      </w:r>
      <w:r>
        <w:rPr>
          <w:rFonts w:hint="eastAsia" w:ascii="仿宋_GB2312" w:hAnsi="仿宋_GB2312" w:eastAsia="仿宋_GB2312" w:cs="仿宋_GB2312"/>
          <w:b w:val="0"/>
          <w:bCs w:val="0"/>
          <w:kern w:val="0"/>
          <w:sz w:val="32"/>
          <w:szCs w:val="32"/>
          <w:shd w:val="clear" w:fill="FFFFFF"/>
        </w:rPr>
        <w:t>万元，占比</w:t>
      </w:r>
      <w:r>
        <w:rPr>
          <w:rFonts w:hint="eastAsia" w:ascii="仿宋_GB2312" w:hAnsi="仿宋_GB2312" w:eastAsia="仿宋_GB2312" w:cs="仿宋_GB2312"/>
          <w:b w:val="0"/>
          <w:bCs w:val="0"/>
          <w:kern w:val="0"/>
          <w:sz w:val="32"/>
          <w:szCs w:val="32"/>
          <w:shd w:val="clear" w:fill="FFFFFF"/>
          <w:lang w:val="en-US" w:eastAsia="zh-CN"/>
        </w:rPr>
        <w:t>28.13</w:t>
      </w:r>
      <w:r>
        <w:rPr>
          <w:rFonts w:hint="eastAsia" w:ascii="仿宋_GB2312" w:hAnsi="仿宋_GB2312" w:eastAsia="仿宋_GB2312" w:cs="仿宋_GB2312"/>
          <w:b w:val="0"/>
          <w:bCs w:val="0"/>
          <w:kern w:val="0"/>
          <w:sz w:val="32"/>
          <w:szCs w:val="32"/>
          <w:shd w:val="clear" w:fill="FFFFFF"/>
        </w:rPr>
        <w:t>%；农林水支出（类）</w:t>
      </w:r>
      <w:r>
        <w:rPr>
          <w:rFonts w:hint="eastAsia" w:ascii="仿宋_GB2312" w:hAnsi="仿宋_GB2312" w:eastAsia="仿宋_GB2312" w:cs="仿宋_GB2312"/>
          <w:b w:val="0"/>
          <w:bCs w:val="0"/>
          <w:kern w:val="0"/>
          <w:sz w:val="32"/>
          <w:szCs w:val="32"/>
          <w:shd w:val="clear" w:fill="FFFFFF"/>
          <w:lang w:val="en-US" w:eastAsia="zh-CN"/>
        </w:rPr>
        <w:t>4665.44</w:t>
      </w:r>
      <w:r>
        <w:rPr>
          <w:rFonts w:hint="eastAsia" w:ascii="仿宋_GB2312" w:hAnsi="仿宋_GB2312" w:eastAsia="仿宋_GB2312" w:cs="仿宋_GB2312"/>
          <w:b w:val="0"/>
          <w:bCs w:val="0"/>
          <w:kern w:val="0"/>
          <w:sz w:val="32"/>
          <w:szCs w:val="32"/>
          <w:shd w:val="clear" w:fill="FFFFFF"/>
        </w:rPr>
        <w:t>万元，占比</w:t>
      </w:r>
      <w:r>
        <w:rPr>
          <w:rFonts w:hint="eastAsia" w:ascii="仿宋_GB2312" w:hAnsi="仿宋_GB2312" w:eastAsia="仿宋_GB2312" w:cs="仿宋_GB2312"/>
          <w:b w:val="0"/>
          <w:bCs w:val="0"/>
          <w:kern w:val="0"/>
          <w:sz w:val="32"/>
          <w:szCs w:val="32"/>
          <w:shd w:val="clear" w:fill="FFFFFF"/>
          <w:lang w:val="en-US" w:eastAsia="zh-CN"/>
        </w:rPr>
        <w:t>53.23%</w:t>
      </w:r>
      <w:r>
        <w:rPr>
          <w:rFonts w:hint="eastAsia" w:ascii="仿宋_GB2312" w:hAnsi="仿宋_GB2312" w:eastAsia="仿宋_GB2312" w:cs="仿宋_GB2312"/>
          <w:b w:val="0"/>
          <w:bCs w:val="0"/>
          <w:kern w:val="0"/>
          <w:sz w:val="32"/>
          <w:szCs w:val="32"/>
          <w:shd w:val="clear" w:fill="FFFFFF"/>
        </w:rPr>
        <w:t>；自然资源海洋气象（类）等支出</w:t>
      </w:r>
      <w:r>
        <w:rPr>
          <w:rFonts w:hint="eastAsia" w:ascii="仿宋_GB2312" w:hAnsi="仿宋_GB2312" w:eastAsia="仿宋_GB2312" w:cs="仿宋_GB2312"/>
          <w:b w:val="0"/>
          <w:bCs w:val="0"/>
          <w:kern w:val="0"/>
          <w:sz w:val="32"/>
          <w:szCs w:val="32"/>
          <w:shd w:val="clear" w:fill="FFFFFF"/>
          <w:lang w:val="en-US" w:eastAsia="zh-CN"/>
        </w:rPr>
        <w:t>806.28</w:t>
      </w:r>
      <w:r>
        <w:rPr>
          <w:rFonts w:hint="eastAsia" w:ascii="仿宋_GB2312" w:hAnsi="仿宋_GB2312" w:eastAsia="仿宋_GB2312" w:cs="仿宋_GB2312"/>
          <w:b w:val="0"/>
          <w:bCs w:val="0"/>
          <w:kern w:val="0"/>
          <w:sz w:val="32"/>
          <w:szCs w:val="32"/>
          <w:shd w:val="clear" w:fill="FFFFFF"/>
        </w:rPr>
        <w:t>万元，占比</w:t>
      </w:r>
      <w:r>
        <w:rPr>
          <w:rFonts w:hint="eastAsia" w:ascii="仿宋_GB2312" w:hAnsi="仿宋_GB2312" w:eastAsia="仿宋_GB2312" w:cs="仿宋_GB2312"/>
          <w:b w:val="0"/>
          <w:bCs w:val="0"/>
          <w:kern w:val="0"/>
          <w:sz w:val="32"/>
          <w:szCs w:val="32"/>
          <w:shd w:val="clear" w:fill="FFFFFF"/>
          <w:lang w:val="en-US" w:eastAsia="zh-CN"/>
        </w:rPr>
        <w:t>9.20</w:t>
      </w:r>
      <w:r>
        <w:rPr>
          <w:rFonts w:hint="eastAsia" w:ascii="仿宋_GB2312" w:hAnsi="仿宋_GB2312" w:eastAsia="仿宋_GB2312" w:cs="仿宋_GB2312"/>
          <w:b w:val="0"/>
          <w:bCs w:val="0"/>
          <w:kern w:val="0"/>
          <w:sz w:val="32"/>
          <w:szCs w:val="32"/>
          <w:shd w:val="clear" w:fill="FFFFFF"/>
        </w:rPr>
        <w:t>%</w:t>
      </w:r>
      <w:r>
        <w:rPr>
          <w:rFonts w:hint="eastAsia" w:ascii="仿宋_GB2312" w:hAnsi="仿宋_GB2312" w:eastAsia="仿宋_GB2312" w:cs="仿宋_GB2312"/>
          <w:b w:val="0"/>
          <w:bCs w:val="0"/>
          <w:kern w:val="0"/>
          <w:sz w:val="32"/>
          <w:szCs w:val="32"/>
          <w:shd w:val="clear" w:fill="FFFFFF"/>
          <w:lang w:eastAsia="zh-CN"/>
        </w:rPr>
        <w:t>。</w:t>
      </w:r>
    </w:p>
    <w:p w14:paraId="62B2344D">
      <w:pPr>
        <w:pStyle w:val="2"/>
        <w:rPr>
          <w:rFonts w:hint="eastAsia"/>
          <w:lang w:eastAsia="zh-CN"/>
        </w:rPr>
      </w:pPr>
      <w:r>
        <w:rPr>
          <w:rFonts w:hint="eastAsia"/>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D8D6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2"/>
    </w:p>
    <w:p w14:paraId="14F381F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4"/>
    </w:p>
    <w:p w14:paraId="3F544D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5" w:name="_Toc15377213"/>
      <w:bookmarkStart w:id="36" w:name="_Toc15378460"/>
      <w:bookmarkStart w:id="3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8763.35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5"/>
      <w:bookmarkEnd w:id="36"/>
      <w:bookmarkEnd w:id="37"/>
    </w:p>
    <w:p w14:paraId="13BCA7F1">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Fonts w:hint="eastAsia" w:ascii="仿宋_GB2312" w:hAnsi="仿宋_GB2312" w:eastAsia="仿宋_GB2312" w:cs="仿宋_GB2312"/>
          <w:b w:val="0"/>
          <w:bCs w:val="0"/>
          <w:kern w:val="0"/>
          <w:sz w:val="32"/>
          <w:szCs w:val="32"/>
          <w:shd w:val="clear" w:fill="FFFFFF"/>
        </w:rPr>
      </w:pPr>
      <w:r>
        <w:rPr>
          <w:rFonts w:hint="eastAsia" w:ascii="仿宋_GB2312" w:hAnsi="仿宋_GB2312" w:eastAsia="仿宋_GB2312" w:cs="仿宋_GB2312"/>
          <w:b w:val="0"/>
          <w:bCs w:val="0"/>
          <w:kern w:val="0"/>
          <w:sz w:val="32"/>
          <w:szCs w:val="32"/>
          <w:shd w:val="clear" w:fill="FFFFFF"/>
          <w:lang w:val="en-US" w:eastAsia="zh-CN" w:bidi="ar"/>
        </w:rPr>
        <w:t>1.</w:t>
      </w:r>
      <w:r>
        <w:rPr>
          <w:rStyle w:val="37"/>
          <w:rFonts w:hint="eastAsia" w:ascii="仿宋_GB2312" w:hAnsi="仿宋_GB2312" w:eastAsia="仿宋_GB2312" w:cs="仿宋_GB2312"/>
          <w:b w:val="0"/>
          <w:bCs w:val="0"/>
          <w:sz w:val="32"/>
          <w:szCs w:val="32"/>
          <w:shd w:val="clear" w:fill="FFFFFF"/>
        </w:rPr>
        <w:t>社会保障和就业（类）208（款）05（项）05: 支出决算为</w:t>
      </w:r>
      <w:r>
        <w:rPr>
          <w:rStyle w:val="37"/>
          <w:rFonts w:hint="eastAsia" w:ascii="仿宋_GB2312" w:hAnsi="仿宋_GB2312" w:eastAsia="仿宋_GB2312" w:cs="仿宋_GB2312"/>
          <w:b w:val="0"/>
          <w:bCs w:val="0"/>
          <w:sz w:val="32"/>
          <w:szCs w:val="32"/>
          <w:shd w:val="clear" w:fill="FFFFFF"/>
          <w:lang w:val="en-US" w:eastAsia="zh-CN"/>
        </w:rPr>
        <w:t>135.32</w:t>
      </w:r>
      <w:r>
        <w:rPr>
          <w:rStyle w:val="37"/>
          <w:rFonts w:hint="eastAsia" w:ascii="仿宋_GB2312" w:hAnsi="仿宋_GB2312" w:eastAsia="仿宋_GB2312" w:cs="仿宋_GB2312"/>
          <w:b w:val="0"/>
          <w:bCs w:val="0"/>
          <w:sz w:val="32"/>
          <w:szCs w:val="32"/>
          <w:shd w:val="clear" w:fill="FFFFFF"/>
        </w:rPr>
        <w:t>万元，完成预算100%，决算数等于预算数。</w:t>
      </w:r>
    </w:p>
    <w:p w14:paraId="75FA42FA">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Style w:val="38"/>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2.</w:t>
      </w:r>
      <w:r>
        <w:rPr>
          <w:rStyle w:val="38"/>
          <w:rFonts w:hint="eastAsia" w:ascii="仿宋_GB2312" w:hAnsi="仿宋_GB2312" w:eastAsia="仿宋_GB2312" w:cs="仿宋_GB2312"/>
          <w:b w:val="0"/>
          <w:bCs w:val="0"/>
          <w:sz w:val="32"/>
          <w:szCs w:val="32"/>
        </w:rPr>
        <w:t>社会保障和就业（类）208（款）05（项）06: 支出决算为</w:t>
      </w:r>
      <w:r>
        <w:rPr>
          <w:rStyle w:val="38"/>
          <w:rFonts w:hint="eastAsia" w:ascii="仿宋_GB2312" w:hAnsi="仿宋_GB2312" w:eastAsia="仿宋_GB2312" w:cs="仿宋_GB2312"/>
          <w:b w:val="0"/>
          <w:bCs w:val="0"/>
          <w:sz w:val="32"/>
          <w:szCs w:val="32"/>
          <w:lang w:val="en-US" w:eastAsia="zh-CN"/>
        </w:rPr>
        <w:t>68.04</w:t>
      </w:r>
      <w:r>
        <w:rPr>
          <w:rStyle w:val="38"/>
          <w:rFonts w:hint="eastAsia" w:ascii="仿宋_GB2312" w:hAnsi="仿宋_GB2312" w:eastAsia="仿宋_GB2312" w:cs="仿宋_GB2312"/>
          <w:b w:val="0"/>
          <w:bCs w:val="0"/>
          <w:sz w:val="32"/>
          <w:szCs w:val="32"/>
        </w:rPr>
        <w:t>万元，完成预算100%，决算数等于预算数。</w:t>
      </w:r>
    </w:p>
    <w:p w14:paraId="2B89E594">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Style w:val="38"/>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3.</w:t>
      </w:r>
      <w:r>
        <w:rPr>
          <w:rStyle w:val="38"/>
          <w:rFonts w:hint="eastAsia" w:ascii="仿宋_GB2312" w:hAnsi="仿宋_GB2312" w:eastAsia="仿宋_GB2312" w:cs="仿宋_GB2312"/>
          <w:b w:val="0"/>
          <w:bCs w:val="0"/>
          <w:sz w:val="32"/>
          <w:szCs w:val="32"/>
        </w:rPr>
        <w:t>社会保障和就业（类）208（款）</w:t>
      </w:r>
      <w:r>
        <w:rPr>
          <w:rStyle w:val="38"/>
          <w:rFonts w:hint="eastAsia" w:ascii="仿宋_GB2312" w:hAnsi="仿宋_GB2312" w:eastAsia="仿宋_GB2312" w:cs="仿宋_GB2312"/>
          <w:b w:val="0"/>
          <w:bCs w:val="0"/>
          <w:sz w:val="32"/>
          <w:szCs w:val="32"/>
          <w:lang w:val="en-US" w:eastAsia="zh-CN"/>
        </w:rPr>
        <w:t>07</w:t>
      </w:r>
      <w:r>
        <w:rPr>
          <w:rStyle w:val="38"/>
          <w:rFonts w:hint="eastAsia" w:ascii="仿宋_GB2312" w:hAnsi="仿宋_GB2312" w:eastAsia="仿宋_GB2312" w:cs="仿宋_GB2312"/>
          <w:b w:val="0"/>
          <w:bCs w:val="0"/>
          <w:sz w:val="32"/>
          <w:szCs w:val="32"/>
        </w:rPr>
        <w:t>（项）</w:t>
      </w:r>
      <w:r>
        <w:rPr>
          <w:rStyle w:val="38"/>
          <w:rFonts w:hint="eastAsia" w:ascii="仿宋_GB2312" w:hAnsi="仿宋_GB2312" w:eastAsia="仿宋_GB2312" w:cs="仿宋_GB2312"/>
          <w:b w:val="0"/>
          <w:bCs w:val="0"/>
          <w:sz w:val="32"/>
          <w:szCs w:val="32"/>
          <w:lang w:val="en-US" w:eastAsia="zh-CN"/>
        </w:rPr>
        <w:t>05</w:t>
      </w:r>
      <w:r>
        <w:rPr>
          <w:rStyle w:val="38"/>
          <w:rFonts w:hint="eastAsia" w:ascii="仿宋_GB2312" w:hAnsi="仿宋_GB2312" w:eastAsia="仿宋_GB2312" w:cs="仿宋_GB2312"/>
          <w:b w:val="0"/>
          <w:bCs w:val="0"/>
          <w:sz w:val="32"/>
          <w:szCs w:val="32"/>
        </w:rPr>
        <w:t>: 支出决算为</w:t>
      </w:r>
      <w:r>
        <w:rPr>
          <w:rStyle w:val="38"/>
          <w:rFonts w:hint="eastAsia" w:ascii="仿宋_GB2312" w:hAnsi="仿宋_GB2312" w:eastAsia="仿宋_GB2312" w:cs="仿宋_GB2312"/>
          <w:b w:val="0"/>
          <w:bCs w:val="0"/>
          <w:sz w:val="32"/>
          <w:szCs w:val="32"/>
          <w:lang w:val="en-US" w:eastAsia="zh-CN"/>
        </w:rPr>
        <w:t>419.28</w:t>
      </w:r>
      <w:r>
        <w:rPr>
          <w:rStyle w:val="38"/>
          <w:rFonts w:hint="eastAsia" w:ascii="仿宋_GB2312" w:hAnsi="仿宋_GB2312" w:eastAsia="仿宋_GB2312" w:cs="仿宋_GB2312"/>
          <w:b w:val="0"/>
          <w:bCs w:val="0"/>
          <w:sz w:val="32"/>
          <w:szCs w:val="32"/>
        </w:rPr>
        <w:t>万元，完成预算100%，决算数等于预算数。</w:t>
      </w:r>
    </w:p>
    <w:p w14:paraId="7728E732">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
        </w:rPr>
        <w:t>4.</w:t>
      </w:r>
      <w:r>
        <w:rPr>
          <w:rStyle w:val="37"/>
          <w:rFonts w:hint="eastAsia" w:ascii="仿宋_GB2312" w:hAnsi="仿宋_GB2312" w:eastAsia="仿宋_GB2312" w:cs="仿宋_GB2312"/>
          <w:b w:val="0"/>
          <w:bCs w:val="0"/>
          <w:sz w:val="32"/>
          <w:szCs w:val="32"/>
          <w:shd w:val="clear" w:fill="FFFFFF"/>
        </w:rPr>
        <w:t>卫生健康（类）210（款）11（项）01</w:t>
      </w:r>
      <w:r>
        <w:rPr>
          <w:rStyle w:val="37"/>
          <w:rFonts w:hint="eastAsia" w:ascii="仿宋_GB2312" w:hAnsi="仿宋_GB2312" w:eastAsia="仿宋_GB2312" w:cs="仿宋_GB2312"/>
          <w:b w:val="0"/>
          <w:bCs w:val="0"/>
          <w:sz w:val="32"/>
          <w:szCs w:val="32"/>
          <w:shd w:val="clear" w:fill="FFFFFF"/>
          <w:lang w:eastAsia="zh-CN"/>
        </w:rPr>
        <w:t>：</w:t>
      </w:r>
      <w:r>
        <w:rPr>
          <w:rStyle w:val="37"/>
          <w:rFonts w:hint="eastAsia" w:ascii="仿宋_GB2312" w:hAnsi="仿宋_GB2312" w:eastAsia="仿宋_GB2312" w:cs="仿宋_GB2312"/>
          <w:b w:val="0"/>
          <w:bCs w:val="0"/>
          <w:sz w:val="32"/>
          <w:szCs w:val="32"/>
          <w:shd w:val="clear" w:fill="FFFFFF"/>
        </w:rPr>
        <w:t>支出决算为</w:t>
      </w:r>
      <w:r>
        <w:rPr>
          <w:rStyle w:val="37"/>
          <w:rFonts w:hint="eastAsia" w:ascii="仿宋_GB2312" w:hAnsi="仿宋_GB2312" w:eastAsia="仿宋_GB2312" w:cs="仿宋_GB2312"/>
          <w:b w:val="0"/>
          <w:bCs w:val="0"/>
          <w:sz w:val="32"/>
          <w:szCs w:val="32"/>
          <w:shd w:val="clear" w:fill="FFFFFF"/>
          <w:lang w:val="en-US" w:eastAsia="zh-CN"/>
        </w:rPr>
        <w:t>16.20</w:t>
      </w:r>
      <w:r>
        <w:rPr>
          <w:rStyle w:val="37"/>
          <w:rFonts w:hint="eastAsia" w:ascii="仿宋_GB2312" w:hAnsi="仿宋_GB2312" w:eastAsia="仿宋_GB2312" w:cs="仿宋_GB2312"/>
          <w:b w:val="0"/>
          <w:bCs w:val="0"/>
          <w:sz w:val="32"/>
          <w:szCs w:val="32"/>
          <w:shd w:val="clear" w:fill="FFFFFF"/>
        </w:rPr>
        <w:t>万元，完成预算100%，决算数等于预算数</w:t>
      </w:r>
      <w:r>
        <w:rPr>
          <w:rStyle w:val="38"/>
          <w:rFonts w:hint="eastAsia" w:ascii="仿宋_GB2312" w:hAnsi="仿宋_GB2312" w:eastAsia="仿宋_GB2312" w:cs="仿宋_GB2312"/>
          <w:b w:val="0"/>
          <w:bCs w:val="0"/>
          <w:sz w:val="32"/>
          <w:szCs w:val="32"/>
        </w:rPr>
        <w:t>。</w:t>
      </w:r>
    </w:p>
    <w:p w14:paraId="4E0BD24C">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
        </w:rPr>
        <w:t>5.</w:t>
      </w:r>
      <w:r>
        <w:rPr>
          <w:rStyle w:val="37"/>
          <w:rFonts w:hint="eastAsia" w:ascii="仿宋_GB2312" w:hAnsi="仿宋_GB2312" w:eastAsia="仿宋_GB2312" w:cs="仿宋_GB2312"/>
          <w:b w:val="0"/>
          <w:bCs w:val="0"/>
          <w:sz w:val="32"/>
          <w:szCs w:val="32"/>
          <w:shd w:val="clear" w:fill="FFFFFF"/>
        </w:rPr>
        <w:t>卫生健康（类）210（款）11（项）0</w:t>
      </w:r>
      <w:r>
        <w:rPr>
          <w:rStyle w:val="37"/>
          <w:rFonts w:hint="eastAsia" w:ascii="仿宋_GB2312" w:hAnsi="仿宋_GB2312" w:eastAsia="仿宋_GB2312" w:cs="仿宋_GB2312"/>
          <w:b w:val="0"/>
          <w:bCs w:val="0"/>
          <w:sz w:val="32"/>
          <w:szCs w:val="32"/>
          <w:shd w:val="clear" w:fill="FFFFFF"/>
          <w:lang w:val="en-US" w:eastAsia="zh-CN"/>
        </w:rPr>
        <w:t>2：</w:t>
      </w:r>
      <w:r>
        <w:rPr>
          <w:rStyle w:val="37"/>
          <w:rFonts w:hint="eastAsia" w:ascii="仿宋_GB2312" w:hAnsi="仿宋_GB2312" w:eastAsia="仿宋_GB2312" w:cs="仿宋_GB2312"/>
          <w:b w:val="0"/>
          <w:bCs w:val="0"/>
          <w:sz w:val="32"/>
          <w:szCs w:val="32"/>
          <w:shd w:val="clear" w:fill="FFFFFF"/>
        </w:rPr>
        <w:t>支出决算为</w:t>
      </w:r>
      <w:r>
        <w:rPr>
          <w:rStyle w:val="37"/>
          <w:rFonts w:hint="eastAsia" w:ascii="仿宋_GB2312" w:hAnsi="仿宋_GB2312" w:eastAsia="仿宋_GB2312" w:cs="仿宋_GB2312"/>
          <w:b w:val="0"/>
          <w:bCs w:val="0"/>
          <w:sz w:val="32"/>
          <w:szCs w:val="32"/>
          <w:shd w:val="clear" w:fill="FFFFFF"/>
          <w:lang w:val="en-US" w:eastAsia="zh-CN"/>
        </w:rPr>
        <w:t>49.10</w:t>
      </w:r>
      <w:r>
        <w:rPr>
          <w:rStyle w:val="37"/>
          <w:rFonts w:hint="eastAsia" w:ascii="仿宋_GB2312" w:hAnsi="仿宋_GB2312" w:eastAsia="仿宋_GB2312" w:cs="仿宋_GB2312"/>
          <w:b w:val="0"/>
          <w:bCs w:val="0"/>
          <w:sz w:val="32"/>
          <w:szCs w:val="32"/>
          <w:shd w:val="clear" w:fill="FFFFFF"/>
        </w:rPr>
        <w:t>万元，完成预算100%，决算数等于预算数</w:t>
      </w:r>
      <w:r>
        <w:rPr>
          <w:rStyle w:val="38"/>
          <w:rFonts w:hint="eastAsia" w:ascii="仿宋_GB2312" w:hAnsi="仿宋_GB2312" w:eastAsia="仿宋_GB2312" w:cs="仿宋_GB2312"/>
          <w:b w:val="0"/>
          <w:bCs w:val="0"/>
          <w:sz w:val="32"/>
          <w:szCs w:val="32"/>
        </w:rPr>
        <w:t>。</w:t>
      </w:r>
    </w:p>
    <w:p w14:paraId="21F123F8">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
        </w:rPr>
        <w:t>6.</w:t>
      </w:r>
      <w:r>
        <w:rPr>
          <w:rStyle w:val="37"/>
          <w:rFonts w:hint="eastAsia" w:ascii="仿宋_GB2312" w:hAnsi="仿宋_GB2312" w:eastAsia="仿宋_GB2312" w:cs="仿宋_GB2312"/>
          <w:b w:val="0"/>
          <w:bCs w:val="0"/>
          <w:sz w:val="32"/>
          <w:szCs w:val="32"/>
          <w:shd w:val="clear" w:fill="FFFFFF"/>
        </w:rPr>
        <w:t>卫生健康（类）210（款）11（项）03</w:t>
      </w:r>
      <w:r>
        <w:rPr>
          <w:rStyle w:val="37"/>
          <w:rFonts w:hint="eastAsia" w:ascii="仿宋_GB2312" w:hAnsi="仿宋_GB2312" w:eastAsia="仿宋_GB2312" w:cs="仿宋_GB2312"/>
          <w:b w:val="0"/>
          <w:bCs w:val="0"/>
          <w:sz w:val="32"/>
          <w:szCs w:val="32"/>
          <w:shd w:val="clear" w:fill="FFFFFF"/>
          <w:lang w:eastAsia="zh-CN"/>
        </w:rPr>
        <w:t>：</w:t>
      </w:r>
      <w:r>
        <w:rPr>
          <w:rStyle w:val="37"/>
          <w:rFonts w:hint="eastAsia" w:ascii="仿宋_GB2312" w:hAnsi="仿宋_GB2312" w:eastAsia="仿宋_GB2312" w:cs="仿宋_GB2312"/>
          <w:b w:val="0"/>
          <w:bCs w:val="0"/>
          <w:sz w:val="32"/>
          <w:szCs w:val="32"/>
          <w:shd w:val="clear" w:fill="FFFFFF"/>
        </w:rPr>
        <w:t>支出决算为</w:t>
      </w:r>
      <w:r>
        <w:rPr>
          <w:rStyle w:val="37"/>
          <w:rFonts w:hint="eastAsia" w:ascii="仿宋_GB2312" w:hAnsi="仿宋_GB2312" w:eastAsia="仿宋_GB2312" w:cs="仿宋_GB2312"/>
          <w:b w:val="0"/>
          <w:bCs w:val="0"/>
          <w:sz w:val="32"/>
          <w:szCs w:val="32"/>
          <w:shd w:val="clear" w:fill="FFFFFF"/>
          <w:lang w:val="en-US" w:eastAsia="zh-CN"/>
        </w:rPr>
        <w:t>11.23</w:t>
      </w:r>
      <w:r>
        <w:rPr>
          <w:rStyle w:val="37"/>
          <w:rFonts w:hint="eastAsia" w:ascii="仿宋_GB2312" w:hAnsi="仿宋_GB2312" w:eastAsia="仿宋_GB2312" w:cs="仿宋_GB2312"/>
          <w:b w:val="0"/>
          <w:bCs w:val="0"/>
          <w:sz w:val="32"/>
          <w:szCs w:val="32"/>
          <w:shd w:val="clear" w:fill="FFFFFF"/>
        </w:rPr>
        <w:t>万元，完成预算100%，决算数等于预算数</w:t>
      </w:r>
      <w:r>
        <w:rPr>
          <w:rStyle w:val="38"/>
          <w:rFonts w:hint="eastAsia" w:ascii="仿宋_GB2312" w:hAnsi="仿宋_GB2312" w:eastAsia="仿宋_GB2312" w:cs="仿宋_GB2312"/>
          <w:b w:val="0"/>
          <w:bCs w:val="0"/>
          <w:sz w:val="32"/>
          <w:szCs w:val="32"/>
        </w:rPr>
        <w:t>。</w:t>
      </w:r>
    </w:p>
    <w:p w14:paraId="404EE628">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
        </w:rPr>
        <w:t>7.</w:t>
      </w:r>
      <w:r>
        <w:rPr>
          <w:rStyle w:val="37"/>
          <w:rFonts w:hint="eastAsia" w:ascii="仿宋_GB2312" w:hAnsi="仿宋_GB2312" w:eastAsia="仿宋_GB2312" w:cs="仿宋_GB2312"/>
          <w:b w:val="0"/>
          <w:bCs w:val="0"/>
          <w:sz w:val="32"/>
          <w:szCs w:val="32"/>
          <w:shd w:val="clear" w:fill="FFFFFF"/>
        </w:rPr>
        <w:t>卫生健康（类）210（款）11（项）</w:t>
      </w:r>
      <w:r>
        <w:rPr>
          <w:rStyle w:val="37"/>
          <w:rFonts w:hint="eastAsia" w:ascii="仿宋_GB2312" w:hAnsi="仿宋_GB2312" w:eastAsia="仿宋_GB2312" w:cs="仿宋_GB2312"/>
          <w:b w:val="0"/>
          <w:bCs w:val="0"/>
          <w:sz w:val="32"/>
          <w:szCs w:val="32"/>
          <w:shd w:val="clear" w:fill="FFFFFF"/>
          <w:lang w:val="en-US" w:eastAsia="zh-CN"/>
        </w:rPr>
        <w:t>99：</w:t>
      </w:r>
      <w:r>
        <w:rPr>
          <w:rStyle w:val="37"/>
          <w:rFonts w:hint="eastAsia" w:ascii="仿宋_GB2312" w:hAnsi="仿宋_GB2312" w:eastAsia="仿宋_GB2312" w:cs="仿宋_GB2312"/>
          <w:b w:val="0"/>
          <w:bCs w:val="0"/>
          <w:sz w:val="32"/>
          <w:szCs w:val="32"/>
          <w:shd w:val="clear" w:fill="FFFFFF"/>
        </w:rPr>
        <w:t>支出决算为</w:t>
      </w:r>
      <w:r>
        <w:rPr>
          <w:rStyle w:val="37"/>
          <w:rFonts w:hint="eastAsia" w:ascii="仿宋_GB2312" w:hAnsi="仿宋_GB2312" w:eastAsia="仿宋_GB2312" w:cs="仿宋_GB2312"/>
          <w:b w:val="0"/>
          <w:bCs w:val="0"/>
          <w:sz w:val="32"/>
          <w:szCs w:val="32"/>
          <w:shd w:val="clear" w:fill="FFFFFF"/>
          <w:lang w:val="en-US" w:eastAsia="zh-CN"/>
        </w:rPr>
        <w:t>14.65</w:t>
      </w:r>
      <w:r>
        <w:rPr>
          <w:rStyle w:val="37"/>
          <w:rFonts w:hint="eastAsia" w:ascii="仿宋_GB2312" w:hAnsi="仿宋_GB2312" w:eastAsia="仿宋_GB2312" w:cs="仿宋_GB2312"/>
          <w:b w:val="0"/>
          <w:bCs w:val="0"/>
          <w:sz w:val="32"/>
          <w:szCs w:val="32"/>
          <w:shd w:val="clear" w:fill="FFFFFF"/>
        </w:rPr>
        <w:t>万元，完成预算100%，决算数等于预算数</w:t>
      </w:r>
      <w:r>
        <w:rPr>
          <w:rStyle w:val="38"/>
          <w:rFonts w:hint="eastAsia" w:ascii="仿宋_GB2312" w:hAnsi="仿宋_GB2312" w:eastAsia="仿宋_GB2312" w:cs="仿宋_GB2312"/>
          <w:b w:val="0"/>
          <w:bCs w:val="0"/>
          <w:sz w:val="32"/>
          <w:szCs w:val="32"/>
        </w:rPr>
        <w:t>。</w:t>
      </w:r>
    </w:p>
    <w:p w14:paraId="4B1B9959">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
        </w:rPr>
        <w:t>8.</w:t>
      </w:r>
      <w:r>
        <w:rPr>
          <w:rFonts w:hint="eastAsia" w:ascii="仿宋_GB2312" w:hAnsi="仿宋_GB2312" w:eastAsia="仿宋_GB2312" w:cs="仿宋_GB2312"/>
          <w:b w:val="0"/>
          <w:bCs w:val="0"/>
          <w:kern w:val="2"/>
          <w:sz w:val="32"/>
          <w:szCs w:val="32"/>
        </w:rPr>
        <w:t>住房保障（类）221（款）02（项）01：</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112.64</w:t>
      </w:r>
      <w:r>
        <w:rPr>
          <w:rFonts w:hint="eastAsia" w:ascii="仿宋_GB2312" w:hAnsi="仿宋_GB2312" w:eastAsia="仿宋_GB2312" w:cs="仿宋_GB2312"/>
          <w:b w:val="0"/>
          <w:bCs w:val="0"/>
          <w:kern w:val="0"/>
          <w:sz w:val="32"/>
          <w:szCs w:val="32"/>
        </w:rPr>
        <w:t>万元，</w:t>
      </w:r>
      <w:r>
        <w:rPr>
          <w:rStyle w:val="38"/>
          <w:rFonts w:hint="eastAsia" w:ascii="仿宋_GB2312" w:hAnsi="仿宋_GB2312" w:eastAsia="仿宋_GB2312" w:cs="仿宋_GB2312"/>
          <w:b w:val="0"/>
          <w:bCs w:val="0"/>
          <w:sz w:val="32"/>
          <w:szCs w:val="32"/>
        </w:rPr>
        <w:t>完成预算100%，决算数等于预算数。</w:t>
      </w:r>
    </w:p>
    <w:p w14:paraId="3001162E">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
        </w:rPr>
        <w:t>9.</w:t>
      </w:r>
      <w:r>
        <w:rPr>
          <w:rFonts w:hint="eastAsia" w:ascii="仿宋_GB2312" w:hAnsi="仿宋_GB2312" w:eastAsia="仿宋_GB2312" w:cs="仿宋_GB2312"/>
          <w:b w:val="0"/>
          <w:bCs w:val="0"/>
          <w:kern w:val="2"/>
          <w:sz w:val="32"/>
          <w:szCs w:val="32"/>
        </w:rPr>
        <w:t>节能环保（类）211（款）04（项）01：</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453.63万元</w:t>
      </w:r>
      <w:r>
        <w:rPr>
          <w:rFonts w:hint="eastAsia" w:ascii="仿宋_GB2312" w:hAnsi="仿宋_GB2312" w:eastAsia="仿宋_GB2312" w:cs="仿宋_GB2312"/>
          <w:b w:val="0"/>
          <w:bCs w:val="0"/>
          <w:kern w:val="0"/>
          <w:sz w:val="32"/>
          <w:szCs w:val="32"/>
        </w:rPr>
        <w:t>，</w:t>
      </w:r>
      <w:r>
        <w:rPr>
          <w:rStyle w:val="38"/>
          <w:rFonts w:hint="eastAsia" w:ascii="仿宋_GB2312" w:hAnsi="仿宋_GB2312" w:eastAsia="仿宋_GB2312" w:cs="仿宋_GB2312"/>
          <w:b w:val="0"/>
          <w:bCs w:val="0"/>
          <w:sz w:val="32"/>
          <w:szCs w:val="32"/>
        </w:rPr>
        <w:t>完成预算100%，决算数等于预算数。</w:t>
      </w:r>
    </w:p>
    <w:p w14:paraId="3786D6E0">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
        </w:rPr>
        <w:t>10.</w:t>
      </w:r>
      <w:r>
        <w:rPr>
          <w:rFonts w:hint="eastAsia" w:ascii="仿宋_GB2312" w:hAnsi="仿宋_GB2312" w:eastAsia="仿宋_GB2312" w:cs="仿宋_GB2312"/>
          <w:b w:val="0"/>
          <w:bCs w:val="0"/>
          <w:kern w:val="2"/>
          <w:sz w:val="32"/>
          <w:szCs w:val="32"/>
        </w:rPr>
        <w:t>节能环保（类）211（款）04（项）05：</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678.13万元</w:t>
      </w:r>
      <w:r>
        <w:rPr>
          <w:rFonts w:hint="eastAsia" w:ascii="仿宋_GB2312" w:hAnsi="仿宋_GB2312" w:eastAsia="仿宋_GB2312" w:cs="仿宋_GB2312"/>
          <w:b w:val="0"/>
          <w:bCs w:val="0"/>
          <w:kern w:val="0"/>
          <w:sz w:val="32"/>
          <w:szCs w:val="32"/>
        </w:rPr>
        <w:t>，</w:t>
      </w:r>
      <w:r>
        <w:rPr>
          <w:rStyle w:val="38"/>
          <w:rFonts w:hint="eastAsia" w:ascii="仿宋_GB2312" w:hAnsi="仿宋_GB2312" w:eastAsia="仿宋_GB2312" w:cs="仿宋_GB2312"/>
          <w:b w:val="0"/>
          <w:bCs w:val="0"/>
          <w:sz w:val="32"/>
          <w:szCs w:val="32"/>
        </w:rPr>
        <w:t>完成预算100%，决算数等于预算数。</w:t>
      </w:r>
    </w:p>
    <w:p w14:paraId="2F58EE08">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Style w:val="38"/>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11.</w:t>
      </w:r>
      <w:r>
        <w:rPr>
          <w:rFonts w:hint="eastAsia" w:ascii="仿宋_GB2312" w:hAnsi="仿宋_GB2312" w:eastAsia="仿宋_GB2312" w:cs="仿宋_GB2312"/>
          <w:b w:val="0"/>
          <w:bCs w:val="0"/>
          <w:kern w:val="2"/>
          <w:sz w:val="32"/>
          <w:szCs w:val="32"/>
        </w:rPr>
        <w:t>节能环保（类）211（款）04（项）06：</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511.32万元</w:t>
      </w:r>
      <w:r>
        <w:rPr>
          <w:rFonts w:hint="eastAsia" w:ascii="仿宋_GB2312" w:hAnsi="仿宋_GB2312" w:eastAsia="仿宋_GB2312" w:cs="仿宋_GB2312"/>
          <w:b w:val="0"/>
          <w:bCs w:val="0"/>
          <w:kern w:val="0"/>
          <w:sz w:val="32"/>
          <w:szCs w:val="32"/>
        </w:rPr>
        <w:t>，</w:t>
      </w:r>
      <w:r>
        <w:rPr>
          <w:rStyle w:val="38"/>
          <w:rFonts w:hint="eastAsia" w:ascii="仿宋_GB2312" w:hAnsi="仿宋_GB2312" w:eastAsia="仿宋_GB2312" w:cs="仿宋_GB2312"/>
          <w:b w:val="0"/>
          <w:bCs w:val="0"/>
          <w:sz w:val="32"/>
          <w:szCs w:val="32"/>
        </w:rPr>
        <w:t>完成预算100%，决算数等于预算数。</w:t>
      </w:r>
    </w:p>
    <w:p w14:paraId="7FA53FC1">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Style w:val="38"/>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12.</w:t>
      </w:r>
      <w:r>
        <w:rPr>
          <w:rFonts w:hint="eastAsia" w:ascii="仿宋_GB2312" w:hAnsi="仿宋_GB2312" w:eastAsia="仿宋_GB2312" w:cs="仿宋_GB2312"/>
          <w:b w:val="0"/>
          <w:bCs w:val="0"/>
          <w:kern w:val="2"/>
          <w:sz w:val="32"/>
          <w:szCs w:val="32"/>
        </w:rPr>
        <w:t>节能环保（类）211（款）05（项）0</w:t>
      </w:r>
      <w:r>
        <w:rPr>
          <w:rFonts w:hint="eastAsia" w:ascii="仿宋_GB2312" w:hAnsi="仿宋_GB2312" w:eastAsia="仿宋_GB2312" w:cs="仿宋_GB2312"/>
          <w:b w:val="0"/>
          <w:bCs w:val="0"/>
          <w:kern w:val="2"/>
          <w:sz w:val="32"/>
          <w:szCs w:val="32"/>
          <w:lang w:val="en-US" w:eastAsia="zh-CN"/>
        </w:rPr>
        <w:t>1</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789.36万元</w:t>
      </w:r>
      <w:r>
        <w:rPr>
          <w:rFonts w:hint="eastAsia" w:ascii="仿宋_GB2312" w:hAnsi="仿宋_GB2312" w:eastAsia="仿宋_GB2312" w:cs="仿宋_GB2312"/>
          <w:b w:val="0"/>
          <w:bCs w:val="0"/>
          <w:kern w:val="0"/>
          <w:sz w:val="32"/>
          <w:szCs w:val="32"/>
        </w:rPr>
        <w:t>，</w:t>
      </w:r>
      <w:r>
        <w:rPr>
          <w:rStyle w:val="38"/>
          <w:rFonts w:hint="eastAsia" w:ascii="仿宋_GB2312" w:hAnsi="仿宋_GB2312" w:eastAsia="仿宋_GB2312" w:cs="仿宋_GB2312"/>
          <w:b w:val="0"/>
          <w:bCs w:val="0"/>
          <w:sz w:val="32"/>
          <w:szCs w:val="32"/>
        </w:rPr>
        <w:t>完成预算100%，决算数等于预算数。</w:t>
      </w:r>
    </w:p>
    <w:p w14:paraId="070E0B67">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Style w:val="38"/>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13.</w:t>
      </w:r>
      <w:r>
        <w:rPr>
          <w:rFonts w:hint="eastAsia" w:ascii="仿宋_GB2312" w:hAnsi="仿宋_GB2312" w:eastAsia="仿宋_GB2312" w:cs="仿宋_GB2312"/>
          <w:b w:val="0"/>
          <w:bCs w:val="0"/>
          <w:kern w:val="2"/>
          <w:sz w:val="32"/>
          <w:szCs w:val="32"/>
        </w:rPr>
        <w:t>节能环保（类）211（款）05（项）02：</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16.35万元</w:t>
      </w:r>
      <w:r>
        <w:rPr>
          <w:rFonts w:hint="eastAsia" w:ascii="仿宋_GB2312" w:hAnsi="仿宋_GB2312" w:eastAsia="仿宋_GB2312" w:cs="仿宋_GB2312"/>
          <w:b w:val="0"/>
          <w:bCs w:val="0"/>
          <w:kern w:val="0"/>
          <w:sz w:val="32"/>
          <w:szCs w:val="32"/>
        </w:rPr>
        <w:t>，</w:t>
      </w:r>
      <w:r>
        <w:rPr>
          <w:rStyle w:val="38"/>
          <w:rFonts w:hint="eastAsia" w:ascii="仿宋_GB2312" w:hAnsi="仿宋_GB2312" w:eastAsia="仿宋_GB2312" w:cs="仿宋_GB2312"/>
          <w:b w:val="0"/>
          <w:bCs w:val="0"/>
          <w:sz w:val="32"/>
          <w:szCs w:val="32"/>
        </w:rPr>
        <w:t>完成预算100%，决算数等于预算数。</w:t>
      </w:r>
    </w:p>
    <w:p w14:paraId="51EDAB5D">
      <w:pPr>
        <w:pStyle w:val="3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ind w:left="425" w:leftChars="0" w:right="0" w:rightChars="0" w:hanging="425" w:firstLineChars="0"/>
        <w:jc w:val="left"/>
        <w:textAlignment w:val="auto"/>
        <w:rPr>
          <w:rStyle w:val="38"/>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14.</w:t>
      </w:r>
      <w:r>
        <w:rPr>
          <w:rFonts w:hint="eastAsia" w:ascii="仿宋_GB2312" w:hAnsi="仿宋_GB2312" w:eastAsia="仿宋_GB2312" w:cs="仿宋_GB2312"/>
          <w:b w:val="0"/>
          <w:bCs w:val="0"/>
          <w:kern w:val="2"/>
          <w:sz w:val="32"/>
          <w:szCs w:val="32"/>
        </w:rPr>
        <w:t>节能环保（类）211（款）</w:t>
      </w:r>
      <w:r>
        <w:rPr>
          <w:rFonts w:hint="eastAsia" w:ascii="仿宋_GB2312" w:hAnsi="仿宋_GB2312" w:eastAsia="仿宋_GB2312" w:cs="仿宋_GB2312"/>
          <w:b w:val="0"/>
          <w:bCs w:val="0"/>
          <w:kern w:val="2"/>
          <w:sz w:val="32"/>
          <w:szCs w:val="32"/>
          <w:lang w:val="en-US" w:eastAsia="zh-CN"/>
        </w:rPr>
        <w:t>05</w:t>
      </w:r>
      <w:r>
        <w:rPr>
          <w:rFonts w:hint="eastAsia" w:ascii="仿宋_GB2312" w:hAnsi="仿宋_GB2312" w:eastAsia="仿宋_GB2312" w:cs="仿宋_GB2312"/>
          <w:b w:val="0"/>
          <w:bCs w:val="0"/>
          <w:kern w:val="2"/>
          <w:sz w:val="32"/>
          <w:szCs w:val="32"/>
        </w:rPr>
        <w:t>（项</w:t>
      </w:r>
      <w:r>
        <w:rPr>
          <w:rFonts w:hint="eastAsia" w:ascii="仿宋_GB2312" w:hAnsi="仿宋_GB2312" w:eastAsia="仿宋_GB2312" w:cs="仿宋_GB2312"/>
          <w:b w:val="0"/>
          <w:bCs w:val="0"/>
          <w:kern w:val="2"/>
          <w:sz w:val="32"/>
          <w:szCs w:val="32"/>
          <w:lang w:val="en-US" w:eastAsia="zh-CN"/>
        </w:rPr>
        <w:t>03</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16.37万元</w:t>
      </w:r>
      <w:r>
        <w:rPr>
          <w:rFonts w:hint="eastAsia" w:ascii="仿宋_GB2312" w:hAnsi="仿宋_GB2312" w:eastAsia="仿宋_GB2312" w:cs="仿宋_GB2312"/>
          <w:b w:val="0"/>
          <w:bCs w:val="0"/>
          <w:kern w:val="0"/>
          <w:sz w:val="32"/>
          <w:szCs w:val="32"/>
        </w:rPr>
        <w:t>，</w:t>
      </w:r>
      <w:r>
        <w:rPr>
          <w:rStyle w:val="38"/>
          <w:rFonts w:hint="eastAsia" w:ascii="仿宋_GB2312" w:hAnsi="仿宋_GB2312" w:eastAsia="仿宋_GB2312" w:cs="仿宋_GB2312"/>
          <w:b w:val="0"/>
          <w:bCs w:val="0"/>
          <w:sz w:val="32"/>
          <w:szCs w:val="32"/>
        </w:rPr>
        <w:t>完成预算100%，决算数等于预算数。</w:t>
      </w:r>
    </w:p>
    <w:p w14:paraId="257F9A39">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SA"/>
        </w:rPr>
        <w:t>15.</w:t>
      </w:r>
      <w:r>
        <w:rPr>
          <w:rFonts w:hint="eastAsia" w:ascii="仿宋_GB2312" w:hAnsi="仿宋_GB2312" w:eastAsia="仿宋_GB2312" w:cs="仿宋_GB2312"/>
          <w:b w:val="0"/>
          <w:bCs w:val="0"/>
          <w:kern w:val="2"/>
          <w:sz w:val="32"/>
          <w:szCs w:val="32"/>
        </w:rPr>
        <w:t>农林水（类）213（款）02（项）01：</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375.57</w:t>
      </w:r>
      <w:r>
        <w:rPr>
          <w:rFonts w:hint="eastAsia" w:ascii="仿宋_GB2312" w:hAnsi="仿宋_GB2312" w:eastAsia="仿宋_GB2312" w:cs="仿宋_GB2312"/>
          <w:b w:val="0"/>
          <w:bCs w:val="0"/>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729F6270">
      <w:pPr>
        <w:pStyle w:val="8"/>
        <w:keepNext w:val="0"/>
        <w:keepLines w:val="0"/>
        <w:pageBreakBefore w:val="0"/>
        <w:numPr>
          <w:ilvl w:val="0"/>
          <w:numId w:val="0"/>
        </w:numPr>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16.</w:t>
      </w:r>
      <w:r>
        <w:rPr>
          <w:rFonts w:hint="eastAsia" w:ascii="仿宋_GB2312" w:hAnsi="仿宋_GB2312" w:eastAsia="仿宋_GB2312" w:cs="仿宋_GB2312"/>
          <w:b w:val="0"/>
          <w:bCs w:val="0"/>
          <w:caps/>
          <w:kern w:val="2"/>
          <w:sz w:val="32"/>
          <w:szCs w:val="32"/>
        </w:rPr>
        <w:t>农林水（类）213（款）02（项）0</w:t>
      </w:r>
      <w:r>
        <w:rPr>
          <w:rFonts w:hint="eastAsia" w:ascii="仿宋_GB2312" w:hAnsi="仿宋_GB2312" w:eastAsia="仿宋_GB2312" w:cs="仿宋_GB2312"/>
          <w:b w:val="0"/>
          <w:bCs w:val="0"/>
          <w:caps/>
          <w:kern w:val="2"/>
          <w:sz w:val="32"/>
          <w:szCs w:val="32"/>
          <w:lang w:val="en-US" w:eastAsia="zh-CN"/>
        </w:rPr>
        <w:t>4</w:t>
      </w:r>
      <w:r>
        <w:rPr>
          <w:rFonts w:hint="eastAsia" w:ascii="仿宋_GB2312" w:hAnsi="仿宋_GB2312" w:eastAsia="仿宋_GB2312" w:cs="仿宋_GB2312"/>
          <w:b w:val="0"/>
          <w:bCs w:val="0"/>
          <w:caps/>
          <w:kern w:val="2"/>
          <w:sz w:val="32"/>
          <w:szCs w:val="32"/>
        </w:rPr>
        <w:t>：</w:t>
      </w:r>
      <w:r>
        <w:rPr>
          <w:rFonts w:hint="eastAsia" w:ascii="仿宋_GB2312" w:hAnsi="仿宋_GB2312" w:eastAsia="仿宋_GB2312" w:cs="仿宋_GB2312"/>
          <w:b w:val="0"/>
          <w:bCs w:val="0"/>
          <w:caps/>
          <w:kern w:val="0"/>
          <w:sz w:val="32"/>
          <w:szCs w:val="32"/>
        </w:rPr>
        <w:t>支出决算为</w:t>
      </w:r>
      <w:r>
        <w:rPr>
          <w:rFonts w:hint="eastAsia" w:ascii="仿宋_GB2312" w:hAnsi="仿宋_GB2312" w:eastAsia="仿宋_GB2312" w:cs="仿宋_GB2312"/>
          <w:b w:val="0"/>
          <w:bCs w:val="0"/>
          <w:caps/>
          <w:kern w:val="0"/>
          <w:sz w:val="32"/>
          <w:szCs w:val="32"/>
          <w:lang w:val="en-US" w:eastAsia="zh-CN"/>
        </w:rPr>
        <w:t>960.67</w:t>
      </w:r>
      <w:r>
        <w:rPr>
          <w:rFonts w:hint="eastAsia" w:ascii="仿宋_GB2312" w:hAnsi="仿宋_GB2312" w:eastAsia="仿宋_GB2312" w:cs="仿宋_GB2312"/>
          <w:b w:val="0"/>
          <w:bCs w:val="0"/>
          <w:caps/>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58AA9CC9">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left="640" w:leftChars="0" w:hanging="640" w:hangingChars="200"/>
        <w:jc w:val="both"/>
        <w:textAlignment w:val="auto"/>
        <w:rPr>
          <w:rFonts w:hint="eastAsia" w:ascii="仿宋_GB2312" w:hAnsi="仿宋_GB2312" w:eastAsia="仿宋_GB2312" w:cs="仿宋_GB2312"/>
          <w:b w:val="0"/>
          <w:bCs w:val="0"/>
          <w:caps/>
          <w:kern w:val="0"/>
          <w:sz w:val="32"/>
          <w:szCs w:val="32"/>
          <w:lang w:val="en-US" w:eastAsia="zh-CN"/>
        </w:rPr>
      </w:pPr>
      <w:r>
        <w:rPr>
          <w:rFonts w:hint="eastAsia" w:ascii="仿宋_GB2312" w:hAnsi="仿宋_GB2312" w:eastAsia="仿宋_GB2312" w:cs="仿宋_GB2312"/>
          <w:b w:val="0"/>
          <w:bCs w:val="0"/>
          <w:caps/>
          <w:kern w:val="2"/>
          <w:sz w:val="32"/>
          <w:szCs w:val="32"/>
          <w:lang w:val="en-US" w:eastAsia="zh-CN"/>
        </w:rPr>
        <w:t>17.</w:t>
      </w:r>
      <w:r>
        <w:rPr>
          <w:rFonts w:hint="eastAsia" w:ascii="仿宋_GB2312" w:hAnsi="仿宋_GB2312" w:eastAsia="仿宋_GB2312" w:cs="仿宋_GB2312"/>
          <w:b w:val="0"/>
          <w:bCs w:val="0"/>
          <w:caps/>
          <w:kern w:val="2"/>
          <w:sz w:val="32"/>
          <w:szCs w:val="32"/>
        </w:rPr>
        <w:t>农林水（类）213（款）02（项）05：</w:t>
      </w:r>
      <w:r>
        <w:rPr>
          <w:rFonts w:hint="eastAsia" w:ascii="仿宋_GB2312" w:hAnsi="仿宋_GB2312" w:eastAsia="仿宋_GB2312" w:cs="仿宋_GB2312"/>
          <w:b w:val="0"/>
          <w:bCs w:val="0"/>
          <w:caps/>
          <w:kern w:val="0"/>
          <w:sz w:val="32"/>
          <w:szCs w:val="32"/>
        </w:rPr>
        <w:t>支出决算为</w:t>
      </w:r>
      <w:r>
        <w:rPr>
          <w:rFonts w:hint="eastAsia" w:ascii="仿宋_GB2312" w:hAnsi="仿宋_GB2312" w:eastAsia="仿宋_GB2312" w:cs="仿宋_GB2312"/>
          <w:b w:val="0"/>
          <w:bCs w:val="0"/>
          <w:caps/>
          <w:kern w:val="0"/>
          <w:sz w:val="32"/>
          <w:szCs w:val="32"/>
          <w:lang w:val="en-US" w:eastAsia="zh-CN"/>
        </w:rPr>
        <w:t>152</w:t>
      </w:r>
    </w:p>
    <w:p w14:paraId="43008D24">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left="639" w:leftChars="152" w:hanging="320" w:hangingChars="100"/>
        <w:jc w:val="both"/>
        <w:textAlignment w:val="auto"/>
        <w:rPr>
          <w:rFonts w:hint="eastAsia" w:ascii="仿宋_GB2312" w:hAnsi="仿宋_GB2312" w:eastAsia="仿宋_GB2312" w:cs="仿宋_GB2312"/>
          <w:b w:val="0"/>
          <w:bCs w:val="0"/>
          <w:caps/>
          <w:kern w:val="0"/>
          <w:sz w:val="32"/>
          <w:szCs w:val="32"/>
        </w:rPr>
      </w:pPr>
      <w:r>
        <w:rPr>
          <w:rFonts w:hint="eastAsia" w:ascii="仿宋_GB2312" w:hAnsi="仿宋_GB2312" w:eastAsia="仿宋_GB2312" w:cs="仿宋_GB2312"/>
          <w:b w:val="0"/>
          <w:bCs w:val="0"/>
          <w:caps/>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5287C03D">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SA"/>
        </w:rPr>
        <w:t>18.</w:t>
      </w:r>
      <w:r>
        <w:rPr>
          <w:rFonts w:hint="eastAsia" w:ascii="仿宋_GB2312" w:hAnsi="仿宋_GB2312" w:eastAsia="仿宋_GB2312" w:cs="仿宋_GB2312"/>
          <w:b w:val="0"/>
          <w:bCs w:val="0"/>
          <w:kern w:val="2"/>
          <w:sz w:val="32"/>
          <w:szCs w:val="32"/>
        </w:rPr>
        <w:t>农林水（类）213（款）02（项）07：</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96.43</w:t>
      </w:r>
      <w:r>
        <w:rPr>
          <w:rFonts w:hint="eastAsia" w:ascii="仿宋_GB2312" w:hAnsi="仿宋_GB2312" w:eastAsia="仿宋_GB2312" w:cs="仿宋_GB2312"/>
          <w:b w:val="0"/>
          <w:bCs w:val="0"/>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3CED1010">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left="320" w:leftChars="0" w:hanging="320" w:hangingChars="100"/>
        <w:jc w:val="both"/>
        <w:textAlignment w:val="auto"/>
        <w:rPr>
          <w:rStyle w:val="38"/>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aps/>
          <w:kern w:val="2"/>
          <w:sz w:val="32"/>
          <w:szCs w:val="32"/>
          <w:lang w:val="en-US" w:eastAsia="zh-CN"/>
        </w:rPr>
        <w:t>19.</w:t>
      </w:r>
      <w:r>
        <w:rPr>
          <w:rFonts w:hint="eastAsia" w:ascii="仿宋_GB2312" w:hAnsi="仿宋_GB2312" w:eastAsia="仿宋_GB2312" w:cs="仿宋_GB2312"/>
          <w:b w:val="0"/>
          <w:bCs w:val="0"/>
          <w:caps/>
          <w:kern w:val="2"/>
          <w:sz w:val="32"/>
          <w:szCs w:val="32"/>
        </w:rPr>
        <w:t>农林水（类）213（款）02（项）09：</w:t>
      </w:r>
      <w:r>
        <w:rPr>
          <w:rFonts w:hint="eastAsia" w:ascii="仿宋_GB2312" w:hAnsi="仿宋_GB2312" w:eastAsia="仿宋_GB2312" w:cs="仿宋_GB2312"/>
          <w:b w:val="0"/>
          <w:bCs w:val="0"/>
          <w:caps/>
          <w:kern w:val="0"/>
          <w:sz w:val="32"/>
          <w:szCs w:val="32"/>
        </w:rPr>
        <w:t>支出决算为</w:t>
      </w:r>
      <w:r>
        <w:rPr>
          <w:rFonts w:hint="eastAsia" w:ascii="仿宋_GB2312" w:hAnsi="仿宋_GB2312" w:eastAsia="仿宋_GB2312" w:cs="仿宋_GB2312"/>
          <w:b w:val="0"/>
          <w:bCs w:val="0"/>
          <w:caps/>
          <w:kern w:val="0"/>
          <w:sz w:val="32"/>
          <w:szCs w:val="32"/>
          <w:lang w:val="en-US" w:eastAsia="zh-CN"/>
        </w:rPr>
        <w:t>22.37</w:t>
      </w:r>
      <w:r>
        <w:rPr>
          <w:rFonts w:hint="eastAsia" w:ascii="仿宋_GB2312" w:hAnsi="仿宋_GB2312" w:eastAsia="仿宋_GB2312" w:cs="仿宋_GB2312"/>
          <w:b w:val="0"/>
          <w:bCs w:val="0"/>
          <w:caps/>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694C034B">
      <w:pPr>
        <w:keepNext w:val="0"/>
        <w:keepLines w:val="0"/>
        <w:pageBreakBefore w:val="0"/>
        <w:widowControl/>
        <w:numPr>
          <w:ilvl w:val="0"/>
          <w:numId w:val="0"/>
        </w:numPr>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b w:val="0"/>
          <w:bCs w:val="0"/>
          <w:kern w:val="2"/>
          <w:sz w:val="32"/>
          <w:szCs w:val="32"/>
        </w:rPr>
        <w:t>农林水（类）213（款）02（项）</w:t>
      </w:r>
      <w:r>
        <w:rPr>
          <w:rFonts w:hint="eastAsia" w:ascii="仿宋_GB2312" w:hAnsi="仿宋_GB2312" w:eastAsia="仿宋_GB2312" w:cs="仿宋_GB2312"/>
          <w:b w:val="0"/>
          <w:bCs w:val="0"/>
          <w:kern w:val="2"/>
          <w:sz w:val="32"/>
          <w:szCs w:val="32"/>
          <w:lang w:val="en-US" w:eastAsia="zh-CN"/>
        </w:rPr>
        <w:t>11</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51.92</w:t>
      </w:r>
      <w:r>
        <w:rPr>
          <w:rFonts w:hint="eastAsia" w:ascii="仿宋_GB2312" w:hAnsi="仿宋_GB2312" w:eastAsia="仿宋_GB2312" w:cs="仿宋_GB2312"/>
          <w:b w:val="0"/>
          <w:bCs w:val="0"/>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4D83DCA1">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textAlignment w:val="auto"/>
        <w:rPr>
          <w:rStyle w:val="38"/>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21.</w:t>
      </w:r>
      <w:r>
        <w:rPr>
          <w:rFonts w:hint="eastAsia" w:ascii="仿宋_GB2312" w:hAnsi="仿宋_GB2312" w:eastAsia="仿宋_GB2312" w:cs="仿宋_GB2312"/>
          <w:b w:val="0"/>
          <w:bCs w:val="0"/>
          <w:kern w:val="2"/>
          <w:sz w:val="32"/>
          <w:szCs w:val="32"/>
        </w:rPr>
        <w:t>农林水（类）213（款）02（项）12：</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52.84</w:t>
      </w:r>
      <w:r>
        <w:rPr>
          <w:rFonts w:hint="eastAsia" w:ascii="仿宋_GB2312" w:hAnsi="仿宋_GB2312" w:eastAsia="仿宋_GB2312" w:cs="仿宋_GB2312"/>
          <w:b w:val="0"/>
          <w:bCs w:val="0"/>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198EDF42">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textAlignment w:val="auto"/>
        <w:rPr>
          <w:rStyle w:val="38"/>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22.</w:t>
      </w:r>
      <w:r>
        <w:rPr>
          <w:rFonts w:hint="eastAsia" w:ascii="仿宋_GB2312" w:hAnsi="仿宋_GB2312" w:eastAsia="仿宋_GB2312" w:cs="仿宋_GB2312"/>
          <w:b w:val="0"/>
          <w:bCs w:val="0"/>
          <w:kern w:val="2"/>
          <w:sz w:val="32"/>
          <w:szCs w:val="32"/>
        </w:rPr>
        <w:t>农林水（类）213（款）02（项）</w:t>
      </w:r>
      <w:r>
        <w:rPr>
          <w:rFonts w:hint="eastAsia" w:ascii="仿宋_GB2312" w:hAnsi="仿宋_GB2312" w:eastAsia="仿宋_GB2312" w:cs="仿宋_GB2312"/>
          <w:b w:val="0"/>
          <w:bCs w:val="0"/>
          <w:kern w:val="2"/>
          <w:sz w:val="32"/>
          <w:szCs w:val="32"/>
          <w:lang w:val="en-US" w:eastAsia="zh-CN"/>
        </w:rPr>
        <w:t>17</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204.22</w:t>
      </w:r>
      <w:r>
        <w:rPr>
          <w:rFonts w:hint="eastAsia" w:ascii="仿宋_GB2312" w:hAnsi="仿宋_GB2312" w:eastAsia="仿宋_GB2312" w:cs="仿宋_GB2312"/>
          <w:b w:val="0"/>
          <w:bCs w:val="0"/>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0B4805C2">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SA"/>
        </w:rPr>
        <w:t>23.</w:t>
      </w:r>
      <w:r>
        <w:rPr>
          <w:rFonts w:hint="eastAsia" w:ascii="仿宋_GB2312" w:hAnsi="仿宋_GB2312" w:eastAsia="仿宋_GB2312" w:cs="仿宋_GB2312"/>
          <w:b w:val="0"/>
          <w:bCs w:val="0"/>
          <w:kern w:val="2"/>
          <w:sz w:val="32"/>
          <w:szCs w:val="32"/>
        </w:rPr>
        <w:t>林水（类）213（款）02（项）34：</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269.77</w:t>
      </w:r>
      <w:r>
        <w:rPr>
          <w:rFonts w:hint="eastAsia" w:ascii="仿宋_GB2312" w:hAnsi="仿宋_GB2312" w:eastAsia="仿宋_GB2312" w:cs="仿宋_GB2312"/>
          <w:b w:val="0"/>
          <w:bCs w:val="0"/>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002BDE8D">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left="320" w:leftChars="0" w:hanging="320" w:hangingChars="100"/>
        <w:jc w:val="both"/>
        <w:textAlignment w:val="auto"/>
        <w:rPr>
          <w:rFonts w:hint="eastAsia" w:ascii="仿宋_GB2312" w:hAnsi="仿宋_GB2312" w:eastAsia="仿宋_GB2312" w:cs="仿宋_GB2312"/>
          <w:b w:val="0"/>
          <w:bCs w:val="0"/>
          <w:caps/>
          <w:kern w:val="0"/>
          <w:sz w:val="32"/>
          <w:szCs w:val="32"/>
        </w:rPr>
      </w:pPr>
      <w:r>
        <w:rPr>
          <w:rFonts w:hint="eastAsia" w:ascii="仿宋_GB2312" w:hAnsi="仿宋_GB2312" w:eastAsia="仿宋_GB2312" w:cs="仿宋_GB2312"/>
          <w:b w:val="0"/>
          <w:bCs w:val="0"/>
          <w:caps/>
          <w:kern w:val="2"/>
          <w:sz w:val="32"/>
          <w:szCs w:val="32"/>
          <w:lang w:val="en-US" w:eastAsia="zh-CN"/>
        </w:rPr>
        <w:t>24.</w:t>
      </w:r>
      <w:r>
        <w:rPr>
          <w:rFonts w:hint="eastAsia" w:ascii="仿宋_GB2312" w:hAnsi="仿宋_GB2312" w:eastAsia="仿宋_GB2312" w:cs="仿宋_GB2312"/>
          <w:b w:val="0"/>
          <w:bCs w:val="0"/>
          <w:caps/>
          <w:kern w:val="2"/>
          <w:sz w:val="32"/>
          <w:szCs w:val="32"/>
        </w:rPr>
        <w:t>农林水（类）213（款）02（项）36：</w:t>
      </w:r>
      <w:r>
        <w:rPr>
          <w:rFonts w:hint="eastAsia" w:ascii="仿宋_GB2312" w:hAnsi="仿宋_GB2312" w:eastAsia="仿宋_GB2312" w:cs="仿宋_GB2312"/>
          <w:b w:val="0"/>
          <w:bCs w:val="0"/>
          <w:caps/>
          <w:kern w:val="0"/>
          <w:sz w:val="32"/>
          <w:szCs w:val="32"/>
        </w:rPr>
        <w:t>支出决算为</w:t>
      </w:r>
      <w:r>
        <w:rPr>
          <w:rFonts w:hint="eastAsia" w:ascii="仿宋_GB2312" w:hAnsi="仿宋_GB2312" w:eastAsia="仿宋_GB2312" w:cs="仿宋_GB2312"/>
          <w:b w:val="0"/>
          <w:bCs w:val="0"/>
          <w:caps/>
          <w:kern w:val="0"/>
          <w:sz w:val="32"/>
          <w:szCs w:val="32"/>
          <w:lang w:val="en-US" w:eastAsia="zh-CN"/>
        </w:rPr>
        <w:t>220.62</w:t>
      </w:r>
      <w:r>
        <w:rPr>
          <w:rFonts w:hint="eastAsia" w:ascii="仿宋_GB2312" w:hAnsi="仿宋_GB2312" w:eastAsia="仿宋_GB2312" w:cs="仿宋_GB2312"/>
          <w:b w:val="0"/>
          <w:bCs w:val="0"/>
          <w:caps/>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49EB0C99">
      <w:pPr>
        <w:keepNext w:val="0"/>
        <w:keepLines w:val="0"/>
        <w:pageBreakBefore w:val="0"/>
        <w:widowControl/>
        <w:numPr>
          <w:ilvl w:val="0"/>
          <w:numId w:val="0"/>
        </w:numPr>
        <w:suppressLineNumbers w:val="0"/>
        <w:kinsoku/>
        <w:wordWrap/>
        <w:overflowPunct/>
        <w:topLinePunct w:val="0"/>
        <w:autoSpaceDE/>
        <w:autoSpaceDN/>
        <w:bidi w:val="0"/>
        <w:adjustRightInd/>
        <w:snapToGrid/>
        <w:ind w:left="320" w:leftChars="0" w:hanging="320" w:hangingChars="1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2"/>
          <w:sz w:val="32"/>
          <w:szCs w:val="32"/>
          <w:lang w:val="en-US" w:eastAsia="zh-CN"/>
        </w:rPr>
        <w:t>25.</w:t>
      </w:r>
      <w:r>
        <w:rPr>
          <w:rFonts w:hint="eastAsia" w:ascii="仿宋_GB2312" w:hAnsi="仿宋_GB2312" w:eastAsia="仿宋_GB2312" w:cs="仿宋_GB2312"/>
          <w:b w:val="0"/>
          <w:bCs w:val="0"/>
          <w:kern w:val="2"/>
          <w:sz w:val="32"/>
          <w:szCs w:val="32"/>
        </w:rPr>
        <w:t>农林水（类）213（款）02（项）99：</w:t>
      </w:r>
      <w:r>
        <w:rPr>
          <w:rFonts w:hint="eastAsia" w:ascii="仿宋_GB2312" w:hAnsi="仿宋_GB2312" w:eastAsia="仿宋_GB2312" w:cs="仿宋_GB2312"/>
          <w:b w:val="0"/>
          <w:bCs w:val="0"/>
          <w:kern w:val="0"/>
          <w:sz w:val="32"/>
          <w:szCs w:val="32"/>
        </w:rPr>
        <w:t>支出决算为</w:t>
      </w:r>
      <w:r>
        <w:rPr>
          <w:rFonts w:hint="eastAsia" w:ascii="仿宋_GB2312" w:hAnsi="仿宋_GB2312" w:eastAsia="仿宋_GB2312" w:cs="仿宋_GB2312"/>
          <w:b w:val="0"/>
          <w:bCs w:val="0"/>
          <w:kern w:val="0"/>
          <w:sz w:val="32"/>
          <w:szCs w:val="32"/>
          <w:lang w:val="en-US" w:eastAsia="zh-CN"/>
        </w:rPr>
        <w:t>2165.43</w:t>
      </w:r>
      <w:r>
        <w:rPr>
          <w:rFonts w:hint="eastAsia" w:ascii="仿宋_GB2312" w:hAnsi="仿宋_GB2312" w:eastAsia="仿宋_GB2312" w:cs="仿宋_GB2312"/>
          <w:b w:val="0"/>
          <w:bCs w:val="0"/>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6AE56A77">
      <w:pPr>
        <w:pStyle w:val="13"/>
        <w:keepNext w:val="0"/>
        <w:keepLines w:val="0"/>
        <w:pageBreakBefore w:val="0"/>
        <w:widowControl/>
        <w:numPr>
          <w:ilvl w:val="0"/>
          <w:numId w:val="0"/>
        </w:numPr>
        <w:suppressLineNumbers w:val="0"/>
        <w:kinsoku/>
        <w:wordWrap/>
        <w:overflowPunct/>
        <w:topLinePunct w:val="0"/>
        <w:autoSpaceDE/>
        <w:autoSpaceDN/>
        <w:bidi w:val="0"/>
        <w:adjustRightInd/>
        <w:snapToGrid/>
        <w:ind w:left="320" w:leftChars="0" w:hanging="320" w:hangingChars="100"/>
        <w:jc w:val="both"/>
        <w:textAlignment w:val="auto"/>
        <w:rPr>
          <w:rStyle w:val="38"/>
          <w:rFonts w:hint="eastAsia" w:ascii="仿宋_GB2312" w:hAnsi="仿宋_GB2312" w:eastAsia="仿宋_GB2312" w:cs="仿宋_GB2312"/>
          <w:b w:val="0"/>
          <w:bCs w:val="0"/>
          <w:sz w:val="32"/>
          <w:szCs w:val="32"/>
        </w:rPr>
      </w:pPr>
      <w:r>
        <w:rPr>
          <w:rStyle w:val="38"/>
          <w:rFonts w:hint="eastAsia" w:ascii="仿宋_GB2312" w:hAnsi="仿宋_GB2312" w:eastAsia="仿宋_GB2312" w:cs="仿宋_GB2312"/>
          <w:b w:val="0"/>
          <w:bCs w:val="0"/>
          <w:sz w:val="32"/>
          <w:szCs w:val="32"/>
          <w:lang w:val="en-US" w:eastAsia="zh-CN"/>
        </w:rPr>
        <w:t>26.</w:t>
      </w:r>
      <w:r>
        <w:rPr>
          <w:rStyle w:val="38"/>
          <w:rFonts w:hint="eastAsia" w:ascii="仿宋_GB2312" w:hAnsi="仿宋_GB2312" w:eastAsia="仿宋_GB2312" w:cs="仿宋_GB2312"/>
          <w:b w:val="0"/>
          <w:bCs w:val="0"/>
          <w:sz w:val="32"/>
          <w:szCs w:val="32"/>
        </w:rPr>
        <w:t>自然资源海洋气象等（类）</w:t>
      </w:r>
      <w:r>
        <w:rPr>
          <w:rFonts w:hint="eastAsia" w:ascii="仿宋_GB2312" w:hAnsi="仿宋_GB2312" w:eastAsia="仿宋_GB2312" w:cs="仿宋_GB2312"/>
          <w:b w:val="0"/>
          <w:bCs w:val="0"/>
          <w:caps/>
          <w:kern w:val="2"/>
          <w:sz w:val="32"/>
          <w:szCs w:val="32"/>
        </w:rPr>
        <w:t>220（款）01（项）06：</w:t>
      </w:r>
      <w:r>
        <w:rPr>
          <w:rFonts w:hint="eastAsia" w:ascii="仿宋_GB2312" w:hAnsi="仿宋_GB2312" w:eastAsia="仿宋_GB2312" w:cs="仿宋_GB2312"/>
          <w:b w:val="0"/>
          <w:bCs w:val="0"/>
          <w:caps/>
          <w:kern w:val="0"/>
          <w:sz w:val="32"/>
          <w:szCs w:val="32"/>
        </w:rPr>
        <w:t>支出决算为</w:t>
      </w:r>
      <w:r>
        <w:rPr>
          <w:rFonts w:hint="eastAsia" w:ascii="仿宋_GB2312" w:hAnsi="仿宋_GB2312" w:eastAsia="仿宋_GB2312" w:cs="仿宋_GB2312"/>
          <w:b w:val="0"/>
          <w:bCs w:val="0"/>
          <w:caps/>
          <w:kern w:val="0"/>
          <w:sz w:val="32"/>
          <w:szCs w:val="32"/>
          <w:lang w:val="en-US" w:eastAsia="zh-CN"/>
        </w:rPr>
        <w:t>806.28</w:t>
      </w:r>
      <w:r>
        <w:rPr>
          <w:rFonts w:hint="eastAsia" w:ascii="仿宋_GB2312" w:hAnsi="仿宋_GB2312" w:eastAsia="仿宋_GB2312" w:cs="仿宋_GB2312"/>
          <w:b w:val="0"/>
          <w:bCs w:val="0"/>
          <w:caps/>
          <w:kern w:val="0"/>
          <w:sz w:val="32"/>
          <w:szCs w:val="32"/>
        </w:rPr>
        <w:t>万元，</w:t>
      </w:r>
      <w:r>
        <w:rPr>
          <w:rStyle w:val="38"/>
          <w:rFonts w:hint="eastAsia" w:ascii="仿宋_GB2312" w:hAnsi="仿宋_GB2312" w:eastAsia="仿宋_GB2312" w:cs="仿宋_GB2312"/>
          <w:b w:val="0"/>
          <w:bCs w:val="0"/>
          <w:sz w:val="32"/>
          <w:szCs w:val="32"/>
        </w:rPr>
        <w:t>完成预算100%</w:t>
      </w:r>
      <w:r>
        <w:rPr>
          <w:rStyle w:val="38"/>
          <w:rFonts w:hint="eastAsia" w:ascii="仿宋_GB2312" w:hAnsi="仿宋_GB2312" w:eastAsia="仿宋_GB2312" w:cs="仿宋_GB2312"/>
          <w:b w:val="0"/>
          <w:bCs w:val="0"/>
          <w:sz w:val="32"/>
          <w:szCs w:val="32"/>
          <w:lang w:eastAsia="zh-CN"/>
        </w:rPr>
        <w:t>，</w:t>
      </w:r>
      <w:r>
        <w:rPr>
          <w:rStyle w:val="38"/>
          <w:rFonts w:hint="eastAsia" w:ascii="仿宋_GB2312" w:hAnsi="仿宋_GB2312" w:eastAsia="仿宋_GB2312" w:cs="仿宋_GB2312"/>
          <w:b w:val="0"/>
          <w:bCs w:val="0"/>
          <w:sz w:val="32"/>
          <w:szCs w:val="32"/>
        </w:rPr>
        <w:t>决算数等于预算数。</w:t>
      </w:r>
    </w:p>
    <w:p w14:paraId="6A5B596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437372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9601BE">
      <w:pPr>
        <w:tabs>
          <w:tab w:val="right" w:pos="8306"/>
        </w:tabs>
        <w:spacing w:line="600" w:lineRule="exact"/>
        <w:ind w:firstLine="640"/>
        <w:outlineLvl w:val="1"/>
        <w:rPr>
          <w:rStyle w:val="30"/>
          <w:rFonts w:ascii="Times New Roman" w:hAnsi="Times New Roman"/>
          <w:color w:val="auto"/>
          <w:highlight w:val="none"/>
        </w:rPr>
      </w:pPr>
      <w:bookmarkStart w:id="38" w:name="_Toc15396608"/>
      <w:bookmarkStart w:id="3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8"/>
      <w:bookmarkEnd w:id="39"/>
      <w:r>
        <w:rPr>
          <w:rStyle w:val="30"/>
          <w:rFonts w:ascii="Times New Roman" w:hAnsi="Times New Roman" w:eastAsia="黑体"/>
          <w:b w:val="0"/>
          <w:color w:val="auto"/>
          <w:highlight w:val="none"/>
        </w:rPr>
        <w:tab/>
      </w:r>
    </w:p>
    <w:p w14:paraId="5FBFF7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2162.71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09ACC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2074.98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87.73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F25F66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0DD63C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FB40F5">
      <w:pPr>
        <w:spacing w:line="600" w:lineRule="exact"/>
        <w:ind w:firstLine="640"/>
        <w:outlineLvl w:val="1"/>
        <w:rPr>
          <w:rStyle w:val="30"/>
          <w:rFonts w:ascii="Times New Roman" w:hAnsi="Times New Roman" w:eastAsia="黑体"/>
          <w:b w:val="0"/>
          <w:color w:val="auto"/>
          <w:highlight w:val="none"/>
        </w:rPr>
      </w:pPr>
      <w:bookmarkStart w:id="40" w:name="_Toc15377215"/>
      <w:bookmarkStart w:id="41"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0"/>
      <w:bookmarkEnd w:id="41"/>
    </w:p>
    <w:p w14:paraId="00B735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14:paraId="7FAC08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56.57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1.71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2.93</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4B86821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5E5E66B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14:paraId="728D7A1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56.57</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万元，0%。具体情况如下：</w:t>
      </w:r>
    </w:p>
    <w:p w14:paraId="417D956B">
      <w:pPr>
        <w:pStyle w:val="2"/>
        <w:rPr>
          <w:rFonts w:hint="eastAsia"/>
          <w:lang w:val="en-US" w:eastAsia="zh-CN"/>
        </w:rPr>
      </w:pPr>
      <w:r>
        <w:rPr>
          <w:rFonts w:hint="eastAsia" w:eastAsia="宋体"/>
          <w:lang w:eastAsia="zh-CN"/>
        </w:rPr>
        <w:drawing>
          <wp:inline distT="0" distB="0" distL="114300" distR="114300">
            <wp:extent cx="5256530" cy="2988310"/>
            <wp:effectExtent l="5080" t="4445" r="15240" b="1714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A9E9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53BB7E5">
      <w:pPr>
        <w:numPr>
          <w:ilvl w:val="0"/>
          <w:numId w:val="3"/>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4813F70">
      <w:pPr>
        <w:numPr>
          <w:ilvl w:val="0"/>
          <w:numId w:val="3"/>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p>
    <w:p w14:paraId="2321ACE4">
      <w:pPr>
        <w:numPr>
          <w:ilvl w:val="0"/>
          <w:numId w:val="3"/>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56.57万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0.97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活动减少。</w:t>
      </w:r>
    </w:p>
    <w:p w14:paraId="142C910A">
      <w:pPr>
        <w:numPr>
          <w:ilvl w:val="0"/>
          <w:numId w:val="3"/>
        </w:numPr>
        <w:spacing w:line="600" w:lineRule="exact"/>
        <w:ind w:left="0" w:leftChars="0"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w:t>
      </w:r>
    </w:p>
    <w:p w14:paraId="5EF766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56.57</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hAnsi="仿宋_GB2312" w:eastAsia="仿宋_GB2312" w:cs="仿宋_GB2312"/>
          <w:b w:val="0"/>
          <w:bCs w:val="0"/>
          <w:kern w:val="0"/>
          <w:sz w:val="32"/>
          <w:szCs w:val="32"/>
          <w:shd w:val="clear" w:fill="FFFFFF"/>
        </w:rPr>
        <w:t>森林草原防灭火，森林资源保护，野生动植物保护，植物检疫等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4C402468">
      <w:pPr>
        <w:numPr>
          <w:ilvl w:val="0"/>
          <w:numId w:val="4"/>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E65F1A8">
      <w:pPr>
        <w:numPr>
          <w:ilvl w:val="0"/>
          <w:numId w:val="4"/>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p>
    <w:p w14:paraId="59100398">
      <w:pPr>
        <w:spacing w:line="600" w:lineRule="exact"/>
        <w:ind w:firstLine="1280" w:firstLineChars="4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bookmarkStart w:id="44" w:name="_Toc15396610"/>
      <w:bookmarkStart w:id="45" w:name="_Toc15377218"/>
      <w:r>
        <w:rPr>
          <w:rFonts w:hint="eastAsia" w:ascii="仿宋_GB2312" w:hAnsi="仿宋_GB2312" w:eastAsia="仿宋_GB2312" w:cs="仿宋_GB2312"/>
          <w:color w:val="auto"/>
          <w:kern w:val="2"/>
          <w:sz w:val="32"/>
          <w:szCs w:val="32"/>
          <w:highlight w:val="none"/>
          <w:lang w:val="en-US" w:eastAsia="zh-CN" w:bidi="ar-SA"/>
        </w:rPr>
        <w:t>。</w:t>
      </w:r>
    </w:p>
    <w:p w14:paraId="2B876205">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4"/>
      <w:bookmarkEnd w:id="45"/>
    </w:p>
    <w:p w14:paraId="74974E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47038D1">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6" w:name="_Toc15377219"/>
      <w:bookmarkStart w:id="47"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6"/>
      <w:bookmarkEnd w:id="47"/>
    </w:p>
    <w:p w14:paraId="3D8BA1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3DE989B">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8" w:name="_Toc15377221"/>
      <w:bookmarkStart w:id="49"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8"/>
      <w:bookmarkEnd w:id="49"/>
    </w:p>
    <w:p w14:paraId="2D8EFA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2"/>
      <w:r>
        <w:rPr>
          <w:rFonts w:hint="eastAsia" w:ascii="Times New Roman" w:hAnsi="Times New Roman" w:eastAsia="楷体_GB2312" w:cs="楷体_GB2312"/>
          <w:b/>
          <w:color w:val="auto"/>
          <w:sz w:val="32"/>
          <w:szCs w:val="32"/>
          <w:highlight w:val="none"/>
        </w:rPr>
        <w:t>（一）机关运行经费支出情况</w:t>
      </w:r>
      <w:bookmarkEnd w:id="50"/>
    </w:p>
    <w:p w14:paraId="7B4B714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松潘县林业和草原局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43.55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78.15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64.21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2024年日常活动减少。</w:t>
      </w:r>
    </w:p>
    <w:p w14:paraId="2B55ED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E19866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3"/>
      <w:r>
        <w:rPr>
          <w:rFonts w:hint="eastAsia" w:ascii="Times New Roman" w:hAnsi="Times New Roman" w:eastAsia="楷体_GB2312" w:cs="楷体_GB2312"/>
          <w:b/>
          <w:color w:val="auto"/>
          <w:sz w:val="32"/>
          <w:szCs w:val="32"/>
          <w:highlight w:val="none"/>
        </w:rPr>
        <w:t>（二）政府采购支出情况</w:t>
      </w:r>
      <w:bookmarkEnd w:id="51"/>
    </w:p>
    <w:p w14:paraId="5E1C245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松潘县林业和草原局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2542.54</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1450.94</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1091.6</w:t>
      </w:r>
      <w:r>
        <w:rPr>
          <w:rFonts w:hint="eastAsia" w:ascii="仿宋_GB2312" w:hAnsi="仿宋_GB2312" w:eastAsia="仿宋_GB2312" w:cs="仿宋_GB2312"/>
          <w:color w:val="auto"/>
          <w:kern w:val="2"/>
          <w:sz w:val="32"/>
          <w:szCs w:val="32"/>
          <w:highlight w:val="none"/>
          <w:lang w:val="en-US" w:eastAsia="zh-CN" w:bidi="ar-SA"/>
        </w:rPr>
        <w:t>万元。主要用于草原生态修复治理，森林草原湿地荒漠化普查工作，草原有害生物普查等工作。授予中小企业合同金额</w:t>
      </w:r>
      <w:r>
        <w:rPr>
          <w:rFonts w:hint="eastAsia" w:ascii="仿宋_GB2312" w:hAnsi="仿宋_GB2312" w:eastAsia="仿宋_GB2312" w:cs="仿宋_GB2312"/>
          <w:sz w:val="32"/>
          <w:szCs w:val="32"/>
        </w:rPr>
        <w:t>2248.53</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88.43</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1504.51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59.17</w:t>
      </w:r>
      <w:r>
        <w:rPr>
          <w:rFonts w:hint="eastAsia" w:ascii="仿宋_GB2312" w:hAnsi="仿宋_GB2312" w:eastAsia="仿宋_GB2312" w:cs="仿宋_GB2312"/>
          <w:color w:val="auto"/>
          <w:kern w:val="2"/>
          <w:sz w:val="32"/>
          <w:szCs w:val="32"/>
          <w:highlight w:val="none"/>
          <w:lang w:val="en-US" w:eastAsia="zh-CN" w:bidi="ar-SA"/>
        </w:rPr>
        <w:t>%。</w:t>
      </w:r>
    </w:p>
    <w:p w14:paraId="119608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6DEB8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4"/>
      <w:r>
        <w:rPr>
          <w:rFonts w:hint="eastAsia" w:ascii="Times New Roman" w:hAnsi="Times New Roman" w:eastAsia="楷体_GB2312" w:cs="楷体_GB2312"/>
          <w:b/>
          <w:color w:val="auto"/>
          <w:sz w:val="32"/>
          <w:szCs w:val="32"/>
          <w:highlight w:val="none"/>
        </w:rPr>
        <w:t>（三）国有资产占有使用情况</w:t>
      </w:r>
      <w:bookmarkEnd w:id="52"/>
    </w:p>
    <w:p w14:paraId="3BCB1C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松潘县林业和草原局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27</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辆、特种专业技术用车、其他用车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hAnsi="仿宋_GB2312" w:eastAsia="仿宋_GB2312" w:cs="仿宋_GB2312"/>
          <w:kern w:val="0"/>
          <w:sz w:val="32"/>
          <w:szCs w:val="32"/>
          <w:shd w:val="clear" w:fill="FFFFFF"/>
        </w:rPr>
        <w:t>森林草原防灭火用车，单价100万元（含）以上设备（不含车辆）0台（套）。</w:t>
      </w:r>
    </w:p>
    <w:p w14:paraId="6D274E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1A85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AA90A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根据预算绩效管理要求，在2024年度预算编制阶段，组织对（项目名称）等</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1CE73D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14:paraId="770752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9FC89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AD84E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3" w:name="_Toc15377225"/>
      <w:bookmarkStart w:id="5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3"/>
      <w:bookmarkEnd w:id="54"/>
    </w:p>
    <w:p w14:paraId="172BDF35">
      <w:pPr>
        <w:spacing w:line="600" w:lineRule="exact"/>
        <w:jc w:val="left"/>
        <w:rPr>
          <w:rFonts w:ascii="Times New Roman" w:hAnsi="Times New Roman"/>
          <w:b/>
          <w:color w:val="auto"/>
          <w:sz w:val="44"/>
          <w:szCs w:val="44"/>
          <w:highlight w:val="none"/>
        </w:rPr>
      </w:pPr>
    </w:p>
    <w:p w14:paraId="625EB0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8A3A4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679995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0C61EB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2D9081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463711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B028B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048F19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88328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5C5D88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50665F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0A9437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3A00CA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724651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38824C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3C99E2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75FC85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7C1CEB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2FAF44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4822E5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6ABFF2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0D2A9C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67B9F3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156311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01D6EA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0A0012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7DFB48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01C356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2C40B0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4822CC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60D315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1AB4C3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770C7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3E85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2AFEE63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1624D090">
      <w:pPr>
        <w:spacing w:line="600" w:lineRule="exact"/>
        <w:jc w:val="center"/>
        <w:rPr>
          <w:rStyle w:val="29"/>
          <w:rFonts w:hint="eastAsia" w:ascii="Times New Roman" w:hAnsi="Times New Roman" w:eastAsia="黑体"/>
          <w:b w:val="0"/>
          <w:color w:val="auto"/>
          <w:highlight w:val="none"/>
          <w:lang w:eastAsia="zh-CN"/>
        </w:rPr>
      </w:pPr>
      <w:bookmarkStart w:id="5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6"/>
    </w:p>
    <w:p w14:paraId="681EB28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4F6730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008FEFD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4F2BD3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658254D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5516E3A3">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D4B172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7A9C2C8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Times New Roman" w:hAnsi="Times New Roman" w:eastAsia="仿宋_GB2312" w:cs="仿宋_GB2312"/>
          <w:color w:val="auto"/>
          <w:kern w:val="2"/>
          <w:sz w:val="32"/>
          <w:szCs w:val="32"/>
          <w:highlight w:val="none"/>
          <w:lang w:val="en-US" w:eastAsia="zh-CN" w:bidi="ar-SA"/>
        </w:rPr>
        <w:t>***内设</w:t>
      </w:r>
      <w:r>
        <w:rPr>
          <w:rFonts w:hint="default" w:ascii="Times New Roman" w:hAnsi="Times New Roman" w:eastAsia="仿宋_GB2312" w:cs="仿宋_GB2312"/>
          <w:color w:val="auto"/>
          <w:kern w:val="2"/>
          <w:sz w:val="32"/>
          <w:szCs w:val="32"/>
          <w:highlight w:val="none"/>
          <w:lang w:val="en-US" w:eastAsia="zh-CN" w:bidi="ar-SA"/>
        </w:rPr>
        <w:t>处室</w:t>
      </w:r>
      <w:r>
        <w:rPr>
          <w:rFonts w:hint="eastAsia" w:ascii="Times New Roman" w:hAnsi="Times New Roman" w:eastAsia="仿宋_GB2312" w:cs="仿宋_GB2312"/>
          <w:color w:val="auto"/>
          <w:kern w:val="2"/>
          <w:sz w:val="32"/>
          <w:szCs w:val="32"/>
          <w:highlight w:val="none"/>
          <w:lang w:val="en-US" w:eastAsia="zh-CN" w:bidi="ar-SA"/>
        </w:rPr>
        <w:t>及下属单位情况</w:t>
      </w:r>
      <w:r>
        <w:rPr>
          <w:rFonts w:hint="default" w:ascii="Times New Roman" w:hAnsi="Times New Roman" w:eastAsia="仿宋_GB2312" w:cs="仿宋_GB2312"/>
          <w:color w:val="auto"/>
          <w:kern w:val="2"/>
          <w:sz w:val="32"/>
          <w:szCs w:val="32"/>
          <w:highlight w:val="none"/>
          <w:lang w:val="en-US" w:eastAsia="zh-CN" w:bidi="ar-SA"/>
        </w:rPr>
        <w:t>。</w:t>
      </w:r>
    </w:p>
    <w:p w14:paraId="735F1E5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sz w:val="32"/>
          <w:szCs w:val="32"/>
          <w:lang w:val="en-US" w:eastAsia="zh-CN"/>
        </w:rPr>
        <w:t>职责和功能。</w:t>
      </w:r>
    </w:p>
    <w:p w14:paraId="4E58128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sz w:val="32"/>
          <w:szCs w:val="32"/>
          <w:lang w:val="en-US" w:eastAsia="zh-CN"/>
        </w:rPr>
        <w:t>及下属单位编制</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年末实有人数</w:t>
      </w:r>
      <w:r>
        <w:rPr>
          <w:rFonts w:hint="eastAsia" w:ascii="Times New Roman" w:hAnsi="Times New Roman" w:eastAsia="仿宋_GB2312" w:cs="Times New Roman"/>
          <w:sz w:val="32"/>
          <w:szCs w:val="32"/>
          <w:lang w:val="en-US" w:eastAsia="zh-CN"/>
        </w:rPr>
        <w:t>情况。</w:t>
      </w:r>
    </w:p>
    <w:p w14:paraId="12068C9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5E46C25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sz w:val="32"/>
          <w:szCs w:val="32"/>
          <w:lang w:val="en-US" w:eastAsia="zh-CN"/>
        </w:rPr>
        <w:t>2024年年初预算收入情况、决算报表收入情况。</w:t>
      </w:r>
    </w:p>
    <w:p w14:paraId="347A7FF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sz w:val="32"/>
          <w:szCs w:val="32"/>
          <w:lang w:val="en-US" w:eastAsia="zh-CN"/>
        </w:rPr>
        <w:t>2024年年初预算支出情况、决算报表支出情况。</w:t>
      </w:r>
    </w:p>
    <w:p w14:paraId="3C36A95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sz w:val="32"/>
          <w:szCs w:val="32"/>
          <w:lang w:val="en-US" w:eastAsia="zh-CN"/>
        </w:rPr>
        <w:t>2024</w:t>
      </w:r>
      <w:r>
        <w:rPr>
          <w:rFonts w:hint="eastAsia"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决算报表</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478C90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0F52253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4B318BC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履职效能。部门整体绩效目标中选定3</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5个核心职能目标，对职能目标完成效果情况绩效分析。</w:t>
      </w:r>
    </w:p>
    <w:p w14:paraId="58FAC57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。围绕预算编制质量、单位收入统筹、支出执行进度、预算年终结余、严控一般性支出</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7B2FCF9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。围绕财务管理制度、财务岗位设置、资金使用规范</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5A16279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。围绕人均资产变化率、资产利用率、资产盘活率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37D0F6F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。围绕支持中小企业发展、采购执行率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6331DAD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1B39694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个。</w:t>
      </w:r>
    </w:p>
    <w:p w14:paraId="1F24253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个。</w:t>
      </w:r>
    </w:p>
    <w:p w14:paraId="2C9EA75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项目决策。围绕决策程序、目标设置、项目入库</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38F4574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。围绕资金执行同向、项目调整、执行结果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59A05C7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目标实现。围绕目标完成、目标偏离、实现效果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065833A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省级部门对2024年度一般公共预算、政府性基金预算、国有资本经营预算安排的常年项目、阶段项目绩效目标完成情况，以及债券资金、政府购买服务有关情况进行梳理阐述</w:t>
      </w:r>
      <w:r>
        <w:rPr>
          <w:rFonts w:hint="eastAsia" w:ascii="Times New Roman" w:hAnsi="Times New Roman" w:eastAsia="仿宋_GB2312" w:cs="Times New Roman"/>
          <w:sz w:val="32"/>
          <w:szCs w:val="32"/>
          <w:highlight w:val="none"/>
          <w:lang w:val="en-US" w:eastAsia="zh-CN"/>
        </w:rPr>
        <w:t>。</w:t>
      </w:r>
    </w:p>
    <w:p w14:paraId="1AE4E41A">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zh-CN" w:eastAsia="zh-CN" w:bidi="ar"/>
        </w:rPr>
        <w:t>围绕内部应用情况、</w:t>
      </w:r>
      <w:r>
        <w:rPr>
          <w:rFonts w:hint="default" w:ascii="Times New Roman" w:hAnsi="Times New Roman" w:eastAsia="仿宋_GB2312" w:cs="Times New Roman"/>
          <w:sz w:val="32"/>
          <w:szCs w:val="32"/>
          <w:highlight w:val="none"/>
          <w:u w:val="none"/>
          <w:lang w:val="zh-CN" w:eastAsia="zh-CN" w:bidi="ar"/>
        </w:rPr>
        <w:t>信息公开情况</w:t>
      </w:r>
      <w:r>
        <w:rPr>
          <w:rFonts w:hint="eastAsia"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zh-CN" w:eastAsia="zh-CN" w:bidi="ar"/>
        </w:rPr>
        <w:t>整改反馈情况</w:t>
      </w:r>
      <w:r>
        <w:rPr>
          <w:rFonts w:hint="eastAsia" w:ascii="Times New Roman" w:hAnsi="Times New Roman" w:eastAsia="仿宋_GB2312" w:cs="Times New Roman"/>
          <w:sz w:val="32"/>
          <w:szCs w:val="32"/>
          <w:highlight w:val="none"/>
          <w:u w:val="none"/>
          <w:lang w:val="zh-CN" w:eastAsia="zh-CN" w:bidi="ar"/>
        </w:rPr>
        <w:t>进行分析。</w:t>
      </w:r>
    </w:p>
    <w:p w14:paraId="57A7FB4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17AF733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Times New Roman"/>
          <w:sz w:val="32"/>
          <w:szCs w:val="32"/>
          <w:u w:val="none"/>
          <w:lang w:val="en-US" w:eastAsia="zh-CN" w:bidi="ar"/>
        </w:rPr>
        <w:t>简要阐述部门预算绩效自评总体结论，其中必须包含自评得分。</w:t>
      </w:r>
    </w:p>
    <w:p w14:paraId="7C95B08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Times New Roman"/>
          <w:sz w:val="32"/>
          <w:szCs w:val="32"/>
          <w:u w:val="none"/>
          <w:lang w:val="en-US" w:eastAsia="zh-CN" w:bidi="ar"/>
        </w:rPr>
        <w:t>简要阐述部门预算绩效自评发现的主要问题。</w:t>
      </w:r>
    </w:p>
    <w:p w14:paraId="3C688D9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仿宋_GB2312" w:cs="Times New Roman"/>
          <w:sz w:val="32"/>
          <w:szCs w:val="32"/>
          <w:u w:val="none"/>
          <w:lang w:val="en-US" w:eastAsia="zh-CN" w:bidi="ar"/>
        </w:rPr>
        <w:t>简要阐述</w:t>
      </w:r>
      <w:bookmarkStart w:id="57" w:name="_Hlk110546638"/>
      <w:r>
        <w:rPr>
          <w:rFonts w:hint="eastAsia" w:ascii="Times New Roman" w:hAnsi="Times New Roman" w:eastAsia="仿宋_GB2312" w:cs="Times New Roman"/>
          <w:sz w:val="32"/>
          <w:szCs w:val="32"/>
          <w:u w:val="none"/>
          <w:lang w:val="en" w:eastAsia="zh-CN" w:bidi="ar"/>
        </w:rPr>
        <w:t>预算安排、完善政策、改进管理等方面的</w:t>
      </w:r>
      <w:r>
        <w:rPr>
          <w:rFonts w:hint="eastAsia" w:ascii="Times New Roman" w:hAnsi="Times New Roman" w:eastAsia="仿宋_GB2312" w:cs="Times New Roman"/>
          <w:sz w:val="32"/>
          <w:szCs w:val="32"/>
          <w:u w:val="none"/>
          <w:lang w:val="en-US" w:eastAsia="zh-CN" w:bidi="ar"/>
        </w:rPr>
        <w:t>措施</w:t>
      </w:r>
      <w:r>
        <w:rPr>
          <w:rFonts w:hint="eastAsia" w:ascii="Times New Roman" w:hAnsi="Times New Roman" w:eastAsia="仿宋_GB2312" w:cs="Times New Roman"/>
          <w:sz w:val="32"/>
          <w:szCs w:val="32"/>
          <w:u w:val="none"/>
          <w:lang w:val="en" w:eastAsia="zh-CN" w:bidi="ar"/>
        </w:rPr>
        <w:t>建议，其中</w:t>
      </w:r>
      <w:r>
        <w:rPr>
          <w:rFonts w:hint="eastAsia" w:ascii="Times New Roman" w:hAnsi="Times New Roman" w:eastAsia="仿宋_GB2312" w:cs="Times New Roman"/>
          <w:sz w:val="32"/>
          <w:szCs w:val="32"/>
          <w:u w:val="none"/>
          <w:lang w:val="en-US" w:eastAsia="zh-CN" w:bidi="ar"/>
        </w:rPr>
        <w:t>必须</w:t>
      </w:r>
      <w:r>
        <w:rPr>
          <w:rFonts w:hint="eastAsia" w:eastAsia="仿宋_GB2312" w:cs="Times New Roman"/>
          <w:sz w:val="32"/>
          <w:szCs w:val="32"/>
          <w:u w:val="none"/>
          <w:lang w:val="en-US" w:eastAsia="zh-CN" w:bidi="ar"/>
        </w:rPr>
        <w:t>对</w:t>
      </w:r>
      <w:r>
        <w:rPr>
          <w:rFonts w:hint="eastAsia" w:ascii="Times New Roman" w:hAnsi="Times New Roman" w:eastAsia="仿宋_GB2312" w:cs="Times New Roman"/>
          <w:sz w:val="32"/>
          <w:szCs w:val="32"/>
          <w:u w:val="none"/>
          <w:lang w:val="en-US" w:eastAsia="zh-CN" w:bidi="ar"/>
        </w:rPr>
        <w:t>评价发现的主要问题一一提出措施建议。</w:t>
      </w:r>
    </w:p>
    <w:bookmarkEnd w:id="57"/>
    <w:p w14:paraId="4064EE65">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DDEBF3E">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56F62100">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（注：按照绩效自评工作安排，各部门已在预算管理一体化系统绩效自评模块上传“部门预算项目支出绩效自评表</w:t>
      </w:r>
      <w:bookmarkStart w:id="72" w:name="_GoBack"/>
      <w:r>
        <w:rPr>
          <w:rFonts w:hint="eastAsia" w:ascii="Times New Roman" w:hAnsi="Times New Roman" w:eastAsia="仿宋_GB2312" w:cs="仿宋_GB2312"/>
          <w:b w:val="0"/>
          <w:bCs w:val="0"/>
          <w:kern w:val="0"/>
          <w:position w:val="0"/>
          <w:sz w:val="32"/>
          <w:szCs w:val="32"/>
          <w:highlight w:val="none"/>
          <w:lang w:val="en-US" w:eastAsia="zh-CN" w:bidi="ar-SA"/>
        </w:rPr>
        <w:t>（</w:t>
      </w:r>
      <w:bookmarkEnd w:id="72"/>
      <w:r>
        <w:rPr>
          <w:rFonts w:hint="eastAsia" w:ascii="Times New Roman" w:hAnsi="Times New Roman" w:eastAsia="仿宋_GB2312" w:cs="仿宋_GB2312"/>
          <w:b w:val="0"/>
          <w:bCs w:val="0"/>
          <w:kern w:val="0"/>
          <w:position w:val="0"/>
          <w:sz w:val="32"/>
          <w:szCs w:val="32"/>
          <w:highlight w:val="none"/>
          <w:lang w:val="en-US" w:eastAsia="zh-CN" w:bidi="ar-SA"/>
        </w:rPr>
        <w:t>2024年度）”，该表格应作为附表予以公开）</w:t>
      </w:r>
    </w:p>
    <w:p w14:paraId="68E6D5B6">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399AE3A">
      <w:pPr>
        <w:pStyle w:val="6"/>
        <w:rPr>
          <w:rFonts w:hint="eastAsia" w:ascii="Times New Roman" w:hAnsi="Times New Roman" w:cs="宋体"/>
          <w:color w:val="FF0000"/>
          <w:kern w:val="0"/>
          <w:sz w:val="32"/>
          <w:szCs w:val="32"/>
          <w:highlight w:val="yellow"/>
          <w:shd w:val="clear" w:color="auto" w:fill="FFFFFF"/>
          <w:lang w:val="zh-CN"/>
        </w:rPr>
      </w:pPr>
    </w:p>
    <w:p w14:paraId="072A2EB3">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6D733FE9">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7DEE5166">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6CAC746E">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52A086F6">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78B045A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0CC53E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en-US" w:eastAsia="zh-CN" w:bidi="ar-SA"/>
        </w:rPr>
        <w:t>项目设立原因及背景，</w:t>
      </w:r>
      <w:r>
        <w:rPr>
          <w:rFonts w:hint="eastAsia" w:ascii="Times New Roman" w:hAnsi="Times New Roman" w:eastAsia="仿宋_GB2312" w:cs="仿宋_GB2312"/>
          <w:b w:val="0"/>
          <w:bCs w:val="0"/>
          <w:kern w:val="0"/>
          <w:position w:val="0"/>
          <w:sz w:val="32"/>
          <w:szCs w:val="32"/>
          <w:highlight w:val="none"/>
          <w:lang w:val="zh-CN" w:eastAsia="zh-CN" w:bidi="ar-SA"/>
        </w:rPr>
        <w:t>项目立项、资金申报的依据，项目主要内容</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主管部门职能</w:t>
      </w:r>
      <w:r>
        <w:rPr>
          <w:rFonts w:hint="eastAsia" w:ascii="Times New Roman" w:hAnsi="Times New Roman" w:eastAsia="仿宋_GB2312" w:cs="仿宋_GB2312"/>
          <w:color w:val="auto"/>
          <w:kern w:val="0"/>
          <w:sz w:val="32"/>
          <w:szCs w:val="32"/>
          <w:highlight w:val="none"/>
          <w:u w:val="none"/>
          <w:shd w:val="clear" w:color="auto" w:fill="FFFFFF"/>
          <w:lang w:val="zh-CN"/>
        </w:rPr>
        <w:t>。</w:t>
      </w:r>
    </w:p>
    <w:p w14:paraId="377842EE">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仿宋_GB2312"/>
          <w:b w:val="0"/>
          <w:bCs w:val="0"/>
          <w:kern w:val="0"/>
          <w:position w:val="0"/>
          <w:sz w:val="32"/>
          <w:szCs w:val="32"/>
          <w:highlight w:val="none"/>
          <w:lang w:val="en-US" w:eastAsia="zh-CN" w:bidi="ar-SA"/>
        </w:rPr>
        <w:t>项目资金</w:t>
      </w:r>
      <w:r>
        <w:rPr>
          <w:rFonts w:hint="eastAsia" w:ascii="Times New Roman" w:hAnsi="Times New Roman" w:eastAsia="仿宋_GB2312" w:cs="仿宋_GB2312"/>
          <w:b w:val="0"/>
          <w:bCs w:val="0"/>
          <w:kern w:val="0"/>
          <w:position w:val="0"/>
          <w:sz w:val="32"/>
          <w:szCs w:val="32"/>
          <w:highlight w:val="none"/>
          <w:lang w:val="zh-CN" w:eastAsia="zh-CN" w:bidi="ar-SA"/>
        </w:rPr>
        <w:t>管理办法制定情况，项目实施目的和主要工作任务，项目支持方向。</w:t>
      </w:r>
    </w:p>
    <w:p w14:paraId="27A4CB6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仿宋_GB2312"/>
          <w:b w:val="0"/>
          <w:bCs w:val="0"/>
          <w:kern w:val="0"/>
          <w:position w:val="0"/>
          <w:sz w:val="32"/>
          <w:szCs w:val="32"/>
          <w:highlight w:val="none"/>
          <w:lang w:val="zh-CN" w:eastAsia="zh-CN" w:bidi="ar-SA"/>
        </w:rPr>
        <w:t>项目预算安排情况，项目资金分配原则及考虑因素，项目资金分配情况。</w:t>
      </w:r>
    </w:p>
    <w:p w14:paraId="0997D24C">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项目整体、区域和具体绩效目标设置情况，项目自评工作开展情况。</w:t>
      </w:r>
    </w:p>
    <w:p w14:paraId="404CCC6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4B77339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通过项目绩效自评要实现的目的。</w:t>
      </w:r>
    </w:p>
    <w:p w14:paraId="2600A2A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按照绩效评价指标体系，对资金支出使用全过程及其实施效果进行综合评价和判断。</w:t>
      </w:r>
    </w:p>
    <w:p w14:paraId="571D8B7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仿宋_GB2312" w:cs="仿宋_GB2312"/>
          <w:b w:val="0"/>
          <w:color w:val="auto"/>
          <w:kern w:val="0"/>
          <w:sz w:val="32"/>
          <w:szCs w:val="32"/>
          <w:highlight w:val="none"/>
          <w:u w:val="none"/>
          <w:lang w:val="zh-CN"/>
        </w:rPr>
        <w:t>项目绩效自评所抽样点位情况。每个专项预算项目应选取专项资金分配涉及市县总数的20%、总计不超过20个的市县点位进行实地踏勘，且点位清单应作为自评附表。</w:t>
      </w:r>
    </w:p>
    <w:p w14:paraId="09306FC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根据项目情况和评价重点，用来收集相关材料和开展具体评价的方法。包括：采用成本效益分析法、标杆管理法、案卷研究法、单位自评法、实地勘察法、问卷调查法、座谈调研法等多种方法。</w:t>
      </w:r>
    </w:p>
    <w:p w14:paraId="7DFE1E6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评价组人员构成和职责分工。</w:t>
      </w:r>
    </w:p>
    <w:p w14:paraId="311110C5">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8D6AFB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5C66D5F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846B87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57350A7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699BE5C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344F866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1E7D32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136A1A5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272A4E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3DD34AA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1243E92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2872FA0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773B775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3EAA11D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简要阐述专项预算项目绩效自评总体结论，包含评价总分、</w:t>
      </w:r>
      <w:r>
        <w:rPr>
          <w:rFonts w:hint="eastAsia" w:ascii="Times New Roman" w:hAnsi="Times New Roman" w:eastAsia="仿宋_GB2312" w:cs="仿宋_GB2312"/>
          <w:b w:val="0"/>
          <w:bCs w:val="0"/>
          <w:kern w:val="0"/>
          <w:position w:val="0"/>
          <w:sz w:val="32"/>
          <w:szCs w:val="32"/>
          <w:highlight w:val="none"/>
          <w:lang w:val="zh-CN" w:eastAsia="zh-CN" w:bidi="ar-SA"/>
        </w:rPr>
        <w:t>项目实施情况。</w:t>
      </w:r>
    </w:p>
    <w:p w14:paraId="5DD5FFF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3FAE136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简要阐述专项预算项目绩效自评发现的主要问题。</w:t>
      </w:r>
    </w:p>
    <w:p w14:paraId="50EB01E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2DE1E59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简要阐述专项预算项目在</w:t>
      </w:r>
      <w:r>
        <w:rPr>
          <w:rFonts w:hint="eastAsia" w:ascii="Times New Roman" w:hAnsi="Times New Roman" w:eastAsia="仿宋_GB2312" w:cs="仿宋_GB2312"/>
          <w:b w:val="0"/>
          <w:bCs w:val="0"/>
          <w:kern w:val="0"/>
          <w:position w:val="0"/>
          <w:sz w:val="32"/>
          <w:szCs w:val="32"/>
          <w:highlight w:val="none"/>
          <w:lang w:val="en" w:eastAsia="zh-CN" w:bidi="ar-SA"/>
        </w:rPr>
        <w:t>预算安排、完善政策、改进管理等方面的</w:t>
      </w:r>
      <w:r>
        <w:rPr>
          <w:rFonts w:hint="eastAsia" w:ascii="Times New Roman" w:hAnsi="Times New Roman" w:eastAsia="仿宋_GB2312" w:cs="仿宋_GB2312"/>
          <w:b w:val="0"/>
          <w:bCs w:val="0"/>
          <w:kern w:val="0"/>
          <w:position w:val="0"/>
          <w:sz w:val="32"/>
          <w:szCs w:val="32"/>
          <w:highlight w:val="none"/>
          <w:lang w:val="en-US" w:eastAsia="zh-CN" w:bidi="ar-SA"/>
        </w:rPr>
        <w:t>措施</w:t>
      </w:r>
      <w:r>
        <w:rPr>
          <w:rFonts w:hint="eastAsia" w:ascii="Times New Roman" w:hAnsi="Times New Roman" w:eastAsia="仿宋_GB2312" w:cs="仿宋_GB2312"/>
          <w:b w:val="0"/>
          <w:bCs w:val="0"/>
          <w:kern w:val="0"/>
          <w:position w:val="0"/>
          <w:sz w:val="32"/>
          <w:szCs w:val="32"/>
          <w:highlight w:val="none"/>
          <w:lang w:val="en" w:eastAsia="zh-CN" w:bidi="ar-SA"/>
        </w:rPr>
        <w:t>建议，其中</w:t>
      </w:r>
      <w:r>
        <w:rPr>
          <w:rFonts w:hint="eastAsia" w:ascii="Times New Roman" w:hAnsi="Times New Roman" w:eastAsia="仿宋_GB2312" w:cs="仿宋_GB2312"/>
          <w:b w:val="0"/>
          <w:bCs w:val="0"/>
          <w:kern w:val="0"/>
          <w:position w:val="0"/>
          <w:sz w:val="32"/>
          <w:szCs w:val="32"/>
          <w:highlight w:val="none"/>
          <w:lang w:val="en-US" w:eastAsia="zh-CN" w:bidi="ar-SA"/>
        </w:rPr>
        <w:t>必须</w:t>
      </w:r>
      <w:r>
        <w:rPr>
          <w:rFonts w:hint="eastAsia" w:eastAsia="仿宋_GB2312" w:cs="仿宋_GB2312"/>
          <w:b w:val="0"/>
          <w:bCs w:val="0"/>
          <w:kern w:val="0"/>
          <w:position w:val="0"/>
          <w:sz w:val="32"/>
          <w:szCs w:val="32"/>
          <w:highlight w:val="none"/>
          <w:lang w:val="en-US" w:eastAsia="zh-CN" w:bidi="ar-SA"/>
        </w:rPr>
        <w:t>对</w:t>
      </w:r>
      <w:r>
        <w:rPr>
          <w:rFonts w:hint="eastAsia" w:ascii="Times New Roman" w:hAnsi="Times New Roman" w:eastAsia="仿宋_GB2312" w:cs="仿宋_GB2312"/>
          <w:b w:val="0"/>
          <w:bCs w:val="0"/>
          <w:kern w:val="0"/>
          <w:position w:val="0"/>
          <w:sz w:val="32"/>
          <w:szCs w:val="32"/>
          <w:highlight w:val="none"/>
          <w:lang w:val="en-US" w:eastAsia="zh-CN" w:bidi="ar-SA"/>
        </w:rPr>
        <w:t>评价发现的主要问题一一提出措施建议。</w:t>
      </w:r>
    </w:p>
    <w:p w14:paraId="7E461E8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eastAsia="仿宋_GB2312" w:cs="仿宋_GB2312"/>
          <w:b w:val="0"/>
          <w:bCs w:val="0"/>
          <w:kern w:val="0"/>
          <w:position w:val="0"/>
          <w:sz w:val="32"/>
          <w:szCs w:val="32"/>
          <w:highlight w:val="none"/>
          <w:lang w:val="en-US" w:eastAsia="zh-CN" w:bidi="ar-SA"/>
        </w:rPr>
        <w:t>注：</w:t>
      </w:r>
      <w:r>
        <w:rPr>
          <w:rFonts w:hint="eastAsia" w:ascii="Times New Roman" w:hAnsi="Times New Roman" w:eastAsia="仿宋_GB2312" w:cs="仿宋_GB2312"/>
          <w:b w:val="0"/>
          <w:bCs w:val="0"/>
          <w:kern w:val="0"/>
          <w:position w:val="0"/>
          <w:sz w:val="32"/>
          <w:szCs w:val="32"/>
          <w:highlight w:val="none"/>
          <w:lang w:val="en-US" w:eastAsia="zh-CN" w:bidi="ar-SA"/>
        </w:rPr>
        <w:t>以上绩效自评报告，除涉密敏感内容外，原则上都应予以公开）</w:t>
      </w:r>
    </w:p>
    <w:p w14:paraId="7C6A845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46ECD7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25B722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B3374D6">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5"/>
      <w:bookmarkEnd w:id="58"/>
      <w:bookmarkStart w:id="59" w:name="_Toc15396619"/>
    </w:p>
    <w:p w14:paraId="00804DB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1BF7F3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9"/>
    </w:p>
    <w:p w14:paraId="19016E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0"/>
      <w:r>
        <w:rPr>
          <w:rFonts w:hint="eastAsia" w:ascii="Times New Roman" w:hAnsi="Times New Roman" w:eastAsia="仿宋_GB2312" w:cs="仿宋_GB2312"/>
          <w:color w:val="auto"/>
          <w:sz w:val="32"/>
          <w:szCs w:val="32"/>
          <w:highlight w:val="none"/>
        </w:rPr>
        <w:t>二、收入决算表</w:t>
      </w:r>
      <w:bookmarkEnd w:id="60"/>
    </w:p>
    <w:p w14:paraId="30DBA30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1"/>
      <w:r>
        <w:rPr>
          <w:rFonts w:hint="eastAsia" w:ascii="Times New Roman" w:hAnsi="Times New Roman" w:eastAsia="仿宋_GB2312" w:cs="仿宋_GB2312"/>
          <w:color w:val="auto"/>
          <w:sz w:val="32"/>
          <w:szCs w:val="32"/>
          <w:highlight w:val="none"/>
        </w:rPr>
        <w:t>三、支出决算表</w:t>
      </w:r>
      <w:bookmarkEnd w:id="61"/>
    </w:p>
    <w:p w14:paraId="022EDB1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2"/>
      <w:r>
        <w:rPr>
          <w:rFonts w:hint="eastAsia" w:ascii="Times New Roman" w:hAnsi="Times New Roman" w:eastAsia="仿宋_GB2312" w:cs="仿宋_GB2312"/>
          <w:color w:val="auto"/>
          <w:sz w:val="32"/>
          <w:szCs w:val="32"/>
          <w:highlight w:val="none"/>
        </w:rPr>
        <w:t>四、财政拨款收入支出决算总表</w:t>
      </w:r>
      <w:bookmarkEnd w:id="62"/>
    </w:p>
    <w:p w14:paraId="1D0DD45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3"/>
      <w:r>
        <w:rPr>
          <w:rFonts w:hint="eastAsia" w:ascii="Times New Roman" w:hAnsi="Times New Roman" w:eastAsia="仿宋_GB2312" w:cs="仿宋_GB2312"/>
          <w:color w:val="auto"/>
          <w:sz w:val="32"/>
          <w:szCs w:val="32"/>
          <w:highlight w:val="none"/>
        </w:rPr>
        <w:t>五、财政拨款支出决算明细表</w:t>
      </w:r>
      <w:bookmarkEnd w:id="63"/>
      <w:bookmarkStart w:id="64" w:name="_Toc15396624"/>
    </w:p>
    <w:p w14:paraId="5A73D31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4"/>
    </w:p>
    <w:p w14:paraId="1BBF196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5"/>
      <w:r>
        <w:rPr>
          <w:rFonts w:hint="eastAsia" w:ascii="Times New Roman" w:hAnsi="Times New Roman" w:eastAsia="仿宋_GB2312" w:cs="仿宋_GB2312"/>
          <w:color w:val="auto"/>
          <w:sz w:val="32"/>
          <w:szCs w:val="32"/>
          <w:highlight w:val="none"/>
        </w:rPr>
        <w:t>七、一般公共预算财政拨款支出决算明细表</w:t>
      </w:r>
      <w:bookmarkEnd w:id="65"/>
    </w:p>
    <w:p w14:paraId="171513B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6"/>
      <w:r>
        <w:rPr>
          <w:rFonts w:hint="eastAsia" w:ascii="Times New Roman" w:hAnsi="Times New Roman" w:eastAsia="仿宋_GB2312" w:cs="仿宋_GB2312"/>
          <w:color w:val="auto"/>
          <w:sz w:val="32"/>
          <w:szCs w:val="32"/>
          <w:highlight w:val="none"/>
        </w:rPr>
        <w:t>八、一般公共预算财政拨款基本支出决算表</w:t>
      </w:r>
      <w:bookmarkEnd w:id="66"/>
    </w:p>
    <w:p w14:paraId="5DFFF91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7"/>
      <w:r>
        <w:rPr>
          <w:rFonts w:hint="eastAsia" w:ascii="Times New Roman" w:hAnsi="Times New Roman" w:eastAsia="仿宋_GB2312" w:cs="仿宋_GB2312"/>
          <w:color w:val="auto"/>
          <w:sz w:val="32"/>
          <w:szCs w:val="32"/>
          <w:highlight w:val="none"/>
        </w:rPr>
        <w:t>九、一般公共预算财政拨款项目支出决算表</w:t>
      </w:r>
      <w:bookmarkEnd w:id="67"/>
    </w:p>
    <w:p w14:paraId="2ECA9F4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8"/>
      <w:r>
        <w:rPr>
          <w:rFonts w:hint="eastAsia" w:ascii="Times New Roman" w:hAnsi="Times New Roman" w:eastAsia="仿宋_GB2312" w:cs="仿宋_GB2312"/>
          <w:color w:val="auto"/>
          <w:sz w:val="32"/>
          <w:szCs w:val="32"/>
          <w:highlight w:val="none"/>
        </w:rPr>
        <w:t>十、</w:t>
      </w:r>
      <w:bookmarkEnd w:id="68"/>
      <w:r>
        <w:rPr>
          <w:rFonts w:hint="eastAsia" w:ascii="Times New Roman" w:hAnsi="Times New Roman" w:eastAsia="仿宋_GB2312" w:cs="仿宋_GB2312"/>
          <w:color w:val="auto"/>
          <w:sz w:val="32"/>
          <w:szCs w:val="32"/>
          <w:highlight w:val="none"/>
        </w:rPr>
        <w:t>政府性基金预算财政拨款收入支出决算表</w:t>
      </w:r>
    </w:p>
    <w:p w14:paraId="1E2B2C7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9"/>
      <w:r>
        <w:rPr>
          <w:rFonts w:hint="eastAsia" w:ascii="Times New Roman" w:hAnsi="Times New Roman" w:eastAsia="仿宋_GB2312" w:cs="仿宋_GB2312"/>
          <w:color w:val="auto"/>
          <w:sz w:val="32"/>
          <w:szCs w:val="32"/>
          <w:highlight w:val="none"/>
        </w:rPr>
        <w:t>十一、</w:t>
      </w:r>
      <w:bookmarkEnd w:id="6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5BEED1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30"/>
      <w:r>
        <w:rPr>
          <w:rFonts w:hint="eastAsia" w:ascii="Times New Roman" w:hAnsi="Times New Roman" w:eastAsia="仿宋_GB2312" w:cs="仿宋_GB2312"/>
          <w:color w:val="auto"/>
          <w:sz w:val="32"/>
          <w:szCs w:val="32"/>
          <w:highlight w:val="none"/>
        </w:rPr>
        <w:t>十二、</w:t>
      </w:r>
      <w:bookmarkEnd w:id="70"/>
      <w:r>
        <w:rPr>
          <w:rFonts w:hint="eastAsia" w:ascii="Times New Roman" w:hAnsi="Times New Roman" w:eastAsia="仿宋_GB2312" w:cs="仿宋_GB2312"/>
          <w:color w:val="auto"/>
          <w:sz w:val="32"/>
          <w:szCs w:val="32"/>
          <w:highlight w:val="none"/>
          <w:lang w:eastAsia="zh-CN"/>
        </w:rPr>
        <w:t>国有资本经营预算财政拨款支出决算表</w:t>
      </w:r>
    </w:p>
    <w:p w14:paraId="4642F20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1" w:name="_Toc15396631"/>
      <w:r>
        <w:rPr>
          <w:rFonts w:hint="eastAsia" w:ascii="Times New Roman" w:hAnsi="Times New Roman" w:eastAsia="仿宋_GB2312" w:cs="仿宋_GB2312"/>
          <w:color w:val="auto"/>
          <w:sz w:val="32"/>
          <w:szCs w:val="32"/>
          <w:highlight w:val="none"/>
        </w:rPr>
        <w:t>十三、</w:t>
      </w:r>
      <w:bookmarkEnd w:id="71"/>
      <w:r>
        <w:rPr>
          <w:rFonts w:hint="eastAsia" w:ascii="Times New Roman" w:hAnsi="Times New Roman" w:eastAsia="仿宋_GB2312" w:cs="仿宋_GB2312"/>
          <w:color w:val="auto"/>
          <w:sz w:val="32"/>
          <w:szCs w:val="32"/>
          <w:highlight w:val="none"/>
          <w:lang w:eastAsia="zh-CN"/>
        </w:rPr>
        <w:t>财政拨款“三公”经费支出决算表</w:t>
      </w:r>
    </w:p>
    <w:p w14:paraId="73375154">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563BB0-0088-43EC-8A47-30B39B3989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862C24-6219-4CDD-846F-89F663AEEC8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2489C2C7-FBAE-4018-A45A-74D7D10C0CFC}"/>
  </w:font>
  <w:font w:name="仿宋">
    <w:panose1 w:val="02010609060101010101"/>
    <w:charset w:val="86"/>
    <w:family w:val="modern"/>
    <w:pitch w:val="default"/>
    <w:sig w:usb0="800002BF" w:usb1="38CF7CFA" w:usb2="00000016" w:usb3="00000000" w:csb0="00040001" w:csb1="00000000"/>
    <w:embedRegular r:id="rId4" w:fontKey="{D8639C70-A441-4CFD-A21B-A2E395AA6992}"/>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2CC8042F-3699-42AC-98A9-D383FE8F61E4}"/>
  </w:font>
  <w:font w:name="楷体_GB2312">
    <w:panose1 w:val="02010609030101010101"/>
    <w:charset w:val="86"/>
    <w:family w:val="auto"/>
    <w:pitch w:val="default"/>
    <w:sig w:usb0="00000001" w:usb1="080E0000" w:usb2="00000000" w:usb3="00000000" w:csb0="00040000" w:csb1="00000000"/>
    <w:embedRegular r:id="rId6" w:fontKey="{E147EA36-A50B-4C2B-B06C-52DD832CD9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8D909">
    <w:pPr>
      <w:pStyle w:val="11"/>
      <w:jc w:val="center"/>
    </w:pPr>
  </w:p>
  <w:p w14:paraId="47CD7E4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387B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696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24C97"/>
    <w:multiLevelType w:val="singleLevel"/>
    <w:tmpl w:val="C2C24C97"/>
    <w:lvl w:ilvl="0" w:tentative="0">
      <w:start w:val="3"/>
      <w:numFmt w:val="decimal"/>
      <w:lvlText w:val="%1."/>
      <w:lvlJc w:val="left"/>
      <w:pPr>
        <w:tabs>
          <w:tab w:val="left" w:pos="312"/>
        </w:tabs>
      </w:pPr>
    </w:lvl>
  </w:abstractNum>
  <w:abstractNum w:abstractNumId="1">
    <w:nsid w:val="F564F0E3"/>
    <w:multiLevelType w:val="singleLevel"/>
    <w:tmpl w:val="F564F0E3"/>
    <w:lvl w:ilvl="0" w:tentative="0">
      <w:start w:val="1"/>
      <w:numFmt w:val="decimal"/>
      <w:lvlText w:val="%1."/>
      <w:lvlJc w:val="left"/>
      <w:pPr>
        <w:tabs>
          <w:tab w:val="left" w:pos="312"/>
        </w:tabs>
      </w:pPr>
    </w:lvl>
  </w:abstractNum>
  <w:abstractNum w:abstractNumId="2">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3">
    <w:nsid w:val="77726161"/>
    <w:multiLevelType w:val="singleLevel"/>
    <w:tmpl w:val="77726161"/>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7D7D7B"/>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6F652F"/>
    <w:rsid w:val="24C97D99"/>
    <w:rsid w:val="24FE78B3"/>
    <w:rsid w:val="25A718F0"/>
    <w:rsid w:val="25BB59F6"/>
    <w:rsid w:val="260F557C"/>
    <w:rsid w:val="268D5392"/>
    <w:rsid w:val="26970054"/>
    <w:rsid w:val="27201D62"/>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83694E"/>
    <w:rsid w:val="36AA5135"/>
    <w:rsid w:val="36BE0DA7"/>
    <w:rsid w:val="373920DA"/>
    <w:rsid w:val="376B6AA6"/>
    <w:rsid w:val="376D39B2"/>
    <w:rsid w:val="37E16F03"/>
    <w:rsid w:val="37F53A3B"/>
    <w:rsid w:val="389B6C89"/>
    <w:rsid w:val="38D469F0"/>
    <w:rsid w:val="394D1F34"/>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A8A75AA"/>
    <w:rsid w:val="4B0E749A"/>
    <w:rsid w:val="4B200DC8"/>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8E0472"/>
    <w:rsid w:val="67AA3209"/>
    <w:rsid w:val="698D0931"/>
    <w:rsid w:val="6A7FE5F3"/>
    <w:rsid w:val="6B053271"/>
    <w:rsid w:val="6BDD78B3"/>
    <w:rsid w:val="6C4A05C8"/>
    <w:rsid w:val="6C6F3E6A"/>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903B3F"/>
    <w:rsid w:val="77A75DCA"/>
    <w:rsid w:val="77DC22F5"/>
    <w:rsid w:val="78012C5A"/>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467BC"/>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317" w:lineRule="atLeast"/>
      <w:ind w:firstLine="476"/>
      <w:textAlignment w:val="center"/>
    </w:pPr>
    <w:rPr>
      <w:kern w:val="28"/>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7">
    <w:name w:val="16"/>
    <w:basedOn w:val="17"/>
    <w:qFormat/>
    <w:uiPriority w:val="0"/>
    <w:rPr>
      <w:rFonts w:hint="default" w:ascii="Times New Roman" w:hAnsi="Times New Roman" w:cs="Times New Roman"/>
      <w:b/>
      <w:bCs/>
    </w:rPr>
  </w:style>
  <w:style w:type="character" w:customStyle="1" w:styleId="38">
    <w:name w:val="17"/>
    <w:basedOn w:val="1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收、支决算总计变动情况表</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17642.27</c:v>
                </c:pt>
                <c:pt idx="1">
                  <c:v>8763.35</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0">
                  <c:v>17642.27</c:v>
                </c:pt>
                <c:pt idx="1">
                  <c:v>8763.35</c:v>
                </c:pt>
              </c:numCache>
            </c:numRef>
          </c:val>
        </c:ser>
        <c:dLbls>
          <c:showLegendKey val="0"/>
          <c:showVal val="1"/>
          <c:showCatName val="0"/>
          <c:showSerName val="0"/>
          <c:showPercent val="0"/>
          <c:showBubbleSize val="0"/>
        </c:dLbls>
        <c:gapWidth val="246"/>
        <c:overlap val="-28"/>
        <c:axId val="479494986"/>
        <c:axId val="968316417"/>
      </c:barChart>
      <c:catAx>
        <c:axId val="4794949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8316417"/>
        <c:crosses val="autoZero"/>
        <c:auto val="1"/>
        <c:lblAlgn val="ctr"/>
        <c:lblOffset val="100"/>
        <c:noMultiLvlLbl val="0"/>
      </c:catAx>
      <c:valAx>
        <c:axId val="96831641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4949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a50677-d771-4e0b-b615-9b53bec14a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国有资金本经营预算财政拨款收入</c:v>
                </c:pt>
                <c:pt idx="3">
                  <c:v>上级补助收入</c:v>
                </c:pt>
                <c:pt idx="4">
                  <c:v>经营收入</c:v>
                </c:pt>
                <c:pt idx="5">
                  <c:v>其他收入</c:v>
                </c:pt>
                <c:pt idx="6">
                  <c:v>附属单位上缴收入</c:v>
                </c:pt>
                <c:pt idx="7">
                  <c:v>事业收入</c:v>
                </c:pt>
              </c:strCache>
            </c:strRef>
          </c:cat>
          <c:val>
            <c:numRef>
              <c:f>Sheet1!$B$2:$B$9</c:f>
              <c:numCache>
                <c:formatCode>0%</c:formatCode>
                <c:ptCount val="8"/>
                <c:pt idx="0">
                  <c:v>1</c:v>
                </c:pt>
                <c:pt idx="1" c:formatCode="General">
                  <c:v>0</c:v>
                </c:pt>
                <c:pt idx="2" c:formatCode="General">
                  <c:v>0</c:v>
                </c:pt>
                <c:pt idx="3" c:formatCode="General">
                  <c:v>0</c:v>
                </c:pt>
                <c:pt idx="4" c:formatCode="General">
                  <c:v>0</c:v>
                </c:pt>
                <c:pt idx="5" c:formatCode="General">
                  <c:v>0</c:v>
                </c:pt>
                <c:pt idx="6" c:formatCode="General">
                  <c:v>0</c:v>
                </c:pt>
                <c:pt idx="7"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748f8d-b799-4174-87bf-78f0f2d0d02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663952938284325"/>
                  <c:y val="0.01235740346660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3904324716115"/>
                  <c:y val="0.04504887377815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6888137231215"/>
                  <c:y val="-0.003612409689757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对附属单位补助支出</c:v>
                </c:pt>
                <c:pt idx="4">
                  <c:v>经营支出</c:v>
                </c:pt>
              </c:strCache>
            </c:strRef>
          </c:cat>
          <c:val>
            <c:numRef>
              <c:f>Sheet1!$B$2:$B$6</c:f>
              <c:numCache>
                <c:formatCode>0.00%</c:formatCode>
                <c:ptCount val="5"/>
                <c:pt idx="0">
                  <c:v>0.2467</c:v>
                </c:pt>
                <c:pt idx="1">
                  <c:v>0.7532</c:v>
                </c:pt>
                <c:pt idx="2" c:formatCode="General">
                  <c:v>0</c:v>
                </c:pt>
                <c:pt idx="3" c:formatCode="General">
                  <c:v>0</c:v>
                </c:pt>
                <c:pt idx="4"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25513409035999"/>
          <c:y val="0.1266468338291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1aee7a-ce35-41ab-b04e-77f719fd8b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财政拨款收、支决算总计变动情况表</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17642.27</c:v>
                </c:pt>
                <c:pt idx="1">
                  <c:v>8763.35</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0">
                  <c:v>17642.27</c:v>
                </c:pt>
                <c:pt idx="1">
                  <c:v>8763.35</c:v>
                </c:pt>
              </c:numCache>
            </c:numRef>
          </c:val>
        </c:ser>
        <c:dLbls>
          <c:showLegendKey val="0"/>
          <c:showVal val="1"/>
          <c:showCatName val="0"/>
          <c:showSerName val="0"/>
          <c:showPercent val="0"/>
          <c:showBubbleSize val="0"/>
        </c:dLbls>
        <c:gapWidth val="246"/>
        <c:overlap val="-28"/>
        <c:axId val="479494986"/>
        <c:axId val="968316417"/>
      </c:barChart>
      <c:catAx>
        <c:axId val="4794949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8316417"/>
        <c:crosses val="autoZero"/>
        <c:auto val="1"/>
        <c:lblAlgn val="ctr"/>
        <c:lblOffset val="100"/>
        <c:noMultiLvlLbl val="0"/>
      </c:catAx>
      <c:valAx>
        <c:axId val="96831641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4949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ce31e2e-2427-4ffe-9464-e1bd9c856f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一般公共预算财政拨款支出决算变动情况表</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17642.27</c:v>
                </c:pt>
                <c:pt idx="1">
                  <c:v>8763.35</c:v>
                </c:pt>
              </c:numCache>
            </c:numRef>
          </c:val>
        </c:ser>
        <c:dLbls>
          <c:showLegendKey val="0"/>
          <c:showVal val="1"/>
          <c:showCatName val="0"/>
          <c:showSerName val="0"/>
          <c:showPercent val="0"/>
          <c:showBubbleSize val="0"/>
        </c:dLbls>
        <c:gapWidth val="246"/>
        <c:overlap val="-28"/>
        <c:axId val="89999601"/>
        <c:axId val="685848499"/>
      </c:barChart>
      <c:catAx>
        <c:axId val="899996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5848499"/>
        <c:crosses val="autoZero"/>
        <c:auto val="1"/>
        <c:lblAlgn val="ctr"/>
        <c:lblOffset val="100"/>
        <c:noMultiLvlLbl val="0"/>
      </c:catAx>
      <c:valAx>
        <c:axId val="68584849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996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d64dae8-5e65-4a5d-a310-7781648f73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一般公共预算财政拨款支出决算结构情况表</a:t>
            </a:r>
          </a:p>
        </c:rich>
      </c:tx>
      <c:layout>
        <c:manualLayout>
          <c:xMode val="edge"/>
          <c:yMode val="edge"/>
          <c:x val="0.215994201497946"/>
          <c:y val="0.0482362940926477"/>
        </c:manualLayout>
      </c:layout>
      <c:overlay val="0"/>
      <c:spPr>
        <a:noFill/>
        <a:ln>
          <a:noFill/>
        </a:ln>
        <a:effectLst/>
      </c:spPr>
    </c:title>
    <c:autoTitleDeleted val="0"/>
    <c:plotArea>
      <c:layout/>
      <c:pieChart>
        <c:varyColors val="1"/>
        <c:ser>
          <c:idx val="0"/>
          <c:order val="0"/>
          <c:tx>
            <c:strRef>
              <c:f>Sheet1!$B$1</c:f>
              <c:strCache>
                <c:ptCount val="1"/>
                <c:pt idx="0">
                  <c:v>0</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教育支出（类）</c:v>
                </c:pt>
                <c:pt idx="1">
                  <c:v>科学技术（类）</c:v>
                </c:pt>
                <c:pt idx="2">
                  <c:v>文化旅游体育与传媒（类）</c:v>
                </c:pt>
                <c:pt idx="3">
                  <c:v>社会保障和就业（类）</c:v>
                </c:pt>
                <c:pt idx="4">
                  <c:v>卫生健康支出</c:v>
                </c:pt>
                <c:pt idx="5">
                  <c:v>住房保障支出</c:v>
                </c:pt>
                <c:pt idx="6">
                  <c:v>节能环保支出（类）</c:v>
                </c:pt>
                <c:pt idx="7">
                  <c:v>农林水支出（类）</c:v>
                </c:pt>
                <c:pt idx="8">
                  <c:v>自然资源海洋气象（类）</c:v>
                </c:pt>
              </c:strCache>
            </c:strRef>
          </c:cat>
          <c:val>
            <c:numRef>
              <c:f>Sheet1!$B$2:$B$10</c:f>
              <c:numCache>
                <c:formatCode>General</c:formatCode>
                <c:ptCount val="9"/>
                <c:pt idx="0">
                  <c:v>0</c:v>
                </c:pt>
                <c:pt idx="1">
                  <c:v>0</c:v>
                </c:pt>
                <c:pt idx="2">
                  <c:v>0</c:v>
                </c:pt>
                <c:pt idx="3" c:formatCode="0.00%">
                  <c:v>0.0711</c:v>
                </c:pt>
                <c:pt idx="4" c:formatCode="0.00%">
                  <c:v>0.0104</c:v>
                </c:pt>
                <c:pt idx="5" c:formatCode="0.00%">
                  <c:v>0.0129</c:v>
                </c:pt>
                <c:pt idx="6" c:formatCode="0.00%">
                  <c:v>0.2813</c:v>
                </c:pt>
                <c:pt idx="7" c:formatCode="0.00%">
                  <c:v>0.5323</c:v>
                </c:pt>
                <c:pt idx="8" c:formatCode="0.00%">
                  <c:v>0.092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92945b1-b687-417b-b8a7-ffb1022c46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2"/>
              <c:layout>
                <c:manualLayout>
                  <c:x val="0.126547132383694"/>
                  <c:y val="0.02363241343237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formatCode="0.00%">
                  <c:v>1</c:v>
                </c:pt>
                <c:pt idx="2" c:formatCode="0.0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b426d3-1566-40ca-8154-ba169eb53dd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9842</Words>
  <Characters>10768</Characters>
  <Lines>61</Lines>
  <Paragraphs>17</Paragraphs>
  <TotalTime>3</TotalTime>
  <ScaleCrop>false</ScaleCrop>
  <LinksUpToDate>false</LinksUpToDate>
  <CharactersWithSpaces>10798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2025-10-16T02:28:51Z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C0A8C356D21345928DA99C5BFB492DEC_13</vt:lpwstr>
  </property>
  <property fmtid="{D5CDD505-2E9C-101B-9397-08002B2CF9AE}" pid="4" name="KSOTemplateDocerSaveRecord">
    <vt:lpwstr>eyJoZGlkIjoiNTU1MWNhN2ZmY2ZhZmY3ODhlYTg0MWU5OGMyY2QwZmUiLCJ1c2VySWQiOiI0MzQ2NTM0NzEifQ==</vt:lpwstr>
  </property>
</Properties>
</file>