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47B18">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78441"/>
      <w:bookmarkStart w:id="3" w:name="_Toc15306267"/>
      <w:bookmarkStart w:id="4" w:name="_Toc15377193"/>
      <w:bookmarkStart w:id="5" w:name="_Toc15396475"/>
    </w:p>
    <w:p w14:paraId="04D5ECCC">
      <w:pPr>
        <w:pStyle w:val="5"/>
        <w:rPr>
          <w:rFonts w:hint="eastAsia" w:ascii="Times New Roman" w:hAnsi="Times New Roman" w:eastAsia="方正小标宋简体" w:cs="Times New Roman"/>
          <w:color w:val="auto"/>
          <w:kern w:val="2"/>
          <w:sz w:val="72"/>
          <w:szCs w:val="72"/>
          <w:highlight w:val="none"/>
          <w:lang w:val="en-US" w:eastAsia="zh-CN" w:bidi="ar-SA"/>
        </w:rPr>
      </w:pPr>
    </w:p>
    <w:p w14:paraId="58DDF058">
      <w:pPr>
        <w:pStyle w:val="5"/>
        <w:rPr>
          <w:rFonts w:hint="eastAsia" w:ascii="Times New Roman" w:hAnsi="Times New Roman" w:eastAsia="方正小标宋简体" w:cs="Times New Roman"/>
          <w:color w:val="auto"/>
          <w:kern w:val="2"/>
          <w:sz w:val="72"/>
          <w:szCs w:val="72"/>
          <w:highlight w:val="none"/>
          <w:lang w:val="en-US" w:eastAsia="zh-CN" w:bidi="ar-SA"/>
        </w:rPr>
      </w:pPr>
    </w:p>
    <w:p w14:paraId="7D88634C">
      <w:pPr>
        <w:pStyle w:val="5"/>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2024年度松潘县房地产管理所决算</w:t>
      </w:r>
    </w:p>
    <w:p w14:paraId="7E9FACE8">
      <w:pPr>
        <w:pStyle w:val="5"/>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p>
    <w:p w14:paraId="27E0AA9F">
      <w:pPr>
        <w:spacing w:line="600" w:lineRule="exact"/>
        <w:jc w:val="center"/>
        <w:outlineLvl w:val="0"/>
        <w:rPr>
          <w:rFonts w:ascii="Times New Roman" w:hAnsi="Times New Roman" w:eastAsia="方正小标宋简体"/>
          <w:color w:val="auto"/>
          <w:sz w:val="72"/>
          <w:szCs w:val="72"/>
          <w:highlight w:val="none"/>
        </w:rPr>
      </w:pPr>
    </w:p>
    <w:p w14:paraId="1BDFB871">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9C791C0">
      <w:pPr>
        <w:rPr>
          <w:rFonts w:ascii="Times New Roman" w:hAnsi="Times New Roman"/>
        </w:rPr>
      </w:pPr>
    </w:p>
    <w:bookmarkEnd w:id="0"/>
    <w:bookmarkEnd w:id="1"/>
    <w:bookmarkEnd w:id="2"/>
    <w:bookmarkEnd w:id="3"/>
    <w:bookmarkEnd w:id="4"/>
    <w:bookmarkEnd w:id="5"/>
    <w:p w14:paraId="1ABB91A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FA08433">
      <w:pPr>
        <w:widowControl/>
        <w:jc w:val="center"/>
        <w:rPr>
          <w:rFonts w:ascii="Times New Roman" w:hAnsi="Times New Roman" w:eastAsia="黑体" w:cstheme="minorBidi"/>
          <w:color w:val="auto"/>
          <w:sz w:val="28"/>
          <w:szCs w:val="28"/>
          <w:highlight w:val="none"/>
        </w:rPr>
      </w:pPr>
    </w:p>
    <w:p w14:paraId="57AA67B5">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004809B8">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8236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C53E8FC">
          <w:pPr>
            <w:spacing w:before="0" w:beforeLines="0" w:after="0" w:afterLines="0" w:line="240" w:lineRule="auto"/>
            <w:ind w:left="0" w:leftChars="0" w:right="0" w:rightChars="0" w:firstLine="0" w:firstLineChars="0"/>
            <w:jc w:val="center"/>
          </w:pPr>
          <w:bookmarkStart w:id="6" w:name="_Toc15396599"/>
          <w:bookmarkStart w:id="7" w:name="_Toc15377196"/>
        </w:p>
        <w:p w14:paraId="26457DAC">
          <w:pPr>
            <w:pStyle w:val="1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_Toc30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_Toc30 \h </w:instrText>
          </w:r>
          <w:r>
            <w:fldChar w:fldCharType="separate"/>
          </w:r>
          <w:r>
            <w:t>- 2 -</w:t>
          </w:r>
          <w:r>
            <w:fldChar w:fldCharType="end"/>
          </w:r>
          <w:r>
            <w:fldChar w:fldCharType="end"/>
          </w:r>
        </w:p>
        <w:p w14:paraId="5C5156A6">
          <w:pPr>
            <w:pStyle w:val="14"/>
            <w:tabs>
              <w:tab w:val="right" w:leader="dot" w:pos="8306"/>
              <w:tab w:val="clear" w:pos="8296"/>
            </w:tabs>
          </w:pPr>
          <w:r>
            <w:fldChar w:fldCharType="begin"/>
          </w:r>
          <w:r>
            <w:instrText xml:space="preserve"> HYPERLINK \l _Toc12138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_Toc12138 \h </w:instrText>
          </w:r>
          <w:r>
            <w:fldChar w:fldCharType="separate"/>
          </w:r>
          <w:r>
            <w:t>- 2 -</w:t>
          </w:r>
          <w:r>
            <w:fldChar w:fldCharType="end"/>
          </w:r>
          <w:r>
            <w:fldChar w:fldCharType="end"/>
          </w:r>
        </w:p>
        <w:p w14:paraId="2135565F">
          <w:pPr>
            <w:pStyle w:val="14"/>
            <w:tabs>
              <w:tab w:val="right" w:leader="dot" w:pos="8306"/>
              <w:tab w:val="clear" w:pos="8296"/>
            </w:tabs>
          </w:pPr>
          <w:r>
            <w:fldChar w:fldCharType="begin"/>
          </w:r>
          <w:r>
            <w:instrText xml:space="preserve"> HYPERLINK \l _Toc8412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_Toc8412 \h </w:instrText>
          </w:r>
          <w:r>
            <w:fldChar w:fldCharType="separate"/>
          </w:r>
          <w:r>
            <w:t>- 2 -</w:t>
          </w:r>
          <w:r>
            <w:fldChar w:fldCharType="end"/>
          </w:r>
          <w:r>
            <w:fldChar w:fldCharType="end"/>
          </w:r>
        </w:p>
        <w:p w14:paraId="630E0BE1">
          <w:pPr>
            <w:pStyle w:val="12"/>
            <w:tabs>
              <w:tab w:val="right" w:leader="dot" w:pos="8306"/>
              <w:tab w:val="clear" w:pos="8296"/>
            </w:tabs>
          </w:pPr>
          <w:r>
            <w:fldChar w:fldCharType="begin"/>
          </w:r>
          <w:r>
            <w:instrText xml:space="preserve"> HYPERLINK \l _Toc15163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_Toc15163 \h </w:instrText>
          </w:r>
          <w:r>
            <w:fldChar w:fldCharType="separate"/>
          </w:r>
          <w:r>
            <w:t>- 3 -</w:t>
          </w:r>
          <w:r>
            <w:fldChar w:fldCharType="end"/>
          </w:r>
          <w:r>
            <w:fldChar w:fldCharType="end"/>
          </w:r>
        </w:p>
        <w:p w14:paraId="18DFEC9C">
          <w:pPr>
            <w:pStyle w:val="14"/>
            <w:tabs>
              <w:tab w:val="right" w:leader="dot" w:pos="8306"/>
              <w:tab w:val="clear" w:pos="8296"/>
            </w:tabs>
          </w:pPr>
          <w:r>
            <w:fldChar w:fldCharType="begin"/>
          </w:r>
          <w:r>
            <w:instrText xml:space="preserve"> HYPERLINK \l _Toc6637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_Toc6637 \h </w:instrText>
          </w:r>
          <w:r>
            <w:fldChar w:fldCharType="separate"/>
          </w:r>
          <w:r>
            <w:t>- 3 -</w:t>
          </w:r>
          <w:r>
            <w:fldChar w:fldCharType="end"/>
          </w:r>
          <w:r>
            <w:fldChar w:fldCharType="end"/>
          </w:r>
        </w:p>
        <w:p w14:paraId="60E19AB8">
          <w:pPr>
            <w:pStyle w:val="14"/>
            <w:tabs>
              <w:tab w:val="right" w:leader="dot" w:pos="8306"/>
              <w:tab w:val="clear" w:pos="8296"/>
            </w:tabs>
          </w:pPr>
          <w:r>
            <w:fldChar w:fldCharType="begin"/>
          </w:r>
          <w:r>
            <w:instrText xml:space="preserve"> HYPERLINK \l _Toc18073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_Toc18073 \h </w:instrText>
          </w:r>
          <w:r>
            <w:fldChar w:fldCharType="separate"/>
          </w:r>
          <w:r>
            <w:t>- 3 -</w:t>
          </w:r>
          <w:r>
            <w:fldChar w:fldCharType="end"/>
          </w:r>
          <w:r>
            <w:fldChar w:fldCharType="end"/>
          </w:r>
        </w:p>
        <w:p w14:paraId="13C990EB">
          <w:pPr>
            <w:pStyle w:val="14"/>
            <w:tabs>
              <w:tab w:val="right" w:leader="dot" w:pos="8306"/>
              <w:tab w:val="clear" w:pos="8296"/>
            </w:tabs>
          </w:pPr>
          <w:r>
            <w:fldChar w:fldCharType="begin"/>
          </w:r>
          <w:r>
            <w:instrText xml:space="preserve"> HYPERLINK \l _Toc2707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_Toc2707 \h </w:instrText>
          </w:r>
          <w:r>
            <w:fldChar w:fldCharType="separate"/>
          </w:r>
          <w:r>
            <w:t>- 4 -</w:t>
          </w:r>
          <w:r>
            <w:fldChar w:fldCharType="end"/>
          </w:r>
          <w:r>
            <w:fldChar w:fldCharType="end"/>
          </w:r>
        </w:p>
        <w:p w14:paraId="03835397">
          <w:pPr>
            <w:pStyle w:val="14"/>
            <w:tabs>
              <w:tab w:val="right" w:leader="dot" w:pos="8306"/>
              <w:tab w:val="clear" w:pos="8296"/>
            </w:tabs>
          </w:pPr>
          <w:r>
            <w:fldChar w:fldCharType="begin"/>
          </w:r>
          <w:r>
            <w:instrText xml:space="preserve"> HYPERLINK \l _Toc4578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_Toc4578 \h </w:instrText>
          </w:r>
          <w:r>
            <w:fldChar w:fldCharType="separate"/>
          </w:r>
          <w:r>
            <w:t>- 4 -</w:t>
          </w:r>
          <w:r>
            <w:fldChar w:fldCharType="end"/>
          </w:r>
          <w:r>
            <w:fldChar w:fldCharType="end"/>
          </w:r>
        </w:p>
        <w:p w14:paraId="06741FC1">
          <w:pPr>
            <w:pStyle w:val="14"/>
            <w:tabs>
              <w:tab w:val="right" w:leader="dot" w:pos="8306"/>
              <w:tab w:val="clear" w:pos="8296"/>
            </w:tabs>
          </w:pPr>
          <w:r>
            <w:fldChar w:fldCharType="begin"/>
          </w:r>
          <w:r>
            <w:instrText xml:space="preserve"> HYPERLINK \l _Toc23925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_Toc23925 \h </w:instrText>
          </w:r>
          <w:r>
            <w:fldChar w:fldCharType="separate"/>
          </w:r>
          <w:r>
            <w:t>- 5 -</w:t>
          </w:r>
          <w:r>
            <w:fldChar w:fldCharType="end"/>
          </w:r>
          <w:r>
            <w:fldChar w:fldCharType="end"/>
          </w:r>
        </w:p>
        <w:p w14:paraId="0633901B">
          <w:pPr>
            <w:pStyle w:val="14"/>
            <w:tabs>
              <w:tab w:val="right" w:leader="dot" w:pos="8306"/>
              <w:tab w:val="clear" w:pos="8296"/>
            </w:tabs>
          </w:pPr>
          <w:r>
            <w:fldChar w:fldCharType="begin"/>
          </w:r>
          <w:r>
            <w:instrText xml:space="preserve"> HYPERLINK \l _Toc12261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_Toc12261 \h </w:instrText>
          </w:r>
          <w:r>
            <w:fldChar w:fldCharType="separate"/>
          </w:r>
          <w:r>
            <w:t>- 7 -</w:t>
          </w:r>
          <w:r>
            <w:fldChar w:fldCharType="end"/>
          </w:r>
          <w:r>
            <w:fldChar w:fldCharType="end"/>
          </w:r>
        </w:p>
        <w:p w14:paraId="75668942">
          <w:pPr>
            <w:pStyle w:val="14"/>
            <w:tabs>
              <w:tab w:val="right" w:leader="dot" w:pos="8306"/>
              <w:tab w:val="clear" w:pos="8296"/>
            </w:tabs>
          </w:pPr>
          <w:r>
            <w:fldChar w:fldCharType="begin"/>
          </w:r>
          <w:r>
            <w:instrText xml:space="preserve"> HYPERLINK \l _Toc14606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_Toc14606 \h </w:instrText>
          </w:r>
          <w:r>
            <w:fldChar w:fldCharType="separate"/>
          </w:r>
          <w:r>
            <w:t>- 8 -</w:t>
          </w:r>
          <w:r>
            <w:fldChar w:fldCharType="end"/>
          </w:r>
          <w:r>
            <w:fldChar w:fldCharType="end"/>
          </w:r>
        </w:p>
        <w:p w14:paraId="7DF7560F">
          <w:pPr>
            <w:pStyle w:val="14"/>
            <w:tabs>
              <w:tab w:val="right" w:leader="dot" w:pos="8306"/>
              <w:tab w:val="clear" w:pos="8296"/>
            </w:tabs>
          </w:pPr>
          <w:r>
            <w:fldChar w:fldCharType="begin"/>
          </w:r>
          <w:r>
            <w:instrText xml:space="preserve"> HYPERLINK \l _Toc31828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_Toc31828 \h </w:instrText>
          </w:r>
          <w:r>
            <w:fldChar w:fldCharType="separate"/>
          </w:r>
          <w:r>
            <w:t>- 10 -</w:t>
          </w:r>
          <w:r>
            <w:fldChar w:fldCharType="end"/>
          </w:r>
          <w:r>
            <w:fldChar w:fldCharType="end"/>
          </w:r>
        </w:p>
        <w:p w14:paraId="2A546EBF">
          <w:pPr>
            <w:pStyle w:val="14"/>
            <w:tabs>
              <w:tab w:val="right" w:leader="dot" w:pos="8306"/>
              <w:tab w:val="clear" w:pos="8296"/>
            </w:tabs>
          </w:pPr>
          <w:r>
            <w:fldChar w:fldCharType="begin"/>
          </w:r>
          <w:r>
            <w:instrText xml:space="preserve"> HYPERLINK \l _Toc13744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_Toc13744 \h </w:instrText>
          </w:r>
          <w:r>
            <w:fldChar w:fldCharType="separate"/>
          </w:r>
          <w:r>
            <w:t>- 10 -</w:t>
          </w:r>
          <w:r>
            <w:fldChar w:fldCharType="end"/>
          </w:r>
          <w:r>
            <w:fldChar w:fldCharType="end"/>
          </w:r>
        </w:p>
        <w:p w14:paraId="04C1CE4C">
          <w:pPr>
            <w:pStyle w:val="14"/>
            <w:tabs>
              <w:tab w:val="right" w:leader="dot" w:pos="8306"/>
              <w:tab w:val="clear" w:pos="8296"/>
            </w:tabs>
          </w:pPr>
          <w:r>
            <w:fldChar w:fldCharType="begin"/>
          </w:r>
          <w:r>
            <w:instrText xml:space="preserve"> HYPERLINK \l _Toc25031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_Toc25031 \h </w:instrText>
          </w:r>
          <w:r>
            <w:fldChar w:fldCharType="separate"/>
          </w:r>
          <w:r>
            <w:t>- 10 -</w:t>
          </w:r>
          <w:r>
            <w:fldChar w:fldCharType="end"/>
          </w:r>
          <w:r>
            <w:fldChar w:fldCharType="end"/>
          </w:r>
        </w:p>
        <w:p w14:paraId="5B0181C0">
          <w:pPr>
            <w:pStyle w:val="12"/>
            <w:tabs>
              <w:tab w:val="right" w:leader="dot" w:pos="8306"/>
              <w:tab w:val="clear" w:pos="8296"/>
            </w:tabs>
          </w:pPr>
          <w:r>
            <w:fldChar w:fldCharType="begin"/>
          </w:r>
          <w:r>
            <w:instrText xml:space="preserve"> HYPERLINK \l _Toc28660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_Toc28660 \h </w:instrText>
          </w:r>
          <w:r>
            <w:fldChar w:fldCharType="separate"/>
          </w:r>
          <w:r>
            <w:t>- 11 -</w:t>
          </w:r>
          <w:r>
            <w:fldChar w:fldCharType="end"/>
          </w:r>
          <w:r>
            <w:fldChar w:fldCharType="end"/>
          </w:r>
        </w:p>
        <w:p w14:paraId="6BF7BFC4">
          <w:r>
            <w:fldChar w:fldCharType="end"/>
          </w:r>
        </w:p>
      </w:sdtContent>
    </w:sdt>
    <w:p w14:paraId="42F33208"/>
    <w:p w14:paraId="7BD0DD0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3CC1F1A6">
      <w:pPr>
        <w:pStyle w:val="2"/>
        <w:jc w:val="center"/>
        <w:rPr>
          <w:rStyle w:val="28"/>
          <w:rFonts w:hint="eastAsia" w:ascii="Times New Roman" w:hAnsi="Times New Roman" w:eastAsia="方正小标宋简体" w:cs="方正小标宋简体"/>
          <w:b/>
          <w:bCs w:val="0"/>
          <w:color w:val="auto"/>
          <w:highlight w:val="none"/>
        </w:rPr>
      </w:pPr>
      <w:bookmarkStart w:id="8" w:name="_Toc30"/>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10AFD2FD">
      <w:pPr>
        <w:widowControl/>
        <w:jc w:val="left"/>
        <w:rPr>
          <w:rFonts w:ascii="Times New Roman" w:hAnsi="Times New Roman" w:eastAsia="黑体"/>
          <w:color w:val="auto"/>
          <w:sz w:val="32"/>
          <w:szCs w:val="32"/>
          <w:highlight w:val="none"/>
        </w:rPr>
      </w:pPr>
    </w:p>
    <w:p w14:paraId="27C776EA">
      <w:pPr>
        <w:pStyle w:val="3"/>
        <w:numPr>
          <w:ilvl w:val="0"/>
          <w:numId w:val="1"/>
        </w:numPr>
        <w:rPr>
          <w:rFonts w:hint="eastAsia" w:ascii="Times New Roman" w:hAnsi="Times New Roman" w:eastAsia="黑体"/>
          <w:b w:val="0"/>
          <w:color w:val="auto"/>
          <w:highlight w:val="none"/>
          <w:lang w:eastAsia="zh-CN"/>
        </w:rPr>
      </w:pPr>
      <w:bookmarkStart w:id="9" w:name="_Toc12138"/>
      <w:r>
        <w:rPr>
          <w:rFonts w:hint="eastAsia" w:ascii="Times New Roman" w:hAnsi="Times New Roman" w:eastAsia="黑体"/>
          <w:b w:val="0"/>
          <w:color w:val="auto"/>
          <w:highlight w:val="none"/>
          <w:lang w:eastAsia="zh-CN"/>
        </w:rPr>
        <w:t>部门职责</w:t>
      </w:r>
      <w:bookmarkEnd w:id="9"/>
    </w:p>
    <w:p w14:paraId="522DCBFC">
      <w:pPr>
        <w:pStyle w:val="27"/>
        <w:numPr>
          <w:ilvl w:val="0"/>
          <w:numId w:val="2"/>
        </w:numPr>
        <w:ind w:firstLineChars="0"/>
        <w:jc w:val="left"/>
        <w:outlineLvl w:val="2"/>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贯彻执行上级有关房产管理的方针、政策和法律法规。</w:t>
      </w:r>
    </w:p>
    <w:p w14:paraId="7962A688">
      <w:pPr>
        <w:pStyle w:val="27"/>
        <w:numPr>
          <w:ilvl w:val="0"/>
          <w:numId w:val="2"/>
        </w:numPr>
        <w:ind w:firstLineChars="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办理商品房预售证及商品房预售合同备案登记。（商品房预售证办理相关资料的受理、审核、登簿、颁证，及商品房预售合同备案登记业务）</w:t>
      </w:r>
    </w:p>
    <w:p w14:paraId="5E666C28">
      <w:pPr>
        <w:pStyle w:val="27"/>
        <w:numPr>
          <w:ilvl w:val="0"/>
          <w:numId w:val="2"/>
        </w:numPr>
        <w:ind w:firstLineChars="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房产交易类登记业务的办理。（包括二手房买卖、继承、赠予、商品房买卖等登记业务的办理）</w:t>
      </w:r>
    </w:p>
    <w:p w14:paraId="2467306E">
      <w:pPr>
        <w:pStyle w:val="27"/>
        <w:numPr>
          <w:ilvl w:val="0"/>
          <w:numId w:val="2"/>
        </w:numPr>
        <w:ind w:firstLineChars="0"/>
        <w:jc w:val="left"/>
        <w:outlineLvl w:val="2"/>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物业监管。（负责物业的行业管理，指导、协调、监督业主委员会和物业管理企业）</w:t>
      </w:r>
    </w:p>
    <w:p w14:paraId="0B084E49">
      <w:pPr>
        <w:pStyle w:val="27"/>
        <w:numPr>
          <w:ilvl w:val="0"/>
          <w:numId w:val="2"/>
        </w:numPr>
        <w:ind w:firstLineChars="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房地产市场的监管。（协同有关部门加强房地产市场和价格的管理，负责全县房地产管理执法检查，查处违法违章行为，维护房地产市场秩序。）</w:t>
      </w:r>
    </w:p>
    <w:p w14:paraId="5864C051">
      <w:pPr>
        <w:pStyle w:val="27"/>
        <w:numPr>
          <w:ilvl w:val="0"/>
          <w:numId w:val="2"/>
        </w:numPr>
        <w:ind w:firstLineChars="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对接州级部门，填写周报、月报相关表格。</w:t>
      </w:r>
    </w:p>
    <w:p w14:paraId="2EFFF84A">
      <w:pPr>
        <w:pStyle w:val="27"/>
        <w:numPr>
          <w:ilvl w:val="0"/>
          <w:numId w:val="2"/>
        </w:numPr>
        <w:ind w:firstLineChars="0"/>
        <w:jc w:val="left"/>
        <w:rPr>
          <w:rFonts w:hint="eastAsia"/>
          <w:lang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承办上级部门交办的其他事项。</w:t>
      </w:r>
    </w:p>
    <w:p w14:paraId="7F3E0728">
      <w:pPr>
        <w:pStyle w:val="3"/>
        <w:rPr>
          <w:rStyle w:val="29"/>
          <w:rFonts w:ascii="Times New Roman" w:hAnsi="Times New Roman"/>
          <w:b w:val="0"/>
          <w:bCs w:val="0"/>
          <w:color w:val="auto"/>
          <w:highlight w:val="none"/>
        </w:rPr>
      </w:pPr>
      <w:bookmarkStart w:id="10" w:name="_Toc15377200"/>
      <w:bookmarkStart w:id="11" w:name="_Toc8412"/>
      <w:bookmarkStart w:id="12"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bookmarkEnd w:id="12"/>
    </w:p>
    <w:p w14:paraId="3F3DF388">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阿坝州松潘县房管所</w:t>
      </w:r>
      <w:r>
        <w:rPr>
          <w:rFonts w:hint="eastAsia" w:ascii="仿宋_GB2312" w:hAnsi="仿宋_GB2312" w:eastAsia="仿宋_GB2312" w:cs="仿宋_GB2312"/>
          <w:color w:val="auto"/>
          <w:sz w:val="32"/>
          <w:szCs w:val="32"/>
          <w:highlight w:val="none"/>
          <w:lang w:eastAsia="zh-CN"/>
        </w:rPr>
        <w:t>属于松潘县住房和城乡建设局下属二级单位</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属于</w:t>
      </w:r>
      <w:r>
        <w:rPr>
          <w:rFonts w:hint="eastAsia" w:ascii="Times New Roman" w:hAnsi="Times New Roman" w:eastAsia="仿宋_GB2312" w:cs="仿宋_GB2312"/>
          <w:color w:val="auto"/>
          <w:sz w:val="32"/>
          <w:szCs w:val="32"/>
          <w:highlight w:val="none"/>
        </w:rPr>
        <w:t>其他事业单位。</w:t>
      </w:r>
    </w:p>
    <w:p w14:paraId="320D47F6">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601712E">
      <w:pPr>
        <w:pStyle w:val="2"/>
        <w:jc w:val="center"/>
        <w:rPr>
          <w:rFonts w:hint="eastAsia" w:ascii="Times New Roman" w:hAnsi="Times New Roman" w:eastAsia="方正小标宋简体" w:cs="方正小标宋简体"/>
          <w:b w:val="0"/>
          <w:color w:val="auto"/>
          <w:highlight w:val="none"/>
        </w:rPr>
      </w:pPr>
      <w:bookmarkStart w:id="13" w:name="_Toc15377204"/>
      <w:bookmarkStart w:id="14" w:name="_Toc15396602"/>
      <w:bookmarkStart w:id="15" w:name="_Toc1516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3"/>
      <w:bookmarkEnd w:id="14"/>
      <w:bookmarkEnd w:id="15"/>
    </w:p>
    <w:p w14:paraId="382D0161">
      <w:pPr>
        <w:rPr>
          <w:rFonts w:ascii="Times New Roman" w:hAnsi="Times New Roman"/>
          <w:color w:val="auto"/>
          <w:highlight w:val="none"/>
        </w:rPr>
      </w:pPr>
    </w:p>
    <w:p w14:paraId="45C9E38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6" w:name="_Toc15396603"/>
      <w:bookmarkStart w:id="17" w:name="_Toc6637"/>
      <w:bookmarkStart w:id="18"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6"/>
      <w:bookmarkEnd w:id="17"/>
      <w:bookmarkEnd w:id="18"/>
    </w:p>
    <w:p w14:paraId="2542A54A">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80.03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val="en-US" w:eastAsia="zh-CN"/>
        </w:rPr>
        <w:t>工资保险的增加</w:t>
      </w:r>
      <w:r>
        <w:rPr>
          <w:rFonts w:hint="eastAsia" w:ascii="仿宋" w:hAnsi="仿宋" w:eastAsia="仿宋"/>
          <w:color w:val="auto"/>
          <w:sz w:val="32"/>
          <w:szCs w:val="32"/>
          <w:highlight w:val="none"/>
          <w:lang w:eastAsia="zh-CN"/>
        </w:rPr>
        <w:t>。</w:t>
      </w:r>
    </w:p>
    <w:p w14:paraId="4720CC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w:t>
      </w:r>
      <w:r>
        <w:drawing>
          <wp:anchor distT="0" distB="0" distL="114300" distR="114300" simplePos="0" relativeHeight="251660288" behindDoc="0" locked="0" layoutInCell="1" allowOverlap="1">
            <wp:simplePos x="0" y="0"/>
            <wp:positionH relativeFrom="column">
              <wp:posOffset>4445</wp:posOffset>
            </wp:positionH>
            <wp:positionV relativeFrom="paragraph">
              <wp:posOffset>477520</wp:posOffset>
            </wp:positionV>
            <wp:extent cx="4826000" cy="2743200"/>
            <wp:effectExtent l="4445" t="4445" r="15875" b="1079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仿宋_GB2312" w:cs="仿宋_GB2312"/>
          <w:color w:val="auto"/>
          <w:sz w:val="32"/>
          <w:szCs w:val="32"/>
          <w:highlight w:val="none"/>
        </w:rPr>
        <w:t>算总计变动情况图）（柱状图）</w:t>
      </w:r>
    </w:p>
    <w:p w14:paraId="139DC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64FE2B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9" w:name="_Toc15396604"/>
      <w:bookmarkStart w:id="20" w:name="_Toc15377206"/>
    </w:p>
    <w:p w14:paraId="6550C54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4C9F4CB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0546053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5DC2434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0CF725B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C3D015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283D8E8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1" w:name="_Toc18073"/>
      <w:r>
        <w:rPr>
          <w:rFonts w:hint="eastAsia" w:ascii="Times New Roman" w:hAnsi="Times New Roman" w:eastAsia="黑体"/>
          <w:color w:val="auto"/>
          <w:sz w:val="32"/>
          <w:szCs w:val="32"/>
          <w:highlight w:val="none"/>
          <w:lang w:eastAsia="zh-CN"/>
        </w:rPr>
        <w:t>二、收入决算情况说明</w:t>
      </w:r>
      <w:bookmarkEnd w:id="19"/>
      <w:bookmarkEnd w:id="20"/>
      <w:bookmarkEnd w:id="21"/>
    </w:p>
    <w:p w14:paraId="1BFCB0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2" w:name="_Toc19303"/>
      <w:bookmarkStart w:id="23" w:name="_Toc12220"/>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80.03万元，其中：一般公共预算财政拨款收入80.03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bookmarkEnd w:id="22"/>
      <w:bookmarkEnd w:id="23"/>
    </w:p>
    <w:p w14:paraId="59DC473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6849DD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33215" cy="2362200"/>
            <wp:effectExtent l="4445" t="4445" r="7620"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2EF6E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2707"/>
      <w:bookmarkStart w:id="26"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bookmarkEnd w:id="26"/>
    </w:p>
    <w:p w14:paraId="06E3749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7" w:name="_Toc10622"/>
      <w:bookmarkStart w:id="28" w:name="_Toc19517"/>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bookmarkEnd w:id="27"/>
      <w:bookmarkEnd w:id="28"/>
    </w:p>
    <w:p w14:paraId="33D0FC8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5471D4F">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399280" cy="2164080"/>
            <wp:effectExtent l="4445" t="4445" r="1587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B97692">
      <w:pPr>
        <w:spacing w:line="600" w:lineRule="exact"/>
        <w:ind w:firstLine="640" w:firstLineChars="200"/>
        <w:outlineLvl w:val="1"/>
        <w:rPr>
          <w:rStyle w:val="29"/>
          <w:rFonts w:ascii="Times New Roman" w:hAnsi="Times New Roman" w:eastAsia="黑体"/>
          <w:b w:val="0"/>
          <w:color w:val="auto"/>
          <w:highlight w:val="none"/>
        </w:rPr>
      </w:pPr>
      <w:bookmarkStart w:id="29" w:name="_Toc15396606"/>
      <w:bookmarkStart w:id="30" w:name="_Toc4578"/>
      <w:bookmarkStart w:id="3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9"/>
      <w:bookmarkEnd w:id="30"/>
      <w:bookmarkEnd w:id="31"/>
    </w:p>
    <w:p w14:paraId="4D6A1D8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80.03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sz w:val="32"/>
          <w:szCs w:val="32"/>
          <w:highlight w:val="none"/>
          <w:lang w:val="en-US" w:eastAsia="zh-CN"/>
        </w:rPr>
        <w:t>3.39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val="en-US" w:eastAsia="zh-CN"/>
        </w:rPr>
        <w:t>工资保险的增加</w:t>
      </w:r>
      <w:r>
        <w:rPr>
          <w:rFonts w:hint="eastAsia" w:ascii="仿宋" w:hAnsi="仿宋" w:eastAsia="仿宋"/>
          <w:color w:val="auto"/>
          <w:sz w:val="32"/>
          <w:szCs w:val="32"/>
          <w:highlight w:val="none"/>
          <w:lang w:eastAsia="zh-CN"/>
        </w:rPr>
        <w:t>。</w:t>
      </w:r>
    </w:p>
    <w:p w14:paraId="3499388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418828F">
      <w:pPr>
        <w:spacing w:line="600" w:lineRule="exact"/>
      </w:pPr>
      <w:r>
        <w:drawing>
          <wp:anchor distT="0" distB="0" distL="114300" distR="114300" simplePos="0" relativeHeight="251661312" behindDoc="0" locked="0" layoutInCell="1" allowOverlap="1">
            <wp:simplePos x="0" y="0"/>
            <wp:positionH relativeFrom="column">
              <wp:posOffset>403225</wp:posOffset>
            </wp:positionH>
            <wp:positionV relativeFrom="paragraph">
              <wp:posOffset>50165</wp:posOffset>
            </wp:positionV>
            <wp:extent cx="4453255" cy="2035175"/>
            <wp:effectExtent l="4445" t="4445" r="7620" b="1778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26F419E">
      <w:pPr>
        <w:spacing w:line="600" w:lineRule="exact"/>
        <w:ind w:firstLine="640"/>
      </w:pPr>
    </w:p>
    <w:p w14:paraId="4F359EB9">
      <w:pPr>
        <w:spacing w:line="600" w:lineRule="exact"/>
        <w:ind w:firstLine="640"/>
        <w:rPr>
          <w:rFonts w:hint="eastAsia"/>
          <w:lang w:val="en-US" w:eastAsia="zh-CN"/>
        </w:rPr>
      </w:pPr>
    </w:p>
    <w:p w14:paraId="643E3BDA">
      <w:pPr>
        <w:spacing w:line="600" w:lineRule="exact"/>
        <w:ind w:firstLine="640" w:firstLineChars="200"/>
        <w:outlineLvl w:val="1"/>
        <w:rPr>
          <w:rStyle w:val="29"/>
          <w:rFonts w:ascii="Times New Roman" w:hAnsi="Times New Roman" w:eastAsia="黑体"/>
          <w:b w:val="0"/>
          <w:color w:val="auto"/>
          <w:highlight w:val="none"/>
        </w:rPr>
      </w:pPr>
      <w:bookmarkStart w:id="32" w:name="_Toc15396607"/>
      <w:bookmarkStart w:id="33" w:name="_Toc15377209"/>
      <w:bookmarkStart w:id="34" w:name="_Toc23925"/>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2"/>
      <w:bookmarkEnd w:id="33"/>
      <w:bookmarkEnd w:id="34"/>
    </w:p>
    <w:p w14:paraId="190FF3D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5"/>
    </w:p>
    <w:p w14:paraId="38F6504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sz w:val="32"/>
          <w:szCs w:val="32"/>
          <w:highlight w:val="none"/>
          <w:lang w:val="en-US" w:eastAsia="zh-CN"/>
        </w:rPr>
        <w:t>3.39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val="en-US" w:eastAsia="zh-CN"/>
        </w:rPr>
        <w:t>工资保险的增加</w:t>
      </w:r>
      <w:r>
        <w:rPr>
          <w:rFonts w:hint="eastAsia" w:ascii="仿宋" w:hAnsi="仿宋" w:eastAsia="仿宋"/>
          <w:color w:val="auto"/>
          <w:sz w:val="32"/>
          <w:szCs w:val="32"/>
          <w:highlight w:val="none"/>
          <w:lang w:eastAsia="zh-CN"/>
        </w:rPr>
        <w:t>。</w:t>
      </w:r>
    </w:p>
    <w:p w14:paraId="63D48E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568325</wp:posOffset>
            </wp:positionH>
            <wp:positionV relativeFrom="paragraph">
              <wp:posOffset>645795</wp:posOffset>
            </wp:positionV>
            <wp:extent cx="4217035" cy="2331720"/>
            <wp:effectExtent l="4445" t="4445" r="15240" b="10795"/>
            <wp:wrapSquare wrapText="bothSides"/>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94E06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5F40F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47F742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1"/>
      <w:r>
        <w:rPr>
          <w:rFonts w:hint="eastAsia" w:ascii="Times New Roman" w:hAnsi="Times New Roman" w:eastAsia="楷体_GB2312" w:cs="楷体_GB2312"/>
          <w:b/>
          <w:color w:val="auto"/>
          <w:sz w:val="32"/>
          <w:szCs w:val="32"/>
          <w:highlight w:val="none"/>
        </w:rPr>
        <w:t>（</w:t>
      </w:r>
    </w:p>
    <w:p w14:paraId="3F298C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0A5D3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AE204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3C7A2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F6815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二）一般公共预算财政拨款支出决算结构情况</w:t>
      </w:r>
      <w:bookmarkEnd w:id="36"/>
    </w:p>
    <w:p w14:paraId="29BAF6A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11.72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%；住房保障支出5.99万元，占</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城乡社区支出57.46万元，</w:t>
      </w:r>
      <w:r>
        <w:rPr>
          <w:rFonts w:hint="eastAsia" w:ascii="Times New Roman" w:hAnsi="Times New Roman" w:eastAsia="仿宋_GB2312" w:cs="仿宋_GB2312"/>
          <w:color w:val="auto"/>
          <w:kern w:val="2"/>
          <w:sz w:val="32"/>
          <w:szCs w:val="32"/>
          <w:highlight w:val="none"/>
          <w:lang w:val="en-US" w:eastAsia="zh-CN" w:bidi="ar-SA"/>
        </w:rPr>
        <w:t>占</w:t>
      </w:r>
      <w:r>
        <w:rPr>
          <w:rFonts w:hint="eastAsia" w:eastAsia="仿宋_GB2312" w:cs="仿宋_GB2312"/>
          <w:color w:val="auto"/>
          <w:kern w:val="2"/>
          <w:sz w:val="32"/>
          <w:szCs w:val="32"/>
          <w:highlight w:val="none"/>
          <w:lang w:val="en-US" w:eastAsia="zh-CN" w:bidi="ar-SA"/>
        </w:rPr>
        <w:t>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1BCE56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311785</wp:posOffset>
            </wp:positionH>
            <wp:positionV relativeFrom="paragraph">
              <wp:posOffset>370205</wp:posOffset>
            </wp:positionV>
            <wp:extent cx="4826000" cy="2743200"/>
            <wp:effectExtent l="4445" t="4445" r="15875" b="10795"/>
            <wp:wrapSquare wrapText="bothSides"/>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D24484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7"/>
    </w:p>
    <w:p w14:paraId="05CB7B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8" w:name="_Toc15378460"/>
      <w:bookmarkStart w:id="39" w:name="_Toc15377444"/>
      <w:bookmarkStart w:id="40"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8"/>
      <w:bookmarkEnd w:id="39"/>
      <w:bookmarkEnd w:id="40"/>
    </w:p>
    <w:p w14:paraId="19F6D1B8">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06FEB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.住房保障支出221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支出决算为5.99万元，完成预算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73F81D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支出决算为57.46万元，完成预算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877B5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D0F553">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支出决算为7.27万元，完成预算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10DD6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支出决算为3.53万元，完成预算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37B3C7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3F3DAA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6D1606">
      <w:pPr>
        <w:tabs>
          <w:tab w:val="right" w:pos="8306"/>
        </w:tabs>
        <w:spacing w:line="600" w:lineRule="exact"/>
        <w:ind w:firstLine="640"/>
        <w:outlineLvl w:val="1"/>
        <w:rPr>
          <w:rStyle w:val="29"/>
          <w:rFonts w:ascii="Times New Roman" w:hAnsi="Times New Roman"/>
          <w:color w:val="auto"/>
          <w:highlight w:val="none"/>
        </w:rPr>
      </w:pPr>
      <w:bookmarkStart w:id="41" w:name="_Toc15377214"/>
      <w:bookmarkStart w:id="42" w:name="_Toc12261"/>
      <w:bookmarkStart w:id="43"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1"/>
      <w:bookmarkEnd w:id="42"/>
      <w:bookmarkEnd w:id="43"/>
      <w:r>
        <w:rPr>
          <w:rStyle w:val="29"/>
          <w:rFonts w:ascii="Times New Roman" w:hAnsi="Times New Roman" w:eastAsia="黑体"/>
          <w:b w:val="0"/>
          <w:color w:val="auto"/>
          <w:highlight w:val="none"/>
        </w:rPr>
        <w:tab/>
      </w:r>
    </w:p>
    <w:p w14:paraId="4C588B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DAE1E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99440E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5863FE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A8BF9C">
      <w:pPr>
        <w:spacing w:line="600" w:lineRule="exact"/>
        <w:ind w:firstLine="640"/>
        <w:outlineLvl w:val="1"/>
        <w:rPr>
          <w:rStyle w:val="29"/>
          <w:rFonts w:ascii="Times New Roman" w:hAnsi="Times New Roman" w:eastAsia="黑体"/>
          <w:b w:val="0"/>
          <w:color w:val="auto"/>
          <w:highlight w:val="none"/>
        </w:rPr>
      </w:pPr>
      <w:bookmarkStart w:id="44" w:name="_Toc15377215"/>
      <w:bookmarkStart w:id="45" w:name="_Toc15396609"/>
      <w:bookmarkStart w:id="46" w:name="_Toc14606"/>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4"/>
      <w:bookmarkEnd w:id="45"/>
      <w:bookmarkEnd w:id="46"/>
    </w:p>
    <w:p w14:paraId="792717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7"/>
    </w:p>
    <w:p w14:paraId="221A50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eastAsia="仿宋_GB2312" w:cs="仿宋_GB2312"/>
          <w:color w:val="auto"/>
          <w:kern w:val="2"/>
          <w:sz w:val="32"/>
          <w:szCs w:val="32"/>
          <w:highlight w:val="none"/>
          <w:lang w:val="en-US" w:eastAsia="zh-CN" w:bidi="ar-SA"/>
        </w:rPr>
        <w:t>无“三公”经费。</w:t>
      </w:r>
    </w:p>
    <w:p w14:paraId="41FDAD6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196D2C4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8"/>
    </w:p>
    <w:p w14:paraId="492C186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E4AE8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8C082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无此类费用。</w:t>
      </w:r>
    </w:p>
    <w:p w14:paraId="3756FF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（团组名称、出访地点、取得成效等）</w:t>
      </w:r>
    </w:p>
    <w:p w14:paraId="077C06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无此类费用。</w:t>
      </w:r>
    </w:p>
    <w:p w14:paraId="3A992E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D1D98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14:paraId="115E9F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%。主要原因是……。其中：</w:t>
      </w:r>
    </w:p>
    <w:p w14:paraId="7DF51D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人次（不包括陪同人员），共计支出**万元，具体内容包括：……（接待具体项目、金额）。</w:t>
      </w:r>
    </w:p>
    <w:p w14:paraId="01887D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人次（不包括陪同人员），共计支出**万</w:t>
      </w:r>
      <w:r>
        <w:rPr>
          <w:rFonts w:hint="eastAsia" w:ascii="Times New Roman" w:hAnsi="Times New Roman" w:eastAsia="仿宋_GB2312" w:cs="仿宋_GB2312"/>
          <w:color w:val="auto"/>
          <w:kern w:val="2"/>
          <w:sz w:val="32"/>
          <w:szCs w:val="32"/>
          <w:highlight w:val="none"/>
          <w:lang w:val="en-US" w:eastAsia="zh-CN" w:bidi="ar-SA"/>
        </w:rPr>
        <w:t>元。</w:t>
      </w:r>
    </w:p>
    <w:p w14:paraId="10309A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9" w:name="_Toc15396610"/>
      <w:bookmarkStart w:id="50" w:name="_Toc15377218"/>
    </w:p>
    <w:p w14:paraId="11194294">
      <w:pPr>
        <w:spacing w:line="600" w:lineRule="exact"/>
        <w:ind w:firstLine="640"/>
        <w:outlineLvl w:val="1"/>
        <w:rPr>
          <w:rStyle w:val="29"/>
          <w:rFonts w:ascii="Times New Roman" w:hAnsi="Times New Roman" w:eastAsia="黑体"/>
          <w:color w:val="auto"/>
          <w:highlight w:val="none"/>
        </w:rPr>
      </w:pPr>
      <w:bookmarkStart w:id="51" w:name="_Toc3182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9"/>
      <w:bookmarkEnd w:id="50"/>
      <w:bookmarkEnd w:id="51"/>
    </w:p>
    <w:p w14:paraId="3BF000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58ABDB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8750F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2" w:name="_Toc15396611"/>
      <w:bookmarkStart w:id="53" w:name="_Toc13744"/>
      <w:bookmarkStart w:id="54"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2"/>
      <w:bookmarkEnd w:id="53"/>
      <w:bookmarkEnd w:id="54"/>
    </w:p>
    <w:p w14:paraId="3C7CA9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3C55F6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75CB11">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5" w:name="_Toc15396612"/>
      <w:bookmarkStart w:id="56" w:name="_Toc15377221"/>
      <w:bookmarkStart w:id="57" w:name="_Toc2503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5"/>
      <w:bookmarkEnd w:id="56"/>
      <w:bookmarkEnd w:id="57"/>
    </w:p>
    <w:p w14:paraId="66198D1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8"/>
    </w:p>
    <w:p w14:paraId="524F0A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阿坝州松潘县房管所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此单位为事业单位。</w:t>
      </w:r>
    </w:p>
    <w:p w14:paraId="710736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EFE8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9" w:name="_Toc15377223"/>
      <w:r>
        <w:rPr>
          <w:rFonts w:hint="eastAsia" w:ascii="Times New Roman" w:hAnsi="Times New Roman" w:eastAsia="楷体_GB2312" w:cs="楷体_GB2312"/>
          <w:b/>
          <w:color w:val="auto"/>
          <w:sz w:val="32"/>
          <w:szCs w:val="32"/>
          <w:highlight w:val="none"/>
        </w:rPr>
        <w:t>（二）政府采购支出情况</w:t>
      </w:r>
      <w:bookmarkEnd w:id="59"/>
    </w:p>
    <w:p w14:paraId="74209B0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阿坝州松潘县房管所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AF278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9063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4"/>
      <w:r>
        <w:rPr>
          <w:rFonts w:hint="eastAsia" w:ascii="Times New Roman" w:hAnsi="Times New Roman" w:eastAsia="楷体_GB2312" w:cs="楷体_GB2312"/>
          <w:b/>
          <w:color w:val="auto"/>
          <w:sz w:val="32"/>
          <w:szCs w:val="32"/>
          <w:highlight w:val="none"/>
        </w:rPr>
        <w:t>（三）国有资产占有使用情况</w:t>
      </w:r>
      <w:bookmarkEnd w:id="60"/>
    </w:p>
    <w:p w14:paraId="5F4C97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阿坝州松潘县房管所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67EA1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632225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FE5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根据预算绩效管理要求，在2024年度预算编制阶段，组织对（项目名称）等个项目开展了预算事前绩效评估，对个项目编制了绩效目标，预算执行过程中，选取个项目开展绩效监控。</w:t>
      </w:r>
    </w:p>
    <w:p w14:paraId="527AFC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组织对2024年度一般公共预算、政府性基金预算、国有资本经营预算、社会保险基金预算以及资本资产、债券资金等全面开展绩效自评，形成部门整体（含部门预算项目）绩效自评报告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专项预算项目绩效自评报告，其中，部门整体（含部门预算项目）绩效自评得分为***分，绩效自评综述……；***专项预算项目绩效自评得分为***分，绩效自评综述……。</w:t>
      </w:r>
    </w:p>
    <w:p w14:paraId="2E6728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159C2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1" w:name="_Toc15377225"/>
      <w:bookmarkStart w:id="62" w:name="_Toc15396613"/>
      <w:bookmarkStart w:id="63" w:name="_Toc28660"/>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1"/>
      <w:bookmarkEnd w:id="62"/>
      <w:bookmarkEnd w:id="63"/>
    </w:p>
    <w:p w14:paraId="2D897D30">
      <w:pPr>
        <w:spacing w:line="600" w:lineRule="exact"/>
        <w:jc w:val="left"/>
        <w:rPr>
          <w:rFonts w:ascii="Times New Roman" w:hAnsi="Times New Roman"/>
          <w:b/>
          <w:color w:val="auto"/>
          <w:sz w:val="44"/>
          <w:szCs w:val="44"/>
          <w:highlight w:val="none"/>
        </w:rPr>
      </w:pPr>
    </w:p>
    <w:p w14:paraId="46794C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2A32B8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机关事业单位实施养老保险制度由单位缴纳的基本养老保险支出。</w:t>
      </w:r>
    </w:p>
    <w:p w14:paraId="03126740">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机关事业单位实施养老保险制度由单位缴纳的职业年金支出（含职业年金补缴部分）</w:t>
      </w:r>
    </w:p>
    <w:p w14:paraId="1F10CDA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4.住房保障支出221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指行政事业单位按人力资源和社会保障部、财政部规定的基本工资和津贴补贴以及规定</w:t>
      </w:r>
      <w:bookmarkStart w:id="79" w:name="_GoBack"/>
      <w:r>
        <w:rPr>
          <w:rFonts w:hint="eastAsia" w:eastAsia="仿宋_GB2312" w:cs="仿宋_GB2312"/>
          <w:color w:val="auto"/>
          <w:kern w:val="2"/>
          <w:sz w:val="32"/>
          <w:szCs w:val="32"/>
          <w:highlight w:val="none"/>
          <w:lang w:val="en-US" w:eastAsia="zh-CN" w:bidi="ar-SA"/>
        </w:rPr>
        <w:t>比例</w:t>
      </w:r>
      <w:bookmarkEnd w:id="79"/>
      <w:r>
        <w:rPr>
          <w:rFonts w:hint="eastAsia" w:eastAsia="仿宋_GB2312" w:cs="仿宋_GB2312"/>
          <w:color w:val="auto"/>
          <w:kern w:val="2"/>
          <w:sz w:val="32"/>
          <w:szCs w:val="32"/>
          <w:highlight w:val="none"/>
          <w:lang w:val="en-US" w:eastAsia="zh-CN" w:bidi="ar-SA"/>
        </w:rPr>
        <w:t>为职工缴纳的住房公积金。</w:t>
      </w:r>
    </w:p>
    <w:p w14:paraId="59D684C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行政事业单位（包括实行公务员管理的事业单位）提供后勤服务的各类后勤服务中心、医务室等附属事业单位的支出。其他事业单位的支出，凡单独设置了项级科目的，在单独设置的项级科目中反映。未设置项级科目的，在“其他”项级科目中反映。</w:t>
      </w:r>
    </w:p>
    <w:p w14:paraId="0047D9FB">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：指其他用于行政事业单位医疗方面的支出。</w:t>
      </w:r>
    </w:p>
    <w:p w14:paraId="30BDB13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：指财政部门安排的事业单位基本医疗保险缴费经费，未参加医疗保险的事业单位的公费医疗经费，按国家规定享受离休人员待遇的医疗经费。</w:t>
      </w:r>
    </w:p>
    <w:p w14:paraId="48C0D4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6DBEEC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52E8CE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4B2B9B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7A8694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9447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F8C60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7CBD8D0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4"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5" w:name="_Toc15396618"/>
    </w:p>
    <w:p w14:paraId="5238D96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四</w:t>
      </w:r>
      <w:r>
        <w:rPr>
          <w:rStyle w:val="28"/>
          <w:rFonts w:hint="eastAsia" w:ascii="Times New Roman" w:hAnsi="Times New Roman" w:eastAsia="黑体"/>
          <w:b w:val="0"/>
          <w:color w:val="auto"/>
          <w:highlight w:val="none"/>
        </w:rPr>
        <w:t>部分 附表</w:t>
      </w:r>
      <w:bookmarkEnd w:id="64"/>
      <w:bookmarkEnd w:id="65"/>
      <w:bookmarkStart w:id="66" w:name="_Toc15396619"/>
    </w:p>
    <w:p w14:paraId="4FDC16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339536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6"/>
    </w:p>
    <w:p w14:paraId="588309A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0"/>
      <w:r>
        <w:rPr>
          <w:rFonts w:hint="eastAsia" w:ascii="Times New Roman" w:hAnsi="Times New Roman" w:eastAsia="仿宋_GB2312" w:cs="仿宋_GB2312"/>
          <w:color w:val="auto"/>
          <w:sz w:val="32"/>
          <w:szCs w:val="32"/>
          <w:highlight w:val="none"/>
        </w:rPr>
        <w:t>二、收入决算表</w:t>
      </w:r>
      <w:bookmarkEnd w:id="67"/>
    </w:p>
    <w:p w14:paraId="32C9C0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1"/>
      <w:r>
        <w:rPr>
          <w:rFonts w:hint="eastAsia" w:ascii="Times New Roman" w:hAnsi="Times New Roman" w:eastAsia="仿宋_GB2312" w:cs="仿宋_GB2312"/>
          <w:color w:val="auto"/>
          <w:sz w:val="32"/>
          <w:szCs w:val="32"/>
          <w:highlight w:val="none"/>
        </w:rPr>
        <w:t>三、支出决算表</w:t>
      </w:r>
      <w:bookmarkEnd w:id="68"/>
    </w:p>
    <w:p w14:paraId="771D98F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2"/>
      <w:r>
        <w:rPr>
          <w:rFonts w:hint="eastAsia" w:ascii="Times New Roman" w:hAnsi="Times New Roman" w:eastAsia="仿宋_GB2312" w:cs="仿宋_GB2312"/>
          <w:color w:val="auto"/>
          <w:sz w:val="32"/>
          <w:szCs w:val="32"/>
          <w:highlight w:val="none"/>
        </w:rPr>
        <w:t>四、财政拨款收入支出决算总表</w:t>
      </w:r>
      <w:bookmarkEnd w:id="69"/>
    </w:p>
    <w:p w14:paraId="75F0A3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3"/>
      <w:r>
        <w:rPr>
          <w:rFonts w:hint="eastAsia" w:ascii="Times New Roman" w:hAnsi="Times New Roman" w:eastAsia="仿宋_GB2312" w:cs="仿宋_GB2312"/>
          <w:color w:val="auto"/>
          <w:sz w:val="32"/>
          <w:szCs w:val="32"/>
          <w:highlight w:val="none"/>
        </w:rPr>
        <w:t>五、财政拨款支出决算明细表</w:t>
      </w:r>
      <w:bookmarkEnd w:id="70"/>
      <w:bookmarkStart w:id="71" w:name="_Toc15396624"/>
    </w:p>
    <w:p w14:paraId="59F4EE3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1"/>
    </w:p>
    <w:p w14:paraId="1F69799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5"/>
      <w:r>
        <w:rPr>
          <w:rFonts w:hint="eastAsia" w:ascii="Times New Roman" w:hAnsi="Times New Roman" w:eastAsia="仿宋_GB2312" w:cs="仿宋_GB2312"/>
          <w:color w:val="auto"/>
          <w:sz w:val="32"/>
          <w:szCs w:val="32"/>
          <w:highlight w:val="none"/>
        </w:rPr>
        <w:t>七、一般公共预算财政拨款支出决算明细表</w:t>
      </w:r>
      <w:bookmarkEnd w:id="72"/>
    </w:p>
    <w:p w14:paraId="275C7B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6"/>
      <w:r>
        <w:rPr>
          <w:rFonts w:hint="eastAsia" w:ascii="Times New Roman" w:hAnsi="Times New Roman" w:eastAsia="仿宋_GB2312" w:cs="仿宋_GB2312"/>
          <w:color w:val="auto"/>
          <w:sz w:val="32"/>
          <w:szCs w:val="32"/>
          <w:highlight w:val="none"/>
        </w:rPr>
        <w:t>八、一般公共预算财政拨款基本支出决算表</w:t>
      </w:r>
      <w:bookmarkEnd w:id="73"/>
    </w:p>
    <w:p w14:paraId="0CBA9CB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7"/>
      <w:r>
        <w:rPr>
          <w:rFonts w:hint="eastAsia" w:ascii="Times New Roman" w:hAnsi="Times New Roman" w:eastAsia="仿宋_GB2312" w:cs="仿宋_GB2312"/>
          <w:color w:val="auto"/>
          <w:sz w:val="32"/>
          <w:szCs w:val="32"/>
          <w:highlight w:val="none"/>
        </w:rPr>
        <w:t>九、一般公共预算财政拨款项目支出决算表</w:t>
      </w:r>
      <w:bookmarkEnd w:id="74"/>
    </w:p>
    <w:p w14:paraId="671C454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8"/>
      <w:r>
        <w:rPr>
          <w:rFonts w:hint="eastAsia" w:ascii="Times New Roman" w:hAnsi="Times New Roman" w:eastAsia="仿宋_GB2312" w:cs="仿宋_GB2312"/>
          <w:color w:val="auto"/>
          <w:sz w:val="32"/>
          <w:szCs w:val="32"/>
          <w:highlight w:val="none"/>
        </w:rPr>
        <w:t>十、</w:t>
      </w:r>
      <w:bookmarkEnd w:id="75"/>
      <w:r>
        <w:rPr>
          <w:rFonts w:hint="eastAsia" w:ascii="Times New Roman" w:hAnsi="Times New Roman" w:eastAsia="仿宋_GB2312" w:cs="仿宋_GB2312"/>
          <w:color w:val="auto"/>
          <w:sz w:val="32"/>
          <w:szCs w:val="32"/>
          <w:highlight w:val="none"/>
        </w:rPr>
        <w:t>政府性基金预算财政拨款收入支出决算表</w:t>
      </w:r>
    </w:p>
    <w:p w14:paraId="449A925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9"/>
      <w:r>
        <w:rPr>
          <w:rFonts w:hint="eastAsia" w:ascii="Times New Roman" w:hAnsi="Times New Roman" w:eastAsia="仿宋_GB2312" w:cs="仿宋_GB2312"/>
          <w:color w:val="auto"/>
          <w:sz w:val="32"/>
          <w:szCs w:val="32"/>
          <w:highlight w:val="none"/>
        </w:rPr>
        <w:t>十一、</w:t>
      </w:r>
      <w:bookmarkEnd w:id="7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DD4B40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30"/>
      <w:r>
        <w:rPr>
          <w:rFonts w:hint="eastAsia" w:ascii="Times New Roman" w:hAnsi="Times New Roman" w:eastAsia="仿宋_GB2312" w:cs="仿宋_GB2312"/>
          <w:color w:val="auto"/>
          <w:sz w:val="32"/>
          <w:szCs w:val="32"/>
          <w:highlight w:val="none"/>
        </w:rPr>
        <w:t>十二、</w:t>
      </w:r>
      <w:bookmarkEnd w:id="77"/>
      <w:r>
        <w:rPr>
          <w:rFonts w:hint="eastAsia" w:ascii="Times New Roman" w:hAnsi="Times New Roman" w:eastAsia="仿宋_GB2312" w:cs="仿宋_GB2312"/>
          <w:color w:val="auto"/>
          <w:sz w:val="32"/>
          <w:szCs w:val="32"/>
          <w:highlight w:val="none"/>
          <w:lang w:eastAsia="zh-CN"/>
        </w:rPr>
        <w:t>国有资本经营预算财政拨款支出决算表</w:t>
      </w:r>
    </w:p>
    <w:p w14:paraId="6871BDF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8" w:name="_Toc15396631"/>
      <w:r>
        <w:rPr>
          <w:rFonts w:hint="eastAsia" w:ascii="Times New Roman" w:hAnsi="Times New Roman" w:eastAsia="仿宋_GB2312" w:cs="仿宋_GB2312"/>
          <w:color w:val="auto"/>
          <w:sz w:val="32"/>
          <w:szCs w:val="32"/>
          <w:highlight w:val="none"/>
        </w:rPr>
        <w:t>十三、</w:t>
      </w:r>
      <w:bookmarkEnd w:id="78"/>
      <w:r>
        <w:rPr>
          <w:rFonts w:hint="eastAsia" w:ascii="Times New Roman" w:hAnsi="Times New Roman" w:eastAsia="仿宋_GB2312" w:cs="仿宋_GB2312"/>
          <w:color w:val="auto"/>
          <w:sz w:val="32"/>
          <w:szCs w:val="32"/>
          <w:highlight w:val="none"/>
          <w:lang w:eastAsia="zh-CN"/>
        </w:rPr>
        <w:t>财政拨款“三公”经费支出决算表</w:t>
      </w:r>
    </w:p>
    <w:p w14:paraId="7C76A66C">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DD4998-A0E1-4C35-9A84-3B4E8B791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AB17EC-A572-44B4-A760-B9C8FA56B3B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4DA2D1B-55A6-44D4-ACE4-8561D6AF1B0D}"/>
  </w:font>
  <w:font w:name="仿宋">
    <w:panose1 w:val="02010609060101010101"/>
    <w:charset w:val="86"/>
    <w:family w:val="modern"/>
    <w:pitch w:val="default"/>
    <w:sig w:usb0="800002BF" w:usb1="38CF7CFA" w:usb2="00000016" w:usb3="00000000" w:csb0="00040001" w:csb1="00000000"/>
    <w:embedRegular r:id="rId4" w:fontKey="{087793DB-7320-434D-BAB8-2B9713D8374F}"/>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0A3FE05B-FAA3-452D-A1F8-6CE9BFE6FD67}"/>
  </w:font>
  <w:font w:name="楷体_GB2312">
    <w:panose1 w:val="02010609030101010101"/>
    <w:charset w:val="86"/>
    <w:family w:val="auto"/>
    <w:pitch w:val="default"/>
    <w:sig w:usb0="00000001" w:usb1="080E0000" w:usb2="00000000" w:usb3="00000000" w:csb0="00040000" w:csb1="00000000"/>
    <w:embedRegular r:id="rId6" w:fontKey="{15AA8D13-B200-40B1-94E6-5951B2F761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9AFB">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BFAF3">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CBFAF3">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22D6F0B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AC0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7587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F7587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A051">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DBA56">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EDBA56">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6205EF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18E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7FA9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67FA9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5C02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C7732"/>
    <w:multiLevelType w:val="singleLevel"/>
    <w:tmpl w:val="3FFC7732"/>
    <w:lvl w:ilvl="0" w:tentative="0">
      <w:start w:val="1"/>
      <w:numFmt w:val="chineseCounting"/>
      <w:suff w:val="nothing"/>
      <w:lvlText w:val="%1、"/>
      <w:lvlJc w:val="left"/>
      <w:rPr>
        <w:rFonts w:hint="eastAsia"/>
      </w:rPr>
    </w:lvl>
  </w:abstractNum>
  <w:abstractNum w:abstractNumId="1">
    <w:nsid w:val="6EE2232B"/>
    <w:multiLevelType w:val="multilevel"/>
    <w:tmpl w:val="6EE2232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4CA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7778C"/>
    <w:rsid w:val="015975B8"/>
    <w:rsid w:val="018F2EE2"/>
    <w:rsid w:val="021B4775"/>
    <w:rsid w:val="02377801"/>
    <w:rsid w:val="02846EFD"/>
    <w:rsid w:val="02C72207"/>
    <w:rsid w:val="02FEBE30"/>
    <w:rsid w:val="03E64CCE"/>
    <w:rsid w:val="041A1188"/>
    <w:rsid w:val="048028BE"/>
    <w:rsid w:val="04916F1E"/>
    <w:rsid w:val="04D31337"/>
    <w:rsid w:val="05F872A7"/>
    <w:rsid w:val="061E35DE"/>
    <w:rsid w:val="066E0107"/>
    <w:rsid w:val="06E93D93"/>
    <w:rsid w:val="07996F6E"/>
    <w:rsid w:val="07DFD8BA"/>
    <w:rsid w:val="094E3682"/>
    <w:rsid w:val="09867E8F"/>
    <w:rsid w:val="0A2032A3"/>
    <w:rsid w:val="0C430B50"/>
    <w:rsid w:val="0CA8290A"/>
    <w:rsid w:val="0CFB58CF"/>
    <w:rsid w:val="0D35B1ED"/>
    <w:rsid w:val="0E254B6B"/>
    <w:rsid w:val="0F98263C"/>
    <w:rsid w:val="101860EC"/>
    <w:rsid w:val="101F47CC"/>
    <w:rsid w:val="10765998"/>
    <w:rsid w:val="10C055FF"/>
    <w:rsid w:val="11694EBD"/>
    <w:rsid w:val="117479FE"/>
    <w:rsid w:val="11772AA4"/>
    <w:rsid w:val="118107EC"/>
    <w:rsid w:val="11C049F1"/>
    <w:rsid w:val="12374CB3"/>
    <w:rsid w:val="12E24EE2"/>
    <w:rsid w:val="136046DE"/>
    <w:rsid w:val="1393060F"/>
    <w:rsid w:val="13D50BC4"/>
    <w:rsid w:val="149E726C"/>
    <w:rsid w:val="14B17F78"/>
    <w:rsid w:val="15E45152"/>
    <w:rsid w:val="165E0673"/>
    <w:rsid w:val="16B831D5"/>
    <w:rsid w:val="16BB723D"/>
    <w:rsid w:val="17E50567"/>
    <w:rsid w:val="186504BB"/>
    <w:rsid w:val="19353F17"/>
    <w:rsid w:val="194D300E"/>
    <w:rsid w:val="199D1439"/>
    <w:rsid w:val="199E7D0E"/>
    <w:rsid w:val="19A445FC"/>
    <w:rsid w:val="1A654388"/>
    <w:rsid w:val="1BE8440E"/>
    <w:rsid w:val="1C8C6D0A"/>
    <w:rsid w:val="1D155CEE"/>
    <w:rsid w:val="1D1638FE"/>
    <w:rsid w:val="1D2624F4"/>
    <w:rsid w:val="1E312DEB"/>
    <w:rsid w:val="1E4075E6"/>
    <w:rsid w:val="1E740ACF"/>
    <w:rsid w:val="1ECC610C"/>
    <w:rsid w:val="1FF35744"/>
    <w:rsid w:val="1FF6BC77"/>
    <w:rsid w:val="2186353C"/>
    <w:rsid w:val="23860B96"/>
    <w:rsid w:val="240371BF"/>
    <w:rsid w:val="244F3473"/>
    <w:rsid w:val="24C97D99"/>
    <w:rsid w:val="25592D3B"/>
    <w:rsid w:val="25A718F0"/>
    <w:rsid w:val="25BB59F6"/>
    <w:rsid w:val="260F557C"/>
    <w:rsid w:val="26970054"/>
    <w:rsid w:val="26DE5BEE"/>
    <w:rsid w:val="27076EF2"/>
    <w:rsid w:val="27FA6A57"/>
    <w:rsid w:val="280E12BB"/>
    <w:rsid w:val="281408E2"/>
    <w:rsid w:val="28D57768"/>
    <w:rsid w:val="28D948BF"/>
    <w:rsid w:val="290556B4"/>
    <w:rsid w:val="29F64FFC"/>
    <w:rsid w:val="29FD04D3"/>
    <w:rsid w:val="2A6603D4"/>
    <w:rsid w:val="2A8D3BB3"/>
    <w:rsid w:val="2B322497"/>
    <w:rsid w:val="2B4324C3"/>
    <w:rsid w:val="2B6D12EE"/>
    <w:rsid w:val="2BFF7BC6"/>
    <w:rsid w:val="2C8A61B5"/>
    <w:rsid w:val="2CF41CC7"/>
    <w:rsid w:val="2D4542D1"/>
    <w:rsid w:val="2DF04E50"/>
    <w:rsid w:val="2E204D3E"/>
    <w:rsid w:val="2E586DFA"/>
    <w:rsid w:val="2F040D46"/>
    <w:rsid w:val="2F6B035B"/>
    <w:rsid w:val="2FAE5751"/>
    <w:rsid w:val="2FB1A395"/>
    <w:rsid w:val="2FBE480E"/>
    <w:rsid w:val="2FD9A7D8"/>
    <w:rsid w:val="2FDBF714"/>
    <w:rsid w:val="30AB6865"/>
    <w:rsid w:val="319F7F4E"/>
    <w:rsid w:val="32BD1EF1"/>
    <w:rsid w:val="32DC7485"/>
    <w:rsid w:val="32F32A21"/>
    <w:rsid w:val="3304709D"/>
    <w:rsid w:val="33A773CB"/>
    <w:rsid w:val="33DB598F"/>
    <w:rsid w:val="345E3ECA"/>
    <w:rsid w:val="34637732"/>
    <w:rsid w:val="349D6851"/>
    <w:rsid w:val="353A0493"/>
    <w:rsid w:val="3599165E"/>
    <w:rsid w:val="35AD5109"/>
    <w:rsid w:val="35F03248"/>
    <w:rsid w:val="369675CD"/>
    <w:rsid w:val="36AA5135"/>
    <w:rsid w:val="36BE0DA7"/>
    <w:rsid w:val="36EB413B"/>
    <w:rsid w:val="371B60A2"/>
    <w:rsid w:val="373C4996"/>
    <w:rsid w:val="376B6AA6"/>
    <w:rsid w:val="376D39B2"/>
    <w:rsid w:val="37E16F03"/>
    <w:rsid w:val="37F53A3B"/>
    <w:rsid w:val="37F7266B"/>
    <w:rsid w:val="389B6C89"/>
    <w:rsid w:val="38D469F0"/>
    <w:rsid w:val="39627CCD"/>
    <w:rsid w:val="397BAF1F"/>
    <w:rsid w:val="3A7E0E22"/>
    <w:rsid w:val="3AB79AF3"/>
    <w:rsid w:val="3AE834C0"/>
    <w:rsid w:val="3B143534"/>
    <w:rsid w:val="3B7EF35A"/>
    <w:rsid w:val="3B9FDB6C"/>
    <w:rsid w:val="3BF5BC2F"/>
    <w:rsid w:val="3C987B9C"/>
    <w:rsid w:val="3CB66F99"/>
    <w:rsid w:val="3CEBA265"/>
    <w:rsid w:val="3D7B789B"/>
    <w:rsid w:val="3D98207C"/>
    <w:rsid w:val="3DEE7CF3"/>
    <w:rsid w:val="3E6A003B"/>
    <w:rsid w:val="3E740A63"/>
    <w:rsid w:val="3E78745D"/>
    <w:rsid w:val="3EE17838"/>
    <w:rsid w:val="3F55381A"/>
    <w:rsid w:val="3F7F7599"/>
    <w:rsid w:val="3FF4CAE0"/>
    <w:rsid w:val="3FF60466"/>
    <w:rsid w:val="3FF7B227"/>
    <w:rsid w:val="431762B8"/>
    <w:rsid w:val="44E268DA"/>
    <w:rsid w:val="44ED72D0"/>
    <w:rsid w:val="450D13D7"/>
    <w:rsid w:val="45506656"/>
    <w:rsid w:val="45521829"/>
    <w:rsid w:val="456B28EB"/>
    <w:rsid w:val="45B60A1A"/>
    <w:rsid w:val="45CA7611"/>
    <w:rsid w:val="468C0D6B"/>
    <w:rsid w:val="46B1432D"/>
    <w:rsid w:val="46D954C8"/>
    <w:rsid w:val="486A6C7A"/>
    <w:rsid w:val="48A203D1"/>
    <w:rsid w:val="49A95790"/>
    <w:rsid w:val="4A627F82"/>
    <w:rsid w:val="4AB36114"/>
    <w:rsid w:val="4B0E749A"/>
    <w:rsid w:val="4B2477C4"/>
    <w:rsid w:val="4B4F25DA"/>
    <w:rsid w:val="4BE068DB"/>
    <w:rsid w:val="4BE56F53"/>
    <w:rsid w:val="4D3D691B"/>
    <w:rsid w:val="4D577224"/>
    <w:rsid w:val="4DA90454"/>
    <w:rsid w:val="4DBF1CEB"/>
    <w:rsid w:val="4DF0007C"/>
    <w:rsid w:val="4E4D5283"/>
    <w:rsid w:val="4EA8070C"/>
    <w:rsid w:val="4EAB630A"/>
    <w:rsid w:val="4ECE2238"/>
    <w:rsid w:val="4F833267"/>
    <w:rsid w:val="4F980780"/>
    <w:rsid w:val="4FB76E58"/>
    <w:rsid w:val="4FE9BD67"/>
    <w:rsid w:val="4FFB052F"/>
    <w:rsid w:val="519A258E"/>
    <w:rsid w:val="522E2CD6"/>
    <w:rsid w:val="52650DED"/>
    <w:rsid w:val="52756B57"/>
    <w:rsid w:val="528079D5"/>
    <w:rsid w:val="52CF4BC2"/>
    <w:rsid w:val="53340DEA"/>
    <w:rsid w:val="537E6D0A"/>
    <w:rsid w:val="53DB68F3"/>
    <w:rsid w:val="53F74C96"/>
    <w:rsid w:val="54D318DA"/>
    <w:rsid w:val="55170BA8"/>
    <w:rsid w:val="553218C9"/>
    <w:rsid w:val="567E1AA5"/>
    <w:rsid w:val="56E47B74"/>
    <w:rsid w:val="57175D52"/>
    <w:rsid w:val="576D24F2"/>
    <w:rsid w:val="57BD3DD4"/>
    <w:rsid w:val="586631C9"/>
    <w:rsid w:val="58E6255C"/>
    <w:rsid w:val="59142EC7"/>
    <w:rsid w:val="5A1B4488"/>
    <w:rsid w:val="5AD76600"/>
    <w:rsid w:val="5AF92295"/>
    <w:rsid w:val="5B250254"/>
    <w:rsid w:val="5BDD79E6"/>
    <w:rsid w:val="5BF561CA"/>
    <w:rsid w:val="5BFF5DFC"/>
    <w:rsid w:val="5C677510"/>
    <w:rsid w:val="5CD71FC4"/>
    <w:rsid w:val="5D0D455B"/>
    <w:rsid w:val="5D1F11B5"/>
    <w:rsid w:val="5D695134"/>
    <w:rsid w:val="5DAE1B18"/>
    <w:rsid w:val="5DE7D9E5"/>
    <w:rsid w:val="5E8545C5"/>
    <w:rsid w:val="5ECEC941"/>
    <w:rsid w:val="5F7268F8"/>
    <w:rsid w:val="5FBF9FF3"/>
    <w:rsid w:val="5FCD4E2C"/>
    <w:rsid w:val="5FEF394A"/>
    <w:rsid w:val="5FF67715"/>
    <w:rsid w:val="6008100A"/>
    <w:rsid w:val="60DB671F"/>
    <w:rsid w:val="61A42FB4"/>
    <w:rsid w:val="61C96577"/>
    <w:rsid w:val="62BF3928"/>
    <w:rsid w:val="635732BD"/>
    <w:rsid w:val="63B3701E"/>
    <w:rsid w:val="647F5392"/>
    <w:rsid w:val="65C634F9"/>
    <w:rsid w:val="65E66580"/>
    <w:rsid w:val="660758C0"/>
    <w:rsid w:val="664B1D71"/>
    <w:rsid w:val="664B4E8E"/>
    <w:rsid w:val="66672A1D"/>
    <w:rsid w:val="667C1E0A"/>
    <w:rsid w:val="67064879"/>
    <w:rsid w:val="67277B67"/>
    <w:rsid w:val="672E57FA"/>
    <w:rsid w:val="67642FCA"/>
    <w:rsid w:val="67AA3209"/>
    <w:rsid w:val="6954706E"/>
    <w:rsid w:val="698D0931"/>
    <w:rsid w:val="69E05D7F"/>
    <w:rsid w:val="6A7FE5F3"/>
    <w:rsid w:val="6B053271"/>
    <w:rsid w:val="6BDD78B3"/>
    <w:rsid w:val="6C4A05C8"/>
    <w:rsid w:val="6C8742B8"/>
    <w:rsid w:val="6DAF51BB"/>
    <w:rsid w:val="6DBF5E93"/>
    <w:rsid w:val="6DFF077E"/>
    <w:rsid w:val="6E5A6ED5"/>
    <w:rsid w:val="6E714EF0"/>
    <w:rsid w:val="6E7E3605"/>
    <w:rsid w:val="6E7FDCC7"/>
    <w:rsid w:val="6ED6A62E"/>
    <w:rsid w:val="6EE00B15"/>
    <w:rsid w:val="6F6FB3EB"/>
    <w:rsid w:val="6F8731EA"/>
    <w:rsid w:val="6FCE6052"/>
    <w:rsid w:val="6FD57C00"/>
    <w:rsid w:val="6FEE1FCA"/>
    <w:rsid w:val="6FEFFFD8"/>
    <w:rsid w:val="6FF5CC65"/>
    <w:rsid w:val="6FFB47EC"/>
    <w:rsid w:val="6FFF034A"/>
    <w:rsid w:val="702A6D7B"/>
    <w:rsid w:val="70484440"/>
    <w:rsid w:val="70657DB3"/>
    <w:rsid w:val="712A28F1"/>
    <w:rsid w:val="715C0E4B"/>
    <w:rsid w:val="71992E7C"/>
    <w:rsid w:val="72233669"/>
    <w:rsid w:val="72734D90"/>
    <w:rsid w:val="73160E6D"/>
    <w:rsid w:val="731A6C33"/>
    <w:rsid w:val="7332FE48"/>
    <w:rsid w:val="73AB61DA"/>
    <w:rsid w:val="73AD73D5"/>
    <w:rsid w:val="73B6EB34"/>
    <w:rsid w:val="73E21E46"/>
    <w:rsid w:val="73FA497D"/>
    <w:rsid w:val="744731E5"/>
    <w:rsid w:val="74962C31"/>
    <w:rsid w:val="74BBD01D"/>
    <w:rsid w:val="74ED5379"/>
    <w:rsid w:val="75A82C1C"/>
    <w:rsid w:val="75DEEEC2"/>
    <w:rsid w:val="75E32345"/>
    <w:rsid w:val="76E3355F"/>
    <w:rsid w:val="76EB7264"/>
    <w:rsid w:val="76FF5125"/>
    <w:rsid w:val="776F6FFA"/>
    <w:rsid w:val="778769C8"/>
    <w:rsid w:val="77A75DCA"/>
    <w:rsid w:val="77AB254F"/>
    <w:rsid w:val="77DC22F5"/>
    <w:rsid w:val="781B133D"/>
    <w:rsid w:val="783E271A"/>
    <w:rsid w:val="78616DE9"/>
    <w:rsid w:val="78D41F79"/>
    <w:rsid w:val="78E875D7"/>
    <w:rsid w:val="79086DAD"/>
    <w:rsid w:val="799F4335"/>
    <w:rsid w:val="79AC25AE"/>
    <w:rsid w:val="79D7FD79"/>
    <w:rsid w:val="79EE5BA4"/>
    <w:rsid w:val="7A04063C"/>
    <w:rsid w:val="7A894339"/>
    <w:rsid w:val="7AD284E8"/>
    <w:rsid w:val="7AEC7106"/>
    <w:rsid w:val="7AFF7572"/>
    <w:rsid w:val="7B6C46EB"/>
    <w:rsid w:val="7B6C7DFB"/>
    <w:rsid w:val="7BBFBED0"/>
    <w:rsid w:val="7BC3E394"/>
    <w:rsid w:val="7C1F3737"/>
    <w:rsid w:val="7C266648"/>
    <w:rsid w:val="7CBC51FE"/>
    <w:rsid w:val="7CBFC87B"/>
    <w:rsid w:val="7CC04CEF"/>
    <w:rsid w:val="7CFE0F48"/>
    <w:rsid w:val="7D1E1A15"/>
    <w:rsid w:val="7D272ABC"/>
    <w:rsid w:val="7D7EC23E"/>
    <w:rsid w:val="7DDD367E"/>
    <w:rsid w:val="7DFC1D56"/>
    <w:rsid w:val="7E7033BE"/>
    <w:rsid w:val="7E8ADEBF"/>
    <w:rsid w:val="7E924469"/>
    <w:rsid w:val="7EEF11D3"/>
    <w:rsid w:val="7EFE4840"/>
    <w:rsid w:val="7F0971A6"/>
    <w:rsid w:val="7F1D62E7"/>
    <w:rsid w:val="7F2E6E03"/>
    <w:rsid w:val="7F3F679B"/>
    <w:rsid w:val="7F4FC4EF"/>
    <w:rsid w:val="7F5E4D54"/>
    <w:rsid w:val="7F6E0135"/>
    <w:rsid w:val="7F79F205"/>
    <w:rsid w:val="7F954211"/>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2023</c:v>
                </c:pt>
              </c:strCache>
            </c:strRef>
          </c:tx>
          <c:spPr>
            <a:solidFill>
              <a:schemeClr val="accent1"/>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工作表.xls]Sheet1'!$B$2:$C$2</c:f>
              <c:numCache>
                <c:formatCode>General</c:formatCode>
                <c:ptCount val="2"/>
                <c:pt idx="0">
                  <c:v>76.64</c:v>
                </c:pt>
                <c:pt idx="1">
                  <c:v>76.64</c:v>
                </c:pt>
              </c:numCache>
            </c:numRef>
          </c:val>
        </c:ser>
        <c:ser>
          <c:idx val="1"/>
          <c:order val="1"/>
          <c:tx>
            <c:strRef>
              <c:f>'[新建 XLS 工作表.xls]Sheet1'!$A$3</c:f>
              <c:strCache>
                <c:ptCount val="1"/>
                <c:pt idx="0">
                  <c:v>2024</c:v>
                </c:pt>
              </c:strCache>
            </c:strRef>
          </c:tx>
          <c:spPr>
            <a:solidFill>
              <a:schemeClr val="accent2"/>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工作表.xls]Sheet1'!$B$3:$C$3</c:f>
              <c:numCache>
                <c:formatCode>General</c:formatCode>
                <c:ptCount val="2"/>
                <c:pt idx="0">
                  <c:v>80.03</c:v>
                </c:pt>
                <c:pt idx="1">
                  <c:v>80.03</c:v>
                </c:pt>
              </c:numCache>
            </c:numRef>
          </c:val>
        </c:ser>
        <c:dLbls>
          <c:showLegendKey val="0"/>
          <c:showVal val="0"/>
          <c:showCatName val="0"/>
          <c:showSerName val="0"/>
          <c:showPercent val="0"/>
          <c:showBubbleSize val="0"/>
        </c:dLbls>
        <c:gapWidth val="246"/>
        <c:overlap val="-28"/>
        <c:axId val="337147557"/>
        <c:axId val="724139170"/>
      </c:barChart>
      <c:catAx>
        <c:axId val="3371475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139170"/>
        <c:crosses val="autoZero"/>
        <c:auto val="1"/>
        <c:lblAlgn val="ctr"/>
        <c:lblOffset val="100"/>
        <c:noMultiLvlLbl val="0"/>
      </c:catAx>
      <c:valAx>
        <c:axId val="7241391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1475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860859-2519-463f-9575-d538deb76c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工作表.xls]Sheet1'!$A$23</c:f>
              <c:strCache>
                <c:ptCount val="1"/>
                <c:pt idx="0">
                  <c:v>一般公共预算财政拨款收入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工作表.xls]Sheet1'!$B$22</c:f>
              <c:strCache>
                <c:ptCount val="1"/>
                <c:pt idx="0">
                  <c:v>收入(万元）</c:v>
                </c:pt>
              </c:strCache>
            </c:strRef>
          </c:cat>
          <c:val>
            <c:numRef>
              <c:f>'[新建 XLS 工作表.xls]Sheet1'!$B$23</c:f>
              <c:numCache>
                <c:formatCode>General</c:formatCode>
                <c:ptCount val="1"/>
                <c:pt idx="0">
                  <c:v>80.03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a10d681-8f69-4808-8abb-445dbb62221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91644736842105"/>
          <c:y val="0.160416666666667"/>
          <c:w val="0.438815789473684"/>
          <c:h val="0.771990740740741"/>
        </c:manualLayout>
      </c:layout>
      <c:pieChart>
        <c:varyColors val="1"/>
        <c:ser>
          <c:idx val="0"/>
          <c:order val="0"/>
          <c:tx>
            <c:strRef>
              <c:f>'[新建 XLS 工作表.xls]Sheet1'!$B$32</c:f>
              <c:strCache>
                <c:ptCount val="1"/>
                <c:pt idx="0">
                  <c:v>2024年度</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2"/>
              <c:layout>
                <c:manualLayout>
                  <c:x val="-0.0821059420099938"/>
                  <c:y val="0.33230902777681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994731905317291"/>
                  <c:y val="0.2878645833323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工作表.xls]Sheet1'!$A$33:$A$36</c:f>
              <c:strCache>
                <c:ptCount val="4"/>
                <c:pt idx="0">
                  <c:v>基本支出</c:v>
                </c:pt>
                <c:pt idx="1">
                  <c:v>项目支出</c:v>
                </c:pt>
                <c:pt idx="2">
                  <c:v>上缴上级支出</c:v>
                </c:pt>
                <c:pt idx="3">
                  <c:v>经营支出</c:v>
                </c:pt>
              </c:strCache>
            </c:strRef>
          </c:cat>
          <c:val>
            <c:numRef>
              <c:f>'[新建 XLS 工作表.xls]Sheet1'!$B$33:$B$36</c:f>
              <c:numCache>
                <c:formatCode>General</c:formatCode>
                <c:ptCount val="4"/>
                <c:pt idx="0">
                  <c:v>80.03</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4c7b347-c3c3-49a5-bc97-82702a3dd3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财政拨款收支决算总计变动表</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2023</c:v>
                </c:pt>
              </c:strCache>
            </c:strRef>
          </c:tx>
          <c:spPr>
            <a:solidFill>
              <a:schemeClr val="accent1"/>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工作表.xls]Sheet1'!$B$2:$C$2</c:f>
              <c:numCache>
                <c:formatCode>General</c:formatCode>
                <c:ptCount val="2"/>
                <c:pt idx="0">
                  <c:v>76.64</c:v>
                </c:pt>
                <c:pt idx="1">
                  <c:v>76.64</c:v>
                </c:pt>
              </c:numCache>
            </c:numRef>
          </c:val>
        </c:ser>
        <c:ser>
          <c:idx val="1"/>
          <c:order val="1"/>
          <c:tx>
            <c:strRef>
              <c:f>'[新建 XLS 工作表.xls]Sheet1'!$A$3</c:f>
              <c:strCache>
                <c:ptCount val="1"/>
                <c:pt idx="0">
                  <c:v>2024</c:v>
                </c:pt>
              </c:strCache>
            </c:strRef>
          </c:tx>
          <c:spPr>
            <a:solidFill>
              <a:schemeClr val="accent2"/>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工作表.xls]Sheet1'!$B$3:$C$3</c:f>
              <c:numCache>
                <c:formatCode>General</c:formatCode>
                <c:ptCount val="2"/>
                <c:pt idx="0">
                  <c:v>80.03</c:v>
                </c:pt>
                <c:pt idx="1">
                  <c:v>80.03</c:v>
                </c:pt>
              </c:numCache>
            </c:numRef>
          </c:val>
        </c:ser>
        <c:dLbls>
          <c:showLegendKey val="0"/>
          <c:showVal val="0"/>
          <c:showCatName val="0"/>
          <c:showSerName val="0"/>
          <c:showPercent val="0"/>
          <c:showBubbleSize val="0"/>
        </c:dLbls>
        <c:gapWidth val="246"/>
        <c:overlap val="-28"/>
        <c:axId val="337147557"/>
        <c:axId val="724139170"/>
      </c:barChart>
      <c:catAx>
        <c:axId val="3371475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139170"/>
        <c:crosses val="autoZero"/>
        <c:auto val="1"/>
        <c:lblAlgn val="ctr"/>
        <c:lblOffset val="100"/>
        <c:noMultiLvlLbl val="0"/>
      </c:catAx>
      <c:valAx>
        <c:axId val="7241391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1475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42dd50-281f-461c-92ad-8e3f6ea785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2023</c:v>
                </c:pt>
              </c:strCache>
            </c:strRef>
          </c:tx>
          <c:spPr>
            <a:solidFill>
              <a:schemeClr val="accent1"/>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工作表.xls]Sheet1'!$B$2:$C$2</c:f>
              <c:numCache>
                <c:formatCode>General</c:formatCode>
                <c:ptCount val="2"/>
                <c:pt idx="0">
                  <c:v>76.64</c:v>
                </c:pt>
                <c:pt idx="1">
                  <c:v>76.64</c:v>
                </c:pt>
              </c:numCache>
            </c:numRef>
          </c:val>
        </c:ser>
        <c:ser>
          <c:idx val="1"/>
          <c:order val="1"/>
          <c:tx>
            <c:strRef>
              <c:f>'[新建 XLS 工作表.xls]Sheet1'!$A$3</c:f>
              <c:strCache>
                <c:ptCount val="1"/>
                <c:pt idx="0">
                  <c:v>2024</c:v>
                </c:pt>
              </c:strCache>
            </c:strRef>
          </c:tx>
          <c:spPr>
            <a:solidFill>
              <a:schemeClr val="accent2"/>
            </a:solidFill>
            <a:ln>
              <a:noFill/>
            </a:ln>
            <a:effectLst/>
          </c:spPr>
          <c:invertIfNegative val="0"/>
          <c:dLbls>
            <c:delete val="1"/>
          </c:dLbls>
          <c:cat>
            <c:strRef>
              <c:f>'[新建 XLS 工作表.xls]Sheet1'!$B$1:$C$1</c:f>
              <c:strCache>
                <c:ptCount val="2"/>
                <c:pt idx="0">
                  <c:v>收入(万元）</c:v>
                </c:pt>
                <c:pt idx="1">
                  <c:v>支出（万元）</c:v>
                </c:pt>
              </c:strCache>
            </c:strRef>
          </c:cat>
          <c:val>
            <c:numRef>
              <c:f>'[新建 XLS 工作表.xls]Sheet1'!$B$3:$C$3</c:f>
              <c:numCache>
                <c:formatCode>General</c:formatCode>
                <c:ptCount val="2"/>
                <c:pt idx="0">
                  <c:v>80.03</c:v>
                </c:pt>
                <c:pt idx="1">
                  <c:v>80.03</c:v>
                </c:pt>
              </c:numCache>
            </c:numRef>
          </c:val>
        </c:ser>
        <c:dLbls>
          <c:showLegendKey val="0"/>
          <c:showVal val="0"/>
          <c:showCatName val="0"/>
          <c:showSerName val="0"/>
          <c:showPercent val="0"/>
          <c:showBubbleSize val="0"/>
        </c:dLbls>
        <c:gapWidth val="246"/>
        <c:overlap val="-28"/>
        <c:axId val="337147557"/>
        <c:axId val="724139170"/>
      </c:barChart>
      <c:catAx>
        <c:axId val="3371475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139170"/>
        <c:crosses val="autoZero"/>
        <c:auto val="1"/>
        <c:lblAlgn val="ctr"/>
        <c:lblOffset val="100"/>
        <c:noMultiLvlLbl val="0"/>
      </c:catAx>
      <c:valAx>
        <c:axId val="7241391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71475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bc6235-0e49-4e2e-b327-b14a960464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 工作表.xls]Sheet1'!$B$41</c:f>
              <c:strCache>
                <c:ptCount val="1"/>
                <c:pt idx="0">
                  <c:v>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工作表.xls]Sheet1'!$A$42:$A$45</c:f>
              <c:strCache>
                <c:ptCount val="4"/>
                <c:pt idx="0">
                  <c:v>社会保障和就业支出</c:v>
                </c:pt>
                <c:pt idx="1">
                  <c:v>卫生健康支出</c:v>
                </c:pt>
                <c:pt idx="2">
                  <c:v>住房保障支出</c:v>
                </c:pt>
                <c:pt idx="3">
                  <c:v>城乡社区支出</c:v>
                </c:pt>
              </c:strCache>
            </c:strRef>
          </c:cat>
          <c:val>
            <c:numRef>
              <c:f>'[新建 XLS 工作表.xls]Sheet1'!$B$42:$B$45</c:f>
              <c:numCache>
                <c:formatCode>General</c:formatCode>
                <c:ptCount val="4"/>
                <c:pt idx="0">
                  <c:v>11.72</c:v>
                </c:pt>
                <c:pt idx="1">
                  <c:v>4.86</c:v>
                </c:pt>
                <c:pt idx="2">
                  <c:v>5.99</c:v>
                </c:pt>
                <c:pt idx="3">
                  <c:v>57.46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c61b446-0fff-4a32-96e3-f3cac63673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5031</Words>
  <Characters>5389</Characters>
  <Lines>61</Lines>
  <Paragraphs>17</Paragraphs>
  <TotalTime>0</TotalTime>
  <ScaleCrop>false</ScaleCrop>
  <LinksUpToDate>false</LinksUpToDate>
  <CharactersWithSpaces>5488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2025-10-15T02:12:37Z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