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40EAF">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96597"/>
      <w:bookmarkStart w:id="2" w:name="_Toc15378441"/>
      <w:bookmarkStart w:id="3" w:name="_Toc15377193"/>
      <w:bookmarkStart w:id="4" w:name="_Toc15306267"/>
      <w:bookmarkStart w:id="5" w:name="_Toc15377425"/>
    </w:p>
    <w:p w14:paraId="251C1A88">
      <w:pPr>
        <w:pStyle w:val="5"/>
        <w:rPr>
          <w:rFonts w:hint="eastAsia" w:ascii="Times New Roman" w:hAnsi="Times New Roman" w:eastAsia="方正小标宋简体" w:cs="Times New Roman"/>
          <w:color w:val="auto"/>
          <w:kern w:val="2"/>
          <w:sz w:val="72"/>
          <w:szCs w:val="72"/>
          <w:highlight w:val="none"/>
          <w:lang w:val="en-US" w:eastAsia="zh-CN" w:bidi="ar-SA"/>
        </w:rPr>
      </w:pPr>
    </w:p>
    <w:p w14:paraId="657FE7E4">
      <w:pPr>
        <w:pStyle w:val="5"/>
        <w:rPr>
          <w:rFonts w:hint="eastAsia" w:ascii="Times New Roman" w:hAnsi="Times New Roman" w:eastAsia="方正小标宋简体" w:cs="Times New Roman"/>
          <w:color w:val="auto"/>
          <w:kern w:val="2"/>
          <w:sz w:val="72"/>
          <w:szCs w:val="72"/>
          <w:highlight w:val="none"/>
          <w:lang w:val="en-US" w:eastAsia="zh-CN" w:bidi="ar-SA"/>
        </w:rPr>
      </w:pPr>
    </w:p>
    <w:p w14:paraId="17541406">
      <w:pPr>
        <w:pStyle w:val="5"/>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松潘县住房和城乡建设局</w:t>
      </w:r>
    </w:p>
    <w:p w14:paraId="3BA61863">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r>
        <w:rPr>
          <w:rFonts w:hint="eastAsia" w:ascii="Times New Roman" w:eastAsia="方正小标宋简体" w:cs="Times New Roman"/>
          <w:color w:val="auto"/>
          <w:kern w:val="2"/>
          <w:sz w:val="44"/>
          <w:szCs w:val="44"/>
          <w:highlight w:val="none"/>
          <w:lang w:val="en-US" w:eastAsia="zh-CN" w:bidi="ar-SA"/>
        </w:rPr>
        <w:t>公开</w:t>
      </w:r>
    </w:p>
    <w:p w14:paraId="18CBFCB1">
      <w:pPr>
        <w:spacing w:line="600" w:lineRule="exact"/>
        <w:jc w:val="center"/>
        <w:outlineLvl w:val="0"/>
        <w:rPr>
          <w:rFonts w:ascii="Times New Roman" w:hAnsi="Times New Roman" w:eastAsia="方正小标宋简体"/>
          <w:color w:val="auto"/>
          <w:sz w:val="72"/>
          <w:szCs w:val="72"/>
          <w:highlight w:val="none"/>
        </w:rPr>
      </w:pPr>
    </w:p>
    <w:p w14:paraId="7534FAD0">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B849691">
      <w:pPr>
        <w:rPr>
          <w:rFonts w:ascii="Times New Roman" w:hAnsi="Times New Roman"/>
        </w:rPr>
      </w:pPr>
    </w:p>
    <w:bookmarkEnd w:id="0"/>
    <w:bookmarkEnd w:id="1"/>
    <w:bookmarkEnd w:id="2"/>
    <w:bookmarkEnd w:id="3"/>
    <w:bookmarkEnd w:id="4"/>
    <w:bookmarkEnd w:id="5"/>
    <w:p w14:paraId="2D8E0C4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BC75AF7">
      <w:pPr>
        <w:widowControl/>
        <w:jc w:val="center"/>
        <w:rPr>
          <w:rFonts w:ascii="Times New Roman" w:hAnsi="Times New Roman" w:eastAsia="黑体" w:cstheme="minorBidi"/>
          <w:color w:val="auto"/>
          <w:sz w:val="28"/>
          <w:szCs w:val="28"/>
          <w:highlight w:val="none"/>
        </w:rPr>
      </w:pPr>
    </w:p>
    <w:p w14:paraId="657CC284">
      <w:pPr>
        <w:pStyle w:val="12"/>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15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772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4D70011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63CDD8A">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"1-2"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_Toc2935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_Toc2935 \h </w:instrText>
          </w:r>
          <w:r>
            <w:fldChar w:fldCharType="separate"/>
          </w:r>
          <w:r>
            <w:t>- 2 -</w:t>
          </w:r>
          <w:r>
            <w:fldChar w:fldCharType="end"/>
          </w:r>
          <w:r>
            <w:rPr>
              <w:rFonts w:ascii="Times New Roman" w:hAnsi="Times New Roman"/>
              <w:color w:val="auto"/>
              <w:highlight w:val="none"/>
            </w:rPr>
            <w:fldChar w:fldCharType="end"/>
          </w:r>
        </w:p>
        <w:p w14:paraId="5076809C">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_Toc13791 </w:instrText>
          </w:r>
          <w:r>
            <w:rPr>
              <w:rFonts w:ascii="Times New Roman" w:hAnsi="Times New Roman"/>
              <w:highlight w:val="none"/>
            </w:rPr>
            <w:fldChar w:fldCharType="separate"/>
          </w:r>
          <w:r>
            <w:rPr>
              <w:rFonts w:hint="eastAsia" w:ascii="Times New Roman" w:hAnsi="Times New Roman" w:eastAsia="黑体"/>
              <w:highlight w:val="none"/>
            </w:rPr>
            <w:t>一、</w:t>
          </w:r>
          <w:r>
            <w:rPr>
              <w:rFonts w:hint="eastAsia" w:ascii="Times New Roman" w:hAnsi="Times New Roman" w:eastAsia="黑体"/>
              <w:highlight w:val="none"/>
              <w:lang w:eastAsia="zh-CN"/>
            </w:rPr>
            <w:t>部门职责</w:t>
          </w:r>
          <w:r>
            <w:tab/>
          </w:r>
          <w:r>
            <w:fldChar w:fldCharType="begin"/>
          </w:r>
          <w:r>
            <w:instrText xml:space="preserve"> PAGEREF _Toc13791 \h </w:instrText>
          </w:r>
          <w:r>
            <w:fldChar w:fldCharType="separate"/>
          </w:r>
          <w:r>
            <w:t>- 2 -</w:t>
          </w:r>
          <w:r>
            <w:fldChar w:fldCharType="end"/>
          </w:r>
          <w:r>
            <w:rPr>
              <w:rFonts w:ascii="Times New Roman" w:hAnsi="Times New Roman"/>
              <w:color w:val="auto"/>
              <w:highlight w:val="none"/>
            </w:rPr>
            <w:fldChar w:fldCharType="end"/>
          </w:r>
        </w:p>
        <w:p w14:paraId="309B8954">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_Toc31827 </w:instrText>
          </w:r>
          <w:r>
            <w:rPr>
              <w:rFonts w:ascii="Times New Roman" w:hAnsi="Times New Roman"/>
              <w:highlight w:val="none"/>
            </w:rP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_Toc31827 \h </w:instrText>
          </w:r>
          <w:r>
            <w:fldChar w:fldCharType="separate"/>
          </w:r>
          <w:r>
            <w:t>- 4 -</w:t>
          </w:r>
          <w:r>
            <w:fldChar w:fldCharType="end"/>
          </w:r>
          <w:r>
            <w:rPr>
              <w:rFonts w:ascii="Times New Roman" w:hAnsi="Times New Roman"/>
              <w:color w:val="auto"/>
              <w:highlight w:val="none"/>
            </w:rPr>
            <w:fldChar w:fldCharType="end"/>
          </w:r>
        </w:p>
        <w:p w14:paraId="02D3BA32">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_Toc25441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_Toc25441 \h </w:instrText>
          </w:r>
          <w:r>
            <w:fldChar w:fldCharType="separate"/>
          </w:r>
          <w:r>
            <w:t>- 6 -</w:t>
          </w:r>
          <w:r>
            <w:fldChar w:fldCharType="end"/>
          </w:r>
          <w:r>
            <w:rPr>
              <w:rFonts w:ascii="Times New Roman" w:hAnsi="Times New Roman"/>
              <w:color w:val="auto"/>
              <w:highlight w:val="none"/>
            </w:rPr>
            <w:fldChar w:fldCharType="end"/>
          </w:r>
        </w:p>
        <w:p w14:paraId="3CB09093">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_Toc7331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_Toc7331 \h </w:instrText>
          </w:r>
          <w:r>
            <w:fldChar w:fldCharType="separate"/>
          </w:r>
          <w:r>
            <w:t>- 6 -</w:t>
          </w:r>
          <w:r>
            <w:fldChar w:fldCharType="end"/>
          </w:r>
          <w:r>
            <w:rPr>
              <w:rFonts w:ascii="Times New Roman" w:hAnsi="Times New Roman"/>
              <w:color w:val="auto"/>
              <w:highlight w:val="none"/>
            </w:rPr>
            <w:fldChar w:fldCharType="end"/>
          </w:r>
        </w:p>
        <w:p w14:paraId="7E71AE52">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_Toc3207 </w:instrText>
          </w:r>
          <w:r>
            <w:rPr>
              <w:rFonts w:ascii="Times New Roman" w:hAnsi="Times New Roman"/>
              <w:highlight w:val="none"/>
            </w:rPr>
            <w:fldChar w:fldCharType="separate"/>
          </w:r>
          <w:r>
            <w:rPr>
              <w:rFonts w:hint="eastAsia" w:ascii="Times New Roman" w:hAnsi="Times New Roman" w:eastAsia="仿宋_GB2312" w:cs="仿宋_GB2312"/>
              <w:szCs w:val="32"/>
              <w:highlight w:val="none"/>
              <w:lang w:eastAsia="zh-CN"/>
            </w:rPr>
            <w:t>2024年度收入</w:t>
          </w:r>
          <w:r>
            <w:rPr>
              <w:rFonts w:hint="eastAsia" w:ascii="Times New Roman" w:hAnsi="Times New Roman" w:eastAsia="仿宋_GB2312" w:cs="仿宋_GB2312"/>
              <w:szCs w:val="32"/>
              <w:highlight w:val="none"/>
            </w:rPr>
            <w:t>、</w:t>
          </w:r>
          <w:r>
            <w:rPr>
              <w:rFonts w:hint="eastAsia" w:ascii="Times New Roman" w:hAnsi="Times New Roman" w:eastAsia="仿宋_GB2312" w:cs="仿宋_GB2312"/>
              <w:szCs w:val="32"/>
              <w:highlight w:val="none"/>
              <w:lang w:eastAsia="zh-CN"/>
            </w:rPr>
            <w:t>支出</w:t>
          </w:r>
          <w:r>
            <w:rPr>
              <w:rFonts w:hint="eastAsia" w:ascii="Times New Roman" w:hAnsi="Times New Roman" w:eastAsia="仿宋_GB2312" w:cs="仿宋_GB2312"/>
              <w:szCs w:val="32"/>
              <w:highlight w:val="none"/>
            </w:rPr>
            <w:t>总计</w:t>
          </w:r>
          <w:r>
            <w:rPr>
              <w:rFonts w:hint="eastAsia" w:ascii="Times New Roman" w:hAnsi="Times New Roman" w:eastAsia="仿宋_GB2312" w:cs="仿宋_GB2312"/>
              <w:szCs w:val="32"/>
              <w:highlight w:val="none"/>
              <w:lang w:eastAsia="zh-CN"/>
            </w:rPr>
            <w:t>均为</w:t>
          </w:r>
          <w:r>
            <w:rPr>
              <w:rFonts w:hint="eastAsia" w:ascii="仿宋_GB2312" w:hAnsi="仿宋_GB2312" w:eastAsia="仿宋_GB2312" w:cs="仿宋_GB2312"/>
              <w:szCs w:val="32"/>
            </w:rPr>
            <w:t>4046.62</w:t>
          </w:r>
          <w:r>
            <w:rPr>
              <w:rFonts w:hint="eastAsia" w:ascii="Times New Roman" w:hAnsi="Times New Roman" w:eastAsia="仿宋_GB2312" w:cs="仿宋_GB2312"/>
              <w:szCs w:val="32"/>
              <w:highlight w:val="none"/>
            </w:rPr>
            <w:t>万元。与</w:t>
          </w:r>
          <w:r>
            <w:rPr>
              <w:rFonts w:hint="eastAsia" w:ascii="Times New Roman" w:hAnsi="Times New Roman" w:eastAsia="仿宋_GB2312" w:cs="仿宋_GB2312"/>
              <w:szCs w:val="32"/>
              <w:highlight w:val="none"/>
              <w:lang w:eastAsia="zh-CN"/>
            </w:rPr>
            <w:t>202</w:t>
          </w:r>
          <w:r>
            <w:rPr>
              <w:rFonts w:hint="eastAsia" w:ascii="Times New Roman" w:hAnsi="Times New Roman" w:eastAsia="仿宋_GB2312" w:cs="仿宋_GB2312"/>
              <w:szCs w:val="32"/>
              <w:highlight w:val="none"/>
              <w:lang w:val="en-US" w:eastAsia="zh-CN"/>
            </w:rPr>
            <w:t>3</w:t>
          </w:r>
          <w:r>
            <w:rPr>
              <w:rFonts w:hint="eastAsia" w:ascii="Times New Roman" w:hAnsi="Times New Roman" w:eastAsia="仿宋_GB2312" w:cs="仿宋_GB2312"/>
              <w:szCs w:val="32"/>
              <w:highlight w:val="none"/>
            </w:rPr>
            <w:t>年</w:t>
          </w:r>
          <w:r>
            <w:rPr>
              <w:rFonts w:hint="eastAsia" w:ascii="Times New Roman" w:hAnsi="Times New Roman" w:eastAsia="仿宋_GB2312" w:cs="仿宋_GB2312"/>
              <w:szCs w:val="32"/>
              <w:highlight w:val="none"/>
              <w:lang w:eastAsia="zh-CN"/>
            </w:rPr>
            <w:t>度</w:t>
          </w:r>
          <w:r>
            <w:rPr>
              <w:rFonts w:hint="eastAsia" w:ascii="Times New Roman" w:hAnsi="Times New Roman" w:eastAsia="仿宋_GB2312" w:cs="仿宋_GB2312"/>
              <w:szCs w:val="32"/>
              <w:highlight w:val="none"/>
            </w:rPr>
            <w:t>相比，</w:t>
          </w:r>
          <w:r>
            <w:rPr>
              <w:rFonts w:hint="eastAsia" w:ascii="Times New Roman" w:hAnsi="Times New Roman" w:eastAsia="仿宋_GB2312" w:cs="仿宋_GB2312"/>
              <w:szCs w:val="32"/>
              <w:highlight w:val="none"/>
              <w:lang w:eastAsia="zh-CN"/>
            </w:rPr>
            <w:t>收入</w:t>
          </w:r>
          <w:r>
            <w:rPr>
              <w:rFonts w:hint="eastAsia" w:ascii="Times New Roman" w:hAnsi="Times New Roman" w:eastAsia="仿宋_GB2312" w:cs="仿宋_GB2312"/>
              <w:szCs w:val="32"/>
              <w:highlight w:val="none"/>
            </w:rPr>
            <w:t>、</w:t>
          </w:r>
          <w:r>
            <w:rPr>
              <w:rFonts w:hint="eastAsia" w:ascii="Times New Roman" w:hAnsi="Times New Roman" w:eastAsia="仿宋_GB2312" w:cs="仿宋_GB2312"/>
              <w:szCs w:val="32"/>
              <w:highlight w:val="none"/>
              <w:lang w:eastAsia="zh-CN"/>
            </w:rPr>
            <w:t>支出</w:t>
          </w:r>
          <w:r>
            <w:rPr>
              <w:rFonts w:hint="eastAsia" w:ascii="Times New Roman" w:hAnsi="Times New Roman" w:eastAsia="仿宋_GB2312" w:cs="仿宋_GB2312"/>
              <w:szCs w:val="32"/>
              <w:highlight w:val="none"/>
            </w:rPr>
            <w:t>总计各减少</w:t>
          </w:r>
          <w:r>
            <w:rPr>
              <w:rFonts w:hint="eastAsia" w:eastAsia="仿宋_GB2312" w:cs="仿宋_GB2312"/>
              <w:szCs w:val="32"/>
              <w:highlight w:val="none"/>
              <w:lang w:val="en-US" w:eastAsia="zh-CN"/>
            </w:rPr>
            <w:t>6225.43</w:t>
          </w:r>
          <w:r>
            <w:rPr>
              <w:rFonts w:hint="eastAsia" w:ascii="Times New Roman" w:hAnsi="Times New Roman" w:eastAsia="仿宋_GB2312" w:cs="仿宋_GB2312"/>
              <w:szCs w:val="32"/>
              <w:highlight w:val="none"/>
            </w:rPr>
            <w:t>万元，下降</w:t>
          </w:r>
          <w:r>
            <w:rPr>
              <w:rFonts w:hint="eastAsia" w:eastAsia="仿宋_GB2312" w:cs="仿宋_GB2312"/>
              <w:szCs w:val="32"/>
              <w:highlight w:val="none"/>
              <w:lang w:val="en-US" w:eastAsia="zh-CN"/>
            </w:rPr>
            <w:t>61</w:t>
          </w:r>
          <w:r>
            <w:rPr>
              <w:rFonts w:hint="eastAsia" w:ascii="Times New Roman" w:hAnsi="Times New Roman" w:eastAsia="仿宋_GB2312" w:cs="仿宋_GB2312"/>
              <w:szCs w:val="32"/>
              <w:highlight w:val="none"/>
            </w:rPr>
            <w:t>%。主要变动原因是</w:t>
          </w:r>
          <w:r>
            <w:rPr>
              <w:rFonts w:hint="eastAsia" w:eastAsia="仿宋_GB2312" w:cs="仿宋_GB2312"/>
              <w:szCs w:val="32"/>
              <w:highlight w:val="none"/>
              <w:lang w:eastAsia="zh-CN"/>
            </w:rPr>
            <w:t>人员变动、项目资金减少，</w:t>
          </w:r>
          <w:r>
            <w:tab/>
          </w:r>
          <w:r>
            <w:fldChar w:fldCharType="begin"/>
          </w:r>
          <w:r>
            <w:instrText xml:space="preserve"> PAGEREF _Toc3207 \h </w:instrText>
          </w:r>
          <w:r>
            <w:fldChar w:fldCharType="separate"/>
          </w:r>
          <w:r>
            <w:t>- 6 -</w:t>
          </w:r>
          <w:r>
            <w:fldChar w:fldCharType="end"/>
          </w:r>
          <w:r>
            <w:rPr>
              <w:rFonts w:ascii="Times New Roman" w:hAnsi="Times New Roman"/>
              <w:color w:val="auto"/>
              <w:highlight w:val="none"/>
            </w:rPr>
            <w:fldChar w:fldCharType="end"/>
          </w:r>
        </w:p>
        <w:p w14:paraId="0976C1FA">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_Toc29969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_Toc29969 \h </w:instrText>
          </w:r>
          <w:r>
            <w:fldChar w:fldCharType="separate"/>
          </w:r>
          <w:r>
            <w:t>- 6 -</w:t>
          </w:r>
          <w:r>
            <w:fldChar w:fldCharType="end"/>
          </w:r>
          <w:r>
            <w:rPr>
              <w:rFonts w:ascii="Times New Roman" w:hAnsi="Times New Roman"/>
              <w:color w:val="auto"/>
              <w:highlight w:val="none"/>
            </w:rPr>
            <w:fldChar w:fldCharType="end"/>
          </w:r>
        </w:p>
        <w:p w14:paraId="2081EB9F">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_Toc12611 </w:instrText>
          </w:r>
          <w:r>
            <w:rPr>
              <w:rFonts w:ascii="Times New Roman" w:hAnsi="Times New Roman"/>
              <w:highlight w:val="none"/>
            </w:rPr>
            <w:fldChar w:fldCharType="separate"/>
          </w:r>
          <w:r>
            <w:rPr>
              <w:rFonts w:hint="eastAsia" w:ascii="仿宋_GB2312" w:hAnsi="仿宋_GB2312" w:eastAsia="仿宋_GB2312" w:cs="仿宋_GB2312"/>
              <w:szCs w:val="32"/>
              <w:highlight w:val="none"/>
              <w:lang w:eastAsia="zh-CN"/>
            </w:rPr>
            <w:t>2024年度本年收入合计</w:t>
          </w:r>
          <w:r>
            <w:rPr>
              <w:rFonts w:hint="eastAsia" w:ascii="仿宋_GB2312" w:hAnsi="仿宋_GB2312" w:eastAsia="仿宋_GB2312" w:cs="仿宋_GB2312"/>
              <w:szCs w:val="32"/>
            </w:rPr>
            <w:t>3661.44万元，其中：一般公共预算财政拨款收入3526.85</w:t>
          </w:r>
          <w:r>
            <w:rPr>
              <w:rFonts w:hint="eastAsia" w:ascii="仿宋_GB2312" w:hAnsi="仿宋_GB2312" w:eastAsia="仿宋_GB2312" w:cs="仿宋_GB2312"/>
              <w:szCs w:val="32"/>
              <w:highlight w:val="none"/>
              <w:lang w:eastAsia="zh-CN"/>
            </w:rPr>
            <w:t>万元，占</w:t>
          </w:r>
          <w:r>
            <w:rPr>
              <w:rFonts w:hint="eastAsia" w:ascii="仿宋_GB2312" w:hAnsi="仿宋_GB2312" w:eastAsia="仿宋_GB2312" w:cs="仿宋_GB2312"/>
              <w:szCs w:val="32"/>
            </w:rPr>
            <w:t>96.32</w:t>
          </w:r>
          <w:r>
            <w:rPr>
              <w:rFonts w:hint="eastAsia" w:ascii="仿宋_GB2312" w:hAnsi="仿宋_GB2312" w:eastAsia="仿宋_GB2312" w:cs="仿宋_GB2312"/>
              <w:szCs w:val="32"/>
              <w:highlight w:val="none"/>
              <w:lang w:eastAsia="zh-CN"/>
            </w:rPr>
            <w:t>%；政府性基金预算财政拨款收入</w:t>
          </w:r>
          <w:r>
            <w:rPr>
              <w:rFonts w:hint="eastAsia" w:ascii="仿宋_GB2312" w:hAnsi="仿宋_GB2312" w:eastAsia="仿宋_GB2312" w:cs="仿宋_GB2312"/>
              <w:szCs w:val="32"/>
            </w:rPr>
            <w:t>134.58</w:t>
          </w:r>
          <w:r>
            <w:rPr>
              <w:rFonts w:hint="eastAsia" w:ascii="仿宋_GB2312" w:hAnsi="仿宋_GB2312" w:eastAsia="仿宋_GB2312" w:cs="仿宋_GB2312"/>
              <w:szCs w:val="32"/>
              <w:highlight w:val="none"/>
              <w:lang w:eastAsia="zh-CN"/>
            </w:rPr>
            <w:t>万元，占</w:t>
          </w:r>
          <w:r>
            <w:rPr>
              <w:rFonts w:hint="eastAsia" w:ascii="仿宋_GB2312" w:hAnsi="仿宋_GB2312" w:eastAsia="仿宋_GB2312" w:cs="仿宋_GB2312"/>
              <w:szCs w:val="32"/>
            </w:rPr>
            <w:t>3.67%</w:t>
          </w:r>
          <w:r>
            <w:rPr>
              <w:rFonts w:hint="eastAsia" w:ascii="仿宋_GB2312" w:hAnsi="仿宋_GB2312" w:eastAsia="仿宋_GB2312" w:cs="仿宋_GB2312"/>
              <w:szCs w:val="32"/>
              <w:highlight w:val="none"/>
              <w:lang w:eastAsia="zh-CN"/>
            </w:rPr>
            <w:t>%。</w:t>
          </w:r>
          <w:r>
            <w:rPr>
              <w:rFonts w:hint="eastAsia" w:ascii="Times New Roman" w:hAnsi="Times New Roman" w:eastAsia="仿宋_GB2312" w:cs="仿宋_GB2312"/>
              <w:bCs/>
              <w:szCs w:val="32"/>
              <w:highlight w:val="none"/>
              <w:lang w:eastAsia="zh-CN"/>
            </w:rPr>
            <w:t>（注：仅罗列本部门涉及的收入）</w:t>
          </w:r>
          <w:r>
            <w:tab/>
          </w:r>
          <w:r>
            <w:fldChar w:fldCharType="begin"/>
          </w:r>
          <w:r>
            <w:instrText xml:space="preserve"> PAGEREF _Toc12611 \h </w:instrText>
          </w:r>
          <w:r>
            <w:fldChar w:fldCharType="separate"/>
          </w:r>
          <w:r>
            <w:t>- 6 -</w:t>
          </w:r>
          <w:r>
            <w:fldChar w:fldCharType="end"/>
          </w:r>
          <w:r>
            <w:rPr>
              <w:rFonts w:ascii="Times New Roman" w:hAnsi="Times New Roman"/>
              <w:color w:val="auto"/>
              <w:highlight w:val="none"/>
            </w:rPr>
            <w:fldChar w:fldCharType="end"/>
          </w:r>
        </w:p>
        <w:p w14:paraId="54E6AD7D">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_Toc32745 </w:instrText>
          </w:r>
          <w:r>
            <w:rPr>
              <w:rFonts w:ascii="Times New Roman" w:hAnsi="Times New Roman"/>
              <w:highlight w:val="none"/>
            </w:rP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_Toc32745 \h </w:instrText>
          </w:r>
          <w:r>
            <w:fldChar w:fldCharType="separate"/>
          </w:r>
          <w:r>
            <w:t>- 7 -</w:t>
          </w:r>
          <w:r>
            <w:fldChar w:fldCharType="end"/>
          </w:r>
          <w:r>
            <w:rPr>
              <w:rFonts w:ascii="Times New Roman" w:hAnsi="Times New Roman"/>
              <w:color w:val="auto"/>
              <w:highlight w:val="none"/>
            </w:rPr>
            <w:fldChar w:fldCharType="end"/>
          </w:r>
        </w:p>
        <w:p w14:paraId="6BA9AB08">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_Toc7219 </w:instrText>
          </w:r>
          <w:r>
            <w:rPr>
              <w:rFonts w:ascii="Times New Roman" w:hAnsi="Times New Roman"/>
              <w:highlight w:val="none"/>
            </w:rPr>
            <w:fldChar w:fldCharType="separate"/>
          </w:r>
          <w:r>
            <w:rPr>
              <w:rFonts w:hint="eastAsia" w:ascii="仿宋_GB2312" w:hAnsi="仿宋_GB2312" w:eastAsia="仿宋_GB2312" w:cs="仿宋_GB2312"/>
              <w:szCs w:val="32"/>
              <w:highlight w:val="none"/>
              <w:lang w:eastAsia="zh-CN"/>
            </w:rPr>
            <w:t>2024年度本年支出合计</w:t>
          </w:r>
          <w:r>
            <w:rPr>
              <w:rFonts w:hint="eastAsia" w:ascii="仿宋_GB2312" w:hAnsi="仿宋_GB2312" w:eastAsia="仿宋_GB2312" w:cs="仿宋_GB2312"/>
              <w:szCs w:val="32"/>
            </w:rPr>
            <w:t>4046.62</w:t>
          </w:r>
          <w:r>
            <w:rPr>
              <w:rFonts w:hint="eastAsia" w:ascii="仿宋_GB2312" w:hAnsi="仿宋_GB2312" w:eastAsia="仿宋_GB2312" w:cs="仿宋_GB2312"/>
              <w:szCs w:val="32"/>
              <w:highlight w:val="none"/>
              <w:lang w:eastAsia="zh-CN"/>
            </w:rPr>
            <w:t>万元，其中：基本支出</w:t>
          </w:r>
          <w:r>
            <w:rPr>
              <w:rFonts w:hint="eastAsia" w:ascii="仿宋_GB2312" w:hAnsi="仿宋_GB2312" w:eastAsia="仿宋_GB2312" w:cs="仿宋_GB2312"/>
              <w:szCs w:val="32"/>
            </w:rPr>
            <w:t>189.86</w:t>
          </w:r>
          <w:r>
            <w:rPr>
              <w:rFonts w:hint="eastAsia" w:ascii="仿宋_GB2312" w:hAnsi="仿宋_GB2312" w:eastAsia="仿宋_GB2312" w:cs="仿宋_GB2312"/>
              <w:szCs w:val="32"/>
              <w:highlight w:val="none"/>
              <w:lang w:eastAsia="zh-CN"/>
            </w:rPr>
            <w:t>万元，占</w:t>
          </w:r>
          <w:r>
            <w:rPr>
              <w:rFonts w:hint="eastAsia" w:ascii="仿宋_GB2312" w:hAnsi="仿宋_GB2312" w:eastAsia="仿宋_GB2312" w:cs="仿宋_GB2312"/>
              <w:szCs w:val="32"/>
            </w:rPr>
            <w:t>4.69</w:t>
          </w:r>
          <w:r>
            <w:rPr>
              <w:rFonts w:hint="eastAsia" w:ascii="仿宋_GB2312" w:hAnsi="仿宋_GB2312" w:eastAsia="仿宋_GB2312" w:cs="仿宋_GB2312"/>
              <w:szCs w:val="32"/>
              <w:highlight w:val="none"/>
              <w:lang w:eastAsia="zh-CN"/>
            </w:rPr>
            <w:t>%；项目支出</w:t>
          </w:r>
          <w:r>
            <w:rPr>
              <w:rFonts w:hint="eastAsia" w:ascii="仿宋_GB2312" w:hAnsi="仿宋_GB2312" w:eastAsia="仿宋_GB2312" w:cs="仿宋_GB2312"/>
              <w:szCs w:val="32"/>
            </w:rPr>
            <w:t>3856.75</w:t>
          </w:r>
          <w:r>
            <w:rPr>
              <w:rFonts w:hint="eastAsia" w:ascii="仿宋_GB2312" w:hAnsi="仿宋_GB2312" w:eastAsia="仿宋_GB2312" w:cs="仿宋_GB2312"/>
              <w:szCs w:val="32"/>
              <w:highlight w:val="none"/>
              <w:lang w:eastAsia="zh-CN"/>
            </w:rPr>
            <w:t>万元，占</w:t>
          </w:r>
          <w:r>
            <w:rPr>
              <w:rFonts w:hint="eastAsia" w:ascii="仿宋_GB2312" w:hAnsi="仿宋_GB2312" w:eastAsia="仿宋_GB2312" w:cs="仿宋_GB2312"/>
              <w:szCs w:val="32"/>
            </w:rPr>
            <w:t>95.3</w:t>
          </w:r>
          <w:r>
            <w:rPr>
              <w:rFonts w:hint="eastAsia" w:ascii="仿宋_GB2312" w:hAnsi="仿宋_GB2312" w:eastAsia="仿宋_GB2312" w:cs="仿宋_GB2312"/>
              <w:szCs w:val="32"/>
              <w:highlight w:val="none"/>
              <w:lang w:eastAsia="zh-CN"/>
            </w:rPr>
            <w:t>%。</w:t>
          </w:r>
          <w:r>
            <w:rPr>
              <w:rFonts w:hint="eastAsia" w:ascii="Times New Roman" w:hAnsi="Times New Roman" w:eastAsia="仿宋_GB2312" w:cs="仿宋_GB2312"/>
              <w:bCs/>
              <w:szCs w:val="32"/>
              <w:highlight w:val="none"/>
              <w:lang w:eastAsia="zh-CN"/>
            </w:rPr>
            <w:t>（注：仅罗列本部门涉及的支出）</w:t>
          </w:r>
          <w:r>
            <w:tab/>
          </w:r>
          <w:r>
            <w:fldChar w:fldCharType="begin"/>
          </w:r>
          <w:r>
            <w:instrText xml:space="preserve"> PAGEREF _Toc7219 \h </w:instrText>
          </w:r>
          <w:r>
            <w:fldChar w:fldCharType="separate"/>
          </w:r>
          <w:r>
            <w:t>- 7 -</w:t>
          </w:r>
          <w:r>
            <w:fldChar w:fldCharType="end"/>
          </w:r>
          <w:r>
            <w:rPr>
              <w:rFonts w:ascii="Times New Roman" w:hAnsi="Times New Roman"/>
              <w:color w:val="auto"/>
              <w:highlight w:val="none"/>
            </w:rPr>
            <w:fldChar w:fldCharType="end"/>
          </w:r>
        </w:p>
        <w:p w14:paraId="18E42D72">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_Toc14544 </w:instrText>
          </w:r>
          <w:r>
            <w:rPr>
              <w:rFonts w:ascii="Times New Roman" w:hAnsi="Times New Roman"/>
              <w:highlight w:val="none"/>
            </w:rP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_Toc14544 \h </w:instrText>
          </w:r>
          <w:r>
            <w:fldChar w:fldCharType="separate"/>
          </w:r>
          <w:r>
            <w:t>- 8 -</w:t>
          </w:r>
          <w:r>
            <w:fldChar w:fldCharType="end"/>
          </w:r>
          <w:r>
            <w:rPr>
              <w:rFonts w:ascii="Times New Roman" w:hAnsi="Times New Roman"/>
              <w:color w:val="auto"/>
              <w:highlight w:val="none"/>
            </w:rPr>
            <w:fldChar w:fldCharType="end"/>
          </w:r>
        </w:p>
        <w:p w14:paraId="4ABF281E">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_Toc12284 </w:instrText>
          </w:r>
          <w:r>
            <w:rPr>
              <w:rFonts w:ascii="Times New Roman" w:hAnsi="Times New Roman"/>
              <w:highlight w:val="none"/>
            </w:rPr>
            <w:fldChar w:fldCharType="separate"/>
          </w:r>
          <w:r>
            <w:rPr>
              <w:rFonts w:hint="eastAsia" w:ascii="Times New Roman" w:hAnsi="Times New Roman" w:eastAsia="仿宋_GB2312" w:cs="仿宋_GB2312"/>
              <w:kern w:val="2"/>
              <w:szCs w:val="32"/>
              <w:highlight w:val="none"/>
              <w:lang w:val="en-US" w:eastAsia="zh-CN" w:bidi="ar-SA"/>
            </w:rPr>
            <w:t>2024年度财政拨款收入、支出总计均为</w:t>
          </w:r>
          <w:r>
            <w:rPr>
              <w:rFonts w:hint="eastAsia" w:ascii="仿宋_GB2312" w:hAnsi="仿宋_GB2312" w:eastAsia="仿宋_GB2312" w:cs="仿宋_GB2312"/>
              <w:szCs w:val="32"/>
            </w:rPr>
            <w:t>4046.62</w:t>
          </w:r>
          <w:r>
            <w:rPr>
              <w:rFonts w:hint="eastAsia" w:ascii="Times New Roman" w:hAnsi="Times New Roman" w:eastAsia="仿宋_GB2312" w:cs="仿宋_GB2312"/>
              <w:kern w:val="2"/>
              <w:szCs w:val="32"/>
              <w:highlight w:val="none"/>
              <w:lang w:val="en-US" w:eastAsia="zh-CN" w:bidi="ar-SA"/>
            </w:rPr>
            <w:t>万元。与2023年度相比，财政拨款收入总计、支出总计各</w:t>
          </w:r>
          <w:r>
            <w:rPr>
              <w:rFonts w:hint="eastAsia" w:ascii="Times New Roman" w:hAnsi="Times New Roman" w:eastAsia="仿宋_GB2312" w:cs="仿宋_GB2312"/>
              <w:szCs w:val="32"/>
              <w:highlight w:val="none"/>
            </w:rPr>
            <w:t>减少</w:t>
          </w:r>
          <w:r>
            <w:rPr>
              <w:rFonts w:hint="eastAsia" w:eastAsia="仿宋_GB2312" w:cs="仿宋_GB2312"/>
              <w:szCs w:val="32"/>
              <w:highlight w:val="none"/>
              <w:lang w:val="en-US" w:eastAsia="zh-CN"/>
            </w:rPr>
            <w:t>6225.43</w:t>
          </w:r>
          <w:r>
            <w:rPr>
              <w:rFonts w:hint="eastAsia" w:ascii="Times New Roman" w:hAnsi="Times New Roman" w:eastAsia="仿宋_GB2312" w:cs="仿宋_GB2312"/>
              <w:szCs w:val="32"/>
              <w:highlight w:val="none"/>
            </w:rPr>
            <w:t>万元，下降</w:t>
          </w:r>
          <w:r>
            <w:rPr>
              <w:rFonts w:hint="eastAsia" w:eastAsia="仿宋_GB2312" w:cs="仿宋_GB2312"/>
              <w:szCs w:val="32"/>
              <w:highlight w:val="none"/>
              <w:lang w:val="en-US" w:eastAsia="zh-CN"/>
            </w:rPr>
            <w:t>61</w:t>
          </w:r>
          <w:r>
            <w:rPr>
              <w:rFonts w:hint="eastAsia" w:ascii="Times New Roman" w:hAnsi="Times New Roman" w:eastAsia="仿宋_GB2312" w:cs="仿宋_GB2312"/>
              <w:szCs w:val="32"/>
              <w:highlight w:val="none"/>
            </w:rPr>
            <w:t>%。主要变动原因是</w:t>
          </w:r>
          <w:r>
            <w:rPr>
              <w:rFonts w:hint="eastAsia" w:eastAsia="仿宋_GB2312" w:cs="仿宋_GB2312"/>
              <w:szCs w:val="32"/>
              <w:highlight w:val="none"/>
              <w:lang w:eastAsia="zh-CN"/>
            </w:rPr>
            <w:t>人员变动、项目资金减少。</w:t>
          </w:r>
          <w:r>
            <w:tab/>
          </w:r>
          <w:r>
            <w:fldChar w:fldCharType="begin"/>
          </w:r>
          <w:r>
            <w:instrText xml:space="preserve"> PAGEREF _Toc12284 \h </w:instrText>
          </w:r>
          <w:r>
            <w:fldChar w:fldCharType="separate"/>
          </w:r>
          <w:r>
            <w:t>- 8 -</w:t>
          </w:r>
          <w:r>
            <w:fldChar w:fldCharType="end"/>
          </w:r>
          <w:r>
            <w:rPr>
              <w:rFonts w:ascii="Times New Roman" w:hAnsi="Times New Roman"/>
              <w:color w:val="auto"/>
              <w:highlight w:val="none"/>
            </w:rPr>
            <w:fldChar w:fldCharType="end"/>
          </w:r>
        </w:p>
        <w:p w14:paraId="323CB985">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_Toc16159 </w:instrText>
          </w:r>
          <w:r>
            <w:rPr>
              <w:rFonts w:ascii="Times New Roman" w:hAnsi="Times New Roman"/>
              <w:highlight w:val="none"/>
            </w:rP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_Toc16159 \h </w:instrText>
          </w:r>
          <w:r>
            <w:fldChar w:fldCharType="separate"/>
          </w:r>
          <w:r>
            <w:t>- 8 -</w:t>
          </w:r>
          <w:r>
            <w:fldChar w:fldCharType="end"/>
          </w:r>
          <w:r>
            <w:rPr>
              <w:rFonts w:ascii="Times New Roman" w:hAnsi="Times New Roman"/>
              <w:color w:val="auto"/>
              <w:highlight w:val="none"/>
            </w:rPr>
            <w:fldChar w:fldCharType="end"/>
          </w:r>
        </w:p>
        <w:p w14:paraId="2E9721E1">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_Toc24753 </w:instrText>
          </w:r>
          <w:r>
            <w:rPr>
              <w:rFonts w:ascii="Times New Roman" w:hAnsi="Times New Roman"/>
              <w:highlight w:val="none"/>
            </w:rP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_Toc24753 \h </w:instrText>
          </w:r>
          <w:r>
            <w:fldChar w:fldCharType="separate"/>
          </w:r>
          <w:r>
            <w:t>- 12 -</w:t>
          </w:r>
          <w:r>
            <w:fldChar w:fldCharType="end"/>
          </w:r>
          <w:r>
            <w:rPr>
              <w:rFonts w:ascii="Times New Roman" w:hAnsi="Times New Roman"/>
              <w:color w:val="auto"/>
              <w:highlight w:val="none"/>
            </w:rPr>
            <w:fldChar w:fldCharType="end"/>
          </w:r>
        </w:p>
        <w:p w14:paraId="3487911C">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_Toc18486 </w:instrText>
          </w:r>
          <w:r>
            <w:rPr>
              <w:rFonts w:ascii="Times New Roman" w:hAnsi="Times New Roman"/>
              <w:highlight w:val="none"/>
            </w:rP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_Toc18486 \h </w:instrText>
          </w:r>
          <w:r>
            <w:fldChar w:fldCharType="separate"/>
          </w:r>
          <w:r>
            <w:t>- 13 -</w:t>
          </w:r>
          <w:r>
            <w:fldChar w:fldCharType="end"/>
          </w:r>
          <w:r>
            <w:rPr>
              <w:rFonts w:ascii="Times New Roman" w:hAnsi="Times New Roman"/>
              <w:color w:val="auto"/>
              <w:highlight w:val="none"/>
            </w:rPr>
            <w:fldChar w:fldCharType="end"/>
          </w:r>
        </w:p>
        <w:p w14:paraId="3D176181">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_Toc16743 </w:instrText>
          </w:r>
          <w:r>
            <w:rPr>
              <w:rFonts w:ascii="Times New Roman" w:hAnsi="Times New Roman"/>
              <w:highlight w:val="none"/>
            </w:rP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_Toc16743 \h </w:instrText>
          </w:r>
          <w:r>
            <w:fldChar w:fldCharType="separate"/>
          </w:r>
          <w:r>
            <w:t>- 15 -</w:t>
          </w:r>
          <w:r>
            <w:fldChar w:fldCharType="end"/>
          </w:r>
          <w:r>
            <w:rPr>
              <w:rFonts w:ascii="Times New Roman" w:hAnsi="Times New Roman"/>
              <w:color w:val="auto"/>
              <w:highlight w:val="none"/>
            </w:rPr>
            <w:fldChar w:fldCharType="end"/>
          </w:r>
        </w:p>
        <w:p w14:paraId="20BC5B13">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_Toc18753 </w:instrText>
          </w:r>
          <w:r>
            <w:rPr>
              <w:rFonts w:ascii="Times New Roman" w:hAnsi="Times New Roman"/>
              <w:highlight w:val="none"/>
            </w:rP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_Toc18753 \h </w:instrText>
          </w:r>
          <w:r>
            <w:fldChar w:fldCharType="separate"/>
          </w:r>
          <w:r>
            <w:t>- 15 -</w:t>
          </w:r>
          <w:r>
            <w:fldChar w:fldCharType="end"/>
          </w:r>
          <w:r>
            <w:rPr>
              <w:rFonts w:ascii="Times New Roman" w:hAnsi="Times New Roman"/>
              <w:color w:val="auto"/>
              <w:highlight w:val="none"/>
            </w:rPr>
            <w:fldChar w:fldCharType="end"/>
          </w:r>
        </w:p>
        <w:p w14:paraId="50CA75EE">
          <w:pPr>
            <w:pStyle w:val="14"/>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_Toc3932 </w:instrText>
          </w:r>
          <w:r>
            <w:rPr>
              <w:rFonts w:ascii="Times New Roman" w:hAnsi="Times New Roman"/>
              <w:highlight w:val="none"/>
            </w:rP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_Toc3932 \h </w:instrText>
          </w:r>
          <w:r>
            <w:fldChar w:fldCharType="separate"/>
          </w:r>
          <w:r>
            <w:t>- 15 -</w:t>
          </w:r>
          <w:r>
            <w:fldChar w:fldCharType="end"/>
          </w:r>
          <w:r>
            <w:rPr>
              <w:rFonts w:ascii="Times New Roman" w:hAnsi="Times New Roman"/>
              <w:color w:val="auto"/>
              <w:highlight w:val="none"/>
            </w:rPr>
            <w:fldChar w:fldCharType="end"/>
          </w:r>
        </w:p>
        <w:p w14:paraId="4A598052">
          <w:pPr>
            <w:pStyle w:val="12"/>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_Toc15427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_Toc15427 \h </w:instrText>
          </w:r>
          <w:r>
            <w:fldChar w:fldCharType="separate"/>
          </w:r>
          <w:r>
            <w:t>- 16 -</w:t>
          </w:r>
          <w:r>
            <w:fldChar w:fldCharType="end"/>
          </w:r>
          <w:r>
            <w:rPr>
              <w:rFonts w:ascii="Times New Roman" w:hAnsi="Times New Roman"/>
              <w:color w:val="auto"/>
              <w:highlight w:val="none"/>
            </w:rPr>
            <w:fldChar w:fldCharType="end"/>
          </w:r>
        </w:p>
        <w:p w14:paraId="55BB7169">
          <w:pPr>
            <w:rPr>
              <w:rFonts w:hint="eastAsia" w:ascii="Times New Roman" w:hAnsi="Times New Roman" w:eastAsia="方正小标宋简体" w:cs="方正小标宋简体"/>
              <w:b w:val="0"/>
              <w:color w:val="auto"/>
              <w:highlight w:val="none"/>
              <w:lang w:val="en-US" w:eastAsia="zh-CN"/>
            </w:rPr>
          </w:pPr>
          <w:r>
            <w:rPr>
              <w:rFonts w:ascii="Times New Roman" w:hAnsi="Times New Roman"/>
              <w:color w:val="auto"/>
              <w:highlight w:val="none"/>
            </w:rPr>
            <w:fldChar w:fldCharType="end"/>
          </w:r>
          <w:bookmarkStart w:id="6" w:name="_Toc15396599"/>
          <w:bookmarkStart w:id="7" w:name="_Toc15377196"/>
        </w:p>
      </w:sdtContent>
    </w:sdt>
    <w:p w14:paraId="2ED25C3C">
      <w:pPr>
        <w:pStyle w:val="2"/>
        <w:jc w:val="center"/>
        <w:rPr>
          <w:rFonts w:ascii="Times New Roman" w:hAnsi="Times New Roman" w:eastAsia="黑体"/>
          <w:color w:val="auto"/>
          <w:sz w:val="32"/>
          <w:szCs w:val="32"/>
          <w:highlight w:val="none"/>
        </w:rPr>
      </w:pPr>
      <w:bookmarkStart w:id="8" w:name="_Toc2935"/>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bookmarkEnd w:id="8"/>
    </w:p>
    <w:p w14:paraId="2389C7B1">
      <w:pPr>
        <w:pStyle w:val="3"/>
        <w:rPr>
          <w:rFonts w:hint="eastAsia" w:ascii="Times New Roman" w:hAnsi="Times New Roman" w:eastAsia="黑体"/>
          <w:b w:val="0"/>
          <w:color w:val="auto"/>
          <w:highlight w:val="none"/>
          <w:lang w:eastAsia="zh-CN"/>
        </w:rPr>
      </w:pPr>
      <w:bookmarkStart w:id="9" w:name="_Toc15377197"/>
      <w:bookmarkStart w:id="10" w:name="_Toc15396600"/>
      <w:bookmarkStart w:id="11" w:name="_Toc13791"/>
      <w:r>
        <w:rPr>
          <w:rFonts w:hint="eastAsia" w:ascii="Times New Roman" w:hAnsi="Times New Roman" w:eastAsia="黑体"/>
          <w:b w:val="0"/>
          <w:color w:val="auto"/>
          <w:highlight w:val="none"/>
        </w:rPr>
        <w:t>一、</w:t>
      </w:r>
      <w:bookmarkEnd w:id="9"/>
      <w:bookmarkEnd w:id="10"/>
      <w:r>
        <w:rPr>
          <w:rFonts w:hint="eastAsia" w:ascii="Times New Roman" w:hAnsi="Times New Roman" w:eastAsia="黑体"/>
          <w:b w:val="0"/>
          <w:color w:val="auto"/>
          <w:highlight w:val="none"/>
          <w:lang w:eastAsia="zh-CN"/>
        </w:rPr>
        <w:t>部门职责</w:t>
      </w:r>
      <w:bookmarkEnd w:id="11"/>
    </w:p>
    <w:p w14:paraId="67CFEF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贯彻执行国家、省、州住房和城乡建设的法律法规和方针、政策。研究拟定住房保障、城乡规划、工程建设、城乡建设、建筑业、房屋装饰装修业、住宅与房地产业、勘察设计咨询业、负责本系统、本部门依法行政工作，落实行政执法责任制。</w:t>
      </w:r>
    </w:p>
    <w:p w14:paraId="24F57D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2.承担推进住房制度改革、保障城镇低收入家庭住房的责任。拟订全县住房及住房保障相关政策并指导实施，指导住房建设和住房制度改革。拟订廉租住房规划及政策，会同有关部门做好国家、省、州有关廉租住房资金安排并组织实施。编制住房保障发展规划和年度计划并监督实施。</w:t>
      </w:r>
    </w:p>
    <w:p w14:paraId="6337C4E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3.承担建立全县工程建设标准体系的责任。组织实施工程建设实施阶段的国家标准、四川省统一定额和行业标准定额，组织制定工程建设的地方标准，组织制定和发布全县统一定额，拟定建设项目可行性研究评价方法、经济参数、建设标准和工程造价的管理制度，指导监督各类工程建设标准定额的实施和工程造价计价，负责收集、上报地方工程造价信息。</w:t>
      </w:r>
    </w:p>
    <w:p w14:paraId="7A51B85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 xml:space="preserve"> 4.承担规范房地产市场秩序、监督管理房地产市场的责任。会同有关部门组织拟订房地产市场监督管理政策并监督执行，提出房地产业的行业发展规划和产业政策，制定房地产开发、房屋权属管理、房屋租赁、房屋面积管理、危房鉴定、白蚁防治、房屋征收拆迁的规章制度并监督执行。</w:t>
      </w:r>
    </w:p>
    <w:p w14:paraId="4D313C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 xml:space="preserve"> 5.承担监督管理建筑市场、规范建筑市场各方主体行为的责任。指导全县建筑活动，拟订工程建设、建筑业及装饰装修业发展战略、中长期规划、改革方案、产业政策、规章制度并监督执行。配合相关部门开展房屋建筑项目招投标活动的监督。拟订建设工程施工、监理以及规范建筑市场各方主体行为的规章制度并监督执行。负责建筑工程质量安全的监督管理工作，拟订建筑工程质量、建筑安全生产和竣工验收备案的政策、规章制度并监督执行，组织或参与工程重大质量、安全事故的调查处理。</w:t>
      </w:r>
    </w:p>
    <w:p w14:paraId="732A3D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6.承担监督管理勘察设计咨询市场秩序和勘察设计咨询质量的责任。拟订工程勘察设计咨询业的战略、中长期规划、改革方案、产业和技术政策、规章制度并指导实施。指导建设工程抗震设防工作，组织编制并实施房屋建筑和市政设施抗震技术地方规范和标准图集，组织开展城镇建筑物抗震性能普查、鉴定加固和改造工作，指导村镇和农村建设抗震工作，指导和组织灾后恢复重建工作。</w:t>
      </w:r>
    </w:p>
    <w:p w14:paraId="4D17B2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7.承担指导城镇建设管理的责任。拟订城镇建设的政策、规划并指导实施，指导城镇供水、节水、排水、燃气、污水和垃圾处理等市政公用设施的建设管理，指导城镇市容环境综合治理管理工作，指导城镇防汛防洪排涝工作，指导和组织各类城镇建设试点工作，指导城镇建设档案管理工作。会同有关部门做好城市维护资金安排并监督地方组织实施。</w:t>
      </w:r>
    </w:p>
    <w:p w14:paraId="2856A8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8.承担规范和指导村镇建设的责任。拟订村庄和小城镇建设政策并指导实施，指导村镇规划编制、农村住房建设管理和危房改造，指导小城镇和村庄人居生态环境的改善工作，指导和组织各类村镇建设试点工作，指导受灾村镇及国家大型重点建设项目地区村镇迁建、重建的规划建设和管理工作。</w:t>
      </w:r>
    </w:p>
    <w:p w14:paraId="49A9938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9.承担推进建筑节能、城镇减排的责任。会同有关部门拟订建筑节能政策、规划并监督实施，推广使用散装水泥，进行新型墙体材料改</w:t>
      </w:r>
      <w:bookmarkStart w:id="81" w:name="_GoBack"/>
      <w:r>
        <w:rPr>
          <w:rFonts w:hint="eastAsia" w:ascii="仿宋_GB2312" w:hAnsi="仿宋_GB2312" w:eastAsia="仿宋_GB2312" w:cs="仿宋_GB2312"/>
          <w:i w:val="0"/>
          <w:caps w:val="0"/>
          <w:color w:val="333333"/>
          <w:spacing w:val="0"/>
          <w:kern w:val="0"/>
          <w:sz w:val="32"/>
          <w:szCs w:val="32"/>
          <w:shd w:val="clear" w:color="080000" w:fill="FFFFFF"/>
          <w:lang w:val="en-US" w:eastAsia="zh-CN"/>
        </w:rPr>
        <w:t>革和</w:t>
      </w:r>
      <w:bookmarkEnd w:id="81"/>
      <w:r>
        <w:rPr>
          <w:rFonts w:hint="eastAsia" w:ascii="仿宋_GB2312" w:hAnsi="仿宋_GB2312" w:eastAsia="仿宋_GB2312" w:cs="仿宋_GB2312"/>
          <w:i w:val="0"/>
          <w:caps w:val="0"/>
          <w:color w:val="333333"/>
          <w:spacing w:val="0"/>
          <w:kern w:val="0"/>
          <w:sz w:val="32"/>
          <w:szCs w:val="32"/>
          <w:shd w:val="clear" w:color="080000" w:fill="FFFFFF"/>
          <w:lang w:val="en-US" w:eastAsia="zh-CN"/>
        </w:rPr>
        <w:t>技术推广，组织实施重大建筑节能项目，推进城镇减排。组织实施重大科技项目成果转化工作，承担推进墙体材料革新的责任。</w:t>
      </w:r>
    </w:p>
    <w:p w14:paraId="1656664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10.制订建设行业人才培养和教育发展规划并组织实施，指导建设行业科技人才队伍建设和执业资格管理工作。指导监督全县建设行业民间组织管理工作。负责指导住房和城乡建设系统的信访工作，督查督办重大信访案件。开展住房和城乡建设方面的交流与合作。管理局机关及直属事业单位的人事、机构编制、劳动工资工作；指导行业廉政建设、社会保险、劳动标准和专业技术职称工作。</w:t>
      </w:r>
    </w:p>
    <w:p w14:paraId="4E89849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11.承担县政府公布的有关政审批事项。</w:t>
      </w:r>
    </w:p>
    <w:p w14:paraId="08B75F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lang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12.承办县政府交办的其他事项。</w:t>
      </w:r>
    </w:p>
    <w:p w14:paraId="6409B61A">
      <w:pPr>
        <w:rPr>
          <w:rFonts w:hint="eastAsia"/>
          <w:lang w:eastAsia="zh-CN"/>
        </w:rPr>
      </w:pPr>
    </w:p>
    <w:p w14:paraId="63E25AB0">
      <w:pPr>
        <w:pStyle w:val="3"/>
        <w:rPr>
          <w:rStyle w:val="29"/>
          <w:rFonts w:ascii="Times New Roman" w:hAnsi="Times New Roman"/>
          <w:b w:val="0"/>
          <w:bCs w:val="0"/>
          <w:color w:val="auto"/>
          <w:highlight w:val="none"/>
        </w:rPr>
      </w:pPr>
      <w:bookmarkStart w:id="12" w:name="_Toc31827"/>
      <w:bookmarkStart w:id="13" w:name="_Toc15377200"/>
      <w:bookmarkStart w:id="14"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2"/>
      <w:bookmarkEnd w:id="13"/>
      <w:bookmarkEnd w:id="14"/>
    </w:p>
    <w:p w14:paraId="7D37A0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i w:val="0"/>
          <w:caps w:val="0"/>
          <w:color w:val="333333"/>
          <w:spacing w:val="0"/>
          <w:kern w:val="0"/>
          <w:sz w:val="32"/>
          <w:szCs w:val="32"/>
          <w:shd w:val="clear" w:color="080000" w:fill="FFFFFF"/>
          <w:lang w:val="en-US" w:eastAsia="zh-CN"/>
        </w:rPr>
      </w:pPr>
      <w:r>
        <w:rPr>
          <w:rFonts w:hint="eastAsia" w:ascii="仿宋_GB2312" w:hAnsi="仿宋_GB2312" w:eastAsia="仿宋_GB2312" w:cs="仿宋_GB2312"/>
          <w:i w:val="0"/>
          <w:caps w:val="0"/>
          <w:color w:val="333333"/>
          <w:spacing w:val="0"/>
          <w:kern w:val="0"/>
          <w:sz w:val="32"/>
          <w:szCs w:val="32"/>
          <w:shd w:val="clear" w:color="080000" w:fill="FFFFFF"/>
          <w:lang w:val="en-US" w:eastAsia="zh-CN"/>
        </w:rPr>
        <w:t>松潘县住房和城乡建设局是行政单位，内设7个股室，下属二级单位为质量安全监督站、房地产管理所、消防中心，项目建设中心。</w:t>
      </w:r>
    </w:p>
    <w:p w14:paraId="60FA43FC">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41CDDD72">
      <w:pPr>
        <w:pStyle w:val="2"/>
        <w:jc w:val="center"/>
        <w:rPr>
          <w:rFonts w:hint="eastAsia" w:ascii="Times New Roman" w:hAnsi="Times New Roman" w:eastAsia="方正小标宋简体" w:cs="方正小标宋简体"/>
          <w:b w:val="0"/>
          <w:color w:val="auto"/>
          <w:highlight w:val="none"/>
        </w:rPr>
      </w:pPr>
      <w:bookmarkStart w:id="15" w:name="_Toc15377204"/>
      <w:bookmarkStart w:id="16" w:name="_Toc15396602"/>
      <w:bookmarkStart w:id="17" w:name="_Toc25441"/>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5"/>
      <w:bookmarkEnd w:id="16"/>
      <w:bookmarkEnd w:id="17"/>
    </w:p>
    <w:p w14:paraId="6A44BFC8">
      <w:pPr>
        <w:rPr>
          <w:rFonts w:ascii="Times New Roman" w:hAnsi="Times New Roman"/>
          <w:color w:val="auto"/>
          <w:highlight w:val="none"/>
        </w:rPr>
      </w:pPr>
    </w:p>
    <w:p w14:paraId="376E53D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7331"/>
      <w:bookmarkStart w:id="19" w:name="_Toc15377205"/>
      <w:bookmarkStart w:id="20"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8"/>
      <w:bookmarkEnd w:id="19"/>
      <w:bookmarkEnd w:id="20"/>
    </w:p>
    <w:p w14:paraId="5E5DE6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21" w:name="_Toc3207"/>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4046.62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6225.43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61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人员变动、项目资金减少，</w:t>
      </w:r>
      <w:bookmarkEnd w:id="21"/>
    </w:p>
    <w:p w14:paraId="3DA4D2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65576D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429760" cy="2172335"/>
            <wp:effectExtent l="5080" t="4445" r="15240" b="1778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CAE80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29969"/>
      <w:bookmarkStart w:id="24" w:name="_Toc15396604"/>
      <w:r>
        <w:rPr>
          <w:rFonts w:hint="eastAsia" w:ascii="Times New Roman" w:hAnsi="Times New Roman" w:eastAsia="黑体"/>
          <w:color w:val="auto"/>
          <w:sz w:val="32"/>
          <w:szCs w:val="32"/>
          <w:highlight w:val="none"/>
          <w:lang w:eastAsia="zh-CN"/>
        </w:rPr>
        <w:t>二、收入决算情况说明</w:t>
      </w:r>
      <w:bookmarkEnd w:id="22"/>
      <w:bookmarkEnd w:id="23"/>
      <w:bookmarkEnd w:id="24"/>
    </w:p>
    <w:p w14:paraId="7A53837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25" w:name="_Toc12611"/>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3661.44万元，其中：一般公共预算财政拨款收入3526.85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96.32</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134.58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3.67%</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bookmarkEnd w:id="25"/>
    </w:p>
    <w:p w14:paraId="7902D82D">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D4B73DA">
      <w:pPr>
        <w:ind w:firstLine="800" w:firstLineChars="250"/>
        <w:rPr>
          <w:rFonts w:hint="eastAsia" w:ascii="Times New Roman" w:hAnsi="Times New Roman" w:eastAsia="仿宋_GB2312" w:cs="仿宋_GB2312"/>
          <w:color w:val="auto"/>
          <w:sz w:val="32"/>
          <w:szCs w:val="32"/>
          <w:highlight w:val="none"/>
          <w:lang w:eastAsia="zh-CN"/>
        </w:rPr>
      </w:pPr>
    </w:p>
    <w:p w14:paraId="74B1C06C">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78935" cy="1996440"/>
            <wp:effectExtent l="4445" t="5080" r="7620"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5C4112">
      <w:pPr>
        <w:ind w:firstLine="800" w:firstLineChars="250"/>
        <w:rPr>
          <w:rFonts w:hint="eastAsia" w:ascii="Times New Roman" w:hAnsi="Times New Roman" w:eastAsia="仿宋_GB2312" w:cs="仿宋_GB2312"/>
          <w:color w:val="auto"/>
          <w:sz w:val="32"/>
          <w:szCs w:val="32"/>
          <w:highlight w:val="none"/>
          <w:lang w:eastAsia="zh-CN"/>
        </w:rPr>
      </w:pPr>
    </w:p>
    <w:p w14:paraId="3BE73F8B">
      <w:pPr>
        <w:ind w:firstLine="800" w:firstLineChars="250"/>
        <w:rPr>
          <w:rFonts w:hint="eastAsia" w:ascii="Times New Roman" w:hAnsi="Times New Roman" w:eastAsia="仿宋_GB2312" w:cs="仿宋_GB2312"/>
          <w:color w:val="auto"/>
          <w:sz w:val="32"/>
          <w:szCs w:val="32"/>
          <w:highlight w:val="none"/>
          <w:lang w:eastAsia="zh-CN"/>
        </w:rPr>
      </w:pPr>
    </w:p>
    <w:p w14:paraId="6CC34625">
      <w:pPr>
        <w:ind w:firstLine="800" w:firstLineChars="250"/>
        <w:rPr>
          <w:rFonts w:hint="eastAsia" w:ascii="Times New Roman" w:hAnsi="Times New Roman" w:eastAsia="仿宋_GB2312" w:cs="仿宋_GB2312"/>
          <w:color w:val="auto"/>
          <w:sz w:val="32"/>
          <w:szCs w:val="32"/>
          <w:highlight w:val="none"/>
          <w:lang w:eastAsia="zh-CN"/>
        </w:rPr>
      </w:pPr>
    </w:p>
    <w:p w14:paraId="249F53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6" w:name="_Toc15377207"/>
      <w:bookmarkStart w:id="27" w:name="_Toc32745"/>
      <w:bookmarkStart w:id="28"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6"/>
      <w:bookmarkEnd w:id="27"/>
      <w:bookmarkEnd w:id="28"/>
    </w:p>
    <w:p w14:paraId="6C2FFA1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9" w:name="_Toc7219"/>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4046.62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189.86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4.69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3856.75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95.3</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（注：仅罗列本部门涉及的支出）</w:t>
      </w:r>
      <w:bookmarkEnd w:id="29"/>
    </w:p>
    <w:p w14:paraId="141498B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343B353E">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22140" cy="2179320"/>
            <wp:effectExtent l="5080" t="4445" r="7620" b="1079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27AA71">
      <w:pPr>
        <w:ind w:firstLine="800" w:firstLineChars="250"/>
        <w:rPr>
          <w:rFonts w:hint="eastAsia" w:ascii="Times New Roman" w:hAnsi="Times New Roman" w:eastAsia="仿宋_GB2312" w:cs="仿宋_GB2312"/>
          <w:color w:val="auto"/>
          <w:sz w:val="32"/>
          <w:szCs w:val="32"/>
          <w:highlight w:val="none"/>
          <w:lang w:eastAsia="zh-CN"/>
        </w:rPr>
      </w:pPr>
    </w:p>
    <w:p w14:paraId="7FF63155">
      <w:pPr>
        <w:ind w:firstLine="800" w:firstLineChars="250"/>
        <w:rPr>
          <w:rFonts w:hint="eastAsia" w:ascii="Times New Roman" w:hAnsi="Times New Roman" w:eastAsia="仿宋_GB2312" w:cs="仿宋_GB2312"/>
          <w:color w:val="auto"/>
          <w:sz w:val="32"/>
          <w:szCs w:val="32"/>
          <w:highlight w:val="none"/>
          <w:lang w:eastAsia="zh-CN"/>
        </w:rPr>
      </w:pPr>
    </w:p>
    <w:p w14:paraId="2874F3CD">
      <w:pPr>
        <w:ind w:firstLine="800" w:firstLineChars="250"/>
        <w:rPr>
          <w:rFonts w:hint="eastAsia" w:ascii="Times New Roman" w:hAnsi="Times New Roman" w:eastAsia="仿宋_GB2312" w:cs="仿宋_GB2312"/>
          <w:color w:val="auto"/>
          <w:sz w:val="32"/>
          <w:szCs w:val="32"/>
          <w:highlight w:val="none"/>
          <w:lang w:eastAsia="zh-CN"/>
        </w:rPr>
      </w:pPr>
    </w:p>
    <w:p w14:paraId="29F1483B">
      <w:pPr>
        <w:ind w:firstLine="800" w:firstLineChars="250"/>
        <w:rPr>
          <w:rFonts w:hint="eastAsia" w:ascii="Times New Roman" w:hAnsi="Times New Roman" w:eastAsia="仿宋_GB2312" w:cs="仿宋_GB2312"/>
          <w:color w:val="auto"/>
          <w:sz w:val="32"/>
          <w:szCs w:val="32"/>
          <w:highlight w:val="none"/>
          <w:lang w:eastAsia="zh-CN"/>
        </w:rPr>
      </w:pPr>
    </w:p>
    <w:p w14:paraId="11527DA9">
      <w:pPr>
        <w:ind w:firstLine="800" w:firstLineChars="250"/>
        <w:rPr>
          <w:rFonts w:hint="eastAsia" w:ascii="Times New Roman" w:hAnsi="Times New Roman" w:eastAsia="仿宋_GB2312" w:cs="仿宋_GB2312"/>
          <w:color w:val="auto"/>
          <w:sz w:val="32"/>
          <w:szCs w:val="32"/>
          <w:highlight w:val="none"/>
          <w:lang w:eastAsia="zh-CN"/>
        </w:rPr>
      </w:pPr>
    </w:p>
    <w:p w14:paraId="286FF318">
      <w:pPr>
        <w:spacing w:line="600" w:lineRule="exact"/>
        <w:ind w:firstLine="640" w:firstLineChars="200"/>
        <w:outlineLvl w:val="1"/>
        <w:rPr>
          <w:rStyle w:val="29"/>
          <w:rFonts w:ascii="Times New Roman" w:hAnsi="Times New Roman" w:eastAsia="黑体"/>
          <w:b w:val="0"/>
          <w:color w:val="auto"/>
          <w:highlight w:val="none"/>
        </w:rPr>
      </w:pPr>
      <w:bookmarkStart w:id="30" w:name="_Toc15396606"/>
      <w:bookmarkStart w:id="31" w:name="_Toc15377208"/>
      <w:bookmarkStart w:id="32" w:name="_Toc14544"/>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0"/>
      <w:bookmarkEnd w:id="31"/>
      <w:bookmarkEnd w:id="32"/>
    </w:p>
    <w:p w14:paraId="6BE4036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bidi="ar-SA"/>
        </w:rPr>
      </w:pPr>
      <w:bookmarkStart w:id="33" w:name="_Toc12284"/>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4046.62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减少</w:t>
      </w:r>
      <w:r>
        <w:rPr>
          <w:rFonts w:hint="eastAsia" w:eastAsia="仿宋_GB2312" w:cs="仿宋_GB2312"/>
          <w:color w:val="auto"/>
          <w:sz w:val="32"/>
          <w:szCs w:val="32"/>
          <w:highlight w:val="none"/>
          <w:lang w:val="en-US" w:eastAsia="zh-CN"/>
        </w:rPr>
        <w:t>6225.43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61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人员变动、项目资金减少。</w:t>
      </w:r>
      <w:bookmarkEnd w:id="33"/>
    </w:p>
    <w:p w14:paraId="5FA0C7F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37BDE1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1" locked="0" layoutInCell="1" allowOverlap="1">
            <wp:simplePos x="0" y="0"/>
            <wp:positionH relativeFrom="column">
              <wp:posOffset>525145</wp:posOffset>
            </wp:positionH>
            <wp:positionV relativeFrom="paragraph">
              <wp:posOffset>111125</wp:posOffset>
            </wp:positionV>
            <wp:extent cx="4311015" cy="2511425"/>
            <wp:effectExtent l="4445" t="4445" r="12700" b="13970"/>
            <wp:wrapTight wrapText="bothSides">
              <wp:wrapPolygon>
                <wp:start x="-22" y="-38"/>
                <wp:lineTo x="-22" y="21458"/>
                <wp:lineTo x="21587" y="21458"/>
                <wp:lineTo x="21587" y="-38"/>
                <wp:lineTo x="-22" y="-38"/>
              </wp:wrapPolygon>
            </wp:wrapTight>
            <wp:docPr id="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FDB6C4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32A3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E70E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EB4451">
      <w:pPr>
        <w:spacing w:line="600" w:lineRule="exact"/>
        <w:ind w:firstLine="640" w:firstLineChars="200"/>
        <w:outlineLvl w:val="1"/>
        <w:rPr>
          <w:rFonts w:hint="eastAsia" w:ascii="Times New Roman" w:hAnsi="Times New Roman" w:eastAsia="黑体"/>
          <w:color w:val="auto"/>
          <w:sz w:val="32"/>
          <w:szCs w:val="32"/>
          <w:highlight w:val="none"/>
        </w:rPr>
      </w:pPr>
      <w:bookmarkStart w:id="34" w:name="_Toc15396607"/>
      <w:bookmarkStart w:id="35" w:name="_Toc15377209"/>
    </w:p>
    <w:p w14:paraId="42922BC8">
      <w:pPr>
        <w:spacing w:line="600" w:lineRule="exact"/>
        <w:ind w:firstLine="640" w:firstLineChars="200"/>
        <w:outlineLvl w:val="1"/>
        <w:rPr>
          <w:rFonts w:hint="eastAsia" w:ascii="Times New Roman" w:hAnsi="Times New Roman" w:eastAsia="黑体"/>
          <w:color w:val="auto"/>
          <w:sz w:val="32"/>
          <w:szCs w:val="32"/>
          <w:highlight w:val="none"/>
        </w:rPr>
      </w:pPr>
    </w:p>
    <w:p w14:paraId="0C1BC745">
      <w:pPr>
        <w:spacing w:line="600" w:lineRule="exact"/>
        <w:outlineLvl w:val="1"/>
        <w:rPr>
          <w:rFonts w:hint="eastAsia" w:ascii="Times New Roman" w:hAnsi="Times New Roman" w:eastAsia="黑体"/>
          <w:color w:val="auto"/>
          <w:sz w:val="32"/>
          <w:szCs w:val="32"/>
          <w:highlight w:val="none"/>
        </w:rPr>
      </w:pPr>
    </w:p>
    <w:p w14:paraId="7483F1F6">
      <w:pPr>
        <w:spacing w:line="600" w:lineRule="exact"/>
        <w:ind w:firstLine="640" w:firstLineChars="200"/>
        <w:outlineLvl w:val="1"/>
        <w:rPr>
          <w:rStyle w:val="29"/>
          <w:rFonts w:ascii="Times New Roman" w:hAnsi="Times New Roman" w:eastAsia="黑体"/>
          <w:b w:val="0"/>
          <w:color w:val="auto"/>
          <w:highlight w:val="none"/>
        </w:rPr>
      </w:pPr>
      <w:bookmarkStart w:id="36" w:name="_Toc1615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4"/>
      <w:bookmarkEnd w:id="35"/>
      <w:bookmarkEnd w:id="36"/>
    </w:p>
    <w:p w14:paraId="7D1ABD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7"/>
    </w:p>
    <w:p w14:paraId="69E6B3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3912.03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96.67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%。与2023年度相比，一般公共预算财政拨款支出减少5948.89万元，增长/下降**%。主要变动原因是2024年无存量资金，项目资金减少。</w: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62D77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410845</wp:posOffset>
            </wp:positionH>
            <wp:positionV relativeFrom="paragraph">
              <wp:posOffset>-2449195</wp:posOffset>
            </wp:positionV>
            <wp:extent cx="4513580" cy="2279015"/>
            <wp:effectExtent l="4445" t="4445" r="38735" b="48260"/>
            <wp:wrapTight wrapText="bothSides">
              <wp:wrapPolygon>
                <wp:start x="-21" y="-42"/>
                <wp:lineTo x="-21" y="21480"/>
                <wp:lineTo x="21567" y="21480"/>
                <wp:lineTo x="21567" y="-42"/>
                <wp:lineTo x="-21" y="-42"/>
              </wp:wrapPolygon>
            </wp:wrapTight>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B2D4D1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8"/>
    </w:p>
    <w:p w14:paraId="490A54D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3912.03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：教育支出</w:t>
      </w:r>
      <w:r>
        <w:rPr>
          <w:rFonts w:hint="eastAsia" w:ascii="Times New Roman" w:hAnsi="Times New Roman" w:eastAsia="仿宋_GB2312" w:cs="仿宋_GB2312"/>
          <w:color w:val="0000FF"/>
          <w:kern w:val="2"/>
          <w:sz w:val="32"/>
          <w:szCs w:val="32"/>
          <w:highlight w:val="none"/>
          <w:lang w:val="en-US" w:eastAsia="zh-CN" w:bidi="ar-SA"/>
        </w:rPr>
        <w:t>889.75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%；节能环保支出613.66万元，占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ascii="Times New Roman" w:hAnsi="Times New Roman" w:eastAsia="仿宋_GB2312" w:cs="仿宋_GB2312"/>
          <w:color w:val="0000FF"/>
          <w:kern w:val="2"/>
          <w:sz w:val="32"/>
          <w:szCs w:val="32"/>
          <w:highlight w:val="none"/>
          <w:lang w:val="en-US" w:eastAsia="zh-CN" w:bidi="ar-SA"/>
        </w:rPr>
        <w:t>103.58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28.25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%；卫生健康支出10.57万元，占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70.82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%；城乡社区支出1,326.41万元，占100%；农林水支出821.07万元，占100%；资源勘探工业信息等支出47.93万元，占100%。</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7971FB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E749B40">
      <w:pPr>
        <w:spacing w:line="600" w:lineRule="exact"/>
        <w:ind w:firstLine="640"/>
      </w:pPr>
      <w:r>
        <w:drawing>
          <wp:anchor distT="0" distB="0" distL="114300" distR="114300" simplePos="0" relativeHeight="251661312" behindDoc="0" locked="0" layoutInCell="1" allowOverlap="1">
            <wp:simplePos x="0" y="0"/>
            <wp:positionH relativeFrom="column">
              <wp:posOffset>669925</wp:posOffset>
            </wp:positionH>
            <wp:positionV relativeFrom="paragraph">
              <wp:posOffset>116840</wp:posOffset>
            </wp:positionV>
            <wp:extent cx="4354195" cy="2751455"/>
            <wp:effectExtent l="4445" t="4445" r="15240" b="17780"/>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1BA05E4">
      <w:pPr>
        <w:spacing w:line="600" w:lineRule="exact"/>
        <w:ind w:firstLine="640"/>
      </w:pPr>
    </w:p>
    <w:p w14:paraId="48080CC5">
      <w:pPr>
        <w:spacing w:line="600" w:lineRule="exact"/>
        <w:ind w:firstLine="640"/>
      </w:pPr>
    </w:p>
    <w:p w14:paraId="6EE346E9">
      <w:pPr>
        <w:spacing w:line="600" w:lineRule="exact"/>
        <w:ind w:firstLine="640"/>
      </w:pPr>
    </w:p>
    <w:p w14:paraId="188ECE65">
      <w:pPr>
        <w:spacing w:line="600" w:lineRule="exact"/>
        <w:ind w:firstLine="640"/>
      </w:pPr>
    </w:p>
    <w:p w14:paraId="498E1F7A">
      <w:pPr>
        <w:spacing w:line="600" w:lineRule="exact"/>
        <w:ind w:firstLine="640"/>
      </w:pPr>
    </w:p>
    <w:p w14:paraId="7FCBE7C6">
      <w:pPr>
        <w:spacing w:line="600" w:lineRule="exact"/>
        <w:ind w:firstLine="640"/>
      </w:pPr>
    </w:p>
    <w:p w14:paraId="088787B2">
      <w:pPr>
        <w:spacing w:line="600" w:lineRule="exact"/>
        <w:ind w:firstLine="640"/>
        <w:rPr>
          <w:rFonts w:hint="eastAsia"/>
          <w:lang w:val="en-US" w:eastAsia="zh-CN"/>
        </w:rPr>
      </w:pPr>
    </w:p>
    <w:p w14:paraId="61BAAB4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9"/>
    </w:p>
    <w:p w14:paraId="298830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0" w:name="_Toc15377444"/>
      <w:bookmarkStart w:id="41" w:name="_Toc15378460"/>
      <w:bookmarkStart w:id="42"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3912.03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40"/>
      <w:bookmarkEnd w:id="41"/>
      <w:bookmarkEnd w:id="42"/>
    </w:p>
    <w:p w14:paraId="38A980A4">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160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788D9E3">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67.7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4C70122">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3.节能环保211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385.18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BD0F0D3">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w:t>
      </w:r>
      <w:r>
        <w:rPr>
          <w:rFonts w:hint="eastAsia" w:eastAsia="仿宋_GB2312" w:cs="仿宋_GB2312"/>
          <w:color w:val="auto"/>
          <w:kern w:val="2"/>
          <w:sz w:val="32"/>
          <w:szCs w:val="32"/>
          <w:highlight w:val="none"/>
          <w:lang w:val="en-US" w:eastAsia="zh-CN" w:bidi="ar-SA"/>
        </w:rPr>
        <w:t>889.75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BA6F4E1">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66.28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28912949">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557.48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4B560484">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7.农林水213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197.31</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70438953">
      <w:pPr>
        <w:numPr>
          <w:ilvl w:val="0"/>
          <w:numId w:val="0"/>
        </w:num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8.资源勘探工业信息等支出215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47.93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135A62DA">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207</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103.58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C9A4B2B">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15.85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E3A7D30">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E025E1">
      <w:pPr>
        <w:numPr>
          <w:ilvl w:val="0"/>
          <w:numId w:val="0"/>
        </w:num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7.53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D5B4257">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3.04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A238511">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138.23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D18F630">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6ABA42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79FC32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179205E">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18.城乡社区支出212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846.27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561C49D">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19.城乡社区公共设施212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216.24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CC8D1F4">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20.城乡社区公共设施212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0CE97FF">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21.城乡社区环境卫生212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35.13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BC1B6B8">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22.住房保障221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58</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4327260">
      <w:pPr>
        <w:spacing w:line="600" w:lineRule="exact"/>
        <w:ind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23.住房保障221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12.85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26CDD0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7A6826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F530BC">
      <w:pPr>
        <w:tabs>
          <w:tab w:val="right" w:pos="8306"/>
        </w:tabs>
        <w:spacing w:line="600" w:lineRule="exact"/>
        <w:ind w:firstLine="640"/>
        <w:outlineLvl w:val="1"/>
        <w:rPr>
          <w:rStyle w:val="29"/>
          <w:rFonts w:ascii="Times New Roman" w:hAnsi="Times New Roman"/>
          <w:color w:val="auto"/>
          <w:highlight w:val="none"/>
        </w:rPr>
      </w:pPr>
      <w:bookmarkStart w:id="43" w:name="_Toc15377214"/>
      <w:bookmarkStart w:id="44" w:name="_Toc15396608"/>
      <w:bookmarkStart w:id="45" w:name="_Toc24753"/>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3"/>
      <w:bookmarkEnd w:id="44"/>
      <w:bookmarkEnd w:id="45"/>
      <w:r>
        <w:rPr>
          <w:rStyle w:val="29"/>
          <w:rFonts w:ascii="Times New Roman" w:hAnsi="Times New Roman" w:eastAsia="黑体"/>
          <w:b w:val="0"/>
          <w:color w:val="auto"/>
          <w:highlight w:val="none"/>
        </w:rPr>
        <w:tab/>
      </w:r>
    </w:p>
    <w:p w14:paraId="63585E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189.86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5CDEB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172.19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17.67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EFFF43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690D6C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B2D13B">
      <w:pPr>
        <w:spacing w:line="600" w:lineRule="exact"/>
        <w:ind w:firstLine="640"/>
        <w:outlineLvl w:val="1"/>
        <w:rPr>
          <w:rStyle w:val="29"/>
          <w:rFonts w:ascii="Times New Roman" w:hAnsi="Times New Roman" w:eastAsia="黑体"/>
          <w:b w:val="0"/>
          <w:color w:val="auto"/>
          <w:highlight w:val="none"/>
        </w:rPr>
      </w:pPr>
      <w:bookmarkStart w:id="46" w:name="_Toc15396609"/>
      <w:bookmarkStart w:id="47" w:name="_Toc15377215"/>
      <w:bookmarkStart w:id="48" w:name="_Toc18486"/>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6"/>
      <w:bookmarkEnd w:id="47"/>
      <w:bookmarkEnd w:id="48"/>
    </w:p>
    <w:p w14:paraId="0E71A02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9"/>
    </w:p>
    <w:p w14:paraId="157AC30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41.3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36.31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728</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r>
        <w:rPr>
          <w:rFonts w:hint="eastAsia" w:eastAsia="仿宋_GB2312" w:cs="仿宋_GB2312"/>
          <w:color w:val="auto"/>
          <w:kern w:val="2"/>
          <w:sz w:val="32"/>
          <w:szCs w:val="32"/>
          <w:highlight w:val="none"/>
          <w:lang w:val="en-US" w:eastAsia="zh-CN" w:bidi="ar-SA"/>
        </w:rPr>
        <w:t>2024年新产生公务用车购置费。</w:t>
      </w: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5BAB6F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50"/>
    </w:p>
    <w:p w14:paraId="0CC9533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41.3</w:t>
      </w:r>
      <w:r>
        <w:rPr>
          <w:rFonts w:hint="eastAsia" w:ascii="仿宋_GB2312" w:hAnsi="仿宋_GB2312" w:eastAsia="仿宋_GB2312" w:cs="仿宋_GB2312"/>
          <w:color w:val="auto"/>
          <w:kern w:val="2"/>
          <w:sz w:val="32"/>
          <w:szCs w:val="32"/>
          <w:highlight w:val="none"/>
          <w:lang w:val="en-US" w:eastAsia="zh-CN" w:bidi="ar-SA"/>
        </w:rPr>
        <w:t>万元，占1000%；公务接待费支出决算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039B78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38B05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266065</wp:posOffset>
            </wp:positionH>
            <wp:positionV relativeFrom="paragraph">
              <wp:posOffset>249555</wp:posOffset>
            </wp:positionV>
            <wp:extent cx="4407535" cy="2377440"/>
            <wp:effectExtent l="4445" t="4445" r="38100" b="56515"/>
            <wp:wrapTight wrapText="bothSides">
              <wp:wrapPolygon>
                <wp:start x="-22" y="-40"/>
                <wp:lineTo x="-22" y="21560"/>
                <wp:lineTo x="21563" y="21560"/>
                <wp:lineTo x="21563" y="-40"/>
                <wp:lineTo x="-22" y="-40"/>
              </wp:wrapPolygon>
            </wp:wrapTight>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ECF66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5D1D3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64BD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BBD5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E9A9E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p>
    <w:p w14:paraId="675813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开支内容包括：（团组名称、出访地点、取得成效等）</w:t>
      </w:r>
    </w:p>
    <w:p w14:paraId="04C1E24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41.3万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增加36.31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728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2024年新产生公务用车购置费。</w:t>
      </w:r>
    </w:p>
    <w:p w14:paraId="51C857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38.4</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38.4</w:t>
      </w:r>
      <w:r>
        <w:rPr>
          <w:rFonts w:hint="eastAsia" w:ascii="Times New Roman" w:hAnsi="Times New Roman" w:eastAsia="仿宋_GB2312" w:cs="仿宋_GB2312"/>
          <w:color w:val="auto"/>
          <w:kern w:val="2"/>
          <w:sz w:val="32"/>
          <w:szCs w:val="32"/>
          <w:highlight w:val="none"/>
          <w:lang w:val="en-US" w:eastAsia="zh-CN" w:bidi="ar-SA"/>
        </w:rPr>
        <w:t>万元，载客汽车**辆、金额**万元，主要用于……。截至2024年12月31日，单位共有公务用车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EBFDB9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建设工地建设情况、工程质量安全检查，相关业务出差，公务用车过路费</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584FEA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%。主要原因是……。其中：</w:t>
      </w:r>
    </w:p>
    <w:p w14:paraId="270E73B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执行公务、开展业务活动开支的交通费、住宿费、用餐费等</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万元，具体内容包括：……（接待具体项目、金额）。</w:t>
      </w:r>
    </w:p>
    <w:p w14:paraId="138552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万元，主要用于……（具体项目）。外事接待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人次（不包括陪同人员），共计支出**万</w:t>
      </w:r>
      <w:r>
        <w:rPr>
          <w:rFonts w:hint="eastAsia" w:ascii="Times New Roman" w:hAnsi="Times New Roman" w:eastAsia="仿宋_GB2312" w:cs="仿宋_GB2312"/>
          <w:color w:val="auto"/>
          <w:kern w:val="2"/>
          <w:sz w:val="32"/>
          <w:szCs w:val="32"/>
          <w:highlight w:val="none"/>
          <w:lang w:val="en-US" w:eastAsia="zh-CN" w:bidi="ar-SA"/>
        </w:rPr>
        <w:t>元。</w:t>
      </w:r>
    </w:p>
    <w:p w14:paraId="498B49D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1" w:name="_Toc15396610"/>
      <w:bookmarkStart w:id="52" w:name="_Toc15377218"/>
    </w:p>
    <w:p w14:paraId="3AB6A6D7">
      <w:pPr>
        <w:spacing w:line="600" w:lineRule="exact"/>
        <w:ind w:firstLine="640"/>
        <w:outlineLvl w:val="1"/>
        <w:rPr>
          <w:rStyle w:val="29"/>
          <w:rFonts w:ascii="Times New Roman" w:hAnsi="Times New Roman" w:eastAsia="黑体"/>
          <w:color w:val="auto"/>
          <w:highlight w:val="none"/>
        </w:rPr>
      </w:pPr>
      <w:bookmarkStart w:id="53" w:name="_Toc16743"/>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51"/>
      <w:bookmarkEnd w:id="52"/>
      <w:bookmarkEnd w:id="53"/>
    </w:p>
    <w:p w14:paraId="3C7644B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134.58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276.55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基金类项目支出减少。</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01A476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BF81154">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54" w:name="_Toc15377219"/>
      <w:bookmarkStart w:id="55" w:name="_Toc18753"/>
      <w:bookmarkStart w:id="56"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54"/>
      <w:bookmarkEnd w:id="55"/>
      <w:bookmarkEnd w:id="56"/>
    </w:p>
    <w:p w14:paraId="3DD3BA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42F55A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8D8E8C">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7" w:name="_Toc3932"/>
      <w:bookmarkStart w:id="58" w:name="_Toc15377221"/>
      <w:bookmarkStart w:id="5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7"/>
      <w:bookmarkEnd w:id="58"/>
      <w:bookmarkEnd w:id="59"/>
    </w:p>
    <w:p w14:paraId="5817F5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0" w:name="_Toc15377222"/>
      <w:r>
        <w:rPr>
          <w:rFonts w:hint="eastAsia" w:ascii="Times New Roman" w:hAnsi="Times New Roman" w:eastAsia="楷体_GB2312" w:cs="楷体_GB2312"/>
          <w:b/>
          <w:color w:val="auto"/>
          <w:sz w:val="32"/>
          <w:szCs w:val="32"/>
          <w:highlight w:val="none"/>
        </w:rPr>
        <w:t>（一）机关运行经费支出情况</w:t>
      </w:r>
      <w:bookmarkEnd w:id="60"/>
    </w:p>
    <w:p w14:paraId="34E5A1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松潘县住房和城乡建设局本级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17.67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0.76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人员减少，厉行节约。</w:t>
      </w:r>
    </w:p>
    <w:p w14:paraId="7548844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15377223"/>
      <w:r>
        <w:rPr>
          <w:rFonts w:hint="eastAsia" w:ascii="Times New Roman" w:hAnsi="Times New Roman" w:eastAsia="楷体_GB2312" w:cs="楷体_GB2312"/>
          <w:b/>
          <w:color w:val="auto"/>
          <w:sz w:val="32"/>
          <w:szCs w:val="32"/>
          <w:highlight w:val="none"/>
        </w:rPr>
        <w:t>（二）政府采购支出情况</w:t>
      </w:r>
      <w:bookmarkEnd w:id="61"/>
    </w:p>
    <w:p w14:paraId="0965B24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松潘县住房和城乡建设局本级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万元。主要用于工程建设工程项目的二类费用。授予中小企业合同金额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464A46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A9A224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2" w:name="_Toc15377224"/>
      <w:r>
        <w:rPr>
          <w:rFonts w:hint="eastAsia" w:ascii="Times New Roman" w:hAnsi="Times New Roman" w:eastAsia="楷体_GB2312" w:cs="楷体_GB2312"/>
          <w:b/>
          <w:color w:val="auto"/>
          <w:sz w:val="32"/>
          <w:szCs w:val="32"/>
          <w:highlight w:val="none"/>
        </w:rPr>
        <w:t>（三）国有资产占有使用情况</w:t>
      </w:r>
      <w:bookmarkEnd w:id="62"/>
    </w:p>
    <w:p w14:paraId="415161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松潘县住房和城乡建设局本级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6</w:t>
      </w:r>
      <w:r>
        <w:rPr>
          <w:rFonts w:hint="eastAsia" w:ascii="仿宋_GB2312" w:hAnsi="仿宋_GB2312" w:eastAsia="仿宋_GB2312" w:cs="仿宋_GB2312"/>
          <w:color w:val="auto"/>
          <w:kern w:val="2"/>
          <w:sz w:val="32"/>
          <w:szCs w:val="32"/>
          <w:highlight w:val="none"/>
          <w:lang w:val="en-US" w:eastAsia="zh-CN" w:bidi="ar-SA"/>
        </w:rPr>
        <w:t>辆，其他用车主要用于</w:t>
      </w:r>
      <w:r>
        <w:rPr>
          <w:rFonts w:hint="eastAsia" w:eastAsia="仿宋_GB2312" w:cs="仿宋_GB2312"/>
          <w:color w:val="auto"/>
          <w:kern w:val="2"/>
          <w:sz w:val="32"/>
          <w:szCs w:val="32"/>
          <w:highlight w:val="none"/>
          <w:lang w:val="en-US" w:eastAsia="zh-CN" w:bidi="ar-SA"/>
        </w:rPr>
        <w:t>建设工地建设情况、工程质量安全检查，相关业务出差</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1DC61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33002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26478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根据预算绩效管理要求，在2024年度预算编制阶段，组织对</w:t>
      </w:r>
      <w:r>
        <w:rPr>
          <w:rFonts w:hint="eastAsia" w:eastAsia="仿宋_GB2312" w:cs="仿宋_GB2312"/>
          <w:color w:val="auto"/>
          <w:kern w:val="2"/>
          <w:sz w:val="32"/>
          <w:szCs w:val="32"/>
          <w:highlight w:val="none"/>
          <w:lang w:val="en-US" w:eastAsia="zh-CN" w:bidi="ar-SA"/>
        </w:rPr>
        <w:t>松潘县川主寺镇推进乡村建设重点基础设施项目、松潘县川主寺镇进安镇自来水厂管网更新改造项目</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w:t>
      </w:r>
      <w:r>
        <w:rPr>
          <w:rFonts w:hint="eastAsia" w:eastAsia="仿宋_GB2312" w:cs="仿宋_GB2312"/>
          <w:color w:val="auto"/>
          <w:kern w:val="2"/>
          <w:sz w:val="32"/>
          <w:szCs w:val="32"/>
          <w:highlight w:val="none"/>
          <w:lang w:val="en-US" w:eastAsia="zh-CN" w:bidi="ar-SA"/>
        </w:rPr>
        <w:t>取一</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9F17A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520FB1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3" w:name="_Toc15427"/>
      <w:bookmarkStart w:id="64" w:name="_Toc15377225"/>
      <w:bookmarkStart w:id="6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3"/>
      <w:bookmarkEnd w:id="64"/>
      <w:bookmarkEnd w:id="65"/>
    </w:p>
    <w:p w14:paraId="5B8AEE67">
      <w:pPr>
        <w:spacing w:line="600" w:lineRule="exact"/>
        <w:jc w:val="left"/>
        <w:rPr>
          <w:rFonts w:ascii="Times New Roman" w:hAnsi="Times New Roman"/>
          <w:b/>
          <w:color w:val="auto"/>
          <w:sz w:val="44"/>
          <w:szCs w:val="44"/>
          <w:highlight w:val="none"/>
        </w:rPr>
      </w:pPr>
    </w:p>
    <w:p w14:paraId="6274C1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CE60A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217E8B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5E3E8C5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40EC95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7445FF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2E8090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0C5B9E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940F34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w:t>
      </w:r>
      <w:r>
        <w:rPr>
          <w:rFonts w:hint="eastAsia" w:eastAsia="仿宋_GB2312" w:cs="仿宋_GB2312"/>
          <w:color w:val="auto"/>
          <w:kern w:val="2"/>
          <w:sz w:val="32"/>
          <w:szCs w:val="32"/>
          <w:highlight w:val="none"/>
          <w:lang w:val="en-US" w:eastAsia="zh-CN" w:bidi="ar-SA"/>
        </w:rPr>
        <w:t>205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反映各部门举办的小学教育支出。政府各部门对社会组织等举办的小学的资助，如捐赠、补贴等，也在科目中反映。</w:t>
      </w:r>
    </w:p>
    <w:p w14:paraId="3CFA4F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10.文化旅游体育与传媒</w:t>
      </w:r>
      <w:r>
        <w:rPr>
          <w:rFonts w:hint="eastAsia" w:eastAsia="仿宋_GB2312" w:cs="仿宋_GB2312"/>
          <w:color w:val="auto"/>
          <w:kern w:val="2"/>
          <w:sz w:val="32"/>
          <w:szCs w:val="32"/>
          <w:highlight w:val="none"/>
          <w:lang w:val="en-US" w:eastAsia="zh-CN" w:bidi="ar-SA"/>
        </w:rPr>
        <w:t>207</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反映除上述项目以外其他用于文化旅游体育与传媒方面的支出。</w:t>
      </w:r>
    </w:p>
    <w:p w14:paraId="65D9C9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11.社会保障和就业</w:t>
      </w:r>
      <w:r>
        <w:rPr>
          <w:rFonts w:hint="eastAsia" w:eastAsia="仿宋_GB2312" w:cs="仿宋_GB2312"/>
          <w:color w:val="auto"/>
          <w:kern w:val="2"/>
          <w:sz w:val="32"/>
          <w:szCs w:val="32"/>
          <w:highlight w:val="none"/>
          <w:lang w:val="en-US" w:eastAsia="zh-CN" w:bidi="ar-SA"/>
        </w:rPr>
        <w:t>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反映机关事业单位实施养老保险制度由单位缴纳的基本养老保险费支出。</w:t>
      </w:r>
    </w:p>
    <w:p w14:paraId="0E5287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12.208</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反映机关事业单位实施养老保险制度由单位实际缴纳的职业年金支出（含职业年金补记支出）。</w:t>
      </w:r>
    </w:p>
    <w:p w14:paraId="7B522E54">
      <w:pPr>
        <w:numPr>
          <w:ilvl w:val="0"/>
          <w:numId w:val="0"/>
        </w:num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13.卫生健康</w:t>
      </w:r>
      <w:r>
        <w:rPr>
          <w:rFonts w:hint="eastAsia" w:eastAsia="仿宋_GB2312" w:cs="仿宋_GB2312"/>
          <w:color w:val="auto"/>
          <w:kern w:val="2"/>
          <w:sz w:val="32"/>
          <w:szCs w:val="32"/>
          <w:highlight w:val="none"/>
          <w:lang w:val="en-US" w:eastAsia="zh-CN" w:bidi="ar-SA"/>
        </w:rPr>
        <w:t>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反映财政部门安排的行政单位（包括实行公务员管理的事业单位，下同）基本医疗保险缴费经费，未参加医疗保险的行政单位的公费医疗经费，按国家规定享受离休人员、红军老战士待遇人员的医疗经费。</w:t>
      </w:r>
    </w:p>
    <w:p w14:paraId="274EE938">
      <w:pPr>
        <w:numPr>
          <w:ilvl w:val="0"/>
          <w:numId w:val="0"/>
        </w:numPr>
        <w:spacing w:line="600" w:lineRule="exact"/>
        <w:ind w:firstLine="640" w:firstLineChars="20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 xml:space="preserve"> 14.210</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反映财政部门安排的公务员医疗补助经费。</w:t>
      </w:r>
    </w:p>
    <w:p w14:paraId="0FF3C9A0">
      <w:pPr>
        <w:numPr>
          <w:ilvl w:val="0"/>
          <w:numId w:val="0"/>
        </w:numPr>
        <w:spacing w:line="600" w:lineRule="exact"/>
        <w:ind w:left="840" w:leftChars="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15.节能环保</w:t>
      </w:r>
      <w:r>
        <w:rPr>
          <w:rFonts w:hint="eastAsia" w:eastAsia="仿宋_GB2312" w:cs="仿宋_GB2312"/>
          <w:color w:val="auto"/>
          <w:kern w:val="2"/>
          <w:sz w:val="32"/>
          <w:szCs w:val="32"/>
          <w:highlight w:val="none"/>
          <w:lang w:val="en-US" w:eastAsia="zh-CN" w:bidi="ar-SA"/>
        </w:rPr>
        <w:t>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反映政府在排水、污水处理、水污染防治、湖库生态环境保护、水源地保护、国土江河综合整治、河流治理与保护、地下水修复与保护等方面的支出。</w:t>
      </w:r>
    </w:p>
    <w:p w14:paraId="152AE105">
      <w:pPr>
        <w:numPr>
          <w:ilvl w:val="0"/>
          <w:numId w:val="0"/>
        </w:numPr>
        <w:spacing w:line="600" w:lineRule="exact"/>
        <w:ind w:leftChars="200"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反映用于生态功能区、生态示范区、生态省（市、县）管理及能力建设、日常管护、宣教、试点示范等支出，生态修复支出，资源开发生态监管支出，生态护林员的劳务报酬等支出。</w:t>
      </w:r>
    </w:p>
    <w:p w14:paraId="7D804284">
      <w:pPr>
        <w:numPr>
          <w:ilvl w:val="0"/>
          <w:numId w:val="0"/>
        </w:numPr>
        <w:spacing w:line="600" w:lineRule="exact"/>
        <w:ind w:leftChars="200" w:firstLine="320" w:firstLineChars="10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17.211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r>
        <w:rPr>
          <w:rFonts w:hint="eastAsia" w:eastAsia="仿宋_GB2312" w:cs="仿宋_GB2312"/>
          <w:color w:val="auto"/>
          <w:kern w:val="2"/>
          <w:sz w:val="32"/>
          <w:szCs w:val="32"/>
          <w:highlight w:val="none"/>
          <w:lang w:val="en-US" w:eastAsia="zh-CN" w:bidi="ar-SA"/>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14:paraId="44B0253C">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w:t>
      </w:r>
      <w:r>
        <w:rPr>
          <w:rFonts w:hint="eastAsia" w:eastAsia="仿宋_GB2312" w:cs="仿宋_GB2312"/>
          <w:color w:val="auto"/>
          <w:kern w:val="2"/>
          <w:sz w:val="32"/>
          <w:szCs w:val="32"/>
          <w:highlight w:val="none"/>
          <w:lang w:val="en-US" w:eastAsia="zh-CN" w:bidi="ar-SA"/>
        </w:rPr>
        <w:t>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反映行政单位（包括实行公务员管理的事业单位）的基本支出。</w:t>
      </w:r>
    </w:p>
    <w:p w14:paraId="0F6496EC">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反映行政单位（包括实行公务员管理的事业单位）未单独设置项级科目的其他项目支出。</w:t>
      </w:r>
    </w:p>
    <w:p w14:paraId="6F78D71E">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06</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反映调控建设市场运行、拟定建设市场法规、实施建筑工程质量、安全、工程勘察设计监管等方面的支出。</w:t>
      </w:r>
    </w:p>
    <w:p w14:paraId="5A064C18">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21.212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反映调控房地产市场运行、研究拟定城镇住房制度改革法规、对住房公积金和其他房改资金进行政策指导并监督使用等方面的支出。</w:t>
      </w:r>
    </w:p>
    <w:p w14:paraId="7CD1D81E">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22.212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反映除上述项目以外其他用于城乡社区管理事务方面的支出。</w:t>
      </w:r>
    </w:p>
    <w:p w14:paraId="6DD2444F">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反映用于小城镇路、气、水、电等基础建设方面的支出。</w:t>
      </w:r>
    </w:p>
    <w:p w14:paraId="37EF32A6">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反映除上述项目以外其他用于城乡社区公共设施方面的支出。</w:t>
      </w:r>
    </w:p>
    <w:p w14:paraId="21894746">
      <w:pPr>
        <w:numPr>
          <w:ilvl w:val="0"/>
          <w:numId w:val="0"/>
        </w:num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25.212</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反映城乡社区道路清扫、垃圾清运与处理、公厕建设与维护、园林绿化等方面的支出。</w:t>
      </w:r>
    </w:p>
    <w:p w14:paraId="66DA2851">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26.农林水</w:t>
      </w:r>
      <w:r>
        <w:rPr>
          <w:rFonts w:hint="eastAsia" w:eastAsia="仿宋_GB2312" w:cs="仿宋_GB2312"/>
          <w:color w:val="auto"/>
          <w:kern w:val="2"/>
          <w:sz w:val="32"/>
          <w:szCs w:val="32"/>
          <w:highlight w:val="none"/>
          <w:lang w:val="en-US" w:eastAsia="zh-CN" w:bidi="ar-SA"/>
        </w:rPr>
        <w:t>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04</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反映用于农村欠发达地区发展种植业、养殖业、畜牧业、农副产品加工、林果地建设等生产发展项目以及相关技术推广等方面的项目支出。</w:t>
      </w:r>
    </w:p>
    <w:p w14:paraId="34034A52">
      <w:pPr>
        <w:numPr>
          <w:ilvl w:val="0"/>
          <w:numId w:val="0"/>
        </w:num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27.213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反映除上述项目以外其他用于巩固拓展脱贫攻坚成果同乡村振兴有效衔接方面的支出。</w:t>
      </w:r>
    </w:p>
    <w:p w14:paraId="6D729F6D">
      <w:pPr>
        <w:numPr>
          <w:ilvl w:val="0"/>
          <w:numId w:val="0"/>
        </w:numPr>
        <w:spacing w:line="600" w:lineRule="exact"/>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28.213</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07</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 xml:space="preserve">反映农村综合改革方面的支出。 </w:t>
      </w:r>
    </w:p>
    <w:p w14:paraId="6DD0652F">
      <w:pPr>
        <w:spacing w:line="600" w:lineRule="exact"/>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28.资源勘探工业信息等</w:t>
      </w:r>
      <w:r>
        <w:rPr>
          <w:rFonts w:hint="eastAsia" w:eastAsia="仿宋_GB2312" w:cs="仿宋_GB2312"/>
          <w:color w:val="auto"/>
          <w:kern w:val="2"/>
          <w:sz w:val="32"/>
          <w:szCs w:val="32"/>
          <w:highlight w:val="none"/>
          <w:lang w:val="en-US" w:eastAsia="zh-CN" w:bidi="ar-SA"/>
        </w:rPr>
        <w:t>215</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03</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反映除上述项目以外其他用于建筑业方面的支出。</w:t>
      </w:r>
    </w:p>
    <w:p w14:paraId="5C903378">
      <w:pPr>
        <w:spacing w:line="600" w:lineRule="exact"/>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29.住房保障</w:t>
      </w:r>
      <w:r>
        <w:rPr>
          <w:rFonts w:hint="eastAsia" w:eastAsia="仿宋_GB2312" w:cs="仿宋_GB2312"/>
          <w:color w:val="auto"/>
          <w:kern w:val="2"/>
          <w:sz w:val="32"/>
          <w:szCs w:val="32"/>
          <w:highlight w:val="none"/>
          <w:lang w:val="en-US" w:eastAsia="zh-CN" w:bidi="ar-SA"/>
        </w:rPr>
        <w:t>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反映用于农村危房改造方面的支出。</w:t>
      </w:r>
    </w:p>
    <w:p w14:paraId="4B29BDAB">
      <w:pPr>
        <w:spacing w:line="600" w:lineRule="exact"/>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30.221</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（款）</w:t>
      </w:r>
      <w:r>
        <w:rPr>
          <w:rFonts w:hint="eastAsia" w:eastAsia="仿宋_GB2312" w:cs="仿宋_GB2312"/>
          <w:color w:val="auto"/>
          <w:kern w:val="2"/>
          <w:sz w:val="32"/>
          <w:szCs w:val="32"/>
          <w:highlight w:val="none"/>
          <w:lang w:val="en-US" w:eastAsia="zh-CN" w:bidi="ar-SA"/>
        </w:rPr>
        <w:t>01</w:t>
      </w:r>
      <w:r>
        <w:rPr>
          <w:rFonts w:hint="eastAsia" w:ascii="Times New Roman" w:hAnsi="Times New Roman" w:eastAsia="仿宋_GB2312" w:cs="仿宋_GB2312"/>
          <w:color w:val="auto"/>
          <w:kern w:val="2"/>
          <w:sz w:val="32"/>
          <w:szCs w:val="32"/>
          <w:highlight w:val="none"/>
          <w:lang w:val="en-US" w:eastAsia="zh-CN" w:bidi="ar-SA"/>
        </w:rPr>
        <w:t>（项）：指</w:t>
      </w:r>
      <w:r>
        <w:rPr>
          <w:rFonts w:hint="eastAsia" w:eastAsia="仿宋_GB2312" w:cs="仿宋_GB2312"/>
          <w:color w:val="auto"/>
          <w:kern w:val="2"/>
          <w:sz w:val="32"/>
          <w:szCs w:val="32"/>
          <w:highlight w:val="none"/>
          <w:lang w:val="en-US" w:eastAsia="zh-CN" w:bidi="ar-SA"/>
        </w:rPr>
        <w:t>反映行政事业单位按人力资源和社会保障部、财政部规定的基本工资和津贴补贴以及规定比例为职工缴纳的住房公积金。</w:t>
      </w:r>
    </w:p>
    <w:p w14:paraId="2F8101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1A377D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2ED9A1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762EA3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54F7CF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80CD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CD66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33CEB60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14F734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6" w:name="_Toc15377226"/>
      <w:r>
        <w:rPr>
          <w:rFonts w:hint="eastAsia" w:ascii="Times New Roman" w:hAnsi="Times New Roman" w:eastAsia="仿宋_GB2312" w:cs="仿宋_GB2312"/>
          <w:color w:val="auto"/>
          <w:kern w:val="2"/>
          <w:sz w:val="32"/>
          <w:szCs w:val="32"/>
          <w:highlight w:val="none"/>
          <w:lang w:val="en-US" w:eastAsia="zh-CN" w:bidi="ar-SA"/>
        </w:rPr>
        <w:br w:type="page"/>
      </w:r>
    </w:p>
    <w:p w14:paraId="672BBD8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5C7466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2590BE8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7"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07FF5197">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eastAsia="黑体"/>
          <w:b w:val="0"/>
          <w:color w:val="auto"/>
          <w:highlight w:val="none"/>
          <w:lang w:eastAsia="zh-CN"/>
        </w:rPr>
        <w:t>四</w:t>
      </w:r>
      <w:r>
        <w:rPr>
          <w:rStyle w:val="28"/>
          <w:rFonts w:hint="eastAsia" w:ascii="Times New Roman" w:hAnsi="Times New Roman" w:eastAsia="黑体"/>
          <w:b w:val="0"/>
          <w:color w:val="auto"/>
          <w:highlight w:val="none"/>
        </w:rPr>
        <w:t>部分 附表</w:t>
      </w:r>
      <w:bookmarkEnd w:id="66"/>
      <w:bookmarkEnd w:id="67"/>
      <w:bookmarkStart w:id="68" w:name="_Toc15396619"/>
    </w:p>
    <w:p w14:paraId="2D7673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3722C4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8"/>
    </w:p>
    <w:p w14:paraId="72DA8EA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0"/>
      <w:r>
        <w:rPr>
          <w:rFonts w:hint="eastAsia" w:ascii="Times New Roman" w:hAnsi="Times New Roman" w:eastAsia="仿宋_GB2312" w:cs="仿宋_GB2312"/>
          <w:color w:val="auto"/>
          <w:sz w:val="32"/>
          <w:szCs w:val="32"/>
          <w:highlight w:val="none"/>
        </w:rPr>
        <w:t>二、收入决算表</w:t>
      </w:r>
      <w:bookmarkEnd w:id="69"/>
    </w:p>
    <w:p w14:paraId="39620F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1"/>
      <w:r>
        <w:rPr>
          <w:rFonts w:hint="eastAsia" w:ascii="Times New Roman" w:hAnsi="Times New Roman" w:eastAsia="仿宋_GB2312" w:cs="仿宋_GB2312"/>
          <w:color w:val="auto"/>
          <w:sz w:val="32"/>
          <w:szCs w:val="32"/>
          <w:highlight w:val="none"/>
        </w:rPr>
        <w:t>三、支出决算表</w:t>
      </w:r>
      <w:bookmarkEnd w:id="70"/>
    </w:p>
    <w:p w14:paraId="5FD9167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2"/>
      <w:r>
        <w:rPr>
          <w:rFonts w:hint="eastAsia" w:ascii="Times New Roman" w:hAnsi="Times New Roman" w:eastAsia="仿宋_GB2312" w:cs="仿宋_GB2312"/>
          <w:color w:val="auto"/>
          <w:sz w:val="32"/>
          <w:szCs w:val="32"/>
          <w:highlight w:val="none"/>
        </w:rPr>
        <w:t>四、财政拨款收入支出决算总表</w:t>
      </w:r>
      <w:bookmarkEnd w:id="71"/>
    </w:p>
    <w:p w14:paraId="294E3AE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2"/>
      <w:bookmarkStart w:id="73" w:name="_Toc15396624"/>
    </w:p>
    <w:p w14:paraId="55D5C1A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3"/>
    </w:p>
    <w:p w14:paraId="0B46EC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5"/>
      <w:r>
        <w:rPr>
          <w:rFonts w:hint="eastAsia" w:ascii="Times New Roman" w:hAnsi="Times New Roman" w:eastAsia="仿宋_GB2312" w:cs="仿宋_GB2312"/>
          <w:color w:val="auto"/>
          <w:sz w:val="32"/>
          <w:szCs w:val="32"/>
          <w:highlight w:val="none"/>
        </w:rPr>
        <w:t>七、一般公共预算财政拨款支出决算明细表</w:t>
      </w:r>
      <w:bookmarkEnd w:id="74"/>
    </w:p>
    <w:p w14:paraId="018E3E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6"/>
      <w:r>
        <w:rPr>
          <w:rFonts w:hint="eastAsia" w:ascii="Times New Roman" w:hAnsi="Times New Roman" w:eastAsia="仿宋_GB2312" w:cs="仿宋_GB2312"/>
          <w:color w:val="auto"/>
          <w:sz w:val="32"/>
          <w:szCs w:val="32"/>
          <w:highlight w:val="none"/>
        </w:rPr>
        <w:t>八、一般公共预算财政拨款基本支出决算表</w:t>
      </w:r>
      <w:bookmarkEnd w:id="75"/>
    </w:p>
    <w:p w14:paraId="008553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7"/>
      <w:r>
        <w:rPr>
          <w:rFonts w:hint="eastAsia" w:ascii="Times New Roman" w:hAnsi="Times New Roman" w:eastAsia="仿宋_GB2312" w:cs="仿宋_GB2312"/>
          <w:color w:val="auto"/>
          <w:sz w:val="32"/>
          <w:szCs w:val="32"/>
          <w:highlight w:val="none"/>
        </w:rPr>
        <w:t>九、一般公共预算财政拨款项目支出决算表</w:t>
      </w:r>
      <w:bookmarkEnd w:id="76"/>
    </w:p>
    <w:p w14:paraId="4E97DB7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8"/>
      <w:r>
        <w:rPr>
          <w:rFonts w:hint="eastAsia" w:ascii="Times New Roman" w:hAnsi="Times New Roman" w:eastAsia="仿宋_GB2312" w:cs="仿宋_GB2312"/>
          <w:color w:val="auto"/>
          <w:sz w:val="32"/>
          <w:szCs w:val="32"/>
          <w:highlight w:val="none"/>
        </w:rPr>
        <w:t>十、</w:t>
      </w:r>
      <w:bookmarkEnd w:id="77"/>
      <w:r>
        <w:rPr>
          <w:rFonts w:hint="eastAsia" w:ascii="Times New Roman" w:hAnsi="Times New Roman" w:eastAsia="仿宋_GB2312" w:cs="仿宋_GB2312"/>
          <w:color w:val="auto"/>
          <w:sz w:val="32"/>
          <w:szCs w:val="32"/>
          <w:highlight w:val="none"/>
        </w:rPr>
        <w:t>政府性基金预算财政拨款收入支出决算表</w:t>
      </w:r>
    </w:p>
    <w:p w14:paraId="5C4520D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9"/>
      <w:r>
        <w:rPr>
          <w:rFonts w:hint="eastAsia" w:ascii="Times New Roman" w:hAnsi="Times New Roman" w:eastAsia="仿宋_GB2312" w:cs="仿宋_GB2312"/>
          <w:color w:val="auto"/>
          <w:sz w:val="32"/>
          <w:szCs w:val="32"/>
          <w:highlight w:val="none"/>
        </w:rPr>
        <w:t>十一、</w:t>
      </w:r>
      <w:bookmarkEnd w:id="7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E37389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30"/>
      <w:r>
        <w:rPr>
          <w:rFonts w:hint="eastAsia" w:ascii="Times New Roman" w:hAnsi="Times New Roman" w:eastAsia="仿宋_GB2312" w:cs="仿宋_GB2312"/>
          <w:color w:val="auto"/>
          <w:sz w:val="32"/>
          <w:szCs w:val="32"/>
          <w:highlight w:val="none"/>
        </w:rPr>
        <w:t>十二、</w:t>
      </w:r>
      <w:bookmarkEnd w:id="79"/>
      <w:r>
        <w:rPr>
          <w:rFonts w:hint="eastAsia" w:ascii="Times New Roman" w:hAnsi="Times New Roman" w:eastAsia="仿宋_GB2312" w:cs="仿宋_GB2312"/>
          <w:color w:val="auto"/>
          <w:sz w:val="32"/>
          <w:szCs w:val="32"/>
          <w:highlight w:val="none"/>
          <w:lang w:eastAsia="zh-CN"/>
        </w:rPr>
        <w:t>国有资本经营预算财政拨款支出决算表</w:t>
      </w:r>
    </w:p>
    <w:p w14:paraId="2F43D0E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0" w:name="_Toc15396631"/>
      <w:r>
        <w:rPr>
          <w:rFonts w:hint="eastAsia" w:ascii="Times New Roman" w:hAnsi="Times New Roman" w:eastAsia="仿宋_GB2312" w:cs="仿宋_GB2312"/>
          <w:color w:val="auto"/>
          <w:sz w:val="32"/>
          <w:szCs w:val="32"/>
          <w:highlight w:val="none"/>
        </w:rPr>
        <w:t>十三、</w:t>
      </w:r>
      <w:bookmarkEnd w:id="80"/>
      <w:r>
        <w:rPr>
          <w:rFonts w:hint="eastAsia" w:ascii="Times New Roman" w:hAnsi="Times New Roman" w:eastAsia="仿宋_GB2312" w:cs="仿宋_GB2312"/>
          <w:color w:val="auto"/>
          <w:sz w:val="32"/>
          <w:szCs w:val="32"/>
          <w:highlight w:val="none"/>
          <w:lang w:eastAsia="zh-CN"/>
        </w:rPr>
        <w:t>财政拨款“三公”经费支出决算表</w:t>
      </w:r>
    </w:p>
    <w:p w14:paraId="3E652700">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33E79-205D-4A38-A654-536BCB37ED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2209BE7-F5E2-4469-AE69-E8DEC5CA691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EEF7241-DB2F-4941-A836-8786F0A08086}"/>
  </w:font>
  <w:font w:name="仿宋">
    <w:panose1 w:val="02010609060101010101"/>
    <w:charset w:val="86"/>
    <w:family w:val="modern"/>
    <w:pitch w:val="default"/>
    <w:sig w:usb0="800002BF" w:usb1="38CF7CFA" w:usb2="00000016" w:usb3="00000000" w:csb0="00040001" w:csb1="00000000"/>
    <w:embedRegular r:id="rId4" w:fontKey="{7CA75CDD-04D2-4BF1-BB7D-DC2C97097FE2}"/>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1AC07BF4-45D5-4708-A0A4-5CFE5962C04A}"/>
  </w:font>
  <w:font w:name="楷体_GB2312">
    <w:panose1 w:val="02010609030101010101"/>
    <w:charset w:val="86"/>
    <w:family w:val="auto"/>
    <w:pitch w:val="default"/>
    <w:sig w:usb0="00000001" w:usb1="080E0000" w:usb2="00000000" w:usb3="00000000" w:csb0="00040000" w:csb1="00000000"/>
    <w:embedRegular r:id="rId6" w:fontKey="{4E990F43-51F6-4423-836A-1DD4AF765C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05A4F">
    <w:pPr>
      <w:pStyle w:val="10"/>
      <w:jc w:val="center"/>
    </w:pPr>
  </w:p>
  <w:p w14:paraId="2268E01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72E8E">
    <w:pPr>
      <w:pStyle w:val="10"/>
      <w:jc w:val="center"/>
    </w:pPr>
  </w:p>
  <w:p w14:paraId="1AF6F23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856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ECA0">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0CE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06786"/>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31B9"/>
    <w:rsid w:val="00F45853"/>
    <w:rsid w:val="00F602DF"/>
    <w:rsid w:val="00F754A1"/>
    <w:rsid w:val="00F81FD9"/>
    <w:rsid w:val="00F841AA"/>
    <w:rsid w:val="00F84A94"/>
    <w:rsid w:val="00F87E96"/>
    <w:rsid w:val="00FA23E8"/>
    <w:rsid w:val="00FD3CC1"/>
    <w:rsid w:val="00FF1E02"/>
    <w:rsid w:val="00FF30B4"/>
    <w:rsid w:val="012A5EC2"/>
    <w:rsid w:val="015975B8"/>
    <w:rsid w:val="02D259AA"/>
    <w:rsid w:val="02FEBE30"/>
    <w:rsid w:val="03AF1619"/>
    <w:rsid w:val="03E219EE"/>
    <w:rsid w:val="04351B1E"/>
    <w:rsid w:val="04916F1E"/>
    <w:rsid w:val="055406CA"/>
    <w:rsid w:val="05BC50F9"/>
    <w:rsid w:val="06141C07"/>
    <w:rsid w:val="06147E59"/>
    <w:rsid w:val="06194570"/>
    <w:rsid w:val="061E35DE"/>
    <w:rsid w:val="0624009C"/>
    <w:rsid w:val="066E0107"/>
    <w:rsid w:val="07996F6E"/>
    <w:rsid w:val="07DFD8BA"/>
    <w:rsid w:val="090331ED"/>
    <w:rsid w:val="09867E8F"/>
    <w:rsid w:val="0A2032A3"/>
    <w:rsid w:val="0A5F6638"/>
    <w:rsid w:val="0BC47C2C"/>
    <w:rsid w:val="0CA8290A"/>
    <w:rsid w:val="0CF10C4B"/>
    <w:rsid w:val="0D35B1ED"/>
    <w:rsid w:val="0DA87805"/>
    <w:rsid w:val="0DC9777B"/>
    <w:rsid w:val="0DDF6FD0"/>
    <w:rsid w:val="0E254B6B"/>
    <w:rsid w:val="0F98263C"/>
    <w:rsid w:val="0FCE72CB"/>
    <w:rsid w:val="101860EC"/>
    <w:rsid w:val="101F47CC"/>
    <w:rsid w:val="10C055FF"/>
    <w:rsid w:val="11694EBD"/>
    <w:rsid w:val="11772AA4"/>
    <w:rsid w:val="118107EC"/>
    <w:rsid w:val="12E24EE2"/>
    <w:rsid w:val="13203999"/>
    <w:rsid w:val="13A46379"/>
    <w:rsid w:val="13D50BC4"/>
    <w:rsid w:val="143F42F3"/>
    <w:rsid w:val="14B17F78"/>
    <w:rsid w:val="15B3530E"/>
    <w:rsid w:val="15DE5D55"/>
    <w:rsid w:val="165E0673"/>
    <w:rsid w:val="16AE13DE"/>
    <w:rsid w:val="16B72867"/>
    <w:rsid w:val="16B831D5"/>
    <w:rsid w:val="16BB723D"/>
    <w:rsid w:val="17E50567"/>
    <w:rsid w:val="186504BB"/>
    <w:rsid w:val="189310B2"/>
    <w:rsid w:val="18C9062F"/>
    <w:rsid w:val="196640D0"/>
    <w:rsid w:val="19A445FC"/>
    <w:rsid w:val="1B666609"/>
    <w:rsid w:val="1B99253B"/>
    <w:rsid w:val="1BE8440E"/>
    <w:rsid w:val="1CA24147"/>
    <w:rsid w:val="1D155CEE"/>
    <w:rsid w:val="1D1638FE"/>
    <w:rsid w:val="1DF75C3F"/>
    <w:rsid w:val="1E012619"/>
    <w:rsid w:val="1E312DEB"/>
    <w:rsid w:val="1E740ACF"/>
    <w:rsid w:val="1F95570F"/>
    <w:rsid w:val="1FF35744"/>
    <w:rsid w:val="1FF6BC77"/>
    <w:rsid w:val="20646707"/>
    <w:rsid w:val="216435EB"/>
    <w:rsid w:val="2186353C"/>
    <w:rsid w:val="21C1459A"/>
    <w:rsid w:val="221E19EC"/>
    <w:rsid w:val="22721D38"/>
    <w:rsid w:val="2378512C"/>
    <w:rsid w:val="23860B96"/>
    <w:rsid w:val="240371BF"/>
    <w:rsid w:val="244F3473"/>
    <w:rsid w:val="24C97D99"/>
    <w:rsid w:val="25854CC1"/>
    <w:rsid w:val="25A718F0"/>
    <w:rsid w:val="25BB59F6"/>
    <w:rsid w:val="260F557C"/>
    <w:rsid w:val="2650413E"/>
    <w:rsid w:val="26970054"/>
    <w:rsid w:val="26C12C8A"/>
    <w:rsid w:val="27D172E0"/>
    <w:rsid w:val="281408E2"/>
    <w:rsid w:val="290C4C94"/>
    <w:rsid w:val="29B76B70"/>
    <w:rsid w:val="29E21551"/>
    <w:rsid w:val="29F23CC0"/>
    <w:rsid w:val="29FD04D3"/>
    <w:rsid w:val="2AE35581"/>
    <w:rsid w:val="2B1243C4"/>
    <w:rsid w:val="2B2D2CA0"/>
    <w:rsid w:val="2BB1567F"/>
    <w:rsid w:val="2BFF7BC6"/>
    <w:rsid w:val="2C0F23A5"/>
    <w:rsid w:val="2C8A61B5"/>
    <w:rsid w:val="2D8E211C"/>
    <w:rsid w:val="2DD83397"/>
    <w:rsid w:val="2DF04E50"/>
    <w:rsid w:val="2E586DFA"/>
    <w:rsid w:val="2F040D46"/>
    <w:rsid w:val="2F6B035B"/>
    <w:rsid w:val="2FAE5751"/>
    <w:rsid w:val="2FB1A395"/>
    <w:rsid w:val="2FD9A7D8"/>
    <w:rsid w:val="2FDBF714"/>
    <w:rsid w:val="30AB6865"/>
    <w:rsid w:val="30B005FB"/>
    <w:rsid w:val="31703ED9"/>
    <w:rsid w:val="319F7F4E"/>
    <w:rsid w:val="32290665"/>
    <w:rsid w:val="32BD1EF1"/>
    <w:rsid w:val="3304709D"/>
    <w:rsid w:val="33A773CB"/>
    <w:rsid w:val="33E45AA4"/>
    <w:rsid w:val="34000F51"/>
    <w:rsid w:val="342509B8"/>
    <w:rsid w:val="349D6851"/>
    <w:rsid w:val="34FB5BBD"/>
    <w:rsid w:val="35646107"/>
    <w:rsid w:val="36AA5135"/>
    <w:rsid w:val="36BE0DA7"/>
    <w:rsid w:val="376B6AA6"/>
    <w:rsid w:val="376D39B2"/>
    <w:rsid w:val="37E16F03"/>
    <w:rsid w:val="37F53A3B"/>
    <w:rsid w:val="389B6C89"/>
    <w:rsid w:val="38D469F0"/>
    <w:rsid w:val="393671C3"/>
    <w:rsid w:val="396024C0"/>
    <w:rsid w:val="39627CCD"/>
    <w:rsid w:val="397BAF1F"/>
    <w:rsid w:val="39F71049"/>
    <w:rsid w:val="3AB79AF3"/>
    <w:rsid w:val="3AE834C0"/>
    <w:rsid w:val="3B7EF35A"/>
    <w:rsid w:val="3B7F4E52"/>
    <w:rsid w:val="3B9FDB6C"/>
    <w:rsid w:val="3BF5BC2F"/>
    <w:rsid w:val="3C033CD5"/>
    <w:rsid w:val="3CEBA265"/>
    <w:rsid w:val="3D98207C"/>
    <w:rsid w:val="3DEE7CF3"/>
    <w:rsid w:val="3E740A63"/>
    <w:rsid w:val="3E78745D"/>
    <w:rsid w:val="3ED25BE0"/>
    <w:rsid w:val="3EE17838"/>
    <w:rsid w:val="3F375A43"/>
    <w:rsid w:val="3F55381A"/>
    <w:rsid w:val="3F760C61"/>
    <w:rsid w:val="3F7F7599"/>
    <w:rsid w:val="3FF4CAE0"/>
    <w:rsid w:val="3FF7B227"/>
    <w:rsid w:val="40460634"/>
    <w:rsid w:val="41202C33"/>
    <w:rsid w:val="419D0727"/>
    <w:rsid w:val="419E1DAA"/>
    <w:rsid w:val="43A930E0"/>
    <w:rsid w:val="44E268DA"/>
    <w:rsid w:val="44F7014F"/>
    <w:rsid w:val="450D13D7"/>
    <w:rsid w:val="45506656"/>
    <w:rsid w:val="472745EF"/>
    <w:rsid w:val="48677399"/>
    <w:rsid w:val="486A6C7A"/>
    <w:rsid w:val="48897310"/>
    <w:rsid w:val="48CD1FDB"/>
    <w:rsid w:val="49557B3A"/>
    <w:rsid w:val="499109DF"/>
    <w:rsid w:val="4A627F82"/>
    <w:rsid w:val="4B0E749A"/>
    <w:rsid w:val="4B2477C4"/>
    <w:rsid w:val="4B4F25DA"/>
    <w:rsid w:val="4BE068DB"/>
    <w:rsid w:val="4C5E6D05"/>
    <w:rsid w:val="4D0F7FFF"/>
    <w:rsid w:val="4D577224"/>
    <w:rsid w:val="4DAD3AA0"/>
    <w:rsid w:val="4DBF1CEB"/>
    <w:rsid w:val="4DF0007C"/>
    <w:rsid w:val="4DF01BDF"/>
    <w:rsid w:val="4E4B5067"/>
    <w:rsid w:val="4E7B1C7A"/>
    <w:rsid w:val="4EAB630A"/>
    <w:rsid w:val="4ECE2238"/>
    <w:rsid w:val="4F610FE6"/>
    <w:rsid w:val="4F833267"/>
    <w:rsid w:val="4FE9BD67"/>
    <w:rsid w:val="4FFB052F"/>
    <w:rsid w:val="501A73E7"/>
    <w:rsid w:val="503126AC"/>
    <w:rsid w:val="511D2CEB"/>
    <w:rsid w:val="512A18AC"/>
    <w:rsid w:val="513D338D"/>
    <w:rsid w:val="51646B6C"/>
    <w:rsid w:val="537E6D0A"/>
    <w:rsid w:val="53F74C96"/>
    <w:rsid w:val="55170BA8"/>
    <w:rsid w:val="552F7491"/>
    <w:rsid w:val="553218C9"/>
    <w:rsid w:val="55C0251B"/>
    <w:rsid w:val="567E1AA5"/>
    <w:rsid w:val="569A3030"/>
    <w:rsid w:val="56E47B74"/>
    <w:rsid w:val="57175D52"/>
    <w:rsid w:val="57BD3DD4"/>
    <w:rsid w:val="58C46142"/>
    <w:rsid w:val="5A4412E8"/>
    <w:rsid w:val="5AF92295"/>
    <w:rsid w:val="5B070568"/>
    <w:rsid w:val="5B250254"/>
    <w:rsid w:val="5B424169"/>
    <w:rsid w:val="5B4A41AC"/>
    <w:rsid w:val="5B5639C9"/>
    <w:rsid w:val="5BDD79E6"/>
    <w:rsid w:val="5BF561CA"/>
    <w:rsid w:val="5BFF5DFC"/>
    <w:rsid w:val="5CD71FC4"/>
    <w:rsid w:val="5D1F11B5"/>
    <w:rsid w:val="5D695134"/>
    <w:rsid w:val="5DAE1B18"/>
    <w:rsid w:val="5DBB5D65"/>
    <w:rsid w:val="5DE7D9E5"/>
    <w:rsid w:val="5E066D96"/>
    <w:rsid w:val="5E0F7E5F"/>
    <w:rsid w:val="5E311551"/>
    <w:rsid w:val="5E9D36BD"/>
    <w:rsid w:val="5ECEC941"/>
    <w:rsid w:val="5EE058DB"/>
    <w:rsid w:val="5F5A7800"/>
    <w:rsid w:val="5FBF9FF3"/>
    <w:rsid w:val="5FCD4E2C"/>
    <w:rsid w:val="5FEF394A"/>
    <w:rsid w:val="5FF67715"/>
    <w:rsid w:val="62683FE2"/>
    <w:rsid w:val="62BF3928"/>
    <w:rsid w:val="62EC69C1"/>
    <w:rsid w:val="63B3701E"/>
    <w:rsid w:val="63D27965"/>
    <w:rsid w:val="647F5392"/>
    <w:rsid w:val="649E2EA6"/>
    <w:rsid w:val="64C00105"/>
    <w:rsid w:val="64F47DAF"/>
    <w:rsid w:val="64FE478A"/>
    <w:rsid w:val="65E66580"/>
    <w:rsid w:val="664B1D71"/>
    <w:rsid w:val="664B4E8E"/>
    <w:rsid w:val="66A355E9"/>
    <w:rsid w:val="66AF21DF"/>
    <w:rsid w:val="67277B67"/>
    <w:rsid w:val="67A7735B"/>
    <w:rsid w:val="67AA3209"/>
    <w:rsid w:val="67DA1302"/>
    <w:rsid w:val="67F65BEC"/>
    <w:rsid w:val="68152516"/>
    <w:rsid w:val="695928D6"/>
    <w:rsid w:val="698D0931"/>
    <w:rsid w:val="69E403F2"/>
    <w:rsid w:val="6A7FE5F3"/>
    <w:rsid w:val="6B053271"/>
    <w:rsid w:val="6B3804DD"/>
    <w:rsid w:val="6BDD78B3"/>
    <w:rsid w:val="6C2471CC"/>
    <w:rsid w:val="6C2527E2"/>
    <w:rsid w:val="6C2C7E2E"/>
    <w:rsid w:val="6C4A05C8"/>
    <w:rsid w:val="6C8742B8"/>
    <w:rsid w:val="6CF43042"/>
    <w:rsid w:val="6D4B0788"/>
    <w:rsid w:val="6DBF5E93"/>
    <w:rsid w:val="6DC9559E"/>
    <w:rsid w:val="6DFF077E"/>
    <w:rsid w:val="6E714EF0"/>
    <w:rsid w:val="6E7E3605"/>
    <w:rsid w:val="6E7FDCC7"/>
    <w:rsid w:val="6EB04502"/>
    <w:rsid w:val="6ED6A62E"/>
    <w:rsid w:val="6EE00B15"/>
    <w:rsid w:val="6F6FB3EB"/>
    <w:rsid w:val="6F8731EA"/>
    <w:rsid w:val="6FCE6052"/>
    <w:rsid w:val="6FD57C00"/>
    <w:rsid w:val="6FEFFFD8"/>
    <w:rsid w:val="6FF5CC65"/>
    <w:rsid w:val="6FFB47EC"/>
    <w:rsid w:val="6FFF034A"/>
    <w:rsid w:val="700D5B4F"/>
    <w:rsid w:val="70484440"/>
    <w:rsid w:val="712A28F1"/>
    <w:rsid w:val="715C0E4B"/>
    <w:rsid w:val="71992E7C"/>
    <w:rsid w:val="71C31235"/>
    <w:rsid w:val="72115DD1"/>
    <w:rsid w:val="72233669"/>
    <w:rsid w:val="72451C4A"/>
    <w:rsid w:val="72734D90"/>
    <w:rsid w:val="73160E6D"/>
    <w:rsid w:val="7332FE48"/>
    <w:rsid w:val="73AB61DA"/>
    <w:rsid w:val="73AD73D5"/>
    <w:rsid w:val="73B6EB34"/>
    <w:rsid w:val="73FA497D"/>
    <w:rsid w:val="744731E5"/>
    <w:rsid w:val="74BBD01D"/>
    <w:rsid w:val="74ED5379"/>
    <w:rsid w:val="74F17146"/>
    <w:rsid w:val="75DEEEC2"/>
    <w:rsid w:val="75E32345"/>
    <w:rsid w:val="76C26ECB"/>
    <w:rsid w:val="76E3355F"/>
    <w:rsid w:val="76FF5125"/>
    <w:rsid w:val="77044E51"/>
    <w:rsid w:val="775F37AE"/>
    <w:rsid w:val="776F6FFA"/>
    <w:rsid w:val="778769C8"/>
    <w:rsid w:val="77A75DCA"/>
    <w:rsid w:val="77DC22F5"/>
    <w:rsid w:val="783E271A"/>
    <w:rsid w:val="78540E39"/>
    <w:rsid w:val="78616DE9"/>
    <w:rsid w:val="78DD2BDC"/>
    <w:rsid w:val="78E875D7"/>
    <w:rsid w:val="79086DAD"/>
    <w:rsid w:val="79D7FD79"/>
    <w:rsid w:val="79EE5BA4"/>
    <w:rsid w:val="7A49604F"/>
    <w:rsid w:val="7A894339"/>
    <w:rsid w:val="7AB23BF5"/>
    <w:rsid w:val="7AC83418"/>
    <w:rsid w:val="7AD284E8"/>
    <w:rsid w:val="7AFF7572"/>
    <w:rsid w:val="7B6C7DFB"/>
    <w:rsid w:val="7BBFBED0"/>
    <w:rsid w:val="7BC3E394"/>
    <w:rsid w:val="7C1F3737"/>
    <w:rsid w:val="7C705B15"/>
    <w:rsid w:val="7CBFC87B"/>
    <w:rsid w:val="7CFE0F48"/>
    <w:rsid w:val="7D1663F4"/>
    <w:rsid w:val="7D1E4121"/>
    <w:rsid w:val="7D272ABC"/>
    <w:rsid w:val="7D7EC23E"/>
    <w:rsid w:val="7D7F5947"/>
    <w:rsid w:val="7E8ADEBF"/>
    <w:rsid w:val="7EB048EF"/>
    <w:rsid w:val="7EB62184"/>
    <w:rsid w:val="7ED4682F"/>
    <w:rsid w:val="7EEF11D3"/>
    <w:rsid w:val="7EFE4840"/>
    <w:rsid w:val="7F025CEB"/>
    <w:rsid w:val="7F0971A6"/>
    <w:rsid w:val="7F1D62E7"/>
    <w:rsid w:val="7F3F679B"/>
    <w:rsid w:val="7F4FC4EF"/>
    <w:rsid w:val="7F563851"/>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9992;&#25143;&#30446;&#24405;\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9992;&#25143;&#30446;&#24405;\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9992;&#25143;&#30446;&#24405;\Desktop\&#26032;&#24314;%20XLSX%20&#24037;&#20316;&#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9992;&#25143;&#30446;&#24405;\Desktop\&#26032;&#24314;%20XLSX%20&#24037;&#20316;&#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9992;&#25143;&#30446;&#24405;\Desktop\&#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9992;&#25143;&#30446;&#24405;\Desktop\&#26032;&#24314;%20XLSX%20&#24037;&#20316;&#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9992;&#25143;&#30446;&#24405;\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'[新建 XLSX 工作表.xlsx]Sheet1'!$M$2</c:f>
              <c:strCache>
                <c:ptCount val="1"/>
                <c:pt idx="0">
                  <c:v>2024年</c:v>
                </c:pt>
              </c:strCache>
            </c:strRef>
          </c:tx>
          <c:spPr>
            <a:solidFill>
              <a:schemeClr val="accent1"/>
            </a:solidFill>
            <a:ln>
              <a:noFill/>
            </a:ln>
            <a:effectLst/>
          </c:spPr>
          <c:invertIfNegative val="0"/>
          <c:dLbls>
            <c:delete val="1"/>
          </c:dLbls>
          <c:cat>
            <c:strRef>
              <c:f>'[新建 XLSX 工作表.xlsx]Sheet1'!$N$1:$O$1</c:f>
              <c:strCache>
                <c:ptCount val="2"/>
                <c:pt idx="0">
                  <c:v>收入</c:v>
                </c:pt>
                <c:pt idx="1">
                  <c:v>支出</c:v>
                </c:pt>
              </c:strCache>
            </c:strRef>
          </c:cat>
          <c:val>
            <c:numRef>
              <c:f>'[新建 XLSX 工作表.xlsx]Sheet1'!$N$2:$O$2</c:f>
              <c:numCache>
                <c:formatCode>General</c:formatCode>
                <c:ptCount val="2"/>
                <c:pt idx="0">
                  <c:v>4046.62</c:v>
                </c:pt>
                <c:pt idx="1">
                  <c:v>4046.62</c:v>
                </c:pt>
              </c:numCache>
            </c:numRef>
          </c:val>
        </c:ser>
        <c:ser>
          <c:idx val="1"/>
          <c:order val="1"/>
          <c:tx>
            <c:strRef>
              <c:f>'[新建 XLSX 工作表.xlsx]Sheet1'!$M$3</c:f>
              <c:strCache>
                <c:ptCount val="1"/>
                <c:pt idx="0">
                  <c:v>2023年</c:v>
                </c:pt>
              </c:strCache>
            </c:strRef>
          </c:tx>
          <c:spPr>
            <a:solidFill>
              <a:schemeClr val="accent2"/>
            </a:solidFill>
            <a:ln>
              <a:noFill/>
            </a:ln>
            <a:effectLst/>
          </c:spPr>
          <c:invertIfNegative val="0"/>
          <c:dLbls>
            <c:delete val="1"/>
          </c:dLbls>
          <c:cat>
            <c:strRef>
              <c:f>'[新建 XLSX 工作表.xlsx]Sheet1'!$N$1:$O$1</c:f>
              <c:strCache>
                <c:ptCount val="2"/>
                <c:pt idx="0">
                  <c:v>收入</c:v>
                </c:pt>
                <c:pt idx="1">
                  <c:v>支出</c:v>
                </c:pt>
              </c:strCache>
            </c:strRef>
          </c:cat>
          <c:val>
            <c:numRef>
              <c:f>'[新建 XLSX 工作表.xlsx]Sheet1'!$N$3:$O$3</c:f>
              <c:numCache>
                <c:formatCode>#,##0.00</c:formatCode>
                <c:ptCount val="2"/>
                <c:pt idx="0">
                  <c:v>10272.05</c:v>
                </c:pt>
                <c:pt idx="1">
                  <c:v>10272.05</c:v>
                </c:pt>
              </c:numCache>
            </c:numRef>
          </c:val>
        </c:ser>
        <c:dLbls>
          <c:showLegendKey val="0"/>
          <c:showVal val="0"/>
          <c:showCatName val="0"/>
          <c:showSerName val="0"/>
          <c:showPercent val="0"/>
          <c:showBubbleSize val="0"/>
        </c:dLbls>
        <c:gapWidth val="246"/>
        <c:overlap val="-28"/>
        <c:axId val="45568173"/>
        <c:axId val="480069238"/>
      </c:barChart>
      <c:catAx>
        <c:axId val="45568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069238"/>
        <c:crosses val="autoZero"/>
        <c:auto val="1"/>
        <c:lblAlgn val="ctr"/>
        <c:lblOffset val="100"/>
        <c:noMultiLvlLbl val="0"/>
      </c:catAx>
      <c:valAx>
        <c:axId val="4800692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681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79d4163-ca99-462f-9dc6-6190778f129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工作表.xlsx]Sheet1'!$L$22</c:f>
              <c:strCache>
                <c:ptCount val="1"/>
                <c:pt idx="0">
                  <c:v>2024年（万元）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工作表.xlsx]Sheet1'!$K$23:$K$24</c:f>
              <c:strCache>
                <c:ptCount val="2"/>
                <c:pt idx="0">
                  <c:v>一般公共预算财政拨款收入</c:v>
                </c:pt>
                <c:pt idx="1">
                  <c:v>政府性基金预算财政拨款收入</c:v>
                </c:pt>
              </c:strCache>
            </c:strRef>
          </c:cat>
          <c:val>
            <c:numRef>
              <c:f>'[新建 XLSX 工作表.xlsx]Sheet1'!$L$23:$L$24</c:f>
              <c:numCache>
                <c:formatCode>General</c:formatCode>
                <c:ptCount val="2"/>
                <c:pt idx="0">
                  <c:v>3526.85</c:v>
                </c:pt>
                <c:pt idx="1">
                  <c:v>134.58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e54d520-d592-4d6d-a12c-b71496a182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工作表.xlsx]Sheet1'!$B$36</c:f>
              <c:strCache>
                <c:ptCount val="1"/>
                <c:pt idx="0">
                  <c:v>2024年（万元）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工作表.xlsx]Sheet1'!$A$37:$A$38</c:f>
              <c:strCache>
                <c:ptCount val="2"/>
                <c:pt idx="0">
                  <c:v>基本支出</c:v>
                </c:pt>
                <c:pt idx="1">
                  <c:v>项目支出</c:v>
                </c:pt>
              </c:strCache>
            </c:strRef>
          </c:cat>
          <c:val>
            <c:numRef>
              <c:f>'[新建 XLSX 工作表.xlsx]Sheet1'!$B$37:$B$38</c:f>
              <c:numCache>
                <c:formatCode>General</c:formatCode>
                <c:ptCount val="2"/>
                <c:pt idx="0">
                  <c:v>189.86</c:v>
                </c:pt>
                <c:pt idx="1">
                  <c:v>3856.75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a038b6a-8878-484e-ab67-bf81a5aebb8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manualLayout>
          <c:xMode val="edge"/>
          <c:yMode val="edge"/>
          <c:x val="0.246239113222486"/>
          <c:y val="0.0118670886075949"/>
        </c:manualLayout>
      </c:layout>
      <c:overlay val="0"/>
      <c:spPr>
        <a:noFill/>
        <a:ln>
          <a:noFill/>
        </a:ln>
        <a:effectLst/>
      </c:spPr>
    </c:title>
    <c:autoTitleDeleted val="0"/>
    <c:plotArea>
      <c:layout/>
      <c:barChart>
        <c:barDir val="col"/>
        <c:grouping val="clustered"/>
        <c:varyColors val="0"/>
        <c:ser>
          <c:idx val="0"/>
          <c:order val="0"/>
          <c:tx>
            <c:strRef>
              <c:f>'[新建 XLSX 工作表.xlsx]Sheet1'!$M$2</c:f>
              <c:strCache>
                <c:ptCount val="1"/>
                <c:pt idx="0">
                  <c:v>2024年</c:v>
                </c:pt>
              </c:strCache>
            </c:strRef>
          </c:tx>
          <c:spPr>
            <a:solidFill>
              <a:schemeClr val="accent1"/>
            </a:solidFill>
            <a:ln>
              <a:noFill/>
            </a:ln>
            <a:effectLst/>
          </c:spPr>
          <c:invertIfNegative val="0"/>
          <c:dLbls>
            <c:delete val="1"/>
          </c:dLbls>
          <c:cat>
            <c:strRef>
              <c:f>'[新建 XLSX 工作表.xlsx]Sheet1'!$N$1:$O$1</c:f>
              <c:strCache>
                <c:ptCount val="2"/>
                <c:pt idx="0">
                  <c:v>收入</c:v>
                </c:pt>
                <c:pt idx="1">
                  <c:v>支出</c:v>
                </c:pt>
              </c:strCache>
            </c:strRef>
          </c:cat>
          <c:val>
            <c:numRef>
              <c:f>'[新建 XLSX 工作表.xlsx]Sheet1'!$N$2:$O$2</c:f>
              <c:numCache>
                <c:formatCode>General</c:formatCode>
                <c:ptCount val="2"/>
                <c:pt idx="0">
                  <c:v>4046.62</c:v>
                </c:pt>
                <c:pt idx="1">
                  <c:v>4046.62</c:v>
                </c:pt>
              </c:numCache>
            </c:numRef>
          </c:val>
        </c:ser>
        <c:ser>
          <c:idx val="1"/>
          <c:order val="1"/>
          <c:tx>
            <c:strRef>
              <c:f>'[新建 XLSX 工作表.xlsx]Sheet1'!$M$3</c:f>
              <c:strCache>
                <c:ptCount val="1"/>
                <c:pt idx="0">
                  <c:v>2023年</c:v>
                </c:pt>
              </c:strCache>
            </c:strRef>
          </c:tx>
          <c:spPr>
            <a:solidFill>
              <a:schemeClr val="accent2"/>
            </a:solidFill>
            <a:ln>
              <a:noFill/>
            </a:ln>
            <a:effectLst/>
          </c:spPr>
          <c:invertIfNegative val="0"/>
          <c:dLbls>
            <c:delete val="1"/>
          </c:dLbls>
          <c:cat>
            <c:strRef>
              <c:f>'[新建 XLSX 工作表.xlsx]Sheet1'!$N$1:$O$1</c:f>
              <c:strCache>
                <c:ptCount val="2"/>
                <c:pt idx="0">
                  <c:v>收入</c:v>
                </c:pt>
                <c:pt idx="1">
                  <c:v>支出</c:v>
                </c:pt>
              </c:strCache>
            </c:strRef>
          </c:cat>
          <c:val>
            <c:numRef>
              <c:f>'[新建 XLSX 工作表.xlsx]Sheet1'!$N$3:$O$3</c:f>
              <c:numCache>
                <c:formatCode>#,##0.00</c:formatCode>
                <c:ptCount val="2"/>
                <c:pt idx="0">
                  <c:v>10272.05</c:v>
                </c:pt>
                <c:pt idx="1">
                  <c:v>10272.05</c:v>
                </c:pt>
              </c:numCache>
            </c:numRef>
          </c:val>
        </c:ser>
        <c:dLbls>
          <c:showLegendKey val="0"/>
          <c:showVal val="0"/>
          <c:showCatName val="0"/>
          <c:showSerName val="0"/>
          <c:showPercent val="0"/>
          <c:showBubbleSize val="0"/>
        </c:dLbls>
        <c:gapWidth val="246"/>
        <c:overlap val="-28"/>
        <c:axId val="45568173"/>
        <c:axId val="480069238"/>
      </c:barChart>
      <c:catAx>
        <c:axId val="45568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069238"/>
        <c:crosses val="autoZero"/>
        <c:auto val="1"/>
        <c:lblAlgn val="ctr"/>
        <c:lblOffset val="100"/>
        <c:noMultiLvlLbl val="0"/>
      </c:catAx>
      <c:valAx>
        <c:axId val="48006923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681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41a0ee-71b6-40f6-bf17-a70033aa64b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一般公共预算财政拨款支出（万元）</a:t>
            </a:r>
          </a:p>
        </c:rich>
      </c:tx>
      <c:layout>
        <c:manualLayout>
          <c:xMode val="edge"/>
          <c:yMode val="edge"/>
          <c:x val="0.253421052631579"/>
          <c:y val="0.0527777777777778"/>
        </c:manualLayout>
      </c:layout>
      <c:overlay val="0"/>
      <c:spPr>
        <a:noFill/>
        <a:ln>
          <a:noFill/>
        </a:ln>
        <a:effectLst/>
      </c:spPr>
    </c:title>
    <c:autoTitleDeleted val="0"/>
    <c:plotArea>
      <c:layout/>
      <c:barChart>
        <c:barDir val="col"/>
        <c:grouping val="clustered"/>
        <c:varyColors val="0"/>
        <c:ser>
          <c:idx val="0"/>
          <c:order val="0"/>
          <c:tx>
            <c:strRef>
              <c:f>'[新建 XLSX 工作表.xlsx]Sheet1'!$B$52</c:f>
              <c:strCache>
                <c:ptCount val="1"/>
                <c:pt idx="0">
                  <c:v>支出（万元）</c:v>
                </c:pt>
              </c:strCache>
            </c:strRef>
          </c:tx>
          <c:spPr>
            <a:solidFill>
              <a:schemeClr val="accent1"/>
            </a:solidFill>
            <a:ln>
              <a:noFill/>
            </a:ln>
            <a:effectLst/>
          </c:spPr>
          <c:invertIfNegative val="0"/>
          <c:dLbls>
            <c:delete val="1"/>
          </c:dLbls>
          <c:cat>
            <c:strRef>
              <c:f>'[新建 XLSX 工作表.xlsx]Sheet1'!$A$53:$A$54</c:f>
              <c:strCache>
                <c:ptCount val="2"/>
                <c:pt idx="0">
                  <c:v>2024年</c:v>
                </c:pt>
                <c:pt idx="1">
                  <c:v>2023年</c:v>
                </c:pt>
              </c:strCache>
            </c:strRef>
          </c:cat>
          <c:val>
            <c:numRef>
              <c:f>'[新建 XLSX 工作表.xlsx]Sheet1'!$B$53:$B$54</c:f>
              <c:numCache>
                <c:formatCode>General</c:formatCode>
                <c:ptCount val="2"/>
                <c:pt idx="0">
                  <c:v>3912.03</c:v>
                </c:pt>
                <c:pt idx="1">
                  <c:v>9860.92</c:v>
                </c:pt>
              </c:numCache>
            </c:numRef>
          </c:val>
        </c:ser>
        <c:dLbls>
          <c:showLegendKey val="0"/>
          <c:showVal val="0"/>
          <c:showCatName val="0"/>
          <c:showSerName val="0"/>
          <c:showPercent val="0"/>
          <c:showBubbleSize val="0"/>
        </c:dLbls>
        <c:gapWidth val="246"/>
        <c:overlap val="-28"/>
        <c:axId val="231317167"/>
        <c:axId val="340104777"/>
      </c:barChart>
      <c:catAx>
        <c:axId val="231317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0104777"/>
        <c:crosses val="autoZero"/>
        <c:auto val="1"/>
        <c:lblAlgn val="ctr"/>
        <c:lblOffset val="100"/>
        <c:noMultiLvlLbl val="0"/>
      </c:catAx>
      <c:valAx>
        <c:axId val="34010477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317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5cbb12-da9a-43bf-b4f1-b975f2da73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工作表.xlsx]Sheet1'!$B$88</c:f>
              <c:strCache>
                <c:ptCount val="1"/>
                <c:pt idx="0">
                  <c:v>2024年一般公共预算财政拨款支出（万元）</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工作表.xlsx]Sheet1'!$A$89:$A$97</c:f>
              <c:strCache>
                <c:ptCount val="9"/>
                <c:pt idx="0">
                  <c:v>教育支出</c:v>
                </c:pt>
                <c:pt idx="1">
                  <c:v>文化旅游体育与传媒支出</c:v>
                </c:pt>
                <c:pt idx="2">
                  <c:v>社会保障和就业支出</c:v>
                </c:pt>
                <c:pt idx="3">
                  <c:v>卫生健康支出</c:v>
                </c:pt>
                <c:pt idx="4">
                  <c:v>节能环保支出</c:v>
                </c:pt>
                <c:pt idx="5">
                  <c:v>城乡社区支出</c:v>
                </c:pt>
                <c:pt idx="6">
                  <c:v>农林水支出</c:v>
                </c:pt>
                <c:pt idx="7">
                  <c:v>资源勘探工业信息等支出</c:v>
                </c:pt>
                <c:pt idx="8">
                  <c:v>住房保障支出</c:v>
                </c:pt>
              </c:strCache>
            </c:strRef>
          </c:cat>
          <c:val>
            <c:numRef>
              <c:f>'[新建 XLSX 工作表.xlsx]Sheet1'!$B$89:$B$97</c:f>
              <c:numCache>
                <c:formatCode>General</c:formatCode>
                <c:ptCount val="9"/>
                <c:pt idx="0">
                  <c:v>889.75</c:v>
                </c:pt>
                <c:pt idx="1">
                  <c:v>103.58</c:v>
                </c:pt>
                <c:pt idx="2">
                  <c:v>28.25</c:v>
                </c:pt>
                <c:pt idx="3">
                  <c:v>10.57</c:v>
                </c:pt>
                <c:pt idx="4">
                  <c:v>613.66</c:v>
                </c:pt>
                <c:pt idx="5" c:formatCode="#,##0.00">
                  <c:v>1326.41</c:v>
                </c:pt>
                <c:pt idx="6">
                  <c:v>821.07</c:v>
                </c:pt>
                <c:pt idx="7">
                  <c:v>47.93</c:v>
                </c:pt>
                <c:pt idx="8">
                  <c:v>70.82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397695595614198"/>
          <c:y val="0.14571165078389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af74560-e657-4387-90a7-4044c0bb419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'[新建 XLSX 工作表.xlsx]Sheet1'!$A$83</c:f>
              <c:strCache>
                <c:ptCount val="1"/>
                <c:pt idx="0">
                  <c:v>公务用车购置及运行维护费支出</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工作表.xlsx]Sheet1'!$B$82</c:f>
              <c:strCache>
                <c:ptCount val="1"/>
                <c:pt idx="0">
                  <c:v>20204年（万元）</c:v>
                </c:pt>
              </c:strCache>
            </c:strRef>
          </c:cat>
          <c:val>
            <c:numRef>
              <c:f>'[新建 XLSX 工作表.xlsx]Sheet1'!$B$83</c:f>
              <c:numCache>
                <c:formatCode>General</c:formatCode>
                <c:ptCount val="1"/>
                <c:pt idx="0">
                  <c:v>41.3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24a596-3e5e-490a-a6a9-c6672f0d52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8447</Words>
  <Characters>9406</Characters>
  <Lines>61</Lines>
  <Paragraphs>17</Paragraphs>
  <TotalTime>26</TotalTime>
  <ScaleCrop>false</ScaleCrop>
  <LinksUpToDate>false</LinksUpToDate>
  <CharactersWithSpaces>9530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2025-10-15T02:10:18Z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eyJoZGlkIjoiNTU1MWNhN2ZmY2ZhZmY3ODhlYTg0MWU5OGMyY2QwZmUiLCJ1c2VySWQiOiI0MzQ2NTM0NzEifQ==</vt:lpwstr>
  </property>
</Properties>
</file>