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9A8E50">
      <w:pPr>
        <w:pStyle w:val="5"/>
        <w:rPr>
          <w:rFonts w:hint="eastAsia" w:ascii="Times New Roman" w:hAnsi="Times New Roman" w:eastAsia="方正小标宋简体" w:cs="Times New Roman"/>
          <w:color w:val="auto"/>
          <w:kern w:val="2"/>
          <w:sz w:val="72"/>
          <w:szCs w:val="72"/>
          <w:highlight w:val="none"/>
          <w:lang w:val="en-US" w:eastAsia="zh-CN" w:bidi="ar-SA"/>
        </w:rPr>
      </w:pPr>
      <w:bookmarkStart w:id="0" w:name="_Toc15306267"/>
      <w:bookmarkStart w:id="1" w:name="_Toc15378441"/>
      <w:bookmarkStart w:id="2" w:name="_Toc15377193"/>
      <w:bookmarkStart w:id="3" w:name="_Toc15396475"/>
      <w:bookmarkStart w:id="4" w:name="_Toc15377425"/>
      <w:bookmarkStart w:id="5" w:name="_Toc15396597"/>
    </w:p>
    <w:p w14:paraId="4C232D6C">
      <w:pPr>
        <w:pStyle w:val="5"/>
        <w:rPr>
          <w:rFonts w:hint="eastAsia" w:ascii="Times New Roman" w:hAnsi="Times New Roman" w:eastAsia="方正小标宋简体" w:cs="Times New Roman"/>
          <w:color w:val="auto"/>
          <w:kern w:val="2"/>
          <w:sz w:val="72"/>
          <w:szCs w:val="72"/>
          <w:highlight w:val="none"/>
          <w:lang w:val="en-US" w:eastAsia="zh-CN" w:bidi="ar-SA"/>
        </w:rPr>
      </w:pPr>
    </w:p>
    <w:p w14:paraId="432E5EAC">
      <w:pPr>
        <w:pStyle w:val="5"/>
        <w:rPr>
          <w:rFonts w:hint="eastAsia" w:ascii="Times New Roman" w:hAnsi="Times New Roman" w:eastAsia="方正小标宋简体" w:cs="Times New Roman"/>
          <w:color w:val="auto"/>
          <w:kern w:val="2"/>
          <w:sz w:val="72"/>
          <w:szCs w:val="72"/>
          <w:highlight w:val="none"/>
          <w:lang w:val="en-US" w:eastAsia="zh-CN" w:bidi="ar-SA"/>
        </w:rPr>
      </w:pPr>
    </w:p>
    <w:p w14:paraId="3CC9E8DC">
      <w:pPr>
        <w:pStyle w:val="5"/>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w:t>
      </w:r>
      <w:r>
        <w:rPr>
          <w:rFonts w:hint="eastAsia" w:ascii="方正小标宋简体" w:hAnsi="宋体" w:eastAsia="方正小标宋简体" w:cs="Times New Roman"/>
          <w:color w:val="auto"/>
          <w:kern w:val="2"/>
          <w:sz w:val="44"/>
          <w:szCs w:val="44"/>
          <w:highlight w:val="none"/>
          <w:lang w:val="en-US" w:eastAsia="zh-CN" w:bidi="ar-SA"/>
        </w:rPr>
        <w:t>松潘县住房和城乡建设部门</w:t>
      </w:r>
    </w:p>
    <w:p w14:paraId="00FFC66B">
      <w:pPr>
        <w:pStyle w:val="5"/>
        <w:jc w:val="center"/>
        <w:rPr>
          <w:rFonts w:hint="default" w:ascii="Times New Roman" w:hAnsi="Times New Roman"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决算</w:t>
      </w:r>
      <w:r>
        <w:rPr>
          <w:rFonts w:hint="eastAsia" w:ascii="Times New Roman" w:hAnsi="Times New Roman" w:eastAsia="方正小标宋简体" w:cs="Times New Roman"/>
          <w:color w:val="auto"/>
          <w:kern w:val="2"/>
          <w:sz w:val="44"/>
          <w:szCs w:val="44"/>
          <w:highlight w:val="none"/>
          <w:lang w:val="en-US" w:eastAsia="zh-CN" w:bidi="ar-SA"/>
        </w:rPr>
        <w:t>公开</w:t>
      </w:r>
    </w:p>
    <w:p w14:paraId="73A06090">
      <w:pPr>
        <w:pStyle w:val="19"/>
        <w:rPr>
          <w:rFonts w:ascii="Times New Roman" w:hAnsi="Times New Roman"/>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bookmarkEnd w:id="0"/>
    <w:bookmarkEnd w:id="1"/>
    <w:bookmarkEnd w:id="2"/>
    <w:bookmarkEnd w:id="3"/>
    <w:bookmarkEnd w:id="4"/>
    <w:bookmarkEnd w:id="5"/>
    <w:p w14:paraId="0855D18F">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2E63C9BC">
      <w:pPr>
        <w:widowControl/>
        <w:jc w:val="center"/>
        <w:rPr>
          <w:rFonts w:ascii="Times New Roman" w:hAnsi="Times New Roman" w:eastAsia="黑体" w:cstheme="minorBidi"/>
          <w:color w:val="auto"/>
          <w:sz w:val="28"/>
          <w:szCs w:val="28"/>
          <w:highlight w:val="none"/>
        </w:rPr>
      </w:pPr>
    </w:p>
    <w:p w14:paraId="25F6708F">
      <w:pPr>
        <w:pStyle w:val="12"/>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10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15  </w:t>
      </w:r>
      <w:r>
        <w:rPr>
          <w:rFonts w:hint="eastAsia" w:ascii="Times New Roman" w:hAnsi="Times New Roman" w:eastAsia="仿宋_GB2312" w:cs="仿宋_GB2312"/>
          <w:color w:val="auto"/>
          <w:sz w:val="32"/>
          <w:szCs w:val="32"/>
          <w:highlight w:val="none"/>
        </w:rPr>
        <w:t>日</w:t>
      </w:r>
    </w:p>
    <w:p w14:paraId="43B48384">
      <w:pPr>
        <w:rPr>
          <w:rFonts w:ascii="Times New Roman" w:hAnsi="Times New Roman"/>
          <w:color w:val="auto"/>
          <w:highlight w:val="none"/>
        </w:rPr>
      </w:pPr>
    </w:p>
    <w:sdt>
      <w:sdtPr>
        <w:rPr>
          <w:rFonts w:ascii="宋体" w:hAnsi="宋体" w:eastAsia="宋体" w:cs="Times New Roman"/>
          <w:kern w:val="2"/>
          <w:sz w:val="21"/>
          <w:szCs w:val="24"/>
          <w:lang w:val="en-US" w:eastAsia="zh-CN" w:bidi="ar-SA"/>
        </w:rPr>
        <w:id w:val="147479696"/>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14:paraId="55F1336B">
          <w:pPr>
            <w:spacing w:before="0" w:beforeLines="0" w:after="0" w:afterLines="0" w:line="240" w:lineRule="auto"/>
            <w:ind w:left="0" w:leftChars="0" w:right="0" w:rightChars="0" w:firstLine="0" w:firstLineChars="0"/>
            <w:jc w:val="center"/>
          </w:pPr>
          <w:bookmarkStart w:id="6" w:name="_Toc15396599"/>
          <w:bookmarkStart w:id="7" w:name="_Toc15377196"/>
          <w:r>
            <w:rPr>
              <w:rFonts w:ascii="宋体" w:hAnsi="宋体" w:eastAsia="宋体"/>
              <w:sz w:val="21"/>
            </w:rPr>
            <w:t>目录</w:t>
          </w:r>
        </w:p>
        <w:p w14:paraId="30D22B55">
          <w:pPr>
            <w:pStyle w:val="12"/>
            <w:tabs>
              <w:tab w:val="right" w:leader="dot" w:pos="8306"/>
              <w:tab w:val="clear" w:pos="8296"/>
            </w:tabs>
          </w:pPr>
          <w:r>
            <w:fldChar w:fldCharType="begin"/>
          </w:r>
          <w:r>
            <w:instrText xml:space="preserve">TOC \o "1-2" \h \u </w:instrText>
          </w:r>
          <w:r>
            <w:fldChar w:fldCharType="separate"/>
          </w:r>
          <w:r>
            <w:fldChar w:fldCharType="begin"/>
          </w:r>
          <w:r>
            <w:instrText xml:space="preserve"> HYPERLINK \l _Toc22875 </w:instrText>
          </w:r>
          <w:r>
            <w:fldChar w:fldCharType="separate"/>
          </w:r>
          <w:r>
            <w:rPr>
              <w:rFonts w:hint="eastAsia" w:ascii="Times New Roman" w:hAnsi="Times New Roman" w:eastAsia="方正小标宋简体" w:cs="方正小标宋简体"/>
              <w:highlight w:val="none"/>
            </w:rPr>
            <w:t>第一部分</w:t>
          </w:r>
          <w:r>
            <w:rPr>
              <w:rFonts w:hint="eastAsia" w:ascii="Times New Roman" w:hAnsi="Times New Roman" w:eastAsia="方正小标宋简体" w:cs="方正小标宋简体"/>
              <w:highlight w:val="none"/>
              <w:lang w:val="en-US" w:eastAsia="zh-CN"/>
            </w:rPr>
            <w:t xml:space="preserve"> </w:t>
          </w:r>
          <w:r>
            <w:rPr>
              <w:rFonts w:hint="eastAsia" w:ascii="Times New Roman" w:hAnsi="Times New Roman" w:eastAsia="方正小标宋简体" w:cs="方正小标宋简体"/>
              <w:highlight w:val="none"/>
            </w:rPr>
            <w:t xml:space="preserve"> </w:t>
          </w:r>
          <w:r>
            <w:rPr>
              <w:rFonts w:hint="eastAsia" w:ascii="Times New Roman" w:hAnsi="Times New Roman" w:eastAsia="方正小标宋简体" w:cs="方正小标宋简体"/>
              <w:bCs w:val="0"/>
              <w:highlight w:val="none"/>
            </w:rPr>
            <w:t>部门概况</w:t>
          </w:r>
          <w:r>
            <w:tab/>
          </w:r>
          <w:r>
            <w:fldChar w:fldCharType="begin"/>
          </w:r>
          <w:r>
            <w:instrText xml:space="preserve"> PAGEREF _Toc22875 \h </w:instrText>
          </w:r>
          <w:r>
            <w:fldChar w:fldCharType="separate"/>
          </w:r>
          <w:r>
            <w:t>- 3 -</w:t>
          </w:r>
          <w:r>
            <w:fldChar w:fldCharType="end"/>
          </w:r>
          <w:r>
            <w:fldChar w:fldCharType="end"/>
          </w:r>
        </w:p>
        <w:p w14:paraId="12928C25">
          <w:pPr>
            <w:pStyle w:val="14"/>
            <w:tabs>
              <w:tab w:val="right" w:leader="dot" w:pos="8306"/>
              <w:tab w:val="clear" w:pos="8296"/>
            </w:tabs>
          </w:pPr>
          <w:r>
            <w:fldChar w:fldCharType="begin"/>
          </w:r>
          <w:r>
            <w:instrText xml:space="preserve"> HYPERLINK \l _Toc19220 </w:instrText>
          </w:r>
          <w:r>
            <w:fldChar w:fldCharType="separate"/>
          </w:r>
          <w:r>
            <w:rPr>
              <w:rFonts w:hint="eastAsia" w:ascii="Times New Roman" w:hAnsi="Times New Roman" w:eastAsia="黑体"/>
              <w:lang w:eastAsia="zh-CN"/>
            </w:rPr>
            <w:t xml:space="preserve">一、 </w:t>
          </w:r>
          <w:r>
            <w:rPr>
              <w:rFonts w:hint="eastAsia" w:ascii="Times New Roman" w:hAnsi="Times New Roman" w:eastAsia="黑体"/>
              <w:highlight w:val="none"/>
              <w:lang w:eastAsia="zh-CN"/>
            </w:rPr>
            <w:t>部门职责</w:t>
          </w:r>
          <w:r>
            <w:tab/>
          </w:r>
          <w:r>
            <w:fldChar w:fldCharType="begin"/>
          </w:r>
          <w:r>
            <w:instrText xml:space="preserve"> PAGEREF _Toc19220 \h </w:instrText>
          </w:r>
          <w:r>
            <w:fldChar w:fldCharType="separate"/>
          </w:r>
          <w:r>
            <w:t>- 3 -</w:t>
          </w:r>
          <w:r>
            <w:fldChar w:fldCharType="end"/>
          </w:r>
          <w:r>
            <w:fldChar w:fldCharType="end"/>
          </w:r>
        </w:p>
        <w:p w14:paraId="6DE6FEDC">
          <w:pPr>
            <w:pStyle w:val="14"/>
            <w:tabs>
              <w:tab w:val="right" w:leader="dot" w:pos="8306"/>
              <w:tab w:val="clear" w:pos="8296"/>
            </w:tabs>
          </w:pPr>
          <w:r>
            <w:fldChar w:fldCharType="begin"/>
          </w:r>
          <w:r>
            <w:instrText xml:space="preserve"> HYPERLINK \l _Toc24475 </w:instrText>
          </w:r>
          <w:r>
            <w:fldChar w:fldCharType="separate"/>
          </w:r>
          <w:r>
            <w:rPr>
              <w:rFonts w:hint="eastAsia" w:ascii="Times New Roman" w:hAnsi="Times New Roman" w:eastAsia="黑体"/>
              <w:highlight w:val="none"/>
            </w:rPr>
            <w:t>二、机</w:t>
          </w:r>
          <w:r>
            <w:rPr>
              <w:rFonts w:hint="eastAsia" w:ascii="Times New Roman" w:hAnsi="Times New Roman" w:eastAsia="黑体"/>
              <w:bCs w:val="0"/>
              <w:highlight w:val="none"/>
            </w:rPr>
            <w:t>构设置</w:t>
          </w:r>
          <w:r>
            <w:tab/>
          </w:r>
          <w:r>
            <w:fldChar w:fldCharType="begin"/>
          </w:r>
          <w:r>
            <w:instrText xml:space="preserve"> PAGEREF _Toc24475 \h </w:instrText>
          </w:r>
          <w:r>
            <w:fldChar w:fldCharType="separate"/>
          </w:r>
          <w:r>
            <w:t>- 7 -</w:t>
          </w:r>
          <w:r>
            <w:fldChar w:fldCharType="end"/>
          </w:r>
          <w:r>
            <w:fldChar w:fldCharType="end"/>
          </w:r>
        </w:p>
        <w:p w14:paraId="00348A17">
          <w:pPr>
            <w:pStyle w:val="12"/>
            <w:tabs>
              <w:tab w:val="right" w:leader="dot" w:pos="8306"/>
              <w:tab w:val="clear" w:pos="8296"/>
            </w:tabs>
          </w:pPr>
          <w:r>
            <w:fldChar w:fldCharType="begin"/>
          </w:r>
          <w:r>
            <w:instrText xml:space="preserve"> HYPERLINK \l _Toc12833 </w:instrText>
          </w:r>
          <w:r>
            <w:fldChar w:fldCharType="separate"/>
          </w:r>
          <w:r>
            <w:rPr>
              <w:rFonts w:hint="eastAsia" w:ascii="Times New Roman" w:hAnsi="Times New Roman" w:eastAsia="方正小标宋简体" w:cs="方正小标宋简体"/>
              <w:highlight w:val="none"/>
            </w:rPr>
            <w:t>第二部分</w:t>
          </w:r>
          <w:r>
            <w:rPr>
              <w:rFonts w:hint="eastAsia" w:ascii="Times New Roman" w:hAnsi="Times New Roman" w:eastAsia="方正小标宋简体" w:cs="方正小标宋简体"/>
              <w:highlight w:val="none"/>
              <w:lang w:val="en-US" w:eastAsia="zh-CN"/>
            </w:rPr>
            <w:t xml:space="preserve"> </w:t>
          </w:r>
          <w:r>
            <w:rPr>
              <w:rFonts w:hint="eastAsia" w:ascii="Times New Roman" w:hAnsi="Times New Roman" w:eastAsia="方正小标宋简体" w:cs="方正小标宋简体"/>
              <w:highlight w:val="none"/>
            </w:rPr>
            <w:t xml:space="preserve"> </w:t>
          </w:r>
          <w:r>
            <w:rPr>
              <w:rFonts w:hint="eastAsia" w:ascii="Times New Roman" w:hAnsi="Times New Roman" w:eastAsia="方正小标宋简体" w:cs="方正小标宋简体"/>
              <w:highlight w:val="none"/>
              <w:lang w:val="en-US" w:eastAsia="zh-CN"/>
            </w:rPr>
            <w:t>2024年度</w:t>
          </w:r>
          <w:r>
            <w:rPr>
              <w:rFonts w:hint="eastAsia" w:ascii="Times New Roman" w:hAnsi="Times New Roman" w:eastAsia="方正小标宋简体" w:cs="方正小标宋简体"/>
              <w:highlight w:val="none"/>
            </w:rPr>
            <w:t>部门决算情况说明</w:t>
          </w:r>
          <w:r>
            <w:tab/>
          </w:r>
          <w:r>
            <w:fldChar w:fldCharType="begin"/>
          </w:r>
          <w:r>
            <w:instrText xml:space="preserve"> PAGEREF _Toc12833 \h </w:instrText>
          </w:r>
          <w:r>
            <w:fldChar w:fldCharType="separate"/>
          </w:r>
          <w:r>
            <w:t>- 8 -</w:t>
          </w:r>
          <w:r>
            <w:fldChar w:fldCharType="end"/>
          </w:r>
          <w:r>
            <w:fldChar w:fldCharType="end"/>
          </w:r>
        </w:p>
        <w:p w14:paraId="2F1C29CD">
          <w:pPr>
            <w:pStyle w:val="14"/>
            <w:tabs>
              <w:tab w:val="right" w:leader="dot" w:pos="8306"/>
              <w:tab w:val="clear" w:pos="8296"/>
            </w:tabs>
          </w:pPr>
          <w:r>
            <w:fldChar w:fldCharType="begin"/>
          </w:r>
          <w:r>
            <w:instrText xml:space="preserve"> HYPERLINK \l _Toc25262 </w:instrText>
          </w:r>
          <w:r>
            <w:fldChar w:fldCharType="separate"/>
          </w:r>
          <w:r>
            <w:rPr>
              <w:rFonts w:hint="eastAsia" w:ascii="Times New Roman" w:hAnsi="Times New Roman" w:eastAsia="黑体"/>
              <w:szCs w:val="32"/>
              <w:highlight w:val="none"/>
              <w:lang w:eastAsia="zh-CN"/>
            </w:rPr>
            <w:t>一、</w:t>
          </w:r>
          <w:r>
            <w:rPr>
              <w:rFonts w:hint="eastAsia" w:ascii="Times New Roman" w:hAnsi="Times New Roman" w:eastAsia="黑体"/>
              <w:szCs w:val="32"/>
              <w:highlight w:val="none"/>
            </w:rPr>
            <w:t>收</w:t>
          </w:r>
          <w:r>
            <w:rPr>
              <w:rFonts w:hint="eastAsia" w:ascii="Times New Roman" w:hAnsi="Times New Roman" w:eastAsia="黑体"/>
              <w:highlight w:val="none"/>
            </w:rPr>
            <w:t>入支出决算总体情况说明</w:t>
          </w:r>
          <w:r>
            <w:tab/>
          </w:r>
          <w:r>
            <w:fldChar w:fldCharType="begin"/>
          </w:r>
          <w:r>
            <w:instrText xml:space="preserve"> PAGEREF _Toc25262 \h </w:instrText>
          </w:r>
          <w:r>
            <w:fldChar w:fldCharType="separate"/>
          </w:r>
          <w:r>
            <w:t>- 8 -</w:t>
          </w:r>
          <w:r>
            <w:fldChar w:fldCharType="end"/>
          </w:r>
          <w:r>
            <w:fldChar w:fldCharType="end"/>
          </w:r>
        </w:p>
        <w:p w14:paraId="7716AD38">
          <w:pPr>
            <w:pStyle w:val="14"/>
            <w:tabs>
              <w:tab w:val="right" w:leader="dot" w:pos="8306"/>
              <w:tab w:val="clear" w:pos="8296"/>
            </w:tabs>
          </w:pPr>
          <w:r>
            <w:fldChar w:fldCharType="begin"/>
          </w:r>
          <w:r>
            <w:instrText xml:space="preserve"> HYPERLINK \l _Toc27195 </w:instrText>
          </w:r>
          <w:r>
            <w:fldChar w:fldCharType="separate"/>
          </w:r>
          <w:r>
            <w:rPr>
              <w:rFonts w:hint="eastAsia" w:ascii="Times New Roman" w:hAnsi="Times New Roman" w:eastAsia="黑体"/>
              <w:szCs w:val="32"/>
              <w:highlight w:val="none"/>
              <w:lang w:eastAsia="zh-CN"/>
            </w:rPr>
            <w:t>二、收入决算情况说明</w:t>
          </w:r>
          <w:r>
            <w:tab/>
          </w:r>
          <w:r>
            <w:fldChar w:fldCharType="begin"/>
          </w:r>
          <w:r>
            <w:instrText xml:space="preserve"> PAGEREF _Toc27195 \h </w:instrText>
          </w:r>
          <w:r>
            <w:fldChar w:fldCharType="separate"/>
          </w:r>
          <w:r>
            <w:t>- 8 -</w:t>
          </w:r>
          <w:r>
            <w:fldChar w:fldCharType="end"/>
          </w:r>
          <w:r>
            <w:fldChar w:fldCharType="end"/>
          </w:r>
        </w:p>
        <w:p w14:paraId="1C0C5FE6">
          <w:pPr>
            <w:pStyle w:val="14"/>
            <w:tabs>
              <w:tab w:val="right" w:leader="dot" w:pos="8306"/>
              <w:tab w:val="clear" w:pos="8296"/>
            </w:tabs>
          </w:pPr>
          <w:r>
            <w:fldChar w:fldCharType="begin"/>
          </w:r>
          <w:r>
            <w:instrText xml:space="preserve"> HYPERLINK \l _Toc6100 </w:instrText>
          </w:r>
          <w:r>
            <w:fldChar w:fldCharType="separate"/>
          </w:r>
          <w:r>
            <w:rPr>
              <w:rFonts w:hint="eastAsia" w:ascii="Times New Roman" w:hAnsi="Times New Roman" w:eastAsia="黑体"/>
              <w:szCs w:val="32"/>
              <w:highlight w:val="none"/>
              <w:lang w:eastAsia="zh-CN"/>
            </w:rPr>
            <w:t>三、</w:t>
          </w:r>
          <w:r>
            <w:rPr>
              <w:rFonts w:hint="eastAsia" w:ascii="Times New Roman" w:hAnsi="Times New Roman" w:eastAsia="黑体"/>
              <w:szCs w:val="32"/>
              <w:highlight w:val="none"/>
            </w:rPr>
            <w:t>支</w:t>
          </w:r>
          <w:r>
            <w:rPr>
              <w:rFonts w:hint="eastAsia" w:ascii="Times New Roman" w:hAnsi="Times New Roman" w:eastAsia="黑体"/>
              <w:highlight w:val="none"/>
            </w:rPr>
            <w:t>出决算情况说明</w:t>
          </w:r>
          <w:r>
            <w:tab/>
          </w:r>
          <w:r>
            <w:fldChar w:fldCharType="begin"/>
          </w:r>
          <w:r>
            <w:instrText xml:space="preserve"> PAGEREF _Toc6100 \h </w:instrText>
          </w:r>
          <w:r>
            <w:fldChar w:fldCharType="separate"/>
          </w:r>
          <w:r>
            <w:t>- 9 -</w:t>
          </w:r>
          <w:r>
            <w:fldChar w:fldCharType="end"/>
          </w:r>
          <w:r>
            <w:fldChar w:fldCharType="end"/>
          </w:r>
        </w:p>
        <w:p w14:paraId="1E24B3AA">
          <w:pPr>
            <w:pStyle w:val="14"/>
            <w:tabs>
              <w:tab w:val="right" w:leader="dot" w:pos="8306"/>
              <w:tab w:val="clear" w:pos="8296"/>
            </w:tabs>
          </w:pPr>
        </w:p>
        <w:p w14:paraId="145581C6">
          <w:pPr>
            <w:pStyle w:val="14"/>
            <w:tabs>
              <w:tab w:val="right" w:leader="dot" w:pos="8306"/>
              <w:tab w:val="clear" w:pos="8296"/>
            </w:tabs>
          </w:pPr>
          <w:r>
            <w:fldChar w:fldCharType="begin"/>
          </w:r>
          <w:r>
            <w:instrText xml:space="preserve"> HYPERLINK \l _Toc31572 </w:instrText>
          </w:r>
          <w:r>
            <w:fldChar w:fldCharType="separate"/>
          </w:r>
          <w:r>
            <w:rPr>
              <w:rFonts w:hint="eastAsia" w:ascii="Times New Roman" w:hAnsi="Times New Roman" w:eastAsia="黑体"/>
              <w:szCs w:val="32"/>
              <w:highlight w:val="none"/>
            </w:rPr>
            <w:t>四、财</w:t>
          </w:r>
          <w:r>
            <w:rPr>
              <w:rFonts w:hint="eastAsia" w:ascii="Times New Roman" w:hAnsi="Times New Roman" w:eastAsia="黑体"/>
              <w:highlight w:val="none"/>
            </w:rPr>
            <w:t>政拨款收入支出决算总体情况说明</w:t>
          </w:r>
          <w:r>
            <w:tab/>
          </w:r>
          <w:r>
            <w:fldChar w:fldCharType="begin"/>
          </w:r>
          <w:r>
            <w:instrText xml:space="preserve"> PAGEREF _Toc31572 \h </w:instrText>
          </w:r>
          <w:r>
            <w:fldChar w:fldCharType="separate"/>
          </w:r>
          <w:r>
            <w:t>- 9 -</w:t>
          </w:r>
          <w:r>
            <w:fldChar w:fldCharType="end"/>
          </w:r>
          <w:r>
            <w:fldChar w:fldCharType="end"/>
          </w:r>
        </w:p>
        <w:p w14:paraId="2AEFAF3A">
          <w:pPr>
            <w:pStyle w:val="14"/>
            <w:tabs>
              <w:tab w:val="right" w:leader="dot" w:pos="8306"/>
              <w:tab w:val="clear" w:pos="8296"/>
            </w:tabs>
          </w:pPr>
        </w:p>
        <w:p w14:paraId="3804B161">
          <w:pPr>
            <w:pStyle w:val="14"/>
            <w:tabs>
              <w:tab w:val="right" w:leader="dot" w:pos="8306"/>
              <w:tab w:val="clear" w:pos="8296"/>
            </w:tabs>
          </w:pPr>
          <w:r>
            <w:fldChar w:fldCharType="begin"/>
          </w:r>
          <w:r>
            <w:instrText xml:space="preserve"> HYPERLINK \l _Toc13133 </w:instrText>
          </w:r>
          <w:r>
            <w:fldChar w:fldCharType="separate"/>
          </w:r>
          <w:r>
            <w:rPr>
              <w:rFonts w:hint="eastAsia" w:ascii="Times New Roman" w:hAnsi="Times New Roman" w:eastAsia="黑体"/>
              <w:szCs w:val="32"/>
              <w:highlight w:val="none"/>
            </w:rPr>
            <w:t>五、一</w:t>
          </w:r>
          <w:r>
            <w:rPr>
              <w:rFonts w:hint="eastAsia" w:ascii="Times New Roman" w:hAnsi="Times New Roman" w:eastAsia="黑体"/>
              <w:highlight w:val="none"/>
            </w:rPr>
            <w:t>般公共预算财政拨款支出决算情况说明</w:t>
          </w:r>
          <w:r>
            <w:tab/>
          </w:r>
          <w:r>
            <w:fldChar w:fldCharType="begin"/>
          </w:r>
          <w:r>
            <w:instrText xml:space="preserve"> PAGEREF _Toc13133 \h </w:instrText>
          </w:r>
          <w:r>
            <w:fldChar w:fldCharType="separate"/>
          </w:r>
          <w:r>
            <w:t>- 10 -</w:t>
          </w:r>
          <w:r>
            <w:fldChar w:fldCharType="end"/>
          </w:r>
          <w:r>
            <w:fldChar w:fldCharType="end"/>
          </w:r>
        </w:p>
        <w:p w14:paraId="0AD2F062">
          <w:pPr>
            <w:pStyle w:val="14"/>
            <w:tabs>
              <w:tab w:val="right" w:leader="dot" w:pos="8306"/>
              <w:tab w:val="clear" w:pos="8296"/>
            </w:tabs>
          </w:pPr>
          <w:r>
            <w:fldChar w:fldCharType="begin"/>
          </w:r>
          <w:r>
            <w:instrText xml:space="preserve"> HYPERLINK \l _Toc25745 </w:instrText>
          </w:r>
          <w:r>
            <w:fldChar w:fldCharType="separate"/>
          </w:r>
          <w:r>
            <w:rPr>
              <w:rFonts w:hint="eastAsia" w:ascii="Times New Roman" w:hAnsi="Times New Roman" w:eastAsia="黑体"/>
              <w:szCs w:val="32"/>
              <w:highlight w:val="none"/>
            </w:rPr>
            <w:t>六、一</w:t>
          </w:r>
          <w:r>
            <w:rPr>
              <w:rFonts w:hint="eastAsia" w:ascii="Times New Roman" w:hAnsi="Times New Roman" w:eastAsia="黑体"/>
              <w:highlight w:val="none"/>
            </w:rPr>
            <w:t>般公共预算财政拨款基本支出决算情况说明</w:t>
          </w:r>
          <w:r>
            <w:tab/>
          </w:r>
          <w:r>
            <w:fldChar w:fldCharType="begin"/>
          </w:r>
          <w:r>
            <w:instrText xml:space="preserve"> PAGEREF _Toc25745 \h </w:instrText>
          </w:r>
          <w:r>
            <w:fldChar w:fldCharType="separate"/>
          </w:r>
          <w:r>
            <w:t>- 14 -</w:t>
          </w:r>
          <w:r>
            <w:fldChar w:fldCharType="end"/>
          </w:r>
          <w:r>
            <w:fldChar w:fldCharType="end"/>
          </w:r>
        </w:p>
        <w:p w14:paraId="005EDEE9">
          <w:pPr>
            <w:pStyle w:val="14"/>
            <w:tabs>
              <w:tab w:val="right" w:leader="dot" w:pos="8306"/>
              <w:tab w:val="clear" w:pos="8296"/>
            </w:tabs>
          </w:pPr>
          <w:r>
            <w:fldChar w:fldCharType="begin"/>
          </w:r>
          <w:r>
            <w:instrText xml:space="preserve"> HYPERLINK \l _Toc494 </w:instrText>
          </w:r>
          <w:r>
            <w:fldChar w:fldCharType="separate"/>
          </w:r>
          <w:r>
            <w:rPr>
              <w:rFonts w:hint="eastAsia" w:ascii="Times New Roman" w:hAnsi="Times New Roman" w:eastAsia="黑体"/>
              <w:szCs w:val="32"/>
              <w:highlight w:val="none"/>
            </w:rPr>
            <w:t>七、</w:t>
          </w:r>
          <w:r>
            <w:rPr>
              <w:rFonts w:hint="eastAsia" w:ascii="Times New Roman" w:hAnsi="Times New Roman" w:eastAsia="黑体"/>
              <w:highlight w:val="none"/>
            </w:rPr>
            <w:t>财政拨款“三公”经费支出决算情况说明</w:t>
          </w:r>
          <w:r>
            <w:tab/>
          </w:r>
          <w:r>
            <w:fldChar w:fldCharType="begin"/>
          </w:r>
          <w:r>
            <w:instrText xml:space="preserve"> PAGEREF _Toc494 \h </w:instrText>
          </w:r>
          <w:r>
            <w:fldChar w:fldCharType="separate"/>
          </w:r>
          <w:r>
            <w:t>- 15 -</w:t>
          </w:r>
          <w:r>
            <w:fldChar w:fldCharType="end"/>
          </w:r>
          <w:r>
            <w:fldChar w:fldCharType="end"/>
          </w:r>
        </w:p>
        <w:p w14:paraId="656F60B2">
          <w:pPr>
            <w:pStyle w:val="14"/>
            <w:tabs>
              <w:tab w:val="right" w:leader="dot" w:pos="8306"/>
              <w:tab w:val="clear" w:pos="8296"/>
            </w:tabs>
          </w:pPr>
          <w:r>
            <w:fldChar w:fldCharType="begin"/>
          </w:r>
          <w:r>
            <w:instrText xml:space="preserve"> HYPERLINK \l _Toc20619 </w:instrText>
          </w:r>
          <w:r>
            <w:fldChar w:fldCharType="separate"/>
          </w:r>
          <w:r>
            <w:rPr>
              <w:rFonts w:hint="eastAsia" w:ascii="Times New Roman" w:hAnsi="Times New Roman" w:eastAsia="黑体"/>
              <w:szCs w:val="32"/>
              <w:highlight w:val="none"/>
            </w:rPr>
            <w:t>八、</w:t>
          </w:r>
          <w:r>
            <w:rPr>
              <w:rFonts w:hint="eastAsia" w:ascii="Times New Roman" w:hAnsi="Times New Roman" w:eastAsia="黑体"/>
              <w:highlight w:val="none"/>
            </w:rPr>
            <w:t>政府性基金预算支出决算情况说明</w:t>
          </w:r>
          <w:r>
            <w:tab/>
          </w:r>
          <w:r>
            <w:fldChar w:fldCharType="begin"/>
          </w:r>
          <w:r>
            <w:instrText xml:space="preserve"> PAGEREF _Toc20619 \h </w:instrText>
          </w:r>
          <w:r>
            <w:fldChar w:fldCharType="separate"/>
          </w:r>
          <w:r>
            <w:t>- 17 -</w:t>
          </w:r>
          <w:r>
            <w:fldChar w:fldCharType="end"/>
          </w:r>
          <w:r>
            <w:fldChar w:fldCharType="end"/>
          </w:r>
        </w:p>
        <w:p w14:paraId="3A82C10D">
          <w:pPr>
            <w:pStyle w:val="14"/>
            <w:tabs>
              <w:tab w:val="right" w:leader="dot" w:pos="8306"/>
              <w:tab w:val="clear" w:pos="8296"/>
            </w:tabs>
          </w:pPr>
          <w:r>
            <w:fldChar w:fldCharType="begin"/>
          </w:r>
          <w:r>
            <w:instrText xml:space="preserve"> HYPERLINK \l _Toc516 </w:instrText>
          </w:r>
          <w:r>
            <w:fldChar w:fldCharType="separate"/>
          </w:r>
          <w:r>
            <w:rPr>
              <w:rFonts w:hint="eastAsia" w:ascii="Times New Roman" w:hAnsi="Times New Roman" w:eastAsia="黑体"/>
              <w:highlight w:val="none"/>
              <w:lang w:eastAsia="zh-CN"/>
            </w:rPr>
            <w:t>九、</w:t>
          </w:r>
          <w:r>
            <w:rPr>
              <w:rFonts w:hint="eastAsia" w:ascii="Times New Roman" w:hAnsi="Times New Roman" w:eastAsia="黑体"/>
              <w:highlight w:val="none"/>
            </w:rPr>
            <w:t>国有资本经营预算支出决算情况说明</w:t>
          </w:r>
          <w:r>
            <w:tab/>
          </w:r>
          <w:r>
            <w:fldChar w:fldCharType="begin"/>
          </w:r>
          <w:r>
            <w:instrText xml:space="preserve"> PAGEREF _Toc516 \h </w:instrText>
          </w:r>
          <w:r>
            <w:fldChar w:fldCharType="separate"/>
          </w:r>
          <w:r>
            <w:t>- 17 -</w:t>
          </w:r>
          <w:r>
            <w:fldChar w:fldCharType="end"/>
          </w:r>
          <w:r>
            <w:fldChar w:fldCharType="end"/>
          </w:r>
        </w:p>
        <w:p w14:paraId="009B2EB6">
          <w:pPr>
            <w:pStyle w:val="14"/>
            <w:tabs>
              <w:tab w:val="right" w:leader="dot" w:pos="8306"/>
              <w:tab w:val="clear" w:pos="8296"/>
            </w:tabs>
          </w:pPr>
          <w:r>
            <w:fldChar w:fldCharType="begin"/>
          </w:r>
          <w:r>
            <w:instrText xml:space="preserve"> HYPERLINK \l _Toc8540 </w:instrText>
          </w:r>
          <w:r>
            <w:fldChar w:fldCharType="separate"/>
          </w:r>
          <w:r>
            <w:rPr>
              <w:rFonts w:hint="eastAsia" w:ascii="Times New Roman" w:hAnsi="Times New Roman" w:eastAsia="黑体"/>
              <w:highlight w:val="none"/>
              <w:lang w:eastAsia="zh-CN"/>
            </w:rPr>
            <w:t>十、</w:t>
          </w:r>
          <w:r>
            <w:rPr>
              <w:rFonts w:hint="eastAsia" w:ascii="Times New Roman" w:hAnsi="Times New Roman" w:eastAsia="黑体"/>
              <w:highlight w:val="none"/>
            </w:rPr>
            <w:t>其他重要事项的情况说明</w:t>
          </w:r>
          <w:r>
            <w:tab/>
          </w:r>
          <w:r>
            <w:fldChar w:fldCharType="begin"/>
          </w:r>
          <w:r>
            <w:instrText xml:space="preserve"> PAGEREF _Toc8540 \h </w:instrText>
          </w:r>
          <w:r>
            <w:fldChar w:fldCharType="separate"/>
          </w:r>
          <w:r>
            <w:t>- 17 -</w:t>
          </w:r>
          <w:r>
            <w:fldChar w:fldCharType="end"/>
          </w:r>
          <w:r>
            <w:fldChar w:fldCharType="end"/>
          </w:r>
        </w:p>
        <w:p w14:paraId="22BB7F09">
          <w:pPr>
            <w:pStyle w:val="12"/>
            <w:tabs>
              <w:tab w:val="right" w:leader="dot" w:pos="8306"/>
              <w:tab w:val="clear" w:pos="8296"/>
            </w:tabs>
          </w:pPr>
          <w:r>
            <w:fldChar w:fldCharType="begin"/>
          </w:r>
          <w:r>
            <w:instrText xml:space="preserve"> HYPERLINK \l _Toc17660 </w:instrText>
          </w:r>
          <w:r>
            <w:fldChar w:fldCharType="separate"/>
          </w:r>
          <w:r>
            <w:rPr>
              <w:rFonts w:hint="eastAsia" w:ascii="Times New Roman" w:hAnsi="Times New Roman" w:eastAsia="黑体"/>
              <w:szCs w:val="44"/>
              <w:highlight w:val="none"/>
            </w:rPr>
            <w:t>第</w:t>
          </w:r>
          <w:r>
            <w:rPr>
              <w:rFonts w:hint="eastAsia" w:eastAsia="黑体"/>
              <w:szCs w:val="44"/>
              <w:highlight w:val="none"/>
              <w:lang w:eastAsia="zh-CN"/>
            </w:rPr>
            <w:t>三</w:t>
          </w:r>
          <w:r>
            <w:rPr>
              <w:rFonts w:hint="eastAsia" w:ascii="Times New Roman" w:hAnsi="Times New Roman" w:eastAsia="黑体"/>
              <w:szCs w:val="44"/>
              <w:highlight w:val="none"/>
            </w:rPr>
            <w:t>部分</w:t>
          </w:r>
          <w:r>
            <w:rPr>
              <w:rFonts w:hint="eastAsia" w:ascii="Times New Roman" w:hAnsi="Times New Roman" w:eastAsia="黑体"/>
              <w:szCs w:val="44"/>
              <w:highlight w:val="none"/>
              <w:lang w:val="en-US" w:eastAsia="zh-CN"/>
            </w:rPr>
            <w:t xml:space="preserve"> </w:t>
          </w:r>
          <w:r>
            <w:rPr>
              <w:rFonts w:hint="eastAsia" w:eastAsia="黑体"/>
              <w:szCs w:val="44"/>
              <w:highlight w:val="none"/>
              <w:lang w:val="en-US" w:eastAsia="zh-CN"/>
            </w:rPr>
            <w:t xml:space="preserve"> </w:t>
          </w:r>
          <w:r>
            <w:rPr>
              <w:rFonts w:hint="eastAsia" w:ascii="Times New Roman" w:hAnsi="Times New Roman" w:eastAsia="黑体"/>
              <w:szCs w:val="44"/>
              <w:highlight w:val="none"/>
            </w:rPr>
            <w:t>名词解释</w:t>
          </w:r>
          <w:r>
            <w:tab/>
          </w:r>
          <w:r>
            <w:fldChar w:fldCharType="begin"/>
          </w:r>
          <w:r>
            <w:instrText xml:space="preserve"> PAGEREF _Toc17660 \h </w:instrText>
          </w:r>
          <w:r>
            <w:fldChar w:fldCharType="separate"/>
          </w:r>
          <w:r>
            <w:t>- 19 -</w:t>
          </w:r>
          <w:r>
            <w:fldChar w:fldCharType="end"/>
          </w:r>
          <w:r>
            <w:fldChar w:fldCharType="end"/>
          </w:r>
        </w:p>
        <w:p w14:paraId="0603B8D4">
          <w:r>
            <w:fldChar w:fldCharType="end"/>
          </w:r>
        </w:p>
      </w:sdtContent>
    </w:sdt>
    <w:p w14:paraId="6EFB5250"/>
    <w:p w14:paraId="46860F51">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r>
        <w:rPr>
          <w:rFonts w:hint="eastAsia" w:ascii="Times New Roman" w:hAnsi="Times New Roman" w:eastAsia="仿宋_GB2312" w:cs="仿宋_GB2312"/>
          <w:b/>
          <w:color w:val="auto"/>
          <w:sz w:val="32"/>
          <w:szCs w:val="32"/>
          <w:highlight w:val="none"/>
        </w:rPr>
        <w:br w:type="page"/>
      </w:r>
    </w:p>
    <w:p w14:paraId="6BEA758E">
      <w:pPr>
        <w:pStyle w:val="2"/>
        <w:jc w:val="center"/>
        <w:rPr>
          <w:rStyle w:val="28"/>
          <w:rFonts w:hint="eastAsia" w:ascii="Times New Roman" w:hAnsi="Times New Roman" w:eastAsia="方正小标宋简体" w:cs="方正小标宋简体"/>
          <w:b/>
          <w:bCs w:val="0"/>
          <w:color w:val="auto"/>
          <w:highlight w:val="none"/>
        </w:rPr>
      </w:pPr>
      <w:bookmarkStart w:id="8" w:name="_Toc22875"/>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8"/>
          <w:rFonts w:hint="eastAsia" w:ascii="Times New Roman" w:hAnsi="Times New Roman" w:eastAsia="方正小标宋简体" w:cs="方正小标宋简体"/>
          <w:b w:val="0"/>
          <w:bCs w:val="0"/>
          <w:color w:val="auto"/>
          <w:highlight w:val="none"/>
        </w:rPr>
        <w:t>部门概况</w:t>
      </w:r>
      <w:bookmarkEnd w:id="6"/>
      <w:bookmarkEnd w:id="7"/>
      <w:bookmarkEnd w:id="8"/>
    </w:p>
    <w:p w14:paraId="7664B4C6">
      <w:pPr>
        <w:widowControl/>
        <w:jc w:val="left"/>
        <w:rPr>
          <w:rFonts w:ascii="Times New Roman" w:hAnsi="Times New Roman" w:eastAsia="黑体"/>
          <w:color w:val="auto"/>
          <w:sz w:val="32"/>
          <w:szCs w:val="32"/>
          <w:highlight w:val="none"/>
        </w:rPr>
      </w:pPr>
    </w:p>
    <w:p w14:paraId="3E493769">
      <w:pPr>
        <w:pStyle w:val="3"/>
        <w:numPr>
          <w:ilvl w:val="0"/>
          <w:numId w:val="1"/>
        </w:numPr>
        <w:rPr>
          <w:rFonts w:hint="eastAsia" w:ascii="Times New Roman" w:hAnsi="Times New Roman" w:eastAsia="黑体"/>
          <w:b w:val="0"/>
          <w:color w:val="auto"/>
          <w:highlight w:val="none"/>
          <w:lang w:eastAsia="zh-CN"/>
        </w:rPr>
      </w:pPr>
      <w:bookmarkStart w:id="9" w:name="_Toc19220"/>
      <w:r>
        <w:rPr>
          <w:rFonts w:hint="eastAsia" w:ascii="Times New Roman" w:hAnsi="Times New Roman" w:eastAsia="黑体"/>
          <w:b w:val="0"/>
          <w:color w:val="auto"/>
          <w:highlight w:val="none"/>
          <w:lang w:eastAsia="zh-CN"/>
        </w:rPr>
        <w:t>部门职责</w:t>
      </w:r>
      <w:bookmarkEnd w:id="9"/>
    </w:p>
    <w:p w14:paraId="72F6516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i w:val="0"/>
          <w:caps w:val="0"/>
          <w:color w:val="333333"/>
          <w:spacing w:val="0"/>
          <w:kern w:val="0"/>
          <w:sz w:val="32"/>
          <w:szCs w:val="32"/>
          <w:shd w:val="clear" w:color="080000" w:fill="FFFFFF"/>
          <w:lang w:val="en-US" w:eastAsia="zh-CN"/>
        </w:rPr>
      </w:pPr>
      <w:r>
        <w:rPr>
          <w:rFonts w:hint="eastAsia" w:ascii="仿宋_GB2312" w:hAnsi="仿宋_GB2312" w:eastAsia="仿宋_GB2312" w:cs="仿宋_GB2312"/>
          <w:i w:val="0"/>
          <w:caps w:val="0"/>
          <w:color w:val="333333"/>
          <w:spacing w:val="0"/>
          <w:kern w:val="0"/>
          <w:sz w:val="32"/>
          <w:szCs w:val="32"/>
          <w:shd w:val="clear" w:color="080000" w:fill="FFFFFF"/>
          <w:lang w:val="en-US" w:eastAsia="zh-CN"/>
        </w:rPr>
        <w:t>1.贯彻执行国家、省、州住房和城乡建设的法律法规和方针、政策。研究拟定住房保障、城乡规划、工程建设、城乡建设、建筑业、房屋装饰装修业、住宅与房地产业、勘察设计咨询业、负责本系统、本部门依法行政工作，落实行政执法责任制。</w:t>
      </w:r>
    </w:p>
    <w:p w14:paraId="4FC1EAD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i w:val="0"/>
          <w:caps w:val="0"/>
          <w:color w:val="333333"/>
          <w:spacing w:val="0"/>
          <w:kern w:val="0"/>
          <w:sz w:val="32"/>
          <w:szCs w:val="32"/>
          <w:shd w:val="clear" w:color="080000" w:fill="FFFFFF"/>
          <w:lang w:val="en-US" w:eastAsia="zh-CN"/>
        </w:rPr>
      </w:pPr>
      <w:r>
        <w:rPr>
          <w:rFonts w:hint="eastAsia" w:ascii="仿宋_GB2312" w:hAnsi="仿宋_GB2312" w:eastAsia="仿宋_GB2312" w:cs="仿宋_GB2312"/>
          <w:i w:val="0"/>
          <w:caps w:val="0"/>
          <w:color w:val="333333"/>
          <w:spacing w:val="0"/>
          <w:kern w:val="0"/>
          <w:sz w:val="32"/>
          <w:szCs w:val="32"/>
          <w:shd w:val="clear" w:color="080000" w:fill="FFFFFF"/>
          <w:lang w:val="en-US" w:eastAsia="zh-CN"/>
        </w:rPr>
        <w:t>2.承担推进住房制度改革、保障城镇低收入家庭住房的责任。拟订全县住房及住房保障相关政策并指导实施，指导住房建设和住房制度改革。拟订廉租住房规划及政策，会同有关部门做好国家、省、州有关廉租住房资金安排并组织实施。编制住房保障发展规划和年度计划并监督实施。</w:t>
      </w:r>
    </w:p>
    <w:p w14:paraId="341F40A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i w:val="0"/>
          <w:caps w:val="0"/>
          <w:color w:val="333333"/>
          <w:spacing w:val="0"/>
          <w:kern w:val="0"/>
          <w:sz w:val="32"/>
          <w:szCs w:val="32"/>
          <w:shd w:val="clear" w:color="080000" w:fill="FFFFFF"/>
          <w:lang w:val="en-US" w:eastAsia="zh-CN"/>
        </w:rPr>
      </w:pPr>
      <w:r>
        <w:rPr>
          <w:rFonts w:hint="eastAsia" w:ascii="仿宋_GB2312" w:hAnsi="仿宋_GB2312" w:eastAsia="仿宋_GB2312" w:cs="仿宋_GB2312"/>
          <w:i w:val="0"/>
          <w:caps w:val="0"/>
          <w:color w:val="333333"/>
          <w:spacing w:val="0"/>
          <w:kern w:val="0"/>
          <w:sz w:val="32"/>
          <w:szCs w:val="32"/>
          <w:shd w:val="clear" w:color="080000" w:fill="FFFFFF"/>
          <w:lang w:val="en-US" w:eastAsia="zh-CN"/>
        </w:rPr>
        <w:t>3.承担建立全县工程建设标准体系的责任。组织实施工程建设实施阶段的国家标准、四川省统一定额和行业标准定额，组织制定工程建设的地方标准，组织制定和发布全县统一定额，拟定建设项目可行性研究评价方法、经济参数、建设标准和工程造价的管理制度，指导监督各类工程建设标准定额的实施和工程造价计价，负责收集、上报地方工程造价信息。</w:t>
      </w:r>
    </w:p>
    <w:p w14:paraId="7D6ECFA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i w:val="0"/>
          <w:caps w:val="0"/>
          <w:color w:val="333333"/>
          <w:spacing w:val="0"/>
          <w:kern w:val="0"/>
          <w:sz w:val="32"/>
          <w:szCs w:val="32"/>
          <w:shd w:val="clear" w:color="080000" w:fill="FFFFFF"/>
          <w:lang w:val="en-US" w:eastAsia="zh-CN"/>
        </w:rPr>
      </w:pPr>
      <w:r>
        <w:rPr>
          <w:rFonts w:hint="eastAsia" w:ascii="仿宋_GB2312" w:hAnsi="仿宋_GB2312" w:eastAsia="仿宋_GB2312" w:cs="仿宋_GB2312"/>
          <w:i w:val="0"/>
          <w:caps w:val="0"/>
          <w:color w:val="333333"/>
          <w:spacing w:val="0"/>
          <w:kern w:val="0"/>
          <w:sz w:val="32"/>
          <w:szCs w:val="32"/>
          <w:shd w:val="clear" w:color="080000" w:fill="FFFFFF"/>
          <w:lang w:val="en-US" w:eastAsia="zh-CN"/>
        </w:rPr>
        <w:t xml:space="preserve"> 4.承担规范房地产市场秩序、监督管理房地产市场的责任。会同有关部门组织拟订房地产市场监督管理政策并监督执行，提出房地产业的行业发展规划和产业政策，制定房地产开发、房屋权属管理、房屋租赁、房屋面积管理、危房鉴定、白蚁防治、房屋征收拆迁的规章制度并监督执行。</w:t>
      </w:r>
    </w:p>
    <w:p w14:paraId="6205134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i w:val="0"/>
          <w:caps w:val="0"/>
          <w:color w:val="333333"/>
          <w:spacing w:val="0"/>
          <w:kern w:val="0"/>
          <w:sz w:val="32"/>
          <w:szCs w:val="32"/>
          <w:shd w:val="clear" w:color="080000" w:fill="FFFFFF"/>
          <w:lang w:val="en-US" w:eastAsia="zh-CN"/>
        </w:rPr>
      </w:pPr>
      <w:r>
        <w:rPr>
          <w:rFonts w:hint="eastAsia" w:ascii="仿宋_GB2312" w:hAnsi="仿宋_GB2312" w:eastAsia="仿宋_GB2312" w:cs="仿宋_GB2312"/>
          <w:i w:val="0"/>
          <w:caps w:val="0"/>
          <w:color w:val="333333"/>
          <w:spacing w:val="0"/>
          <w:kern w:val="0"/>
          <w:sz w:val="32"/>
          <w:szCs w:val="32"/>
          <w:shd w:val="clear" w:color="080000" w:fill="FFFFFF"/>
          <w:lang w:val="en-US" w:eastAsia="zh-CN"/>
        </w:rPr>
        <w:t xml:space="preserve"> 5.承担监督管理建筑市场、规范建筑市场各方主体行为的责任。指导全县建筑活动，拟订工程建设、建筑业及装饰装修业发展战略、中长期规划、改革方案、产业政策、规章制度并监督执行。配合相关部门开展房屋建筑项目招投标活动的监督。拟订建设工程施工、监理以及规范建筑市场各方主体行为的规章制度并监督执行。负责建筑工程质量安全的监督管理工作，拟订建筑工程质量、建筑安全生产和竣工验收备案的政策、规章制度并监督执行，组织或参与工程重大质量、安全事故的调查处理。</w:t>
      </w:r>
    </w:p>
    <w:p w14:paraId="130DB64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i w:val="0"/>
          <w:caps w:val="0"/>
          <w:color w:val="333333"/>
          <w:spacing w:val="0"/>
          <w:kern w:val="0"/>
          <w:sz w:val="32"/>
          <w:szCs w:val="32"/>
          <w:shd w:val="clear" w:color="080000" w:fill="FFFFFF"/>
          <w:lang w:val="en-US" w:eastAsia="zh-CN"/>
        </w:rPr>
      </w:pPr>
      <w:r>
        <w:rPr>
          <w:rFonts w:hint="eastAsia" w:ascii="仿宋_GB2312" w:hAnsi="仿宋_GB2312" w:eastAsia="仿宋_GB2312" w:cs="仿宋_GB2312"/>
          <w:i w:val="0"/>
          <w:caps w:val="0"/>
          <w:color w:val="333333"/>
          <w:spacing w:val="0"/>
          <w:kern w:val="0"/>
          <w:sz w:val="32"/>
          <w:szCs w:val="32"/>
          <w:shd w:val="clear" w:color="080000" w:fill="FFFFFF"/>
          <w:lang w:val="en-US" w:eastAsia="zh-CN"/>
        </w:rPr>
        <w:t>6.承担监督管理勘察设计咨询市场秩序和勘察设计咨询质量的责任。拟订工程勘察设计咨询业的战略、中长期规划、改革方案、产业和技术政策、规章制度并指导实施。指导建设工程抗震设防工作，组织编制并实施房屋建筑和市政设施抗震技术地方规范和标准图集，组织开展城镇建筑物抗震性能普查、鉴定加固和改造工作，指导村镇和农村建设抗震工作，指导和组织灾后恢复重建工作。</w:t>
      </w:r>
    </w:p>
    <w:p w14:paraId="630C20F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i w:val="0"/>
          <w:caps w:val="0"/>
          <w:color w:val="333333"/>
          <w:spacing w:val="0"/>
          <w:kern w:val="0"/>
          <w:sz w:val="32"/>
          <w:szCs w:val="32"/>
          <w:shd w:val="clear" w:color="080000" w:fill="FFFFFF"/>
          <w:lang w:val="en-US" w:eastAsia="zh-CN"/>
        </w:rPr>
      </w:pPr>
      <w:r>
        <w:rPr>
          <w:rFonts w:hint="eastAsia" w:ascii="仿宋_GB2312" w:hAnsi="仿宋_GB2312" w:eastAsia="仿宋_GB2312" w:cs="仿宋_GB2312"/>
          <w:i w:val="0"/>
          <w:caps w:val="0"/>
          <w:color w:val="333333"/>
          <w:spacing w:val="0"/>
          <w:kern w:val="0"/>
          <w:sz w:val="32"/>
          <w:szCs w:val="32"/>
          <w:shd w:val="clear" w:color="080000" w:fill="FFFFFF"/>
          <w:lang w:val="en-US" w:eastAsia="zh-CN"/>
        </w:rPr>
        <w:t>7.承担指导城镇建设管理的责任。拟订城镇建设的政策、规划并指导实施，指导城镇供水、节水、排水、燃气、污水和垃圾处理等市政公用设施的建设管理，指导城镇市容环境综合治理管理工作，指导城镇防汛防洪排涝工作，指导和组织各类城镇建设试点工作，指导城镇建设档案管理工作。会同有关部门做好城市维护资金安排并监督地方组织实施。</w:t>
      </w:r>
    </w:p>
    <w:p w14:paraId="2A61E36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i w:val="0"/>
          <w:caps w:val="0"/>
          <w:color w:val="333333"/>
          <w:spacing w:val="0"/>
          <w:kern w:val="0"/>
          <w:sz w:val="32"/>
          <w:szCs w:val="32"/>
          <w:shd w:val="clear" w:color="080000" w:fill="FFFFFF"/>
          <w:lang w:val="en-US" w:eastAsia="zh-CN"/>
        </w:rPr>
      </w:pPr>
      <w:r>
        <w:rPr>
          <w:rFonts w:hint="eastAsia" w:ascii="仿宋_GB2312" w:hAnsi="仿宋_GB2312" w:eastAsia="仿宋_GB2312" w:cs="仿宋_GB2312"/>
          <w:i w:val="0"/>
          <w:caps w:val="0"/>
          <w:color w:val="333333"/>
          <w:spacing w:val="0"/>
          <w:kern w:val="0"/>
          <w:sz w:val="32"/>
          <w:szCs w:val="32"/>
          <w:shd w:val="clear" w:color="080000" w:fill="FFFFFF"/>
          <w:lang w:val="en-US" w:eastAsia="zh-CN"/>
        </w:rPr>
        <w:t>8.承担规范和指导村镇建设的责任。拟订村庄和小城镇建设政策并指导实施，指导村镇规划编制、农村住房建设管理和危房改造，指导小城镇和村庄人居生态环境的改善工作，指导和组织各类村镇建设试点工作，指导受灾村镇及国家大型重点建设项目地区村镇迁建、重建的规划建设和管理工作。</w:t>
      </w:r>
    </w:p>
    <w:p w14:paraId="785D291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i w:val="0"/>
          <w:caps w:val="0"/>
          <w:color w:val="333333"/>
          <w:spacing w:val="0"/>
          <w:kern w:val="0"/>
          <w:sz w:val="32"/>
          <w:szCs w:val="32"/>
          <w:shd w:val="clear" w:color="080000" w:fill="FFFFFF"/>
          <w:lang w:val="en-US" w:eastAsia="zh-CN"/>
        </w:rPr>
      </w:pPr>
      <w:r>
        <w:rPr>
          <w:rFonts w:hint="eastAsia" w:ascii="仿宋_GB2312" w:hAnsi="仿宋_GB2312" w:eastAsia="仿宋_GB2312" w:cs="仿宋_GB2312"/>
          <w:i w:val="0"/>
          <w:caps w:val="0"/>
          <w:color w:val="333333"/>
          <w:spacing w:val="0"/>
          <w:kern w:val="0"/>
          <w:sz w:val="32"/>
          <w:szCs w:val="32"/>
          <w:shd w:val="clear" w:color="080000" w:fill="FFFFFF"/>
          <w:lang w:val="en-US" w:eastAsia="zh-CN"/>
        </w:rPr>
        <w:t>9.承担推进建筑节能、城镇减排的责任。会同有关部门拟订建筑节能政策、规划并监督实施，推广使用散装水泥，进行新型墙体材料改革和技术推广，组织实施重大建筑节能项目，推进城镇减排。组织实施重大科技项目成果转化工作，承担推进墙体材料革新的责任。</w:t>
      </w:r>
    </w:p>
    <w:p w14:paraId="48C9059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i w:val="0"/>
          <w:caps w:val="0"/>
          <w:color w:val="333333"/>
          <w:spacing w:val="0"/>
          <w:kern w:val="0"/>
          <w:sz w:val="32"/>
          <w:szCs w:val="32"/>
          <w:shd w:val="clear" w:color="080000" w:fill="FFFFFF"/>
          <w:lang w:val="en-US" w:eastAsia="zh-CN"/>
        </w:rPr>
      </w:pPr>
      <w:r>
        <w:rPr>
          <w:rFonts w:hint="eastAsia" w:ascii="仿宋_GB2312" w:hAnsi="仿宋_GB2312" w:eastAsia="仿宋_GB2312" w:cs="仿宋_GB2312"/>
          <w:i w:val="0"/>
          <w:caps w:val="0"/>
          <w:color w:val="333333"/>
          <w:spacing w:val="0"/>
          <w:kern w:val="0"/>
          <w:sz w:val="32"/>
          <w:szCs w:val="32"/>
          <w:shd w:val="clear" w:color="080000" w:fill="FFFFFF"/>
          <w:lang w:val="en-US" w:eastAsia="zh-CN"/>
        </w:rPr>
        <w:t>10.制订建设行业人才培养和教育发展规划并组织实施，指导建设行业科技人才队伍建设和执业资格管理工作。指导监督全县建设行业民间组织管理工作。负责指导住房和城乡建设系统的信访工作，督查督办重大信访案件。开展住房和城乡建设方面的交流与合作。管理局机关及直属事业单位的人事、机构编制、劳动工资工作；指导行业廉政建设、社会保险、劳动标准和专业技术职称工作。</w:t>
      </w:r>
    </w:p>
    <w:p w14:paraId="23002B1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i w:val="0"/>
          <w:caps w:val="0"/>
          <w:color w:val="333333"/>
          <w:spacing w:val="0"/>
          <w:kern w:val="0"/>
          <w:sz w:val="32"/>
          <w:szCs w:val="32"/>
          <w:shd w:val="clear" w:color="080000" w:fill="FFFFFF"/>
          <w:lang w:val="en-US" w:eastAsia="zh-CN"/>
        </w:rPr>
      </w:pPr>
      <w:r>
        <w:rPr>
          <w:rFonts w:hint="eastAsia" w:ascii="仿宋_GB2312" w:hAnsi="仿宋_GB2312" w:eastAsia="仿宋_GB2312" w:cs="仿宋_GB2312"/>
          <w:i w:val="0"/>
          <w:caps w:val="0"/>
          <w:color w:val="333333"/>
          <w:spacing w:val="0"/>
          <w:kern w:val="0"/>
          <w:sz w:val="32"/>
          <w:szCs w:val="32"/>
          <w:shd w:val="clear" w:color="080000" w:fill="FFFFFF"/>
          <w:lang w:val="en-US" w:eastAsia="zh-CN"/>
        </w:rPr>
        <w:t>11.承担县政府公布的有关政审批事项</w:t>
      </w:r>
    </w:p>
    <w:p w14:paraId="023E120E">
      <w:pPr>
        <w:pStyle w:val="27"/>
        <w:numPr>
          <w:ilvl w:val="0"/>
          <w:numId w:val="0"/>
        </w:numPr>
        <w:ind w:leftChars="0" w:firstLine="640" w:firstLineChars="200"/>
        <w:jc w:val="left"/>
        <w:outlineLvl w:val="2"/>
        <w:rPr>
          <w:rFonts w:hint="eastAsia" w:ascii="仿宋_GB2312" w:hAnsi="仿宋_GB2312" w:eastAsia="仿宋_GB2312" w:cs="仿宋_GB2312"/>
          <w:i w:val="0"/>
          <w:caps w:val="0"/>
          <w:color w:val="333333"/>
          <w:spacing w:val="0"/>
          <w:kern w:val="0"/>
          <w:sz w:val="32"/>
          <w:szCs w:val="32"/>
          <w:shd w:val="clear" w:color="080000" w:fill="FFFFFF"/>
          <w:lang w:val="en-US" w:eastAsia="zh-CN" w:bidi="ar-SA"/>
        </w:rPr>
      </w:pPr>
      <w:r>
        <w:rPr>
          <w:rFonts w:hint="eastAsia" w:ascii="仿宋_GB2312" w:hAnsi="仿宋_GB2312" w:eastAsia="仿宋_GB2312" w:cs="仿宋_GB2312"/>
          <w:i w:val="0"/>
          <w:caps w:val="0"/>
          <w:color w:val="333333"/>
          <w:spacing w:val="0"/>
          <w:kern w:val="0"/>
          <w:sz w:val="32"/>
          <w:szCs w:val="32"/>
          <w:shd w:val="clear" w:color="080000" w:fill="FFFFFF"/>
          <w:lang w:val="en-US" w:eastAsia="zh-CN" w:bidi="ar-SA"/>
        </w:rPr>
        <w:t>12.贯彻执行上级有关房产管理的方针、政策和法律法规。</w:t>
      </w:r>
    </w:p>
    <w:p w14:paraId="5CCACA04">
      <w:pPr>
        <w:pStyle w:val="27"/>
        <w:numPr>
          <w:ilvl w:val="0"/>
          <w:numId w:val="0"/>
        </w:numPr>
        <w:ind w:leftChars="0" w:firstLine="640" w:firstLineChars="200"/>
        <w:jc w:val="left"/>
        <w:rPr>
          <w:rFonts w:hint="eastAsia" w:ascii="仿宋_GB2312" w:hAnsi="仿宋_GB2312" w:eastAsia="仿宋_GB2312" w:cs="仿宋_GB2312"/>
          <w:i w:val="0"/>
          <w:caps w:val="0"/>
          <w:color w:val="333333"/>
          <w:spacing w:val="0"/>
          <w:kern w:val="0"/>
          <w:sz w:val="32"/>
          <w:szCs w:val="32"/>
          <w:shd w:val="clear" w:color="080000" w:fill="FFFFFF"/>
          <w:lang w:val="en-US" w:eastAsia="zh-CN" w:bidi="ar-SA"/>
        </w:rPr>
      </w:pPr>
      <w:r>
        <w:rPr>
          <w:rFonts w:hint="eastAsia" w:ascii="仿宋_GB2312" w:hAnsi="仿宋_GB2312" w:eastAsia="仿宋_GB2312" w:cs="仿宋_GB2312"/>
          <w:i w:val="0"/>
          <w:caps w:val="0"/>
          <w:color w:val="333333"/>
          <w:spacing w:val="0"/>
          <w:kern w:val="0"/>
          <w:sz w:val="32"/>
          <w:szCs w:val="32"/>
          <w:shd w:val="clear" w:color="080000" w:fill="FFFFFF"/>
          <w:lang w:val="en-US" w:eastAsia="zh-CN" w:bidi="ar-SA"/>
        </w:rPr>
        <w:t>13.办理商品房预售证及商品房预售合同备案登记。（商品房预售证办理相关资料的受理、审核、登簿、颁证，及商品房预售合同备案登记业务）</w:t>
      </w:r>
    </w:p>
    <w:p w14:paraId="6D6C9A7C">
      <w:pPr>
        <w:pStyle w:val="27"/>
        <w:numPr>
          <w:ilvl w:val="0"/>
          <w:numId w:val="0"/>
        </w:numPr>
        <w:ind w:leftChars="0" w:firstLine="640" w:firstLineChars="200"/>
        <w:jc w:val="left"/>
        <w:rPr>
          <w:rFonts w:hint="eastAsia" w:ascii="仿宋_GB2312" w:hAnsi="仿宋_GB2312" w:eastAsia="仿宋_GB2312" w:cs="仿宋_GB2312"/>
          <w:i w:val="0"/>
          <w:caps w:val="0"/>
          <w:color w:val="333333"/>
          <w:spacing w:val="0"/>
          <w:kern w:val="0"/>
          <w:sz w:val="32"/>
          <w:szCs w:val="32"/>
          <w:shd w:val="clear" w:color="080000" w:fill="FFFFFF"/>
          <w:lang w:val="en-US" w:eastAsia="zh-CN" w:bidi="ar-SA"/>
        </w:rPr>
      </w:pPr>
      <w:r>
        <w:rPr>
          <w:rFonts w:hint="eastAsia" w:ascii="仿宋_GB2312" w:hAnsi="仿宋_GB2312" w:eastAsia="仿宋_GB2312" w:cs="仿宋_GB2312"/>
          <w:i w:val="0"/>
          <w:caps w:val="0"/>
          <w:color w:val="333333"/>
          <w:spacing w:val="0"/>
          <w:kern w:val="0"/>
          <w:sz w:val="32"/>
          <w:szCs w:val="32"/>
          <w:shd w:val="clear" w:color="080000" w:fill="FFFFFF"/>
          <w:lang w:val="en-US" w:eastAsia="zh-CN" w:bidi="ar-SA"/>
        </w:rPr>
        <w:t>14.房产交易类登记业务的办理。（包括二手房买卖、继承、赠予、商品房买卖等登记业务的办理）</w:t>
      </w:r>
    </w:p>
    <w:p w14:paraId="57526EB4">
      <w:pPr>
        <w:pStyle w:val="27"/>
        <w:numPr>
          <w:ilvl w:val="0"/>
          <w:numId w:val="0"/>
        </w:numPr>
        <w:ind w:leftChars="0" w:firstLine="640" w:firstLineChars="200"/>
        <w:jc w:val="left"/>
        <w:outlineLvl w:val="2"/>
        <w:rPr>
          <w:rFonts w:hint="eastAsia" w:ascii="仿宋_GB2312" w:hAnsi="仿宋_GB2312" w:eastAsia="仿宋_GB2312" w:cs="仿宋_GB2312"/>
          <w:i w:val="0"/>
          <w:caps w:val="0"/>
          <w:color w:val="333333"/>
          <w:spacing w:val="0"/>
          <w:kern w:val="0"/>
          <w:sz w:val="32"/>
          <w:szCs w:val="32"/>
          <w:shd w:val="clear" w:color="080000" w:fill="FFFFFF"/>
          <w:lang w:val="en-US" w:eastAsia="zh-CN" w:bidi="ar-SA"/>
        </w:rPr>
      </w:pPr>
      <w:r>
        <w:rPr>
          <w:rFonts w:hint="eastAsia" w:ascii="仿宋_GB2312" w:hAnsi="仿宋_GB2312" w:eastAsia="仿宋_GB2312" w:cs="仿宋_GB2312"/>
          <w:i w:val="0"/>
          <w:caps w:val="0"/>
          <w:color w:val="333333"/>
          <w:spacing w:val="0"/>
          <w:kern w:val="0"/>
          <w:sz w:val="32"/>
          <w:szCs w:val="32"/>
          <w:shd w:val="clear" w:color="080000" w:fill="FFFFFF"/>
          <w:lang w:val="en-US" w:eastAsia="zh-CN" w:bidi="ar-SA"/>
        </w:rPr>
        <w:t>15.物业监管。（负责物业的行业管理，指导、协调、监督业主委员会和物业管理企业）</w:t>
      </w:r>
    </w:p>
    <w:p w14:paraId="193B9479">
      <w:pPr>
        <w:pStyle w:val="27"/>
        <w:numPr>
          <w:ilvl w:val="0"/>
          <w:numId w:val="0"/>
        </w:numPr>
        <w:ind w:leftChars="0" w:firstLine="640" w:firstLineChars="200"/>
        <w:jc w:val="left"/>
        <w:rPr>
          <w:rFonts w:hint="eastAsia" w:ascii="仿宋_GB2312" w:hAnsi="仿宋_GB2312" w:eastAsia="仿宋_GB2312" w:cs="仿宋_GB2312"/>
          <w:i w:val="0"/>
          <w:caps w:val="0"/>
          <w:color w:val="333333"/>
          <w:spacing w:val="0"/>
          <w:kern w:val="0"/>
          <w:sz w:val="32"/>
          <w:szCs w:val="32"/>
          <w:shd w:val="clear" w:color="080000" w:fill="FFFFFF"/>
          <w:lang w:val="en-US" w:eastAsia="zh-CN" w:bidi="ar-SA"/>
        </w:rPr>
      </w:pPr>
      <w:r>
        <w:rPr>
          <w:rFonts w:hint="eastAsia" w:ascii="仿宋_GB2312" w:hAnsi="仿宋_GB2312" w:eastAsia="仿宋_GB2312" w:cs="仿宋_GB2312"/>
          <w:i w:val="0"/>
          <w:caps w:val="0"/>
          <w:color w:val="333333"/>
          <w:spacing w:val="0"/>
          <w:kern w:val="0"/>
          <w:sz w:val="32"/>
          <w:szCs w:val="32"/>
          <w:shd w:val="clear" w:color="080000" w:fill="FFFFFF"/>
          <w:lang w:val="en-US" w:eastAsia="zh-CN" w:bidi="ar-SA"/>
        </w:rPr>
        <w:t>16.房地产市场的监管。（协同有关部门加强房地产市场和价格的管理，负责全县房地产管理执法检查，查处违法违章行为，维护房地产市场秩序。）</w:t>
      </w:r>
    </w:p>
    <w:p w14:paraId="3AF31EB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仿宋_GB2312" w:eastAsia="仿宋_GB2312" w:cs="仿宋_GB2312"/>
          <w:i w:val="0"/>
          <w:caps w:val="0"/>
          <w:color w:val="333333"/>
          <w:spacing w:val="0"/>
          <w:kern w:val="0"/>
          <w:sz w:val="32"/>
          <w:szCs w:val="32"/>
          <w:shd w:val="clear" w:color="080000" w:fill="FFFFFF"/>
          <w:lang w:val="en-US" w:eastAsia="zh-CN"/>
        </w:rPr>
      </w:pPr>
      <w:r>
        <w:rPr>
          <w:rFonts w:hint="eastAsia" w:ascii="仿宋_GB2312" w:hAnsi="仿宋_GB2312" w:eastAsia="仿宋_GB2312" w:cs="仿宋_GB2312"/>
          <w:i w:val="0"/>
          <w:caps w:val="0"/>
          <w:color w:val="333333"/>
          <w:spacing w:val="0"/>
          <w:kern w:val="0"/>
          <w:sz w:val="32"/>
          <w:szCs w:val="32"/>
          <w:shd w:val="clear" w:color="080000" w:fill="FFFFFF"/>
          <w:lang w:val="en-US" w:eastAsia="zh-CN"/>
        </w:rPr>
        <w:t>17.受县建设行政主管部门授权委托，根据</w:t>
      </w:r>
      <w:r>
        <w:rPr>
          <w:rFonts w:hint="eastAsia" w:ascii="仿宋_GB2312" w:hAnsi="仿宋_GB2312" w:eastAsia="仿宋_GB2312" w:cs="仿宋_GB2312"/>
          <w:i w:val="0"/>
          <w:caps w:val="0"/>
          <w:color w:val="333333"/>
          <w:spacing w:val="0"/>
          <w:kern w:val="0"/>
          <w:sz w:val="32"/>
          <w:szCs w:val="32"/>
          <w:shd w:val="clear" w:color="080000" w:fill="FFFFFF"/>
          <w:lang w:val="en-US" w:eastAsia="zh-CN"/>
        </w:rPr>
        <w:fldChar w:fldCharType="begin"/>
      </w:r>
      <w:r>
        <w:rPr>
          <w:rFonts w:hint="eastAsia" w:ascii="仿宋_GB2312" w:hAnsi="仿宋_GB2312" w:eastAsia="仿宋_GB2312" w:cs="仿宋_GB2312"/>
          <w:i w:val="0"/>
          <w:caps w:val="0"/>
          <w:color w:val="333333"/>
          <w:spacing w:val="0"/>
          <w:kern w:val="0"/>
          <w:sz w:val="32"/>
          <w:szCs w:val="32"/>
          <w:shd w:val="clear" w:color="080000" w:fill="FFFFFF"/>
          <w:lang w:val="en-US" w:eastAsia="zh-CN"/>
        </w:rPr>
        <w:instrText xml:space="preserve"> HYPERLINK "https://www.baidu.com/s?wd=%E3%80%8A%E5%BB%BA%E7%AD%91%E6%B3%95%E3%80%8B&amp;tn=SE_PcZhidaonwhc_ngpagmjz&amp;rsv_dl=gh_pc_zhidao" \t "https://zhidao.baidu.com/question/_blank" </w:instrText>
      </w:r>
      <w:r>
        <w:rPr>
          <w:rFonts w:hint="eastAsia" w:ascii="仿宋_GB2312" w:hAnsi="仿宋_GB2312" w:eastAsia="仿宋_GB2312" w:cs="仿宋_GB2312"/>
          <w:i w:val="0"/>
          <w:caps w:val="0"/>
          <w:color w:val="333333"/>
          <w:spacing w:val="0"/>
          <w:kern w:val="0"/>
          <w:sz w:val="32"/>
          <w:szCs w:val="32"/>
          <w:shd w:val="clear" w:color="080000" w:fill="FFFFFF"/>
          <w:lang w:val="en-US" w:eastAsia="zh-CN"/>
        </w:rPr>
        <w:fldChar w:fldCharType="separate"/>
      </w:r>
      <w:r>
        <w:rPr>
          <w:rFonts w:hint="eastAsia" w:ascii="仿宋_GB2312" w:hAnsi="仿宋_GB2312" w:eastAsia="仿宋_GB2312" w:cs="仿宋_GB2312"/>
          <w:i w:val="0"/>
          <w:caps w:val="0"/>
          <w:color w:val="333333"/>
          <w:spacing w:val="0"/>
          <w:kern w:val="0"/>
          <w:sz w:val="32"/>
          <w:szCs w:val="32"/>
          <w:shd w:val="clear" w:color="080000" w:fill="FFFFFF"/>
          <w:lang w:val="en-US" w:eastAsia="zh-CN"/>
        </w:rPr>
        <w:t>《中华人民共和国建筑法》</w:t>
      </w:r>
      <w:r>
        <w:rPr>
          <w:rFonts w:hint="eastAsia" w:ascii="仿宋_GB2312" w:hAnsi="仿宋_GB2312" w:eastAsia="仿宋_GB2312" w:cs="仿宋_GB2312"/>
          <w:i w:val="0"/>
          <w:caps w:val="0"/>
          <w:color w:val="333333"/>
          <w:spacing w:val="0"/>
          <w:kern w:val="0"/>
          <w:sz w:val="32"/>
          <w:szCs w:val="32"/>
          <w:shd w:val="clear" w:color="080000" w:fill="FFFFFF"/>
          <w:lang w:val="en-US" w:eastAsia="zh-CN"/>
        </w:rPr>
        <w:fldChar w:fldCharType="end"/>
      </w:r>
      <w:r>
        <w:rPr>
          <w:rFonts w:hint="eastAsia" w:ascii="仿宋_GB2312" w:hAnsi="仿宋_GB2312" w:eastAsia="仿宋_GB2312" w:cs="仿宋_GB2312"/>
          <w:i w:val="0"/>
          <w:caps w:val="0"/>
          <w:color w:val="333333"/>
          <w:spacing w:val="0"/>
          <w:kern w:val="0"/>
          <w:sz w:val="32"/>
          <w:szCs w:val="32"/>
          <w:shd w:val="clear" w:color="080000" w:fill="FFFFFF"/>
          <w:lang w:val="en-US" w:eastAsia="zh-CN"/>
        </w:rPr>
        <w:fldChar w:fldCharType="begin"/>
      </w:r>
      <w:r>
        <w:rPr>
          <w:rFonts w:hint="eastAsia" w:ascii="仿宋_GB2312" w:hAnsi="仿宋_GB2312" w:eastAsia="仿宋_GB2312" w:cs="仿宋_GB2312"/>
          <w:i w:val="0"/>
          <w:caps w:val="0"/>
          <w:color w:val="333333"/>
          <w:spacing w:val="0"/>
          <w:kern w:val="0"/>
          <w:sz w:val="32"/>
          <w:szCs w:val="32"/>
          <w:shd w:val="clear" w:color="080000" w:fill="FFFFFF"/>
          <w:lang w:val="en-US" w:eastAsia="zh-CN"/>
        </w:rPr>
        <w:instrText xml:space="preserve"> HYPERLINK "https://www.baidu.com/s?wd=%E3%80%8A%E5%AE%89%E5%85%A8%E7%94%9F%E4%BA%A7%E6%B3%95%E3%80%8B&amp;tn=SE_PcZhidaonwhc_ngpagmjz&amp;rsv_dl=gh_pc_zhidao" \t "https://zhidao.baidu.com/question/_blank" </w:instrText>
      </w:r>
      <w:r>
        <w:rPr>
          <w:rFonts w:hint="eastAsia" w:ascii="仿宋_GB2312" w:hAnsi="仿宋_GB2312" w:eastAsia="仿宋_GB2312" w:cs="仿宋_GB2312"/>
          <w:i w:val="0"/>
          <w:caps w:val="0"/>
          <w:color w:val="333333"/>
          <w:spacing w:val="0"/>
          <w:kern w:val="0"/>
          <w:sz w:val="32"/>
          <w:szCs w:val="32"/>
          <w:shd w:val="clear" w:color="080000" w:fill="FFFFFF"/>
          <w:lang w:val="en-US" w:eastAsia="zh-CN"/>
        </w:rPr>
        <w:fldChar w:fldCharType="separate"/>
      </w:r>
      <w:r>
        <w:rPr>
          <w:rFonts w:hint="eastAsia" w:ascii="仿宋_GB2312" w:hAnsi="仿宋_GB2312" w:eastAsia="仿宋_GB2312" w:cs="仿宋_GB2312"/>
          <w:i w:val="0"/>
          <w:caps w:val="0"/>
          <w:color w:val="333333"/>
          <w:spacing w:val="0"/>
          <w:kern w:val="0"/>
          <w:sz w:val="32"/>
          <w:szCs w:val="32"/>
          <w:shd w:val="clear" w:color="080000" w:fill="FFFFFF"/>
          <w:lang w:val="en-US" w:eastAsia="zh-CN"/>
        </w:rPr>
        <w:t>《中华人民共和国安全生产法》</w:t>
      </w:r>
      <w:r>
        <w:rPr>
          <w:rFonts w:hint="eastAsia" w:ascii="仿宋_GB2312" w:hAnsi="仿宋_GB2312" w:eastAsia="仿宋_GB2312" w:cs="仿宋_GB2312"/>
          <w:i w:val="0"/>
          <w:caps w:val="0"/>
          <w:color w:val="333333"/>
          <w:spacing w:val="0"/>
          <w:kern w:val="0"/>
          <w:sz w:val="32"/>
          <w:szCs w:val="32"/>
          <w:shd w:val="clear" w:color="080000" w:fill="FFFFFF"/>
          <w:lang w:val="en-US" w:eastAsia="zh-CN"/>
        </w:rPr>
        <w:fldChar w:fldCharType="end"/>
      </w:r>
      <w:r>
        <w:rPr>
          <w:rFonts w:hint="eastAsia" w:ascii="仿宋_GB2312" w:hAnsi="仿宋_GB2312" w:eastAsia="仿宋_GB2312" w:cs="仿宋_GB2312"/>
          <w:i w:val="0"/>
          <w:caps w:val="0"/>
          <w:color w:val="333333"/>
          <w:spacing w:val="0"/>
          <w:kern w:val="0"/>
          <w:sz w:val="32"/>
          <w:szCs w:val="32"/>
          <w:shd w:val="clear" w:color="080000" w:fill="FFFFFF"/>
          <w:lang w:val="en-US" w:eastAsia="zh-CN"/>
        </w:rPr>
        <w:fldChar w:fldCharType="begin"/>
      </w:r>
      <w:r>
        <w:rPr>
          <w:rFonts w:hint="eastAsia" w:ascii="仿宋_GB2312" w:hAnsi="仿宋_GB2312" w:eastAsia="仿宋_GB2312" w:cs="仿宋_GB2312"/>
          <w:i w:val="0"/>
          <w:caps w:val="0"/>
          <w:color w:val="333333"/>
          <w:spacing w:val="0"/>
          <w:kern w:val="0"/>
          <w:sz w:val="32"/>
          <w:szCs w:val="32"/>
          <w:shd w:val="clear" w:color="080000" w:fill="FFFFFF"/>
          <w:lang w:val="en-US" w:eastAsia="zh-CN"/>
        </w:rPr>
        <w:instrText xml:space="preserve"> HYPERLINK "https://www.baidu.com/s?wd=%E3%80%8A%E5%BB%BA%E7%AD%91%E5%B7%A5%E7%A8%8B%E8%B4%A8%E9%87%8F%E7%AE%A1%E7%90%86%E6%9D%A1%E4%BE%8B%E3%80%8B&amp;tn=SE_PcZhidaonwhc_ngpagmjz&amp;rsv_dl=gh_pc_zhidao" \t "https://zhidao.baidu.com/question/_blank" </w:instrText>
      </w:r>
      <w:r>
        <w:rPr>
          <w:rFonts w:hint="eastAsia" w:ascii="仿宋_GB2312" w:hAnsi="仿宋_GB2312" w:eastAsia="仿宋_GB2312" w:cs="仿宋_GB2312"/>
          <w:i w:val="0"/>
          <w:caps w:val="0"/>
          <w:color w:val="333333"/>
          <w:spacing w:val="0"/>
          <w:kern w:val="0"/>
          <w:sz w:val="32"/>
          <w:szCs w:val="32"/>
          <w:shd w:val="clear" w:color="080000" w:fill="FFFFFF"/>
          <w:lang w:val="en-US" w:eastAsia="zh-CN"/>
        </w:rPr>
        <w:fldChar w:fldCharType="separate"/>
      </w:r>
      <w:r>
        <w:rPr>
          <w:rFonts w:hint="eastAsia" w:ascii="仿宋_GB2312" w:hAnsi="仿宋_GB2312" w:eastAsia="仿宋_GB2312" w:cs="仿宋_GB2312"/>
          <w:i w:val="0"/>
          <w:caps w:val="0"/>
          <w:color w:val="333333"/>
          <w:spacing w:val="0"/>
          <w:kern w:val="0"/>
          <w:sz w:val="32"/>
          <w:szCs w:val="32"/>
          <w:shd w:val="clear" w:color="080000" w:fill="FFFFFF"/>
          <w:lang w:val="en-US" w:eastAsia="zh-CN"/>
        </w:rPr>
        <w:t>《建设工程质量管理条例》</w:t>
      </w:r>
      <w:r>
        <w:rPr>
          <w:rFonts w:hint="eastAsia" w:ascii="仿宋_GB2312" w:hAnsi="仿宋_GB2312" w:eastAsia="仿宋_GB2312" w:cs="仿宋_GB2312"/>
          <w:i w:val="0"/>
          <w:caps w:val="0"/>
          <w:color w:val="333333"/>
          <w:spacing w:val="0"/>
          <w:kern w:val="0"/>
          <w:sz w:val="32"/>
          <w:szCs w:val="32"/>
          <w:shd w:val="clear" w:color="080000" w:fill="FFFFFF"/>
          <w:lang w:val="en-US" w:eastAsia="zh-CN"/>
        </w:rPr>
        <w:fldChar w:fldCharType="end"/>
      </w:r>
      <w:r>
        <w:rPr>
          <w:rFonts w:hint="eastAsia" w:ascii="仿宋_GB2312" w:hAnsi="仿宋_GB2312" w:eastAsia="仿宋_GB2312" w:cs="仿宋_GB2312"/>
          <w:i w:val="0"/>
          <w:caps w:val="0"/>
          <w:color w:val="333333"/>
          <w:spacing w:val="0"/>
          <w:kern w:val="0"/>
          <w:sz w:val="32"/>
          <w:szCs w:val="32"/>
          <w:shd w:val="clear" w:color="080000" w:fill="FFFFFF"/>
          <w:lang w:val="en-US" w:eastAsia="zh-CN"/>
        </w:rPr>
        <w:fldChar w:fldCharType="begin"/>
      </w:r>
      <w:r>
        <w:rPr>
          <w:rFonts w:hint="eastAsia" w:ascii="仿宋_GB2312" w:hAnsi="仿宋_GB2312" w:eastAsia="仿宋_GB2312" w:cs="仿宋_GB2312"/>
          <w:i w:val="0"/>
          <w:caps w:val="0"/>
          <w:color w:val="333333"/>
          <w:spacing w:val="0"/>
          <w:kern w:val="0"/>
          <w:sz w:val="32"/>
          <w:szCs w:val="32"/>
          <w:shd w:val="clear" w:color="080000" w:fill="FFFFFF"/>
          <w:lang w:val="en-US" w:eastAsia="zh-CN"/>
        </w:rPr>
        <w:instrText xml:space="preserve"> HYPERLINK "https://www.baidu.com/s?wd=%E3%80%8A%E5%BB%BA%E8%AE%BE%E5%B7%A5%E7%A8%8B%E5%AE%89%E5%85%A8%E7%94%9F%E4%BA%A7%E7%AE%A1%E7%90%86%E6%9D%A1%E4%BE%8B%E3%80%8B&amp;tn=SE_PcZhidaonwhc_ngpagmjz&amp;rsv_dl=gh_pc_zhidao" \t "https://zhidao.baidu.com/question/_blank" </w:instrText>
      </w:r>
      <w:r>
        <w:rPr>
          <w:rFonts w:hint="eastAsia" w:ascii="仿宋_GB2312" w:hAnsi="仿宋_GB2312" w:eastAsia="仿宋_GB2312" w:cs="仿宋_GB2312"/>
          <w:i w:val="0"/>
          <w:caps w:val="0"/>
          <w:color w:val="333333"/>
          <w:spacing w:val="0"/>
          <w:kern w:val="0"/>
          <w:sz w:val="32"/>
          <w:szCs w:val="32"/>
          <w:shd w:val="clear" w:color="080000" w:fill="FFFFFF"/>
          <w:lang w:val="en-US" w:eastAsia="zh-CN"/>
        </w:rPr>
        <w:fldChar w:fldCharType="separate"/>
      </w:r>
      <w:r>
        <w:rPr>
          <w:rFonts w:hint="eastAsia" w:ascii="仿宋_GB2312" w:hAnsi="仿宋_GB2312" w:eastAsia="仿宋_GB2312" w:cs="仿宋_GB2312"/>
          <w:i w:val="0"/>
          <w:caps w:val="0"/>
          <w:color w:val="333333"/>
          <w:spacing w:val="0"/>
          <w:kern w:val="0"/>
          <w:sz w:val="32"/>
          <w:szCs w:val="32"/>
          <w:shd w:val="clear" w:color="080000" w:fill="FFFFFF"/>
          <w:lang w:val="en-US" w:eastAsia="zh-CN"/>
        </w:rPr>
        <w:t>《建设工程安全生产管理条例》</w:t>
      </w:r>
      <w:r>
        <w:rPr>
          <w:rFonts w:hint="eastAsia" w:ascii="仿宋_GB2312" w:hAnsi="仿宋_GB2312" w:eastAsia="仿宋_GB2312" w:cs="仿宋_GB2312"/>
          <w:i w:val="0"/>
          <w:caps w:val="0"/>
          <w:color w:val="333333"/>
          <w:spacing w:val="0"/>
          <w:kern w:val="0"/>
          <w:sz w:val="32"/>
          <w:szCs w:val="32"/>
          <w:shd w:val="clear" w:color="080000" w:fill="FFFFFF"/>
          <w:lang w:val="en-US" w:eastAsia="zh-CN"/>
        </w:rPr>
        <w:fldChar w:fldCharType="end"/>
      </w:r>
      <w:r>
        <w:rPr>
          <w:rFonts w:hint="eastAsia" w:ascii="仿宋_GB2312" w:hAnsi="仿宋_GB2312" w:eastAsia="仿宋_GB2312" w:cs="仿宋_GB2312"/>
          <w:i w:val="0"/>
          <w:caps w:val="0"/>
          <w:color w:val="333333"/>
          <w:spacing w:val="0"/>
          <w:kern w:val="0"/>
          <w:sz w:val="32"/>
          <w:szCs w:val="32"/>
          <w:shd w:val="clear" w:color="080000" w:fill="FFFFFF"/>
          <w:lang w:val="en-US" w:eastAsia="zh-CN"/>
        </w:rPr>
        <w:t>等相关法律法规，依法对我县行政区域内受监工程的质量和</w:t>
      </w:r>
      <w:r>
        <w:rPr>
          <w:rFonts w:hint="eastAsia" w:ascii="仿宋_GB2312" w:hAnsi="仿宋_GB2312" w:eastAsia="仿宋_GB2312" w:cs="仿宋_GB2312"/>
          <w:i w:val="0"/>
          <w:caps w:val="0"/>
          <w:color w:val="333333"/>
          <w:spacing w:val="0"/>
          <w:kern w:val="0"/>
          <w:sz w:val="32"/>
          <w:szCs w:val="32"/>
          <w:shd w:val="clear" w:color="080000" w:fill="FFFFFF"/>
          <w:lang w:val="en-US" w:eastAsia="zh-CN"/>
        </w:rPr>
        <w:fldChar w:fldCharType="begin"/>
      </w:r>
      <w:r>
        <w:rPr>
          <w:rFonts w:hint="eastAsia" w:ascii="仿宋_GB2312" w:hAnsi="仿宋_GB2312" w:eastAsia="仿宋_GB2312" w:cs="仿宋_GB2312"/>
          <w:i w:val="0"/>
          <w:caps w:val="0"/>
          <w:color w:val="333333"/>
          <w:spacing w:val="0"/>
          <w:kern w:val="0"/>
          <w:sz w:val="32"/>
          <w:szCs w:val="32"/>
          <w:shd w:val="clear" w:color="080000" w:fill="FFFFFF"/>
          <w:lang w:val="en-US" w:eastAsia="zh-CN"/>
        </w:rPr>
        <w:instrText xml:space="preserve"> HYPERLINK "https://www.baidu.com/s?wd=%E6%96%BD%E5%B7%A5%E5%AE%89%E5%85%A8&amp;tn=SE_PcZhidaonwhc_ngpagmjz&amp;rsv_dl=gh_pc_zhidao" \t "https://zhidao.baidu.com/question/_blank" </w:instrText>
      </w:r>
      <w:r>
        <w:rPr>
          <w:rFonts w:hint="eastAsia" w:ascii="仿宋_GB2312" w:hAnsi="仿宋_GB2312" w:eastAsia="仿宋_GB2312" w:cs="仿宋_GB2312"/>
          <w:i w:val="0"/>
          <w:caps w:val="0"/>
          <w:color w:val="333333"/>
          <w:spacing w:val="0"/>
          <w:kern w:val="0"/>
          <w:sz w:val="32"/>
          <w:szCs w:val="32"/>
          <w:shd w:val="clear" w:color="080000" w:fill="FFFFFF"/>
          <w:lang w:val="en-US" w:eastAsia="zh-CN"/>
        </w:rPr>
        <w:fldChar w:fldCharType="separate"/>
      </w:r>
      <w:r>
        <w:rPr>
          <w:rFonts w:hint="eastAsia" w:ascii="仿宋_GB2312" w:hAnsi="仿宋_GB2312" w:eastAsia="仿宋_GB2312" w:cs="仿宋_GB2312"/>
          <w:i w:val="0"/>
          <w:caps w:val="0"/>
          <w:color w:val="333333"/>
          <w:spacing w:val="0"/>
          <w:kern w:val="0"/>
          <w:sz w:val="32"/>
          <w:szCs w:val="32"/>
          <w:shd w:val="clear" w:color="080000" w:fill="FFFFFF"/>
          <w:lang w:val="en-US" w:eastAsia="zh-CN"/>
        </w:rPr>
        <w:t>施工安全</w:t>
      </w:r>
      <w:r>
        <w:rPr>
          <w:rFonts w:hint="eastAsia" w:ascii="仿宋_GB2312" w:hAnsi="仿宋_GB2312" w:eastAsia="仿宋_GB2312" w:cs="仿宋_GB2312"/>
          <w:i w:val="0"/>
          <w:caps w:val="0"/>
          <w:color w:val="333333"/>
          <w:spacing w:val="0"/>
          <w:kern w:val="0"/>
          <w:sz w:val="32"/>
          <w:szCs w:val="32"/>
          <w:shd w:val="clear" w:color="080000" w:fill="FFFFFF"/>
          <w:lang w:val="en-US" w:eastAsia="zh-CN"/>
        </w:rPr>
        <w:fldChar w:fldCharType="end"/>
      </w:r>
      <w:r>
        <w:rPr>
          <w:rFonts w:hint="eastAsia" w:ascii="仿宋_GB2312" w:hAnsi="仿宋_GB2312" w:eastAsia="仿宋_GB2312" w:cs="仿宋_GB2312"/>
          <w:i w:val="0"/>
          <w:caps w:val="0"/>
          <w:color w:val="333333"/>
          <w:spacing w:val="0"/>
          <w:kern w:val="0"/>
          <w:sz w:val="32"/>
          <w:szCs w:val="32"/>
          <w:shd w:val="clear" w:color="080000" w:fill="FFFFFF"/>
          <w:lang w:val="en-US" w:eastAsia="zh-CN"/>
        </w:rPr>
        <w:t>进行监督。</w:t>
      </w:r>
      <w:r>
        <w:rPr>
          <w:rFonts w:hint="eastAsia" w:ascii="仿宋_GB2312" w:hAnsi="仿宋_GB2312" w:eastAsia="仿宋_GB2312" w:cs="仿宋_GB2312"/>
          <w:i w:val="0"/>
          <w:caps w:val="0"/>
          <w:color w:val="333333"/>
          <w:spacing w:val="0"/>
          <w:kern w:val="0"/>
          <w:sz w:val="32"/>
          <w:szCs w:val="32"/>
          <w:shd w:val="clear" w:color="080000" w:fill="FFFFFF"/>
          <w:lang w:val="en-US" w:eastAsia="zh-CN"/>
        </w:rPr>
        <w:br w:type="textWrapping"/>
      </w:r>
      <w:r>
        <w:rPr>
          <w:rFonts w:hint="eastAsia" w:ascii="仿宋" w:hAnsi="仿宋" w:eastAsia="仿宋" w:cs="仿宋"/>
          <w:i w:val="0"/>
          <w:caps w:val="0"/>
          <w:color w:val="333333"/>
          <w:spacing w:val="0"/>
          <w:kern w:val="0"/>
          <w:sz w:val="32"/>
          <w:szCs w:val="32"/>
          <w:shd w:val="clear" w:color="080000" w:fill="FFFFFF"/>
          <w:lang w:val="en-US" w:eastAsia="zh-CN"/>
        </w:rPr>
        <w:t>　</w:t>
      </w:r>
      <w:r>
        <w:rPr>
          <w:rFonts w:hint="eastAsia" w:ascii="仿宋_GB2312" w:hAnsi="仿宋_GB2312" w:eastAsia="仿宋_GB2312" w:cs="仿宋_GB2312"/>
          <w:i w:val="0"/>
          <w:caps w:val="0"/>
          <w:color w:val="333333"/>
          <w:spacing w:val="0"/>
          <w:kern w:val="0"/>
          <w:sz w:val="32"/>
          <w:szCs w:val="32"/>
          <w:shd w:val="clear" w:color="080000" w:fill="FFFFFF"/>
          <w:lang w:val="en-US" w:eastAsia="zh-CN"/>
        </w:rPr>
        <w:t>　18.贯彻实施国家及省、州有关工程质量（安全）的法律法规、工程技术标准，管理和指导本地区的工程质量监督和工程检测业务、安全生产监督工作，开展相应的技术培训。监督工作的主要内容：地基基础、主体结构、环境质量和影响使用功能的部位、现场</w:t>
      </w:r>
      <w:r>
        <w:rPr>
          <w:rFonts w:hint="eastAsia" w:ascii="仿宋_GB2312" w:hAnsi="仿宋_GB2312" w:eastAsia="仿宋_GB2312" w:cs="仿宋_GB2312"/>
          <w:i w:val="0"/>
          <w:caps w:val="0"/>
          <w:color w:val="333333"/>
          <w:spacing w:val="0"/>
          <w:kern w:val="0"/>
          <w:sz w:val="32"/>
          <w:szCs w:val="32"/>
          <w:shd w:val="clear" w:color="080000" w:fill="FFFFFF"/>
          <w:lang w:val="en-US" w:eastAsia="zh-CN"/>
        </w:rPr>
        <w:fldChar w:fldCharType="begin"/>
      </w:r>
      <w:r>
        <w:rPr>
          <w:rFonts w:hint="eastAsia" w:ascii="仿宋_GB2312" w:hAnsi="仿宋_GB2312" w:eastAsia="仿宋_GB2312" w:cs="仿宋_GB2312"/>
          <w:i w:val="0"/>
          <w:caps w:val="0"/>
          <w:color w:val="333333"/>
          <w:spacing w:val="0"/>
          <w:kern w:val="0"/>
          <w:sz w:val="32"/>
          <w:szCs w:val="32"/>
          <w:shd w:val="clear" w:color="080000" w:fill="FFFFFF"/>
          <w:lang w:val="en-US" w:eastAsia="zh-CN"/>
        </w:rPr>
        <w:instrText xml:space="preserve"> HYPERLINK "https://www.baidu.com/s?wd=%E6%96%BD%E5%B7%A5%E5%AE%89%E5%85%A8&amp;tn=SE_PcZhidaonwhc_ngpagmjz&amp;rsv_dl=gh_pc_zhidao" \t "https://zhidao.baidu.com/question/_blank" </w:instrText>
      </w:r>
      <w:r>
        <w:rPr>
          <w:rFonts w:hint="eastAsia" w:ascii="仿宋_GB2312" w:hAnsi="仿宋_GB2312" w:eastAsia="仿宋_GB2312" w:cs="仿宋_GB2312"/>
          <w:i w:val="0"/>
          <w:caps w:val="0"/>
          <w:color w:val="333333"/>
          <w:spacing w:val="0"/>
          <w:kern w:val="0"/>
          <w:sz w:val="32"/>
          <w:szCs w:val="32"/>
          <w:shd w:val="clear" w:color="080000" w:fill="FFFFFF"/>
          <w:lang w:val="en-US" w:eastAsia="zh-CN"/>
        </w:rPr>
        <w:fldChar w:fldCharType="separate"/>
      </w:r>
      <w:r>
        <w:rPr>
          <w:rFonts w:hint="eastAsia" w:ascii="仿宋_GB2312" w:hAnsi="仿宋_GB2312" w:eastAsia="仿宋_GB2312" w:cs="仿宋_GB2312"/>
          <w:i w:val="0"/>
          <w:caps w:val="0"/>
          <w:color w:val="333333"/>
          <w:spacing w:val="0"/>
          <w:kern w:val="0"/>
          <w:sz w:val="32"/>
          <w:szCs w:val="32"/>
          <w:shd w:val="clear" w:color="080000" w:fill="FFFFFF"/>
          <w:lang w:val="en-US" w:eastAsia="zh-CN"/>
        </w:rPr>
        <w:t>施工安全</w:t>
      </w:r>
      <w:r>
        <w:rPr>
          <w:rFonts w:hint="eastAsia" w:ascii="仿宋_GB2312" w:hAnsi="仿宋_GB2312" w:eastAsia="仿宋_GB2312" w:cs="仿宋_GB2312"/>
          <w:i w:val="0"/>
          <w:caps w:val="0"/>
          <w:color w:val="333333"/>
          <w:spacing w:val="0"/>
          <w:kern w:val="0"/>
          <w:sz w:val="32"/>
          <w:szCs w:val="32"/>
          <w:shd w:val="clear" w:color="080000" w:fill="FFFFFF"/>
          <w:lang w:val="en-US" w:eastAsia="zh-CN"/>
        </w:rPr>
        <w:fldChar w:fldCharType="end"/>
      </w:r>
      <w:r>
        <w:rPr>
          <w:rFonts w:hint="eastAsia" w:ascii="仿宋_GB2312" w:hAnsi="仿宋_GB2312" w:eastAsia="仿宋_GB2312" w:cs="仿宋_GB2312"/>
          <w:i w:val="0"/>
          <w:caps w:val="0"/>
          <w:color w:val="333333"/>
          <w:spacing w:val="0"/>
          <w:kern w:val="0"/>
          <w:sz w:val="32"/>
          <w:szCs w:val="32"/>
          <w:shd w:val="clear" w:color="080000" w:fill="FFFFFF"/>
          <w:lang w:val="en-US" w:eastAsia="zh-CN"/>
        </w:rPr>
        <w:t>和与此相关的</w:t>
      </w:r>
      <w:r>
        <w:rPr>
          <w:rFonts w:hint="eastAsia" w:ascii="仿宋_GB2312" w:hAnsi="仿宋_GB2312" w:eastAsia="仿宋_GB2312" w:cs="仿宋_GB2312"/>
          <w:i w:val="0"/>
          <w:caps w:val="0"/>
          <w:color w:val="333333"/>
          <w:spacing w:val="0"/>
          <w:kern w:val="0"/>
          <w:sz w:val="32"/>
          <w:szCs w:val="32"/>
          <w:shd w:val="clear" w:color="080000" w:fill="FFFFFF"/>
          <w:lang w:val="en-US" w:eastAsia="zh-CN"/>
        </w:rPr>
        <w:fldChar w:fldCharType="begin"/>
      </w:r>
      <w:r>
        <w:rPr>
          <w:rFonts w:hint="eastAsia" w:ascii="仿宋_GB2312" w:hAnsi="仿宋_GB2312" w:eastAsia="仿宋_GB2312" w:cs="仿宋_GB2312"/>
          <w:i w:val="0"/>
          <w:caps w:val="0"/>
          <w:color w:val="333333"/>
          <w:spacing w:val="0"/>
          <w:kern w:val="0"/>
          <w:sz w:val="32"/>
          <w:szCs w:val="32"/>
          <w:shd w:val="clear" w:color="080000" w:fill="FFFFFF"/>
          <w:lang w:val="en-US" w:eastAsia="zh-CN"/>
        </w:rPr>
        <w:instrText xml:space="preserve"> HYPERLINK "https://www.baidu.com/s?wd=%E5%B7%A5%E7%A8%8B%E5%BB%BA%E8%AE%BE&amp;tn=SE_PcZhidaonwhc_ngpagmjz&amp;rsv_dl=gh_pc_zhidao" \t "https://zhidao.baidu.com/question/_blank" </w:instrText>
      </w:r>
      <w:r>
        <w:rPr>
          <w:rFonts w:hint="eastAsia" w:ascii="仿宋_GB2312" w:hAnsi="仿宋_GB2312" w:eastAsia="仿宋_GB2312" w:cs="仿宋_GB2312"/>
          <w:i w:val="0"/>
          <w:caps w:val="0"/>
          <w:color w:val="333333"/>
          <w:spacing w:val="0"/>
          <w:kern w:val="0"/>
          <w:sz w:val="32"/>
          <w:szCs w:val="32"/>
          <w:shd w:val="clear" w:color="080000" w:fill="FFFFFF"/>
          <w:lang w:val="en-US" w:eastAsia="zh-CN"/>
        </w:rPr>
        <w:fldChar w:fldCharType="separate"/>
      </w:r>
      <w:r>
        <w:rPr>
          <w:rFonts w:hint="eastAsia" w:ascii="仿宋_GB2312" w:hAnsi="仿宋_GB2312" w:eastAsia="仿宋_GB2312" w:cs="仿宋_GB2312"/>
          <w:i w:val="0"/>
          <w:caps w:val="0"/>
          <w:color w:val="333333"/>
          <w:spacing w:val="0"/>
          <w:kern w:val="0"/>
          <w:sz w:val="32"/>
          <w:szCs w:val="32"/>
          <w:shd w:val="clear" w:color="080000" w:fill="FFFFFF"/>
          <w:lang w:val="en-US" w:eastAsia="zh-CN"/>
        </w:rPr>
        <w:t>工程建设</w:t>
      </w:r>
      <w:r>
        <w:rPr>
          <w:rFonts w:hint="eastAsia" w:ascii="仿宋_GB2312" w:hAnsi="仿宋_GB2312" w:eastAsia="仿宋_GB2312" w:cs="仿宋_GB2312"/>
          <w:i w:val="0"/>
          <w:caps w:val="0"/>
          <w:color w:val="333333"/>
          <w:spacing w:val="0"/>
          <w:kern w:val="0"/>
          <w:sz w:val="32"/>
          <w:szCs w:val="32"/>
          <w:shd w:val="clear" w:color="080000" w:fill="FFFFFF"/>
          <w:lang w:val="en-US" w:eastAsia="zh-CN"/>
        </w:rPr>
        <w:fldChar w:fldCharType="end"/>
      </w:r>
      <w:r>
        <w:rPr>
          <w:rFonts w:hint="eastAsia" w:ascii="仿宋_GB2312" w:hAnsi="仿宋_GB2312" w:eastAsia="仿宋_GB2312" w:cs="仿宋_GB2312"/>
          <w:i w:val="0"/>
          <w:caps w:val="0"/>
          <w:color w:val="333333"/>
          <w:spacing w:val="0"/>
          <w:kern w:val="0"/>
          <w:sz w:val="32"/>
          <w:szCs w:val="32"/>
          <w:shd w:val="clear" w:color="080000" w:fill="FFFFFF"/>
          <w:lang w:val="en-US" w:eastAsia="zh-CN"/>
        </w:rPr>
        <w:t>各方责任主体的质量安全行为。</w:t>
      </w:r>
      <w:r>
        <w:rPr>
          <w:rFonts w:hint="eastAsia" w:ascii="仿宋_GB2312" w:hAnsi="仿宋_GB2312" w:eastAsia="仿宋_GB2312" w:cs="仿宋_GB2312"/>
          <w:i w:val="0"/>
          <w:caps w:val="0"/>
          <w:color w:val="333333"/>
          <w:spacing w:val="0"/>
          <w:kern w:val="0"/>
          <w:sz w:val="32"/>
          <w:szCs w:val="32"/>
          <w:shd w:val="clear" w:color="080000" w:fill="FFFFFF"/>
          <w:lang w:val="en-US" w:eastAsia="zh-CN"/>
        </w:rPr>
        <w:br w:type="textWrapping"/>
      </w:r>
      <w:r>
        <w:rPr>
          <w:rFonts w:hint="eastAsia" w:ascii="仿宋_GB2312" w:hAnsi="仿宋_GB2312" w:eastAsia="仿宋_GB2312" w:cs="仿宋_GB2312"/>
          <w:i w:val="0"/>
          <w:caps w:val="0"/>
          <w:color w:val="333333"/>
          <w:spacing w:val="0"/>
          <w:kern w:val="0"/>
          <w:sz w:val="32"/>
          <w:szCs w:val="32"/>
          <w:shd w:val="clear" w:color="080000" w:fill="FFFFFF"/>
          <w:lang w:val="en-US" w:eastAsia="zh-CN"/>
        </w:rPr>
        <w:t>　　19.组织开展本地区建设工程质量检查、安全生产检查，掌握本地区工程质量状况，及时总结、交流和推广工程质量、安全管理经验。</w:t>
      </w:r>
      <w:r>
        <w:rPr>
          <w:rFonts w:hint="eastAsia" w:ascii="仿宋_GB2312" w:hAnsi="仿宋_GB2312" w:eastAsia="仿宋_GB2312" w:cs="仿宋_GB2312"/>
          <w:i w:val="0"/>
          <w:caps w:val="0"/>
          <w:color w:val="333333"/>
          <w:spacing w:val="0"/>
          <w:kern w:val="0"/>
          <w:sz w:val="32"/>
          <w:szCs w:val="32"/>
          <w:shd w:val="clear" w:color="080000" w:fill="FFFFFF"/>
          <w:lang w:val="en-US" w:eastAsia="zh-CN"/>
        </w:rPr>
        <w:br w:type="textWrapping"/>
      </w:r>
      <w:r>
        <w:rPr>
          <w:rFonts w:hint="eastAsia" w:ascii="仿宋_GB2312" w:hAnsi="仿宋_GB2312" w:eastAsia="仿宋_GB2312" w:cs="仿宋_GB2312"/>
          <w:i w:val="0"/>
          <w:caps w:val="0"/>
          <w:color w:val="333333"/>
          <w:spacing w:val="0"/>
          <w:kern w:val="0"/>
          <w:sz w:val="32"/>
          <w:szCs w:val="32"/>
          <w:shd w:val="clear" w:color="080000" w:fill="FFFFFF"/>
          <w:lang w:val="en-US" w:eastAsia="zh-CN"/>
        </w:rPr>
        <w:t>　　20.按照国家及省、州制订的有关工程质量的法律法规和工程技术标准，对受监工程建设各方责任主体及有关机构履行质量责任情况和工程实体质量情况进行监督检查。</w:t>
      </w:r>
    </w:p>
    <w:p w14:paraId="13FB9F2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仿宋_GB2312" w:eastAsia="仿宋_GB2312" w:cs="仿宋_GB2312"/>
          <w:i w:val="0"/>
          <w:caps w:val="0"/>
          <w:color w:val="333333"/>
          <w:spacing w:val="0"/>
          <w:kern w:val="0"/>
          <w:sz w:val="32"/>
          <w:szCs w:val="32"/>
          <w:shd w:val="clear" w:color="080000" w:fill="FFFFFF"/>
          <w:lang w:val="en-US" w:eastAsia="zh-CN"/>
        </w:rPr>
      </w:pPr>
      <w:r>
        <w:rPr>
          <w:rFonts w:hint="eastAsia" w:ascii="仿宋_GB2312" w:hAnsi="仿宋_GB2312" w:eastAsia="仿宋_GB2312" w:cs="仿宋_GB2312"/>
          <w:i w:val="0"/>
          <w:caps w:val="0"/>
          <w:color w:val="333333"/>
          <w:spacing w:val="0"/>
          <w:kern w:val="0"/>
          <w:sz w:val="32"/>
          <w:szCs w:val="32"/>
          <w:shd w:val="clear" w:color="080000" w:fill="FFFFFF"/>
          <w:lang w:val="en-US" w:eastAsia="zh-CN"/>
        </w:rPr>
        <w:t>21.向备案管理机构提交工程质量监督报告。</w:t>
      </w:r>
      <w:r>
        <w:rPr>
          <w:rFonts w:hint="eastAsia" w:ascii="仿宋_GB2312" w:hAnsi="仿宋_GB2312" w:eastAsia="仿宋_GB2312" w:cs="仿宋_GB2312"/>
          <w:i w:val="0"/>
          <w:caps w:val="0"/>
          <w:color w:val="333333"/>
          <w:spacing w:val="0"/>
          <w:kern w:val="0"/>
          <w:sz w:val="32"/>
          <w:szCs w:val="32"/>
          <w:shd w:val="clear" w:color="080000" w:fill="FFFFFF"/>
          <w:lang w:val="en-US" w:eastAsia="zh-CN"/>
        </w:rPr>
        <w:br w:type="textWrapping"/>
      </w:r>
      <w:r>
        <w:rPr>
          <w:rFonts w:hint="eastAsia" w:ascii="仿宋_GB2312" w:hAnsi="仿宋_GB2312" w:eastAsia="仿宋_GB2312" w:cs="仿宋_GB2312"/>
          <w:i w:val="0"/>
          <w:caps w:val="0"/>
          <w:color w:val="333333"/>
          <w:spacing w:val="0"/>
          <w:kern w:val="0"/>
          <w:sz w:val="32"/>
          <w:szCs w:val="32"/>
          <w:shd w:val="clear" w:color="080000" w:fill="FFFFFF"/>
          <w:lang w:val="en-US" w:eastAsia="zh-CN"/>
        </w:rPr>
        <w:t>　　22.对工程参建各方责任主体和有关机构质量信誉进行管理。</w:t>
      </w:r>
      <w:r>
        <w:rPr>
          <w:rFonts w:hint="eastAsia" w:ascii="仿宋_GB2312" w:hAnsi="仿宋_GB2312" w:eastAsia="仿宋_GB2312" w:cs="仿宋_GB2312"/>
          <w:i w:val="0"/>
          <w:caps w:val="0"/>
          <w:color w:val="333333"/>
          <w:spacing w:val="0"/>
          <w:kern w:val="0"/>
          <w:sz w:val="32"/>
          <w:szCs w:val="32"/>
          <w:shd w:val="clear" w:color="080000" w:fill="FFFFFF"/>
          <w:lang w:val="en-US" w:eastAsia="zh-CN"/>
        </w:rPr>
        <w:br w:type="textWrapping"/>
      </w:r>
      <w:r>
        <w:rPr>
          <w:rFonts w:hint="eastAsia" w:ascii="仿宋_GB2312" w:hAnsi="仿宋_GB2312" w:eastAsia="仿宋_GB2312" w:cs="仿宋_GB2312"/>
          <w:i w:val="0"/>
          <w:caps w:val="0"/>
          <w:color w:val="333333"/>
          <w:spacing w:val="0"/>
          <w:kern w:val="0"/>
          <w:sz w:val="32"/>
          <w:szCs w:val="32"/>
          <w:shd w:val="clear" w:color="080000" w:fill="FFFFFF"/>
          <w:lang w:val="en-US" w:eastAsia="zh-CN"/>
        </w:rPr>
        <w:t>　　23.按照我县建设行政主管部门的授权委托对责任主体和有关机构违法、违规行为进行调查取证和核实，提出处罚建议或按委托权限对违法、违规行为实施行政处罚。</w:t>
      </w:r>
      <w:r>
        <w:rPr>
          <w:rFonts w:hint="eastAsia" w:ascii="仿宋_GB2312" w:hAnsi="仿宋_GB2312" w:eastAsia="仿宋_GB2312" w:cs="仿宋_GB2312"/>
          <w:i w:val="0"/>
          <w:caps w:val="0"/>
          <w:color w:val="333333"/>
          <w:spacing w:val="0"/>
          <w:kern w:val="0"/>
          <w:sz w:val="32"/>
          <w:szCs w:val="32"/>
          <w:shd w:val="clear" w:color="080000" w:fill="FFFFFF"/>
          <w:lang w:val="en-US" w:eastAsia="zh-CN"/>
        </w:rPr>
        <w:br w:type="textWrapping"/>
      </w:r>
      <w:r>
        <w:rPr>
          <w:rFonts w:hint="eastAsia" w:ascii="仿宋_GB2312" w:hAnsi="仿宋_GB2312" w:eastAsia="仿宋_GB2312" w:cs="仿宋_GB2312"/>
          <w:i w:val="0"/>
          <w:caps w:val="0"/>
          <w:color w:val="333333"/>
          <w:spacing w:val="0"/>
          <w:kern w:val="0"/>
          <w:sz w:val="32"/>
          <w:szCs w:val="32"/>
          <w:shd w:val="clear" w:color="080000" w:fill="FFFFFF"/>
          <w:lang w:val="en-US" w:eastAsia="zh-CN"/>
        </w:rPr>
        <w:t>　　24.按照我县建设行政主管部门的授权委托，组织开展本地区工程质量问题的技术鉴定。</w:t>
      </w:r>
    </w:p>
    <w:p w14:paraId="1EE9C1B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lang w:eastAsia="zh-CN"/>
        </w:rPr>
      </w:pPr>
      <w:r>
        <w:rPr>
          <w:rFonts w:hint="eastAsia" w:ascii="仿宋_GB2312" w:hAnsi="仿宋_GB2312" w:eastAsia="仿宋_GB2312" w:cs="仿宋_GB2312"/>
          <w:i w:val="0"/>
          <w:caps w:val="0"/>
          <w:color w:val="333333"/>
          <w:spacing w:val="0"/>
          <w:kern w:val="0"/>
          <w:sz w:val="32"/>
          <w:szCs w:val="32"/>
          <w:shd w:val="clear" w:color="080000" w:fill="FFFFFF"/>
          <w:lang w:val="en-US" w:eastAsia="zh-CN"/>
        </w:rPr>
        <w:t>25.参与本地区重大质量事故的调查处理，参与我县优质工程的核验评审。</w:t>
      </w:r>
    </w:p>
    <w:p w14:paraId="6A7CFA80">
      <w:pPr>
        <w:numPr>
          <w:ilvl w:val="0"/>
          <w:numId w:val="0"/>
        </w:numPr>
        <w:rPr>
          <w:rFonts w:hint="eastAsia"/>
          <w:lang w:eastAsia="zh-CN"/>
        </w:rPr>
      </w:pPr>
    </w:p>
    <w:p w14:paraId="71CB8CB8">
      <w:pPr>
        <w:pStyle w:val="3"/>
        <w:rPr>
          <w:rStyle w:val="29"/>
          <w:rFonts w:ascii="Times New Roman" w:hAnsi="Times New Roman"/>
          <w:b w:val="0"/>
          <w:bCs w:val="0"/>
          <w:color w:val="auto"/>
          <w:highlight w:val="none"/>
        </w:rPr>
      </w:pPr>
      <w:bookmarkStart w:id="10" w:name="_Toc15396601"/>
      <w:bookmarkStart w:id="11" w:name="_Toc15377200"/>
      <w:bookmarkStart w:id="12" w:name="_Toc24475"/>
      <w:r>
        <w:rPr>
          <w:rFonts w:hint="eastAsia" w:ascii="Times New Roman" w:hAnsi="Times New Roman" w:eastAsia="黑体"/>
          <w:b w:val="0"/>
          <w:color w:val="auto"/>
          <w:highlight w:val="none"/>
        </w:rPr>
        <w:t>二、机</w:t>
      </w:r>
      <w:r>
        <w:rPr>
          <w:rStyle w:val="29"/>
          <w:rFonts w:hint="eastAsia" w:ascii="Times New Roman" w:hAnsi="Times New Roman" w:eastAsia="黑体"/>
          <w:b w:val="0"/>
          <w:bCs w:val="0"/>
          <w:color w:val="auto"/>
          <w:highlight w:val="none"/>
        </w:rPr>
        <w:t>构设置</w:t>
      </w:r>
      <w:bookmarkEnd w:id="10"/>
      <w:bookmarkEnd w:id="11"/>
      <w:bookmarkEnd w:id="12"/>
    </w:p>
    <w:p w14:paraId="136AFE8D">
      <w:pPr>
        <w:ind w:firstLine="800" w:firstLineChars="25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松潘县住房和城乡建设局</w:t>
      </w:r>
      <w:r>
        <w:rPr>
          <w:rFonts w:hint="eastAsia" w:ascii="仿宋" w:hAnsi="仿宋" w:eastAsia="仿宋"/>
          <w:color w:val="auto"/>
          <w:sz w:val="32"/>
          <w:szCs w:val="32"/>
          <w:highlight w:val="none"/>
        </w:rPr>
        <w:t>下属二级</w:t>
      </w:r>
      <w:r>
        <w:rPr>
          <w:rFonts w:hint="eastAsia" w:ascii="仿宋" w:hAnsi="仿宋" w:eastAsia="仿宋"/>
          <w:color w:val="auto"/>
          <w:sz w:val="32"/>
          <w:szCs w:val="32"/>
          <w:highlight w:val="none"/>
          <w:lang w:eastAsia="zh-CN"/>
        </w:rPr>
        <w:t>预算</w:t>
      </w:r>
      <w:r>
        <w:rPr>
          <w:rFonts w:hint="eastAsia" w:ascii="仿宋" w:hAnsi="仿宋" w:eastAsia="仿宋"/>
          <w:color w:val="auto"/>
          <w:sz w:val="32"/>
          <w:szCs w:val="32"/>
          <w:highlight w:val="none"/>
        </w:rPr>
        <w:t>单位</w:t>
      </w: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rPr>
        <w:t>个，其中其他事业单位</w:t>
      </w: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rPr>
        <w:t>个。</w:t>
      </w:r>
      <w:r>
        <w:rPr>
          <w:rFonts w:hint="eastAsia" w:ascii="仿宋" w:hAnsi="仿宋" w:eastAsia="仿宋"/>
          <w:color w:val="auto"/>
          <w:sz w:val="32"/>
          <w:szCs w:val="32"/>
          <w:highlight w:val="none"/>
          <w:lang w:eastAsia="zh-CN"/>
        </w:rPr>
        <w:t>松潘县住房和城乡建设局为行政单位。</w:t>
      </w:r>
    </w:p>
    <w:p w14:paraId="63C4336D">
      <w:pPr>
        <w:pStyle w:val="5"/>
        <w:adjustRightInd w:val="0"/>
        <w:snapToGrid w:val="0"/>
        <w:spacing w:before="93" w:line="600" w:lineRule="exact"/>
        <w:ind w:firstLine="672" w:firstLineChars="210"/>
        <w:rPr>
          <w:rFonts w:ascii="仿宋" w:hAnsi="仿宋" w:eastAsia="仿宋"/>
          <w:color w:val="auto"/>
          <w:sz w:val="32"/>
          <w:szCs w:val="32"/>
          <w:highlight w:val="none"/>
        </w:rPr>
      </w:pPr>
      <w:r>
        <w:rPr>
          <w:rFonts w:hint="eastAsia" w:ascii="仿宋" w:hAnsi="仿宋" w:eastAsia="仿宋"/>
          <w:color w:val="auto"/>
          <w:sz w:val="32"/>
          <w:szCs w:val="32"/>
          <w:highlight w:val="none"/>
        </w:rPr>
        <w:t>纳入</w:t>
      </w:r>
      <w:r>
        <w:rPr>
          <w:rFonts w:hint="eastAsia" w:ascii="仿宋" w:hAnsi="仿宋" w:eastAsia="仿宋"/>
          <w:color w:val="auto"/>
          <w:sz w:val="32"/>
          <w:szCs w:val="32"/>
          <w:highlight w:val="none"/>
          <w:lang w:eastAsia="zh-CN"/>
        </w:rPr>
        <w:t>松潘县住房和城乡建设局202</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年度部门决算编制范围的二级预算单位包括：</w:t>
      </w:r>
    </w:p>
    <w:p w14:paraId="78544A34">
      <w:pPr>
        <w:pStyle w:val="5"/>
        <w:numPr>
          <w:ilvl w:val="0"/>
          <w:numId w:val="2"/>
        </w:numPr>
        <w:adjustRightInd w:val="0"/>
        <w:snapToGrid w:val="0"/>
        <w:spacing w:before="93" w:line="600" w:lineRule="exact"/>
        <w:outlineLvl w:val="2"/>
        <w:rPr>
          <w:rFonts w:ascii="仿宋" w:hAnsi="仿宋" w:eastAsia="仿宋"/>
          <w:color w:val="auto"/>
          <w:sz w:val="32"/>
          <w:szCs w:val="32"/>
          <w:highlight w:val="none"/>
        </w:rPr>
      </w:pPr>
      <w:bookmarkStart w:id="13" w:name="_Toc15306276"/>
      <w:bookmarkStart w:id="14" w:name="_Toc15378449"/>
      <w:bookmarkStart w:id="15" w:name="_Toc15377202"/>
      <w:bookmarkStart w:id="16" w:name="_Toc15377433"/>
      <w:r>
        <w:rPr>
          <w:rFonts w:hint="eastAsia" w:ascii="仿宋" w:hAnsi="仿宋" w:eastAsia="仿宋"/>
          <w:color w:val="auto"/>
          <w:sz w:val="32"/>
          <w:szCs w:val="32"/>
          <w:highlight w:val="none"/>
          <w:lang w:eastAsia="zh-CN"/>
        </w:rPr>
        <w:t>松潘县质量安全监督站</w:t>
      </w:r>
      <w:bookmarkEnd w:id="13"/>
      <w:bookmarkEnd w:id="14"/>
      <w:bookmarkEnd w:id="15"/>
      <w:bookmarkEnd w:id="16"/>
    </w:p>
    <w:p w14:paraId="2BFAD47C">
      <w:pPr>
        <w:pStyle w:val="5"/>
        <w:numPr>
          <w:ilvl w:val="0"/>
          <w:numId w:val="2"/>
        </w:numPr>
        <w:adjustRightInd w:val="0"/>
        <w:snapToGrid w:val="0"/>
        <w:spacing w:before="93" w:line="600" w:lineRule="exact"/>
        <w:ind w:left="1152" w:leftChars="0" w:hanging="480" w:firstLineChars="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松潘县房地产管理所</w:t>
      </w:r>
    </w:p>
    <w:p w14:paraId="20983E81">
      <w:pPr>
        <w:pStyle w:val="5"/>
        <w:numPr>
          <w:ilvl w:val="0"/>
          <w:numId w:val="2"/>
        </w:numPr>
        <w:adjustRightInd w:val="0"/>
        <w:snapToGrid w:val="0"/>
        <w:spacing w:before="93" w:line="600" w:lineRule="exact"/>
        <w:ind w:left="1152" w:leftChars="0" w:hanging="480" w:firstLineChars="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松潘县住房和城乡建设局本级</w:t>
      </w:r>
    </w:p>
    <w:p w14:paraId="5AD7867E">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50E7C53E">
      <w:pPr>
        <w:pStyle w:val="2"/>
        <w:jc w:val="center"/>
        <w:rPr>
          <w:rFonts w:hint="eastAsia" w:ascii="Times New Roman" w:hAnsi="Times New Roman" w:eastAsia="方正小标宋简体" w:cs="方正小标宋简体"/>
          <w:b w:val="0"/>
          <w:color w:val="auto"/>
          <w:highlight w:val="none"/>
        </w:rPr>
      </w:pPr>
      <w:bookmarkStart w:id="17" w:name="_Toc12833"/>
      <w:bookmarkStart w:id="18" w:name="_Toc15377204"/>
      <w:bookmarkStart w:id="19"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7"/>
      <w:bookmarkEnd w:id="18"/>
      <w:bookmarkEnd w:id="19"/>
    </w:p>
    <w:p w14:paraId="12CAA488">
      <w:pPr>
        <w:rPr>
          <w:rFonts w:ascii="Times New Roman" w:hAnsi="Times New Roman"/>
          <w:color w:val="auto"/>
          <w:highlight w:val="none"/>
        </w:rPr>
      </w:pPr>
    </w:p>
    <w:p w14:paraId="50F06A3A">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20" w:name="_Toc15396603"/>
      <w:bookmarkStart w:id="21" w:name="_Toc25262"/>
      <w:bookmarkStart w:id="22"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bookmarkEnd w:id="20"/>
      <w:bookmarkEnd w:id="21"/>
      <w:bookmarkEnd w:id="22"/>
    </w:p>
    <w:p w14:paraId="4F3A4C53">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bookmarkStart w:id="23" w:name="_Toc3934"/>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4479.83</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eastAsia="仿宋_GB2312" w:cs="仿宋_GB2312"/>
          <w:color w:val="auto"/>
          <w:sz w:val="32"/>
          <w:szCs w:val="32"/>
          <w:highlight w:val="none"/>
          <w:lang w:val="en-US" w:eastAsia="zh-CN"/>
        </w:rPr>
        <w:t>6172.02</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58</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人员变动、项目资金减少</w:t>
      </w:r>
      <w:bookmarkEnd w:id="23"/>
    </w:p>
    <w:p w14:paraId="480358A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5931328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仿宋_GB2312" w:cs="仿宋_GB2312"/>
          <w:color w:val="auto"/>
          <w:sz w:val="32"/>
          <w:szCs w:val="32"/>
          <w:highlight w:val="none"/>
        </w:rPr>
      </w:pPr>
      <w:r>
        <w:drawing>
          <wp:inline distT="0" distB="0" distL="114300" distR="114300">
            <wp:extent cx="5271135" cy="2682875"/>
            <wp:effectExtent l="4445" t="4445" r="12700" b="10160"/>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F60546F">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4" w:name="_Toc27195"/>
      <w:bookmarkStart w:id="25" w:name="_Toc15377206"/>
      <w:bookmarkStart w:id="26" w:name="_Toc15396604"/>
      <w:r>
        <w:rPr>
          <w:rFonts w:hint="eastAsia" w:ascii="Times New Roman" w:hAnsi="Times New Roman" w:eastAsia="黑体"/>
          <w:color w:val="auto"/>
          <w:sz w:val="32"/>
          <w:szCs w:val="32"/>
          <w:highlight w:val="none"/>
          <w:lang w:eastAsia="zh-CN"/>
        </w:rPr>
        <w:t>二、收入决算情况说明</w:t>
      </w:r>
      <w:bookmarkEnd w:id="24"/>
      <w:bookmarkEnd w:id="25"/>
      <w:bookmarkEnd w:id="26"/>
    </w:p>
    <w:p w14:paraId="612224D5">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bookmarkStart w:id="27" w:name="_Toc8970"/>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4094.65万元，其中：一般公共预算财政拨款收入3960.07</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96.71</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134.58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3.28%</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b/>
          <w:bCs/>
          <w:color w:val="auto"/>
          <w:sz w:val="32"/>
          <w:szCs w:val="32"/>
          <w:highlight w:val="none"/>
          <w:lang w:eastAsia="zh-CN"/>
        </w:rPr>
        <w:t>（注：仅罗列本部门涉及的收入）</w:t>
      </w:r>
      <w:bookmarkEnd w:id="27"/>
    </w:p>
    <w:p w14:paraId="5B5DD5F2">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4C82E9B6">
      <w:pPr>
        <w:ind w:firstLine="800" w:firstLineChars="250"/>
        <w:rPr>
          <w:rFonts w:hint="eastAsia" w:ascii="Times New Roman" w:hAnsi="Times New Roman" w:eastAsia="仿宋_GB2312" w:cs="仿宋_GB2312"/>
          <w:color w:val="auto"/>
          <w:sz w:val="32"/>
          <w:szCs w:val="32"/>
          <w:highlight w:val="none"/>
          <w:lang w:eastAsia="zh-CN"/>
        </w:rPr>
      </w:pPr>
    </w:p>
    <w:p w14:paraId="33E8A2C5">
      <w:pPr>
        <w:ind w:firstLine="525" w:firstLineChars="250"/>
        <w:rPr>
          <w:rFonts w:hint="eastAsia" w:ascii="Times New Roman" w:hAnsi="Times New Roman" w:eastAsia="仿宋_GB2312" w:cs="仿宋_GB2312"/>
          <w:color w:val="auto"/>
          <w:sz w:val="32"/>
          <w:szCs w:val="32"/>
          <w:highlight w:val="none"/>
          <w:lang w:eastAsia="zh-CN"/>
        </w:rPr>
      </w:pPr>
      <w:r>
        <w:drawing>
          <wp:inline distT="0" distB="0" distL="114300" distR="114300">
            <wp:extent cx="4270375" cy="1920240"/>
            <wp:effectExtent l="4445" t="4445" r="7620" b="10795"/>
            <wp:docPr id="14"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BA55334">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28" w:name="_Toc6100"/>
      <w:bookmarkStart w:id="29" w:name="_Toc15396605"/>
      <w:bookmarkStart w:id="30"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28"/>
      <w:bookmarkEnd w:id="29"/>
      <w:bookmarkEnd w:id="30"/>
    </w:p>
    <w:p w14:paraId="5C17B671">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bookmarkStart w:id="31" w:name="_Toc10623"/>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4479.83</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623.08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13.9</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3856.75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86.09</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万元，占0%。</w:t>
      </w:r>
      <w:r>
        <w:rPr>
          <w:rFonts w:hint="eastAsia" w:ascii="Times New Roman" w:hAnsi="Times New Roman" w:eastAsia="仿宋_GB2312" w:cs="仿宋_GB2312"/>
          <w:b/>
          <w:bCs/>
          <w:color w:val="auto"/>
          <w:sz w:val="32"/>
          <w:szCs w:val="32"/>
          <w:highlight w:val="none"/>
          <w:lang w:eastAsia="zh-CN"/>
        </w:rPr>
        <w:t>（注：仅罗列本部门涉及的支出）</w:t>
      </w:r>
      <w:bookmarkEnd w:id="31"/>
    </w:p>
    <w:p w14:paraId="20D062A4">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67A50642">
      <w:pPr>
        <w:ind w:firstLine="525" w:firstLineChars="250"/>
        <w:rPr>
          <w:rFonts w:hint="eastAsia" w:ascii="Times New Roman" w:hAnsi="Times New Roman" w:eastAsia="仿宋_GB2312" w:cs="仿宋_GB2312"/>
          <w:color w:val="auto"/>
          <w:sz w:val="32"/>
          <w:szCs w:val="32"/>
          <w:highlight w:val="none"/>
          <w:lang w:eastAsia="zh-CN"/>
        </w:rPr>
      </w:pPr>
      <w:r>
        <w:drawing>
          <wp:inline distT="0" distB="0" distL="114300" distR="114300">
            <wp:extent cx="4651375" cy="2058035"/>
            <wp:effectExtent l="4445" t="4445" r="7620" b="10160"/>
            <wp:docPr id="11"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0B10CC8">
      <w:pPr>
        <w:ind w:firstLine="800" w:firstLineChars="250"/>
        <w:rPr>
          <w:rFonts w:hint="eastAsia" w:ascii="Times New Roman" w:hAnsi="Times New Roman" w:eastAsia="仿宋_GB2312" w:cs="仿宋_GB2312"/>
          <w:color w:val="auto"/>
          <w:sz w:val="32"/>
          <w:szCs w:val="32"/>
          <w:highlight w:val="none"/>
          <w:lang w:eastAsia="zh-CN"/>
        </w:rPr>
      </w:pPr>
    </w:p>
    <w:p w14:paraId="15326D13">
      <w:pPr>
        <w:spacing w:line="600" w:lineRule="exact"/>
        <w:ind w:firstLine="640" w:firstLineChars="200"/>
        <w:outlineLvl w:val="1"/>
        <w:rPr>
          <w:rStyle w:val="29"/>
          <w:rFonts w:ascii="Times New Roman" w:hAnsi="Times New Roman" w:eastAsia="黑体"/>
          <w:b w:val="0"/>
          <w:color w:val="auto"/>
          <w:highlight w:val="none"/>
        </w:rPr>
      </w:pPr>
      <w:bookmarkStart w:id="32" w:name="_Toc15396606"/>
      <w:bookmarkStart w:id="33" w:name="_Toc15377208"/>
      <w:bookmarkStart w:id="34" w:name="_Toc31572"/>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32"/>
      <w:bookmarkEnd w:id="33"/>
      <w:bookmarkEnd w:id="34"/>
    </w:p>
    <w:p w14:paraId="69EEA98B">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kern w:val="2"/>
          <w:sz w:val="32"/>
          <w:szCs w:val="32"/>
          <w:highlight w:val="none"/>
          <w:lang w:val="en-US" w:eastAsia="zh-CN" w:bidi="ar-SA"/>
        </w:rPr>
      </w:pPr>
      <w:bookmarkStart w:id="35" w:name="_Toc11398"/>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4479.83</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w:t>
      </w:r>
      <w:r>
        <w:rPr>
          <w:rFonts w:hint="eastAsia" w:ascii="Times New Roman" w:hAnsi="Times New Roman" w:eastAsia="仿宋_GB2312" w:cs="仿宋_GB2312"/>
          <w:color w:val="auto"/>
          <w:sz w:val="32"/>
          <w:szCs w:val="32"/>
          <w:highlight w:val="none"/>
        </w:rPr>
        <w:t>减少</w:t>
      </w:r>
      <w:r>
        <w:rPr>
          <w:rFonts w:hint="eastAsia" w:eastAsia="仿宋_GB2312" w:cs="仿宋_GB2312"/>
          <w:color w:val="auto"/>
          <w:sz w:val="32"/>
          <w:szCs w:val="32"/>
          <w:highlight w:val="none"/>
          <w:lang w:val="en-US" w:eastAsia="zh-CN"/>
        </w:rPr>
        <w:t>6172.02</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58</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人员变动、项目</w:t>
      </w:r>
      <w:r>
        <w:drawing>
          <wp:anchor distT="0" distB="0" distL="114300" distR="114300" simplePos="0" relativeHeight="251659264" behindDoc="1" locked="0" layoutInCell="1" allowOverlap="1">
            <wp:simplePos x="0" y="0"/>
            <wp:positionH relativeFrom="column">
              <wp:posOffset>248285</wp:posOffset>
            </wp:positionH>
            <wp:positionV relativeFrom="paragraph">
              <wp:posOffset>408305</wp:posOffset>
            </wp:positionV>
            <wp:extent cx="5271135" cy="2682875"/>
            <wp:effectExtent l="4445" t="4445" r="12700" b="10160"/>
            <wp:wrapTight wrapText="bothSides">
              <wp:wrapPolygon>
                <wp:start x="-18" y="-36"/>
                <wp:lineTo x="-18" y="21559"/>
                <wp:lineTo x="21590" y="21559"/>
                <wp:lineTo x="21590" y="-36"/>
                <wp:lineTo x="-18" y="-36"/>
              </wp:wrapPolygon>
            </wp:wrapTight>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eastAsia="仿宋_GB2312" w:cs="仿宋_GB2312"/>
          <w:color w:val="auto"/>
          <w:sz w:val="32"/>
          <w:szCs w:val="32"/>
          <w:highlight w:val="none"/>
          <w:lang w:eastAsia="zh-CN"/>
        </w:rPr>
        <w:t>资金减少。</w:t>
      </w:r>
      <w:bookmarkEnd w:id="35"/>
    </w:p>
    <w:p w14:paraId="03455C33">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15811E9A">
      <w:pPr>
        <w:spacing w:line="600" w:lineRule="exact"/>
        <w:ind w:firstLine="640" w:firstLineChars="200"/>
        <w:outlineLvl w:val="1"/>
        <w:rPr>
          <w:rStyle w:val="29"/>
          <w:rFonts w:ascii="Times New Roman" w:hAnsi="Times New Roman" w:eastAsia="黑体"/>
          <w:b w:val="0"/>
          <w:color w:val="auto"/>
          <w:highlight w:val="none"/>
        </w:rPr>
      </w:pPr>
      <w:bookmarkStart w:id="36" w:name="_Toc13133"/>
      <w:bookmarkStart w:id="37" w:name="_Toc15396607"/>
      <w:bookmarkStart w:id="38"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36"/>
      <w:bookmarkEnd w:id="37"/>
      <w:bookmarkEnd w:id="38"/>
    </w:p>
    <w:p w14:paraId="1C69A7E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9"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9"/>
    </w:p>
    <w:p w14:paraId="1ED8805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4345.25</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96.99</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%。与2023年度相比，一般公共预算财政拨款支出减少5895.47万元，下降58%。主要变动原因是项目资金减少。</w:t>
      </w:r>
    </w:p>
    <w:p w14:paraId="4FB35E8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6D03050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0288" behindDoc="1" locked="0" layoutInCell="1" allowOverlap="1">
            <wp:simplePos x="0" y="0"/>
            <wp:positionH relativeFrom="column">
              <wp:posOffset>540385</wp:posOffset>
            </wp:positionH>
            <wp:positionV relativeFrom="paragraph">
              <wp:posOffset>17780</wp:posOffset>
            </wp:positionV>
            <wp:extent cx="4117340" cy="2148840"/>
            <wp:effectExtent l="5080" t="4445" r="38100" b="56515"/>
            <wp:wrapTight wrapText="bothSides">
              <wp:wrapPolygon>
                <wp:start x="-27" y="-45"/>
                <wp:lineTo x="-27" y="21555"/>
                <wp:lineTo x="21560" y="21555"/>
                <wp:lineTo x="21560" y="-45"/>
                <wp:lineTo x="-27" y="-45"/>
              </wp:wrapPolygon>
            </wp:wrapTight>
            <wp:docPr id="15"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335A6D5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38F44E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0"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40"/>
    </w:p>
    <w:p w14:paraId="0905251F">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4345.25</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：教育支出</w:t>
      </w:r>
      <w:r>
        <w:rPr>
          <w:rFonts w:hint="eastAsia" w:ascii="Times New Roman" w:hAnsi="Times New Roman" w:eastAsia="仿宋_GB2312" w:cs="仿宋_GB2312"/>
          <w:color w:val="0000FF"/>
          <w:kern w:val="2"/>
          <w:sz w:val="32"/>
          <w:szCs w:val="32"/>
          <w:highlight w:val="none"/>
          <w:lang w:val="en-US" w:eastAsia="zh-CN" w:bidi="ar-SA"/>
        </w:rPr>
        <w:t>889.75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%；节能环保支出613.66万元，占</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%；文化旅游体育与传媒支出</w:t>
      </w:r>
      <w:r>
        <w:rPr>
          <w:rFonts w:hint="eastAsia" w:ascii="Times New Roman" w:hAnsi="Times New Roman" w:eastAsia="仿宋_GB2312" w:cs="仿宋_GB2312"/>
          <w:color w:val="0000FF"/>
          <w:kern w:val="2"/>
          <w:sz w:val="32"/>
          <w:szCs w:val="32"/>
          <w:highlight w:val="none"/>
          <w:lang w:val="en-US" w:eastAsia="zh-CN" w:bidi="ar-SA"/>
        </w:rPr>
        <w:t>103.58</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93.64</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%；卫生健康支出34.9万元，占</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103.97</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%；城乡社区支出1636.75万元，占100%；农林水支出821.07万元，占100%；资源勘探工业信息等支出47.93万元，占100%。</w:t>
      </w:r>
      <w:r>
        <w:rPr>
          <w:rFonts w:hint="eastAsia" w:ascii="Times New Roman" w:hAnsi="Times New Roman" w:eastAsia="仿宋_GB2312" w:cs="仿宋_GB2312"/>
          <w:b/>
          <w:bCs/>
          <w:color w:val="auto"/>
          <w:kern w:val="2"/>
          <w:sz w:val="32"/>
          <w:szCs w:val="32"/>
          <w:highlight w:val="none"/>
          <w:lang w:val="en-US" w:eastAsia="zh-CN" w:bidi="ar-SA"/>
        </w:rPr>
        <w:t>（注：仅罗列本部门涉及的全部功能分类科目，至类级）</w:t>
      </w:r>
    </w:p>
    <w:p w14:paraId="605E27A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6950D05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1312" behindDoc="1" locked="0" layoutInCell="1" allowOverlap="1">
            <wp:simplePos x="0" y="0"/>
            <wp:positionH relativeFrom="column">
              <wp:posOffset>608965</wp:posOffset>
            </wp:positionH>
            <wp:positionV relativeFrom="paragraph">
              <wp:posOffset>149225</wp:posOffset>
            </wp:positionV>
            <wp:extent cx="4779010" cy="2628900"/>
            <wp:effectExtent l="4445" t="4445" r="17145" b="18415"/>
            <wp:wrapTight wrapText="bothSides">
              <wp:wrapPolygon>
                <wp:start x="-20" y="-37"/>
                <wp:lineTo x="-20" y="21501"/>
                <wp:lineTo x="21540" y="21501"/>
                <wp:lineTo x="21540" y="-37"/>
                <wp:lineTo x="-20" y="-37"/>
              </wp:wrapPolygon>
            </wp:wrapTight>
            <wp:docPr id="7"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163FE2F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ED5C78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780EF4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1"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41"/>
    </w:p>
    <w:p w14:paraId="4831C35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42" w:name="_Toc15378460"/>
      <w:bookmarkStart w:id="43" w:name="_Toc15377444"/>
      <w:bookmarkStart w:id="44" w:name="_Toc15377213"/>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4345.25</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42"/>
      <w:bookmarkEnd w:id="43"/>
      <w:bookmarkEnd w:id="44"/>
    </w:p>
    <w:p w14:paraId="38A980A4">
      <w:pPr>
        <w:numPr>
          <w:ilvl w:val="0"/>
          <w:numId w:val="0"/>
        </w:numPr>
        <w:spacing w:line="600" w:lineRule="exact"/>
        <w:ind w:firstLine="320" w:firstLineChars="1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1.节能环保211</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03</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02</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160</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1788D9E3">
      <w:pPr>
        <w:numPr>
          <w:ilvl w:val="0"/>
          <w:numId w:val="0"/>
        </w:numPr>
        <w:spacing w:line="600" w:lineRule="exact"/>
        <w:ind w:firstLine="320" w:firstLineChars="1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2.节能环保211</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04</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01</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67.7</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14C70122">
      <w:pPr>
        <w:numPr>
          <w:ilvl w:val="0"/>
          <w:numId w:val="0"/>
        </w:numPr>
        <w:spacing w:line="600" w:lineRule="exact"/>
        <w:ind w:firstLine="320" w:firstLineChars="1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3.节能环保211</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04</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02</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385.18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2BD0F0D3">
      <w:pPr>
        <w:numPr>
          <w:ilvl w:val="0"/>
          <w:numId w:val="0"/>
        </w:numPr>
        <w:spacing w:line="600" w:lineRule="exact"/>
        <w:ind w:firstLine="320" w:firstLineChars="1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教育</w:t>
      </w:r>
      <w:r>
        <w:rPr>
          <w:rFonts w:hint="eastAsia" w:eastAsia="仿宋_GB2312" w:cs="仿宋_GB2312"/>
          <w:color w:val="auto"/>
          <w:kern w:val="2"/>
          <w:sz w:val="32"/>
          <w:szCs w:val="32"/>
          <w:highlight w:val="none"/>
          <w:lang w:val="en-US" w:eastAsia="zh-CN" w:bidi="ar-SA"/>
        </w:rPr>
        <w:t>205</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02</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02</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 xml:space="preserve"> 支出决算为</w:t>
      </w:r>
      <w:r>
        <w:rPr>
          <w:rFonts w:hint="eastAsia" w:eastAsia="仿宋_GB2312" w:cs="仿宋_GB2312"/>
          <w:color w:val="auto"/>
          <w:kern w:val="2"/>
          <w:sz w:val="32"/>
          <w:szCs w:val="32"/>
          <w:highlight w:val="none"/>
          <w:lang w:val="en-US" w:eastAsia="zh-CN" w:bidi="ar-SA"/>
        </w:rPr>
        <w:t>889.75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1BA6F4E1">
      <w:pPr>
        <w:numPr>
          <w:ilvl w:val="0"/>
          <w:numId w:val="0"/>
        </w:numPr>
        <w:spacing w:line="600" w:lineRule="exact"/>
        <w:ind w:firstLine="320" w:firstLineChars="10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5.农林水213</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05</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04</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66.28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p>
    <w:p w14:paraId="28912949">
      <w:pPr>
        <w:numPr>
          <w:ilvl w:val="0"/>
          <w:numId w:val="0"/>
        </w:numPr>
        <w:spacing w:line="600" w:lineRule="exact"/>
        <w:ind w:firstLine="320" w:firstLineChars="10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6.农林水213</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05</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99</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557.48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p>
    <w:p w14:paraId="4B560484">
      <w:pPr>
        <w:numPr>
          <w:ilvl w:val="0"/>
          <w:numId w:val="0"/>
        </w:numPr>
        <w:spacing w:line="600" w:lineRule="exact"/>
        <w:ind w:firstLine="320" w:firstLineChars="10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7.农林水213</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07</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01</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197.31</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p>
    <w:p w14:paraId="70438953">
      <w:pPr>
        <w:numPr>
          <w:ilvl w:val="0"/>
          <w:numId w:val="0"/>
        </w:numPr>
        <w:spacing w:line="600" w:lineRule="exact"/>
        <w:ind w:firstLine="320" w:firstLineChars="10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8.资源勘探工业信息等支出215</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03</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99</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47.93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p>
    <w:p w14:paraId="135A62DA">
      <w:pPr>
        <w:numPr>
          <w:ilvl w:val="0"/>
          <w:numId w:val="0"/>
        </w:numPr>
        <w:spacing w:line="600" w:lineRule="exact"/>
        <w:ind w:firstLine="320" w:firstLineChars="1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文化旅游体育与传媒</w:t>
      </w:r>
      <w:r>
        <w:rPr>
          <w:rFonts w:hint="eastAsia" w:eastAsia="仿宋_GB2312" w:cs="仿宋_GB2312"/>
          <w:color w:val="auto"/>
          <w:kern w:val="2"/>
          <w:sz w:val="32"/>
          <w:szCs w:val="32"/>
          <w:highlight w:val="none"/>
          <w:lang w:val="en-US" w:eastAsia="zh-CN" w:bidi="ar-SA"/>
        </w:rPr>
        <w:t>207</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99</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99</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103.58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0C9A4B2B">
      <w:pPr>
        <w:spacing w:line="600" w:lineRule="exact"/>
        <w:ind w:firstLine="320" w:firstLineChars="1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.社会保障和就业</w:t>
      </w:r>
      <w:r>
        <w:rPr>
          <w:rFonts w:hint="eastAsia" w:eastAsia="仿宋_GB2312" w:cs="仿宋_GB2312"/>
          <w:color w:val="auto"/>
          <w:kern w:val="2"/>
          <w:sz w:val="32"/>
          <w:szCs w:val="32"/>
          <w:highlight w:val="none"/>
          <w:lang w:val="en-US" w:eastAsia="zh-CN" w:bidi="ar-SA"/>
        </w:rPr>
        <w:t>208</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05</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05</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15.85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7E3A7D30">
      <w:pPr>
        <w:spacing w:line="600" w:lineRule="exact"/>
        <w:ind w:firstLine="320" w:firstLineChars="1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社会保障和就业</w:t>
      </w:r>
      <w:r>
        <w:rPr>
          <w:rFonts w:hint="eastAsia" w:eastAsia="仿宋_GB2312" w:cs="仿宋_GB2312"/>
          <w:color w:val="auto"/>
          <w:kern w:val="2"/>
          <w:sz w:val="32"/>
          <w:szCs w:val="32"/>
          <w:highlight w:val="none"/>
          <w:lang w:val="en-US" w:eastAsia="zh-CN" w:bidi="ar-SA"/>
        </w:rPr>
        <w:t>208</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05</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06</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12.4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5FE025E1">
      <w:pPr>
        <w:numPr>
          <w:ilvl w:val="0"/>
          <w:numId w:val="0"/>
        </w:numPr>
        <w:spacing w:line="600" w:lineRule="exact"/>
        <w:ind w:firstLine="320" w:firstLineChars="1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卫生健康</w:t>
      </w:r>
      <w:r>
        <w:rPr>
          <w:rFonts w:hint="eastAsia" w:eastAsia="仿宋_GB2312" w:cs="仿宋_GB2312"/>
          <w:color w:val="auto"/>
          <w:kern w:val="2"/>
          <w:sz w:val="32"/>
          <w:szCs w:val="32"/>
          <w:highlight w:val="none"/>
          <w:lang w:val="en-US" w:eastAsia="zh-CN" w:bidi="ar-SA"/>
        </w:rPr>
        <w:t>210</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01</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7.53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0D5B4257">
      <w:pPr>
        <w:spacing w:line="600" w:lineRule="exact"/>
        <w:ind w:firstLine="320" w:firstLineChars="10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13.</w:t>
      </w:r>
      <w:r>
        <w:rPr>
          <w:rFonts w:hint="eastAsia" w:ascii="Times New Roman" w:hAnsi="Times New Roman" w:eastAsia="仿宋_GB2312" w:cs="仿宋_GB2312"/>
          <w:color w:val="auto"/>
          <w:kern w:val="2"/>
          <w:sz w:val="32"/>
          <w:szCs w:val="32"/>
          <w:highlight w:val="none"/>
          <w:lang w:val="en-US" w:eastAsia="zh-CN" w:bidi="ar-SA"/>
        </w:rPr>
        <w:t>卫生健康</w:t>
      </w:r>
      <w:r>
        <w:rPr>
          <w:rFonts w:hint="eastAsia" w:eastAsia="仿宋_GB2312" w:cs="仿宋_GB2312"/>
          <w:color w:val="auto"/>
          <w:kern w:val="2"/>
          <w:sz w:val="32"/>
          <w:szCs w:val="32"/>
          <w:highlight w:val="none"/>
          <w:lang w:val="en-US" w:eastAsia="zh-CN" w:bidi="ar-SA"/>
        </w:rPr>
        <w:t>210</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03</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3.04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2A238511">
      <w:pPr>
        <w:spacing w:line="600" w:lineRule="exact"/>
        <w:ind w:firstLine="320" w:firstLineChars="10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14.城乡社区支出212</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01</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01</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138.23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2D18F630">
      <w:pPr>
        <w:spacing w:line="600" w:lineRule="exact"/>
        <w:ind w:firstLine="320" w:firstLineChars="10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15.城乡社区支出212</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01</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02</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54.84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56ABA42F">
      <w:pPr>
        <w:spacing w:line="600" w:lineRule="exact"/>
        <w:ind w:firstLine="320" w:firstLineChars="10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16.城乡社区支出212</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01</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06</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0.7</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279FC32F">
      <w:pPr>
        <w:spacing w:line="600" w:lineRule="exact"/>
        <w:ind w:firstLine="320" w:firstLineChars="10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17.城乡社区支出212</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01</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09</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6179205E">
      <w:pPr>
        <w:spacing w:line="600" w:lineRule="exact"/>
        <w:ind w:firstLine="320" w:firstLineChars="10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18.城乡社区支出212</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01</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99</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846.27</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7561C49D">
      <w:pPr>
        <w:spacing w:line="600" w:lineRule="exact"/>
        <w:ind w:firstLine="320" w:firstLineChars="10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19.城乡社区公共设施212</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03</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03</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216.24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5CC8D1F4">
      <w:pPr>
        <w:spacing w:line="600" w:lineRule="exact"/>
        <w:ind w:firstLine="320" w:firstLineChars="10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20.城乡社区公共设施212</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03</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99</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20CE97FF">
      <w:pPr>
        <w:spacing w:line="600" w:lineRule="exact"/>
        <w:ind w:firstLine="320" w:firstLineChars="10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21.城乡社区环境卫生212</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05</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01</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35.13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6BC1B6B8">
      <w:pPr>
        <w:spacing w:line="600" w:lineRule="exact"/>
        <w:ind w:firstLine="320" w:firstLineChars="10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22.住房保障221</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01</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05</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58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44327260">
      <w:pPr>
        <w:spacing w:line="600" w:lineRule="exact"/>
        <w:ind w:firstLine="320" w:firstLineChars="1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23.住房保障221</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02</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01</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12.85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19F6D1B8">
      <w:pPr>
        <w:spacing w:line="600" w:lineRule="exact"/>
        <w:ind w:firstLine="320" w:firstLineChars="10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24</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社会保障和就业</w:t>
      </w:r>
      <w:r>
        <w:rPr>
          <w:rFonts w:hint="eastAsia" w:eastAsia="仿宋_GB2312" w:cs="仿宋_GB2312"/>
          <w:color w:val="auto"/>
          <w:kern w:val="2"/>
          <w:sz w:val="32"/>
          <w:szCs w:val="32"/>
          <w:highlight w:val="none"/>
          <w:lang w:val="en-US" w:eastAsia="zh-CN" w:bidi="ar-SA"/>
        </w:rPr>
        <w:t>208</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05</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06</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4.45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4306FEBB">
      <w:pPr>
        <w:spacing w:line="600" w:lineRule="exact"/>
        <w:ind w:firstLine="320" w:firstLineChars="10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25</w:t>
      </w:r>
      <w:r>
        <w:rPr>
          <w:rFonts w:hint="eastAsia" w:eastAsia="仿宋_GB2312" w:cs="仿宋_GB2312"/>
          <w:color w:val="auto"/>
          <w:kern w:val="2"/>
          <w:sz w:val="32"/>
          <w:szCs w:val="32"/>
          <w:highlight w:val="none"/>
          <w:lang w:val="en-US" w:eastAsia="zh-CN" w:bidi="ar-SA"/>
        </w:rPr>
        <w:t>.住房保障支出221</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02</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01</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 xml:space="preserve"> 支出决算为5.99万元，完成预算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673F81D2">
      <w:pPr>
        <w:spacing w:line="600" w:lineRule="exact"/>
        <w:ind w:firstLine="320" w:firstLineChars="10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26</w:t>
      </w:r>
      <w:r>
        <w:rPr>
          <w:rFonts w:hint="eastAsia" w:eastAsia="仿宋_GB2312" w:cs="仿宋_GB2312"/>
          <w:color w:val="auto"/>
          <w:kern w:val="2"/>
          <w:sz w:val="32"/>
          <w:szCs w:val="32"/>
          <w:highlight w:val="none"/>
          <w:lang w:val="en-US" w:eastAsia="zh-CN" w:bidi="ar-SA"/>
        </w:rPr>
        <w:t>.城乡社区支出212</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01</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03</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支出决算为57.46万元，完成预算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6877B552">
      <w:pPr>
        <w:spacing w:line="600" w:lineRule="exact"/>
        <w:ind w:firstLine="320" w:firstLineChars="1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27.卫生健康</w:t>
      </w:r>
      <w:r>
        <w:rPr>
          <w:rFonts w:hint="eastAsia" w:eastAsia="仿宋_GB2312" w:cs="仿宋_GB2312"/>
          <w:color w:val="auto"/>
          <w:kern w:val="2"/>
          <w:sz w:val="32"/>
          <w:szCs w:val="32"/>
          <w:highlight w:val="none"/>
          <w:lang w:val="en-US" w:eastAsia="zh-CN" w:bidi="ar-SA"/>
        </w:rPr>
        <w:t>210</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99（</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1.33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75D0F553">
      <w:pPr>
        <w:spacing w:line="600" w:lineRule="exact"/>
        <w:ind w:firstLine="320" w:firstLineChars="10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28.社会保障和就业</w:t>
      </w:r>
      <w:r>
        <w:rPr>
          <w:rFonts w:hint="eastAsia" w:eastAsia="仿宋_GB2312" w:cs="仿宋_GB2312"/>
          <w:color w:val="auto"/>
          <w:kern w:val="2"/>
          <w:sz w:val="32"/>
          <w:szCs w:val="32"/>
          <w:highlight w:val="none"/>
          <w:lang w:val="en-US" w:eastAsia="zh-CN" w:bidi="ar-SA"/>
        </w:rPr>
        <w:t>208</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05</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05</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支出决算为7.27万元，完成预算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0F4B079C">
      <w:pPr>
        <w:spacing w:line="600" w:lineRule="exact"/>
        <w:ind w:firstLine="320" w:firstLineChars="10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29.卫生健康</w:t>
      </w:r>
      <w:r>
        <w:rPr>
          <w:rFonts w:hint="eastAsia" w:eastAsia="仿宋_GB2312" w:cs="仿宋_GB2312"/>
          <w:color w:val="auto"/>
          <w:kern w:val="2"/>
          <w:sz w:val="32"/>
          <w:szCs w:val="32"/>
          <w:highlight w:val="none"/>
          <w:lang w:val="en-US" w:eastAsia="zh-CN" w:bidi="ar-SA"/>
        </w:rPr>
        <w:t>210</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02（</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支出决算为3.53万元，完成预算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5DF8DF48">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（注：仅罗列本部门涉及的全部功能分类科目，至项级。上述“预算”口径为全年预算数。增减变动原因为决算数</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项级</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和全年预算数</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项级</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比较，与预算数持平可以不写原因）</w:t>
      </w:r>
    </w:p>
    <w:p w14:paraId="7A4B74F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D4B5ECA">
      <w:pPr>
        <w:tabs>
          <w:tab w:val="right" w:pos="8306"/>
        </w:tabs>
        <w:spacing w:line="600" w:lineRule="exact"/>
        <w:ind w:firstLine="640"/>
        <w:outlineLvl w:val="1"/>
        <w:rPr>
          <w:rStyle w:val="29"/>
          <w:rFonts w:ascii="Times New Roman" w:hAnsi="Times New Roman"/>
          <w:color w:val="auto"/>
          <w:highlight w:val="none"/>
        </w:rPr>
      </w:pPr>
      <w:bookmarkStart w:id="45" w:name="_Toc25745"/>
      <w:bookmarkStart w:id="46" w:name="_Toc15377214"/>
      <w:bookmarkStart w:id="47"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bookmarkEnd w:id="45"/>
      <w:bookmarkEnd w:id="46"/>
      <w:bookmarkEnd w:id="47"/>
      <w:r>
        <w:rPr>
          <w:rStyle w:val="29"/>
          <w:rFonts w:ascii="Times New Roman" w:hAnsi="Times New Roman" w:eastAsia="黑体"/>
          <w:b w:val="0"/>
          <w:color w:val="auto"/>
          <w:highlight w:val="none"/>
        </w:rPr>
        <w:tab/>
      </w:r>
    </w:p>
    <w:p w14:paraId="77831E7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623.08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3E47DBD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588.97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34.11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1F3F918D">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（注：仅罗列本部门实际支出涉及的经济分类科目）</w:t>
      </w:r>
    </w:p>
    <w:p w14:paraId="5452DF2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34DC061">
      <w:pPr>
        <w:spacing w:line="600" w:lineRule="exact"/>
        <w:ind w:firstLine="640"/>
        <w:outlineLvl w:val="1"/>
        <w:rPr>
          <w:rStyle w:val="29"/>
          <w:rFonts w:ascii="Times New Roman" w:hAnsi="Times New Roman" w:eastAsia="黑体"/>
          <w:b w:val="0"/>
          <w:color w:val="auto"/>
          <w:highlight w:val="none"/>
        </w:rPr>
      </w:pPr>
      <w:bookmarkStart w:id="48" w:name="_Toc494"/>
      <w:bookmarkStart w:id="49" w:name="_Toc15396609"/>
      <w:bookmarkStart w:id="50" w:name="_Toc15377215"/>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highlight w:val="none"/>
        </w:rPr>
        <w:t>财政拨款</w:t>
      </w:r>
      <w:r>
        <w:rPr>
          <w:rStyle w:val="29"/>
          <w:rFonts w:hint="eastAsia" w:ascii="Times New Roman" w:hAnsi="Times New Roman" w:eastAsia="黑体"/>
          <w:color w:val="auto"/>
          <w:highlight w:val="none"/>
        </w:rPr>
        <w:t>“</w:t>
      </w:r>
      <w:r>
        <w:rPr>
          <w:rStyle w:val="29"/>
          <w:rFonts w:hint="eastAsia" w:ascii="Times New Roman" w:hAnsi="Times New Roman" w:eastAsia="黑体"/>
          <w:b w:val="0"/>
          <w:color w:val="auto"/>
          <w:highlight w:val="none"/>
        </w:rPr>
        <w:t>三公”经费支出决算情况说明</w:t>
      </w:r>
      <w:bookmarkEnd w:id="48"/>
      <w:bookmarkEnd w:id="49"/>
      <w:bookmarkEnd w:id="50"/>
    </w:p>
    <w:p w14:paraId="5CFB3A9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1"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51"/>
    </w:p>
    <w:p w14:paraId="734809B5">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44.17</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较上年度增加</w:t>
      </w:r>
      <w:r>
        <w:rPr>
          <w:rFonts w:hint="eastAsia" w:eastAsia="仿宋_GB2312" w:cs="仿宋_GB2312"/>
          <w:color w:val="auto"/>
          <w:kern w:val="2"/>
          <w:sz w:val="32"/>
          <w:szCs w:val="32"/>
          <w:highlight w:val="none"/>
          <w:lang w:val="en-US" w:eastAsia="zh-CN" w:bidi="ar-SA"/>
        </w:rPr>
        <w:t>36.28</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460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变动原因2024年产生车辆购置费。</w:t>
      </w:r>
      <w:r>
        <w:rPr>
          <w:rFonts w:hint="eastAsia" w:ascii="Times New Roman" w:hAnsi="Times New Roman" w:eastAsia="仿宋_GB2312" w:cs="仿宋_GB2312"/>
          <w:b/>
          <w:bCs/>
          <w:color w:val="auto"/>
          <w:kern w:val="2"/>
          <w:sz w:val="32"/>
          <w:szCs w:val="32"/>
          <w:highlight w:val="none"/>
          <w:lang w:val="en-US" w:eastAsia="zh-CN" w:bidi="ar-SA"/>
        </w:rPr>
        <w:t>（注：上述“预算”口径为全年预算数，包括一般公共预算和政府性基金预算财政拨款支出决算情况）</w:t>
      </w:r>
    </w:p>
    <w:p w14:paraId="7C01314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2"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52"/>
    </w:p>
    <w:p w14:paraId="0C36BF1F">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44.17</w:t>
      </w:r>
      <w:r>
        <w:rPr>
          <w:rFonts w:hint="eastAsia" w:ascii="仿宋_GB2312" w:hAnsi="仿宋_GB2312" w:eastAsia="仿宋_GB2312" w:cs="仿宋_GB2312"/>
          <w:color w:val="auto"/>
          <w:kern w:val="2"/>
          <w:sz w:val="32"/>
          <w:szCs w:val="32"/>
          <w:highlight w:val="none"/>
          <w:lang w:val="en-US" w:eastAsia="zh-CN" w:bidi="ar-SA"/>
        </w:rPr>
        <w:t>万元，占100%；公务接待费支出决算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万元，占0%。具体情况如下：</w:t>
      </w:r>
    </w:p>
    <w:p w14:paraId="05E4255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14:paraId="7765299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2336" behindDoc="1" locked="0" layoutInCell="1" allowOverlap="1">
            <wp:simplePos x="0" y="0"/>
            <wp:positionH relativeFrom="column">
              <wp:posOffset>410845</wp:posOffset>
            </wp:positionH>
            <wp:positionV relativeFrom="paragraph">
              <wp:posOffset>-2449195</wp:posOffset>
            </wp:positionV>
            <wp:extent cx="4826000" cy="2743200"/>
            <wp:effectExtent l="4445" t="4445" r="15875" b="10795"/>
            <wp:wrapTight wrapText="bothSides">
              <wp:wrapPolygon>
                <wp:start x="-20" y="-35"/>
                <wp:lineTo x="-20" y="21565"/>
                <wp:lineTo x="21535" y="21565"/>
                <wp:lineTo x="21535" y="-35"/>
                <wp:lineTo x="-20" y="-35"/>
              </wp:wrapPolygon>
            </wp:wrapTight>
            <wp:docPr id="13"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74316C8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1.因公出国（境）经费支出**万元，完成预算**%。</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%。主要原因是</w:t>
      </w:r>
    </w:p>
    <w:p w14:paraId="0599B0C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开支内容包括：（团组名称、出访地点、取得成效等）</w:t>
      </w:r>
    </w:p>
    <w:p w14:paraId="6F88B48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44.17万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w:t>
      </w:r>
      <w:r>
        <w:rPr>
          <w:rFonts w:hint="eastAsia" w:eastAsia="仿宋_GB2312" w:cs="仿宋_GB2312"/>
          <w:color w:val="auto"/>
          <w:kern w:val="2"/>
          <w:sz w:val="32"/>
          <w:szCs w:val="32"/>
          <w:highlight w:val="none"/>
          <w:lang w:val="en-US" w:eastAsia="zh-CN" w:bidi="ar-SA"/>
        </w:rPr>
        <w:t>36.28</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460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变动原因2024年产生车辆购置费</w:t>
      </w: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38.4</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38.4</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万元，主要用于</w:t>
      </w:r>
      <w:r>
        <w:rPr>
          <w:rFonts w:hint="eastAsia" w:eastAsia="仿宋_GB2312" w:cs="仿宋_GB2312"/>
          <w:color w:val="auto"/>
          <w:kern w:val="2"/>
          <w:sz w:val="32"/>
          <w:szCs w:val="32"/>
          <w:highlight w:val="none"/>
          <w:lang w:val="en-US" w:eastAsia="zh-CN" w:bidi="ar-SA"/>
        </w:rPr>
        <w:t>工程建设情况检查，工程质量检查相关业务出差的燃油费及公路费公务用车维护费</w:t>
      </w:r>
      <w:r>
        <w:rPr>
          <w:rFonts w:hint="eastAsia" w:ascii="Times New Roman" w:hAnsi="Times New Roman" w:eastAsia="仿宋_GB2312" w:cs="仿宋_GB2312"/>
          <w:color w:val="auto"/>
          <w:kern w:val="2"/>
          <w:sz w:val="32"/>
          <w:szCs w:val="32"/>
          <w:highlight w:val="none"/>
          <w:lang w:val="en-US" w:eastAsia="zh-CN" w:bidi="ar-SA"/>
        </w:rPr>
        <w:t>。截至2024年12月31日，单位共有公务用车</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辆</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5.77</w:t>
      </w:r>
      <w:r>
        <w:rPr>
          <w:rFonts w:hint="eastAsia" w:ascii="Times New Roman" w:hAnsi="Times New Roman" w:eastAsia="仿宋_GB2312" w:cs="仿宋_GB2312"/>
          <w:color w:val="auto"/>
          <w:kern w:val="2"/>
          <w:sz w:val="32"/>
          <w:szCs w:val="32"/>
          <w:highlight w:val="none"/>
          <w:lang w:val="en-US" w:eastAsia="zh-CN" w:bidi="ar-SA"/>
        </w:rPr>
        <w:t>万元。主要用于</w:t>
      </w:r>
      <w:r>
        <w:rPr>
          <w:rFonts w:hint="eastAsia" w:ascii="仿宋_GB2312" w:eastAsia="仿宋_GB2312"/>
          <w:color w:val="auto"/>
          <w:sz w:val="32"/>
          <w:szCs w:val="32"/>
          <w:highlight w:val="none"/>
          <w:lang w:eastAsia="zh-CN"/>
        </w:rPr>
        <w:t>出差及在建工地检查，下乡</w:t>
      </w:r>
      <w:r>
        <w:rPr>
          <w:rFonts w:hint="eastAsia" w:ascii="仿宋_GB2312" w:eastAsia="仿宋_GB2312"/>
          <w:color w:val="auto"/>
          <w:sz w:val="32"/>
          <w:szCs w:val="32"/>
          <w:highlight w:val="none"/>
        </w:rPr>
        <w:t>等所需的公务用车燃料费、维修费、过路过桥费、保险费等支出。</w:t>
      </w:r>
      <w:r>
        <w:rPr>
          <w:rFonts w:hint="eastAsia" w:ascii="Times New Roman" w:hAnsi="Times New Roman" w:eastAsia="仿宋_GB2312" w:cs="仿宋_GB2312"/>
          <w:color w:val="auto"/>
          <w:kern w:val="2"/>
          <w:sz w:val="32"/>
          <w:szCs w:val="32"/>
          <w:highlight w:val="none"/>
          <w:lang w:val="en-US" w:eastAsia="zh-CN" w:bidi="ar-SA"/>
        </w:rPr>
        <w:t>所需的公务用车燃料费、维修费、过路过桥费、保险费等支出。</w:t>
      </w:r>
    </w:p>
    <w:p w14:paraId="735EC16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%。主要原因是。其中：</w:t>
      </w:r>
    </w:p>
    <w:p w14:paraId="68AA582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执行公务、开展业务活动开支的交通费、住宿费、用餐费等</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人次（不包括陪同人员），共计支出**万元，具体内容包括：……（接待具体项目、金额）。</w:t>
      </w:r>
    </w:p>
    <w:p w14:paraId="7B9FAF5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万元，主要用于……（具体项目）。外事接待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人次（不包括陪同人员），共计支出**万</w:t>
      </w:r>
      <w:r>
        <w:rPr>
          <w:rFonts w:hint="eastAsia" w:ascii="Times New Roman" w:hAnsi="Times New Roman" w:eastAsia="仿宋_GB2312" w:cs="仿宋_GB2312"/>
          <w:color w:val="auto"/>
          <w:kern w:val="2"/>
          <w:sz w:val="32"/>
          <w:szCs w:val="32"/>
          <w:highlight w:val="none"/>
          <w:lang w:val="en-US" w:eastAsia="zh-CN" w:bidi="ar-SA"/>
        </w:rPr>
        <w:t>元。</w:t>
      </w:r>
    </w:p>
    <w:p w14:paraId="1D3BC78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53" w:name="_Toc15396610"/>
      <w:bookmarkStart w:id="54" w:name="_Toc15377218"/>
    </w:p>
    <w:p w14:paraId="2C165DD5">
      <w:pPr>
        <w:spacing w:line="600" w:lineRule="exact"/>
        <w:ind w:firstLine="640"/>
        <w:outlineLvl w:val="1"/>
        <w:rPr>
          <w:rStyle w:val="29"/>
          <w:rFonts w:ascii="Times New Roman" w:hAnsi="Times New Roman" w:eastAsia="黑体"/>
          <w:color w:val="auto"/>
          <w:highlight w:val="none"/>
        </w:rPr>
      </w:pPr>
      <w:bookmarkStart w:id="55" w:name="_Toc20619"/>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bookmarkEnd w:id="53"/>
      <w:bookmarkEnd w:id="54"/>
      <w:bookmarkEnd w:id="55"/>
    </w:p>
    <w:p w14:paraId="20F2433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134.58</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3</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。与2023年度相比，政府性基金预算财政拨款支出增加减少</w:t>
      </w:r>
      <w:r>
        <w:rPr>
          <w:rFonts w:hint="eastAsia" w:eastAsia="仿宋_GB2312" w:cs="仿宋_GB2312"/>
          <w:color w:val="auto"/>
          <w:kern w:val="2"/>
          <w:sz w:val="32"/>
          <w:szCs w:val="32"/>
          <w:highlight w:val="none"/>
          <w:lang w:val="en-US" w:eastAsia="zh-CN" w:bidi="ar-SA"/>
        </w:rPr>
        <w:t>276.55</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67</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基金类项目支出减少</w:t>
      </w:r>
      <w:r>
        <w:rPr>
          <w:rFonts w:hint="eastAsia" w:ascii="Times New Roman" w:hAnsi="Times New Roman" w:eastAsia="仿宋_GB2312" w:cs="仿宋_GB2312"/>
          <w:b/>
          <w:bCs/>
          <w:color w:val="auto"/>
          <w:kern w:val="2"/>
          <w:sz w:val="32"/>
          <w:szCs w:val="32"/>
          <w:highlight w:val="none"/>
          <w:lang w:val="en-US" w:eastAsia="zh-CN" w:bidi="ar-SA"/>
        </w:rPr>
        <w:t>（注：支出数与上年持平可以不写原因）</w:t>
      </w:r>
    </w:p>
    <w:p w14:paraId="63DA8820">
      <w:pPr>
        <w:numPr>
          <w:ilvl w:val="0"/>
          <w:numId w:val="0"/>
        </w:numPr>
        <w:spacing w:line="600" w:lineRule="exact"/>
        <w:ind w:left="630" w:leftChars="0"/>
        <w:outlineLvl w:val="1"/>
        <w:rPr>
          <w:rStyle w:val="29"/>
          <w:rFonts w:ascii="Times New Roman" w:hAnsi="Times New Roman" w:eastAsia="黑体"/>
          <w:b w:val="0"/>
          <w:color w:val="auto"/>
          <w:highlight w:val="none"/>
        </w:rPr>
      </w:pPr>
      <w:bookmarkStart w:id="56" w:name="_Toc15396611"/>
      <w:bookmarkStart w:id="57" w:name="_Toc516"/>
      <w:bookmarkStart w:id="58" w:name="_Toc15377219"/>
      <w:r>
        <w:rPr>
          <w:rStyle w:val="29"/>
          <w:rFonts w:hint="eastAsia" w:ascii="Times New Roman" w:hAnsi="Times New Roman" w:eastAsia="黑体"/>
          <w:b w:val="0"/>
          <w:color w:val="auto"/>
          <w:highlight w:val="none"/>
          <w:lang w:eastAsia="zh-CN"/>
        </w:rPr>
        <w:t>九、</w:t>
      </w:r>
      <w:r>
        <w:rPr>
          <w:rStyle w:val="29"/>
          <w:rFonts w:hint="eastAsia" w:ascii="Times New Roman" w:hAnsi="Times New Roman" w:eastAsia="黑体"/>
          <w:b w:val="0"/>
          <w:color w:val="auto"/>
          <w:highlight w:val="none"/>
        </w:rPr>
        <w:t>国有资本经营预算支出决算情况说明</w:t>
      </w:r>
      <w:bookmarkEnd w:id="56"/>
      <w:bookmarkEnd w:id="57"/>
      <w:bookmarkEnd w:id="58"/>
    </w:p>
    <w:p w14:paraId="6758DF5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ascii="Times New Roman" w:hAnsi="Times New Roman" w:eastAsia="仿宋_GB2312" w:cs="仿宋_GB2312"/>
          <w:b/>
          <w:bCs/>
          <w:color w:val="auto"/>
          <w:kern w:val="2"/>
          <w:sz w:val="32"/>
          <w:szCs w:val="32"/>
          <w:highlight w:val="none"/>
          <w:lang w:val="en-US" w:eastAsia="zh-CN" w:bidi="ar-SA"/>
        </w:rPr>
        <w:t>（注：支出数与上年持平可以不写原因）</w:t>
      </w:r>
    </w:p>
    <w:p w14:paraId="0222703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CBF0027">
      <w:pPr>
        <w:numPr>
          <w:ilvl w:val="0"/>
          <w:numId w:val="0"/>
        </w:numPr>
        <w:spacing w:line="600" w:lineRule="exact"/>
        <w:ind w:left="630" w:leftChars="0"/>
        <w:outlineLvl w:val="1"/>
        <w:rPr>
          <w:rStyle w:val="29"/>
          <w:rFonts w:hint="eastAsia" w:ascii="Times New Roman" w:hAnsi="Times New Roman" w:eastAsia="黑体"/>
          <w:b w:val="0"/>
          <w:color w:val="auto"/>
          <w:highlight w:val="none"/>
        </w:rPr>
      </w:pPr>
      <w:bookmarkStart w:id="59" w:name="_Toc15377221"/>
      <w:bookmarkStart w:id="60" w:name="_Toc15396612"/>
      <w:bookmarkStart w:id="61" w:name="_Toc8540"/>
      <w:r>
        <w:rPr>
          <w:rStyle w:val="29"/>
          <w:rFonts w:hint="eastAsia" w:ascii="Times New Roman" w:hAnsi="Times New Roman" w:eastAsia="黑体"/>
          <w:b w:val="0"/>
          <w:color w:val="auto"/>
          <w:highlight w:val="none"/>
          <w:lang w:eastAsia="zh-CN"/>
        </w:rPr>
        <w:t>十、</w:t>
      </w:r>
      <w:r>
        <w:rPr>
          <w:rStyle w:val="29"/>
          <w:rFonts w:hint="eastAsia" w:ascii="Times New Roman" w:hAnsi="Times New Roman" w:eastAsia="黑体"/>
          <w:b w:val="0"/>
          <w:color w:val="auto"/>
          <w:highlight w:val="none"/>
        </w:rPr>
        <w:t>其他重要事项的情况说明</w:t>
      </w:r>
      <w:bookmarkEnd w:id="59"/>
      <w:bookmarkEnd w:id="60"/>
      <w:bookmarkEnd w:id="61"/>
    </w:p>
    <w:p w14:paraId="22B5BBB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62" w:name="_Toc15377222"/>
      <w:r>
        <w:rPr>
          <w:rFonts w:hint="eastAsia" w:ascii="Times New Roman" w:hAnsi="Times New Roman" w:eastAsia="楷体_GB2312" w:cs="楷体_GB2312"/>
          <w:b/>
          <w:color w:val="auto"/>
          <w:sz w:val="32"/>
          <w:szCs w:val="32"/>
          <w:highlight w:val="none"/>
        </w:rPr>
        <w:t>（一）机关运行经费支出情况</w:t>
      </w:r>
      <w:bookmarkEnd w:id="62"/>
    </w:p>
    <w:p w14:paraId="1D73724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松潘县住房和城乡建设局</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17.67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元，比2023年度主要原因是</w:t>
      </w:r>
      <w:r>
        <w:rPr>
          <w:rFonts w:hint="eastAsia" w:eastAsia="仿宋_GB2312" w:cs="仿宋_GB2312"/>
          <w:color w:val="auto"/>
          <w:kern w:val="2"/>
          <w:sz w:val="32"/>
          <w:szCs w:val="32"/>
          <w:highlight w:val="none"/>
          <w:lang w:val="en-US" w:eastAsia="zh-CN" w:bidi="ar-SA"/>
        </w:rPr>
        <w:t>人员减少，厉行节约。</w:t>
      </w:r>
    </w:p>
    <w:p w14:paraId="26600B3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63" w:name="_Toc15377223"/>
      <w:r>
        <w:rPr>
          <w:rFonts w:hint="eastAsia" w:ascii="Times New Roman" w:hAnsi="Times New Roman" w:eastAsia="楷体_GB2312" w:cs="楷体_GB2312"/>
          <w:b/>
          <w:color w:val="auto"/>
          <w:sz w:val="32"/>
          <w:szCs w:val="32"/>
          <w:highlight w:val="none"/>
        </w:rPr>
        <w:t>（二）政府采购支出情况</w:t>
      </w:r>
      <w:bookmarkEnd w:id="63"/>
    </w:p>
    <w:p w14:paraId="65D987E6">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松潘县住房和城乡建设局</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41</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41</w:t>
      </w:r>
      <w:r>
        <w:rPr>
          <w:rFonts w:hint="eastAsia" w:ascii="仿宋_GB2312" w:hAnsi="仿宋_GB2312" w:eastAsia="仿宋_GB2312" w:cs="仿宋_GB2312"/>
          <w:color w:val="auto"/>
          <w:kern w:val="2"/>
          <w:sz w:val="32"/>
          <w:szCs w:val="32"/>
          <w:highlight w:val="none"/>
          <w:lang w:val="en-US" w:eastAsia="zh-CN" w:bidi="ar-SA"/>
        </w:rPr>
        <w:t>万元。要用于工程建设工程项目的二类费用。授予中小企业合同金额</w:t>
      </w:r>
      <w:r>
        <w:rPr>
          <w:rFonts w:hint="eastAsia" w:ascii="仿宋_GB2312" w:hAnsi="仿宋_GB2312" w:eastAsia="仿宋_GB2312" w:cs="仿宋_GB2312"/>
          <w:sz w:val="32"/>
          <w:szCs w:val="32"/>
        </w:rPr>
        <w:t>41</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41</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p>
    <w:p w14:paraId="029E62B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35D586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64" w:name="_Toc15377224"/>
      <w:r>
        <w:rPr>
          <w:rFonts w:hint="eastAsia" w:ascii="Times New Roman" w:hAnsi="Times New Roman" w:eastAsia="楷体_GB2312" w:cs="楷体_GB2312"/>
          <w:b/>
          <w:color w:val="auto"/>
          <w:sz w:val="32"/>
          <w:szCs w:val="32"/>
          <w:highlight w:val="none"/>
        </w:rPr>
        <w:t>（三）国有资产占有使用情况</w:t>
      </w:r>
      <w:bookmarkEnd w:id="64"/>
    </w:p>
    <w:p w14:paraId="667107B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松潘县住房和城乡建设局</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8</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8</w:t>
      </w:r>
      <w:r>
        <w:rPr>
          <w:rFonts w:hint="eastAsia" w:ascii="仿宋_GB2312" w:hAnsi="仿宋_GB2312" w:eastAsia="仿宋_GB2312" w:cs="仿宋_GB2312"/>
          <w:color w:val="auto"/>
          <w:kern w:val="2"/>
          <w:sz w:val="32"/>
          <w:szCs w:val="32"/>
          <w:highlight w:val="none"/>
          <w:lang w:val="en-US" w:eastAsia="zh-CN" w:bidi="ar-SA"/>
        </w:rPr>
        <w:t>辆，其他用车主要用于</w:t>
      </w:r>
      <w:r>
        <w:rPr>
          <w:rFonts w:hint="eastAsia" w:ascii="仿宋_GB2312" w:eastAsia="仿宋_GB2312"/>
          <w:color w:val="auto"/>
          <w:sz w:val="32"/>
          <w:szCs w:val="32"/>
          <w:highlight w:val="none"/>
          <w:lang w:eastAsia="zh-CN"/>
        </w:rPr>
        <w:t>出差及在建工地检查，下乡</w:t>
      </w:r>
      <w:r>
        <w:rPr>
          <w:rFonts w:hint="eastAsia" w:ascii="仿宋_GB2312" w:eastAsia="仿宋_GB2312"/>
          <w:color w:val="auto"/>
          <w:sz w:val="32"/>
          <w:szCs w:val="32"/>
          <w:highlight w:val="none"/>
        </w:rPr>
        <w:t>等所需的公务用车燃料费、维修费、过路过桥费、保险费等支出</w:t>
      </w:r>
      <w:r>
        <w:rPr>
          <w:rFonts w:hint="eastAsia" w:ascii="仿宋_GB2312" w:hAnsi="仿宋_GB2312" w:eastAsia="仿宋_GB2312" w:cs="仿宋_GB2312"/>
          <w:color w:val="auto"/>
          <w:kern w:val="2"/>
          <w:sz w:val="32"/>
          <w:szCs w:val="32"/>
          <w:highlight w:val="none"/>
          <w:lang w:val="en-US" w:eastAsia="zh-CN" w:bidi="ar-SA"/>
        </w:rPr>
        <w:t>。单价100万元（含）以上设备（不含车辆）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57DAA7D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FCD2A8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526478F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根据预算绩效管理要求，在2024年度预算编制阶段，组织对</w:t>
      </w:r>
      <w:r>
        <w:rPr>
          <w:rFonts w:hint="eastAsia" w:eastAsia="仿宋_GB2312" w:cs="仿宋_GB2312"/>
          <w:color w:val="auto"/>
          <w:kern w:val="2"/>
          <w:sz w:val="32"/>
          <w:szCs w:val="32"/>
          <w:highlight w:val="none"/>
          <w:lang w:val="en-US" w:eastAsia="zh-CN" w:bidi="ar-SA"/>
        </w:rPr>
        <w:t>松潘县川主寺镇推进乡村建设重点基础设施项目、松潘县川主寺镇进安镇自来水管网更新改造项目</w:t>
      </w:r>
      <w:r>
        <w:rPr>
          <w:rFonts w:hint="eastAsia" w:ascii="Times New Roman" w:hAnsi="Times New Roman" w:eastAsia="仿宋_GB2312" w:cs="仿宋_GB2312"/>
          <w:color w:val="auto"/>
          <w:kern w:val="2"/>
          <w:sz w:val="32"/>
          <w:szCs w:val="32"/>
          <w:highlight w:val="none"/>
          <w:lang w:val="en-US" w:eastAsia="zh-CN" w:bidi="ar-SA"/>
        </w:rPr>
        <w:t>（项目名称）等</w:t>
      </w: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w:t>
      </w:r>
      <w:r>
        <w:rPr>
          <w:rFonts w:hint="eastAsia" w:eastAsia="仿宋_GB2312" w:cs="仿宋_GB2312"/>
          <w:color w:val="auto"/>
          <w:kern w:val="2"/>
          <w:sz w:val="32"/>
          <w:szCs w:val="32"/>
          <w:highlight w:val="none"/>
          <w:lang w:val="en-US" w:eastAsia="zh-CN" w:bidi="ar-SA"/>
        </w:rPr>
        <w:t>取一</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3CCADA7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B20E86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46C8608">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65" w:name="_Toc15377225"/>
      <w:bookmarkStart w:id="66" w:name="_Toc17660"/>
      <w:bookmarkStart w:id="67" w:name="_Toc1539661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65"/>
      <w:bookmarkEnd w:id="66"/>
      <w:bookmarkEnd w:id="67"/>
    </w:p>
    <w:p w14:paraId="3F031F61">
      <w:pPr>
        <w:spacing w:line="600" w:lineRule="exact"/>
        <w:jc w:val="left"/>
        <w:rPr>
          <w:rFonts w:ascii="Times New Roman" w:hAnsi="Times New Roman"/>
          <w:b/>
          <w:color w:val="auto"/>
          <w:sz w:val="44"/>
          <w:szCs w:val="44"/>
          <w:highlight w:val="none"/>
        </w:rPr>
      </w:pPr>
    </w:p>
    <w:p w14:paraId="24E68B0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2961458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2.事业收入：指事业单位开展专业业务活动及辅助活动取得的收入。如……（二级预算单位事业收入情况）等。</w:t>
      </w:r>
    </w:p>
    <w:p w14:paraId="75AB465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3.经营收入：指事业单位在专业业务活动及其辅助活动之外开展非独立核算经营活动取得的收入。如……（二级预算单位经营收入情况）等。</w:t>
      </w:r>
    </w:p>
    <w:p w14:paraId="1E962E0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4.其他收入：指单位取得的除上述收入以外的各项收入。主要是……（收入类型）等。 </w:t>
      </w:r>
    </w:p>
    <w:p w14:paraId="5CEACE6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14:paraId="65F008B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14:paraId="2B01E8A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14:paraId="724D0F7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14:paraId="6940F34C">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9.教育</w:t>
      </w:r>
      <w:r>
        <w:rPr>
          <w:rFonts w:hint="eastAsia" w:eastAsia="仿宋_GB2312" w:cs="仿宋_GB2312"/>
          <w:color w:val="auto"/>
          <w:kern w:val="2"/>
          <w:sz w:val="32"/>
          <w:szCs w:val="32"/>
          <w:highlight w:val="none"/>
          <w:lang w:val="en-US" w:eastAsia="zh-CN" w:bidi="ar-SA"/>
        </w:rPr>
        <w:t>205</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02</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02</w:t>
      </w:r>
      <w:r>
        <w:rPr>
          <w:rFonts w:hint="eastAsia" w:ascii="Times New Roman" w:hAnsi="Times New Roman" w:eastAsia="仿宋_GB2312" w:cs="仿宋_GB2312"/>
          <w:color w:val="auto"/>
          <w:kern w:val="2"/>
          <w:sz w:val="32"/>
          <w:szCs w:val="32"/>
          <w:highlight w:val="none"/>
          <w:lang w:val="en-US" w:eastAsia="zh-CN" w:bidi="ar-SA"/>
        </w:rPr>
        <w:t>（项）：指</w:t>
      </w:r>
      <w:r>
        <w:rPr>
          <w:rFonts w:hint="eastAsia" w:eastAsia="仿宋_GB2312" w:cs="仿宋_GB2312"/>
          <w:color w:val="auto"/>
          <w:kern w:val="2"/>
          <w:sz w:val="32"/>
          <w:szCs w:val="32"/>
          <w:highlight w:val="none"/>
          <w:lang w:val="en-US" w:eastAsia="zh-CN" w:bidi="ar-SA"/>
        </w:rPr>
        <w:t>反映各部门举办的小学教育支出。政府各部门对社会组织等举办的小学的资助，如捐赠、补贴等，也在科目中反映。</w:t>
      </w:r>
    </w:p>
    <w:p w14:paraId="3CFA4FD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10.文化旅游体育与传媒</w:t>
      </w:r>
      <w:r>
        <w:rPr>
          <w:rFonts w:hint="eastAsia" w:eastAsia="仿宋_GB2312" w:cs="仿宋_GB2312"/>
          <w:color w:val="auto"/>
          <w:kern w:val="2"/>
          <w:sz w:val="32"/>
          <w:szCs w:val="32"/>
          <w:highlight w:val="none"/>
          <w:lang w:val="en-US" w:eastAsia="zh-CN" w:bidi="ar-SA"/>
        </w:rPr>
        <w:t>207</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99</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99</w:t>
      </w:r>
      <w:r>
        <w:rPr>
          <w:rFonts w:hint="eastAsia" w:ascii="Times New Roman" w:hAnsi="Times New Roman" w:eastAsia="仿宋_GB2312" w:cs="仿宋_GB2312"/>
          <w:color w:val="auto"/>
          <w:kern w:val="2"/>
          <w:sz w:val="32"/>
          <w:szCs w:val="32"/>
          <w:highlight w:val="none"/>
          <w:lang w:val="en-US" w:eastAsia="zh-CN" w:bidi="ar-SA"/>
        </w:rPr>
        <w:t>（项）：指</w:t>
      </w:r>
      <w:r>
        <w:rPr>
          <w:rFonts w:hint="eastAsia" w:eastAsia="仿宋_GB2312" w:cs="仿宋_GB2312"/>
          <w:color w:val="auto"/>
          <w:kern w:val="2"/>
          <w:sz w:val="32"/>
          <w:szCs w:val="32"/>
          <w:highlight w:val="none"/>
          <w:lang w:val="en-US" w:eastAsia="zh-CN" w:bidi="ar-SA"/>
        </w:rPr>
        <w:t>反映除上述项目以外其他用于文化旅游体育与传媒方面的支出。</w:t>
      </w:r>
    </w:p>
    <w:p w14:paraId="65D9C9C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11.社会保障和就业</w:t>
      </w:r>
      <w:r>
        <w:rPr>
          <w:rFonts w:hint="eastAsia" w:eastAsia="仿宋_GB2312" w:cs="仿宋_GB2312"/>
          <w:color w:val="auto"/>
          <w:kern w:val="2"/>
          <w:sz w:val="32"/>
          <w:szCs w:val="32"/>
          <w:highlight w:val="none"/>
          <w:lang w:val="en-US" w:eastAsia="zh-CN" w:bidi="ar-SA"/>
        </w:rPr>
        <w:t>208</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05</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05</w:t>
      </w:r>
      <w:r>
        <w:rPr>
          <w:rFonts w:hint="eastAsia" w:ascii="Times New Roman" w:hAnsi="Times New Roman" w:eastAsia="仿宋_GB2312" w:cs="仿宋_GB2312"/>
          <w:color w:val="auto"/>
          <w:kern w:val="2"/>
          <w:sz w:val="32"/>
          <w:szCs w:val="32"/>
          <w:highlight w:val="none"/>
          <w:lang w:val="en-US" w:eastAsia="zh-CN" w:bidi="ar-SA"/>
        </w:rPr>
        <w:t>（项）：指</w:t>
      </w:r>
      <w:r>
        <w:rPr>
          <w:rFonts w:hint="eastAsia" w:eastAsia="仿宋_GB2312" w:cs="仿宋_GB2312"/>
          <w:color w:val="auto"/>
          <w:kern w:val="2"/>
          <w:sz w:val="32"/>
          <w:szCs w:val="32"/>
          <w:highlight w:val="none"/>
          <w:lang w:val="en-US" w:eastAsia="zh-CN" w:bidi="ar-SA"/>
        </w:rPr>
        <w:t>反映机关事业单位实施养老保险制度由单位缴纳的基本养老保险费支出。</w:t>
      </w:r>
    </w:p>
    <w:p w14:paraId="0E5287E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12.208</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05</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06</w:t>
      </w:r>
      <w:r>
        <w:rPr>
          <w:rFonts w:hint="eastAsia" w:ascii="Times New Roman" w:hAnsi="Times New Roman" w:eastAsia="仿宋_GB2312" w:cs="仿宋_GB2312"/>
          <w:color w:val="auto"/>
          <w:kern w:val="2"/>
          <w:sz w:val="32"/>
          <w:szCs w:val="32"/>
          <w:highlight w:val="none"/>
          <w:lang w:val="en-US" w:eastAsia="zh-CN" w:bidi="ar-SA"/>
        </w:rPr>
        <w:t>（项）：指</w:t>
      </w:r>
      <w:r>
        <w:rPr>
          <w:rFonts w:hint="eastAsia" w:eastAsia="仿宋_GB2312" w:cs="仿宋_GB2312"/>
          <w:color w:val="auto"/>
          <w:kern w:val="2"/>
          <w:sz w:val="32"/>
          <w:szCs w:val="32"/>
          <w:highlight w:val="none"/>
          <w:lang w:val="en-US" w:eastAsia="zh-CN" w:bidi="ar-SA"/>
        </w:rPr>
        <w:t>反映机关事业单位实施养老保险制度由单位实际缴纳的职业年金支出（含职业年金补记支出）。</w:t>
      </w:r>
    </w:p>
    <w:p w14:paraId="7B522E54">
      <w:pPr>
        <w:numPr>
          <w:ilvl w:val="0"/>
          <w:numId w:val="0"/>
        </w:numPr>
        <w:spacing w:line="600" w:lineRule="exact"/>
        <w:ind w:firstLine="640" w:firstLineChars="200"/>
        <w:rPr>
          <w:rFonts w:hint="default"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13.卫生健康</w:t>
      </w:r>
      <w:r>
        <w:rPr>
          <w:rFonts w:hint="eastAsia" w:eastAsia="仿宋_GB2312" w:cs="仿宋_GB2312"/>
          <w:color w:val="auto"/>
          <w:kern w:val="2"/>
          <w:sz w:val="32"/>
          <w:szCs w:val="32"/>
          <w:highlight w:val="none"/>
          <w:lang w:val="en-US" w:eastAsia="zh-CN" w:bidi="ar-SA"/>
        </w:rPr>
        <w:t>210</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01</w:t>
      </w:r>
      <w:r>
        <w:rPr>
          <w:rFonts w:hint="eastAsia" w:ascii="Times New Roman" w:hAnsi="Times New Roman" w:eastAsia="仿宋_GB2312" w:cs="仿宋_GB2312"/>
          <w:color w:val="auto"/>
          <w:kern w:val="2"/>
          <w:sz w:val="32"/>
          <w:szCs w:val="32"/>
          <w:highlight w:val="none"/>
          <w:lang w:val="en-US" w:eastAsia="zh-CN" w:bidi="ar-SA"/>
        </w:rPr>
        <w:t>（项）：指</w:t>
      </w:r>
      <w:r>
        <w:rPr>
          <w:rFonts w:hint="eastAsia" w:eastAsia="仿宋_GB2312" w:cs="仿宋_GB2312"/>
          <w:color w:val="auto"/>
          <w:kern w:val="2"/>
          <w:sz w:val="32"/>
          <w:szCs w:val="32"/>
          <w:highlight w:val="none"/>
          <w:lang w:val="en-US" w:eastAsia="zh-CN" w:bidi="ar-SA"/>
        </w:rPr>
        <w:t>反映财政部门安排的行政单位（包括实行公务员管理的事业单位，下同）基本医疗保险缴费经费，未参加医疗保险的行政单位的公费医疗经费，按国家规定享受离休人员、红军老战士待遇人员的医疗经费。</w:t>
      </w:r>
    </w:p>
    <w:p w14:paraId="274EE938">
      <w:pPr>
        <w:numPr>
          <w:ilvl w:val="0"/>
          <w:numId w:val="0"/>
        </w:numPr>
        <w:spacing w:line="600" w:lineRule="exact"/>
        <w:ind w:firstLine="640" w:firstLineChars="200"/>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 xml:space="preserve"> 14.210</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03</w:t>
      </w:r>
      <w:r>
        <w:rPr>
          <w:rFonts w:hint="eastAsia" w:ascii="Times New Roman" w:hAnsi="Times New Roman" w:eastAsia="仿宋_GB2312" w:cs="仿宋_GB2312"/>
          <w:color w:val="auto"/>
          <w:kern w:val="2"/>
          <w:sz w:val="32"/>
          <w:szCs w:val="32"/>
          <w:highlight w:val="none"/>
          <w:lang w:val="en-US" w:eastAsia="zh-CN" w:bidi="ar-SA"/>
        </w:rPr>
        <w:t>（项）：指</w:t>
      </w:r>
      <w:r>
        <w:rPr>
          <w:rFonts w:hint="eastAsia" w:eastAsia="仿宋_GB2312" w:cs="仿宋_GB2312"/>
          <w:color w:val="auto"/>
          <w:kern w:val="2"/>
          <w:sz w:val="32"/>
          <w:szCs w:val="32"/>
          <w:highlight w:val="none"/>
          <w:lang w:val="en-US" w:eastAsia="zh-CN" w:bidi="ar-SA"/>
        </w:rPr>
        <w:t>反映财政部门安排的公务员医疗补助经费。</w:t>
      </w:r>
    </w:p>
    <w:p w14:paraId="0FF3C9A0">
      <w:pPr>
        <w:numPr>
          <w:ilvl w:val="0"/>
          <w:numId w:val="0"/>
        </w:numPr>
        <w:spacing w:line="600" w:lineRule="exact"/>
        <w:ind w:left="840" w:leftChars="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15.节能环保</w:t>
      </w:r>
      <w:r>
        <w:rPr>
          <w:rFonts w:hint="eastAsia" w:eastAsia="仿宋_GB2312" w:cs="仿宋_GB2312"/>
          <w:color w:val="auto"/>
          <w:kern w:val="2"/>
          <w:sz w:val="32"/>
          <w:szCs w:val="32"/>
          <w:highlight w:val="none"/>
          <w:lang w:val="en-US" w:eastAsia="zh-CN" w:bidi="ar-SA"/>
        </w:rPr>
        <w:t>211</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03</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02</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w:t>
      </w:r>
      <w:r>
        <w:rPr>
          <w:rFonts w:hint="eastAsia" w:eastAsia="仿宋_GB2312" w:cs="仿宋_GB2312"/>
          <w:color w:val="auto"/>
          <w:kern w:val="2"/>
          <w:sz w:val="32"/>
          <w:szCs w:val="32"/>
          <w:highlight w:val="none"/>
          <w:lang w:val="en-US" w:eastAsia="zh-CN" w:bidi="ar-SA"/>
        </w:rPr>
        <w:t>反映政府在排水、污水处理、水污染防治、湖库生态环境保护、水源地保护、国土江河综合整治、河流治理与保护、地下水修复与保护等方面的支出。</w:t>
      </w:r>
    </w:p>
    <w:p w14:paraId="152AE105">
      <w:pPr>
        <w:numPr>
          <w:ilvl w:val="0"/>
          <w:numId w:val="0"/>
        </w:numPr>
        <w:spacing w:line="600" w:lineRule="exact"/>
        <w:ind w:leftChars="200" w:firstLine="320" w:firstLineChars="10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16.211</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04</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01</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w:t>
      </w:r>
      <w:r>
        <w:rPr>
          <w:rFonts w:hint="eastAsia" w:eastAsia="仿宋_GB2312" w:cs="仿宋_GB2312"/>
          <w:color w:val="auto"/>
          <w:kern w:val="2"/>
          <w:sz w:val="32"/>
          <w:szCs w:val="32"/>
          <w:highlight w:val="none"/>
          <w:lang w:val="en-US" w:eastAsia="zh-CN" w:bidi="ar-SA"/>
        </w:rPr>
        <w:t>反映用于生态功能区、生态示范区、生态省（市、县）管理及能力建设、日常管护、宣教、试点示范等支出，生态修复支出，资源开发生态监管支出，生态护林员的劳务报酬等支出。</w:t>
      </w:r>
    </w:p>
    <w:p w14:paraId="7D804284">
      <w:pPr>
        <w:numPr>
          <w:ilvl w:val="0"/>
          <w:numId w:val="0"/>
        </w:numPr>
        <w:spacing w:line="600" w:lineRule="exact"/>
        <w:ind w:leftChars="200" w:firstLine="320" w:firstLineChars="1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17.211</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04</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02</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w:t>
      </w:r>
      <w:r>
        <w:rPr>
          <w:rFonts w:hint="eastAsia" w:eastAsia="仿宋_GB2312" w:cs="仿宋_GB2312"/>
          <w:color w:val="auto"/>
          <w:kern w:val="2"/>
          <w:sz w:val="32"/>
          <w:szCs w:val="32"/>
          <w:highlight w:val="none"/>
          <w:lang w:val="en-US" w:eastAsia="zh-CN" w:bidi="ar-SA"/>
        </w:rPr>
        <w:t>反映用于农村环境保护方面的支出。有关事项包括：农村环境综合整治，如生活垃圾、污水处理，农村饮用水源地监测与保护等；小城镇环境保护，如小城镇环境保护能力建设及环境基础设施建设，环境优美乡镇及生态村创建等；农用化学品（化肥、农药、农膜等）污染防治、畜禽养殖污染防治、土壤污染防治；农产品产地环境监测与监管，有机食品基地建设与管理，秸秆等农业废弃物综合利用；农村环境保护能力建设、宣教、试点示范等。</w:t>
      </w:r>
    </w:p>
    <w:p w14:paraId="44B0253C">
      <w:pPr>
        <w:numPr>
          <w:ilvl w:val="0"/>
          <w:numId w:val="0"/>
        </w:numPr>
        <w:spacing w:line="600" w:lineRule="exact"/>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18.城乡社区</w:t>
      </w:r>
      <w:r>
        <w:rPr>
          <w:rFonts w:hint="eastAsia" w:eastAsia="仿宋_GB2312" w:cs="仿宋_GB2312"/>
          <w:color w:val="auto"/>
          <w:kern w:val="2"/>
          <w:sz w:val="32"/>
          <w:szCs w:val="32"/>
          <w:highlight w:val="none"/>
          <w:lang w:val="en-US" w:eastAsia="zh-CN" w:bidi="ar-SA"/>
        </w:rPr>
        <w:t>212</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01</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01</w:t>
      </w:r>
      <w:r>
        <w:rPr>
          <w:rFonts w:hint="eastAsia" w:ascii="Times New Roman" w:hAnsi="Times New Roman" w:eastAsia="仿宋_GB2312" w:cs="仿宋_GB2312"/>
          <w:color w:val="auto"/>
          <w:kern w:val="2"/>
          <w:sz w:val="32"/>
          <w:szCs w:val="32"/>
          <w:highlight w:val="none"/>
          <w:lang w:val="en-US" w:eastAsia="zh-CN" w:bidi="ar-SA"/>
        </w:rPr>
        <w:t>（项）：指</w:t>
      </w:r>
      <w:r>
        <w:rPr>
          <w:rFonts w:hint="eastAsia" w:eastAsia="仿宋_GB2312" w:cs="仿宋_GB2312"/>
          <w:color w:val="auto"/>
          <w:kern w:val="2"/>
          <w:sz w:val="32"/>
          <w:szCs w:val="32"/>
          <w:highlight w:val="none"/>
          <w:lang w:val="en-US" w:eastAsia="zh-CN" w:bidi="ar-SA"/>
        </w:rPr>
        <w:t>反映行政单位（包括实行公务员管理的事业单位）的基本支出。</w:t>
      </w:r>
    </w:p>
    <w:p w14:paraId="0F6496EC">
      <w:pPr>
        <w:numPr>
          <w:ilvl w:val="0"/>
          <w:numId w:val="0"/>
        </w:numPr>
        <w:spacing w:line="600" w:lineRule="exact"/>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19.212</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01</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02</w:t>
      </w:r>
      <w:r>
        <w:rPr>
          <w:rFonts w:hint="eastAsia" w:ascii="Times New Roman" w:hAnsi="Times New Roman" w:eastAsia="仿宋_GB2312" w:cs="仿宋_GB2312"/>
          <w:color w:val="auto"/>
          <w:kern w:val="2"/>
          <w:sz w:val="32"/>
          <w:szCs w:val="32"/>
          <w:highlight w:val="none"/>
          <w:lang w:val="en-US" w:eastAsia="zh-CN" w:bidi="ar-SA"/>
        </w:rPr>
        <w:t>（项）：指</w:t>
      </w:r>
      <w:r>
        <w:rPr>
          <w:rFonts w:hint="eastAsia" w:eastAsia="仿宋_GB2312" w:cs="仿宋_GB2312"/>
          <w:color w:val="auto"/>
          <w:kern w:val="2"/>
          <w:sz w:val="32"/>
          <w:szCs w:val="32"/>
          <w:highlight w:val="none"/>
          <w:lang w:val="en-US" w:eastAsia="zh-CN" w:bidi="ar-SA"/>
        </w:rPr>
        <w:t>反映行政单位（包括实行公务员管理的事业单位）未单独设置项级科目的其他项目支出。</w:t>
      </w:r>
    </w:p>
    <w:p w14:paraId="6F78D71E">
      <w:pPr>
        <w:numPr>
          <w:ilvl w:val="0"/>
          <w:numId w:val="0"/>
        </w:numPr>
        <w:spacing w:line="600" w:lineRule="exact"/>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20.212</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01</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06</w:t>
      </w:r>
      <w:r>
        <w:rPr>
          <w:rFonts w:hint="eastAsia" w:ascii="Times New Roman" w:hAnsi="Times New Roman" w:eastAsia="仿宋_GB2312" w:cs="仿宋_GB2312"/>
          <w:color w:val="auto"/>
          <w:kern w:val="2"/>
          <w:sz w:val="32"/>
          <w:szCs w:val="32"/>
          <w:highlight w:val="none"/>
          <w:lang w:val="en-US" w:eastAsia="zh-CN" w:bidi="ar-SA"/>
        </w:rPr>
        <w:t>（项）：指</w:t>
      </w:r>
      <w:r>
        <w:rPr>
          <w:rFonts w:hint="eastAsia" w:eastAsia="仿宋_GB2312" w:cs="仿宋_GB2312"/>
          <w:color w:val="auto"/>
          <w:kern w:val="2"/>
          <w:sz w:val="32"/>
          <w:szCs w:val="32"/>
          <w:highlight w:val="none"/>
          <w:lang w:val="en-US" w:eastAsia="zh-CN" w:bidi="ar-SA"/>
        </w:rPr>
        <w:t>反映调控建设市场运行、拟定建设市场法规、实施建筑工程质量、安全、工程勘察设计监管等方面的支出。</w:t>
      </w:r>
    </w:p>
    <w:p w14:paraId="5A064C18">
      <w:pPr>
        <w:numPr>
          <w:ilvl w:val="0"/>
          <w:numId w:val="0"/>
        </w:numPr>
        <w:spacing w:line="600" w:lineRule="exact"/>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21.212</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01</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09</w:t>
      </w:r>
      <w:r>
        <w:rPr>
          <w:rFonts w:hint="eastAsia" w:ascii="Times New Roman" w:hAnsi="Times New Roman" w:eastAsia="仿宋_GB2312" w:cs="仿宋_GB2312"/>
          <w:color w:val="auto"/>
          <w:kern w:val="2"/>
          <w:sz w:val="32"/>
          <w:szCs w:val="32"/>
          <w:highlight w:val="none"/>
          <w:lang w:val="en-US" w:eastAsia="zh-CN" w:bidi="ar-SA"/>
        </w:rPr>
        <w:t>（项）：指</w:t>
      </w:r>
      <w:r>
        <w:rPr>
          <w:rFonts w:hint="eastAsia" w:eastAsia="仿宋_GB2312" w:cs="仿宋_GB2312"/>
          <w:color w:val="auto"/>
          <w:kern w:val="2"/>
          <w:sz w:val="32"/>
          <w:szCs w:val="32"/>
          <w:highlight w:val="none"/>
          <w:lang w:val="en-US" w:eastAsia="zh-CN" w:bidi="ar-SA"/>
        </w:rPr>
        <w:t>反映调控房地产市场运行、研究拟定城镇住房制度改革法规、对住房公积金和其他房改资金进行政策指导并监督使用等方面的支出。</w:t>
      </w:r>
    </w:p>
    <w:p w14:paraId="7CD1D81E">
      <w:pPr>
        <w:numPr>
          <w:ilvl w:val="0"/>
          <w:numId w:val="0"/>
        </w:numPr>
        <w:spacing w:line="600" w:lineRule="exact"/>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22.212</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01</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99</w:t>
      </w:r>
      <w:r>
        <w:rPr>
          <w:rFonts w:hint="eastAsia" w:ascii="Times New Roman" w:hAnsi="Times New Roman" w:eastAsia="仿宋_GB2312" w:cs="仿宋_GB2312"/>
          <w:color w:val="auto"/>
          <w:kern w:val="2"/>
          <w:sz w:val="32"/>
          <w:szCs w:val="32"/>
          <w:highlight w:val="none"/>
          <w:lang w:val="en-US" w:eastAsia="zh-CN" w:bidi="ar-SA"/>
        </w:rPr>
        <w:t>（项）：指</w:t>
      </w:r>
      <w:r>
        <w:rPr>
          <w:rFonts w:hint="eastAsia" w:eastAsia="仿宋_GB2312" w:cs="仿宋_GB2312"/>
          <w:color w:val="auto"/>
          <w:kern w:val="2"/>
          <w:sz w:val="32"/>
          <w:szCs w:val="32"/>
          <w:highlight w:val="none"/>
          <w:lang w:val="en-US" w:eastAsia="zh-CN" w:bidi="ar-SA"/>
        </w:rPr>
        <w:t>反映除上述项目以外其他用于城乡社区管理事务方面的支出。</w:t>
      </w:r>
    </w:p>
    <w:p w14:paraId="6DD2444F">
      <w:pPr>
        <w:numPr>
          <w:ilvl w:val="0"/>
          <w:numId w:val="0"/>
        </w:numPr>
        <w:spacing w:line="600" w:lineRule="exact"/>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23.212</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03</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03</w:t>
      </w:r>
      <w:r>
        <w:rPr>
          <w:rFonts w:hint="eastAsia" w:ascii="Times New Roman" w:hAnsi="Times New Roman" w:eastAsia="仿宋_GB2312" w:cs="仿宋_GB2312"/>
          <w:color w:val="auto"/>
          <w:kern w:val="2"/>
          <w:sz w:val="32"/>
          <w:szCs w:val="32"/>
          <w:highlight w:val="none"/>
          <w:lang w:val="en-US" w:eastAsia="zh-CN" w:bidi="ar-SA"/>
        </w:rPr>
        <w:t>（项）：指</w:t>
      </w:r>
      <w:r>
        <w:rPr>
          <w:rFonts w:hint="eastAsia" w:eastAsia="仿宋_GB2312" w:cs="仿宋_GB2312"/>
          <w:color w:val="auto"/>
          <w:kern w:val="2"/>
          <w:sz w:val="32"/>
          <w:szCs w:val="32"/>
          <w:highlight w:val="none"/>
          <w:lang w:val="en-US" w:eastAsia="zh-CN" w:bidi="ar-SA"/>
        </w:rPr>
        <w:t>反映用于小城镇路、气、水、电等基础建设方面的支出。</w:t>
      </w:r>
    </w:p>
    <w:p w14:paraId="37EF32A6">
      <w:pPr>
        <w:numPr>
          <w:ilvl w:val="0"/>
          <w:numId w:val="0"/>
        </w:numPr>
        <w:spacing w:line="600" w:lineRule="exact"/>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24.212</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03</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99</w:t>
      </w:r>
      <w:r>
        <w:rPr>
          <w:rFonts w:hint="eastAsia" w:ascii="Times New Roman" w:hAnsi="Times New Roman" w:eastAsia="仿宋_GB2312" w:cs="仿宋_GB2312"/>
          <w:color w:val="auto"/>
          <w:kern w:val="2"/>
          <w:sz w:val="32"/>
          <w:szCs w:val="32"/>
          <w:highlight w:val="none"/>
          <w:lang w:val="en-US" w:eastAsia="zh-CN" w:bidi="ar-SA"/>
        </w:rPr>
        <w:t>（项）：指</w:t>
      </w:r>
      <w:r>
        <w:rPr>
          <w:rFonts w:hint="eastAsia" w:eastAsia="仿宋_GB2312" w:cs="仿宋_GB2312"/>
          <w:color w:val="auto"/>
          <w:kern w:val="2"/>
          <w:sz w:val="32"/>
          <w:szCs w:val="32"/>
          <w:highlight w:val="none"/>
          <w:lang w:val="en-US" w:eastAsia="zh-CN" w:bidi="ar-SA"/>
        </w:rPr>
        <w:t>反映除上述项目以外其他用于城乡社区公共设施方面的支出。</w:t>
      </w:r>
    </w:p>
    <w:p w14:paraId="21894746">
      <w:pPr>
        <w:numPr>
          <w:ilvl w:val="0"/>
          <w:numId w:val="0"/>
        </w:numPr>
        <w:spacing w:line="600" w:lineRule="exact"/>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25.212</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05</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01</w:t>
      </w:r>
      <w:r>
        <w:rPr>
          <w:rFonts w:hint="eastAsia" w:ascii="Times New Roman" w:hAnsi="Times New Roman" w:eastAsia="仿宋_GB2312" w:cs="仿宋_GB2312"/>
          <w:color w:val="auto"/>
          <w:kern w:val="2"/>
          <w:sz w:val="32"/>
          <w:szCs w:val="32"/>
          <w:highlight w:val="none"/>
          <w:lang w:val="en-US" w:eastAsia="zh-CN" w:bidi="ar-SA"/>
        </w:rPr>
        <w:t>（项）：指</w:t>
      </w:r>
      <w:r>
        <w:rPr>
          <w:rFonts w:hint="eastAsia" w:eastAsia="仿宋_GB2312" w:cs="仿宋_GB2312"/>
          <w:color w:val="auto"/>
          <w:kern w:val="2"/>
          <w:sz w:val="32"/>
          <w:szCs w:val="32"/>
          <w:highlight w:val="none"/>
          <w:lang w:val="en-US" w:eastAsia="zh-CN" w:bidi="ar-SA"/>
        </w:rPr>
        <w:t>反映城乡社区</w:t>
      </w:r>
      <w:bookmarkStart w:id="83" w:name="_GoBack"/>
      <w:r>
        <w:rPr>
          <w:rFonts w:hint="eastAsia" w:eastAsia="仿宋_GB2312" w:cs="仿宋_GB2312"/>
          <w:color w:val="auto"/>
          <w:kern w:val="2"/>
          <w:sz w:val="32"/>
          <w:szCs w:val="32"/>
          <w:highlight w:val="none"/>
          <w:lang w:val="en-US" w:eastAsia="zh-CN" w:bidi="ar-SA"/>
        </w:rPr>
        <w:t>道路</w:t>
      </w:r>
      <w:bookmarkEnd w:id="83"/>
      <w:r>
        <w:rPr>
          <w:rFonts w:hint="eastAsia" w:eastAsia="仿宋_GB2312" w:cs="仿宋_GB2312"/>
          <w:color w:val="auto"/>
          <w:kern w:val="2"/>
          <w:sz w:val="32"/>
          <w:szCs w:val="32"/>
          <w:highlight w:val="none"/>
          <w:lang w:val="en-US" w:eastAsia="zh-CN" w:bidi="ar-SA"/>
        </w:rPr>
        <w:t>清扫、垃圾清运与处理、公厕建设与维护、园林绿化等方面的支出。</w:t>
      </w:r>
    </w:p>
    <w:p w14:paraId="66DA2851">
      <w:pPr>
        <w:numPr>
          <w:ilvl w:val="0"/>
          <w:numId w:val="0"/>
        </w:num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26.农林水</w:t>
      </w:r>
      <w:r>
        <w:rPr>
          <w:rFonts w:hint="eastAsia" w:eastAsia="仿宋_GB2312" w:cs="仿宋_GB2312"/>
          <w:color w:val="auto"/>
          <w:kern w:val="2"/>
          <w:sz w:val="32"/>
          <w:szCs w:val="32"/>
          <w:highlight w:val="none"/>
          <w:lang w:val="en-US" w:eastAsia="zh-CN" w:bidi="ar-SA"/>
        </w:rPr>
        <w:t>213</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05</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04</w:t>
      </w:r>
      <w:r>
        <w:rPr>
          <w:rFonts w:hint="eastAsia" w:ascii="Times New Roman" w:hAnsi="Times New Roman" w:eastAsia="仿宋_GB2312" w:cs="仿宋_GB2312"/>
          <w:color w:val="auto"/>
          <w:kern w:val="2"/>
          <w:sz w:val="32"/>
          <w:szCs w:val="32"/>
          <w:highlight w:val="none"/>
          <w:lang w:val="en-US" w:eastAsia="zh-CN" w:bidi="ar-SA"/>
        </w:rPr>
        <w:t>（项）：指</w:t>
      </w:r>
      <w:r>
        <w:rPr>
          <w:rFonts w:hint="eastAsia" w:eastAsia="仿宋_GB2312" w:cs="仿宋_GB2312"/>
          <w:color w:val="auto"/>
          <w:kern w:val="2"/>
          <w:sz w:val="32"/>
          <w:szCs w:val="32"/>
          <w:highlight w:val="none"/>
          <w:lang w:val="en-US" w:eastAsia="zh-CN" w:bidi="ar-SA"/>
        </w:rPr>
        <w:t>反映用于农村欠发达地区发展种植业、养殖业、畜牧业、农副产品加工、林果地建设等生产发展项目以及相关技术推广等方面的项目支出。</w:t>
      </w:r>
    </w:p>
    <w:p w14:paraId="34034A52">
      <w:pPr>
        <w:numPr>
          <w:ilvl w:val="0"/>
          <w:numId w:val="0"/>
        </w:num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27.213</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05</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99</w:t>
      </w:r>
      <w:r>
        <w:rPr>
          <w:rFonts w:hint="eastAsia" w:ascii="Times New Roman" w:hAnsi="Times New Roman" w:eastAsia="仿宋_GB2312" w:cs="仿宋_GB2312"/>
          <w:color w:val="auto"/>
          <w:kern w:val="2"/>
          <w:sz w:val="32"/>
          <w:szCs w:val="32"/>
          <w:highlight w:val="none"/>
          <w:lang w:val="en-US" w:eastAsia="zh-CN" w:bidi="ar-SA"/>
        </w:rPr>
        <w:t>（项）：指</w:t>
      </w:r>
      <w:r>
        <w:rPr>
          <w:rFonts w:hint="eastAsia" w:eastAsia="仿宋_GB2312" w:cs="仿宋_GB2312"/>
          <w:color w:val="auto"/>
          <w:kern w:val="2"/>
          <w:sz w:val="32"/>
          <w:szCs w:val="32"/>
          <w:highlight w:val="none"/>
          <w:lang w:val="en-US" w:eastAsia="zh-CN" w:bidi="ar-SA"/>
        </w:rPr>
        <w:t>反映除上述项目以外其他用于巩固拓展脱贫攻坚成果同乡村振兴有效衔接方面的支出。</w:t>
      </w:r>
    </w:p>
    <w:p w14:paraId="6D729F6D">
      <w:pPr>
        <w:numPr>
          <w:ilvl w:val="0"/>
          <w:numId w:val="0"/>
        </w:numPr>
        <w:spacing w:line="600" w:lineRule="exact"/>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28.213</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07</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01</w:t>
      </w:r>
      <w:r>
        <w:rPr>
          <w:rFonts w:hint="eastAsia" w:ascii="Times New Roman" w:hAnsi="Times New Roman" w:eastAsia="仿宋_GB2312" w:cs="仿宋_GB2312"/>
          <w:color w:val="auto"/>
          <w:kern w:val="2"/>
          <w:sz w:val="32"/>
          <w:szCs w:val="32"/>
          <w:highlight w:val="none"/>
          <w:lang w:val="en-US" w:eastAsia="zh-CN" w:bidi="ar-SA"/>
        </w:rPr>
        <w:t>（项）：指</w:t>
      </w:r>
      <w:r>
        <w:rPr>
          <w:rFonts w:hint="eastAsia" w:eastAsia="仿宋_GB2312" w:cs="仿宋_GB2312"/>
          <w:color w:val="auto"/>
          <w:kern w:val="2"/>
          <w:sz w:val="32"/>
          <w:szCs w:val="32"/>
          <w:highlight w:val="none"/>
          <w:lang w:val="en-US" w:eastAsia="zh-CN" w:bidi="ar-SA"/>
        </w:rPr>
        <w:t>反映农村综合改革方面的支出。</w:t>
      </w:r>
    </w:p>
    <w:p w14:paraId="6DD0652F">
      <w:p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28.资源勘探工业信息等</w:t>
      </w:r>
      <w:r>
        <w:rPr>
          <w:rFonts w:hint="eastAsia" w:eastAsia="仿宋_GB2312" w:cs="仿宋_GB2312"/>
          <w:color w:val="auto"/>
          <w:kern w:val="2"/>
          <w:sz w:val="32"/>
          <w:szCs w:val="32"/>
          <w:highlight w:val="none"/>
          <w:lang w:val="en-US" w:eastAsia="zh-CN" w:bidi="ar-SA"/>
        </w:rPr>
        <w:t>215</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03</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99</w:t>
      </w:r>
      <w:r>
        <w:rPr>
          <w:rFonts w:hint="eastAsia" w:ascii="Times New Roman" w:hAnsi="Times New Roman" w:eastAsia="仿宋_GB2312" w:cs="仿宋_GB2312"/>
          <w:color w:val="auto"/>
          <w:kern w:val="2"/>
          <w:sz w:val="32"/>
          <w:szCs w:val="32"/>
          <w:highlight w:val="none"/>
          <w:lang w:val="en-US" w:eastAsia="zh-CN" w:bidi="ar-SA"/>
        </w:rPr>
        <w:t>（项）：指</w:t>
      </w:r>
      <w:r>
        <w:rPr>
          <w:rFonts w:hint="eastAsia" w:eastAsia="仿宋_GB2312" w:cs="仿宋_GB2312"/>
          <w:color w:val="auto"/>
          <w:kern w:val="2"/>
          <w:sz w:val="32"/>
          <w:szCs w:val="32"/>
          <w:highlight w:val="none"/>
          <w:lang w:val="en-US" w:eastAsia="zh-CN" w:bidi="ar-SA"/>
        </w:rPr>
        <w:t>反映除上述项目以外其他用于建筑业方面的支出。</w:t>
      </w:r>
    </w:p>
    <w:p w14:paraId="5C903378">
      <w:pPr>
        <w:spacing w:line="600" w:lineRule="exact"/>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29.住房保障</w:t>
      </w:r>
      <w:r>
        <w:rPr>
          <w:rFonts w:hint="eastAsia" w:eastAsia="仿宋_GB2312" w:cs="仿宋_GB2312"/>
          <w:color w:val="auto"/>
          <w:kern w:val="2"/>
          <w:sz w:val="32"/>
          <w:szCs w:val="32"/>
          <w:highlight w:val="none"/>
          <w:lang w:val="en-US" w:eastAsia="zh-CN" w:bidi="ar-SA"/>
        </w:rPr>
        <w:t>221</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01</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05</w:t>
      </w:r>
      <w:r>
        <w:rPr>
          <w:rFonts w:hint="eastAsia" w:ascii="Times New Roman" w:hAnsi="Times New Roman" w:eastAsia="仿宋_GB2312" w:cs="仿宋_GB2312"/>
          <w:color w:val="auto"/>
          <w:kern w:val="2"/>
          <w:sz w:val="32"/>
          <w:szCs w:val="32"/>
          <w:highlight w:val="none"/>
          <w:lang w:val="en-US" w:eastAsia="zh-CN" w:bidi="ar-SA"/>
        </w:rPr>
        <w:t>（项）：指</w:t>
      </w:r>
      <w:r>
        <w:rPr>
          <w:rFonts w:hint="eastAsia" w:eastAsia="仿宋_GB2312" w:cs="仿宋_GB2312"/>
          <w:color w:val="auto"/>
          <w:kern w:val="2"/>
          <w:sz w:val="32"/>
          <w:szCs w:val="32"/>
          <w:highlight w:val="none"/>
          <w:lang w:val="en-US" w:eastAsia="zh-CN" w:bidi="ar-SA"/>
        </w:rPr>
        <w:t>反映用于农村危房改造方面的支出。</w:t>
      </w:r>
    </w:p>
    <w:p w14:paraId="4B29BDAB">
      <w:pPr>
        <w:spacing w:line="600" w:lineRule="exact"/>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30.221</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02</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01</w:t>
      </w:r>
      <w:r>
        <w:rPr>
          <w:rFonts w:hint="eastAsia" w:ascii="Times New Roman" w:hAnsi="Times New Roman" w:eastAsia="仿宋_GB2312" w:cs="仿宋_GB2312"/>
          <w:color w:val="auto"/>
          <w:kern w:val="2"/>
          <w:sz w:val="32"/>
          <w:szCs w:val="32"/>
          <w:highlight w:val="none"/>
          <w:lang w:val="en-US" w:eastAsia="zh-CN" w:bidi="ar-SA"/>
        </w:rPr>
        <w:t>（项）：指</w:t>
      </w:r>
      <w:r>
        <w:rPr>
          <w:rFonts w:hint="eastAsia" w:eastAsia="仿宋_GB2312" w:cs="仿宋_GB2312"/>
          <w:color w:val="auto"/>
          <w:kern w:val="2"/>
          <w:sz w:val="32"/>
          <w:szCs w:val="32"/>
          <w:highlight w:val="none"/>
          <w:lang w:val="en-US" w:eastAsia="zh-CN" w:bidi="ar-SA"/>
        </w:rPr>
        <w:t>反映行政事业单位按人力资源和社会保障部、财政部规定的基本工资和津贴补贴以及规定比例为职工缴纳的住房公积金。</w:t>
      </w:r>
    </w:p>
    <w:p w14:paraId="202A4EB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w:t>
      </w:r>
      <w:r>
        <w:rPr>
          <w:rFonts w:hint="eastAsia" w:eastAsia="仿宋_GB2312" w:cs="仿宋_GB2312"/>
          <w:b/>
          <w:bCs/>
          <w:color w:val="auto"/>
          <w:kern w:val="2"/>
          <w:sz w:val="32"/>
          <w:szCs w:val="32"/>
          <w:highlight w:val="none"/>
          <w:lang w:val="en-US" w:eastAsia="zh-CN" w:bidi="ar-SA"/>
        </w:rPr>
        <w:t>注：</w:t>
      </w:r>
      <w:r>
        <w:rPr>
          <w:rFonts w:hint="eastAsia" w:ascii="Times New Roman" w:hAnsi="Times New Roman" w:eastAsia="仿宋_GB2312" w:cs="仿宋_GB2312"/>
          <w:b/>
          <w:bCs/>
          <w:color w:val="auto"/>
          <w:kern w:val="2"/>
          <w:sz w:val="32"/>
          <w:szCs w:val="32"/>
          <w:highlight w:val="none"/>
          <w:lang w:val="en-US" w:eastAsia="zh-CN" w:bidi="ar-SA"/>
        </w:rPr>
        <w:t>解释本部门决算报表中涉及的全部功能分类科目至项级，不涉及的科目请自行删除。请参照</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202</w:t>
      </w:r>
      <w:r>
        <w:rPr>
          <w:rFonts w:hint="eastAsia" w:eastAsia="仿宋_GB2312" w:cs="仿宋_GB2312"/>
          <w:b/>
          <w:bCs/>
          <w:color w:val="auto"/>
          <w:kern w:val="2"/>
          <w:sz w:val="32"/>
          <w:szCs w:val="32"/>
          <w:highlight w:val="none"/>
          <w:lang w:val="en-US" w:eastAsia="zh-CN" w:bidi="ar-SA"/>
        </w:rPr>
        <w:t>4</w:t>
      </w:r>
      <w:r>
        <w:rPr>
          <w:rFonts w:hint="eastAsia" w:ascii="Times New Roman" w:hAnsi="Times New Roman" w:eastAsia="仿宋_GB2312" w:cs="仿宋_GB2312"/>
          <w:b/>
          <w:bCs/>
          <w:color w:val="auto"/>
          <w:kern w:val="2"/>
          <w:sz w:val="32"/>
          <w:szCs w:val="32"/>
          <w:highlight w:val="none"/>
          <w:lang w:val="en-US" w:eastAsia="zh-CN" w:bidi="ar-SA"/>
        </w:rPr>
        <w:t>年政府收支分类科目</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增减内容）</w:t>
      </w:r>
    </w:p>
    <w:p w14:paraId="7C4D29F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27.基本支出：指为保障机构正常运转、完成日常工作任务而发生的人员支出和公用支出。</w:t>
      </w:r>
    </w:p>
    <w:p w14:paraId="10FB525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28.项目支出：指在基本支出之外为完成特定行政任务和事业发展目标所发生的支出。 </w:t>
      </w:r>
    </w:p>
    <w:p w14:paraId="153D51D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29.经营支出：指事业单位在专业业务活动及其辅助活动之外开展非独立核算经营活动发生的支出。</w:t>
      </w:r>
    </w:p>
    <w:p w14:paraId="260AEC2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30.</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8DC013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A27625B">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（注：名词解释部分请根据各部门实际列支情况罗列，并根据本部门职责职能增减名词解释内容）</w:t>
      </w:r>
    </w:p>
    <w:p w14:paraId="2779EA08">
      <w:pPr>
        <w:pStyle w:val="5"/>
        <w:rPr>
          <w:rFonts w:hint="eastAsia" w:ascii="Times New Roman" w:hAnsi="Times New Roman" w:cs="宋体"/>
          <w:color w:val="FF0000"/>
          <w:kern w:val="0"/>
          <w:sz w:val="32"/>
          <w:szCs w:val="32"/>
          <w:highlight w:val="yellow"/>
          <w:shd w:val="clear" w:color="auto" w:fill="FFFFFF"/>
          <w:lang w:val="zh-CN"/>
        </w:rPr>
      </w:pPr>
      <w:bookmarkStart w:id="68" w:name="_Toc15377226"/>
      <w:r>
        <w:rPr>
          <w:rFonts w:hint="eastAsia" w:ascii="Times New Roman" w:hAnsi="Times New Roman" w:eastAsia="仿宋_GB2312" w:cs="仿宋_GB2312"/>
          <w:color w:val="auto"/>
          <w:kern w:val="2"/>
          <w:sz w:val="32"/>
          <w:szCs w:val="32"/>
          <w:highlight w:val="none"/>
          <w:lang w:val="en-US" w:eastAsia="zh-CN" w:bidi="ar-SA"/>
        </w:rPr>
        <w:br w:type="page"/>
      </w:r>
    </w:p>
    <w:p w14:paraId="3FDE838F">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p w14:paraId="60998717">
      <w:pPr>
        <w:widowControl/>
        <w:jc w:val="center"/>
        <w:rPr>
          <w:rFonts w:hint="eastAsia" w:ascii="Times New Roman" w:hAnsi="Times New Roman" w:eastAsia="仿宋"/>
          <w:b w:val="0"/>
          <w:color w:val="auto"/>
          <w:highlight w:val="none"/>
        </w:rPr>
      </w:pPr>
      <w:bookmarkStart w:id="69" w:name="_Toc15396618"/>
      <w:r>
        <w:rPr>
          <w:rFonts w:hint="eastAsia" w:ascii="Times New Roman" w:hAnsi="Times New Roman" w:eastAsia="黑体"/>
          <w:color w:val="auto"/>
          <w:sz w:val="44"/>
          <w:szCs w:val="44"/>
          <w:highlight w:val="none"/>
        </w:rPr>
        <w:t>第</w:t>
      </w:r>
      <w:r>
        <w:rPr>
          <w:rStyle w:val="28"/>
          <w:rFonts w:hint="eastAsia" w:eastAsia="黑体"/>
          <w:b w:val="0"/>
          <w:color w:val="auto"/>
          <w:highlight w:val="none"/>
          <w:lang w:eastAsia="zh-CN"/>
        </w:rPr>
        <w:t>四</w:t>
      </w:r>
      <w:r>
        <w:rPr>
          <w:rStyle w:val="28"/>
          <w:rFonts w:hint="eastAsia" w:ascii="Times New Roman" w:hAnsi="Times New Roman" w:eastAsia="黑体"/>
          <w:b w:val="0"/>
          <w:color w:val="auto"/>
          <w:highlight w:val="none"/>
        </w:rPr>
        <w:t>部分 附表</w:t>
      </w:r>
      <w:bookmarkEnd w:id="68"/>
      <w:bookmarkEnd w:id="69"/>
      <w:bookmarkStart w:id="70" w:name="_Toc15396619"/>
    </w:p>
    <w:p w14:paraId="2E973F4A">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1B8E4E8D">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70"/>
    </w:p>
    <w:p w14:paraId="14022B85">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1" w:name="_Toc15396620"/>
      <w:r>
        <w:rPr>
          <w:rFonts w:hint="eastAsia" w:ascii="Times New Roman" w:hAnsi="Times New Roman" w:eastAsia="仿宋_GB2312" w:cs="仿宋_GB2312"/>
          <w:color w:val="auto"/>
          <w:sz w:val="32"/>
          <w:szCs w:val="32"/>
          <w:highlight w:val="none"/>
        </w:rPr>
        <w:t>二、收入决算表</w:t>
      </w:r>
      <w:bookmarkEnd w:id="71"/>
    </w:p>
    <w:p w14:paraId="179854BB">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2" w:name="_Toc15396621"/>
      <w:r>
        <w:rPr>
          <w:rFonts w:hint="eastAsia" w:ascii="Times New Roman" w:hAnsi="Times New Roman" w:eastAsia="仿宋_GB2312" w:cs="仿宋_GB2312"/>
          <w:color w:val="auto"/>
          <w:sz w:val="32"/>
          <w:szCs w:val="32"/>
          <w:highlight w:val="none"/>
        </w:rPr>
        <w:t>三、支出决算表</w:t>
      </w:r>
      <w:bookmarkEnd w:id="72"/>
    </w:p>
    <w:p w14:paraId="3879D963">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3" w:name="_Toc15396622"/>
      <w:r>
        <w:rPr>
          <w:rFonts w:hint="eastAsia" w:ascii="Times New Roman" w:hAnsi="Times New Roman" w:eastAsia="仿宋_GB2312" w:cs="仿宋_GB2312"/>
          <w:color w:val="auto"/>
          <w:sz w:val="32"/>
          <w:szCs w:val="32"/>
          <w:highlight w:val="none"/>
        </w:rPr>
        <w:t>四、财政拨款收入支出决算总表</w:t>
      </w:r>
      <w:bookmarkEnd w:id="73"/>
    </w:p>
    <w:p w14:paraId="5A701BF7">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4" w:name="_Toc15396623"/>
      <w:r>
        <w:rPr>
          <w:rFonts w:hint="eastAsia" w:ascii="Times New Roman" w:hAnsi="Times New Roman" w:eastAsia="仿宋_GB2312" w:cs="仿宋_GB2312"/>
          <w:color w:val="auto"/>
          <w:sz w:val="32"/>
          <w:szCs w:val="32"/>
          <w:highlight w:val="none"/>
        </w:rPr>
        <w:t>五、财政拨款支出决算明细表</w:t>
      </w:r>
      <w:bookmarkEnd w:id="74"/>
      <w:bookmarkStart w:id="75" w:name="_Toc15396624"/>
    </w:p>
    <w:p w14:paraId="43E902E1">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75"/>
    </w:p>
    <w:p w14:paraId="0506456E">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6" w:name="_Toc15396625"/>
      <w:r>
        <w:rPr>
          <w:rFonts w:hint="eastAsia" w:ascii="Times New Roman" w:hAnsi="Times New Roman" w:eastAsia="仿宋_GB2312" w:cs="仿宋_GB2312"/>
          <w:color w:val="auto"/>
          <w:sz w:val="32"/>
          <w:szCs w:val="32"/>
          <w:highlight w:val="none"/>
        </w:rPr>
        <w:t>七、一般公共预算财政拨款支出决算明细表</w:t>
      </w:r>
      <w:bookmarkEnd w:id="76"/>
    </w:p>
    <w:p w14:paraId="55B1D532">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7" w:name="_Toc15396626"/>
      <w:r>
        <w:rPr>
          <w:rFonts w:hint="eastAsia" w:ascii="Times New Roman" w:hAnsi="Times New Roman" w:eastAsia="仿宋_GB2312" w:cs="仿宋_GB2312"/>
          <w:color w:val="auto"/>
          <w:sz w:val="32"/>
          <w:szCs w:val="32"/>
          <w:highlight w:val="none"/>
        </w:rPr>
        <w:t>八、一般公共预算财政拨款基本支出决算表</w:t>
      </w:r>
      <w:bookmarkEnd w:id="77"/>
    </w:p>
    <w:p w14:paraId="2F0ADFC3">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8" w:name="_Toc15396627"/>
      <w:r>
        <w:rPr>
          <w:rFonts w:hint="eastAsia" w:ascii="Times New Roman" w:hAnsi="Times New Roman" w:eastAsia="仿宋_GB2312" w:cs="仿宋_GB2312"/>
          <w:color w:val="auto"/>
          <w:sz w:val="32"/>
          <w:szCs w:val="32"/>
          <w:highlight w:val="none"/>
        </w:rPr>
        <w:t>九、一般公共预算财政拨款项目支出决算表</w:t>
      </w:r>
      <w:bookmarkEnd w:id="78"/>
    </w:p>
    <w:p w14:paraId="71F9254E">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9" w:name="_Toc15396628"/>
      <w:r>
        <w:rPr>
          <w:rFonts w:hint="eastAsia" w:ascii="Times New Roman" w:hAnsi="Times New Roman" w:eastAsia="仿宋_GB2312" w:cs="仿宋_GB2312"/>
          <w:color w:val="auto"/>
          <w:sz w:val="32"/>
          <w:szCs w:val="32"/>
          <w:highlight w:val="none"/>
        </w:rPr>
        <w:t>十、</w:t>
      </w:r>
      <w:bookmarkEnd w:id="79"/>
      <w:r>
        <w:rPr>
          <w:rFonts w:hint="eastAsia" w:ascii="Times New Roman" w:hAnsi="Times New Roman" w:eastAsia="仿宋_GB2312" w:cs="仿宋_GB2312"/>
          <w:color w:val="auto"/>
          <w:sz w:val="32"/>
          <w:szCs w:val="32"/>
          <w:highlight w:val="none"/>
        </w:rPr>
        <w:t>政府性基金预算财政拨款收入支出决算表</w:t>
      </w:r>
    </w:p>
    <w:p w14:paraId="6DF6EF46">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0" w:name="_Toc15396629"/>
      <w:r>
        <w:rPr>
          <w:rFonts w:hint="eastAsia" w:ascii="Times New Roman" w:hAnsi="Times New Roman" w:eastAsia="仿宋_GB2312" w:cs="仿宋_GB2312"/>
          <w:color w:val="auto"/>
          <w:sz w:val="32"/>
          <w:szCs w:val="32"/>
          <w:highlight w:val="none"/>
        </w:rPr>
        <w:t>十一、</w:t>
      </w:r>
      <w:bookmarkEnd w:id="80"/>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149ADD4C">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1" w:name="_Toc15396630"/>
      <w:r>
        <w:rPr>
          <w:rFonts w:hint="eastAsia" w:ascii="Times New Roman" w:hAnsi="Times New Roman" w:eastAsia="仿宋_GB2312" w:cs="仿宋_GB2312"/>
          <w:color w:val="auto"/>
          <w:sz w:val="32"/>
          <w:szCs w:val="32"/>
          <w:highlight w:val="none"/>
        </w:rPr>
        <w:t>十二、</w:t>
      </w:r>
      <w:bookmarkEnd w:id="81"/>
      <w:r>
        <w:rPr>
          <w:rFonts w:hint="eastAsia" w:ascii="Times New Roman" w:hAnsi="Times New Roman" w:eastAsia="仿宋_GB2312" w:cs="仿宋_GB2312"/>
          <w:color w:val="auto"/>
          <w:sz w:val="32"/>
          <w:szCs w:val="32"/>
          <w:highlight w:val="none"/>
          <w:lang w:eastAsia="zh-CN"/>
        </w:rPr>
        <w:t>国有资本经营预算财政拨款支出决算表</w:t>
      </w:r>
    </w:p>
    <w:p w14:paraId="398F537E">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82" w:name="_Toc15396631"/>
      <w:r>
        <w:rPr>
          <w:rFonts w:hint="eastAsia" w:ascii="Times New Roman" w:hAnsi="Times New Roman" w:eastAsia="仿宋_GB2312" w:cs="仿宋_GB2312"/>
          <w:color w:val="auto"/>
          <w:sz w:val="32"/>
          <w:szCs w:val="32"/>
          <w:highlight w:val="none"/>
        </w:rPr>
        <w:t>十三、</w:t>
      </w:r>
      <w:bookmarkEnd w:id="82"/>
      <w:r>
        <w:rPr>
          <w:rFonts w:hint="eastAsia" w:ascii="Times New Roman" w:hAnsi="Times New Roman" w:eastAsia="仿宋_GB2312" w:cs="仿宋_GB2312"/>
          <w:color w:val="auto"/>
          <w:sz w:val="32"/>
          <w:szCs w:val="32"/>
          <w:highlight w:val="none"/>
          <w:lang w:eastAsia="zh-CN"/>
        </w:rPr>
        <w:t>财政拨款“三公”经费支出决算表</w:t>
      </w:r>
    </w:p>
    <w:p w14:paraId="4B05E24A">
      <w:pPr>
        <w:rPr>
          <w:rFonts w:hint="eastAsia" w:ascii="Times New Roman" w:hAnsi="Times New Roman"/>
          <w:lang w:eastAsia="zh-CN"/>
        </w:rPr>
      </w:pPr>
    </w:p>
    <w:sectPr>
      <w:footerReference r:id="rId7" w:type="first"/>
      <w:footerReference r:id="rId6"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42D684C-A995-47D6-A4E1-32BF60E97EB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2723753-70B4-4FEC-8E52-81C10F2BBD77}"/>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16135463-F891-4EDA-94C3-964CC35AAC4A}"/>
  </w:font>
  <w:font w:name="仿宋">
    <w:panose1 w:val="02010609060101010101"/>
    <w:charset w:val="86"/>
    <w:family w:val="modern"/>
    <w:pitch w:val="default"/>
    <w:sig w:usb0="800002BF" w:usb1="38CF7CFA" w:usb2="00000016" w:usb3="00000000" w:csb0="00040001" w:csb1="00000000"/>
    <w:embedRegular r:id="rId4" w:fontKey="{FD0B9ACB-F25A-4397-81FB-13E512F997ED}"/>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0010101010101"/>
    <w:charset w:val="86"/>
    <w:family w:val="script"/>
    <w:pitch w:val="default"/>
    <w:sig w:usb0="00000001" w:usb1="080E0000" w:usb2="00000000" w:usb3="00000000" w:csb0="00040000" w:csb1="00000000"/>
    <w:embedRegular r:id="rId5" w:fontKey="{20798D18-8496-48DA-B67B-4999E4A09D49}"/>
  </w:font>
  <w:font w:name="楷体_GB2312">
    <w:panose1 w:val="02010609030101010101"/>
    <w:charset w:val="86"/>
    <w:family w:val="auto"/>
    <w:pitch w:val="default"/>
    <w:sig w:usb0="00000001" w:usb1="080E0000" w:usb2="00000000" w:usb3="00000000" w:csb0="00040000" w:csb1="00000000"/>
    <w:embedRegular r:id="rId6" w:fontKey="{0A12A8AA-EA09-4E00-982D-D45FC40501F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58562">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CDF9C0">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CDF9C0">
                    <w:pPr>
                      <w:pStyle w:val="10"/>
                    </w:pPr>
                    <w:r>
                      <w:fldChar w:fldCharType="begin"/>
                    </w:r>
                    <w:r>
                      <w:instrText xml:space="preserve"> PAGE  \* MERGEFORMAT </w:instrText>
                    </w:r>
                    <w:r>
                      <w:fldChar w:fldCharType="separate"/>
                    </w:r>
                    <w:r>
                      <w:t>- 1 -</w:t>
                    </w:r>
                    <w:r>
                      <w:fldChar w:fldCharType="end"/>
                    </w:r>
                  </w:p>
                </w:txbxContent>
              </v:textbox>
            </v:shape>
          </w:pict>
        </mc:Fallback>
      </mc:AlternateContent>
    </w:r>
  </w:p>
  <w:p w14:paraId="20575E0B">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ECD5C">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6A604">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A46A604">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0967F">
    <w:pPr>
      <w:pStyle w:val="1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FF5CCC">
                          <w:pPr>
                            <w:pStyle w:val="1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BFF5CCC">
                    <w:pPr>
                      <w:pStyle w:val="10"/>
                    </w:pPr>
                    <w:r>
                      <w:fldChar w:fldCharType="begin"/>
                    </w:r>
                    <w:r>
                      <w:instrText xml:space="preserve"> PAGE  \* MERGEFORMAT </w:instrText>
                    </w:r>
                    <w:r>
                      <w:fldChar w:fldCharType="separate"/>
                    </w:r>
                    <w:r>
                      <w:t>- 2 -</w:t>
                    </w:r>
                    <w:r>
                      <w:fldChar w:fldCharType="end"/>
                    </w:r>
                  </w:p>
                </w:txbxContent>
              </v:textbox>
            </v:shape>
          </w:pict>
        </mc:Fallback>
      </mc:AlternateContent>
    </w:r>
  </w:p>
  <w:p w14:paraId="4FA039AC">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D414E">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8D3E54">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88D3E54">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1E6D8">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abstractNum w:abstractNumId="1">
    <w:nsid w:val="7A7955B4"/>
    <w:multiLevelType w:val="singleLevel"/>
    <w:tmpl w:val="7A7955B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10030A"/>
    <w:rsid w:val="04916F1E"/>
    <w:rsid w:val="053C512E"/>
    <w:rsid w:val="061E35DE"/>
    <w:rsid w:val="066E0107"/>
    <w:rsid w:val="07996F6E"/>
    <w:rsid w:val="07DFD8BA"/>
    <w:rsid w:val="09867E8F"/>
    <w:rsid w:val="0A2032A3"/>
    <w:rsid w:val="0B372620"/>
    <w:rsid w:val="0CA8290A"/>
    <w:rsid w:val="0D35B1ED"/>
    <w:rsid w:val="0E254B6B"/>
    <w:rsid w:val="0EE32433"/>
    <w:rsid w:val="0F98263C"/>
    <w:rsid w:val="0FB0474F"/>
    <w:rsid w:val="0FB73D2F"/>
    <w:rsid w:val="101860EC"/>
    <w:rsid w:val="101F47CC"/>
    <w:rsid w:val="10C055FF"/>
    <w:rsid w:val="11317B11"/>
    <w:rsid w:val="11494E5B"/>
    <w:rsid w:val="11694EBD"/>
    <w:rsid w:val="11772AA4"/>
    <w:rsid w:val="118107EC"/>
    <w:rsid w:val="12CD386A"/>
    <w:rsid w:val="12E24EE2"/>
    <w:rsid w:val="1340403C"/>
    <w:rsid w:val="13D50BC4"/>
    <w:rsid w:val="143F2545"/>
    <w:rsid w:val="14B17F78"/>
    <w:rsid w:val="161D68B6"/>
    <w:rsid w:val="165E0673"/>
    <w:rsid w:val="16B831D5"/>
    <w:rsid w:val="16BB723D"/>
    <w:rsid w:val="16E71383"/>
    <w:rsid w:val="17E50567"/>
    <w:rsid w:val="186504BB"/>
    <w:rsid w:val="19A445FC"/>
    <w:rsid w:val="1AC467AA"/>
    <w:rsid w:val="1BE8440E"/>
    <w:rsid w:val="1C5B2505"/>
    <w:rsid w:val="1D155CEE"/>
    <w:rsid w:val="1D1638FE"/>
    <w:rsid w:val="1E312DEB"/>
    <w:rsid w:val="1E71779F"/>
    <w:rsid w:val="1E740ACF"/>
    <w:rsid w:val="1E9D7292"/>
    <w:rsid w:val="1EE75CB3"/>
    <w:rsid w:val="1FF35744"/>
    <w:rsid w:val="1FF6BC77"/>
    <w:rsid w:val="2186353C"/>
    <w:rsid w:val="22590C76"/>
    <w:rsid w:val="234F3431"/>
    <w:rsid w:val="23860B96"/>
    <w:rsid w:val="240371BF"/>
    <w:rsid w:val="244F3473"/>
    <w:rsid w:val="24A02B8C"/>
    <w:rsid w:val="24C97D99"/>
    <w:rsid w:val="25A718F0"/>
    <w:rsid w:val="25BB59F6"/>
    <w:rsid w:val="260F557C"/>
    <w:rsid w:val="26865DB2"/>
    <w:rsid w:val="26970054"/>
    <w:rsid w:val="276E6F72"/>
    <w:rsid w:val="281408E2"/>
    <w:rsid w:val="29FD04D3"/>
    <w:rsid w:val="2A174363"/>
    <w:rsid w:val="2AA35184"/>
    <w:rsid w:val="2AE337D3"/>
    <w:rsid w:val="2B200583"/>
    <w:rsid w:val="2BFF7BC6"/>
    <w:rsid w:val="2C8A61B5"/>
    <w:rsid w:val="2DF04E50"/>
    <w:rsid w:val="2E150147"/>
    <w:rsid w:val="2E586DFA"/>
    <w:rsid w:val="2F040D46"/>
    <w:rsid w:val="2F193C67"/>
    <w:rsid w:val="2F5471D3"/>
    <w:rsid w:val="2F6B035B"/>
    <w:rsid w:val="2F835584"/>
    <w:rsid w:val="2F963509"/>
    <w:rsid w:val="2FAE5751"/>
    <w:rsid w:val="2FB1A395"/>
    <w:rsid w:val="2FD23AB2"/>
    <w:rsid w:val="2FD9A7D8"/>
    <w:rsid w:val="2FDBF714"/>
    <w:rsid w:val="303E14AB"/>
    <w:rsid w:val="30AB6865"/>
    <w:rsid w:val="30F54260"/>
    <w:rsid w:val="30F71D86"/>
    <w:rsid w:val="319F7F4E"/>
    <w:rsid w:val="32BD1EF1"/>
    <w:rsid w:val="3304709D"/>
    <w:rsid w:val="33A773CB"/>
    <w:rsid w:val="343C3F54"/>
    <w:rsid w:val="349D6851"/>
    <w:rsid w:val="34C77443"/>
    <w:rsid w:val="35AD5109"/>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DF8713D"/>
    <w:rsid w:val="3E740A63"/>
    <w:rsid w:val="3E78745D"/>
    <w:rsid w:val="3EE17838"/>
    <w:rsid w:val="3F4F6E00"/>
    <w:rsid w:val="3F55381A"/>
    <w:rsid w:val="3F7F7599"/>
    <w:rsid w:val="3FF4CAE0"/>
    <w:rsid w:val="3FF7B227"/>
    <w:rsid w:val="42980EEF"/>
    <w:rsid w:val="44E268DA"/>
    <w:rsid w:val="450D13D7"/>
    <w:rsid w:val="45244CBC"/>
    <w:rsid w:val="453749EF"/>
    <w:rsid w:val="45506656"/>
    <w:rsid w:val="46130FB8"/>
    <w:rsid w:val="46EC454B"/>
    <w:rsid w:val="4764659D"/>
    <w:rsid w:val="486A6C7A"/>
    <w:rsid w:val="4A627F82"/>
    <w:rsid w:val="4B0E749A"/>
    <w:rsid w:val="4B2477C4"/>
    <w:rsid w:val="4B4F25DA"/>
    <w:rsid w:val="4BE068DB"/>
    <w:rsid w:val="4C982217"/>
    <w:rsid w:val="4C9D15DC"/>
    <w:rsid w:val="4D577224"/>
    <w:rsid w:val="4DBF1CEB"/>
    <w:rsid w:val="4DE4323A"/>
    <w:rsid w:val="4DF0007C"/>
    <w:rsid w:val="4EAB630A"/>
    <w:rsid w:val="4EC76DE4"/>
    <w:rsid w:val="4ECE2238"/>
    <w:rsid w:val="4F833267"/>
    <w:rsid w:val="4FE9BD67"/>
    <w:rsid w:val="4FFB052F"/>
    <w:rsid w:val="52D675F5"/>
    <w:rsid w:val="534704F3"/>
    <w:rsid w:val="5362532D"/>
    <w:rsid w:val="536A41E2"/>
    <w:rsid w:val="537E6D0A"/>
    <w:rsid w:val="53F74C96"/>
    <w:rsid w:val="55170BA8"/>
    <w:rsid w:val="553218C9"/>
    <w:rsid w:val="567E1AA5"/>
    <w:rsid w:val="56E47B74"/>
    <w:rsid w:val="57175D52"/>
    <w:rsid w:val="571B7CCD"/>
    <w:rsid w:val="57BD3DD4"/>
    <w:rsid w:val="58331046"/>
    <w:rsid w:val="58675193"/>
    <w:rsid w:val="59973856"/>
    <w:rsid w:val="5AF92295"/>
    <w:rsid w:val="5B250254"/>
    <w:rsid w:val="5BAA5AC3"/>
    <w:rsid w:val="5BDD79E6"/>
    <w:rsid w:val="5BF561CA"/>
    <w:rsid w:val="5BFF5DFC"/>
    <w:rsid w:val="5CD71FC4"/>
    <w:rsid w:val="5D1F11B5"/>
    <w:rsid w:val="5D2E6280"/>
    <w:rsid w:val="5D695134"/>
    <w:rsid w:val="5DAE1B18"/>
    <w:rsid w:val="5DE7D9E5"/>
    <w:rsid w:val="5E8A398A"/>
    <w:rsid w:val="5ECEC941"/>
    <w:rsid w:val="5FBF9FF3"/>
    <w:rsid w:val="5FCD4E2C"/>
    <w:rsid w:val="5FEF394A"/>
    <w:rsid w:val="5FF67715"/>
    <w:rsid w:val="60742F3A"/>
    <w:rsid w:val="61A9544F"/>
    <w:rsid w:val="62BF3928"/>
    <w:rsid w:val="63860BC4"/>
    <w:rsid w:val="638C3D00"/>
    <w:rsid w:val="63AC3014"/>
    <w:rsid w:val="63B3701E"/>
    <w:rsid w:val="64032214"/>
    <w:rsid w:val="6442396F"/>
    <w:rsid w:val="647F5392"/>
    <w:rsid w:val="65E66580"/>
    <w:rsid w:val="664B1D71"/>
    <w:rsid w:val="664B4E8E"/>
    <w:rsid w:val="67277B67"/>
    <w:rsid w:val="677D22DE"/>
    <w:rsid w:val="67AA3209"/>
    <w:rsid w:val="67EC7D88"/>
    <w:rsid w:val="688558EE"/>
    <w:rsid w:val="698D0931"/>
    <w:rsid w:val="6A7FE5F3"/>
    <w:rsid w:val="6B053271"/>
    <w:rsid w:val="6B9808B5"/>
    <w:rsid w:val="6BDD78B3"/>
    <w:rsid w:val="6C382C77"/>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027824"/>
    <w:rsid w:val="70484440"/>
    <w:rsid w:val="70D016D0"/>
    <w:rsid w:val="712A28F1"/>
    <w:rsid w:val="715C0E4B"/>
    <w:rsid w:val="71992E7C"/>
    <w:rsid w:val="72233669"/>
    <w:rsid w:val="72734D90"/>
    <w:rsid w:val="72895475"/>
    <w:rsid w:val="73160E6D"/>
    <w:rsid w:val="7332FE48"/>
    <w:rsid w:val="73AB61DA"/>
    <w:rsid w:val="73AD73D5"/>
    <w:rsid w:val="73B6EB34"/>
    <w:rsid w:val="73FA497D"/>
    <w:rsid w:val="744731E5"/>
    <w:rsid w:val="74BBD01D"/>
    <w:rsid w:val="74ED5379"/>
    <w:rsid w:val="75DEEEC2"/>
    <w:rsid w:val="75E32345"/>
    <w:rsid w:val="75E55C1E"/>
    <w:rsid w:val="762A1882"/>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366D5F"/>
    <w:rsid w:val="7D3E3E65"/>
    <w:rsid w:val="7D7EC23E"/>
    <w:rsid w:val="7E6D4A02"/>
    <w:rsid w:val="7E8ADEBF"/>
    <w:rsid w:val="7EB73EC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5"/>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2"/>
    <w:qFormat/>
    <w:uiPriority w:val="9"/>
    <w:rPr>
      <w:rFonts w:ascii="Times New Roman" w:hAnsi="Times New Roman"/>
      <w:b/>
      <w:bCs/>
      <w:kern w:val="44"/>
      <w:sz w:val="44"/>
      <w:szCs w:val="44"/>
    </w:rPr>
  </w:style>
  <w:style w:type="character" w:customStyle="1" w:styleId="29">
    <w:name w:val="标题 2 Char"/>
    <w:basedOn w:val="16"/>
    <w:link w:val="3"/>
    <w:qFormat/>
    <w:uiPriority w:val="9"/>
    <w:rPr>
      <w:rFonts w:asciiTheme="majorHAnsi" w:hAnsiTheme="majorHAnsi" w:eastAsiaTheme="majorEastAsia" w:cstheme="majorBidi"/>
      <w:b/>
      <w:bCs/>
      <w:kern w:val="2"/>
      <w:sz w:val="32"/>
      <w:szCs w:val="32"/>
    </w:rPr>
  </w:style>
  <w:style w:type="paragraph" w:customStyle="1" w:styleId="30">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4"/>
    <w:qFormat/>
    <w:uiPriority w:val="9"/>
    <w:rPr>
      <w:rFonts w:ascii="Times New Roman" w:hAnsi="Times New Roman"/>
      <w:b/>
      <w:bCs/>
      <w:kern w:val="2"/>
      <w:sz w:val="32"/>
      <w:szCs w:val="32"/>
    </w:rPr>
  </w:style>
  <w:style w:type="paragraph" w:customStyle="1" w:styleId="33">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9992;&#25143;&#30446;&#24405;\Desktop\&#26032;&#24314;%20XLSX%20&#24037;&#20316;&#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D:\&#29992;&#25143;&#30446;&#24405;\Desktop\&#26032;&#24314;%20XLSX%20&#24037;&#20316;&#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D:\&#29992;&#25143;&#30446;&#24405;\Desktop\&#26032;&#24314;%20XLSX%20&#24037;&#20316;&#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D:\&#29992;&#25143;&#30446;&#24405;\Desktop\&#26032;&#24314;%20XLSX%20&#24037;&#20316;&#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D:\&#29992;&#25143;&#30446;&#24405;\Desktop\&#26032;&#24314;%20XLSX%20&#24037;&#20316;&#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D:\&#29992;&#25143;&#30446;&#24405;\Desktop\&#26032;&#24314;%20XLSX%20&#24037;&#20316;&#3492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9992;&#25143;&#30446;&#24405;\Desktop\&#26032;&#24314;%20XLSX%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收入、支出决算总计变动情况图</a:t>
            </a:r>
          </a:p>
        </c:rich>
      </c:tx>
      <c:layout>
        <c:manualLayout>
          <c:xMode val="edge"/>
          <c:yMode val="edge"/>
          <c:x val="0.262252591894439"/>
          <c:y val="0.0583333333333333"/>
        </c:manualLayout>
      </c:layout>
      <c:overlay val="0"/>
      <c:spPr>
        <a:noFill/>
        <a:ln>
          <a:noFill/>
        </a:ln>
        <a:effectLst/>
      </c:spPr>
    </c:title>
    <c:autoTitleDeleted val="0"/>
    <c:plotArea>
      <c:layout/>
      <c:barChart>
        <c:barDir val="col"/>
        <c:grouping val="clustered"/>
        <c:varyColors val="0"/>
        <c:ser>
          <c:idx val="0"/>
          <c:order val="0"/>
          <c:tx>
            <c:strRef>
              <c:f>'[新建 XLSX 工作表.xlsx]Sheet1'!$A$2</c:f>
              <c:strCache>
                <c:ptCount val="1"/>
                <c:pt idx="0">
                  <c:v>2024年</c:v>
                </c:pt>
              </c:strCache>
            </c:strRef>
          </c:tx>
          <c:spPr>
            <a:solidFill>
              <a:schemeClr val="accent1"/>
            </a:solidFill>
            <a:ln>
              <a:noFill/>
            </a:ln>
            <a:effectLst/>
          </c:spPr>
          <c:invertIfNegative val="0"/>
          <c:dLbls>
            <c:delete val="1"/>
          </c:dLbls>
          <c:cat>
            <c:strRef>
              <c:f>'[新建 XLSX 工作表.xlsx]Sheet1'!$B$1:$C$1</c:f>
              <c:strCache>
                <c:ptCount val="2"/>
                <c:pt idx="0">
                  <c:v>收入</c:v>
                </c:pt>
                <c:pt idx="1">
                  <c:v>支出</c:v>
                </c:pt>
              </c:strCache>
            </c:strRef>
          </c:cat>
          <c:val>
            <c:numRef>
              <c:f>'[新建 XLSX 工作表.xlsx]Sheet1'!$B$2:$C$2</c:f>
              <c:numCache>
                <c:formatCode>General</c:formatCode>
                <c:ptCount val="2"/>
                <c:pt idx="0">
                  <c:v>4479.83</c:v>
                </c:pt>
                <c:pt idx="1">
                  <c:v>4479.83</c:v>
                </c:pt>
              </c:numCache>
            </c:numRef>
          </c:val>
        </c:ser>
        <c:ser>
          <c:idx val="1"/>
          <c:order val="1"/>
          <c:tx>
            <c:strRef>
              <c:f>'[新建 XLSX 工作表.xlsx]Sheet1'!$A$3</c:f>
              <c:strCache>
                <c:ptCount val="1"/>
                <c:pt idx="0">
                  <c:v>2023年</c:v>
                </c:pt>
              </c:strCache>
            </c:strRef>
          </c:tx>
          <c:spPr>
            <a:solidFill>
              <a:schemeClr val="accent2"/>
            </a:solidFill>
            <a:ln>
              <a:noFill/>
            </a:ln>
            <a:effectLst/>
          </c:spPr>
          <c:invertIfNegative val="0"/>
          <c:dLbls>
            <c:delete val="1"/>
          </c:dLbls>
          <c:cat>
            <c:strRef>
              <c:f>'[新建 XLSX 工作表.xlsx]Sheet1'!$B$1:$C$1</c:f>
              <c:strCache>
                <c:ptCount val="2"/>
                <c:pt idx="0">
                  <c:v>收入</c:v>
                </c:pt>
                <c:pt idx="1">
                  <c:v>支出</c:v>
                </c:pt>
              </c:strCache>
            </c:strRef>
          </c:cat>
          <c:val>
            <c:numRef>
              <c:f>'[新建 XLSX 工作表.xlsx]Sheet1'!$B$3:$C$3</c:f>
              <c:numCache>
                <c:formatCode>#,##0.00</c:formatCode>
                <c:ptCount val="2"/>
                <c:pt idx="0">
                  <c:v>10651.85</c:v>
                </c:pt>
                <c:pt idx="1">
                  <c:v>10651.85</c:v>
                </c:pt>
              </c:numCache>
            </c:numRef>
          </c:val>
        </c:ser>
        <c:dLbls>
          <c:showLegendKey val="0"/>
          <c:showVal val="0"/>
          <c:showCatName val="0"/>
          <c:showSerName val="0"/>
          <c:showPercent val="0"/>
          <c:showBubbleSize val="0"/>
        </c:dLbls>
        <c:gapWidth val="246"/>
        <c:overlap val="-28"/>
        <c:axId val="288449292"/>
        <c:axId val="587215050"/>
      </c:barChart>
      <c:catAx>
        <c:axId val="28844929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215050"/>
        <c:crosses val="autoZero"/>
        <c:auto val="1"/>
        <c:lblAlgn val="ctr"/>
        <c:lblOffset val="100"/>
        <c:noMultiLvlLbl val="0"/>
      </c:catAx>
      <c:valAx>
        <c:axId val="58721505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844929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b97facf-99f1-4e78-9bf5-a57f4204749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'[新建 XLSX 工作表.xlsx]Sheet1'!$B$112</c:f>
              <c:strCache>
                <c:ptCount val="1"/>
                <c:pt idx="0">
                  <c:v>20204年（万元）</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工作表.xlsx]Sheet1'!$A$113:$A$114</c:f>
              <c:strCache>
                <c:ptCount val="2"/>
                <c:pt idx="0">
                  <c:v>一般公共预算财政拨款收入</c:v>
                </c:pt>
                <c:pt idx="1">
                  <c:v>政府性基金预算财政拨款收入</c:v>
                </c:pt>
              </c:strCache>
            </c:strRef>
          </c:cat>
          <c:val>
            <c:numRef>
              <c:f>'[新建 XLSX 工作表.xlsx]Sheet1'!$B$113:$B$114</c:f>
              <c:numCache>
                <c:formatCode>General</c:formatCode>
                <c:ptCount val="2"/>
                <c:pt idx="0">
                  <c:v>3960.07</c:v>
                </c:pt>
                <c:pt idx="1">
                  <c:v>134.58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c70fa0d-4789-455d-a76c-d77d9185dc8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'[新建 XLSX 工作表.xlsx]Sheet1'!$B$36</c:f>
              <c:strCache>
                <c:ptCount val="1"/>
                <c:pt idx="0">
                  <c:v>2024年（万元）</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工作表.xlsx]Sheet1'!$A$37:$A$38</c:f>
              <c:strCache>
                <c:ptCount val="2"/>
                <c:pt idx="0">
                  <c:v>基本支出</c:v>
                </c:pt>
                <c:pt idx="1">
                  <c:v>项目支出</c:v>
                </c:pt>
              </c:strCache>
            </c:strRef>
          </c:cat>
          <c:val>
            <c:numRef>
              <c:f>'[新建 XLSX 工作表.xlsx]Sheet1'!$B$37:$B$38</c:f>
              <c:numCache>
                <c:formatCode>General</c:formatCode>
                <c:ptCount val="2"/>
                <c:pt idx="0">
                  <c:v>623.08</c:v>
                </c:pt>
                <c:pt idx="1">
                  <c:v>3856.75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6e20928-dfc9-4cfb-a133-3c34b1c4811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收入、支出决算总计变动情况图</a:t>
            </a:r>
          </a:p>
        </c:rich>
      </c:tx>
      <c:layout>
        <c:manualLayout>
          <c:xMode val="edge"/>
          <c:yMode val="edge"/>
          <c:x val="0.262252591894439"/>
          <c:y val="0.0583333333333333"/>
        </c:manualLayout>
      </c:layout>
      <c:overlay val="0"/>
      <c:spPr>
        <a:noFill/>
        <a:ln>
          <a:noFill/>
        </a:ln>
        <a:effectLst/>
      </c:spPr>
    </c:title>
    <c:autoTitleDeleted val="0"/>
    <c:plotArea>
      <c:layout/>
      <c:barChart>
        <c:barDir val="col"/>
        <c:grouping val="clustered"/>
        <c:varyColors val="0"/>
        <c:ser>
          <c:idx val="0"/>
          <c:order val="0"/>
          <c:tx>
            <c:strRef>
              <c:f>'[新建 XLSX 工作表.xlsx]Sheet1'!$A$2</c:f>
              <c:strCache>
                <c:ptCount val="1"/>
                <c:pt idx="0">
                  <c:v>2024年</c:v>
                </c:pt>
              </c:strCache>
            </c:strRef>
          </c:tx>
          <c:spPr>
            <a:solidFill>
              <a:schemeClr val="accent1"/>
            </a:solidFill>
            <a:ln>
              <a:noFill/>
            </a:ln>
            <a:effectLst/>
          </c:spPr>
          <c:invertIfNegative val="0"/>
          <c:dLbls>
            <c:delete val="1"/>
          </c:dLbls>
          <c:cat>
            <c:strRef>
              <c:f>'[新建 XLSX 工作表.xlsx]Sheet1'!$B$1:$C$1</c:f>
              <c:strCache>
                <c:ptCount val="2"/>
                <c:pt idx="0">
                  <c:v>收入</c:v>
                </c:pt>
                <c:pt idx="1">
                  <c:v>支出</c:v>
                </c:pt>
              </c:strCache>
            </c:strRef>
          </c:cat>
          <c:val>
            <c:numRef>
              <c:f>'[新建 XLSX 工作表.xlsx]Sheet1'!$B$2:$C$2</c:f>
              <c:numCache>
                <c:formatCode>General</c:formatCode>
                <c:ptCount val="2"/>
                <c:pt idx="0">
                  <c:v>4479.83</c:v>
                </c:pt>
                <c:pt idx="1">
                  <c:v>4479.83</c:v>
                </c:pt>
              </c:numCache>
            </c:numRef>
          </c:val>
        </c:ser>
        <c:ser>
          <c:idx val="1"/>
          <c:order val="1"/>
          <c:tx>
            <c:strRef>
              <c:f>'[新建 XLSX 工作表.xlsx]Sheet1'!$A$3</c:f>
              <c:strCache>
                <c:ptCount val="1"/>
                <c:pt idx="0">
                  <c:v>2023年</c:v>
                </c:pt>
              </c:strCache>
            </c:strRef>
          </c:tx>
          <c:spPr>
            <a:solidFill>
              <a:schemeClr val="accent2"/>
            </a:solidFill>
            <a:ln>
              <a:noFill/>
            </a:ln>
            <a:effectLst/>
          </c:spPr>
          <c:invertIfNegative val="0"/>
          <c:dLbls>
            <c:delete val="1"/>
          </c:dLbls>
          <c:cat>
            <c:strRef>
              <c:f>'[新建 XLSX 工作表.xlsx]Sheet1'!$B$1:$C$1</c:f>
              <c:strCache>
                <c:ptCount val="2"/>
                <c:pt idx="0">
                  <c:v>收入</c:v>
                </c:pt>
                <c:pt idx="1">
                  <c:v>支出</c:v>
                </c:pt>
              </c:strCache>
            </c:strRef>
          </c:cat>
          <c:val>
            <c:numRef>
              <c:f>'[新建 XLSX 工作表.xlsx]Sheet1'!$B$3:$C$3</c:f>
              <c:numCache>
                <c:formatCode>#,##0.00</c:formatCode>
                <c:ptCount val="2"/>
                <c:pt idx="0">
                  <c:v>10651.85</c:v>
                </c:pt>
                <c:pt idx="1">
                  <c:v>10651.85</c:v>
                </c:pt>
              </c:numCache>
            </c:numRef>
          </c:val>
        </c:ser>
        <c:dLbls>
          <c:showLegendKey val="0"/>
          <c:showVal val="0"/>
          <c:showCatName val="0"/>
          <c:showSerName val="0"/>
          <c:showPercent val="0"/>
          <c:showBubbleSize val="0"/>
        </c:dLbls>
        <c:gapWidth val="246"/>
        <c:overlap val="-28"/>
        <c:axId val="288449292"/>
        <c:axId val="587215050"/>
      </c:barChart>
      <c:catAx>
        <c:axId val="28844929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215050"/>
        <c:crosses val="autoZero"/>
        <c:auto val="1"/>
        <c:lblAlgn val="ctr"/>
        <c:lblOffset val="100"/>
        <c:noMultiLvlLbl val="0"/>
      </c:catAx>
      <c:valAx>
        <c:axId val="58721505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844929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b97facf-99f1-4e78-9bf5-a57f4204749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一般公共预算财政拨款支出决算变动情况（万元）</a:t>
            </a:r>
          </a:p>
        </c:rich>
      </c:tx>
      <c:layout>
        <c:manualLayout>
          <c:xMode val="edge"/>
          <c:yMode val="edge"/>
          <c:x val="0.203115360888341"/>
          <c:y val="0.00886524822695036"/>
        </c:manualLayout>
      </c:layout>
      <c:overlay val="0"/>
      <c:spPr>
        <a:noFill/>
        <a:ln>
          <a:noFill/>
        </a:ln>
        <a:effectLst/>
      </c:spPr>
    </c:title>
    <c:autoTitleDeleted val="0"/>
    <c:plotArea>
      <c:layout/>
      <c:barChart>
        <c:barDir val="col"/>
        <c:grouping val="clustered"/>
        <c:varyColors val="0"/>
        <c:ser>
          <c:idx val="0"/>
          <c:order val="0"/>
          <c:tx>
            <c:strRef>
              <c:f>'[新建 XLSX 工作表.xlsx]Sheet1'!$B$119</c:f>
              <c:strCache>
                <c:ptCount val="1"/>
                <c:pt idx="0">
                  <c:v>支出（万元）</c:v>
                </c:pt>
              </c:strCache>
            </c:strRef>
          </c:tx>
          <c:spPr>
            <a:solidFill>
              <a:schemeClr val="accent1"/>
            </a:solidFill>
            <a:ln>
              <a:noFill/>
            </a:ln>
            <a:effectLst/>
          </c:spPr>
          <c:invertIfNegative val="0"/>
          <c:dLbls>
            <c:delete val="1"/>
          </c:dLbls>
          <c:cat>
            <c:strRef>
              <c:f>'[新建 XLSX 工作表.xlsx]Sheet1'!$A$120:$A$121</c:f>
              <c:strCache>
                <c:ptCount val="2"/>
                <c:pt idx="0">
                  <c:v>2024年</c:v>
                </c:pt>
                <c:pt idx="1">
                  <c:v>2023年</c:v>
                </c:pt>
              </c:strCache>
            </c:strRef>
          </c:cat>
          <c:val>
            <c:numRef>
              <c:f>'[新建 XLSX 工作表.xlsx]Sheet1'!$B$120:$B$121</c:f>
              <c:numCache>
                <c:formatCode>General</c:formatCode>
                <c:ptCount val="2"/>
                <c:pt idx="0">
                  <c:v>4345.2</c:v>
                </c:pt>
                <c:pt idx="1" c:formatCode="#,##0.00">
                  <c:v>10240.72</c:v>
                </c:pt>
              </c:numCache>
            </c:numRef>
          </c:val>
        </c:ser>
        <c:dLbls>
          <c:showLegendKey val="0"/>
          <c:showVal val="0"/>
          <c:showCatName val="0"/>
          <c:showSerName val="0"/>
          <c:showPercent val="0"/>
          <c:showBubbleSize val="0"/>
        </c:dLbls>
        <c:gapWidth val="246"/>
        <c:overlap val="-28"/>
        <c:axId val="703965426"/>
        <c:axId val="714191649"/>
      </c:barChart>
      <c:catAx>
        <c:axId val="70396542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14191649"/>
        <c:crosses val="autoZero"/>
        <c:auto val="1"/>
        <c:lblAlgn val="ctr"/>
        <c:lblOffset val="100"/>
        <c:noMultiLvlLbl val="0"/>
      </c:catAx>
      <c:valAx>
        <c:axId val="714191649"/>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0396542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ec77076-e099-4972-849a-7d28616800d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'[新建 XLSX 工作表.xlsx]Sheet1'!$B$88</c:f>
              <c:strCache>
                <c:ptCount val="1"/>
                <c:pt idx="0">
                  <c:v>2024年一般公共预算财政拨款支出（万元）</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Pt>
            <c:idx val="8"/>
            <c:bubble3D val="0"/>
            <c:spPr>
              <a:solidFill>
                <a:schemeClr val="accent3">
                  <a:lumMod val="60000"/>
                </a:schemeClr>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工作表.xlsx]Sheet1'!$A$89:$A$97</c:f>
              <c:strCache>
                <c:ptCount val="9"/>
                <c:pt idx="0">
                  <c:v>教育支出</c:v>
                </c:pt>
                <c:pt idx="1">
                  <c:v>文化旅游体育与传媒支出</c:v>
                </c:pt>
                <c:pt idx="2">
                  <c:v>社会保障和就业支出</c:v>
                </c:pt>
                <c:pt idx="3">
                  <c:v>卫生健康支出</c:v>
                </c:pt>
                <c:pt idx="4">
                  <c:v>节能环保支出</c:v>
                </c:pt>
                <c:pt idx="5">
                  <c:v>城乡社区支出</c:v>
                </c:pt>
                <c:pt idx="6">
                  <c:v>农林水支出</c:v>
                </c:pt>
                <c:pt idx="7">
                  <c:v>资源勘探工业信息等支出</c:v>
                </c:pt>
                <c:pt idx="8">
                  <c:v>住房保障支出</c:v>
                </c:pt>
              </c:strCache>
            </c:strRef>
          </c:cat>
          <c:val>
            <c:numRef>
              <c:f>'[新建 XLSX 工作表.xlsx]Sheet1'!$B$89:$B$97</c:f>
              <c:numCache>
                <c:formatCode>General</c:formatCode>
                <c:ptCount val="9"/>
                <c:pt idx="0">
                  <c:v>889.75</c:v>
                </c:pt>
                <c:pt idx="1">
                  <c:v>103.58</c:v>
                </c:pt>
                <c:pt idx="2">
                  <c:v>93.64</c:v>
                </c:pt>
                <c:pt idx="3">
                  <c:v>34.9</c:v>
                </c:pt>
                <c:pt idx="4">
                  <c:v>613.66</c:v>
                </c:pt>
                <c:pt idx="5" c:formatCode="#,##0.00">
                  <c:v>1636.75</c:v>
                </c:pt>
                <c:pt idx="6">
                  <c:v>821.07</c:v>
                </c:pt>
                <c:pt idx="7">
                  <c:v>47.93</c:v>
                </c:pt>
                <c:pt idx="8">
                  <c:v>103.97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manualLayout>
          <c:xMode val="edge"/>
          <c:yMode val="edge"/>
          <c:x val="0.0526315789473684"/>
          <c:y val="0.11527777777777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054d80c-343f-4510-9f52-e2499c4739f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'[新建 XLSX 工作表.xlsx]Sheet1'!$A$83</c:f>
              <c:strCache>
                <c:ptCount val="1"/>
                <c:pt idx="0">
                  <c:v>公务用车购置及运行维护费支出</c:v>
                </c:pt>
              </c:strCache>
            </c:strRef>
          </c:tx>
          <c:spPr/>
          <c:explosion val="0"/>
          <c:dPt>
            <c:idx val="0"/>
            <c:bubble3D val="0"/>
            <c:spPr>
              <a:solidFill>
                <a:schemeClr val="accent1"/>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工作表.xlsx]Sheet1'!$B$82</c:f>
              <c:strCache>
                <c:ptCount val="1"/>
                <c:pt idx="0">
                  <c:v>20204年（万元）</c:v>
                </c:pt>
              </c:strCache>
            </c:strRef>
          </c:cat>
          <c:val>
            <c:numRef>
              <c:f>'[新建 XLSX 工作表.xlsx]Sheet1'!$B$83</c:f>
              <c:numCache>
                <c:formatCode>General</c:formatCode>
                <c:ptCount val="1"/>
                <c:pt idx="0">
                  <c:v>44.17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68c6b6c-571a-4a5c-a5ec-6380e84c15e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26</Pages>
  <Words>9225</Words>
  <Characters>10183</Characters>
  <Lines>61</Lines>
  <Paragraphs>17</Paragraphs>
  <TotalTime>15</TotalTime>
  <ScaleCrop>false</ScaleCrop>
  <LinksUpToDate>false</LinksUpToDate>
  <CharactersWithSpaces>10300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奕夕^_^</cp:lastModifiedBy>
  <cp:lastPrinted>2025-08-06T17:34:00Z</cp:lastPrinted>
  <dcterms:modified xsi:type="dcterms:W3CDTF">2025-10-15T02:09:37Z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04787F2533EB45DC91BCDE4AB213247F</vt:lpwstr>
  </property>
  <property fmtid="{D5CDD505-2E9C-101B-9397-08002B2CF9AE}" pid="4" name="KSOTemplateDocerSaveRecord">
    <vt:lpwstr>eyJoZGlkIjoiNTU1MWNhN2ZmY2ZhZmY3ODhlYTg0MWU5OGMyY2QwZmUiLCJ1c2VySWQiOiI0MzQ2NTM0NzEifQ==</vt:lpwstr>
  </property>
</Properties>
</file>