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3CD1">
      <w:pPr>
        <w:pStyle w:val="7"/>
        <w:ind w:firstLine="440" w:firstLineChars="100"/>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96476"/>
      <w:bookmarkStart w:id="2" w:name="_Toc15396598"/>
      <w:bookmarkStart w:id="3" w:name="_Toc15378442"/>
      <w:bookmarkStart w:id="4" w:name="_Toc15377426"/>
      <w:bookmarkStart w:id="5" w:name="_Toc15377194"/>
    </w:p>
    <w:p w14:paraId="3A908204">
      <w:pPr>
        <w:pStyle w:val="7"/>
        <w:ind w:firstLine="440" w:firstLineChars="100"/>
        <w:jc w:val="both"/>
        <w:rPr>
          <w:rFonts w:hint="eastAsia" w:ascii="Times New Roman" w:hAnsi="Times New Roman" w:eastAsia="方正小标宋简体" w:cs="Times New Roman"/>
          <w:color w:val="auto"/>
          <w:kern w:val="2"/>
          <w:sz w:val="44"/>
          <w:szCs w:val="44"/>
          <w:highlight w:val="none"/>
          <w:lang w:val="en-US" w:eastAsia="zh-CN" w:bidi="ar-SA"/>
        </w:rPr>
      </w:pPr>
    </w:p>
    <w:p w14:paraId="3E161865">
      <w:pPr>
        <w:pStyle w:val="7"/>
        <w:ind w:firstLine="440" w:firstLineChars="100"/>
        <w:jc w:val="both"/>
        <w:rPr>
          <w:rFonts w:hint="eastAsia" w:ascii="Times New Roman" w:hAnsi="Times New Roman" w:eastAsia="方正小标宋简体" w:cs="Times New Roman"/>
          <w:color w:val="auto"/>
          <w:kern w:val="2"/>
          <w:sz w:val="44"/>
          <w:szCs w:val="44"/>
          <w:highlight w:val="none"/>
          <w:lang w:val="en-US" w:eastAsia="zh-CN" w:bidi="ar-SA"/>
        </w:rPr>
      </w:pPr>
    </w:p>
    <w:p w14:paraId="37C0C4C8">
      <w:pPr>
        <w:pStyle w:val="7"/>
        <w:ind w:firstLine="440" w:firstLineChars="100"/>
        <w:jc w:val="both"/>
        <w:rPr>
          <w:rFonts w:hint="eastAsia" w:ascii="Times New Roman" w:hAnsi="Times New Roman" w:eastAsia="方正小标宋简体" w:cs="Times New Roman"/>
          <w:color w:val="auto"/>
          <w:kern w:val="2"/>
          <w:sz w:val="44"/>
          <w:szCs w:val="44"/>
          <w:highlight w:val="none"/>
          <w:lang w:val="en-US" w:eastAsia="zh-CN" w:bidi="ar-SA"/>
        </w:rPr>
      </w:pPr>
    </w:p>
    <w:p w14:paraId="5FF8CF1C">
      <w:pPr>
        <w:pStyle w:val="7"/>
        <w:ind w:firstLine="440" w:firstLineChars="100"/>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09FCFFEB">
      <w:pPr>
        <w:pStyle w:val="7"/>
        <w:ind w:firstLine="440" w:firstLineChars="100"/>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0"/>
      <w:bookmarkStart w:id="6" w:name="_Toc15306268"/>
      <w:r>
        <w:rPr>
          <w:rFonts w:hint="eastAsia" w:ascii="Times New Roman" w:eastAsia="方正小标宋简体" w:cs="Times New Roman"/>
          <w:color w:val="auto"/>
          <w:kern w:val="2"/>
          <w:sz w:val="44"/>
          <w:szCs w:val="44"/>
          <w:highlight w:val="none"/>
          <w:lang w:val="en-US" w:eastAsia="zh-CN" w:bidi="ar-SA"/>
        </w:rPr>
        <w:t>松潘县人力资源和社会保障局</w:t>
      </w:r>
    </w:p>
    <w:p w14:paraId="50350253">
      <w:pPr>
        <w:pStyle w:val="7"/>
        <w:ind w:firstLine="440" w:firstLineChars="100"/>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1"/>
      <w:bookmarkEnd w:id="2"/>
      <w:bookmarkEnd w:id="3"/>
      <w:bookmarkEnd w:id="4"/>
      <w:bookmarkEnd w:id="5"/>
      <w:bookmarkEnd w:id="6"/>
    </w:p>
    <w:p w14:paraId="5B90CA0B">
      <w:pPr>
        <w:widowControl/>
        <w:jc w:val="center"/>
        <w:rPr>
          <w:rFonts w:hint="eastAsia" w:ascii="Times New Roman" w:hAnsi="Times New Roman" w:eastAsia="黑体"/>
          <w:color w:val="auto"/>
          <w:sz w:val="48"/>
          <w:szCs w:val="48"/>
          <w:highlight w:val="none"/>
        </w:rPr>
      </w:pPr>
    </w:p>
    <w:p w14:paraId="70F14494">
      <w:pPr>
        <w:widowControl/>
        <w:jc w:val="center"/>
        <w:rPr>
          <w:rFonts w:hint="eastAsia" w:ascii="Times New Roman" w:hAnsi="Times New Roman" w:eastAsia="黑体"/>
          <w:color w:val="auto"/>
          <w:sz w:val="48"/>
          <w:szCs w:val="48"/>
          <w:highlight w:val="none"/>
        </w:rPr>
      </w:pPr>
    </w:p>
    <w:p w14:paraId="24A67FF6">
      <w:pPr>
        <w:widowControl/>
        <w:jc w:val="center"/>
        <w:rPr>
          <w:rFonts w:hint="eastAsia" w:ascii="Times New Roman" w:hAnsi="Times New Roman" w:eastAsia="黑体"/>
          <w:color w:val="auto"/>
          <w:sz w:val="48"/>
          <w:szCs w:val="48"/>
          <w:highlight w:val="none"/>
        </w:rPr>
      </w:pPr>
    </w:p>
    <w:p w14:paraId="593C9EB5">
      <w:pPr>
        <w:widowControl/>
        <w:jc w:val="center"/>
        <w:rPr>
          <w:rFonts w:hint="eastAsia" w:ascii="Times New Roman" w:hAnsi="Times New Roman" w:eastAsia="黑体"/>
          <w:color w:val="auto"/>
          <w:sz w:val="48"/>
          <w:szCs w:val="48"/>
          <w:highlight w:val="none"/>
        </w:rPr>
      </w:pPr>
    </w:p>
    <w:p w14:paraId="03275871">
      <w:pPr>
        <w:widowControl/>
        <w:jc w:val="center"/>
        <w:rPr>
          <w:rFonts w:hint="eastAsia" w:ascii="Times New Roman" w:hAnsi="Times New Roman" w:eastAsia="黑体"/>
          <w:color w:val="auto"/>
          <w:sz w:val="48"/>
          <w:szCs w:val="48"/>
          <w:highlight w:val="none"/>
        </w:rPr>
      </w:pPr>
    </w:p>
    <w:p w14:paraId="5FB6AC7A">
      <w:pPr>
        <w:widowControl/>
        <w:jc w:val="center"/>
        <w:rPr>
          <w:rFonts w:hint="eastAsia" w:ascii="Times New Roman" w:hAnsi="Times New Roman" w:eastAsia="黑体"/>
          <w:color w:val="auto"/>
          <w:sz w:val="48"/>
          <w:szCs w:val="48"/>
          <w:highlight w:val="none"/>
        </w:rPr>
      </w:pPr>
    </w:p>
    <w:p w14:paraId="08ED4904">
      <w:pPr>
        <w:widowControl/>
        <w:jc w:val="center"/>
        <w:rPr>
          <w:rFonts w:hint="eastAsia" w:ascii="Times New Roman" w:hAnsi="Times New Roman" w:eastAsia="黑体"/>
          <w:color w:val="auto"/>
          <w:sz w:val="48"/>
          <w:szCs w:val="48"/>
          <w:highlight w:val="none"/>
        </w:rPr>
      </w:pPr>
    </w:p>
    <w:p w14:paraId="3E4A7E54">
      <w:pPr>
        <w:widowControl/>
        <w:jc w:val="center"/>
        <w:rPr>
          <w:rFonts w:hint="eastAsia" w:ascii="Times New Roman" w:hAnsi="Times New Roman" w:eastAsia="黑体"/>
          <w:color w:val="auto"/>
          <w:sz w:val="48"/>
          <w:szCs w:val="48"/>
          <w:highlight w:val="none"/>
        </w:rPr>
      </w:pPr>
    </w:p>
    <w:p w14:paraId="0A41BB58">
      <w:pPr>
        <w:widowControl/>
        <w:jc w:val="center"/>
        <w:rPr>
          <w:rFonts w:hint="eastAsia" w:ascii="Times New Roman" w:hAnsi="Times New Roman" w:eastAsia="黑体"/>
          <w:color w:val="auto"/>
          <w:sz w:val="48"/>
          <w:szCs w:val="48"/>
          <w:highlight w:val="none"/>
        </w:rPr>
      </w:pPr>
    </w:p>
    <w:p w14:paraId="7D04356B">
      <w:pPr>
        <w:widowControl/>
        <w:jc w:val="center"/>
        <w:rPr>
          <w:rFonts w:hint="eastAsia" w:ascii="Times New Roman" w:hAnsi="Times New Roman" w:eastAsia="黑体"/>
          <w:color w:val="auto"/>
          <w:sz w:val="48"/>
          <w:szCs w:val="48"/>
          <w:highlight w:val="none"/>
        </w:rPr>
      </w:pPr>
    </w:p>
    <w:p w14:paraId="7973F22C">
      <w:pPr>
        <w:widowControl/>
        <w:jc w:val="center"/>
        <w:rPr>
          <w:rFonts w:hint="eastAsia" w:ascii="Times New Roman" w:hAnsi="Times New Roman" w:eastAsia="黑体"/>
          <w:color w:val="auto"/>
          <w:sz w:val="48"/>
          <w:szCs w:val="48"/>
          <w:highlight w:val="none"/>
        </w:rPr>
      </w:pPr>
    </w:p>
    <w:p w14:paraId="1171D47E">
      <w:pPr>
        <w:widowControl/>
        <w:jc w:val="center"/>
        <w:rPr>
          <w:rFonts w:hint="eastAsia" w:ascii="Times New Roman" w:hAnsi="Times New Roman" w:eastAsia="黑体"/>
          <w:color w:val="auto"/>
          <w:sz w:val="48"/>
          <w:szCs w:val="48"/>
          <w:highlight w:val="none"/>
        </w:rPr>
      </w:pPr>
    </w:p>
    <w:p w14:paraId="2AADBFC4">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AAFF553">
      <w:pPr>
        <w:widowControl/>
        <w:jc w:val="center"/>
        <w:rPr>
          <w:rFonts w:ascii="Times New Roman" w:hAnsi="Times New Roman" w:eastAsia="黑体" w:cstheme="minorBidi"/>
          <w:color w:val="auto"/>
          <w:sz w:val="28"/>
          <w:szCs w:val="28"/>
          <w:highlight w:val="none"/>
        </w:rPr>
      </w:pPr>
    </w:p>
    <w:p w14:paraId="2517113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4501"/>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3A7E4AB9">
          <w:pPr>
            <w:spacing w:before="0" w:beforeLines="0" w:after="0" w:afterLines="0" w:line="240" w:lineRule="auto"/>
            <w:ind w:left="0" w:leftChars="0" w:right="0" w:rightChars="0" w:firstLine="0" w:firstLineChars="0"/>
            <w:jc w:val="center"/>
          </w:pPr>
          <w:bookmarkStart w:id="7" w:name="_Toc30093_WPSOffice_Type2"/>
        </w:p>
        <w:p w14:paraId="60E01A76">
          <w:pPr>
            <w:pStyle w:val="36"/>
            <w:tabs>
              <w:tab w:val="right" w:leader="dot" w:pos="8306"/>
            </w:tabs>
          </w:pPr>
          <w:r>
            <w:rPr>
              <w:b/>
              <w:bCs/>
            </w:rPr>
            <w:fldChar w:fldCharType="begin"/>
          </w:r>
          <w:r>
            <w:instrText xml:space="preserve"> HYPERLINK \l _Toc871_WPSOffice_Level1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6382"/>
              <w:placeholder>
                <w:docPart w:val="{68b6fd89-4b51-4ce3-8fea-fed17eaff814}"/>
              </w:placeholder>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第一部分  部门概况</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4</w:t>
          </w:r>
          <w:r>
            <w:rPr>
              <w:b/>
              <w:bCs/>
            </w:rPr>
            <w:fldChar w:fldCharType="end"/>
          </w:r>
        </w:p>
        <w:p w14:paraId="2F0177F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_Toc30093_WPSOffice_Level2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7996"/>
              <w:placeholder>
                <w:docPart w:val="{141309fb-10fc-47b3-a4ea-76bf020d432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 部门职责</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fldChar w:fldCharType="end"/>
          </w:r>
        </w:p>
        <w:p w14:paraId="4FC6338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_Toc14227_WPSOffice_Level2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3835"/>
              <w:placeholder>
                <w:docPart w:val="{f03d1696-7475-4e98-8ff1-ca0ce8d0cee0}"/>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 机构设置</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fldChar w:fldCharType="end"/>
          </w:r>
        </w:p>
        <w:p w14:paraId="75170F68">
          <w:pPr>
            <w:pStyle w:val="36"/>
            <w:tabs>
              <w:tab w:val="right" w:leader="dot" w:pos="8306"/>
            </w:tabs>
          </w:pPr>
          <w:r>
            <w:rPr>
              <w:b/>
              <w:bCs/>
            </w:rPr>
            <w:fldChar w:fldCharType="begin"/>
          </w:r>
          <w:r>
            <w:instrText xml:space="preserve"> HYPERLINK \l _Toc30093_WPSOffice_Level1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3183"/>
              <w:placeholder>
                <w:docPart w:val="{c0f5f865-82f5-4942-988a-62c4695924a7}"/>
              </w:placeholder>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第二部分  2024年度部门决算情况说明</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8</w:t>
          </w:r>
          <w:r>
            <w:rPr>
              <w:b/>
              <w:bCs/>
            </w:rPr>
            <w:fldChar w:fldCharType="end"/>
          </w:r>
        </w:p>
        <w:p w14:paraId="25E481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_Toc20657_WPSOffice_Level2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0571"/>
              <w:placeholder>
                <w:docPart w:val="{3a1ce3c2-6dda-48a6-ba85-b20ee2e8382d}"/>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一、收入支出决算总体情况说明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fldChar w:fldCharType="end"/>
          </w:r>
        </w:p>
        <w:p w14:paraId="436CD9E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_Toc3509_WPSOffice_Level2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8253"/>
              <w:placeholder>
                <w:docPart w:val="{df355f67-313a-4c09-8d4b-02c813a366d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fldChar w:fldCharType="end"/>
          </w:r>
        </w:p>
        <w:p w14:paraId="4581CB5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_Toc3008_WPSOffice_Level2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7463"/>
              <w:placeholder>
                <w:docPart w:val="{8d5146a0-3e0e-4405-99c1-e7a17d21138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fldChar w:fldCharType="end"/>
          </w:r>
        </w:p>
        <w:p w14:paraId="629E960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_Toc18378_WPSOffice_Level2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1935"/>
              <w:placeholder>
                <w:docPart w:val="{3cd8c0c3-610e-4dc3-9bfe-6b663295f21a}"/>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四、财政拨款收入支出决算总体情况说明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fldChar w:fldCharType="end"/>
          </w:r>
        </w:p>
        <w:p w14:paraId="20BDA9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_Toc12504_WPSOffice_Level2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6914"/>
              <w:placeholder>
                <w:docPart w:val="{397ef5f4-f584-4a4d-a28d-5803faa9746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五、一般公共预算财政拨款支出决算情况说明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fldChar w:fldCharType="end"/>
          </w:r>
        </w:p>
        <w:p w14:paraId="479A3EB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_Toc7965_WPSOffice_Level2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1829"/>
              <w:placeholder>
                <w:docPart w:val="{8f9e69d4-95c7-4adf-96a4-1fe9a0c4fc1f}"/>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六、一般公共预算财政拨款基本支出决算情况说明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0</w:t>
          </w:r>
        </w:p>
        <w:p w14:paraId="7C649E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_Toc5429_WPSOffice_Level2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8967"/>
              <w:placeholder>
                <w:docPart w:val="{7385d782-6233-49c8-89e8-5c986d65ba0d}"/>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七、财政拨款“三公”经费支出决算情况说明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1</w:t>
          </w:r>
        </w:p>
        <w:p w14:paraId="2174433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_Toc30886_WPSOffice_Level2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8432"/>
              <w:placeholder>
                <w:docPart w:val="{6f1ac6b6-c1b3-48eb-ada1-334f48716980}"/>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八、政府性基金预算支出决算情况说明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2</w:t>
          </w:r>
        </w:p>
        <w:p w14:paraId="7CBD463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_Toc9174_WPSOffice_Level2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7417"/>
              <w:placeholder>
                <w:docPart w:val="{1d9149a1-f364-416b-9afe-6cb21550e3e0}"/>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九、国有资本经营预算支出决算情况说明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2</w:t>
          </w:r>
        </w:p>
        <w:p w14:paraId="144ED9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_Toc28078_WPSOffice_Level2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8500"/>
              <w:placeholder>
                <w:docPart w:val="{6c3964db-ba39-457f-a738-7f776f5749c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十、其他重要事项的情况说明</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2</w:t>
          </w:r>
        </w:p>
        <w:p w14:paraId="2659C0C4">
          <w:pPr>
            <w:pStyle w:val="36"/>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_Toc14227_WPSOffice_Level1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75473"/>
              <w:placeholder>
                <w:docPart w:val="{ac10bf62-f4fd-4767-92eb-62dfa5881d52}"/>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第三部分  名词解释</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1</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t>3</w:t>
          </w:r>
        </w:p>
        <w:p w14:paraId="07077737">
          <w:pPr>
            <w:pStyle w:val="36"/>
            <w:tabs>
              <w:tab w:val="right" w:leader="dot" w:pos="8306"/>
            </w:tabs>
            <w:rPr>
              <w:lang w:val="en-US"/>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_Toc20657_WPSOffice_Level1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52181"/>
              <w:placeholder>
                <w:docPart w:val="{2fd56b3b-681f-4391-978a-3dd0b5fcbf75}"/>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第四部分 附表</w:t>
              </w:r>
            </w:sdtContent>
          </w:sdt>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t>1</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t>5</w:t>
          </w:r>
        </w:p>
        <w:p w14:paraId="18DF5CD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_Toc2586_WPSOffice_Level2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2838"/>
              <w:placeholder>
                <w:docPart w:val="{a8f054e8-1070-413b-b847-ec3bb9d7565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7E79D5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_Toc29292_WPSOffice_Level2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7928"/>
              <w:placeholder>
                <w:docPart w:val="{ee3ce641-1204-4d7a-b0f3-323d1e05210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04544B1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_Toc15978_WPSOffice_Level2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3653"/>
              <w:placeholder>
                <w:docPart w:val="{3a93d0e9-79df-4644-a5da-173ffba0d8b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5529388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_Toc21121_WPSOffice_Level2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2105"/>
              <w:placeholder>
                <w:docPart w:val="{bdba9d54-3adb-407a-a36b-78e79221f005}"/>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3BFF67D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_Toc22840_WPSOffice_Level2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0426"/>
              <w:placeholder>
                <w:docPart w:val="{a377ac73-f54b-4654-8ea7-28f52e668410}"/>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五、财政拨款支出决算明细表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1AF1E57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_Toc14990_WPSOffice_Level2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6541"/>
              <w:placeholder>
                <w:docPart w:val="{a5b57e06-626e-4781-a5ce-f2b4aa372d94}"/>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3BFC58A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_Toc15055_WPSOffice_Level2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9919"/>
              <w:placeholder>
                <w:docPart w:val="{008c6c50-3751-4d46-a45d-3fb2d864921f}"/>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七、一般公共预算财政拨款支出决算明细表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4018856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_Toc32562_WPSOffice_Level2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7640"/>
              <w:placeholder>
                <w:docPart w:val="{fbc74b66-7492-42b1-ae4a-a0f74fa3da5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八、一般公共预算财政拨款基本支出决算表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6EA6214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_Toc3274_WPSOffice_Level2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5454"/>
              <w:placeholder>
                <w:docPart w:val="{bc2d17c9-55cc-4d35-b9c0-6792c9c34bf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九、一般公共预算财政拨款项目支出决算表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3AE9D70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_Toc5421_WPSOffice_Level2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1385"/>
              <w:placeholder>
                <w:docPart w:val="{c7cd0ca8-4095-4d57-811d-6f83856fc30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十、政府性基金预算财政拨款收入支出决算表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70C3251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_Toc25651_WPSOffice_Level2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0930"/>
              <w:placeholder>
                <w:docPart w:val="{1ebb7914-439d-450d-b371-a79eaf46f89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十一、国有资本经营预算财政拨款收入支出决算表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11A96B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_Toc2950_WPSOffice_Level2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0751"/>
              <w:placeholder>
                <w:docPart w:val="{b74f275b-22ca-43db-a1e4-84a48cd86988}"/>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十二、国有资本经营预算财政拨款支出决算表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r>
            <w:rPr>
              <w:rFonts w:hint="eastAsia" w:eastAsia="仿宋_GB2312" w:cs="仿宋_GB2312"/>
              <w:color w:val="auto"/>
              <w:sz w:val="32"/>
              <w:szCs w:val="32"/>
              <w:highlight w:val="none"/>
              <w:lang w:val="en-US" w:eastAsia="zh-CN"/>
            </w:rPr>
            <w:t>5</w:t>
          </w:r>
        </w:p>
        <w:p w14:paraId="018A4D8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_Toc12687_WPSOffice_Level2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1088"/>
              <w:placeholder>
                <w:docPart w:val="{5fe81ebf-1f85-4333-84ba-680177eca5b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十三、财政拨款“三公”经费支出决算表</w:t>
              </w:r>
            </w:sdtContent>
          </w:sdt>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fldChar w:fldCharType="end"/>
          </w:r>
          <w:bookmarkEnd w:id="7"/>
          <w:r>
            <w:rPr>
              <w:rFonts w:hint="eastAsia" w:eastAsia="仿宋_GB2312" w:cs="仿宋_GB2312"/>
              <w:color w:val="auto"/>
              <w:sz w:val="32"/>
              <w:szCs w:val="32"/>
              <w:highlight w:val="none"/>
              <w:lang w:val="en-US" w:eastAsia="zh-CN"/>
            </w:rPr>
            <w:t>5</w:t>
          </w:r>
        </w:p>
      </w:sdtContent>
    </w:sdt>
    <w:p w14:paraId="5C7DF1B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7E35A55">
      <w:pPr>
        <w:pStyle w:val="4"/>
        <w:jc w:val="center"/>
        <w:rPr>
          <w:rFonts w:ascii="Times New Roman" w:hAnsi="Times New Roman" w:eastAsia="黑体"/>
          <w:color w:val="auto"/>
          <w:sz w:val="32"/>
          <w:szCs w:val="32"/>
          <w:highlight w:val="none"/>
        </w:rPr>
      </w:pPr>
      <w:bookmarkStart w:id="8" w:name="_Toc871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部门</w:t>
      </w:r>
      <w:r>
        <w:rPr>
          <w:rStyle w:val="28"/>
          <w:rFonts w:hint="eastAsia" w:ascii="Times New Roman" w:hAnsi="Times New Roman" w:eastAsia="方正小标宋简体" w:cs="方正小标宋简体"/>
          <w:b w:val="0"/>
          <w:bCs w:val="0"/>
          <w:color w:val="auto"/>
          <w:highlight w:val="none"/>
        </w:rPr>
        <w:t>概况</w:t>
      </w:r>
      <w:bookmarkEnd w:id="8"/>
    </w:p>
    <w:p w14:paraId="5C498C34">
      <w:pPr>
        <w:pStyle w:val="5"/>
        <w:numPr>
          <w:ilvl w:val="0"/>
          <w:numId w:val="1"/>
        </w:numPr>
        <w:rPr>
          <w:rFonts w:hint="eastAsia" w:ascii="Times New Roman" w:hAnsi="Times New Roman" w:eastAsia="黑体"/>
          <w:b w:val="0"/>
          <w:color w:val="auto"/>
          <w:highlight w:val="none"/>
          <w:lang w:eastAsia="zh-CN"/>
        </w:rPr>
      </w:pPr>
      <w:bookmarkStart w:id="9" w:name="_Toc30093_WPSOffice_Level2"/>
      <w:r>
        <w:rPr>
          <w:rFonts w:hint="eastAsia" w:ascii="Times New Roman" w:hAnsi="Times New Roman" w:eastAsia="黑体"/>
          <w:b w:val="0"/>
          <w:color w:val="auto"/>
          <w:highlight w:val="none"/>
          <w:lang w:eastAsia="zh-CN"/>
        </w:rPr>
        <w:t>部门职责</w:t>
      </w:r>
      <w:bookmarkEnd w:id="9"/>
    </w:p>
    <w:p w14:paraId="26EAE53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贯彻执行国家、省、州人力资源和社会保障工作的相关</w:t>
      </w:r>
      <w:r>
        <w:rPr>
          <w:rFonts w:hint="eastAsia" w:ascii="Times New Roman" w:hAnsi="Times New Roman" w:eastAsia="仿宋_GB2312" w:cs="Times New Roman"/>
          <w:kern w:val="0"/>
          <w:sz w:val="32"/>
          <w:szCs w:val="32"/>
          <w:lang w:eastAsia="zh-CN"/>
        </w:rPr>
        <w:t>法律法规</w:t>
      </w:r>
      <w:r>
        <w:rPr>
          <w:rFonts w:hint="default" w:ascii="Times New Roman" w:hAnsi="Times New Roman" w:eastAsia="仿宋_GB2312" w:cs="Times New Roman"/>
          <w:kern w:val="0"/>
          <w:sz w:val="32"/>
          <w:szCs w:val="32"/>
        </w:rPr>
        <w:t>和政策，起草全县人力资源和社会保障规范性文件草案，拟订全县人力资源和社会保障事业发展规划、政策并组织实施和监督检查。</w:t>
      </w:r>
    </w:p>
    <w:p w14:paraId="47C38159">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组织实施人力资源市场发展规划和人力资源流动政策，管理人力资源和社会保障公共服务机构，建立全县统一规范的人力资源市场，促进人力资源合理流动、有效配置。</w:t>
      </w:r>
    </w:p>
    <w:p w14:paraId="661B732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负责就业促进工作，组织实施统筹城乡就业发展规划和政策，完善公共就业服务体系；统筹建立面向城乡劳动者的职业技能培训制度，组织落实创业、就业援助制度；组织实施高校毕业生就业政策。</w:t>
      </w:r>
    </w:p>
    <w:p w14:paraId="64DA733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p>
    <w:p w14:paraId="071B2887">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负责就业、失业和相关社会保险基金预测预警和信息引导，拟订应对预案，实施预防、调节和控制，保持就业形势稳定和相关社会保险基金总体收支平衡。</w:t>
      </w:r>
    </w:p>
    <w:p w14:paraId="36D27B6C">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1434BD2E">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牵头推进深化职称制度改革，组织实施专业技术人员管理、继续教育和博士后管理等政策，负责高层次专业技术人才选拔和培养工作，贯彻落实吸引留学人员来县</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回县</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049FA3C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 xml:space="preserve">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4010022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组织实施国家表彰奖励制度，综合管理政府表彰奖励工作，承担评比达标表彰等工作，根据授权承办以县委、县政府名义开展的表彰奖励活动。承办提请县人大常委会和县政府决定的人事任免事项。</w:t>
      </w:r>
    </w:p>
    <w:p w14:paraId="37255F9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组织实施事业单位人员工资收入分配政策，建立企事业单位人员工资决定、正常增长和支付保障机制。组织实施企事业单位人员福利和离退休政策。</w:t>
      </w:r>
    </w:p>
    <w:p w14:paraId="52B62C3B">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11.</w:t>
      </w:r>
      <w:r>
        <w:rPr>
          <w:rFonts w:hint="default" w:ascii="Times New Roman" w:hAnsi="Times New Roman" w:eastAsia="仿宋_GB2312" w:cs="Times New Roman"/>
          <w:color w:val="000000"/>
          <w:kern w:val="0"/>
          <w:sz w:val="32"/>
          <w:szCs w:val="32"/>
        </w:rPr>
        <w:t>会同相关部门组织实施农民工工作的综合性政策和规划，推动相关政策落实，协调解决重点难点问题，维护农民工合法权益。负责将安全生产纳入农民工技能培训内容。</w:t>
      </w:r>
    </w:p>
    <w:p w14:paraId="362A2CA5">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12.</w:t>
      </w:r>
      <w:r>
        <w:rPr>
          <w:rFonts w:hint="default" w:ascii="Times New Roman" w:hAnsi="Times New Roman" w:eastAsia="仿宋_GB2312" w:cs="Times New Roman"/>
          <w:color w:val="000000"/>
          <w:kern w:val="0"/>
          <w:sz w:val="32"/>
          <w:szCs w:val="32"/>
        </w:rPr>
        <w:t>负责人力资源和社会保障领域内的对外交流与合作。</w:t>
      </w:r>
    </w:p>
    <w:p w14:paraId="02761F91">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13.</w:t>
      </w:r>
      <w:r>
        <w:rPr>
          <w:rFonts w:hint="default" w:ascii="Times New Roman" w:hAnsi="Times New Roman" w:eastAsia="仿宋_GB2312" w:cs="Times New Roman"/>
          <w:color w:val="000000"/>
          <w:kern w:val="0"/>
          <w:sz w:val="32"/>
          <w:szCs w:val="32"/>
        </w:rPr>
        <w:t>承担职责范围内的安全生产和职业健康、生态环境保护、审批服务便民化等工作。</w:t>
      </w:r>
    </w:p>
    <w:p w14:paraId="29DF1DF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14.</w:t>
      </w:r>
      <w:r>
        <w:rPr>
          <w:rFonts w:hint="default" w:ascii="Times New Roman" w:hAnsi="Times New Roman" w:eastAsia="仿宋_GB2312" w:cs="Times New Roman"/>
          <w:color w:val="000000"/>
          <w:kern w:val="0"/>
          <w:sz w:val="32"/>
          <w:szCs w:val="32"/>
        </w:rPr>
        <w:t>完成县委、县政府交办的其他任务。</w:t>
      </w:r>
    </w:p>
    <w:p w14:paraId="3FDB3417">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rPr>
        <w:t>职能转变。深入推进简政放权、放管结合、优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63BB5BDB">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b/>
          <w:bCs/>
          <w:kern w:val="0"/>
          <w:sz w:val="32"/>
          <w:szCs w:val="32"/>
          <w:shd w:val="clear" w:fill="FFFFFF"/>
        </w:rPr>
      </w:pPr>
      <w:r>
        <w:rPr>
          <w:rFonts w:hint="default" w:ascii="Times New Roman" w:hAnsi="Times New Roman" w:eastAsia="仿宋_GB2312" w:cs="Times New Roman"/>
          <w:color w:val="000000"/>
          <w:kern w:val="0"/>
          <w:sz w:val="32"/>
          <w:szCs w:val="32"/>
          <w:lang w:val="en-US" w:eastAsia="zh-CN"/>
        </w:rPr>
        <w:t>16.</w:t>
      </w:r>
      <w:r>
        <w:rPr>
          <w:rFonts w:hint="default" w:ascii="Times New Roman" w:hAnsi="Times New Roman" w:eastAsia="仿宋_GB2312" w:cs="Times New Roman"/>
          <w:color w:val="000000"/>
          <w:kern w:val="0"/>
          <w:sz w:val="32"/>
          <w:szCs w:val="32"/>
        </w:rPr>
        <w:t>有关职责分工。与县教育局的有关职责分工。高校毕业生就业政策由县人力资源</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社会保障局牵头，会同县教育局等部门拟订。高校毕业生离校前的就业指导和服务工作，由县教育局负责；高校毕业生离校后的就业指导和服务工作，由县人力资源</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社会保障局负责。</w:t>
      </w:r>
    </w:p>
    <w:p w14:paraId="531A11DE"/>
    <w:p w14:paraId="0C3A67FC">
      <w:pPr>
        <w:numPr>
          <w:ilvl w:val="0"/>
          <w:numId w:val="0"/>
        </w:numPr>
        <w:rPr>
          <w:rFonts w:hint="eastAsia"/>
          <w:lang w:eastAsia="zh-CN"/>
        </w:rPr>
      </w:pPr>
    </w:p>
    <w:p w14:paraId="6D9701CC">
      <w:pPr>
        <w:pStyle w:val="5"/>
        <w:numPr>
          <w:ilvl w:val="0"/>
          <w:numId w:val="1"/>
        </w:numPr>
        <w:rPr>
          <w:rFonts w:hint="eastAsia" w:ascii="Times New Roman" w:hAnsi="Times New Roman" w:eastAsia="黑体"/>
          <w:b w:val="0"/>
          <w:color w:val="auto"/>
          <w:highlight w:val="none"/>
          <w:lang w:eastAsia="zh-CN"/>
        </w:rPr>
      </w:pPr>
      <w:bookmarkStart w:id="10" w:name="_Toc15377200"/>
      <w:bookmarkStart w:id="11" w:name="_Toc14227_WPSOffice_Level2"/>
      <w:bookmarkStart w:id="12" w:name="_Toc15396601"/>
      <w:r>
        <w:rPr>
          <w:rFonts w:hint="eastAsia" w:ascii="Times New Roman" w:hAnsi="Times New Roman" w:eastAsia="黑体"/>
          <w:b w:val="0"/>
          <w:color w:val="auto"/>
          <w:highlight w:val="none"/>
          <w:lang w:eastAsia="zh-CN"/>
        </w:rPr>
        <w:t>机构设置</w:t>
      </w:r>
      <w:bookmarkEnd w:id="10"/>
      <w:bookmarkEnd w:id="11"/>
      <w:bookmarkEnd w:id="12"/>
    </w:p>
    <w:p w14:paraId="7C39E9C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b w:val="0"/>
          <w:bCs w:val="0"/>
          <w:color w:val="000000"/>
          <w:kern w:val="0"/>
          <w:sz w:val="32"/>
          <w:szCs w:val="32"/>
        </w:rPr>
      </w:pPr>
      <w:bookmarkStart w:id="13" w:name="_Toc15396602"/>
      <w:bookmarkStart w:id="14" w:name="_Toc15377204"/>
      <w:r>
        <w:rPr>
          <w:rFonts w:hint="default" w:ascii="Times New Roman" w:hAnsi="Times New Roman" w:eastAsia="仿宋_GB2312" w:cs="Times New Roman"/>
          <w:b w:val="0"/>
          <w:bCs w:val="0"/>
          <w:color w:val="000000"/>
          <w:kern w:val="0"/>
          <w:sz w:val="32"/>
          <w:szCs w:val="32"/>
        </w:rPr>
        <w:t>松潘县人力资源和社会保障局内设机构5个</w:t>
      </w:r>
      <w:r>
        <w:rPr>
          <w:rFonts w:hint="eastAsia" w:eastAsia="仿宋_GB2312" w:cs="Times New Roman"/>
          <w:b w:val="0"/>
          <w:bCs w:val="0"/>
          <w:color w:val="000000"/>
          <w:kern w:val="0"/>
          <w:sz w:val="32"/>
          <w:szCs w:val="32"/>
          <w:lang w:eastAsia="zh-CN"/>
        </w:rPr>
        <w:t>。</w:t>
      </w:r>
    </w:p>
    <w:p w14:paraId="69D8E17B">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办公室。</w:t>
      </w:r>
      <w:r>
        <w:rPr>
          <w:rFonts w:hint="default" w:ascii="Times New Roman" w:hAnsi="Times New Roman" w:eastAsia="仿宋_GB2312" w:cs="Times New Roman"/>
          <w:b w:val="0"/>
          <w:bCs w:val="0"/>
          <w:color w:val="000000"/>
          <w:kern w:val="0"/>
          <w:sz w:val="32"/>
          <w:szCs w:val="32"/>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Times New Roman" w:hAnsi="Times New Roman" w:eastAsia="仿宋_GB2312" w:cs="Times New Roman"/>
          <w:b w:val="0"/>
          <w:bCs w:val="0"/>
          <w:color w:val="000000"/>
          <w:kern w:val="0"/>
          <w:sz w:val="32"/>
          <w:szCs w:val="32"/>
          <w:lang w:val="en-US" w:eastAsia="zh-CN"/>
        </w:rPr>
        <w:t>中华人民共和国</w:t>
      </w:r>
      <w:r>
        <w:rPr>
          <w:rFonts w:hint="default" w:ascii="Times New Roman" w:hAnsi="Times New Roman" w:eastAsia="仿宋_GB2312" w:cs="Times New Roman"/>
          <w:b w:val="0"/>
          <w:bCs w:val="0"/>
          <w:color w:val="000000"/>
          <w:kern w:val="0"/>
          <w:sz w:val="32"/>
          <w:szCs w:val="32"/>
        </w:rPr>
        <w:t>会计法》《</w:t>
      </w:r>
      <w:r>
        <w:rPr>
          <w:rFonts w:hint="eastAsia" w:ascii="Times New Roman" w:hAnsi="Times New Roman" w:eastAsia="仿宋_GB2312" w:cs="Times New Roman"/>
          <w:b w:val="0"/>
          <w:bCs w:val="0"/>
          <w:color w:val="000000"/>
          <w:kern w:val="0"/>
          <w:sz w:val="32"/>
          <w:szCs w:val="32"/>
          <w:lang w:val="en-US" w:eastAsia="zh-CN"/>
        </w:rPr>
        <w:t>中华人民共和国</w:t>
      </w:r>
      <w:r>
        <w:rPr>
          <w:rFonts w:hint="default" w:ascii="Times New Roman" w:hAnsi="Times New Roman" w:eastAsia="仿宋_GB2312" w:cs="Times New Roman"/>
          <w:b w:val="0"/>
          <w:bCs w:val="0"/>
          <w:color w:val="000000"/>
          <w:kern w:val="0"/>
          <w:sz w:val="32"/>
          <w:szCs w:val="32"/>
        </w:rPr>
        <w:t>预算法》及相关财务管理制度，负责机关财务核算和管理工作，负责国有资产、单位基建财务管理工作。</w:t>
      </w:r>
    </w:p>
    <w:p w14:paraId="484A946A">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劳动关系股。</w:t>
      </w:r>
      <w:r>
        <w:rPr>
          <w:rFonts w:hint="default" w:ascii="Times New Roman" w:hAnsi="Times New Roman" w:eastAsia="仿宋_GB2312" w:cs="Times New Roman"/>
          <w:b w:val="0"/>
          <w:bCs w:val="0"/>
          <w:color w:val="000000"/>
          <w:kern w:val="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24F680E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社会保险股。</w:t>
      </w:r>
      <w:r>
        <w:rPr>
          <w:rFonts w:hint="default" w:ascii="Times New Roman" w:hAnsi="Times New Roman" w:eastAsia="仿宋_GB2312" w:cs="Times New Roman"/>
          <w:b w:val="0"/>
          <w:bCs w:val="0"/>
          <w:color w:val="000000"/>
          <w:kern w:val="0"/>
          <w:sz w:val="32"/>
          <w:szCs w:val="32"/>
        </w:rPr>
        <w:t>拟订人力资源和社会保障事业发展、信息化建设发展规划和年度计划并组织实施；会同有关部门编制相关社会保险基金预决算草案，贯彻落实相关社会保障资金</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基金</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财务管理制度，承担人力资源</w:t>
      </w:r>
      <w:r>
        <w:rPr>
          <w:rFonts w:hint="eastAsia" w:ascii="Times New Roman" w:hAnsi="Times New Roman" w:eastAsia="仿宋_GB2312" w:cs="Times New Roman"/>
          <w:b w:val="0"/>
          <w:bCs w:val="0"/>
          <w:color w:val="000000"/>
          <w:kern w:val="0"/>
          <w:sz w:val="32"/>
          <w:szCs w:val="32"/>
          <w:lang w:val="en-US" w:eastAsia="zh-CN"/>
        </w:rPr>
        <w:t>和</w:t>
      </w:r>
      <w:r>
        <w:rPr>
          <w:rFonts w:hint="default" w:ascii="Times New Roman" w:hAnsi="Times New Roman" w:eastAsia="仿宋_GB2312" w:cs="Times New Roman"/>
          <w:b w:val="0"/>
          <w:bCs w:val="0"/>
          <w:color w:val="000000"/>
          <w:kern w:val="0"/>
          <w:sz w:val="32"/>
          <w:szCs w:val="32"/>
        </w:rPr>
        <w:t>社会保障统计管理工作。</w:t>
      </w:r>
    </w:p>
    <w:p w14:paraId="6929A2AB">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事业单位管理股。</w:t>
      </w:r>
      <w:r>
        <w:rPr>
          <w:rFonts w:hint="default" w:ascii="Times New Roman" w:hAnsi="Times New Roman" w:eastAsia="仿宋_GB2312" w:cs="Times New Roman"/>
          <w:color w:val="000000"/>
          <w:kern w:val="0"/>
          <w:sz w:val="32"/>
          <w:szCs w:val="32"/>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水平</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考试的管理及资格证书的核准、审验工作。承接四川省专家服务中心的相关业务工作，服务全县专业技术人员。</w:t>
      </w:r>
    </w:p>
    <w:p w14:paraId="4F565DCC">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工资福利股。</w:t>
      </w:r>
      <w:r>
        <w:rPr>
          <w:rFonts w:hint="default" w:ascii="Times New Roman" w:hAnsi="Times New Roman" w:eastAsia="仿宋_GB2312" w:cs="Times New Roman"/>
          <w:color w:val="000000"/>
          <w:kern w:val="0"/>
          <w:sz w:val="32"/>
          <w:szCs w:val="32"/>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561A9679">
      <w:pPr>
        <w:pStyle w:val="35"/>
        <w:keepNext w:val="0"/>
        <w:keepLines w:val="0"/>
        <w:pageBreakBefore w:val="0"/>
        <w:widowControl w:val="0"/>
        <w:suppressLineNumbers w:val="0"/>
        <w:kinsoku/>
        <w:wordWrap/>
        <w:overflowPunct/>
        <w:topLinePunct w:val="0"/>
        <w:autoSpaceDE w:val="0"/>
        <w:autoSpaceDN/>
        <w:bidi w:val="0"/>
        <w:snapToGrid w:val="0"/>
        <w:spacing w:afterAutospacing="0" w:line="576" w:lineRule="exact"/>
        <w:jc w:val="both"/>
      </w:pPr>
      <w:r>
        <w:rPr>
          <w:rFonts w:hint="default" w:ascii="Times New Roman" w:hAnsi="Times New Roman" w:eastAsia="仿宋_GB2312" w:cs="Times New Roman"/>
          <w:b/>
          <w:bCs/>
          <w:color w:val="000000"/>
          <w:kern w:val="0"/>
          <w:sz w:val="32"/>
          <w:szCs w:val="32"/>
        </w:rPr>
        <w:t>机关党委。</w:t>
      </w:r>
      <w:r>
        <w:rPr>
          <w:rFonts w:hint="default" w:ascii="Times New Roman" w:hAnsi="Times New Roman" w:eastAsia="仿宋_GB2312" w:cs="Times New Roman"/>
          <w:color w:val="000000"/>
          <w:kern w:val="0"/>
          <w:sz w:val="32"/>
          <w:szCs w:val="32"/>
        </w:rPr>
        <w:t>负责机关和所属事业单位党的建设、群团工作和意识形态工作。机关党委办事机构由县人力资源和社会保障局党组按照县委规定设置。</w:t>
      </w:r>
    </w:p>
    <w:p w14:paraId="7C12FA10">
      <w:pPr>
        <w:pStyle w:val="4"/>
        <w:jc w:val="center"/>
        <w:rPr>
          <w:rFonts w:ascii="Times New Roman" w:hAnsi="Times New Roman"/>
          <w:color w:val="auto"/>
          <w:highlight w:val="none"/>
        </w:rPr>
      </w:pPr>
      <w:bookmarkStart w:id="15" w:name="_Toc30093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19974BB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3"/>
      <w:bookmarkStart w:id="17" w:name="_Toc15377205"/>
      <w:bookmarkStart w:id="18" w:name="_Toc20657_WPSOffice_Level2"/>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14:paraId="68CF74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1321.48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561.14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29.81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从</w:t>
      </w:r>
      <w:r>
        <w:rPr>
          <w:rFonts w:hint="eastAsia" w:eastAsia="仿宋_GB2312" w:cs="仿宋_GB2312"/>
          <w:color w:val="auto"/>
          <w:sz w:val="32"/>
          <w:szCs w:val="32"/>
          <w:highlight w:val="none"/>
          <w:lang w:val="en-US" w:eastAsia="zh-CN"/>
        </w:rPr>
        <w:t>2024年7月开始编外用工经费由各自用人单位支出，人社局不再统一支出。</w:t>
      </w:r>
    </w:p>
    <w:p w14:paraId="1E4DEBD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77206"/>
      <w:bookmarkStart w:id="20" w:name="_Toc15396604"/>
      <w:bookmarkStart w:id="21" w:name="_Toc3509_WPSOffice_Level2"/>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49679DC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1321.48万元，其中：一般公共预算财政拨款收入1321.48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3C93BB9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bookmarkStart w:id="24" w:name="_Toc3008_WPSOffice_Level2"/>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bookmarkEnd w:id="24"/>
    </w:p>
    <w:p w14:paraId="4A44BE1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1321.48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314.85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23.82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1006.63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76.17</w:t>
      </w:r>
      <w:r>
        <w:rPr>
          <w:rFonts w:hint="eastAsia" w:ascii="仿宋_GB2312" w:hAnsi="仿宋_GB2312" w:eastAsia="仿宋_GB2312" w:cs="仿宋_GB2312"/>
          <w:color w:val="auto"/>
          <w:sz w:val="32"/>
          <w:szCs w:val="32"/>
          <w:highlight w:val="none"/>
          <w:lang w:eastAsia="zh-CN"/>
        </w:rPr>
        <w:t>%。</w:t>
      </w:r>
    </w:p>
    <w:p w14:paraId="0596F4D5">
      <w:pPr>
        <w:spacing w:line="600" w:lineRule="exact"/>
        <w:ind w:firstLine="640" w:firstLineChars="200"/>
        <w:outlineLvl w:val="1"/>
        <w:rPr>
          <w:rStyle w:val="29"/>
          <w:rFonts w:ascii="Times New Roman" w:hAnsi="Times New Roman" w:eastAsia="黑体"/>
          <w:b w:val="0"/>
          <w:color w:val="auto"/>
          <w:highlight w:val="none"/>
        </w:rPr>
      </w:pPr>
      <w:bookmarkStart w:id="25" w:name="_Toc18378_WPSOffice_Level2"/>
      <w:bookmarkStart w:id="26" w:name="_Toc15377208"/>
      <w:bookmarkStart w:id="2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5"/>
      <w:bookmarkEnd w:id="26"/>
      <w:bookmarkEnd w:id="27"/>
    </w:p>
    <w:p w14:paraId="6CF5ADB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1321.48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561.14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29.81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从</w:t>
      </w:r>
      <w:r>
        <w:rPr>
          <w:rFonts w:hint="eastAsia" w:eastAsia="仿宋_GB2312" w:cs="仿宋_GB2312"/>
          <w:color w:val="auto"/>
          <w:sz w:val="32"/>
          <w:szCs w:val="32"/>
          <w:highlight w:val="none"/>
          <w:lang w:val="en-US" w:eastAsia="zh-CN"/>
        </w:rPr>
        <w:t>2024年7月开始编外用工经费由各自用人单位支出，人社局不再统一支出。</w:t>
      </w:r>
    </w:p>
    <w:p w14:paraId="05DFC3C8">
      <w:pPr>
        <w:spacing w:line="600" w:lineRule="exact"/>
        <w:ind w:firstLine="640" w:firstLineChars="200"/>
        <w:outlineLvl w:val="1"/>
        <w:rPr>
          <w:rStyle w:val="29"/>
          <w:rFonts w:ascii="Times New Roman" w:hAnsi="Times New Roman" w:eastAsia="黑体"/>
          <w:b w:val="0"/>
          <w:color w:val="auto"/>
          <w:highlight w:val="none"/>
        </w:rPr>
      </w:pPr>
      <w:bookmarkStart w:id="28" w:name="_Toc12504_WPSOffice_Level2"/>
      <w:bookmarkStart w:id="29" w:name="_Toc15377209"/>
      <w:bookmarkStart w:id="3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bookmarkEnd w:id="30"/>
    </w:p>
    <w:p w14:paraId="4CE8A3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401ABAB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1321.48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561.14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29.81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从</w:t>
      </w:r>
      <w:r>
        <w:rPr>
          <w:rFonts w:hint="eastAsia" w:eastAsia="仿宋_GB2312" w:cs="仿宋_GB2312"/>
          <w:color w:val="auto"/>
          <w:sz w:val="32"/>
          <w:szCs w:val="32"/>
          <w:highlight w:val="none"/>
          <w:lang w:val="en-US" w:eastAsia="zh-CN"/>
        </w:rPr>
        <w:t>2024年7月开始编外用工经费由各自用人单位支出，人社局不再统一支出。</w:t>
      </w:r>
    </w:p>
    <w:p w14:paraId="455A11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1C6F44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1321.48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935.02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70.75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347.14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26.27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17.96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1.62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FBA32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3ACEF2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8460"/>
      <w:bookmarkStart w:id="35" w:name="_Toc15377213"/>
      <w:bookmarkStart w:id="36"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1321.48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6C8434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1.教育支出： 支出决算为</w:t>
      </w:r>
      <w:r>
        <w:rPr>
          <w:rFonts w:hint="eastAsia" w:eastAsia="仿宋_GB2312" w:cs="仿宋_GB2312"/>
          <w:color w:val="auto"/>
          <w:kern w:val="2"/>
          <w:sz w:val="32"/>
          <w:szCs w:val="32"/>
          <w:highlight w:val="none"/>
          <w:lang w:val="en-US" w:eastAsia="zh-CN" w:bidi="ar-SA"/>
        </w:rPr>
        <w:t>935.02</w:t>
      </w:r>
      <w:r>
        <w:rPr>
          <w:rFonts w:hint="eastAsia" w:ascii="Times New Roman" w:hAnsi="Times New Roman" w:eastAsia="仿宋_GB2312" w:cs="仿宋_GB2312"/>
          <w:color w:val="auto"/>
          <w:kern w:val="2"/>
          <w:sz w:val="32"/>
          <w:szCs w:val="32"/>
          <w:highlight w:val="none"/>
          <w:lang w:val="en-US" w:eastAsia="zh-CN" w:bidi="ar-SA"/>
        </w:rPr>
        <w:t>万元，完成预算100%，2059999其他教育支出</w:t>
      </w:r>
      <w:r>
        <w:rPr>
          <w:rFonts w:hint="eastAsia" w:eastAsia="仿宋_GB2312" w:cs="仿宋_GB2312"/>
          <w:color w:val="auto"/>
          <w:kern w:val="2"/>
          <w:sz w:val="32"/>
          <w:szCs w:val="32"/>
          <w:highlight w:val="none"/>
          <w:lang w:val="en-US" w:eastAsia="zh-CN" w:bidi="ar-SA"/>
        </w:rPr>
        <w:t>935.02</w:t>
      </w:r>
      <w:r>
        <w:rPr>
          <w:rFonts w:hint="eastAsia" w:ascii="Times New Roman" w:hAnsi="Times New Roman" w:eastAsia="仿宋_GB2312" w:cs="仿宋_GB2312"/>
          <w:color w:val="auto"/>
          <w:kern w:val="2"/>
          <w:sz w:val="32"/>
          <w:szCs w:val="32"/>
          <w:highlight w:val="none"/>
          <w:lang w:val="en-US" w:eastAsia="zh-CN" w:bidi="ar-SA"/>
        </w:rPr>
        <w:t>万元。</w:t>
      </w:r>
    </w:p>
    <w:p w14:paraId="29B50A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 支出决算为</w:t>
      </w:r>
      <w:r>
        <w:rPr>
          <w:rFonts w:hint="eastAsia" w:eastAsia="仿宋_GB2312" w:cs="仿宋_GB2312"/>
          <w:color w:val="auto"/>
          <w:kern w:val="2"/>
          <w:sz w:val="32"/>
          <w:szCs w:val="32"/>
          <w:highlight w:val="none"/>
          <w:lang w:val="en-US" w:eastAsia="zh-CN" w:bidi="ar-SA"/>
        </w:rPr>
        <w:t>347.14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%，其中：2080101行政运行支出</w:t>
      </w:r>
      <w:r>
        <w:rPr>
          <w:rFonts w:hint="eastAsia" w:eastAsia="仿宋_GB2312" w:cs="仿宋_GB2312"/>
          <w:color w:val="auto"/>
          <w:kern w:val="2"/>
          <w:sz w:val="32"/>
          <w:szCs w:val="32"/>
          <w:highlight w:val="none"/>
          <w:lang w:val="en-US" w:eastAsia="zh-CN" w:bidi="ar-SA"/>
        </w:rPr>
        <w:t>231.33</w:t>
      </w:r>
      <w:r>
        <w:rPr>
          <w:rFonts w:hint="eastAsia" w:ascii="Times New Roman" w:hAnsi="Times New Roman" w:eastAsia="仿宋_GB2312" w:cs="仿宋_GB2312"/>
          <w:color w:val="auto"/>
          <w:kern w:val="2"/>
          <w:sz w:val="32"/>
          <w:szCs w:val="32"/>
          <w:highlight w:val="none"/>
          <w:lang w:val="en-US" w:eastAsia="zh-CN" w:bidi="ar-SA"/>
        </w:rPr>
        <w:t>万元，2080102一般行政管理事务支出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万元，2080108信息化建设支出</w:t>
      </w:r>
      <w:r>
        <w:rPr>
          <w:rFonts w:hint="eastAsia" w:eastAsia="仿宋_GB2312" w:cs="仿宋_GB2312"/>
          <w:color w:val="auto"/>
          <w:kern w:val="2"/>
          <w:sz w:val="32"/>
          <w:szCs w:val="32"/>
          <w:highlight w:val="none"/>
          <w:lang w:val="en-US" w:eastAsia="zh-CN" w:bidi="ar-SA"/>
        </w:rPr>
        <w:t>8.38</w:t>
      </w:r>
      <w:r>
        <w:rPr>
          <w:rFonts w:hint="eastAsia" w:ascii="Times New Roman" w:hAnsi="Times New Roman" w:eastAsia="仿宋_GB2312" w:cs="仿宋_GB2312"/>
          <w:color w:val="auto"/>
          <w:kern w:val="2"/>
          <w:sz w:val="32"/>
          <w:szCs w:val="32"/>
          <w:highlight w:val="none"/>
          <w:lang w:val="en-US" w:eastAsia="zh-CN" w:bidi="ar-SA"/>
        </w:rPr>
        <w:t>万元，2080109社会保险经办机构支出</w:t>
      </w:r>
      <w:r>
        <w:rPr>
          <w:rFonts w:hint="eastAsia" w:eastAsia="仿宋_GB2312" w:cs="仿宋_GB2312"/>
          <w:color w:val="auto"/>
          <w:kern w:val="2"/>
          <w:sz w:val="32"/>
          <w:szCs w:val="32"/>
          <w:highlight w:val="none"/>
          <w:lang w:val="en-US" w:eastAsia="zh-CN" w:bidi="ar-SA"/>
        </w:rPr>
        <w:t>19.73</w:t>
      </w:r>
      <w:r>
        <w:rPr>
          <w:rFonts w:hint="eastAsia" w:ascii="Times New Roman" w:hAnsi="Times New Roman" w:eastAsia="仿宋_GB2312" w:cs="仿宋_GB2312"/>
          <w:color w:val="auto"/>
          <w:kern w:val="2"/>
          <w:sz w:val="32"/>
          <w:szCs w:val="32"/>
          <w:highlight w:val="none"/>
          <w:lang w:val="en-US" w:eastAsia="zh-CN" w:bidi="ar-SA"/>
        </w:rPr>
        <w:t>万元，2080199其他人力资源和社会保障管理事务支出</w:t>
      </w:r>
      <w:r>
        <w:rPr>
          <w:rFonts w:hint="eastAsia" w:eastAsia="仿宋_GB2312" w:cs="仿宋_GB2312"/>
          <w:color w:val="auto"/>
          <w:kern w:val="2"/>
          <w:sz w:val="32"/>
          <w:szCs w:val="32"/>
          <w:highlight w:val="none"/>
          <w:lang w:val="en-US" w:eastAsia="zh-CN" w:bidi="ar-SA"/>
        </w:rPr>
        <w:t>41.52</w:t>
      </w:r>
      <w:r>
        <w:rPr>
          <w:rFonts w:hint="eastAsia" w:ascii="Times New Roman" w:hAnsi="Times New Roman" w:eastAsia="仿宋_GB2312" w:cs="仿宋_GB2312"/>
          <w:color w:val="auto"/>
          <w:kern w:val="2"/>
          <w:sz w:val="32"/>
          <w:szCs w:val="32"/>
          <w:highlight w:val="none"/>
          <w:lang w:val="en-US" w:eastAsia="zh-CN" w:bidi="ar-SA"/>
        </w:rPr>
        <w:t>万元，2080505机关事业单位基本养老保险缴费支出</w:t>
      </w:r>
      <w:r>
        <w:rPr>
          <w:rFonts w:hint="eastAsia" w:eastAsia="仿宋_GB2312" w:cs="仿宋_GB2312"/>
          <w:color w:val="auto"/>
          <w:kern w:val="2"/>
          <w:sz w:val="32"/>
          <w:szCs w:val="32"/>
          <w:highlight w:val="none"/>
          <w:lang w:val="en-US" w:eastAsia="zh-CN" w:bidi="ar-SA"/>
        </w:rPr>
        <w:t>26.12</w:t>
      </w:r>
      <w:r>
        <w:rPr>
          <w:rFonts w:hint="eastAsia" w:ascii="Times New Roman" w:hAnsi="Times New Roman" w:eastAsia="仿宋_GB2312" w:cs="仿宋_GB2312"/>
          <w:color w:val="auto"/>
          <w:kern w:val="2"/>
          <w:sz w:val="32"/>
          <w:szCs w:val="32"/>
          <w:highlight w:val="none"/>
          <w:lang w:val="en-US" w:eastAsia="zh-CN" w:bidi="ar-SA"/>
        </w:rPr>
        <w:t>万元，2080506机关事业单位职业年金缴费支出</w:t>
      </w:r>
      <w:r>
        <w:rPr>
          <w:rFonts w:hint="eastAsia" w:eastAsia="仿宋_GB2312" w:cs="仿宋_GB2312"/>
          <w:color w:val="auto"/>
          <w:kern w:val="2"/>
          <w:sz w:val="32"/>
          <w:szCs w:val="32"/>
          <w:highlight w:val="none"/>
          <w:lang w:val="en-US" w:eastAsia="zh-CN" w:bidi="ar-SA"/>
        </w:rPr>
        <w:t>18.06</w:t>
      </w:r>
      <w:r>
        <w:rPr>
          <w:rFonts w:hint="eastAsia" w:ascii="Times New Roman" w:hAnsi="Times New Roman" w:eastAsia="仿宋_GB2312" w:cs="仿宋_GB2312"/>
          <w:color w:val="auto"/>
          <w:kern w:val="2"/>
          <w:sz w:val="32"/>
          <w:szCs w:val="32"/>
          <w:highlight w:val="none"/>
          <w:lang w:val="en-US" w:eastAsia="zh-CN" w:bidi="ar-SA"/>
        </w:rPr>
        <w:t>万元。</w:t>
      </w:r>
    </w:p>
    <w:p w14:paraId="67BB07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3.卫生健康支出：支出决算为17.</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万元，完成预算100%。其中：2101101行政单位医疗支出12.</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万元，2101103公务员医疗补助支出5.</w:t>
      </w:r>
      <w:r>
        <w:rPr>
          <w:rFonts w:hint="eastAsia" w:eastAsia="仿宋_GB2312" w:cs="仿宋_GB2312"/>
          <w:color w:val="auto"/>
          <w:kern w:val="2"/>
          <w:sz w:val="32"/>
          <w:szCs w:val="32"/>
          <w:highlight w:val="none"/>
          <w:lang w:val="en-US" w:eastAsia="zh-CN" w:bidi="ar-SA"/>
        </w:rPr>
        <w:t>57</w:t>
      </w:r>
      <w:r>
        <w:rPr>
          <w:rFonts w:hint="eastAsia" w:ascii="Times New Roman" w:hAnsi="Times New Roman" w:eastAsia="仿宋_GB2312" w:cs="仿宋_GB2312"/>
          <w:color w:val="auto"/>
          <w:kern w:val="2"/>
          <w:sz w:val="32"/>
          <w:szCs w:val="32"/>
          <w:highlight w:val="none"/>
          <w:lang w:val="en-US" w:eastAsia="zh-CN" w:bidi="ar-SA"/>
        </w:rPr>
        <w:t>万元。</w:t>
      </w:r>
    </w:p>
    <w:p w14:paraId="7C4E33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4.住房保障支出：2210201住房公积金支出决算为21.</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0C550DD7">
      <w:pPr>
        <w:tabs>
          <w:tab w:val="right" w:pos="8306"/>
        </w:tabs>
        <w:spacing w:line="600" w:lineRule="exact"/>
        <w:ind w:firstLine="640"/>
        <w:outlineLvl w:val="1"/>
        <w:rPr>
          <w:rStyle w:val="29"/>
          <w:rFonts w:ascii="Times New Roman" w:hAnsi="Times New Roman"/>
          <w:color w:val="auto"/>
          <w:highlight w:val="none"/>
        </w:rPr>
      </w:pPr>
      <w:bookmarkStart w:id="37" w:name="_Toc15377214"/>
      <w:bookmarkStart w:id="38" w:name="_Toc15396608"/>
      <w:bookmarkStart w:id="39" w:name="_Toc7965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bookmarkEnd w:id="39"/>
      <w:r>
        <w:rPr>
          <w:rStyle w:val="29"/>
          <w:rFonts w:ascii="Times New Roman" w:hAnsi="Times New Roman" w:eastAsia="黑体"/>
          <w:b w:val="0"/>
          <w:color w:val="auto"/>
          <w:highlight w:val="none"/>
        </w:rPr>
        <w:tab/>
      </w:r>
    </w:p>
    <w:p w14:paraId="77C016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314.85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1C40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292.76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生活补助、奖励金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22.09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元，主要包括：办公费、电费、邮电费、差旅费、工会经费、公务用车运行维护费。</w:t>
      </w:r>
    </w:p>
    <w:p w14:paraId="6A95E3A1">
      <w:pPr>
        <w:spacing w:line="600" w:lineRule="exact"/>
        <w:ind w:firstLine="640"/>
        <w:outlineLvl w:val="1"/>
        <w:rPr>
          <w:rStyle w:val="29"/>
          <w:rFonts w:ascii="Times New Roman" w:hAnsi="Times New Roman" w:eastAsia="黑体"/>
          <w:b w:val="0"/>
          <w:color w:val="auto"/>
          <w:highlight w:val="none"/>
        </w:rPr>
      </w:pPr>
      <w:bookmarkStart w:id="40" w:name="_Toc5429_WPSOffice_Level2"/>
      <w:bookmarkStart w:id="41" w:name="_Toc15396609"/>
      <w:bookmarkStart w:id="42"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0"/>
      <w:bookmarkEnd w:id="41"/>
      <w:bookmarkEnd w:id="42"/>
    </w:p>
    <w:p w14:paraId="4B678F6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534FCD0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7.18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12.44</w:t>
      </w:r>
      <w:r>
        <w:rPr>
          <w:rFonts w:hint="eastAsia" w:ascii="Times New Roman" w:hAnsi="Times New Roman" w:eastAsia="仿宋_GB2312" w:cs="仿宋_GB2312"/>
          <w:color w:val="auto"/>
          <w:kern w:val="2"/>
          <w:sz w:val="32"/>
          <w:szCs w:val="32"/>
          <w:highlight w:val="none"/>
          <w:lang w:val="en-US" w:eastAsia="zh-CN" w:bidi="ar-SA"/>
        </w:rPr>
        <w:t>%。</w:t>
      </w:r>
    </w:p>
    <w:p w14:paraId="07CB06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715AD4B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7.18</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7C8DF5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ACE67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7.18万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12.44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节约开支。</w:t>
      </w:r>
    </w:p>
    <w:p w14:paraId="77D41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29827F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7.18</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出差及下乡</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55B427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1AA9BA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50C7C0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5" w:name="_Toc15377218"/>
      <w:bookmarkStart w:id="46" w:name="_Toc15396610"/>
    </w:p>
    <w:p w14:paraId="1F8A0AF6">
      <w:pPr>
        <w:spacing w:line="600" w:lineRule="exact"/>
        <w:ind w:firstLine="640"/>
        <w:outlineLvl w:val="1"/>
        <w:rPr>
          <w:rStyle w:val="29"/>
          <w:rFonts w:ascii="Times New Roman" w:hAnsi="Times New Roman" w:eastAsia="黑体"/>
          <w:color w:val="auto"/>
          <w:highlight w:val="none"/>
        </w:rPr>
      </w:pPr>
      <w:bookmarkStart w:id="47" w:name="_Toc30886_WPSOffice_Level2"/>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5"/>
      <w:bookmarkEnd w:id="46"/>
      <w:bookmarkEnd w:id="47"/>
    </w:p>
    <w:p w14:paraId="4A27F2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p>
    <w:p w14:paraId="41D144E1">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15396611"/>
      <w:bookmarkStart w:id="49" w:name="_Toc15377219"/>
      <w:bookmarkStart w:id="50" w:name="_Toc9174_WPSOffice_Level2"/>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bookmarkEnd w:id="50"/>
    </w:p>
    <w:p w14:paraId="528CC9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65FB350">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1" w:name="_Toc28078_WPSOffice_Level2"/>
      <w:bookmarkStart w:id="52" w:name="_Toc15377221"/>
      <w:bookmarkStart w:id="53"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1"/>
      <w:bookmarkEnd w:id="52"/>
      <w:bookmarkEnd w:id="53"/>
    </w:p>
    <w:p w14:paraId="4F74876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19F9965C">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阿坝州松潘县人力资源和社会保障局本级</w:t>
      </w:r>
      <w:r>
        <w:rPr>
          <w:rFonts w:hint="eastAsia" w:ascii="仿宋_GB2312" w:hAnsi="仿宋_GB2312" w:eastAsia="仿宋_GB2312" w:cs="仿宋_GB2312"/>
          <w:color w:val="auto"/>
          <w:kern w:val="2"/>
          <w:sz w:val="32"/>
          <w:szCs w:val="32"/>
          <w:highlight w:val="none"/>
          <w:lang w:val="en-US" w:eastAsia="zh-CN" w:bidi="ar-SA"/>
        </w:rPr>
        <w:t>机关运行经费支出22.09万元，比2023年度减少12.47万元，下降34.56%。主要原因是2023年进行了人社局会议室维修维护，2024年度无此项支出，经费支出减少。</w:t>
      </w:r>
    </w:p>
    <w:p w14:paraId="0F2A353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08A390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阿坝州松潘县人力资源和社会保障局本级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F14BF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14:paraId="7246C6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阿坝州松潘县人力资源和社会保障局本级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bookmarkStart w:id="89" w:name="_GoBack"/>
      <w:r>
        <w:rPr>
          <w:rFonts w:hint="eastAsia" w:ascii="仿宋_GB2312" w:hAnsi="仿宋_GB2312" w:eastAsia="仿宋_GB2312" w:cs="仿宋_GB2312"/>
          <w:color w:val="auto"/>
          <w:kern w:val="2"/>
          <w:sz w:val="32"/>
          <w:szCs w:val="32"/>
          <w:highlight w:val="none"/>
          <w:lang w:val="en-US" w:eastAsia="zh-CN" w:bidi="ar-SA"/>
        </w:rPr>
        <w:t>主要</w:t>
      </w:r>
      <w:bookmarkEnd w:id="89"/>
      <w:r>
        <w:rPr>
          <w:rFonts w:hint="eastAsia" w:ascii="仿宋_GB2312" w:hAnsi="仿宋_GB2312" w:eastAsia="仿宋_GB2312" w:cs="仿宋_GB2312"/>
          <w:color w:val="auto"/>
          <w:kern w:val="2"/>
          <w:sz w:val="32"/>
          <w:szCs w:val="32"/>
          <w:highlight w:val="none"/>
          <w:lang w:val="en-US" w:eastAsia="zh-CN" w:bidi="ar-SA"/>
        </w:rPr>
        <w:t>用于单位办公出差下乡。单价100万元（含）以上设备（不含车辆）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54220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18212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eastAsia="仿宋_GB2312"/>
          <w:sz w:val="32"/>
          <w:szCs w:val="32"/>
        </w:rPr>
        <w:t>组织对</w:t>
      </w:r>
      <w:r>
        <w:rPr>
          <w:rFonts w:hint="default" w:ascii="仿宋_GB2312" w:hAnsi="Times New Roman" w:eastAsia="仿宋_GB2312" w:cs="Times New Roman"/>
          <w:sz w:val="32"/>
          <w:szCs w:val="32"/>
          <w:lang w:val="en-US" w:eastAsia="zh-CN"/>
        </w:rPr>
        <w:t>社会保障和就业服务大厅工作经费，行政事业单位编外用工工资，乡镇社保网络服务平台，律师代理费，人事考务费，档案信息化管理工作经费</w:t>
      </w:r>
      <w:r>
        <w:rPr>
          <w:rFonts w:hint="eastAsia" w:ascii="仿宋_GB2312" w:eastAsia="仿宋_GB2312" w:cs="Times New Roman"/>
          <w:sz w:val="32"/>
          <w:szCs w:val="32"/>
          <w:lang w:val="en-US" w:eastAsia="zh-CN"/>
        </w:rPr>
        <w:t>等</w:t>
      </w:r>
      <w:r>
        <w:rPr>
          <w:rFonts w:hint="eastAsia" w:ascii="仿宋_GB2312" w:eastAsia="仿宋_GB2312"/>
          <w:sz w:val="32"/>
          <w:szCs w:val="32"/>
          <w:lang w:val="en-US" w:eastAsia="zh-CN"/>
        </w:rPr>
        <w:t>6</w:t>
      </w:r>
      <w:r>
        <w:rPr>
          <w:rFonts w:hint="eastAsia" w:ascii="仿宋_GB2312" w:eastAsia="仿宋_GB2312"/>
          <w:sz w:val="32"/>
          <w:szCs w:val="32"/>
        </w:rPr>
        <w:t>个项目开展了预算事前绩效评估，</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CFFD16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7" w:name="_Toc14227_WPSOffice_Level1"/>
      <w:bookmarkStart w:id="58" w:name="_Toc15396613"/>
      <w:bookmarkStart w:id="59"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bookmarkEnd w:id="59"/>
    </w:p>
    <w:p w14:paraId="2555B92C">
      <w:pPr>
        <w:spacing w:line="600" w:lineRule="exact"/>
        <w:jc w:val="left"/>
        <w:rPr>
          <w:rFonts w:ascii="Times New Roman" w:hAnsi="Times New Roman"/>
          <w:b/>
          <w:color w:val="auto"/>
          <w:sz w:val="44"/>
          <w:szCs w:val="44"/>
          <w:highlight w:val="none"/>
        </w:rPr>
      </w:pPr>
    </w:p>
    <w:p w14:paraId="1EBCBD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D16FA0B">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eastAsia="仿宋_GB2312"/>
          <w:sz w:val="32"/>
          <w:szCs w:val="32"/>
        </w:rPr>
        <w:t>教育（类）</w:t>
      </w:r>
      <w:r>
        <w:rPr>
          <w:rFonts w:hint="eastAsia" w:ascii="仿宋_GB2312" w:eastAsia="仿宋_GB2312"/>
          <w:sz w:val="32"/>
          <w:szCs w:val="32"/>
          <w:lang w:val="en-US" w:eastAsia="zh-CN"/>
        </w:rPr>
        <w:t>205</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w:t>
      </w:r>
      <w:r>
        <w:rPr>
          <w:rFonts w:hint="eastAsia" w:ascii="仿宋_GB2312" w:eastAsia="仿宋_GB2312"/>
          <w:sz w:val="32"/>
          <w:szCs w:val="32"/>
          <w:lang w:eastAsia="zh-CN"/>
        </w:rPr>
        <w:t>其他教育支出</w:t>
      </w:r>
      <w:r>
        <w:rPr>
          <w:rFonts w:hint="eastAsia" w:ascii="仿宋_GB2312" w:eastAsia="仿宋_GB2312"/>
          <w:sz w:val="32"/>
          <w:szCs w:val="32"/>
        </w:rPr>
        <w:t>。</w:t>
      </w:r>
    </w:p>
    <w:p w14:paraId="02E3EDFD">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sz w:val="32"/>
          <w:szCs w:val="32"/>
        </w:rPr>
        <w:t>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行政运行，</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02一般行政管理事务支出，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08信息化建设支出，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09社会保险经办机构支出，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99其他人力资源和社会保障管理事务支出，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05机关事业单位基本养老保险缴费支出，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06机关事业单位职业年金缴费支出</w:t>
      </w:r>
      <w:r>
        <w:rPr>
          <w:rStyle w:val="17"/>
          <w:rFonts w:hint="eastAsia" w:ascii="仿宋" w:hAnsi="仿宋" w:eastAsia="仿宋"/>
          <w:b w:val="0"/>
          <w:bCs/>
          <w:sz w:val="32"/>
          <w:szCs w:val="32"/>
        </w:rPr>
        <w:t>。</w:t>
      </w:r>
    </w:p>
    <w:p w14:paraId="6E42F81F">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行政单位医疗，</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03指公务员医疗补助。</w:t>
      </w:r>
    </w:p>
    <w:p w14:paraId="1F64E806">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eastAsia="仿宋_GB2312"/>
          <w:sz w:val="32"/>
          <w:szCs w:val="32"/>
        </w:rPr>
        <w:t>住房保障（类）</w:t>
      </w:r>
      <w:r>
        <w:rPr>
          <w:rFonts w:hint="eastAsia" w:ascii="仿宋_GB2312" w:eastAsia="仿宋_GB2312"/>
          <w:sz w:val="32"/>
          <w:szCs w:val="32"/>
          <w:lang w:val="en-US" w:eastAsia="zh-CN"/>
        </w:rPr>
        <w:t>221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住房公积金</w:t>
      </w:r>
      <w:r>
        <w:rPr>
          <w:rFonts w:hint="eastAsia" w:ascii="仿宋_GB2312" w:eastAsia="仿宋_GB2312"/>
          <w:sz w:val="32"/>
          <w:szCs w:val="32"/>
        </w:rPr>
        <w:t>。</w:t>
      </w:r>
    </w:p>
    <w:p w14:paraId="584CAB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6.基本支出：指为保障机构正常运转、完成日常工作任务而发生的人员支出和公用支出。</w:t>
      </w:r>
    </w:p>
    <w:p w14:paraId="369E4A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8503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42DB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4090D3">
      <w:pPr>
        <w:widowControl/>
        <w:jc w:val="center"/>
        <w:rPr>
          <w:rFonts w:hint="eastAsia" w:ascii="Times New Roman" w:hAnsi="Times New Roman" w:eastAsia="仿宋"/>
          <w:b w:val="0"/>
          <w:color w:val="auto"/>
          <w:highlight w:val="none"/>
        </w:rPr>
      </w:pPr>
      <w:bookmarkStart w:id="60" w:name="_Toc15396618"/>
      <w:bookmarkStart w:id="61" w:name="_Toc15377226"/>
      <w:bookmarkStart w:id="62" w:name="_Toc20657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highlight w:val="none"/>
        </w:rPr>
        <w:t>部分 附表</w:t>
      </w:r>
      <w:bookmarkEnd w:id="60"/>
      <w:bookmarkEnd w:id="61"/>
      <w:bookmarkEnd w:id="62"/>
      <w:bookmarkStart w:id="63" w:name="_Toc15396619"/>
    </w:p>
    <w:p w14:paraId="6BD2B9D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EA999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2586_WPSOffice_Level2"/>
      <w:r>
        <w:rPr>
          <w:rFonts w:hint="eastAsia" w:ascii="Times New Roman" w:hAnsi="Times New Roman" w:eastAsia="仿宋_GB2312" w:cs="仿宋_GB2312"/>
          <w:color w:val="auto"/>
          <w:sz w:val="32"/>
          <w:szCs w:val="32"/>
          <w:highlight w:val="none"/>
        </w:rPr>
        <w:t>一、收入支出决算总表</w:t>
      </w:r>
      <w:bookmarkEnd w:id="63"/>
      <w:bookmarkEnd w:id="64"/>
    </w:p>
    <w:p w14:paraId="5E78147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0"/>
      <w:bookmarkStart w:id="66" w:name="_Toc29292_WPSOffice_Level2"/>
      <w:r>
        <w:rPr>
          <w:rFonts w:hint="eastAsia" w:ascii="Times New Roman" w:hAnsi="Times New Roman" w:eastAsia="仿宋_GB2312" w:cs="仿宋_GB2312"/>
          <w:color w:val="auto"/>
          <w:sz w:val="32"/>
          <w:szCs w:val="32"/>
          <w:highlight w:val="none"/>
        </w:rPr>
        <w:t>二、收入决算表</w:t>
      </w:r>
      <w:bookmarkEnd w:id="65"/>
      <w:bookmarkEnd w:id="66"/>
    </w:p>
    <w:p w14:paraId="5BCFAD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1"/>
      <w:bookmarkStart w:id="68" w:name="_Toc15978_WPSOffice_Level2"/>
      <w:r>
        <w:rPr>
          <w:rFonts w:hint="eastAsia" w:ascii="Times New Roman" w:hAnsi="Times New Roman" w:eastAsia="仿宋_GB2312" w:cs="仿宋_GB2312"/>
          <w:color w:val="auto"/>
          <w:sz w:val="32"/>
          <w:szCs w:val="32"/>
          <w:highlight w:val="none"/>
        </w:rPr>
        <w:t>三、支出决算表</w:t>
      </w:r>
      <w:bookmarkEnd w:id="67"/>
      <w:bookmarkEnd w:id="68"/>
    </w:p>
    <w:p w14:paraId="45AFE1E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2"/>
      <w:bookmarkStart w:id="70" w:name="_Toc21121_WPSOffice_Level2"/>
      <w:r>
        <w:rPr>
          <w:rFonts w:hint="eastAsia" w:ascii="Times New Roman" w:hAnsi="Times New Roman" w:eastAsia="仿宋_GB2312" w:cs="仿宋_GB2312"/>
          <w:color w:val="auto"/>
          <w:sz w:val="32"/>
          <w:szCs w:val="32"/>
          <w:highlight w:val="none"/>
        </w:rPr>
        <w:t>四、财政拨款收入支出决算总表</w:t>
      </w:r>
      <w:bookmarkEnd w:id="69"/>
      <w:bookmarkEnd w:id="70"/>
    </w:p>
    <w:p w14:paraId="39151C0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22840_WPSOffice_Level2"/>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1"/>
      <w:bookmarkEnd w:id="72"/>
      <w:bookmarkStart w:id="73" w:name="_Toc15396624"/>
    </w:p>
    <w:p w14:paraId="171069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4990_WPSOffice_Level2"/>
      <w:r>
        <w:rPr>
          <w:rFonts w:hint="eastAsia" w:ascii="Times New Roman" w:hAnsi="Times New Roman" w:eastAsia="仿宋_GB2312" w:cs="仿宋_GB2312"/>
          <w:color w:val="auto"/>
          <w:sz w:val="32"/>
          <w:szCs w:val="32"/>
          <w:highlight w:val="none"/>
        </w:rPr>
        <w:t>六、一般公共预算财政拨款支出决算表</w:t>
      </w:r>
      <w:bookmarkEnd w:id="73"/>
      <w:bookmarkEnd w:id="74"/>
    </w:p>
    <w:p w14:paraId="4884BBA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055_WPSOffice_Level2"/>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5"/>
      <w:bookmarkEnd w:id="76"/>
    </w:p>
    <w:p w14:paraId="70F30E8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bookmarkStart w:id="78" w:name="_Toc32562_WPSOffice_Level2"/>
      <w:r>
        <w:rPr>
          <w:rFonts w:hint="eastAsia" w:ascii="Times New Roman" w:hAnsi="Times New Roman" w:eastAsia="仿宋_GB2312" w:cs="仿宋_GB2312"/>
          <w:color w:val="auto"/>
          <w:sz w:val="32"/>
          <w:szCs w:val="32"/>
          <w:highlight w:val="none"/>
        </w:rPr>
        <w:t>八、一般公共预算财政拨款基本支出决算表</w:t>
      </w:r>
      <w:bookmarkEnd w:id="77"/>
      <w:bookmarkEnd w:id="78"/>
    </w:p>
    <w:p w14:paraId="793B6B0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3274_WPSOffice_Level2"/>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79"/>
      <w:bookmarkEnd w:id="80"/>
    </w:p>
    <w:p w14:paraId="31DF59D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bookmarkStart w:id="82" w:name="_Toc5421_WPSOffice_Level2"/>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bookmarkEnd w:id="82"/>
    </w:p>
    <w:p w14:paraId="0783F1F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9"/>
      <w:bookmarkStart w:id="84" w:name="_Toc25651_WPSOffice_Level2"/>
      <w:r>
        <w:rPr>
          <w:rFonts w:hint="eastAsia" w:ascii="Times New Roman" w:hAnsi="Times New Roman" w:eastAsia="仿宋_GB2312" w:cs="仿宋_GB2312"/>
          <w:color w:val="auto"/>
          <w:sz w:val="32"/>
          <w:szCs w:val="32"/>
          <w:highlight w:val="none"/>
        </w:rPr>
        <w:t>十一、</w:t>
      </w:r>
      <w:bookmarkEnd w:id="8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4"/>
    </w:p>
    <w:p w14:paraId="47BD55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30"/>
      <w:bookmarkStart w:id="86" w:name="_Toc2950_WPSOffice_Level2"/>
      <w:r>
        <w:rPr>
          <w:rFonts w:hint="eastAsia" w:ascii="Times New Roman" w:hAnsi="Times New Roman" w:eastAsia="仿宋_GB2312" w:cs="仿宋_GB2312"/>
          <w:color w:val="auto"/>
          <w:sz w:val="32"/>
          <w:szCs w:val="32"/>
          <w:highlight w:val="none"/>
        </w:rPr>
        <w:t>十二、</w:t>
      </w:r>
      <w:bookmarkEnd w:id="85"/>
      <w:r>
        <w:rPr>
          <w:rFonts w:hint="eastAsia" w:ascii="Times New Roman" w:hAnsi="Times New Roman" w:eastAsia="仿宋_GB2312" w:cs="仿宋_GB2312"/>
          <w:color w:val="auto"/>
          <w:sz w:val="32"/>
          <w:szCs w:val="32"/>
          <w:highlight w:val="none"/>
          <w:lang w:eastAsia="zh-CN"/>
        </w:rPr>
        <w:t>国有资本经营预算财政拨款支出决算表</w:t>
      </w:r>
      <w:bookmarkEnd w:id="86"/>
    </w:p>
    <w:p w14:paraId="7C9B3B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7" w:name="_Toc15396631"/>
      <w:bookmarkStart w:id="88" w:name="_Toc12687_WPSOffice_Level2"/>
      <w:r>
        <w:rPr>
          <w:rFonts w:hint="eastAsia" w:ascii="Times New Roman" w:hAnsi="Times New Roman" w:eastAsia="仿宋_GB2312" w:cs="仿宋_GB2312"/>
          <w:color w:val="auto"/>
          <w:sz w:val="32"/>
          <w:szCs w:val="32"/>
          <w:highlight w:val="none"/>
        </w:rPr>
        <w:t>十三、</w:t>
      </w:r>
      <w:bookmarkEnd w:id="87"/>
      <w:r>
        <w:rPr>
          <w:rFonts w:hint="eastAsia" w:ascii="Times New Roman" w:hAnsi="Times New Roman" w:eastAsia="仿宋_GB2312" w:cs="仿宋_GB2312"/>
          <w:color w:val="auto"/>
          <w:sz w:val="32"/>
          <w:szCs w:val="32"/>
          <w:highlight w:val="none"/>
          <w:lang w:eastAsia="zh-CN"/>
        </w:rPr>
        <w:t>财政拨款“三公”经费支出决算表</w:t>
      </w:r>
      <w:bookmarkEnd w:id="88"/>
    </w:p>
    <w:p w14:paraId="219FE0B9">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F690EC-3704-4AFE-9D22-7542062254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507E17-5A21-450E-8FC5-12848102BAC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B372D59-1E86-4BAA-9050-AC20FFC4D377}"/>
  </w:font>
  <w:font w:name="仿宋">
    <w:panose1 w:val="02010609060101010101"/>
    <w:charset w:val="86"/>
    <w:family w:val="modern"/>
    <w:pitch w:val="default"/>
    <w:sig w:usb0="800002BF" w:usb1="38CF7CFA" w:usb2="00000016" w:usb3="00000000" w:csb0="00040001" w:csb1="00000000"/>
    <w:embedRegular r:id="rId4" w:fontKey="{87C5D01B-075B-4FBB-B8C5-F8CC8DCC52A1}"/>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5" w:fontKey="{30592F15-55D4-47CB-AEA6-1B68FC24B5FF}"/>
  </w:font>
  <w:font w:name="楷体_GB2312">
    <w:panose1 w:val="02010609030101010101"/>
    <w:charset w:val="86"/>
    <w:family w:val="auto"/>
    <w:pitch w:val="default"/>
    <w:sig w:usb0="00000001" w:usb1="080E0000" w:usb2="00000000" w:usb3="00000000" w:csb0="00040000" w:csb1="00000000"/>
    <w:embedRegular r:id="rId6" w:fontKey="{8D2D6559-8513-4414-904E-9C06B46C0B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2A6C">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98E1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298E1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0CF78A3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77D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24D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4624D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731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DCE76"/>
    <w:multiLevelType w:val="singleLevel"/>
    <w:tmpl w:val="A34DCE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4434"/>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57C58"/>
    <w:rsid w:val="02FEBE30"/>
    <w:rsid w:val="03CD6DA2"/>
    <w:rsid w:val="04916F1E"/>
    <w:rsid w:val="051A63E9"/>
    <w:rsid w:val="05D113E4"/>
    <w:rsid w:val="061E35DE"/>
    <w:rsid w:val="06510065"/>
    <w:rsid w:val="066E0107"/>
    <w:rsid w:val="07996F6E"/>
    <w:rsid w:val="07DFD8BA"/>
    <w:rsid w:val="09867E8F"/>
    <w:rsid w:val="0A2032A3"/>
    <w:rsid w:val="0BBD654C"/>
    <w:rsid w:val="0C6C2B07"/>
    <w:rsid w:val="0CA8290A"/>
    <w:rsid w:val="0D35B1ED"/>
    <w:rsid w:val="0E254B6B"/>
    <w:rsid w:val="0EC251EF"/>
    <w:rsid w:val="0F98263C"/>
    <w:rsid w:val="0FF70C14"/>
    <w:rsid w:val="101860EC"/>
    <w:rsid w:val="101F47CC"/>
    <w:rsid w:val="10C055FF"/>
    <w:rsid w:val="10C57FD8"/>
    <w:rsid w:val="11694EBD"/>
    <w:rsid w:val="11772AA4"/>
    <w:rsid w:val="118107EC"/>
    <w:rsid w:val="12154678"/>
    <w:rsid w:val="12E24EE2"/>
    <w:rsid w:val="13111C18"/>
    <w:rsid w:val="13D50BC4"/>
    <w:rsid w:val="1416387F"/>
    <w:rsid w:val="14B17F78"/>
    <w:rsid w:val="165E0673"/>
    <w:rsid w:val="16B831D5"/>
    <w:rsid w:val="16BB723D"/>
    <w:rsid w:val="17A1197A"/>
    <w:rsid w:val="17E50567"/>
    <w:rsid w:val="186504BB"/>
    <w:rsid w:val="19A445FC"/>
    <w:rsid w:val="1BE8440E"/>
    <w:rsid w:val="1C746D66"/>
    <w:rsid w:val="1CAB1C45"/>
    <w:rsid w:val="1D155CEE"/>
    <w:rsid w:val="1D1638FE"/>
    <w:rsid w:val="1E312DEB"/>
    <w:rsid w:val="1E740ACF"/>
    <w:rsid w:val="1FE00F84"/>
    <w:rsid w:val="1FF35744"/>
    <w:rsid w:val="1FF6BC77"/>
    <w:rsid w:val="2186353C"/>
    <w:rsid w:val="23860B96"/>
    <w:rsid w:val="240371BF"/>
    <w:rsid w:val="244F3473"/>
    <w:rsid w:val="24C97D99"/>
    <w:rsid w:val="25383810"/>
    <w:rsid w:val="25A718F0"/>
    <w:rsid w:val="25BB59F6"/>
    <w:rsid w:val="260F557C"/>
    <w:rsid w:val="26304557"/>
    <w:rsid w:val="2685535F"/>
    <w:rsid w:val="26970054"/>
    <w:rsid w:val="26AC3DE3"/>
    <w:rsid w:val="26AE4C0D"/>
    <w:rsid w:val="281408E2"/>
    <w:rsid w:val="28C93353"/>
    <w:rsid w:val="29E15C3F"/>
    <w:rsid w:val="29FD04D3"/>
    <w:rsid w:val="2B9B5A9A"/>
    <w:rsid w:val="2BFF7BC6"/>
    <w:rsid w:val="2C8A61B5"/>
    <w:rsid w:val="2D380017"/>
    <w:rsid w:val="2DE3194E"/>
    <w:rsid w:val="2DF04E50"/>
    <w:rsid w:val="2E586DFA"/>
    <w:rsid w:val="2F040D46"/>
    <w:rsid w:val="2F0F7ECA"/>
    <w:rsid w:val="2F6B035B"/>
    <w:rsid w:val="2FAE5751"/>
    <w:rsid w:val="2FB1A395"/>
    <w:rsid w:val="2FD9A7D8"/>
    <w:rsid w:val="2FDBF714"/>
    <w:rsid w:val="30AB6865"/>
    <w:rsid w:val="3145057B"/>
    <w:rsid w:val="319307AA"/>
    <w:rsid w:val="319F7F4E"/>
    <w:rsid w:val="32BD1EF1"/>
    <w:rsid w:val="3304709D"/>
    <w:rsid w:val="33A773CB"/>
    <w:rsid w:val="349D6851"/>
    <w:rsid w:val="35311B07"/>
    <w:rsid w:val="36AA5135"/>
    <w:rsid w:val="36BE0DA7"/>
    <w:rsid w:val="376B6AA6"/>
    <w:rsid w:val="376D39B2"/>
    <w:rsid w:val="37E16F03"/>
    <w:rsid w:val="37F53A3B"/>
    <w:rsid w:val="389B6C89"/>
    <w:rsid w:val="38B26075"/>
    <w:rsid w:val="38D469F0"/>
    <w:rsid w:val="39363293"/>
    <w:rsid w:val="39627CCD"/>
    <w:rsid w:val="397BAF1F"/>
    <w:rsid w:val="3AB79AF3"/>
    <w:rsid w:val="3AE834C0"/>
    <w:rsid w:val="3B7EF35A"/>
    <w:rsid w:val="3B9FDB6C"/>
    <w:rsid w:val="3BF5BC2F"/>
    <w:rsid w:val="3CEBA265"/>
    <w:rsid w:val="3D98207C"/>
    <w:rsid w:val="3DB41227"/>
    <w:rsid w:val="3DEE7CF3"/>
    <w:rsid w:val="3DFE3415"/>
    <w:rsid w:val="3E740A63"/>
    <w:rsid w:val="3E78745D"/>
    <w:rsid w:val="3EE17838"/>
    <w:rsid w:val="3F55381A"/>
    <w:rsid w:val="3F7F7599"/>
    <w:rsid w:val="3FB2163C"/>
    <w:rsid w:val="3FF4CAE0"/>
    <w:rsid w:val="3FF7B227"/>
    <w:rsid w:val="40605F4E"/>
    <w:rsid w:val="41A30641"/>
    <w:rsid w:val="41B73F0C"/>
    <w:rsid w:val="438879E6"/>
    <w:rsid w:val="44E268DA"/>
    <w:rsid w:val="450D13D7"/>
    <w:rsid w:val="45506656"/>
    <w:rsid w:val="45CF63F4"/>
    <w:rsid w:val="47763E56"/>
    <w:rsid w:val="48334397"/>
    <w:rsid w:val="486A6C7A"/>
    <w:rsid w:val="487E7580"/>
    <w:rsid w:val="4A413CEB"/>
    <w:rsid w:val="4A627F82"/>
    <w:rsid w:val="4B0E749A"/>
    <w:rsid w:val="4B2477C4"/>
    <w:rsid w:val="4B4F25DA"/>
    <w:rsid w:val="4B9A058D"/>
    <w:rsid w:val="4BE068DB"/>
    <w:rsid w:val="4D577224"/>
    <w:rsid w:val="4DBF1CEB"/>
    <w:rsid w:val="4DF0007C"/>
    <w:rsid w:val="4E201BB8"/>
    <w:rsid w:val="4E33226F"/>
    <w:rsid w:val="4EAB630A"/>
    <w:rsid w:val="4ECE2238"/>
    <w:rsid w:val="4F833267"/>
    <w:rsid w:val="4FE9BD67"/>
    <w:rsid w:val="4FFB052F"/>
    <w:rsid w:val="537E6D0A"/>
    <w:rsid w:val="53F74C96"/>
    <w:rsid w:val="55170BA8"/>
    <w:rsid w:val="553218C9"/>
    <w:rsid w:val="563E0603"/>
    <w:rsid w:val="567E1AA5"/>
    <w:rsid w:val="56DC307B"/>
    <w:rsid w:val="56E47B74"/>
    <w:rsid w:val="57175D52"/>
    <w:rsid w:val="57AF48B9"/>
    <w:rsid w:val="57BD3DD4"/>
    <w:rsid w:val="58251931"/>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5F3E66"/>
    <w:rsid w:val="6298444B"/>
    <w:rsid w:val="62BF3928"/>
    <w:rsid w:val="631F378B"/>
    <w:rsid w:val="63B3701E"/>
    <w:rsid w:val="647F5392"/>
    <w:rsid w:val="65E66580"/>
    <w:rsid w:val="664B1D71"/>
    <w:rsid w:val="664B4E8E"/>
    <w:rsid w:val="66570AA4"/>
    <w:rsid w:val="67277B67"/>
    <w:rsid w:val="675903DF"/>
    <w:rsid w:val="67AA3209"/>
    <w:rsid w:val="698D0931"/>
    <w:rsid w:val="6A7FE5F3"/>
    <w:rsid w:val="6B053271"/>
    <w:rsid w:val="6BDD78B3"/>
    <w:rsid w:val="6C4A05C8"/>
    <w:rsid w:val="6C8742B8"/>
    <w:rsid w:val="6DBF5E93"/>
    <w:rsid w:val="6DFF077E"/>
    <w:rsid w:val="6E714EF0"/>
    <w:rsid w:val="6E751A9E"/>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760E32"/>
    <w:rsid w:val="727767A8"/>
    <w:rsid w:val="73160E6D"/>
    <w:rsid w:val="7332FE48"/>
    <w:rsid w:val="73693012"/>
    <w:rsid w:val="73986B83"/>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6050F"/>
    <w:rsid w:val="78140557"/>
    <w:rsid w:val="783E271A"/>
    <w:rsid w:val="78616DE9"/>
    <w:rsid w:val="78E875D7"/>
    <w:rsid w:val="79086DAD"/>
    <w:rsid w:val="79D7FD79"/>
    <w:rsid w:val="79EE5BA4"/>
    <w:rsid w:val="7A894339"/>
    <w:rsid w:val="7AD284E8"/>
    <w:rsid w:val="7AFF7572"/>
    <w:rsid w:val="7B6C7DFB"/>
    <w:rsid w:val="7BBFBED0"/>
    <w:rsid w:val="7BC3E394"/>
    <w:rsid w:val="7C1F3737"/>
    <w:rsid w:val="7C70466F"/>
    <w:rsid w:val="7CBFC87B"/>
    <w:rsid w:val="7CFE0F48"/>
    <w:rsid w:val="7D272ABC"/>
    <w:rsid w:val="7D7EC23E"/>
    <w:rsid w:val="7E8ADEBF"/>
    <w:rsid w:val="7EE91D1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b6fd89-4b51-4ce3-8fea-fed17eaff814}"/>
        <w:style w:val=""/>
        <w:category>
          <w:name w:val="常规"/>
          <w:gallery w:val="placeholder"/>
        </w:category>
        <w:types>
          <w:type w:val="bbPlcHdr"/>
        </w:types>
        <w:behaviors>
          <w:behavior w:val="content"/>
        </w:behaviors>
        <w:description w:val=""/>
        <w:guid w:val="{68b6fd89-4b51-4ce3-8fea-fed17eaff814}"/>
      </w:docPartPr>
      <w:docPartBody>
        <w:p w14:paraId="602D96EC">
          <w:r>
            <w:rPr>
              <w:color w:val="808080"/>
            </w:rPr>
            <w:t>单击此处输入文字。</w:t>
          </w:r>
        </w:p>
      </w:docPartBody>
    </w:docPart>
    <w:docPart>
      <w:docPartPr>
        <w:name w:val="{141309fb-10fc-47b3-a4ea-76bf020d4326}"/>
        <w:style w:val=""/>
        <w:category>
          <w:name w:val="常规"/>
          <w:gallery w:val="placeholder"/>
        </w:category>
        <w:types>
          <w:type w:val="bbPlcHdr"/>
        </w:types>
        <w:behaviors>
          <w:behavior w:val="content"/>
        </w:behaviors>
        <w:description w:val=""/>
        <w:guid w:val="{141309fb-10fc-47b3-a4ea-76bf020d4326}"/>
      </w:docPartPr>
      <w:docPartBody>
        <w:p w14:paraId="01CB777A">
          <w:r>
            <w:rPr>
              <w:color w:val="808080"/>
            </w:rPr>
            <w:t>单击此处输入文字。</w:t>
          </w:r>
        </w:p>
      </w:docPartBody>
    </w:docPart>
    <w:docPart>
      <w:docPartPr>
        <w:name w:val="{f03d1696-7475-4e98-8ff1-ca0ce8d0cee0}"/>
        <w:style w:val=""/>
        <w:category>
          <w:name w:val="常规"/>
          <w:gallery w:val="placeholder"/>
        </w:category>
        <w:types>
          <w:type w:val="bbPlcHdr"/>
        </w:types>
        <w:behaviors>
          <w:behavior w:val="content"/>
        </w:behaviors>
        <w:description w:val=""/>
        <w:guid w:val="{f03d1696-7475-4e98-8ff1-ca0ce8d0cee0}"/>
      </w:docPartPr>
      <w:docPartBody>
        <w:p w14:paraId="56A00ED9">
          <w:r>
            <w:rPr>
              <w:color w:val="808080"/>
            </w:rPr>
            <w:t>单击此处输入文字。</w:t>
          </w:r>
        </w:p>
      </w:docPartBody>
    </w:docPart>
    <w:docPart>
      <w:docPartPr>
        <w:name w:val="{c0f5f865-82f5-4942-988a-62c4695924a7}"/>
        <w:style w:val=""/>
        <w:category>
          <w:name w:val="常规"/>
          <w:gallery w:val="placeholder"/>
        </w:category>
        <w:types>
          <w:type w:val="bbPlcHdr"/>
        </w:types>
        <w:behaviors>
          <w:behavior w:val="content"/>
        </w:behaviors>
        <w:description w:val=""/>
        <w:guid w:val="{c0f5f865-82f5-4942-988a-62c4695924a7}"/>
      </w:docPartPr>
      <w:docPartBody>
        <w:p w14:paraId="15D2AF44">
          <w:r>
            <w:rPr>
              <w:color w:val="808080"/>
            </w:rPr>
            <w:t>单击此处输入文字。</w:t>
          </w:r>
        </w:p>
      </w:docPartBody>
    </w:docPart>
    <w:docPart>
      <w:docPartPr>
        <w:name w:val="{3a1ce3c2-6dda-48a6-ba85-b20ee2e8382d}"/>
        <w:style w:val=""/>
        <w:category>
          <w:name w:val="常规"/>
          <w:gallery w:val="placeholder"/>
        </w:category>
        <w:types>
          <w:type w:val="bbPlcHdr"/>
        </w:types>
        <w:behaviors>
          <w:behavior w:val="content"/>
        </w:behaviors>
        <w:description w:val=""/>
        <w:guid w:val="{3a1ce3c2-6dda-48a6-ba85-b20ee2e8382d}"/>
      </w:docPartPr>
      <w:docPartBody>
        <w:p w14:paraId="51D1B0BC">
          <w:r>
            <w:rPr>
              <w:color w:val="808080"/>
            </w:rPr>
            <w:t>单击此处输入文字。</w:t>
          </w:r>
        </w:p>
      </w:docPartBody>
    </w:docPart>
    <w:docPart>
      <w:docPartPr>
        <w:name w:val="{df355f67-313a-4c09-8d4b-02c813a366db}"/>
        <w:style w:val=""/>
        <w:category>
          <w:name w:val="常规"/>
          <w:gallery w:val="placeholder"/>
        </w:category>
        <w:types>
          <w:type w:val="bbPlcHdr"/>
        </w:types>
        <w:behaviors>
          <w:behavior w:val="content"/>
        </w:behaviors>
        <w:description w:val=""/>
        <w:guid w:val="{df355f67-313a-4c09-8d4b-02c813a366db}"/>
      </w:docPartPr>
      <w:docPartBody>
        <w:p w14:paraId="4E1432F1">
          <w:r>
            <w:rPr>
              <w:color w:val="808080"/>
            </w:rPr>
            <w:t>单击此处输入文字。</w:t>
          </w:r>
        </w:p>
      </w:docPartBody>
    </w:docPart>
    <w:docPart>
      <w:docPartPr>
        <w:name w:val="{8d5146a0-3e0e-4405-99c1-e7a17d211386}"/>
        <w:style w:val=""/>
        <w:category>
          <w:name w:val="常规"/>
          <w:gallery w:val="placeholder"/>
        </w:category>
        <w:types>
          <w:type w:val="bbPlcHdr"/>
        </w:types>
        <w:behaviors>
          <w:behavior w:val="content"/>
        </w:behaviors>
        <w:description w:val=""/>
        <w:guid w:val="{8d5146a0-3e0e-4405-99c1-e7a17d211386}"/>
      </w:docPartPr>
      <w:docPartBody>
        <w:p w14:paraId="4E885A91">
          <w:r>
            <w:rPr>
              <w:color w:val="808080"/>
            </w:rPr>
            <w:t>单击此处输入文字。</w:t>
          </w:r>
        </w:p>
      </w:docPartBody>
    </w:docPart>
    <w:docPart>
      <w:docPartPr>
        <w:name w:val="{3cd8c0c3-610e-4dc3-9bfe-6b663295f21a}"/>
        <w:style w:val=""/>
        <w:category>
          <w:name w:val="常规"/>
          <w:gallery w:val="placeholder"/>
        </w:category>
        <w:types>
          <w:type w:val="bbPlcHdr"/>
        </w:types>
        <w:behaviors>
          <w:behavior w:val="content"/>
        </w:behaviors>
        <w:description w:val=""/>
        <w:guid w:val="{3cd8c0c3-610e-4dc3-9bfe-6b663295f21a}"/>
      </w:docPartPr>
      <w:docPartBody>
        <w:p w14:paraId="41E4695E">
          <w:r>
            <w:rPr>
              <w:color w:val="808080"/>
            </w:rPr>
            <w:t>单击此处输入文字。</w:t>
          </w:r>
        </w:p>
      </w:docPartBody>
    </w:docPart>
    <w:docPart>
      <w:docPartPr>
        <w:name w:val="{397ef5f4-f584-4a4d-a28d-5803faa9746e}"/>
        <w:style w:val=""/>
        <w:category>
          <w:name w:val="常规"/>
          <w:gallery w:val="placeholder"/>
        </w:category>
        <w:types>
          <w:type w:val="bbPlcHdr"/>
        </w:types>
        <w:behaviors>
          <w:behavior w:val="content"/>
        </w:behaviors>
        <w:description w:val=""/>
        <w:guid w:val="{397ef5f4-f584-4a4d-a28d-5803faa9746e}"/>
      </w:docPartPr>
      <w:docPartBody>
        <w:p w14:paraId="1A235C24">
          <w:r>
            <w:rPr>
              <w:color w:val="808080"/>
            </w:rPr>
            <w:t>单击此处输入文字。</w:t>
          </w:r>
        </w:p>
      </w:docPartBody>
    </w:docPart>
    <w:docPart>
      <w:docPartPr>
        <w:name w:val="{8f9e69d4-95c7-4adf-96a4-1fe9a0c4fc1f}"/>
        <w:style w:val=""/>
        <w:category>
          <w:name w:val="常规"/>
          <w:gallery w:val="placeholder"/>
        </w:category>
        <w:types>
          <w:type w:val="bbPlcHdr"/>
        </w:types>
        <w:behaviors>
          <w:behavior w:val="content"/>
        </w:behaviors>
        <w:description w:val=""/>
        <w:guid w:val="{8f9e69d4-95c7-4adf-96a4-1fe9a0c4fc1f}"/>
      </w:docPartPr>
      <w:docPartBody>
        <w:p w14:paraId="2E3E0541">
          <w:r>
            <w:rPr>
              <w:color w:val="808080"/>
            </w:rPr>
            <w:t>单击此处输入文字。</w:t>
          </w:r>
        </w:p>
      </w:docPartBody>
    </w:docPart>
    <w:docPart>
      <w:docPartPr>
        <w:name w:val="{7385d782-6233-49c8-89e8-5c986d65ba0d}"/>
        <w:style w:val=""/>
        <w:category>
          <w:name w:val="常规"/>
          <w:gallery w:val="placeholder"/>
        </w:category>
        <w:types>
          <w:type w:val="bbPlcHdr"/>
        </w:types>
        <w:behaviors>
          <w:behavior w:val="content"/>
        </w:behaviors>
        <w:description w:val=""/>
        <w:guid w:val="{7385d782-6233-49c8-89e8-5c986d65ba0d}"/>
      </w:docPartPr>
      <w:docPartBody>
        <w:p w14:paraId="51F584EA">
          <w:r>
            <w:rPr>
              <w:color w:val="808080"/>
            </w:rPr>
            <w:t>单击此处输入文字。</w:t>
          </w:r>
        </w:p>
      </w:docPartBody>
    </w:docPart>
    <w:docPart>
      <w:docPartPr>
        <w:name w:val="{6f1ac6b6-c1b3-48eb-ada1-334f48716980}"/>
        <w:style w:val=""/>
        <w:category>
          <w:name w:val="常规"/>
          <w:gallery w:val="placeholder"/>
        </w:category>
        <w:types>
          <w:type w:val="bbPlcHdr"/>
        </w:types>
        <w:behaviors>
          <w:behavior w:val="content"/>
        </w:behaviors>
        <w:description w:val=""/>
        <w:guid w:val="{6f1ac6b6-c1b3-48eb-ada1-334f48716980}"/>
      </w:docPartPr>
      <w:docPartBody>
        <w:p w14:paraId="53747EE9">
          <w:r>
            <w:rPr>
              <w:color w:val="808080"/>
            </w:rPr>
            <w:t>单击此处输入文字。</w:t>
          </w:r>
        </w:p>
      </w:docPartBody>
    </w:docPart>
    <w:docPart>
      <w:docPartPr>
        <w:name w:val="{1d9149a1-f364-416b-9afe-6cb21550e3e0}"/>
        <w:style w:val=""/>
        <w:category>
          <w:name w:val="常规"/>
          <w:gallery w:val="placeholder"/>
        </w:category>
        <w:types>
          <w:type w:val="bbPlcHdr"/>
        </w:types>
        <w:behaviors>
          <w:behavior w:val="content"/>
        </w:behaviors>
        <w:description w:val=""/>
        <w:guid w:val="{1d9149a1-f364-416b-9afe-6cb21550e3e0}"/>
      </w:docPartPr>
      <w:docPartBody>
        <w:p w14:paraId="4AEAC2A0">
          <w:r>
            <w:rPr>
              <w:color w:val="808080"/>
            </w:rPr>
            <w:t>单击此处输入文字。</w:t>
          </w:r>
        </w:p>
      </w:docPartBody>
    </w:docPart>
    <w:docPart>
      <w:docPartPr>
        <w:name w:val="{6c3964db-ba39-457f-a738-7f776f5749ce}"/>
        <w:style w:val=""/>
        <w:category>
          <w:name w:val="常规"/>
          <w:gallery w:val="placeholder"/>
        </w:category>
        <w:types>
          <w:type w:val="bbPlcHdr"/>
        </w:types>
        <w:behaviors>
          <w:behavior w:val="content"/>
        </w:behaviors>
        <w:description w:val=""/>
        <w:guid w:val="{6c3964db-ba39-457f-a738-7f776f5749ce}"/>
      </w:docPartPr>
      <w:docPartBody>
        <w:p w14:paraId="773D6CE1">
          <w:r>
            <w:rPr>
              <w:color w:val="808080"/>
            </w:rPr>
            <w:t>单击此处输入文字。</w:t>
          </w:r>
        </w:p>
      </w:docPartBody>
    </w:docPart>
    <w:docPart>
      <w:docPartPr>
        <w:name w:val="{ac10bf62-f4fd-4767-92eb-62dfa5881d52}"/>
        <w:style w:val=""/>
        <w:category>
          <w:name w:val="常规"/>
          <w:gallery w:val="placeholder"/>
        </w:category>
        <w:types>
          <w:type w:val="bbPlcHdr"/>
        </w:types>
        <w:behaviors>
          <w:behavior w:val="content"/>
        </w:behaviors>
        <w:description w:val=""/>
        <w:guid w:val="{ac10bf62-f4fd-4767-92eb-62dfa5881d52}"/>
      </w:docPartPr>
      <w:docPartBody>
        <w:p w14:paraId="213566E9">
          <w:r>
            <w:rPr>
              <w:color w:val="808080"/>
            </w:rPr>
            <w:t>单击此处输入文字。</w:t>
          </w:r>
        </w:p>
      </w:docPartBody>
    </w:docPart>
    <w:docPart>
      <w:docPartPr>
        <w:name w:val="{2fd56b3b-681f-4391-978a-3dd0b5fcbf75}"/>
        <w:style w:val=""/>
        <w:category>
          <w:name w:val="常规"/>
          <w:gallery w:val="placeholder"/>
        </w:category>
        <w:types>
          <w:type w:val="bbPlcHdr"/>
        </w:types>
        <w:behaviors>
          <w:behavior w:val="content"/>
        </w:behaviors>
        <w:description w:val=""/>
        <w:guid w:val="{2fd56b3b-681f-4391-978a-3dd0b5fcbf75}"/>
      </w:docPartPr>
      <w:docPartBody>
        <w:p w14:paraId="4C9BD81B">
          <w:r>
            <w:rPr>
              <w:color w:val="808080"/>
            </w:rPr>
            <w:t>单击此处输入文字。</w:t>
          </w:r>
        </w:p>
      </w:docPartBody>
    </w:docPart>
    <w:docPart>
      <w:docPartPr>
        <w:name w:val="{a8f054e8-1070-413b-b847-ec3bb9d75653}"/>
        <w:style w:val=""/>
        <w:category>
          <w:name w:val="常规"/>
          <w:gallery w:val="placeholder"/>
        </w:category>
        <w:types>
          <w:type w:val="bbPlcHdr"/>
        </w:types>
        <w:behaviors>
          <w:behavior w:val="content"/>
        </w:behaviors>
        <w:description w:val=""/>
        <w:guid w:val="{a8f054e8-1070-413b-b847-ec3bb9d75653}"/>
      </w:docPartPr>
      <w:docPartBody>
        <w:p w14:paraId="311C30AF">
          <w:r>
            <w:rPr>
              <w:color w:val="808080"/>
            </w:rPr>
            <w:t>单击此处输入文字。</w:t>
          </w:r>
        </w:p>
      </w:docPartBody>
    </w:docPart>
    <w:docPart>
      <w:docPartPr>
        <w:name w:val="{ee3ce641-1204-4d7a-b0f3-323d1e052109}"/>
        <w:style w:val=""/>
        <w:category>
          <w:name w:val="常规"/>
          <w:gallery w:val="placeholder"/>
        </w:category>
        <w:types>
          <w:type w:val="bbPlcHdr"/>
        </w:types>
        <w:behaviors>
          <w:behavior w:val="content"/>
        </w:behaviors>
        <w:description w:val=""/>
        <w:guid w:val="{ee3ce641-1204-4d7a-b0f3-323d1e052109}"/>
      </w:docPartPr>
      <w:docPartBody>
        <w:p w14:paraId="005412F4">
          <w:r>
            <w:rPr>
              <w:color w:val="808080"/>
            </w:rPr>
            <w:t>单击此处输入文字。</w:t>
          </w:r>
        </w:p>
      </w:docPartBody>
    </w:docPart>
    <w:docPart>
      <w:docPartPr>
        <w:name w:val="{3a93d0e9-79df-4644-a5da-173ffba0d8b2}"/>
        <w:style w:val=""/>
        <w:category>
          <w:name w:val="常规"/>
          <w:gallery w:val="placeholder"/>
        </w:category>
        <w:types>
          <w:type w:val="bbPlcHdr"/>
        </w:types>
        <w:behaviors>
          <w:behavior w:val="content"/>
        </w:behaviors>
        <w:description w:val=""/>
        <w:guid w:val="{3a93d0e9-79df-4644-a5da-173ffba0d8b2}"/>
      </w:docPartPr>
      <w:docPartBody>
        <w:p w14:paraId="2F85AA61">
          <w:r>
            <w:rPr>
              <w:color w:val="808080"/>
            </w:rPr>
            <w:t>单击此处输入文字。</w:t>
          </w:r>
        </w:p>
      </w:docPartBody>
    </w:docPart>
    <w:docPart>
      <w:docPartPr>
        <w:name w:val="{bdba9d54-3adb-407a-a36b-78e79221f005}"/>
        <w:style w:val=""/>
        <w:category>
          <w:name w:val="常规"/>
          <w:gallery w:val="placeholder"/>
        </w:category>
        <w:types>
          <w:type w:val="bbPlcHdr"/>
        </w:types>
        <w:behaviors>
          <w:behavior w:val="content"/>
        </w:behaviors>
        <w:description w:val=""/>
        <w:guid w:val="{bdba9d54-3adb-407a-a36b-78e79221f005}"/>
      </w:docPartPr>
      <w:docPartBody>
        <w:p w14:paraId="358B9C4A">
          <w:r>
            <w:rPr>
              <w:color w:val="808080"/>
            </w:rPr>
            <w:t>单击此处输入文字。</w:t>
          </w:r>
        </w:p>
      </w:docPartBody>
    </w:docPart>
    <w:docPart>
      <w:docPartPr>
        <w:name w:val="{a377ac73-f54b-4654-8ea7-28f52e668410}"/>
        <w:style w:val=""/>
        <w:category>
          <w:name w:val="常规"/>
          <w:gallery w:val="placeholder"/>
        </w:category>
        <w:types>
          <w:type w:val="bbPlcHdr"/>
        </w:types>
        <w:behaviors>
          <w:behavior w:val="content"/>
        </w:behaviors>
        <w:description w:val=""/>
        <w:guid w:val="{a377ac73-f54b-4654-8ea7-28f52e668410}"/>
      </w:docPartPr>
      <w:docPartBody>
        <w:p w14:paraId="5D640454">
          <w:r>
            <w:rPr>
              <w:color w:val="808080"/>
            </w:rPr>
            <w:t>单击此处输入文字。</w:t>
          </w:r>
        </w:p>
      </w:docPartBody>
    </w:docPart>
    <w:docPart>
      <w:docPartPr>
        <w:name w:val="{a5b57e06-626e-4781-a5ce-f2b4aa372d94}"/>
        <w:style w:val=""/>
        <w:category>
          <w:name w:val="常规"/>
          <w:gallery w:val="placeholder"/>
        </w:category>
        <w:types>
          <w:type w:val="bbPlcHdr"/>
        </w:types>
        <w:behaviors>
          <w:behavior w:val="content"/>
        </w:behaviors>
        <w:description w:val=""/>
        <w:guid w:val="{a5b57e06-626e-4781-a5ce-f2b4aa372d94}"/>
      </w:docPartPr>
      <w:docPartBody>
        <w:p w14:paraId="4DCA5C16">
          <w:r>
            <w:rPr>
              <w:color w:val="808080"/>
            </w:rPr>
            <w:t>单击此处输入文字。</w:t>
          </w:r>
        </w:p>
      </w:docPartBody>
    </w:docPart>
    <w:docPart>
      <w:docPartPr>
        <w:name w:val="{008c6c50-3751-4d46-a45d-3fb2d864921f}"/>
        <w:style w:val=""/>
        <w:category>
          <w:name w:val="常规"/>
          <w:gallery w:val="placeholder"/>
        </w:category>
        <w:types>
          <w:type w:val="bbPlcHdr"/>
        </w:types>
        <w:behaviors>
          <w:behavior w:val="content"/>
        </w:behaviors>
        <w:description w:val=""/>
        <w:guid w:val="{008c6c50-3751-4d46-a45d-3fb2d864921f}"/>
      </w:docPartPr>
      <w:docPartBody>
        <w:p w14:paraId="47D7431C">
          <w:r>
            <w:rPr>
              <w:color w:val="808080"/>
            </w:rPr>
            <w:t>单击此处输入文字。</w:t>
          </w:r>
        </w:p>
      </w:docPartBody>
    </w:docPart>
    <w:docPart>
      <w:docPartPr>
        <w:name w:val="{fbc74b66-7492-42b1-ae4a-a0f74fa3da52}"/>
        <w:style w:val=""/>
        <w:category>
          <w:name w:val="常规"/>
          <w:gallery w:val="placeholder"/>
        </w:category>
        <w:types>
          <w:type w:val="bbPlcHdr"/>
        </w:types>
        <w:behaviors>
          <w:behavior w:val="content"/>
        </w:behaviors>
        <w:description w:val=""/>
        <w:guid w:val="{fbc74b66-7492-42b1-ae4a-a0f74fa3da52}"/>
      </w:docPartPr>
      <w:docPartBody>
        <w:p w14:paraId="751C4F89">
          <w:r>
            <w:rPr>
              <w:color w:val="808080"/>
            </w:rPr>
            <w:t>单击此处输入文字。</w:t>
          </w:r>
        </w:p>
      </w:docPartBody>
    </w:docPart>
    <w:docPart>
      <w:docPartPr>
        <w:name w:val="{bc2d17c9-55cc-4d35-b9c0-6792c9c34bfb}"/>
        <w:style w:val=""/>
        <w:category>
          <w:name w:val="常规"/>
          <w:gallery w:val="placeholder"/>
        </w:category>
        <w:types>
          <w:type w:val="bbPlcHdr"/>
        </w:types>
        <w:behaviors>
          <w:behavior w:val="content"/>
        </w:behaviors>
        <w:description w:val=""/>
        <w:guid w:val="{bc2d17c9-55cc-4d35-b9c0-6792c9c34bfb}"/>
      </w:docPartPr>
      <w:docPartBody>
        <w:p w14:paraId="18A93859">
          <w:r>
            <w:rPr>
              <w:color w:val="808080"/>
            </w:rPr>
            <w:t>单击此处输入文字。</w:t>
          </w:r>
        </w:p>
      </w:docPartBody>
    </w:docPart>
    <w:docPart>
      <w:docPartPr>
        <w:name w:val="{c7cd0ca8-4095-4d57-811d-6f83856fc302}"/>
        <w:style w:val=""/>
        <w:category>
          <w:name w:val="常规"/>
          <w:gallery w:val="placeholder"/>
        </w:category>
        <w:types>
          <w:type w:val="bbPlcHdr"/>
        </w:types>
        <w:behaviors>
          <w:behavior w:val="content"/>
        </w:behaviors>
        <w:description w:val=""/>
        <w:guid w:val="{c7cd0ca8-4095-4d57-811d-6f83856fc302}"/>
      </w:docPartPr>
      <w:docPartBody>
        <w:p w14:paraId="0B8173DC">
          <w:r>
            <w:rPr>
              <w:color w:val="808080"/>
            </w:rPr>
            <w:t>单击此处输入文字。</w:t>
          </w:r>
        </w:p>
      </w:docPartBody>
    </w:docPart>
    <w:docPart>
      <w:docPartPr>
        <w:name w:val="{1ebb7914-439d-450d-b371-a79eaf46f893}"/>
        <w:style w:val=""/>
        <w:category>
          <w:name w:val="常规"/>
          <w:gallery w:val="placeholder"/>
        </w:category>
        <w:types>
          <w:type w:val="bbPlcHdr"/>
        </w:types>
        <w:behaviors>
          <w:behavior w:val="content"/>
        </w:behaviors>
        <w:description w:val=""/>
        <w:guid w:val="{1ebb7914-439d-450d-b371-a79eaf46f893}"/>
      </w:docPartPr>
      <w:docPartBody>
        <w:p w14:paraId="14490142">
          <w:r>
            <w:rPr>
              <w:color w:val="808080"/>
            </w:rPr>
            <w:t>单击此处输入文字。</w:t>
          </w:r>
        </w:p>
      </w:docPartBody>
    </w:docPart>
    <w:docPart>
      <w:docPartPr>
        <w:name w:val="{b74f275b-22ca-43db-a1e4-84a48cd86988}"/>
        <w:style w:val=""/>
        <w:category>
          <w:name w:val="常规"/>
          <w:gallery w:val="placeholder"/>
        </w:category>
        <w:types>
          <w:type w:val="bbPlcHdr"/>
        </w:types>
        <w:behaviors>
          <w:behavior w:val="content"/>
        </w:behaviors>
        <w:description w:val=""/>
        <w:guid w:val="{b74f275b-22ca-43db-a1e4-84a48cd86988}"/>
      </w:docPartPr>
      <w:docPartBody>
        <w:p w14:paraId="2EBC9994">
          <w:r>
            <w:rPr>
              <w:color w:val="808080"/>
            </w:rPr>
            <w:t>单击此处输入文字。</w:t>
          </w:r>
        </w:p>
      </w:docPartBody>
    </w:docPart>
    <w:docPart>
      <w:docPartPr>
        <w:name w:val="{5fe81ebf-1f85-4333-84ba-680177eca5b2}"/>
        <w:style w:val=""/>
        <w:category>
          <w:name w:val="常规"/>
          <w:gallery w:val="placeholder"/>
        </w:category>
        <w:types>
          <w:type w:val="bbPlcHdr"/>
        </w:types>
        <w:behaviors>
          <w:behavior w:val="content"/>
        </w:behaviors>
        <w:description w:val=""/>
        <w:guid w:val="{5fe81ebf-1f85-4333-84ba-680177eca5b2}"/>
      </w:docPartPr>
      <w:docPartBody>
        <w:p w14:paraId="547B232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6227</Words>
  <Characters>6795</Characters>
  <Lines>61</Lines>
  <Paragraphs>17</Paragraphs>
  <TotalTime>5</TotalTime>
  <ScaleCrop>false</ScaleCrop>
  <LinksUpToDate>false</LinksUpToDate>
  <CharactersWithSpaces>6854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2025-10-16T02:08:39Z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