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2054B"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Toc15396475"/>
      <w:bookmarkStart w:id="1" w:name="_Toc15377425"/>
      <w:bookmarkStart w:id="2" w:name="_Toc15378441"/>
      <w:bookmarkStart w:id="3" w:name="_Toc15377193"/>
      <w:bookmarkStart w:id="4" w:name="_Toc15396597"/>
      <w:bookmarkStart w:id="5" w:name="_Toc15306267"/>
    </w:p>
    <w:p w14:paraId="2E6060A3"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53E080D6"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F46793E"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21ED3541"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bookmarkEnd w:id="0"/>
    <w:bookmarkEnd w:id="1"/>
    <w:bookmarkEnd w:id="2"/>
    <w:bookmarkEnd w:id="3"/>
    <w:bookmarkEnd w:id="4"/>
    <w:p w14:paraId="7AE1FFBB"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6" w:name="_Toc15377194"/>
      <w:bookmarkStart w:id="7" w:name="_Toc15377426"/>
      <w:bookmarkStart w:id="8" w:name="_Toc15396476"/>
      <w:bookmarkStart w:id="9" w:name="_Toc15396598"/>
      <w:bookmarkStart w:id="10" w:name="_Toc15378442"/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2024年度</w:t>
      </w:r>
    </w:p>
    <w:p w14:paraId="05FD66C8">
      <w:pPr>
        <w:pStyle w:val="6"/>
        <w:jc w:val="center"/>
        <w:rPr>
          <w:rFonts w:hint="eastAsia" w:asci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四川省</w:t>
      </w:r>
      <w:bookmarkEnd w:id="5"/>
      <w:bookmarkStart w:id="11" w:name="_Toc15306268"/>
      <w:r>
        <w:rPr>
          <w:rFonts w:hint="eastAsia" w:asci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松潘县劳动人事争议仲裁院</w:t>
      </w:r>
    </w:p>
    <w:p w14:paraId="02C6C59B"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单位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决算</w:t>
      </w:r>
      <w:bookmarkEnd w:id="6"/>
      <w:bookmarkEnd w:id="7"/>
      <w:bookmarkEnd w:id="8"/>
      <w:bookmarkEnd w:id="9"/>
      <w:bookmarkEnd w:id="10"/>
      <w:bookmarkEnd w:id="11"/>
    </w:p>
    <w:p w14:paraId="7D12F21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720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小标宋简体"/>
          <w:color w:val="auto"/>
          <w:sz w:val="36"/>
          <w:szCs w:val="36"/>
          <w:highlight w:val="none"/>
        </w:rPr>
        <w:br w:type="page"/>
      </w:r>
    </w:p>
    <w:p w14:paraId="7C5B3421">
      <w:pPr>
        <w:widowControl/>
        <w:jc w:val="center"/>
        <w:rPr>
          <w:rFonts w:ascii="Times New Roman" w:hAnsi="Times New Roman" w:eastAsia="黑体"/>
          <w:color w:val="auto"/>
          <w:sz w:val="48"/>
          <w:szCs w:val="48"/>
          <w:highlight w:val="none"/>
        </w:rPr>
      </w:pPr>
      <w:r>
        <w:rPr>
          <w:rFonts w:hint="eastAsia" w:ascii="Times New Roman" w:hAnsi="Times New Roman" w:eastAsia="黑体"/>
          <w:color w:val="auto"/>
          <w:sz w:val="48"/>
          <w:szCs w:val="48"/>
          <w:highlight w:val="none"/>
        </w:rPr>
        <w:t>目录</w:t>
      </w:r>
    </w:p>
    <w:p w14:paraId="1D53EBDA">
      <w:pPr>
        <w:widowControl/>
        <w:jc w:val="center"/>
        <w:rPr>
          <w:rFonts w:ascii="Times New Roman" w:hAnsi="Times New Roman" w:eastAsia="黑体" w:cstheme="minorBidi"/>
          <w:color w:val="auto"/>
          <w:sz w:val="28"/>
          <w:szCs w:val="28"/>
          <w:highlight w:val="none"/>
        </w:rPr>
      </w:pPr>
    </w:p>
    <w:p w14:paraId="56DFF7A9">
      <w:pPr>
        <w:pStyle w:val="13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公开时间：20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10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16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日</w:t>
      </w: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77529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kern w:val="2"/>
          <w:sz w:val="20"/>
          <w:szCs w:val="20"/>
          <w:lang w:val="en-US" w:eastAsia="zh-CN" w:bidi="ar-SA"/>
        </w:rPr>
      </w:sdtEndPr>
      <w:sdtContent>
        <w:p w14:paraId="1D84D299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12" w:name="_Toc9098_WPSOffice_Type2"/>
        </w:p>
        <w:p w14:paraId="4DCEABC7">
          <w:pPr>
            <w:pStyle w:val="38"/>
            <w:tabs>
              <w:tab w:val="right" w:leader="dot" w:pos="8306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_Toc15360_WPSOffice_Level1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53123"/>
              <w:placeholder>
                <w:docPart w:val="{c2127a6f-ebad-47ac-aa13-c4e48b92f65f}"/>
              </w:placeholder>
            </w:sdtPr>
            <w:sdtEndPr>
              <w:rPr>
                <w:rFonts w:hint="eastAsia" w:ascii="Times New Roman" w:hAnsi="Times New Roman" w:eastAsia="黑体" w:cs="黑体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黑体" w:cs="黑体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第一部分  部门概况</w:t>
              </w:r>
            </w:sdtContent>
          </w:sdt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4</w:t>
          </w:r>
          <w:r>
            <w:rPr>
              <w:b/>
              <w:bCs/>
            </w:rPr>
            <w:fldChar w:fldCharType="end"/>
          </w:r>
        </w:p>
        <w:p w14:paraId="27BA1C55">
          <w:pPr>
            <w:pStyle w:val="15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left="0" w:leftChars="0" w:firstLine="640" w:firstLineChars="200"/>
            <w:jc w:val="left"/>
            <w:textAlignment w:val="auto"/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highlight w:val="none"/>
            </w:rPr>
          </w:pPr>
          <w:r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highlight w:val="none"/>
            </w:rPr>
            <w:instrText xml:space="preserve"> HYPERLINK \l _Toc9098_WPSOffice_Level2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highlight w:val="none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id w:val="147477793"/>
              <w:placeholder>
                <w:docPart w:val="{7cabe53f-de06-4c49-811a-43bf0948b10f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sz w:val="32"/>
                  <w:szCs w:val="32"/>
                  <w:highlight w:val="none"/>
                </w:rPr>
                <w:t>一、部门职责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highlight w:val="none"/>
            </w:rPr>
            <w:tab/>
          </w:r>
          <w:r>
            <w:rPr>
              <w:rFonts w:hint="eastAsia" w:eastAsia="仿宋_GB2312" w:cs="仿宋_GB2312"/>
              <w:color w:val="auto"/>
              <w:sz w:val="32"/>
              <w:szCs w:val="32"/>
              <w:highlight w:val="none"/>
              <w:lang w:val="en-US" w:eastAsia="zh-CN"/>
            </w:rPr>
            <w:t>4</w:t>
          </w:r>
          <w:r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highlight w:val="none"/>
            </w:rPr>
            <w:fldChar w:fldCharType="end"/>
          </w:r>
        </w:p>
        <w:p w14:paraId="601853A1">
          <w:pPr>
            <w:pStyle w:val="15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left="0" w:leftChars="0" w:firstLine="640" w:firstLineChars="200"/>
            <w:jc w:val="left"/>
            <w:textAlignment w:val="auto"/>
          </w:pPr>
          <w:r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highlight w:val="none"/>
            </w:rPr>
            <w:instrText xml:space="preserve"> HYPERLINK \l _Toc16878_WPSOffice_Level2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highlight w:val="none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id w:val="147475562"/>
              <w:placeholder>
                <w:docPart w:val="{fe742ce0-b2b4-4966-be41-9bd016b35a04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sz w:val="32"/>
                  <w:szCs w:val="32"/>
                  <w:highlight w:val="none"/>
                </w:rPr>
                <w:t>二、机构设置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highlight w:val="none"/>
            </w:rPr>
            <w:tab/>
          </w:r>
          <w:r>
            <w:rPr>
              <w:rFonts w:hint="eastAsia" w:eastAsia="仿宋_GB2312" w:cs="仿宋_GB2312"/>
              <w:color w:val="auto"/>
              <w:sz w:val="32"/>
              <w:szCs w:val="32"/>
              <w:highlight w:val="none"/>
              <w:lang w:val="en-US" w:eastAsia="zh-CN"/>
            </w:rPr>
            <w:t>5</w:t>
          </w:r>
          <w:r>
            <w:rPr>
              <w:rFonts w:hint="eastAsia" w:ascii="Times New Roman" w:hAnsi="Times New Roman" w:eastAsia="仿宋_GB2312" w:cs="仿宋_GB2312"/>
              <w:color w:val="auto"/>
              <w:sz w:val="32"/>
              <w:szCs w:val="32"/>
              <w:highlight w:val="none"/>
            </w:rPr>
            <w:fldChar w:fldCharType="end"/>
          </w:r>
        </w:p>
        <w:p w14:paraId="551AC3ED">
          <w:pPr>
            <w:pStyle w:val="38"/>
            <w:tabs>
              <w:tab w:val="right" w:leader="dot" w:pos="8306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_Toc9098_WPSOffice_Level1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id w:val="147479716"/>
              <w:placeholder>
                <w:docPart w:val="{f487852d-c2d4-4118-b0eb-d9f83ebb6bec}"/>
              </w:placeholder>
            </w:sdtPr>
            <w:sdtEndPr>
              <w:rPr>
                <w:rFonts w:hint="eastAsia" w:ascii="Times New Roman" w:hAnsi="Times New Roman" w:eastAsia="黑体" w:cs="黑体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黑体" w:cs="黑体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第二部分  2024年度部门决算情况说明</w:t>
              </w:r>
            </w:sdtContent>
          </w:sdt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6</w:t>
          </w:r>
          <w:r>
            <w:rPr>
              <w:b/>
              <w:bCs/>
            </w:rPr>
            <w:fldChar w:fldCharType="end"/>
          </w:r>
        </w:p>
        <w:p w14:paraId="2D3C5A84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_Toc16900_WPSOffice_Level2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75974"/>
              <w:placeholder>
                <w:docPart w:val="{b6a45bec-58ad-4302-ad97-7e57e69268ae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一、收入支出决算总体情况说明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6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1A66CF9D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_Toc8302_WPSOffice_Level2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74109"/>
              <w:placeholder>
                <w:docPart w:val="{81a036ed-3245-447e-9bc7-e9e5d297baa2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二、收入决算情况说明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6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7D7A627C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_Toc22493_WPSOffice_Level2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63381"/>
              <w:placeholder>
                <w:docPart w:val="{5bdc5fbd-0939-4219-aba9-f2ba16b7f9b7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三、支出决算情况说明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6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00482478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_Toc11644_WPSOffice_Level2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65571"/>
              <w:placeholder>
                <w:docPart w:val="{d6889486-bf87-4f62-90bc-d42ac65c18c0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四、财政拨款收入支出决算总体情况说明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6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35E37EE2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_Toc7435_WPSOffice_Level2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74565"/>
              <w:placeholder>
                <w:docPart w:val="{0146056d-b80a-4be8-8380-796159c2620f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五、一般公共预算财政拨款支出决算情况说明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6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09665D0D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_Toc4228_WPSOffice_Level2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76686"/>
              <w:placeholder>
                <w:docPart w:val="{e29c27c4-fb44-4b97-b1ef-016d4790ef1c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六、一般公共预算财政拨款基本支出决算情况说明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7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6FDB59E7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_Toc30042_WPSOffice_Level2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66931"/>
              <w:placeholder>
                <w:docPart w:val="{65415acf-11e0-4327-8032-8c58430c2632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七、财政拨款“三公”经费支出决算情况说明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8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2E99B417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_Toc14347_WPSOffice_Level2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67602"/>
              <w:placeholder>
                <w:docPart w:val="{44b52c38-3177-4bd3-aef2-9648bd6fabc8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八、政府性基金预算支出决算情况说明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9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3595793B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_Toc20365_WPSOffice_Level2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54686"/>
              <w:placeholder>
                <w:docPart w:val="{948704c5-0f26-4fbb-9b93-d50ea33d40a9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九、国有资本经营预算支出决算情况说明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9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355C1E90">
          <w:pPr>
            <w:pStyle w:val="39"/>
            <w:tabs>
              <w:tab w:val="right" w:leader="dot" w:pos="8306"/>
            </w:tabs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_Toc4276_WPSOffice_Level2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72145"/>
              <w:placeholder>
                <w:docPart w:val="{2c3ddb51-4eeb-4dff-9922-6a3b45f5a95c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十、其他重要事项的情况说明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9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698A32D8">
          <w:pPr>
            <w:pStyle w:val="38"/>
            <w:tabs>
              <w:tab w:val="right" w:leader="dot" w:pos="8306"/>
            </w:tabs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_Toc16878_WPSOffice_Level1 </w:instrText>
          </w:r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黑体" w:cs="黑体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65408"/>
              <w:placeholder>
                <w:docPart w:val="{305b8ffb-4f09-4a40-a213-1c5e253774ee}"/>
              </w:placeholder>
            </w:sdtPr>
            <w:sdtEndPr>
              <w:rPr>
                <w:rFonts w:hint="eastAsia" w:ascii="Times New Roman" w:hAnsi="Times New Roman" w:eastAsia="黑体" w:cs="黑体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黑体" w:cs="黑体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第三部分  名词解释</w:t>
              </w:r>
            </w:sdtContent>
          </w:sdt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0</w:t>
          </w:r>
        </w:p>
        <w:p w14:paraId="5BAD5DA5">
          <w:pPr>
            <w:pStyle w:val="38"/>
            <w:tabs>
              <w:tab w:val="right" w:leader="dot" w:pos="8306"/>
            </w:tabs>
          </w:pPr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_Toc16900_WPSOffice_Level1 </w:instrText>
          </w:r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黑体" w:cs="黑体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52523"/>
              <w:placeholder>
                <w:docPart w:val="{b7191897-8210-41f4-b8b8-0c4e24835c3d}"/>
              </w:placeholder>
            </w:sdtPr>
            <w:sdtEndPr>
              <w:rPr>
                <w:rFonts w:hint="eastAsia" w:ascii="Times New Roman" w:hAnsi="Times New Roman" w:eastAsia="黑体" w:cs="黑体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黑体" w:cs="黑体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第四部分 附表</w:t>
              </w:r>
            </w:sdtContent>
          </w:sdt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bookmarkStart w:id="13" w:name="_Toc16900_WPSOffice_Level1Page"/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bookmarkEnd w:id="13"/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r>
            <w:rPr>
              <w:rFonts w:hint="eastAsia" w:ascii="Times New Roman" w:hAnsi="Times New Roman" w:eastAsia="黑体" w:cs="黑体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5589BD3A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_Toc747_WPSOffice_Level2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59220"/>
              <w:placeholder>
                <w:docPart w:val="{d028c6d8-f413-4d1c-b5ed-7989b47221c1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一、收入支出决算总表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bookmarkStart w:id="14" w:name="_Toc747_WPSOffice_Level2Page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bookmarkEnd w:id="14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38A97F50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_Toc25902_WPSOffice_Level2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53612"/>
              <w:placeholder>
                <w:docPart w:val="{9c90006b-6a35-461c-85db-115900201d1a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二、收入决算表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bookmarkStart w:id="15" w:name="_Toc25902_WPSOffice_Level2Page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bookmarkEnd w:id="15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58690F27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_Toc17888_WPSOffice_Level2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58169"/>
              <w:placeholder>
                <w:docPart w:val="{a725c726-cac8-4761-855f-5a9f17658491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三、支出决算表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bookmarkStart w:id="16" w:name="_Toc17888_WPSOffice_Level2Page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bookmarkEnd w:id="16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198D8450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_Toc14022_WPSOffice_Level2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69672"/>
              <w:placeholder>
                <w:docPart w:val="{19f59cb1-6828-4f92-90ef-611d1405ac8c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四、财政拨款收入支出决算总表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bookmarkStart w:id="17" w:name="_Toc14022_WPSOffice_Level2Page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bookmarkEnd w:id="17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0ECCFC65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_Toc28365_WPSOffice_Level2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76457"/>
              <w:placeholder>
                <w:docPart w:val="{01738f07-f7a5-465b-9e91-c5829560bfc7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五、财政拨款支出决算明细表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bookmarkStart w:id="18" w:name="_Toc28365_WPSOffice_Level2Page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bookmarkEnd w:id="18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1B9B0600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_Toc7040_WPSOffice_Level2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56908"/>
              <w:placeholder>
                <w:docPart w:val="{4dbe78e3-1caf-4089-b944-bfcc41bb5168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六、一般公共预算财政拨款支出决算表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bookmarkStart w:id="19" w:name="_Toc7040_WPSOffice_Level2Page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bookmarkEnd w:id="19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59BEFB01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_Toc30787_WPSOffice_Level2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83141"/>
              <w:placeholder>
                <w:docPart w:val="{ef8d66b1-da36-4539-87db-4f5adb5abc78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七、一般公共预算财政拨款支出决算明细表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bookmarkStart w:id="20" w:name="_Toc30787_WPSOffice_Level2Page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bookmarkEnd w:id="20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55D0FEDF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_Toc21972_WPSOffice_Level2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76993"/>
              <w:placeholder>
                <w:docPart w:val="{8bd6e93d-1714-409c-956b-1ec0f84f6310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八、一般公共预算财政拨款基本支出决算表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bookmarkStart w:id="21" w:name="_Toc21972_WPSOffice_Level2Page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bookmarkEnd w:id="21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3C5B063E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_Toc19522_WPSOffice_Level2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66533"/>
              <w:placeholder>
                <w:docPart w:val="{0bdcb958-7785-448b-8e95-95dd928204f0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九、一般公共预算财政拨款项目支出决算表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bookmarkStart w:id="22" w:name="_Toc19522_WPSOffice_Level2Page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bookmarkEnd w:id="22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0B2C32BB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_Toc15242_WPSOffice_Level2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60736"/>
              <w:placeholder>
                <w:docPart w:val="{de382e81-a3a8-422f-89ae-b09cd2fa6a35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十、政府性基金预算财政拨款收入支出决算表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bookmarkStart w:id="23" w:name="_Toc15242_WPSOffice_Level2Page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bookmarkEnd w:id="23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2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73090144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_Toc13867_WPSOffice_Level2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53413"/>
              <w:placeholder>
                <w:docPart w:val="{3d5d9357-9b29-476f-877a-a01f2b47ca90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十一、国有资本经营预算财政拨款收入支出决算表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bookmarkStart w:id="24" w:name="_Toc13867_WPSOffice_Level2Page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bookmarkEnd w:id="24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2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3734F7E8">
          <w:pPr>
            <w:pStyle w:val="39"/>
            <w:tabs>
              <w:tab w:val="right" w:leader="dot" w:pos="8306"/>
            </w:tabs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_Toc27726_WPSOffice_Level2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83109"/>
              <w:placeholder>
                <w:docPart w:val="{41dfa29d-f795-4aac-a267-27107abe8c19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十二、国有资本经营预算财政拨款支出决算表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bookmarkStart w:id="25" w:name="_Toc27726_WPSOffice_Level2Page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bookmarkEnd w:id="25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2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</w:p>
        <w:p w14:paraId="35869176">
          <w:pPr>
            <w:pStyle w:val="39"/>
            <w:tabs>
              <w:tab w:val="right" w:leader="dot" w:pos="8306"/>
            </w:tabs>
          </w:pP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begin"/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instrText xml:space="preserve"> HYPERLINK \l _Toc6534_WPSOffice_Level2 </w:instrTex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separate"/>
          </w:r>
          <w:sdt>
            <w:sdt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id w:val="147455403"/>
              <w:placeholder>
                <w:docPart w:val="{30a27035-39a2-4bfc-a500-62615c1e7534}"/>
              </w:placeholder>
            </w:sdtPr>
            <w:sdtEndPr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sdtEndPr>
            <w:sdtContent>
              <w:r>
                <w:rPr>
                  <w:rFonts w:hint="eastAsia" w:ascii="Times New Roman" w:hAnsi="Times New Roman" w:eastAsia="仿宋_GB2312" w:cs="仿宋_GB2312"/>
                  <w:color w:val="auto"/>
                  <w:kern w:val="2"/>
                  <w:sz w:val="32"/>
                  <w:szCs w:val="32"/>
                  <w:highlight w:val="none"/>
                  <w:lang w:val="en-US" w:eastAsia="zh-CN" w:bidi="ar-SA"/>
                </w:rPr>
                <w:t>十三、财政拨款“三公”经费支出决算表</w:t>
              </w:r>
            </w:sdtContent>
          </w:sdt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ab/>
          </w:r>
          <w:bookmarkStart w:id="26" w:name="_Toc6534_WPSOffice_Level2Page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1</w:t>
          </w:r>
          <w:bookmarkEnd w:id="26"/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t>2</w:t>
          </w:r>
          <w:r>
            <w:rPr>
              <w:rFonts w:hint="eastAsia" w:ascii="Times New Roman" w:hAnsi="Times New Roman" w:eastAsia="仿宋_GB2312" w:cs="仿宋_GB2312"/>
              <w:color w:val="auto"/>
              <w:kern w:val="2"/>
              <w:sz w:val="32"/>
              <w:szCs w:val="32"/>
              <w:highlight w:val="none"/>
              <w:lang w:val="en-US" w:eastAsia="zh-CN" w:bidi="ar-SA"/>
            </w:rPr>
            <w:fldChar w:fldCharType="end"/>
          </w:r>
          <w:bookmarkEnd w:id="12"/>
        </w:p>
      </w:sdtContent>
    </w:sdt>
    <w:p w14:paraId="2134B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Cs/>
          <w:color w:val="auto"/>
          <w:kern w:val="44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highlight w:val="none"/>
        </w:rPr>
        <w:br w:type="page"/>
      </w:r>
    </w:p>
    <w:p w14:paraId="176B8314">
      <w:pPr>
        <w:pStyle w:val="3"/>
        <w:jc w:val="center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bookmarkStart w:id="27" w:name="_Toc15360_WPSOffice_Level1"/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  <w:t>第一部分</w:t>
      </w:r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  <w:t xml:space="preserve"> </w:t>
      </w:r>
      <w:r>
        <w:rPr>
          <w:rFonts w:hint="eastAsia" w:eastAsia="方正小标宋简体" w:cs="方正小标宋简体"/>
          <w:b w:val="0"/>
          <w:color w:val="auto"/>
          <w:highlight w:val="none"/>
          <w:lang w:eastAsia="zh-CN"/>
        </w:rPr>
        <w:t>部门</w:t>
      </w:r>
      <w:r>
        <w:rPr>
          <w:rStyle w:val="29"/>
          <w:rFonts w:hint="eastAsia" w:ascii="Times New Roman" w:hAnsi="Times New Roman" w:eastAsia="方正小标宋简体" w:cs="方正小标宋简体"/>
          <w:b w:val="0"/>
          <w:bCs w:val="0"/>
          <w:color w:val="auto"/>
          <w:highlight w:val="none"/>
        </w:rPr>
        <w:t>概况</w:t>
      </w:r>
      <w:bookmarkEnd w:id="27"/>
    </w:p>
    <w:p w14:paraId="40824949">
      <w:pPr>
        <w:pStyle w:val="4"/>
        <w:numPr>
          <w:ilvl w:val="0"/>
          <w:numId w:val="1"/>
        </w:numPr>
        <w:rPr>
          <w:rFonts w:hint="eastAsia" w:ascii="Times New Roman" w:hAnsi="Times New Roman" w:eastAsia="黑体"/>
          <w:b w:val="0"/>
          <w:color w:val="auto"/>
          <w:highlight w:val="none"/>
          <w:lang w:eastAsia="zh-CN"/>
        </w:rPr>
      </w:pPr>
      <w:bookmarkStart w:id="28" w:name="_Toc9098_WPSOffice_Level2"/>
      <w:r>
        <w:rPr>
          <w:rFonts w:hint="eastAsia" w:ascii="Times New Roman" w:hAnsi="Times New Roman" w:eastAsia="黑体"/>
          <w:b w:val="0"/>
          <w:color w:val="auto"/>
          <w:highlight w:val="none"/>
          <w:lang w:eastAsia="zh-CN"/>
        </w:rPr>
        <w:t>部门职责</w:t>
      </w:r>
      <w:bookmarkEnd w:id="28"/>
    </w:p>
    <w:p w14:paraId="6C8CA4B2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统筹拟订和实施全县劳动、人事争议调解仲裁工作规划和相关规定，指导和协调全县劳动、人事争议调解仲裁工作，指导开展全县劳动、人事争议预防工作；</w:t>
      </w:r>
    </w:p>
    <w:p w14:paraId="45A75653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负责松潘县劳动人事争议仲裁院的日常工作，依法组织协调处理重大劳动、人事争议案件；</w:t>
      </w:r>
    </w:p>
    <w:p w14:paraId="63007CC6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负责仲裁员的培训、考核工作，根据办案需要组成仲裁庭；</w:t>
      </w:r>
    </w:p>
    <w:p w14:paraId="7D6CD9C6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接待有关劳动人事争议预防和处理方面的法律法规、政策咨询，对企业及其职工开展劳动人事争议预防和处理方面的法律法规、政策知识宣传和培训，指导全县境内的企业、个体经济组织、民办非企业单位、国家机关、事业单位、社会团体依法用工；</w:t>
      </w:r>
    </w:p>
    <w:p w14:paraId="0A926FF5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对全县劳动人事争议案件依法进行调解和仲裁；</w:t>
      </w:r>
    </w:p>
    <w:p w14:paraId="46C6DB20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参与涉及劳动人事突发事件，群体、疑难及重大案件；</w:t>
      </w:r>
    </w:p>
    <w:p w14:paraId="58960416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负责管理劳动人事争议仲裁院的文书、档案、印鉴及全县劳动、人事争议处理情况的统计分析和上报工作；</w:t>
      </w:r>
    </w:p>
    <w:p w14:paraId="6B892D83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负责县属用人单位及省、州属驻我县单位劳动人事争议调解组织的业务指导；</w:t>
      </w:r>
    </w:p>
    <w:p w14:paraId="38FD7204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指导辖区内企业劳动争议调解委员会开展工作；</w:t>
      </w:r>
    </w:p>
    <w:p w14:paraId="03FCA72B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承担县委、县政府以及州、县人力资源和社会保障局交办的其他工作事项。</w:t>
      </w:r>
    </w:p>
    <w:p w14:paraId="63A6EA3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30"/>
          <w:rFonts w:ascii="Times New Roman" w:hAnsi="Times New Roman"/>
          <w:b w:val="0"/>
          <w:bCs w:val="0"/>
          <w:color w:val="auto"/>
          <w:highlight w:val="none"/>
        </w:rPr>
      </w:pPr>
      <w:bookmarkStart w:id="29" w:name="_Toc16878_WPSOffice_Level2"/>
      <w:bookmarkStart w:id="30" w:name="_Toc15377200"/>
      <w:bookmarkStart w:id="31" w:name="_Toc15396601"/>
      <w:r>
        <w:rPr>
          <w:rFonts w:hint="eastAsia" w:ascii="Times New Roman" w:hAnsi="Times New Roman" w:eastAsia="黑体"/>
          <w:b w:val="0"/>
          <w:color w:val="auto"/>
          <w:highlight w:val="none"/>
        </w:rPr>
        <w:t>二、机</w:t>
      </w:r>
      <w:r>
        <w:rPr>
          <w:rStyle w:val="30"/>
          <w:rFonts w:hint="eastAsia" w:ascii="Times New Roman" w:hAnsi="Times New Roman" w:eastAsia="黑体"/>
          <w:b w:val="0"/>
          <w:bCs w:val="0"/>
          <w:color w:val="auto"/>
          <w:highlight w:val="none"/>
        </w:rPr>
        <w:t>构设置</w:t>
      </w:r>
      <w:bookmarkEnd w:id="29"/>
      <w:bookmarkEnd w:id="30"/>
      <w:bookmarkEnd w:id="31"/>
    </w:p>
    <w:p w14:paraId="21C1CEB0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32" w:name="_Toc15377204"/>
      <w:bookmarkStart w:id="33" w:name="_Toc15396602"/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我县劳动争议仲裁院设</w:t>
      </w: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个职能股室。</w:t>
      </w:r>
    </w:p>
    <w:p w14:paraId="6220BDF7">
      <w:pPr>
        <w:spacing w:line="600" w:lineRule="exact"/>
        <w:ind w:firstLine="640"/>
        <w:rPr>
          <w:rFonts w:hint="default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（一）综合股</w:t>
      </w:r>
    </w:p>
    <w:p w14:paraId="58EFEC14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负责劳动争议案件登记、审查、受理和立案工作；</w:t>
      </w:r>
    </w:p>
    <w:p w14:paraId="208FCB1E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负责立案前的劳动争议案件的案前调解工作，做好调解记录；</w:t>
      </w:r>
    </w:p>
    <w:p w14:paraId="5F43CBE9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负责对案件当事人进行劳动保障法律法规和政策的宣传；</w:t>
      </w:r>
    </w:p>
    <w:p w14:paraId="19270772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负责松潘县劳动人事争议仲裁院内外协调、财务管理、信息、统计等日常事务和后勤服务工作；</w:t>
      </w:r>
    </w:p>
    <w:p w14:paraId="04472438">
      <w:pPr>
        <w:spacing w:line="600" w:lineRule="exact"/>
        <w:ind w:firstLine="640"/>
        <w:rPr>
          <w:rFonts w:hint="default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（二）仲裁庭</w:t>
      </w:r>
    </w:p>
    <w:p w14:paraId="1402D81C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按照《劳动人事争议仲裁办案规则》要求，主要负责对劳动关系、劳动报酬、劳动保护、经济补偿等方面应当受理的劳动争议案件的审理工作；</w:t>
      </w:r>
    </w:p>
    <w:p w14:paraId="51EA5115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按照《劳动人事争议仲裁办案规则》要求，主要负责对社会保险、工伤医疗费、培训、辞职、离职等方面应当受理的劳动争议案件的审理工作；</w:t>
      </w:r>
    </w:p>
    <w:p w14:paraId="75B518A6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承担法律文书的校对、装订、送达、案卷材料的整理、归档和保管工作；</w:t>
      </w:r>
    </w:p>
    <w:p w14:paraId="7749D3AB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2F173DF3">
      <w:pPr>
        <w:pStyle w:val="3"/>
        <w:jc w:val="center"/>
        <w:rPr>
          <w:rFonts w:ascii="Times New Roman" w:hAnsi="Times New Roman"/>
          <w:color w:val="auto"/>
          <w:highlight w:val="none"/>
        </w:rPr>
      </w:pPr>
      <w:bookmarkStart w:id="34" w:name="_Toc9098_WPSOffice_Level1"/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  <w:t>第二部分</w:t>
      </w:r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  <w:t xml:space="preserve"> </w:t>
      </w:r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  <w:lang w:val="en-US" w:eastAsia="zh-CN"/>
        </w:rPr>
        <w:t>2024年度</w:t>
      </w:r>
      <w:r>
        <w:rPr>
          <w:rFonts w:hint="eastAsia" w:ascii="Times New Roman" w:hAnsi="Times New Roman" w:eastAsia="方正小标宋简体" w:cs="方正小标宋简体"/>
          <w:b w:val="0"/>
          <w:color w:val="auto"/>
          <w:highlight w:val="none"/>
        </w:rPr>
        <w:t>部门决算情况说明</w:t>
      </w:r>
      <w:bookmarkEnd w:id="32"/>
      <w:bookmarkEnd w:id="33"/>
      <w:bookmarkEnd w:id="34"/>
    </w:p>
    <w:p w14:paraId="34BB5061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Style w:val="30"/>
          <w:rFonts w:hint="eastAsia" w:ascii="Times New Roman" w:hAnsi="Times New Roman" w:eastAsia="黑体"/>
          <w:b w:val="0"/>
          <w:color w:val="auto"/>
          <w:highlight w:val="none"/>
        </w:rPr>
      </w:pPr>
      <w:bookmarkStart w:id="35" w:name="_Toc15396603"/>
      <w:bookmarkStart w:id="36" w:name="_Toc15377205"/>
      <w:bookmarkStart w:id="37" w:name="_Toc16900_WPSOffice_Level2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收</w:t>
      </w:r>
      <w:r>
        <w:rPr>
          <w:rStyle w:val="30"/>
          <w:rFonts w:hint="eastAsia" w:ascii="Times New Roman" w:hAnsi="Times New Roman" w:eastAsia="黑体"/>
          <w:b w:val="0"/>
          <w:color w:val="auto"/>
          <w:highlight w:val="none"/>
        </w:rPr>
        <w:t>入支出决算总体情况说明</w:t>
      </w:r>
      <w:bookmarkEnd w:id="35"/>
      <w:bookmarkEnd w:id="36"/>
      <w:bookmarkEnd w:id="37"/>
    </w:p>
    <w:p w14:paraId="59492F6D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2024年度收入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总计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194.49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万元。与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相比，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总计各增加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12.73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万元，增长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%。主要变动原因是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eastAsia="zh-CN"/>
        </w:rPr>
        <w:t>人员增加，导致人员经费增加。</w:t>
      </w:r>
    </w:p>
    <w:p w14:paraId="6DA31E58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bookmarkStart w:id="38" w:name="_Toc15377206"/>
      <w:bookmarkStart w:id="39" w:name="_Toc15396604"/>
      <w:bookmarkStart w:id="40" w:name="_Toc8302_WPSOffice_Level2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  <w:t>二、收入决算情况说明</w:t>
      </w:r>
      <w:bookmarkEnd w:id="38"/>
      <w:bookmarkEnd w:id="39"/>
      <w:bookmarkEnd w:id="40"/>
    </w:p>
    <w:p w14:paraId="5D2A0743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2024年度本年收入合计</w:t>
      </w:r>
      <w:r>
        <w:rPr>
          <w:rFonts w:hint="eastAsia" w:ascii="仿宋_GB2312" w:hAnsi="仿宋_GB2312" w:eastAsia="仿宋_GB2312" w:cs="仿宋_GB2312"/>
          <w:sz w:val="32"/>
          <w:szCs w:val="32"/>
        </w:rPr>
        <w:t>194.49万元，其中：一般公共预算财政拨款收入194.49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%；</w:t>
      </w:r>
    </w:p>
    <w:p w14:paraId="4219E107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Style w:val="30"/>
          <w:rFonts w:hint="eastAsia" w:ascii="Times New Roman" w:hAnsi="Times New Roman" w:eastAsia="黑体"/>
          <w:b w:val="0"/>
          <w:color w:val="auto"/>
          <w:highlight w:val="none"/>
        </w:rPr>
      </w:pPr>
      <w:bookmarkStart w:id="41" w:name="_Toc22493_WPSOffice_Level2"/>
      <w:bookmarkStart w:id="42" w:name="_Toc15396605"/>
      <w:bookmarkStart w:id="43" w:name="_Toc15377207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支</w:t>
      </w:r>
      <w:r>
        <w:rPr>
          <w:rStyle w:val="30"/>
          <w:rFonts w:hint="eastAsia" w:ascii="Times New Roman" w:hAnsi="Times New Roman" w:eastAsia="黑体"/>
          <w:b w:val="0"/>
          <w:color w:val="auto"/>
          <w:highlight w:val="none"/>
        </w:rPr>
        <w:t>出决算情况说明</w:t>
      </w:r>
      <w:bookmarkEnd w:id="41"/>
      <w:bookmarkEnd w:id="42"/>
      <w:bookmarkEnd w:id="43"/>
    </w:p>
    <w:p w14:paraId="7AC14B44">
      <w:pPr>
        <w:ind w:firstLine="800" w:firstLineChars="25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2024年度本年支出合计</w:t>
      </w:r>
      <w:r>
        <w:rPr>
          <w:rFonts w:hint="eastAsia" w:ascii="仿宋_GB2312" w:hAnsi="仿宋_GB2312" w:eastAsia="仿宋_GB2312" w:cs="仿宋_GB2312"/>
          <w:sz w:val="32"/>
          <w:szCs w:val="32"/>
        </w:rPr>
        <w:t>194.49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194.49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D2CBC49">
      <w:pPr>
        <w:spacing w:line="600" w:lineRule="exact"/>
        <w:ind w:firstLine="640" w:firstLineChars="200"/>
        <w:outlineLvl w:val="1"/>
        <w:rPr>
          <w:rStyle w:val="30"/>
          <w:rFonts w:ascii="Times New Roman" w:hAnsi="Times New Roman" w:eastAsia="黑体"/>
          <w:b w:val="0"/>
          <w:color w:val="auto"/>
          <w:highlight w:val="none"/>
        </w:rPr>
      </w:pPr>
      <w:bookmarkStart w:id="44" w:name="_Toc11644_WPSOffice_Level2"/>
      <w:bookmarkStart w:id="45" w:name="_Toc15377208"/>
      <w:bookmarkStart w:id="46" w:name="_Toc15396606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四、财</w:t>
      </w:r>
      <w:r>
        <w:rPr>
          <w:rStyle w:val="30"/>
          <w:rFonts w:hint="eastAsia" w:ascii="Times New Roman" w:hAnsi="Times New Roman" w:eastAsia="黑体"/>
          <w:b w:val="0"/>
          <w:color w:val="auto"/>
          <w:highlight w:val="none"/>
        </w:rPr>
        <w:t>政拨款收入支出决算总体情况说明</w:t>
      </w:r>
      <w:bookmarkEnd w:id="44"/>
      <w:bookmarkEnd w:id="45"/>
      <w:bookmarkEnd w:id="46"/>
    </w:p>
    <w:p w14:paraId="4187CBD7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2024年度财政拨款收入、支出总计均为</w:t>
      </w:r>
      <w:r>
        <w:rPr>
          <w:rFonts w:hint="eastAsia" w:ascii="仿宋_GB2312" w:hAnsi="仿宋_GB2312" w:eastAsia="仿宋_GB2312" w:cs="仿宋_GB2312"/>
          <w:sz w:val="32"/>
          <w:szCs w:val="32"/>
        </w:rPr>
        <w:t>194.49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万元。与2023年度相比，财政拨款收入总计、支出总计各增加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12.73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万元，增长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%。主要变动原因是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eastAsia="zh-CN"/>
        </w:rPr>
        <w:t>人员增加，导致人员经费增加。</w:t>
      </w:r>
    </w:p>
    <w:p w14:paraId="3B525DEC">
      <w:pPr>
        <w:spacing w:line="600" w:lineRule="exact"/>
        <w:ind w:firstLine="640" w:firstLineChars="200"/>
        <w:outlineLvl w:val="1"/>
        <w:rPr>
          <w:rStyle w:val="30"/>
          <w:rFonts w:ascii="Times New Roman" w:hAnsi="Times New Roman" w:eastAsia="黑体"/>
          <w:b w:val="0"/>
          <w:color w:val="auto"/>
          <w:highlight w:val="none"/>
        </w:rPr>
      </w:pPr>
      <w:bookmarkStart w:id="47" w:name="_Toc15396607"/>
      <w:bookmarkStart w:id="48" w:name="_Toc15377209"/>
      <w:bookmarkStart w:id="49" w:name="_Toc7435_WPSOffice_Level2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五、</w:t>
      </w:r>
      <w:r>
        <w:rPr>
          <w:rFonts w:hint="eastAsia" w:ascii="Times New Roman" w:hAnsi="Times New Roman" w:eastAsia="黑体"/>
          <w:b/>
          <w:color w:val="auto"/>
          <w:sz w:val="32"/>
          <w:szCs w:val="32"/>
          <w:highlight w:val="none"/>
        </w:rPr>
        <w:t>一</w:t>
      </w:r>
      <w:r>
        <w:rPr>
          <w:rStyle w:val="30"/>
          <w:rFonts w:hint="eastAsia" w:ascii="Times New Roman" w:hAnsi="Times New Roman" w:eastAsia="黑体"/>
          <w:b w:val="0"/>
          <w:color w:val="auto"/>
          <w:highlight w:val="none"/>
        </w:rPr>
        <w:t>般公共预算财政拨款支出决算情况说明</w:t>
      </w:r>
      <w:bookmarkEnd w:id="47"/>
      <w:bookmarkEnd w:id="48"/>
      <w:bookmarkEnd w:id="49"/>
    </w:p>
    <w:p w14:paraId="4191CC4B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50" w:name="_Toc15377210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（一）一般公共预算财政拨款支出决算总体情况</w:t>
      </w:r>
      <w:bookmarkEnd w:id="50"/>
    </w:p>
    <w:p w14:paraId="75ED0C4C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2024年度一般公共预算财政拨款支出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194.49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%。与2023年度相比，一般公共预算财政拨款支出增加12.73万元，增长7%。主要变动原因是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eastAsia="zh-CN"/>
        </w:rPr>
        <w:t>人员增加，导致人员经费增加。</w:t>
      </w:r>
    </w:p>
    <w:p w14:paraId="6E42A5D2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51" w:name="_Toc15377211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（二）一般公共预算财政拨款支出决算结构情况</w:t>
      </w:r>
      <w:bookmarkEnd w:id="51"/>
    </w:p>
    <w:p w14:paraId="0B57B8D5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2024年度一般公共预算财政拨款支出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194.49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，主要用于以下方面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社会保障和就业支出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168.85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万元，占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86.82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%；卫生健康支出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10.71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万元，占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5.51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%；住房保障支出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14.93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万元，占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7.67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E520E92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52" w:name="_Toc15377212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（三）一般公共预算财政拨款支出决算具体情况</w:t>
      </w:r>
      <w:bookmarkEnd w:id="52"/>
    </w:p>
    <w:p w14:paraId="2884623E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53" w:name="_Toc15377444"/>
      <w:bookmarkStart w:id="54" w:name="_Toc15378460"/>
      <w:bookmarkStart w:id="55" w:name="_Toc15377213"/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2024年度一般公共预算财政拨款支出决算数为</w:t>
      </w:r>
      <w:r>
        <w:rPr>
          <w:rFonts w:hint="eastAsia" w:ascii="仿宋_GB2312" w:hAnsi="仿宋_GB2312" w:eastAsia="仿宋_GB2312" w:cs="仿宋_GB2312"/>
          <w:sz w:val="32"/>
          <w:szCs w:val="32"/>
        </w:rPr>
        <w:t>194.49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完成预算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%。其中：</w:t>
      </w:r>
      <w:bookmarkEnd w:id="53"/>
      <w:bookmarkEnd w:id="54"/>
      <w:bookmarkEnd w:id="55"/>
    </w:p>
    <w:p w14:paraId="60CDA87F">
      <w:pPr>
        <w:pStyle w:val="3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.社会保障和就业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支出：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支出决算为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168.85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万元，完成预算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%，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2080150事业运行141.72万元，</w:t>
      </w:r>
      <w:r>
        <w:rPr>
          <w:rStyle w:val="18"/>
          <w:rFonts w:hint="default" w:ascii="仿宋" w:hAnsi="仿宋" w:eastAsia="仿宋" w:cstheme="minorBidi"/>
          <w:b w:val="0"/>
          <w:bCs/>
          <w:sz w:val="32"/>
          <w:szCs w:val="32"/>
          <w:lang w:val="en-US" w:eastAsia="zh-CN"/>
        </w:rPr>
        <w:t>2080505</w:t>
      </w:r>
      <w:r>
        <w:rPr>
          <w:rStyle w:val="18"/>
          <w:rFonts w:hint="eastAsia" w:ascii="仿宋" w:hAnsi="仿宋" w:eastAsia="仿宋" w:cstheme="minorBidi"/>
          <w:b w:val="0"/>
          <w:bCs/>
          <w:sz w:val="32"/>
          <w:szCs w:val="32"/>
          <w:lang w:val="en-US" w:eastAsia="zh-CN"/>
        </w:rPr>
        <w:t>机关事业单位基本养老保险缴费支出18.08万元，</w:t>
      </w:r>
      <w:r>
        <w:rPr>
          <w:rStyle w:val="18"/>
          <w:rFonts w:hint="default" w:ascii="仿宋" w:hAnsi="仿宋" w:eastAsia="仿宋" w:cstheme="minorBidi"/>
          <w:b w:val="0"/>
          <w:bCs/>
          <w:sz w:val="32"/>
          <w:szCs w:val="32"/>
          <w:lang w:val="en-US" w:eastAsia="zh-CN"/>
        </w:rPr>
        <w:t>2080506</w:t>
      </w:r>
      <w:r>
        <w:rPr>
          <w:rStyle w:val="18"/>
          <w:rFonts w:hint="eastAsia" w:ascii="仿宋" w:hAnsi="仿宋" w:eastAsia="仿宋" w:cstheme="minorBidi"/>
          <w:b w:val="0"/>
          <w:bCs/>
          <w:sz w:val="32"/>
          <w:szCs w:val="32"/>
          <w:lang w:val="en-US" w:eastAsia="zh-CN"/>
        </w:rPr>
        <w:t>机关事业单位职业年金缴费支出9.04万元。</w:t>
      </w:r>
    </w:p>
    <w:p w14:paraId="21792D78">
      <w:pPr>
        <w:spacing w:line="600" w:lineRule="exact"/>
        <w:ind w:firstLine="640" w:firstLineChars="200"/>
        <w:rPr>
          <w:rStyle w:val="18"/>
          <w:rFonts w:hint="eastAsia" w:ascii="仿宋" w:hAnsi="仿宋" w:eastAsia="仿宋"/>
          <w:b w:val="0"/>
          <w:bCs/>
          <w:sz w:val="32"/>
          <w:szCs w:val="32"/>
        </w:rPr>
      </w:pP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.卫生健康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支出：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支出决算为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10.71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万元，完成预算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%，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2101102事业单位医疗8.7万元，2101199其他行政事业单位医疗支出2.01万元</w:t>
      </w:r>
      <w:r>
        <w:rPr>
          <w:rStyle w:val="18"/>
          <w:rFonts w:hint="eastAsia" w:ascii="仿宋" w:hAnsi="仿宋" w:eastAsia="仿宋"/>
          <w:b w:val="0"/>
          <w:bCs/>
          <w:sz w:val="32"/>
          <w:szCs w:val="32"/>
        </w:rPr>
        <w:t>。</w:t>
      </w:r>
    </w:p>
    <w:p w14:paraId="6B785D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default" w:ascii="仿宋" w:hAnsi="仿宋" w:eastAsia="仿宋" w:cstheme="minorBidi"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住房保障支出</w:t>
      </w:r>
      <w:r>
        <w:rPr>
          <w:rStyle w:val="37"/>
          <w:rFonts w:hint="eastAsia" w:ascii="仿宋_GB2312" w:hAnsi="Times New Roman" w:eastAsia="仿宋_GB2312" w:cs="仿宋_GB2312"/>
          <w:b/>
          <w:bCs/>
          <w:kern w:val="0"/>
          <w:sz w:val="32"/>
          <w:szCs w:val="32"/>
          <w:shd w:val="clear" w:fill="FFFFFF"/>
        </w:rPr>
        <w:t>：</w:t>
      </w:r>
      <w:r>
        <w:rPr>
          <w:rStyle w:val="18"/>
          <w:rFonts w:hint="default" w:ascii="仿宋" w:hAnsi="仿宋" w:eastAsia="仿宋" w:cstheme="minorBidi"/>
          <w:b w:val="0"/>
          <w:bCs/>
          <w:sz w:val="32"/>
          <w:szCs w:val="32"/>
        </w:rPr>
        <w:t>2210201</w:t>
      </w:r>
      <w:r>
        <w:rPr>
          <w:rStyle w:val="18"/>
          <w:rFonts w:hint="eastAsia" w:ascii="仿宋" w:hAnsi="仿宋" w:eastAsia="仿宋" w:cstheme="minorBidi"/>
          <w:b w:val="0"/>
          <w:bCs/>
          <w:sz w:val="32"/>
          <w:szCs w:val="32"/>
        </w:rPr>
        <w:t>住房公积金：支出决算数为</w:t>
      </w:r>
      <w:r>
        <w:rPr>
          <w:rStyle w:val="18"/>
          <w:rFonts w:hint="eastAsia" w:ascii="仿宋" w:hAnsi="仿宋" w:eastAsia="仿宋" w:cstheme="minorBidi"/>
          <w:b w:val="0"/>
          <w:bCs/>
          <w:sz w:val="32"/>
          <w:szCs w:val="32"/>
          <w:lang w:val="en-US" w:eastAsia="zh-CN"/>
        </w:rPr>
        <w:t>14.93</w:t>
      </w:r>
      <w:r>
        <w:rPr>
          <w:rStyle w:val="18"/>
          <w:rFonts w:hint="eastAsia" w:ascii="仿宋" w:hAnsi="仿宋" w:eastAsia="仿宋" w:cstheme="minorBidi"/>
          <w:b w:val="0"/>
          <w:bCs/>
          <w:sz w:val="32"/>
          <w:szCs w:val="32"/>
        </w:rPr>
        <w:t>万元，完成预算</w:t>
      </w:r>
      <w:r>
        <w:rPr>
          <w:rStyle w:val="18"/>
          <w:rFonts w:hint="default" w:ascii="仿宋" w:hAnsi="仿宋" w:eastAsia="仿宋" w:cstheme="minorBidi"/>
          <w:b w:val="0"/>
          <w:bCs/>
          <w:sz w:val="32"/>
          <w:szCs w:val="32"/>
        </w:rPr>
        <w:t>100%</w:t>
      </w:r>
      <w:r>
        <w:rPr>
          <w:rStyle w:val="18"/>
          <w:rFonts w:hint="eastAsia" w:ascii="仿宋" w:hAnsi="仿宋" w:eastAsia="仿宋" w:cstheme="minorBidi"/>
          <w:b w:val="0"/>
          <w:bCs/>
          <w:sz w:val="32"/>
          <w:szCs w:val="32"/>
        </w:rPr>
        <w:t>。</w:t>
      </w:r>
    </w:p>
    <w:p w14:paraId="0DF091A3">
      <w:pPr>
        <w:tabs>
          <w:tab w:val="right" w:pos="8306"/>
        </w:tabs>
        <w:spacing w:line="600" w:lineRule="exact"/>
        <w:ind w:firstLine="640"/>
        <w:outlineLvl w:val="1"/>
        <w:rPr>
          <w:rStyle w:val="30"/>
          <w:rFonts w:ascii="Times New Roman" w:hAnsi="Times New Roman"/>
          <w:color w:val="auto"/>
          <w:highlight w:val="none"/>
        </w:rPr>
      </w:pPr>
      <w:bookmarkStart w:id="56" w:name="_Toc4228_WPSOffice_Level2"/>
      <w:bookmarkStart w:id="57" w:name="_Toc15396608"/>
      <w:bookmarkStart w:id="58" w:name="_Toc15377214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六</w:t>
      </w:r>
      <w:r>
        <w:rPr>
          <w:rFonts w:hint="eastAsia" w:ascii="Times New Roman" w:hAnsi="Times New Roman" w:eastAsia="黑体"/>
          <w:b/>
          <w:color w:val="auto"/>
          <w:sz w:val="32"/>
          <w:szCs w:val="32"/>
          <w:highlight w:val="none"/>
        </w:rPr>
        <w:t>、一</w:t>
      </w:r>
      <w:r>
        <w:rPr>
          <w:rStyle w:val="30"/>
          <w:rFonts w:hint="eastAsia" w:ascii="Times New Roman" w:hAnsi="Times New Roman" w:eastAsia="黑体"/>
          <w:b w:val="0"/>
          <w:color w:val="auto"/>
          <w:highlight w:val="none"/>
        </w:rPr>
        <w:t>般公共预算财政拨款基本支出决算情况说明</w:t>
      </w:r>
      <w:bookmarkEnd w:id="56"/>
      <w:bookmarkEnd w:id="57"/>
      <w:bookmarkEnd w:id="58"/>
      <w:r>
        <w:rPr>
          <w:rStyle w:val="30"/>
          <w:rFonts w:ascii="Times New Roman" w:hAnsi="Times New Roman" w:eastAsia="黑体"/>
          <w:b w:val="0"/>
          <w:color w:val="auto"/>
          <w:highlight w:val="none"/>
        </w:rPr>
        <w:tab/>
      </w:r>
    </w:p>
    <w:p w14:paraId="5D68857F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2024年度一般公共预算财政拨款基本支出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194.49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元，其中：</w:t>
      </w:r>
    </w:p>
    <w:p w14:paraId="56AE1330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186.84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元，主要包括：基本工资、津贴补贴、奖金、绩效工资、机关事业单位基本养老保险缴费、职业年金缴费、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职工基本医疗保险缴费、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其他社会保障缴费、住房公积金、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医疗费、奖励金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　　公用经费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7.65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元，主要包括：办公费、差旅费、培训费、工会经费等。</w:t>
      </w:r>
    </w:p>
    <w:p w14:paraId="2AA834DB">
      <w:pPr>
        <w:spacing w:line="600" w:lineRule="exact"/>
        <w:ind w:firstLine="640"/>
        <w:outlineLvl w:val="1"/>
        <w:rPr>
          <w:rStyle w:val="30"/>
          <w:rFonts w:ascii="Times New Roman" w:hAnsi="Times New Roman" w:eastAsia="黑体"/>
          <w:b w:val="0"/>
          <w:color w:val="auto"/>
          <w:highlight w:val="none"/>
        </w:rPr>
      </w:pPr>
      <w:bookmarkStart w:id="59" w:name="_Toc30042_WPSOffice_Level2"/>
      <w:bookmarkStart w:id="60" w:name="_Toc15377215"/>
      <w:bookmarkStart w:id="61" w:name="_Toc15396609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七、</w:t>
      </w:r>
      <w:r>
        <w:rPr>
          <w:rStyle w:val="30"/>
          <w:rFonts w:hint="eastAsia" w:ascii="Times New Roman" w:hAnsi="Times New Roman" w:eastAsia="黑体"/>
          <w:b w:val="0"/>
          <w:color w:val="auto"/>
          <w:highlight w:val="none"/>
        </w:rPr>
        <w:t>财政拨款</w:t>
      </w:r>
      <w:r>
        <w:rPr>
          <w:rStyle w:val="30"/>
          <w:rFonts w:hint="eastAsia" w:ascii="Times New Roman" w:hAnsi="Times New Roman" w:eastAsia="黑体"/>
          <w:color w:val="auto"/>
          <w:highlight w:val="none"/>
        </w:rPr>
        <w:t>“</w:t>
      </w:r>
      <w:r>
        <w:rPr>
          <w:rStyle w:val="30"/>
          <w:rFonts w:hint="eastAsia" w:ascii="Times New Roman" w:hAnsi="Times New Roman" w:eastAsia="黑体"/>
          <w:b w:val="0"/>
          <w:color w:val="auto"/>
          <w:highlight w:val="none"/>
        </w:rPr>
        <w:t>三公”经费支出决算情况说明</w:t>
      </w:r>
      <w:bookmarkEnd w:id="59"/>
      <w:bookmarkEnd w:id="60"/>
      <w:bookmarkEnd w:id="61"/>
    </w:p>
    <w:p w14:paraId="5F2D0595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62" w:name="_Toc15377216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（一）“三公”经费财政拨款支出决算总体情况说明</w:t>
      </w:r>
      <w:bookmarkEnd w:id="62"/>
    </w:p>
    <w:p w14:paraId="6A40DFD1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2024年度“三公”经费财政拨款支出决算为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万元，完成预算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较上年度增加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万元，增长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%。决算数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与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预算数持平的主要原因是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未支出“三公”经费。</w:t>
      </w:r>
    </w:p>
    <w:p w14:paraId="3665A60B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63" w:name="_Toc15377217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（二）“三公”经费财政拨款支出决算具体情况说明</w:t>
      </w:r>
      <w:bookmarkEnd w:id="63"/>
    </w:p>
    <w:p w14:paraId="7824689E"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2024年度“三公”经费财政拨款支出决算中，因公出国（境）费支出决算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万元，占0%；公务用车购置及运行维护费支出决算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万元，占0%；公务接待费支出决算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万元，占0%。具体情况如下：</w:t>
      </w:r>
    </w:p>
    <w:p w14:paraId="12DD5767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1.因公出国（境）经费支出</w:t>
      </w:r>
      <w:r>
        <w:rPr>
          <w:rFonts w:hint="eastAsia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万元，完成预算</w:t>
      </w:r>
      <w:r>
        <w:rPr>
          <w:rFonts w:hint="eastAsia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%。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全年安排因公出国（境）团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次，出国（境）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。因公出国（境）支出决算比2023年增加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万元，增长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/减少0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%。</w:t>
      </w:r>
    </w:p>
    <w:p w14:paraId="1C7BC1C1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2.公务用车购置及运行维护费支出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0万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元</w:t>
      </w:r>
      <w:r>
        <w:rPr>
          <w:rFonts w:hint="eastAsia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完成预算</w:t>
      </w:r>
      <w:r>
        <w:rPr>
          <w:rFonts w:hint="eastAsia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%。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公务用车购置及运行维护费支出决算比2023年度增加/减少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万元，增长/下降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%。</w:t>
      </w:r>
    </w:p>
    <w:p w14:paraId="10B27A47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其中：公务用车购置支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万元。全年按规定更新购置公务用车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辆，其中：轿车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辆、金额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万元，越野车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辆、金额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万元，载客汽车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辆、金额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万元。截至2024年12月31日，单位共有公务用车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辆，其中：轿车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辆、越野车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辆、载客汽车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辆。公务用车运行维护费支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万元。</w:t>
      </w:r>
    </w:p>
    <w:p w14:paraId="6D26661F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3.公务接待费支出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0万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元，完成预算</w:t>
      </w:r>
      <w:r>
        <w:rPr>
          <w:rFonts w:hint="eastAsia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%。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公务接待费支出决算比2023年度增加/减少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万元，增长/下降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其中：</w:t>
      </w:r>
    </w:p>
    <w:p w14:paraId="244C50A0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国内公务接待支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元，国内公务接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待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批次，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人次（不包括陪同人员），共计支出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万元。</w:t>
      </w:r>
    </w:p>
    <w:p w14:paraId="65A59D33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外事接待支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万元。外事接待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批次，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人次（不包括陪同人员），共计支出0万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元。</w:t>
      </w:r>
      <w:bookmarkStart w:id="64" w:name="_Toc15377218"/>
      <w:bookmarkStart w:id="65" w:name="_Toc15396610"/>
    </w:p>
    <w:p w14:paraId="32B43436">
      <w:pPr>
        <w:spacing w:line="600" w:lineRule="exact"/>
        <w:ind w:firstLine="640"/>
        <w:outlineLvl w:val="1"/>
        <w:rPr>
          <w:rStyle w:val="30"/>
          <w:rFonts w:ascii="Times New Roman" w:hAnsi="Times New Roman" w:eastAsia="黑体"/>
          <w:color w:val="auto"/>
          <w:highlight w:val="none"/>
        </w:rPr>
      </w:pPr>
      <w:bookmarkStart w:id="66" w:name="_Toc14347_WPSOffice_Level2"/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八、</w:t>
      </w:r>
      <w:r>
        <w:rPr>
          <w:rStyle w:val="30"/>
          <w:rFonts w:hint="eastAsia" w:ascii="Times New Roman" w:hAnsi="Times New Roman" w:eastAsia="黑体"/>
          <w:b w:val="0"/>
          <w:color w:val="auto"/>
          <w:highlight w:val="none"/>
        </w:rPr>
        <w:t>政府性基金预算支出决算情况说明</w:t>
      </w:r>
      <w:bookmarkEnd w:id="64"/>
      <w:bookmarkEnd w:id="65"/>
      <w:bookmarkEnd w:id="66"/>
    </w:p>
    <w:p w14:paraId="29B5C112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2024年度政府性基金预算财政拨款支出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。与2023年度相比，政府性基金预算财政拨款支出增加/减少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万元，增长/下降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B0DA00D">
      <w:pPr>
        <w:numPr>
          <w:ilvl w:val="0"/>
          <w:numId w:val="0"/>
        </w:numPr>
        <w:spacing w:line="600" w:lineRule="exact"/>
        <w:ind w:left="630" w:leftChars="0"/>
        <w:outlineLvl w:val="1"/>
        <w:rPr>
          <w:rStyle w:val="30"/>
          <w:rFonts w:ascii="Times New Roman" w:hAnsi="Times New Roman" w:eastAsia="黑体"/>
          <w:b w:val="0"/>
          <w:color w:val="auto"/>
          <w:highlight w:val="none"/>
        </w:rPr>
      </w:pPr>
      <w:bookmarkStart w:id="67" w:name="_Toc15377219"/>
      <w:bookmarkStart w:id="68" w:name="_Toc15396611"/>
      <w:bookmarkStart w:id="69" w:name="_Toc20365_WPSOffice_Level2"/>
      <w:r>
        <w:rPr>
          <w:rStyle w:val="30"/>
          <w:rFonts w:hint="eastAsia" w:ascii="Times New Roman" w:hAnsi="Times New Roman" w:eastAsia="黑体"/>
          <w:b w:val="0"/>
          <w:color w:val="auto"/>
          <w:highlight w:val="none"/>
          <w:lang w:eastAsia="zh-CN"/>
        </w:rPr>
        <w:t>九、</w:t>
      </w:r>
      <w:r>
        <w:rPr>
          <w:rStyle w:val="30"/>
          <w:rFonts w:hint="eastAsia" w:ascii="Times New Roman" w:hAnsi="Times New Roman" w:eastAsia="黑体"/>
          <w:b w:val="0"/>
          <w:color w:val="auto"/>
          <w:highlight w:val="none"/>
        </w:rPr>
        <w:t>国有资本经营预算支出决算情况说明</w:t>
      </w:r>
      <w:bookmarkEnd w:id="67"/>
      <w:bookmarkEnd w:id="68"/>
      <w:bookmarkEnd w:id="69"/>
    </w:p>
    <w:p w14:paraId="544E3EF8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2024年度国有资本经营预算财政拨款支出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。与2023年度相比，国有资本经营预算财政拨款支出增加/减少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万元，增长/下降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%。</w:t>
      </w:r>
    </w:p>
    <w:p w14:paraId="512A74C7">
      <w:pPr>
        <w:numPr>
          <w:ilvl w:val="0"/>
          <w:numId w:val="0"/>
        </w:numPr>
        <w:spacing w:line="600" w:lineRule="exact"/>
        <w:ind w:left="630" w:leftChars="0"/>
        <w:outlineLvl w:val="1"/>
        <w:rPr>
          <w:rStyle w:val="30"/>
          <w:rFonts w:hint="eastAsia" w:ascii="Times New Roman" w:hAnsi="Times New Roman" w:eastAsia="黑体"/>
          <w:b w:val="0"/>
          <w:color w:val="auto"/>
          <w:highlight w:val="none"/>
        </w:rPr>
      </w:pPr>
      <w:bookmarkStart w:id="70" w:name="_Toc15396612"/>
      <w:bookmarkStart w:id="71" w:name="_Toc4276_WPSOffice_Level2"/>
      <w:bookmarkStart w:id="72" w:name="_Toc15377221"/>
      <w:r>
        <w:rPr>
          <w:rStyle w:val="30"/>
          <w:rFonts w:hint="eastAsia" w:ascii="Times New Roman" w:hAnsi="Times New Roman" w:eastAsia="黑体"/>
          <w:b w:val="0"/>
          <w:color w:val="auto"/>
          <w:highlight w:val="none"/>
          <w:lang w:eastAsia="zh-CN"/>
        </w:rPr>
        <w:t>十、</w:t>
      </w:r>
      <w:r>
        <w:rPr>
          <w:rStyle w:val="30"/>
          <w:rFonts w:hint="eastAsia" w:ascii="Times New Roman" w:hAnsi="Times New Roman" w:eastAsia="黑体"/>
          <w:b w:val="0"/>
          <w:color w:val="auto"/>
          <w:highlight w:val="none"/>
        </w:rPr>
        <w:t>其他重要事项的情况说明</w:t>
      </w:r>
      <w:bookmarkEnd w:id="70"/>
      <w:bookmarkEnd w:id="71"/>
      <w:bookmarkEnd w:id="72"/>
    </w:p>
    <w:p w14:paraId="596930F8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73" w:name="_Toc15377222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（一）机关运行经费支出情况</w:t>
      </w:r>
      <w:bookmarkEnd w:id="73"/>
    </w:p>
    <w:p w14:paraId="3FA2B2A1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阿坝州松潘县劳动人事争议仲裁院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机关运行经费支出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元，比2023年度增加/减少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万元，与2023年度决算数持平。</w:t>
      </w:r>
    </w:p>
    <w:p w14:paraId="7FCA3E70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74" w:name="_Toc15377223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（二）政府采购支出情况</w:t>
      </w:r>
      <w:bookmarkEnd w:id="74"/>
    </w:p>
    <w:p w14:paraId="41AA1568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阿坝州松潘县劳动人事争议仲裁院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政府采购支出总额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万元。授予中小企业合同金额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万元，占政府采购支出总额的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%，其中：授予小微企业合同金额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万元，占政府采购支出总额的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%。</w:t>
      </w:r>
    </w:p>
    <w:p w14:paraId="5449C222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bookmarkStart w:id="75" w:name="_Toc15377224"/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（三）国有资产占有使用情况</w:t>
      </w:r>
      <w:bookmarkEnd w:id="75"/>
    </w:p>
    <w:p w14:paraId="21E9C9B6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截至2024年12月31日，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阿坝州松潘县劳动人事争议仲裁院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共有车辆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辆，其中：主要负责人用车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辆、机要通信用车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辆、应急保障用车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辆、其他用车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辆，其他用车。单价100万元（含）以上设备（不含车辆）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台（套）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54971C0">
      <w:pPr>
        <w:spacing w:line="600" w:lineRule="exact"/>
        <w:ind w:firstLine="643" w:firstLineChars="200"/>
        <w:outlineLvl w:val="2"/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  <w:highlight w:val="none"/>
        </w:rPr>
        <w:t>（四）预算绩效管理情况</w:t>
      </w:r>
    </w:p>
    <w:p w14:paraId="7D8493F1">
      <w:pPr>
        <w:spacing w:line="600" w:lineRule="exact"/>
        <w:ind w:firstLine="640"/>
        <w:rPr>
          <w:rFonts w:hint="eastAsia"/>
          <w:lang w:val="en-US" w:eastAsia="zh-CN"/>
        </w:rPr>
      </w:pP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本单位在2024年度无项目。</w:t>
      </w:r>
    </w:p>
    <w:p w14:paraId="3A5BB1EE">
      <w:pPr>
        <w:numPr>
          <w:ilvl w:val="0"/>
          <w:numId w:val="0"/>
        </w:numPr>
        <w:spacing w:line="600" w:lineRule="exact"/>
        <w:jc w:val="center"/>
        <w:outlineLvl w:val="0"/>
        <w:rPr>
          <w:rFonts w:ascii="Times New Roman" w:hAnsi="Times New Roman"/>
          <w:b/>
          <w:color w:val="auto"/>
          <w:sz w:val="44"/>
          <w:szCs w:val="44"/>
          <w:highlight w:val="none"/>
        </w:rPr>
      </w:pPr>
      <w:bookmarkStart w:id="76" w:name="_Toc15396613"/>
      <w:bookmarkStart w:id="77" w:name="_Toc16878_WPSOffice_Level1"/>
      <w:bookmarkStart w:id="78" w:name="_Toc15377225"/>
      <w:r>
        <w:rPr>
          <w:rFonts w:hint="eastAsia" w:ascii="Times New Roman" w:hAnsi="Times New Roman" w:eastAsia="黑体"/>
          <w:color w:val="auto"/>
          <w:sz w:val="44"/>
          <w:szCs w:val="44"/>
          <w:highlight w:val="none"/>
        </w:rPr>
        <w:t>第</w:t>
      </w:r>
      <w:r>
        <w:rPr>
          <w:rFonts w:hint="eastAsia" w:eastAsia="黑体"/>
          <w:color w:val="auto"/>
          <w:sz w:val="44"/>
          <w:szCs w:val="44"/>
          <w:highlight w:val="none"/>
          <w:lang w:eastAsia="zh-CN"/>
        </w:rPr>
        <w:t>三</w:t>
      </w:r>
      <w:r>
        <w:rPr>
          <w:rFonts w:hint="eastAsia" w:ascii="Times New Roman" w:hAnsi="Times New Roman" w:eastAsia="黑体"/>
          <w:color w:val="auto"/>
          <w:sz w:val="44"/>
          <w:szCs w:val="44"/>
          <w:highlight w:val="none"/>
        </w:rPr>
        <w:t>部分</w:t>
      </w:r>
      <w:r>
        <w:rPr>
          <w:rFonts w:hint="eastAsia" w:ascii="Times New Roman" w:hAnsi="Times New Roman" w:eastAsia="黑体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eastAsia="黑体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color w:val="auto"/>
          <w:sz w:val="44"/>
          <w:szCs w:val="44"/>
          <w:highlight w:val="none"/>
        </w:rPr>
        <w:t>名词解释</w:t>
      </w:r>
      <w:bookmarkEnd w:id="76"/>
      <w:bookmarkEnd w:id="77"/>
      <w:bookmarkEnd w:id="78"/>
    </w:p>
    <w:p w14:paraId="2898CE2F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1.财政拨款收入：指单位从同级财政部门取得的财政预算资金。</w:t>
      </w:r>
    </w:p>
    <w:p w14:paraId="43E13A77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.社会保障和就业（类）</w:t>
      </w: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208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（款）</w:t>
      </w: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01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（项）</w:t>
      </w: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50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指事业运行，（类）</w:t>
      </w: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208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（款）</w:t>
      </w: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05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（项）</w:t>
      </w: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05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是指机关事业单位基本养老保险缴费，（类）</w:t>
      </w: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208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（款）</w:t>
      </w: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05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（项）</w:t>
      </w: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06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机关事业单位职业年金缴费。</w:t>
      </w:r>
    </w:p>
    <w:p w14:paraId="349C1D05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.卫生健康（类）210（款）11（项）02</w:t>
      </w:r>
      <w:bookmarkStart w:id="108" w:name="_GoBack"/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指</w:t>
      </w:r>
      <w:bookmarkEnd w:id="108"/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事业单位医疗，（类）210（款）11（项）99支其他行政事业单位医疗支出。</w:t>
      </w:r>
    </w:p>
    <w:p w14:paraId="36A035A9">
      <w:pPr>
        <w:spacing w:line="600" w:lineRule="exact"/>
        <w:ind w:firstLine="640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.住房保障（类）</w:t>
      </w: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221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（款）</w:t>
      </w: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02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（项）</w:t>
      </w: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01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：指住房公积金。</w:t>
      </w:r>
    </w:p>
    <w:p w14:paraId="48DB5488">
      <w:pPr>
        <w:spacing w:line="600" w:lineRule="exact"/>
        <w:ind w:firstLine="64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.基本支出：指为保障机构正常运转、完成日常工作任务而发生的人员支出和公用支出。</w:t>
      </w:r>
    </w:p>
    <w:p w14:paraId="681C5D8A">
      <w:pPr>
        <w:spacing w:line="600" w:lineRule="exact"/>
        <w:ind w:firstLine="640"/>
        <w:rPr>
          <w:rFonts w:hint="eastAsia" w:ascii="Times New Roman" w:hAnsi="Times New Roman" w:eastAsia="黑体" w:cs="黑体"/>
          <w:color w:val="FF0000"/>
          <w:sz w:val="32"/>
          <w:szCs w:val="32"/>
          <w:highlight w:val="none"/>
        </w:rPr>
      </w:pP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三公</w:t>
      </w:r>
      <w:r>
        <w:rPr>
          <w:rFonts w:hint="eastAsia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  <w:bookmarkStart w:id="79" w:name="_Toc15377226"/>
    </w:p>
    <w:p w14:paraId="3E67EDF5">
      <w:pPr>
        <w:widowControl/>
        <w:jc w:val="center"/>
        <w:rPr>
          <w:rFonts w:hint="eastAsia" w:ascii="Times New Roman" w:hAnsi="Times New Roman" w:eastAsia="仿宋"/>
          <w:b w:val="0"/>
          <w:color w:val="auto"/>
          <w:highlight w:val="none"/>
        </w:rPr>
      </w:pPr>
      <w:bookmarkStart w:id="80" w:name="_Toc15396618"/>
      <w:bookmarkStart w:id="81" w:name="_Toc16900_WPSOffice_Level1"/>
      <w:r>
        <w:rPr>
          <w:rFonts w:hint="eastAsia" w:ascii="Times New Roman" w:hAnsi="Times New Roman" w:eastAsia="黑体"/>
          <w:color w:val="auto"/>
          <w:sz w:val="44"/>
          <w:szCs w:val="44"/>
          <w:highlight w:val="none"/>
        </w:rPr>
        <w:t>第</w:t>
      </w:r>
      <w:r>
        <w:rPr>
          <w:rFonts w:hint="eastAsia" w:eastAsia="黑体"/>
          <w:color w:val="auto"/>
          <w:sz w:val="44"/>
          <w:szCs w:val="44"/>
          <w:highlight w:val="none"/>
          <w:lang w:eastAsia="zh-CN"/>
        </w:rPr>
        <w:t>四</w:t>
      </w:r>
      <w:r>
        <w:rPr>
          <w:rStyle w:val="29"/>
          <w:rFonts w:hint="eastAsia" w:ascii="Times New Roman" w:hAnsi="Times New Roman" w:eastAsia="黑体"/>
          <w:b w:val="0"/>
          <w:color w:val="auto"/>
          <w:highlight w:val="none"/>
        </w:rPr>
        <w:t>部分 附表</w:t>
      </w:r>
      <w:bookmarkEnd w:id="79"/>
      <w:bookmarkEnd w:id="80"/>
      <w:bookmarkEnd w:id="81"/>
      <w:bookmarkStart w:id="82" w:name="_Toc15396619"/>
    </w:p>
    <w:p w14:paraId="18DB843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064CD55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83" w:name="_Toc747_WPSOffice_Level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一、收入支出决算总表</w:t>
      </w:r>
      <w:bookmarkEnd w:id="82"/>
      <w:bookmarkEnd w:id="83"/>
    </w:p>
    <w:p w14:paraId="745A0F3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84" w:name="_Toc15396620"/>
      <w:bookmarkStart w:id="85" w:name="_Toc25902_WPSOffice_Level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二、收入决算表</w:t>
      </w:r>
      <w:bookmarkEnd w:id="84"/>
      <w:bookmarkEnd w:id="85"/>
    </w:p>
    <w:p w14:paraId="0548E0E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86" w:name="_Toc15396621"/>
      <w:bookmarkStart w:id="87" w:name="_Toc17888_WPSOffice_Level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三、支出决算表</w:t>
      </w:r>
      <w:bookmarkEnd w:id="86"/>
      <w:bookmarkEnd w:id="87"/>
    </w:p>
    <w:p w14:paraId="0406838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88" w:name="_Toc14022_WPSOffice_Level2"/>
      <w:bookmarkStart w:id="89" w:name="_Toc1539662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四、财政拨款收入支出决算总表</w:t>
      </w:r>
      <w:bookmarkEnd w:id="88"/>
      <w:bookmarkEnd w:id="89"/>
    </w:p>
    <w:p w14:paraId="057EE694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90" w:name="_Toc28365_WPSOffice_Level2"/>
      <w:bookmarkStart w:id="91" w:name="_Toc15396623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五、财政拨款支出决算明细表</w:t>
      </w:r>
      <w:bookmarkEnd w:id="90"/>
      <w:bookmarkEnd w:id="91"/>
      <w:bookmarkStart w:id="92" w:name="_Toc15396624"/>
    </w:p>
    <w:p w14:paraId="07E2FFE5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93" w:name="_Toc7040_WPSOffice_Level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六、一般公共预算财政拨款支出决算表</w:t>
      </w:r>
      <w:bookmarkEnd w:id="92"/>
      <w:bookmarkEnd w:id="93"/>
    </w:p>
    <w:p w14:paraId="68F69D1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94" w:name="_Toc15396625"/>
      <w:bookmarkStart w:id="95" w:name="_Toc30787_WPSOffice_Level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七、一般公共预算财政拨款支出决算明细表</w:t>
      </w:r>
      <w:bookmarkEnd w:id="94"/>
      <w:bookmarkEnd w:id="95"/>
    </w:p>
    <w:p w14:paraId="1023489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96" w:name="_Toc15396626"/>
      <w:bookmarkStart w:id="97" w:name="_Toc21972_WPSOffice_Level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八、一般公共预算财政拨款基本支出决算表</w:t>
      </w:r>
      <w:bookmarkEnd w:id="96"/>
      <w:bookmarkEnd w:id="97"/>
    </w:p>
    <w:p w14:paraId="3C90B7A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98" w:name="_Toc19522_WPSOffice_Level2"/>
      <w:bookmarkStart w:id="99" w:name="_Toc15396627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九、一般公共预算财政拨款项目支出决算表</w:t>
      </w:r>
      <w:bookmarkEnd w:id="98"/>
      <w:bookmarkEnd w:id="99"/>
    </w:p>
    <w:p w14:paraId="0487EC4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100" w:name="_Toc15396628"/>
      <w:bookmarkStart w:id="101" w:name="_Toc15242_WPSOffice_Level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十、</w:t>
      </w:r>
      <w:bookmarkEnd w:id="10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政府性基金预算财政拨款收入支出决算表</w:t>
      </w:r>
      <w:bookmarkEnd w:id="101"/>
    </w:p>
    <w:p w14:paraId="111B1EA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102" w:name="_Toc15396629"/>
      <w:bookmarkStart w:id="103" w:name="_Toc13867_WPSOffice_Level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十一、</w:t>
      </w:r>
      <w:bookmarkEnd w:id="10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国有资本经营预算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财政拨款收入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支出决算表</w:t>
      </w:r>
      <w:bookmarkEnd w:id="103"/>
    </w:p>
    <w:p w14:paraId="4738FD6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104" w:name="_Toc15396630"/>
      <w:bookmarkStart w:id="105" w:name="_Toc27726_WPSOffice_Level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十二、</w:t>
      </w:r>
      <w:bookmarkEnd w:id="104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国有资本经营预算财政拨款支出决算表</w:t>
      </w:r>
      <w:bookmarkEnd w:id="105"/>
    </w:p>
    <w:p w14:paraId="00307155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bookmarkStart w:id="106" w:name="_Toc15396631"/>
      <w:bookmarkStart w:id="107" w:name="_Toc6534_WPSOffice_Level2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十三、</w:t>
      </w:r>
      <w:bookmarkEnd w:id="106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财政拨款“三公”经费支出决算表</w:t>
      </w:r>
      <w:bookmarkEnd w:id="107"/>
    </w:p>
    <w:p w14:paraId="533D6E09">
      <w:pPr>
        <w:rPr>
          <w:rFonts w:hint="eastAsia" w:ascii="Times New Roman" w:hAnsi="Times New Roman"/>
          <w:lang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66256D-542B-458F-A111-81833A89C9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74326F-62F9-47AA-9920-9750E4D0614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17A7059-51E9-4FF5-A115-D1918E3783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F1F2A93-C2B5-4A30-9AC9-77F2CB012B2D}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5586B1EB-A77F-4A75-ADAB-DAD7DB3703F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A496E29-30C8-4729-9857-6D79E0CCFF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4F5F5"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DB204"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DB204"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DF12BF5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305A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DCFE9"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DCFE9"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AC18D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2B6A9"/>
    <w:multiLevelType w:val="singleLevel"/>
    <w:tmpl w:val="F262B6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1C"/>
    <w:rsid w:val="000222C6"/>
    <w:rsid w:val="0002549F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D6D05"/>
    <w:rsid w:val="002F1818"/>
    <w:rsid w:val="002F567B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33E72"/>
    <w:rsid w:val="00C354B2"/>
    <w:rsid w:val="00C35554"/>
    <w:rsid w:val="00C42709"/>
    <w:rsid w:val="00C533CC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4633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12A5EC2"/>
    <w:rsid w:val="0142528C"/>
    <w:rsid w:val="015975B8"/>
    <w:rsid w:val="02FEBE30"/>
    <w:rsid w:val="039F3CD2"/>
    <w:rsid w:val="04916F1E"/>
    <w:rsid w:val="04C1141D"/>
    <w:rsid w:val="04E73EB7"/>
    <w:rsid w:val="059042A6"/>
    <w:rsid w:val="061E35DE"/>
    <w:rsid w:val="066E0107"/>
    <w:rsid w:val="06B44A5C"/>
    <w:rsid w:val="06B84284"/>
    <w:rsid w:val="07996F6E"/>
    <w:rsid w:val="07DFD8BA"/>
    <w:rsid w:val="09867E8F"/>
    <w:rsid w:val="0A2032A3"/>
    <w:rsid w:val="0A9C0C7B"/>
    <w:rsid w:val="0CA8290A"/>
    <w:rsid w:val="0CF73079"/>
    <w:rsid w:val="0D35B1ED"/>
    <w:rsid w:val="0D691DC2"/>
    <w:rsid w:val="0E254B6B"/>
    <w:rsid w:val="0F98263C"/>
    <w:rsid w:val="101860EC"/>
    <w:rsid w:val="101F47CC"/>
    <w:rsid w:val="104E01C6"/>
    <w:rsid w:val="108C7C79"/>
    <w:rsid w:val="10C055FF"/>
    <w:rsid w:val="11435FFB"/>
    <w:rsid w:val="11694EBD"/>
    <w:rsid w:val="11772AA4"/>
    <w:rsid w:val="118107EC"/>
    <w:rsid w:val="11D0540F"/>
    <w:rsid w:val="12E24EE2"/>
    <w:rsid w:val="13D50BC4"/>
    <w:rsid w:val="13F8484D"/>
    <w:rsid w:val="14B17F78"/>
    <w:rsid w:val="16317B42"/>
    <w:rsid w:val="165E0673"/>
    <w:rsid w:val="16B831D5"/>
    <w:rsid w:val="16BB723D"/>
    <w:rsid w:val="177B667E"/>
    <w:rsid w:val="17E50567"/>
    <w:rsid w:val="186504BB"/>
    <w:rsid w:val="18BE3DF4"/>
    <w:rsid w:val="19A445FC"/>
    <w:rsid w:val="1A737582"/>
    <w:rsid w:val="1BE8440E"/>
    <w:rsid w:val="1C0C734F"/>
    <w:rsid w:val="1C1848F0"/>
    <w:rsid w:val="1C2714EB"/>
    <w:rsid w:val="1C5B61CE"/>
    <w:rsid w:val="1CBB48D2"/>
    <w:rsid w:val="1D155CEE"/>
    <w:rsid w:val="1D1638FE"/>
    <w:rsid w:val="1D1874C6"/>
    <w:rsid w:val="1DBE3074"/>
    <w:rsid w:val="1E312DEB"/>
    <w:rsid w:val="1E740ACF"/>
    <w:rsid w:val="1F5B1A92"/>
    <w:rsid w:val="1F937B7B"/>
    <w:rsid w:val="1FF35744"/>
    <w:rsid w:val="1FF6BC77"/>
    <w:rsid w:val="201D744F"/>
    <w:rsid w:val="203D4A4F"/>
    <w:rsid w:val="2186353C"/>
    <w:rsid w:val="23802D1A"/>
    <w:rsid w:val="23860B96"/>
    <w:rsid w:val="23BF2B3E"/>
    <w:rsid w:val="240371BF"/>
    <w:rsid w:val="244F3473"/>
    <w:rsid w:val="24C32043"/>
    <w:rsid w:val="24C97D99"/>
    <w:rsid w:val="25A718F0"/>
    <w:rsid w:val="25BB59F6"/>
    <w:rsid w:val="25F70121"/>
    <w:rsid w:val="260F557C"/>
    <w:rsid w:val="26970054"/>
    <w:rsid w:val="281408E2"/>
    <w:rsid w:val="285B2FA2"/>
    <w:rsid w:val="29AE52FD"/>
    <w:rsid w:val="29FD04D3"/>
    <w:rsid w:val="2A041A37"/>
    <w:rsid w:val="2BFF7BC6"/>
    <w:rsid w:val="2C8A61B5"/>
    <w:rsid w:val="2C9C6A95"/>
    <w:rsid w:val="2D0233E8"/>
    <w:rsid w:val="2DB956A8"/>
    <w:rsid w:val="2DF04E50"/>
    <w:rsid w:val="2E586DFA"/>
    <w:rsid w:val="2F040D46"/>
    <w:rsid w:val="2F6B035B"/>
    <w:rsid w:val="2FAE5751"/>
    <w:rsid w:val="2FB1A395"/>
    <w:rsid w:val="2FD9A7D8"/>
    <w:rsid w:val="2FDBF714"/>
    <w:rsid w:val="303F5FE5"/>
    <w:rsid w:val="30AB6865"/>
    <w:rsid w:val="3125348D"/>
    <w:rsid w:val="319F7F4E"/>
    <w:rsid w:val="32BD1EF1"/>
    <w:rsid w:val="3304709D"/>
    <w:rsid w:val="33A773CB"/>
    <w:rsid w:val="349D6851"/>
    <w:rsid w:val="36AA5135"/>
    <w:rsid w:val="36BE0DA7"/>
    <w:rsid w:val="376B6AA6"/>
    <w:rsid w:val="376D39B2"/>
    <w:rsid w:val="37E16F03"/>
    <w:rsid w:val="37F53A3B"/>
    <w:rsid w:val="389B6C89"/>
    <w:rsid w:val="38D469F0"/>
    <w:rsid w:val="39627CCD"/>
    <w:rsid w:val="397BAF1F"/>
    <w:rsid w:val="399224CF"/>
    <w:rsid w:val="3A09294F"/>
    <w:rsid w:val="3A221C0D"/>
    <w:rsid w:val="3A377FB0"/>
    <w:rsid w:val="3AB79AF3"/>
    <w:rsid w:val="3AE42370"/>
    <w:rsid w:val="3AE834C0"/>
    <w:rsid w:val="3B7EF35A"/>
    <w:rsid w:val="3B9FDB6C"/>
    <w:rsid w:val="3BDB311E"/>
    <w:rsid w:val="3BE23E05"/>
    <w:rsid w:val="3BF5BC2F"/>
    <w:rsid w:val="3CEBA265"/>
    <w:rsid w:val="3D5B34B4"/>
    <w:rsid w:val="3D98207C"/>
    <w:rsid w:val="3DEE7CF3"/>
    <w:rsid w:val="3E740A63"/>
    <w:rsid w:val="3E78745D"/>
    <w:rsid w:val="3EE17838"/>
    <w:rsid w:val="3F1F6EF3"/>
    <w:rsid w:val="3F3F2DF6"/>
    <w:rsid w:val="3F55381A"/>
    <w:rsid w:val="3F7F7599"/>
    <w:rsid w:val="3FAF0275"/>
    <w:rsid w:val="3FF4CAE0"/>
    <w:rsid w:val="3FF7B227"/>
    <w:rsid w:val="40BE10EF"/>
    <w:rsid w:val="436815B4"/>
    <w:rsid w:val="43B932B4"/>
    <w:rsid w:val="44156A82"/>
    <w:rsid w:val="44AB0C40"/>
    <w:rsid w:val="44E268DA"/>
    <w:rsid w:val="450D13D7"/>
    <w:rsid w:val="45506656"/>
    <w:rsid w:val="46D3288E"/>
    <w:rsid w:val="47335CBD"/>
    <w:rsid w:val="486A6C7A"/>
    <w:rsid w:val="4A627F82"/>
    <w:rsid w:val="4AEF31DB"/>
    <w:rsid w:val="4B0E749A"/>
    <w:rsid w:val="4B2477C4"/>
    <w:rsid w:val="4B4F25DA"/>
    <w:rsid w:val="4BAE1F75"/>
    <w:rsid w:val="4BE068DB"/>
    <w:rsid w:val="4C213543"/>
    <w:rsid w:val="4D577224"/>
    <w:rsid w:val="4DBF1CEB"/>
    <w:rsid w:val="4DF0007C"/>
    <w:rsid w:val="4EA328D4"/>
    <w:rsid w:val="4EAB630A"/>
    <w:rsid w:val="4ECE2238"/>
    <w:rsid w:val="4F833267"/>
    <w:rsid w:val="4FE9BD67"/>
    <w:rsid w:val="4FFB052F"/>
    <w:rsid w:val="51192D00"/>
    <w:rsid w:val="51486CF2"/>
    <w:rsid w:val="51826AF2"/>
    <w:rsid w:val="52FF460D"/>
    <w:rsid w:val="536C5936"/>
    <w:rsid w:val="537E650B"/>
    <w:rsid w:val="537E6D0A"/>
    <w:rsid w:val="53F74C96"/>
    <w:rsid w:val="55170BA8"/>
    <w:rsid w:val="553218C9"/>
    <w:rsid w:val="564377C2"/>
    <w:rsid w:val="567E1AA5"/>
    <w:rsid w:val="56E47B74"/>
    <w:rsid w:val="570D4BA8"/>
    <w:rsid w:val="57175D52"/>
    <w:rsid w:val="575D674A"/>
    <w:rsid w:val="57BD3DD4"/>
    <w:rsid w:val="58705336"/>
    <w:rsid w:val="58723B4C"/>
    <w:rsid w:val="594958FC"/>
    <w:rsid w:val="5AF92295"/>
    <w:rsid w:val="5B250254"/>
    <w:rsid w:val="5BDA7A14"/>
    <w:rsid w:val="5BDD79E6"/>
    <w:rsid w:val="5BF561CA"/>
    <w:rsid w:val="5BFF5DFC"/>
    <w:rsid w:val="5CD71FC4"/>
    <w:rsid w:val="5D0F5772"/>
    <w:rsid w:val="5D1F11B5"/>
    <w:rsid w:val="5D695134"/>
    <w:rsid w:val="5DAE1B18"/>
    <w:rsid w:val="5DE7D9E5"/>
    <w:rsid w:val="5E2B1EC1"/>
    <w:rsid w:val="5E506D57"/>
    <w:rsid w:val="5EA241E7"/>
    <w:rsid w:val="5ECEC941"/>
    <w:rsid w:val="5F913D91"/>
    <w:rsid w:val="5FBF9FF3"/>
    <w:rsid w:val="5FCD4E2C"/>
    <w:rsid w:val="5FEF394A"/>
    <w:rsid w:val="5FF67715"/>
    <w:rsid w:val="60791104"/>
    <w:rsid w:val="60B3046E"/>
    <w:rsid w:val="61783A61"/>
    <w:rsid w:val="62BF3928"/>
    <w:rsid w:val="62EB2733"/>
    <w:rsid w:val="63B3701E"/>
    <w:rsid w:val="647F5392"/>
    <w:rsid w:val="65E66580"/>
    <w:rsid w:val="65EB0F01"/>
    <w:rsid w:val="664B1D71"/>
    <w:rsid w:val="664B4E8E"/>
    <w:rsid w:val="66D40D39"/>
    <w:rsid w:val="67277B67"/>
    <w:rsid w:val="67AA3209"/>
    <w:rsid w:val="67D81EF7"/>
    <w:rsid w:val="68362F26"/>
    <w:rsid w:val="698D0931"/>
    <w:rsid w:val="69FD4892"/>
    <w:rsid w:val="6A193BDE"/>
    <w:rsid w:val="6A7FE5F3"/>
    <w:rsid w:val="6B053271"/>
    <w:rsid w:val="6BAC3806"/>
    <w:rsid w:val="6BB50CB8"/>
    <w:rsid w:val="6BDD78B3"/>
    <w:rsid w:val="6C0866F6"/>
    <w:rsid w:val="6C4A05C8"/>
    <w:rsid w:val="6C8742B8"/>
    <w:rsid w:val="6D316248"/>
    <w:rsid w:val="6DBF5E93"/>
    <w:rsid w:val="6DFF077E"/>
    <w:rsid w:val="6E714EF0"/>
    <w:rsid w:val="6E7E3605"/>
    <w:rsid w:val="6E7FDCC7"/>
    <w:rsid w:val="6ED6A62E"/>
    <w:rsid w:val="6EE00B15"/>
    <w:rsid w:val="6F6FB3EB"/>
    <w:rsid w:val="6F8731EA"/>
    <w:rsid w:val="6FCE6052"/>
    <w:rsid w:val="6FD57C00"/>
    <w:rsid w:val="6FEFFFD8"/>
    <w:rsid w:val="6FF5CC65"/>
    <w:rsid w:val="6FFB47EC"/>
    <w:rsid w:val="6FFF034A"/>
    <w:rsid w:val="70484440"/>
    <w:rsid w:val="706310CF"/>
    <w:rsid w:val="712A28F1"/>
    <w:rsid w:val="715C0E4B"/>
    <w:rsid w:val="71992E7C"/>
    <w:rsid w:val="71E008BB"/>
    <w:rsid w:val="72233669"/>
    <w:rsid w:val="72593EED"/>
    <w:rsid w:val="72734D90"/>
    <w:rsid w:val="73160E6D"/>
    <w:rsid w:val="7332FE48"/>
    <w:rsid w:val="73AB61DA"/>
    <w:rsid w:val="73AD73D5"/>
    <w:rsid w:val="73B6EB34"/>
    <w:rsid w:val="73FA497D"/>
    <w:rsid w:val="744731E5"/>
    <w:rsid w:val="74BBD01D"/>
    <w:rsid w:val="74ED5379"/>
    <w:rsid w:val="75DEEEC2"/>
    <w:rsid w:val="75E32345"/>
    <w:rsid w:val="76E3355F"/>
    <w:rsid w:val="76FF5125"/>
    <w:rsid w:val="7748444B"/>
    <w:rsid w:val="776F6FFA"/>
    <w:rsid w:val="778769C8"/>
    <w:rsid w:val="77A75DCA"/>
    <w:rsid w:val="77DC22F5"/>
    <w:rsid w:val="783E271A"/>
    <w:rsid w:val="78616DE9"/>
    <w:rsid w:val="787B7274"/>
    <w:rsid w:val="78E875D7"/>
    <w:rsid w:val="78FA6D4A"/>
    <w:rsid w:val="79086DAD"/>
    <w:rsid w:val="79951A4F"/>
    <w:rsid w:val="79D7FD79"/>
    <w:rsid w:val="79EE5BA4"/>
    <w:rsid w:val="7A894339"/>
    <w:rsid w:val="7AD284E8"/>
    <w:rsid w:val="7AFF7572"/>
    <w:rsid w:val="7B6C7DFB"/>
    <w:rsid w:val="7B6E445A"/>
    <w:rsid w:val="7BBFBED0"/>
    <w:rsid w:val="7BC3E394"/>
    <w:rsid w:val="7BCD617E"/>
    <w:rsid w:val="7C1F3737"/>
    <w:rsid w:val="7C686CC3"/>
    <w:rsid w:val="7CBFC87B"/>
    <w:rsid w:val="7CEE01A0"/>
    <w:rsid w:val="7CF02E0A"/>
    <w:rsid w:val="7CFE0F48"/>
    <w:rsid w:val="7D272ABC"/>
    <w:rsid w:val="7D7EC23E"/>
    <w:rsid w:val="7D9D501E"/>
    <w:rsid w:val="7DB66B51"/>
    <w:rsid w:val="7DC1799E"/>
    <w:rsid w:val="7E8ADEBF"/>
    <w:rsid w:val="7EEF11D3"/>
    <w:rsid w:val="7EFE4840"/>
    <w:rsid w:val="7F0971A6"/>
    <w:rsid w:val="7F1D62E7"/>
    <w:rsid w:val="7F3F679B"/>
    <w:rsid w:val="7F4FC4EF"/>
    <w:rsid w:val="7F5E4D54"/>
    <w:rsid w:val="7F6E0135"/>
    <w:rsid w:val="7F79F205"/>
    <w:rsid w:val="7FA30C79"/>
    <w:rsid w:val="7FA79C44"/>
    <w:rsid w:val="7FAF8ABF"/>
    <w:rsid w:val="7FB7269E"/>
    <w:rsid w:val="7FC96657"/>
    <w:rsid w:val="7FDA9588"/>
    <w:rsid w:val="7FDF220F"/>
    <w:rsid w:val="7FEDC5F7"/>
    <w:rsid w:val="7FEDD9DE"/>
    <w:rsid w:val="7FF5890D"/>
    <w:rsid w:val="7FF93490"/>
    <w:rsid w:val="99FF2014"/>
    <w:rsid w:val="A6DD0D7F"/>
    <w:rsid w:val="ACFF4FBB"/>
    <w:rsid w:val="ADC6F725"/>
    <w:rsid w:val="B7CF06AB"/>
    <w:rsid w:val="B7CFA926"/>
    <w:rsid w:val="B7F8786B"/>
    <w:rsid w:val="BABB6AA1"/>
    <w:rsid w:val="BB2F4199"/>
    <w:rsid w:val="BCFFB442"/>
    <w:rsid w:val="BD079C78"/>
    <w:rsid w:val="BD733540"/>
    <w:rsid w:val="BF3735D5"/>
    <w:rsid w:val="BF7F09AC"/>
    <w:rsid w:val="BFD475C3"/>
    <w:rsid w:val="BFDE5EA6"/>
    <w:rsid w:val="CF6FC6F3"/>
    <w:rsid w:val="CFD3D3D7"/>
    <w:rsid w:val="CFDF1009"/>
    <w:rsid w:val="D7D7B16A"/>
    <w:rsid w:val="D8D6DB89"/>
    <w:rsid w:val="DB6F4CAB"/>
    <w:rsid w:val="DB777682"/>
    <w:rsid w:val="DD1FB521"/>
    <w:rsid w:val="DEFBFEAE"/>
    <w:rsid w:val="DF1F3B80"/>
    <w:rsid w:val="DF6F9789"/>
    <w:rsid w:val="DFE9BE81"/>
    <w:rsid w:val="DFFFA9E8"/>
    <w:rsid w:val="E5F4E9DC"/>
    <w:rsid w:val="E70FE695"/>
    <w:rsid w:val="EB2E368B"/>
    <w:rsid w:val="ECFED1BC"/>
    <w:rsid w:val="ED1D69BB"/>
    <w:rsid w:val="ED7FD312"/>
    <w:rsid w:val="EF2E1AC6"/>
    <w:rsid w:val="EF53993F"/>
    <w:rsid w:val="EF6FD633"/>
    <w:rsid w:val="EFBFB2F4"/>
    <w:rsid w:val="EFBFFA21"/>
    <w:rsid w:val="F2BEBCB8"/>
    <w:rsid w:val="F36FB518"/>
    <w:rsid w:val="F3DE1A04"/>
    <w:rsid w:val="F3F722E5"/>
    <w:rsid w:val="F4FBCD07"/>
    <w:rsid w:val="FA5F1E70"/>
    <w:rsid w:val="FA5FDB97"/>
    <w:rsid w:val="FB7F486A"/>
    <w:rsid w:val="FBFF5B2E"/>
    <w:rsid w:val="FD7FFE2B"/>
    <w:rsid w:val="FDEE196B"/>
    <w:rsid w:val="FDFE6575"/>
    <w:rsid w:val="FEDFDDC2"/>
    <w:rsid w:val="FEED32F6"/>
    <w:rsid w:val="FEF781DD"/>
    <w:rsid w:val="FF3F7E3F"/>
    <w:rsid w:val="FFBA12D7"/>
    <w:rsid w:val="FFCBD314"/>
    <w:rsid w:val="FFDFF91C"/>
    <w:rsid w:val="FFDFFAEE"/>
    <w:rsid w:val="FFEF6777"/>
    <w:rsid w:val="FFF9B57B"/>
    <w:rsid w:val="FFFD61D9"/>
    <w:rsid w:val="FFFD8F59"/>
    <w:rsid w:val="FFFF2BB1"/>
    <w:rsid w:val="FFFFB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spacing w:before="0" w:beforeAutospacing="0" w:after="0" w:afterAutospacing="0"/>
      <w:ind w:left="0" w:leftChars="200" w:right="0" w:hanging="200" w:hanging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Body Text"/>
    <w:basedOn w:val="1"/>
    <w:link w:val="26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7">
    <w:name w:val="Body Text Indent"/>
    <w:basedOn w:val="1"/>
    <w:next w:val="8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8">
    <w:name w:val="Body Text First Indent 2"/>
    <w:basedOn w:val="7"/>
    <w:unhideWhenUsed/>
    <w:qFormat/>
    <w:uiPriority w:val="99"/>
    <w:pPr>
      <w:ind w:firstLine="420" w:firstLineChars="200"/>
    </w:pPr>
  </w:style>
  <w:style w:type="paragraph" w:styleId="9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10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2">
    <w:name w:val="header"/>
    <w:basedOn w:val="1"/>
    <w:link w:val="2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4">
    <w:name w:val="footnote text"/>
    <w:basedOn w:val="1"/>
    <w:next w:val="8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character" w:styleId="18">
    <w:name w:val="Strong"/>
    <w:basedOn w:val="17"/>
    <w:qFormat/>
    <w:uiPriority w:val="99"/>
    <w:rPr>
      <w:b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character" w:customStyle="1" w:styleId="21">
    <w:name w:val="Header Char"/>
    <w:basedOn w:val="17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2">
    <w:name w:val="页眉 Char"/>
    <w:link w:val="12"/>
    <w:semiHidden/>
    <w:qFormat/>
    <w:locked/>
    <w:uiPriority w:val="99"/>
    <w:rPr>
      <w:sz w:val="18"/>
    </w:rPr>
  </w:style>
  <w:style w:type="character" w:customStyle="1" w:styleId="23">
    <w:name w:val="Footer Char"/>
    <w:basedOn w:val="17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4">
    <w:name w:val="页脚 Char"/>
    <w:link w:val="11"/>
    <w:qFormat/>
    <w:locked/>
    <w:uiPriority w:val="99"/>
    <w:rPr>
      <w:sz w:val="18"/>
    </w:rPr>
  </w:style>
  <w:style w:type="character" w:customStyle="1" w:styleId="25">
    <w:name w:val="Body Text Char"/>
    <w:basedOn w:val="17"/>
    <w:semiHidden/>
    <w:qFormat/>
    <w:uiPriority w:val="99"/>
    <w:rPr>
      <w:rFonts w:ascii="Times New Roman" w:hAnsi="Times New Roman"/>
      <w:szCs w:val="24"/>
    </w:rPr>
  </w:style>
  <w:style w:type="character" w:customStyle="1" w:styleId="26">
    <w:name w:val="正文文本 Char"/>
    <w:link w:val="6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1 Char"/>
    <w:basedOn w:val="17"/>
    <w:link w:val="3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0">
    <w:name w:val="标题 2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1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2">
    <w:name w:val="批注框文本 Char"/>
    <w:basedOn w:val="17"/>
    <w:link w:val="10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3">
    <w:name w:val="标题 3 Char"/>
    <w:basedOn w:val="17"/>
    <w:link w:val="5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4">
    <w:name w:val="TOC Heading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5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  <w:style w:type="paragraph" w:customStyle="1" w:styleId="3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37">
    <w:name w:val="16"/>
    <w:basedOn w:val="17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3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39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c2127a6f-ebad-47ac-aa13-c4e48b92f65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127a6f-ebad-47ac-aa13-c4e48b92f65f}"/>
      </w:docPartPr>
      <w:docPartBody>
        <w:p w14:paraId="7060DE6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cabe53f-de06-4c49-811a-43bf0948b10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abe53f-de06-4c49-811a-43bf0948b10f}"/>
      </w:docPartPr>
      <w:docPartBody>
        <w:p w14:paraId="3537D9C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e742ce0-b2b4-4966-be41-9bd016b35a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742ce0-b2b4-4966-be41-9bd016b35a04}"/>
      </w:docPartPr>
      <w:docPartBody>
        <w:p w14:paraId="6AAA9D9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487852d-c2d4-4118-b0eb-d9f83ebb6be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87852d-c2d4-4118-b0eb-d9f83ebb6bec}"/>
      </w:docPartPr>
      <w:docPartBody>
        <w:p w14:paraId="31652F2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6a45bec-58ad-4302-ad97-7e57e69268a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a45bec-58ad-4302-ad97-7e57e69268ae}"/>
      </w:docPartPr>
      <w:docPartBody>
        <w:p w14:paraId="72B5E28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1a036ed-3245-447e-9bc7-e9e5d297baa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a036ed-3245-447e-9bc7-e9e5d297baa2}"/>
      </w:docPartPr>
      <w:docPartBody>
        <w:p w14:paraId="505832B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bdc5fbd-0939-4219-aba9-f2ba16b7f9b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dc5fbd-0939-4219-aba9-f2ba16b7f9b7}"/>
      </w:docPartPr>
      <w:docPartBody>
        <w:p w14:paraId="231CADF6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6889486-bf87-4f62-90bc-d42ac65c18c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889486-bf87-4f62-90bc-d42ac65c18c0}"/>
      </w:docPartPr>
      <w:docPartBody>
        <w:p w14:paraId="29AD8D0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146056d-b80a-4be8-8380-796159c2620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46056d-b80a-4be8-8380-796159c2620f}"/>
      </w:docPartPr>
      <w:docPartBody>
        <w:p w14:paraId="6651640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29c27c4-fb44-4b97-b1ef-016d4790ef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9c27c4-fb44-4b97-b1ef-016d4790ef1c}"/>
      </w:docPartPr>
      <w:docPartBody>
        <w:p w14:paraId="43B1501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5415acf-11e0-4327-8032-8c58430c263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415acf-11e0-4327-8032-8c58430c2632}"/>
      </w:docPartPr>
      <w:docPartBody>
        <w:p w14:paraId="510D521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4b52c38-3177-4bd3-aef2-9648bd6fabc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b52c38-3177-4bd3-aef2-9648bd6fabc8}"/>
      </w:docPartPr>
      <w:docPartBody>
        <w:p w14:paraId="7FEAD646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48704c5-0f26-4fbb-9b93-d50ea33d40a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8704c5-0f26-4fbb-9b93-d50ea33d40a9}"/>
      </w:docPartPr>
      <w:docPartBody>
        <w:p w14:paraId="3824084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c3ddb51-4eeb-4dff-9922-6a3b45f5a9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3ddb51-4eeb-4dff-9922-6a3b45f5a95c}"/>
      </w:docPartPr>
      <w:docPartBody>
        <w:p w14:paraId="6B8B9AF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05b8ffb-4f09-4a40-a213-1c5e253774e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5b8ffb-4f09-4a40-a213-1c5e253774ee}"/>
      </w:docPartPr>
      <w:docPartBody>
        <w:p w14:paraId="55EF5C8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7191897-8210-41f4-b8b8-0c4e24835c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191897-8210-41f4-b8b8-0c4e24835c3d}"/>
      </w:docPartPr>
      <w:docPartBody>
        <w:p w14:paraId="3A6F979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028c6d8-f413-4d1c-b5ed-7989b47221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28c6d8-f413-4d1c-b5ed-7989b47221c1}"/>
      </w:docPartPr>
      <w:docPartBody>
        <w:p w14:paraId="1212A52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c90006b-6a35-461c-85db-115900201d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90006b-6a35-461c-85db-115900201d1a}"/>
      </w:docPartPr>
      <w:docPartBody>
        <w:p w14:paraId="497AFBC6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725c726-cac8-4761-855f-5a9f1765849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25c726-cac8-4761-855f-5a9f17658491}"/>
      </w:docPartPr>
      <w:docPartBody>
        <w:p w14:paraId="77EA82B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9f59cb1-6828-4f92-90ef-611d1405ac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f59cb1-6828-4f92-90ef-611d1405ac8c}"/>
      </w:docPartPr>
      <w:docPartBody>
        <w:p w14:paraId="58B8A22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1738f07-f7a5-465b-9e91-c5829560bfc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738f07-f7a5-465b-9e91-c5829560bfc7}"/>
      </w:docPartPr>
      <w:docPartBody>
        <w:p w14:paraId="050DD1E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dbe78e3-1caf-4089-b944-bfcc41bb516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e78e3-1caf-4089-b944-bfcc41bb5168}"/>
      </w:docPartPr>
      <w:docPartBody>
        <w:p w14:paraId="4453FEF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f8d66b1-da36-4539-87db-4f5adb5abc7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8d66b1-da36-4539-87db-4f5adb5abc78}"/>
      </w:docPartPr>
      <w:docPartBody>
        <w:p w14:paraId="721BC52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bd6e93d-1714-409c-956b-1ec0f84f631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d6e93d-1714-409c-956b-1ec0f84f6310}"/>
      </w:docPartPr>
      <w:docPartBody>
        <w:p w14:paraId="4BEC6B5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bdcb958-7785-448b-8e95-95dd928204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dcb958-7785-448b-8e95-95dd928204f0}"/>
      </w:docPartPr>
      <w:docPartBody>
        <w:p w14:paraId="4C6AB50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e382e81-a3a8-422f-89ae-b09cd2fa6a3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382e81-a3a8-422f-89ae-b09cd2fa6a35}"/>
      </w:docPartPr>
      <w:docPartBody>
        <w:p w14:paraId="6811581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d5d9357-9b29-476f-877a-a01f2b47ca9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5d9357-9b29-476f-877a-a01f2b47ca90}"/>
      </w:docPartPr>
      <w:docPartBody>
        <w:p w14:paraId="0590F64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1dfa29d-f795-4aac-a267-27107abe8c1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dfa29d-f795-4aac-a267-27107abe8c19}"/>
      </w:docPartPr>
      <w:docPartBody>
        <w:p w14:paraId="2426FBC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0a27035-39a2-4bfc-a500-62615c1e753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a27035-39a2-4bfc-a500-62615c1e7534}"/>
      </w:docPartPr>
      <w:docPartBody>
        <w:p w14:paraId="00C857B7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12</Pages>
  <Words>3901</Words>
  <Characters>4278</Characters>
  <Lines>61</Lines>
  <Paragraphs>17</Paragraphs>
  <TotalTime>5</TotalTime>
  <ScaleCrop>false</ScaleCrop>
  <LinksUpToDate>false</LinksUpToDate>
  <CharactersWithSpaces>4328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2020-08-09T09:49:00Z</dcterms:created>
  <dc:creator>曹颖</dc:creator>
  <cp:lastModifiedBy>奕夕^_^</cp:lastModifiedBy>
  <cp:lastPrinted>2025-08-06T17:34:00Z</cp:lastPrinted>
  <dcterms:modified xsi:type="dcterms:W3CDTF">2025-10-16T02:09:24Z</dcterms:modified>
  <dc:title>四川省***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04787F2533EB45DC91BCDE4AB213247F</vt:lpwstr>
  </property>
  <property fmtid="{D5CDD505-2E9C-101B-9397-08002B2CF9AE}" pid="4" name="KSOTemplateDocerSaveRecord">
    <vt:lpwstr>eyJoZGlkIjoiNTU1MWNhN2ZmY2ZhZmY3ODhlYTg0MWU5OGMyY2QwZmUiLCJ1c2VySWQiOiI0MzQ2NTM0NzEifQ==</vt:lpwstr>
  </property>
</Properties>
</file>