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E15A9BB">
      <w:pPr>
        <w:spacing w:line="600" w:lineRule="exact"/>
        <w:jc w:val="left"/>
        <w:outlineLvl w:val="0"/>
        <w:rPr>
          <w:rFonts w:ascii="方正小标宋简体" w:hAnsi="宋体" w:eastAsia="方正小标宋简体"/>
          <w:szCs w:val="21"/>
        </w:rPr>
      </w:pPr>
      <w:bookmarkStart w:id="0" w:name="_Toc15306267"/>
    </w:p>
    <w:p w14:paraId="0F9EA7BD">
      <w:pPr>
        <w:pStyle w:val="7"/>
        <w:spacing w:before="93"/>
      </w:pPr>
    </w:p>
    <w:p w14:paraId="0EDF9AC2">
      <w:pPr>
        <w:spacing w:line="600" w:lineRule="exact"/>
        <w:jc w:val="center"/>
        <w:outlineLvl w:val="0"/>
        <w:rPr>
          <w:rFonts w:ascii="方正小标宋简体" w:hAnsi="宋体" w:eastAsia="方正小标宋简体"/>
          <w:sz w:val="72"/>
          <w:szCs w:val="72"/>
        </w:rPr>
      </w:pPr>
    </w:p>
    <w:p w14:paraId="78CE90D2">
      <w:pPr>
        <w:spacing w:line="600" w:lineRule="exact"/>
        <w:jc w:val="center"/>
        <w:outlineLvl w:val="0"/>
        <w:rPr>
          <w:rFonts w:ascii="方正小标宋简体" w:hAnsi="宋体" w:eastAsia="方正小标宋简体"/>
          <w:sz w:val="72"/>
          <w:szCs w:val="72"/>
        </w:rPr>
      </w:pPr>
    </w:p>
    <w:p w14:paraId="4327D94E">
      <w:pPr>
        <w:adjustRightInd w:val="0"/>
        <w:snapToGrid w:val="0"/>
        <w:spacing w:line="360" w:lineRule="auto"/>
        <w:jc w:val="center"/>
        <w:outlineLvl w:val="0"/>
        <w:rPr>
          <w:rFonts w:hint="eastAsia" w:ascii="方正小标宋简体" w:hAnsi="方正小标宋简体" w:eastAsia="方正小标宋简体" w:cs="方正小标宋简体"/>
          <w:sz w:val="48"/>
          <w:szCs w:val="48"/>
          <w:lang w:eastAsia="zh-CN"/>
        </w:rPr>
      </w:pPr>
      <w:bookmarkStart w:id="1" w:name="_Toc15396597"/>
      <w:bookmarkStart w:id="2" w:name="_Toc15377193"/>
      <w:bookmarkStart w:id="3" w:name="_Toc15378441"/>
      <w:bookmarkStart w:id="4" w:name="_Toc15377425"/>
      <w:bookmarkStart w:id="5" w:name="_Toc15396475"/>
      <w:r>
        <w:rPr>
          <w:rFonts w:hint="eastAsia" w:ascii="方正小标宋简体" w:hAnsi="方正小标宋简体" w:eastAsia="方正小标宋简体" w:cs="方正小标宋简体"/>
          <w:sz w:val="48"/>
          <w:szCs w:val="48"/>
        </w:rPr>
        <w:t>2023年度</w:t>
      </w:r>
      <w:bookmarkEnd w:id="1"/>
      <w:bookmarkEnd w:id="2"/>
      <w:bookmarkEnd w:id="3"/>
      <w:bookmarkEnd w:id="4"/>
      <w:bookmarkEnd w:id="5"/>
      <w:bookmarkStart w:id="6" w:name="_Toc15378442"/>
      <w:bookmarkStart w:id="7" w:name="_Toc15396476"/>
      <w:bookmarkStart w:id="8" w:name="_Toc15377194"/>
      <w:bookmarkStart w:id="9" w:name="_Toc15396598"/>
      <w:bookmarkStart w:id="10" w:name="_Toc15377426"/>
      <w:r>
        <w:rPr>
          <w:rFonts w:hint="eastAsia" w:ascii="方正小标宋简体" w:hAnsi="方正小标宋简体" w:eastAsia="方正小标宋简体" w:cs="方正小标宋简体"/>
          <w:sz w:val="48"/>
          <w:szCs w:val="48"/>
        </w:rPr>
        <w:t>四川省</w:t>
      </w:r>
      <w:bookmarkEnd w:id="0"/>
      <w:bookmarkStart w:id="11" w:name="_Toc15306268"/>
      <w:r>
        <w:rPr>
          <w:rFonts w:hint="eastAsia" w:ascii="方正小标宋简体" w:hAnsi="方正小标宋简体" w:eastAsia="方正小标宋简体" w:cs="方正小标宋简体"/>
          <w:sz w:val="48"/>
          <w:szCs w:val="48"/>
          <w:lang w:eastAsia="zh-CN"/>
        </w:rPr>
        <w:t>阿坝州松潘县</w:t>
      </w:r>
    </w:p>
    <w:p w14:paraId="388778D7">
      <w:pPr>
        <w:adjustRightInd w:val="0"/>
        <w:snapToGrid w:val="0"/>
        <w:spacing w:line="360" w:lineRule="auto"/>
        <w:jc w:val="center"/>
        <w:outlineLvl w:val="0"/>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lang w:eastAsia="zh-CN"/>
        </w:rPr>
        <w:t>人力资源和社会保障局</w:t>
      </w:r>
      <w:r>
        <w:rPr>
          <w:rFonts w:hint="eastAsia" w:ascii="方正小标宋简体" w:hAnsi="方正小标宋简体" w:eastAsia="方正小标宋简体" w:cs="方正小标宋简体"/>
          <w:sz w:val="48"/>
          <w:szCs w:val="48"/>
        </w:rPr>
        <w:t>单位决算</w:t>
      </w:r>
      <w:bookmarkEnd w:id="6"/>
      <w:bookmarkEnd w:id="7"/>
      <w:bookmarkEnd w:id="8"/>
      <w:bookmarkEnd w:id="9"/>
      <w:bookmarkEnd w:id="10"/>
      <w:bookmarkEnd w:id="11"/>
    </w:p>
    <w:p w14:paraId="7A673431">
      <w:pPr>
        <w:widowControl/>
        <w:jc w:val="center"/>
        <w:rPr>
          <w:rFonts w:ascii="黑体" w:hAnsi="黑体" w:eastAsia="黑体"/>
          <w:sz w:val="48"/>
          <w:szCs w:val="48"/>
        </w:rPr>
      </w:pPr>
      <w:r>
        <w:rPr>
          <w:rFonts w:ascii="方正小标宋简体" w:hAnsi="宋体" w:eastAsia="方正小标宋简体"/>
          <w:sz w:val="36"/>
          <w:szCs w:val="36"/>
        </w:rPr>
        <w:br w:type="page"/>
      </w:r>
      <w:r>
        <w:rPr>
          <w:rFonts w:hint="eastAsia" w:ascii="黑体" w:hAnsi="黑体" w:eastAsia="黑体"/>
          <w:sz w:val="48"/>
          <w:szCs w:val="48"/>
        </w:rPr>
        <w:t>目录</w:t>
      </w:r>
    </w:p>
    <w:p w14:paraId="7C09ECD4">
      <w:pPr>
        <w:widowControl/>
        <w:jc w:val="center"/>
        <w:rPr>
          <w:rFonts w:ascii="黑体" w:hAnsi="黑体" w:eastAsia="黑体" w:cstheme="minorBidi"/>
          <w:sz w:val="28"/>
          <w:szCs w:val="28"/>
        </w:rPr>
      </w:pPr>
    </w:p>
    <w:p w14:paraId="16A0C2BD">
      <w:pPr>
        <w:pStyle w:val="12"/>
      </w:pPr>
      <w:r>
        <w:rPr>
          <w:rFonts w:hint="eastAsia"/>
        </w:rPr>
        <w:t>公开时间：202</w:t>
      </w:r>
      <w:r>
        <w:rPr>
          <w:rFonts w:hint="eastAsia"/>
          <w:lang w:val="en-US" w:eastAsia="zh-CN"/>
        </w:rPr>
        <w:t>4</w:t>
      </w:r>
      <w:r>
        <w:rPr>
          <w:rFonts w:hint="eastAsia"/>
        </w:rPr>
        <w:t>年9月</w:t>
      </w:r>
      <w:r>
        <w:rPr>
          <w:rFonts w:hint="eastAsia"/>
          <w:lang w:val="en-US" w:eastAsia="zh-CN"/>
        </w:rPr>
        <w:t>19</w:t>
      </w:r>
      <w:r>
        <w:rPr>
          <w:rFonts w:hint="eastAsia"/>
        </w:rPr>
        <w:t>日</w:t>
      </w:r>
    </w:p>
    <w:p w14:paraId="3DD95734"/>
    <w:p w14:paraId="027B632E">
      <w:pPr>
        <w:pStyle w:val="12"/>
        <w:adjustRightInd w:val="0"/>
        <w:snapToGrid w:val="0"/>
        <w:spacing w:before="0" w:line="440" w:lineRule="exact"/>
        <w:jc w:val="left"/>
        <w:rPr>
          <w:rFonts w:cstheme="minorBidi"/>
          <w:sz w:val="24"/>
          <w:szCs w:val="24"/>
        </w:rPr>
      </w:pPr>
      <w:r>
        <w:rPr>
          <w:rFonts w:hint="eastAsia"/>
          <w:sz w:val="24"/>
        </w:rPr>
        <w:t>第一部分</w:t>
      </w:r>
      <w:r>
        <w:rPr>
          <w:sz w:val="24"/>
        </w:rPr>
        <w:t xml:space="preserve"> </w:t>
      </w:r>
      <w:r>
        <w:rPr>
          <w:rFonts w:hint="eastAsia"/>
          <w:sz w:val="24"/>
        </w:rPr>
        <w:t>单位概况</w:t>
      </w:r>
    </w:p>
    <w:p w14:paraId="2EDEC413">
      <w:pPr>
        <w:pStyle w:val="14"/>
        <w:adjustRightInd w:val="0"/>
        <w:snapToGrid w:val="0"/>
        <w:spacing w:line="440" w:lineRule="exact"/>
        <w:jc w:val="left"/>
        <w:rPr>
          <w:sz w:val="24"/>
        </w:rPr>
      </w:pPr>
      <w:r>
        <w:rPr>
          <w:rFonts w:hint="eastAsia"/>
          <w:sz w:val="24"/>
        </w:rPr>
        <w:t>一、主要职责</w:t>
      </w:r>
    </w:p>
    <w:p w14:paraId="175E3665">
      <w:pPr>
        <w:pStyle w:val="14"/>
        <w:adjustRightInd w:val="0"/>
        <w:snapToGrid w:val="0"/>
        <w:spacing w:line="440" w:lineRule="exact"/>
        <w:jc w:val="left"/>
      </w:pPr>
      <w:r>
        <w:rPr>
          <w:rFonts w:hint="eastAsia"/>
          <w:sz w:val="24"/>
        </w:rPr>
        <w:t>二、机构设置</w:t>
      </w:r>
    </w:p>
    <w:p w14:paraId="0E749869">
      <w:pPr>
        <w:pStyle w:val="12"/>
        <w:adjustRightInd w:val="0"/>
        <w:snapToGrid w:val="0"/>
        <w:spacing w:before="0" w:line="440" w:lineRule="exact"/>
        <w:jc w:val="left"/>
        <w:rPr>
          <w:sz w:val="24"/>
          <w:szCs w:val="24"/>
        </w:rPr>
      </w:pPr>
      <w:r>
        <w:rPr>
          <w:rFonts w:hint="eastAsia"/>
          <w:sz w:val="24"/>
        </w:rPr>
        <w:t>第二部分 2023年度单位决算情况说明</w:t>
      </w:r>
    </w:p>
    <w:p w14:paraId="65135A5C">
      <w:pPr>
        <w:pStyle w:val="14"/>
        <w:adjustRightInd w:val="0"/>
        <w:snapToGrid w:val="0"/>
        <w:spacing w:line="440" w:lineRule="exact"/>
        <w:jc w:val="left"/>
        <w:rPr>
          <w:rFonts w:ascii="仿宋" w:hAnsi="仿宋" w:eastAsia="仿宋" w:cstheme="minorBidi"/>
          <w:sz w:val="24"/>
        </w:rPr>
      </w:pPr>
      <w:r>
        <w:rPr>
          <w:rFonts w:hint="eastAsia"/>
          <w:sz w:val="24"/>
        </w:rPr>
        <w:t>一、收入支出决算总体情况说明</w:t>
      </w:r>
    </w:p>
    <w:p w14:paraId="418CF487">
      <w:pPr>
        <w:pStyle w:val="14"/>
        <w:adjustRightInd w:val="0"/>
        <w:snapToGrid w:val="0"/>
        <w:spacing w:line="440" w:lineRule="exact"/>
        <w:jc w:val="left"/>
        <w:rPr>
          <w:rFonts w:ascii="仿宋" w:hAnsi="仿宋" w:eastAsia="仿宋" w:cstheme="minorBidi"/>
          <w:sz w:val="24"/>
        </w:rPr>
      </w:pPr>
      <w:r>
        <w:rPr>
          <w:rFonts w:hint="eastAsia"/>
          <w:sz w:val="24"/>
        </w:rPr>
        <w:t>二、收入决算情况说明</w:t>
      </w:r>
    </w:p>
    <w:p w14:paraId="5F2F955A">
      <w:pPr>
        <w:pStyle w:val="14"/>
        <w:adjustRightInd w:val="0"/>
        <w:snapToGrid w:val="0"/>
        <w:spacing w:line="440" w:lineRule="exact"/>
        <w:jc w:val="left"/>
        <w:rPr>
          <w:rFonts w:ascii="仿宋" w:hAnsi="仿宋" w:eastAsia="仿宋" w:cstheme="minorBidi"/>
          <w:sz w:val="24"/>
        </w:rPr>
      </w:pPr>
      <w:r>
        <w:rPr>
          <w:rFonts w:hint="eastAsia"/>
          <w:sz w:val="24"/>
        </w:rPr>
        <w:t>三、支出决算情况说明</w:t>
      </w:r>
    </w:p>
    <w:p w14:paraId="5CFA4563">
      <w:pPr>
        <w:pStyle w:val="14"/>
        <w:adjustRightInd w:val="0"/>
        <w:snapToGrid w:val="0"/>
        <w:spacing w:line="440" w:lineRule="exact"/>
        <w:jc w:val="left"/>
        <w:rPr>
          <w:rFonts w:ascii="仿宋" w:hAnsi="仿宋" w:eastAsia="仿宋" w:cstheme="minorBidi"/>
          <w:sz w:val="24"/>
        </w:rPr>
      </w:pPr>
      <w:r>
        <w:rPr>
          <w:rFonts w:hint="eastAsia"/>
          <w:sz w:val="24"/>
        </w:rPr>
        <w:t>四、财政拨款收入支出决算总体情况说明</w:t>
      </w:r>
    </w:p>
    <w:p w14:paraId="48ADF8CE">
      <w:pPr>
        <w:pStyle w:val="14"/>
        <w:adjustRightInd w:val="0"/>
        <w:snapToGrid w:val="0"/>
        <w:spacing w:line="440" w:lineRule="exact"/>
        <w:jc w:val="left"/>
        <w:rPr>
          <w:rFonts w:ascii="仿宋" w:hAnsi="仿宋" w:eastAsia="仿宋" w:cstheme="minorBidi"/>
          <w:sz w:val="24"/>
        </w:rPr>
      </w:pPr>
      <w:r>
        <w:rPr>
          <w:rFonts w:hint="eastAsia"/>
          <w:sz w:val="24"/>
        </w:rPr>
        <w:t>五、一般公共预算财政拨款支出决算情况说明</w:t>
      </w:r>
    </w:p>
    <w:p w14:paraId="62AAEDE2">
      <w:pPr>
        <w:pStyle w:val="14"/>
        <w:adjustRightInd w:val="0"/>
        <w:snapToGrid w:val="0"/>
        <w:spacing w:line="440" w:lineRule="exact"/>
        <w:jc w:val="left"/>
        <w:rPr>
          <w:rFonts w:ascii="仿宋" w:hAnsi="仿宋" w:eastAsia="仿宋" w:cstheme="minorBidi"/>
          <w:sz w:val="24"/>
        </w:rPr>
      </w:pPr>
      <w:r>
        <w:rPr>
          <w:rFonts w:hint="eastAsia"/>
          <w:sz w:val="24"/>
        </w:rPr>
        <w:t>六、一般公共预算财政拨款基本支出决算情况说明</w:t>
      </w:r>
    </w:p>
    <w:p w14:paraId="3C156B93">
      <w:pPr>
        <w:pStyle w:val="14"/>
        <w:adjustRightInd w:val="0"/>
        <w:snapToGrid w:val="0"/>
        <w:spacing w:line="440" w:lineRule="exact"/>
        <w:jc w:val="left"/>
        <w:rPr>
          <w:rFonts w:ascii="仿宋" w:hAnsi="仿宋" w:eastAsia="仿宋" w:cstheme="minorBidi"/>
          <w:sz w:val="24"/>
        </w:rPr>
      </w:pPr>
      <w:r>
        <w:rPr>
          <w:rFonts w:hint="eastAsia"/>
          <w:sz w:val="24"/>
        </w:rPr>
        <w:t>七、财政拨款“三公”经费支出决算情况说明</w:t>
      </w:r>
    </w:p>
    <w:p w14:paraId="0B992548">
      <w:pPr>
        <w:pStyle w:val="14"/>
        <w:adjustRightInd w:val="0"/>
        <w:snapToGrid w:val="0"/>
        <w:spacing w:line="440" w:lineRule="exact"/>
        <w:jc w:val="left"/>
        <w:rPr>
          <w:rFonts w:ascii="仿宋" w:hAnsi="仿宋" w:eastAsia="仿宋" w:cstheme="minorBidi"/>
          <w:sz w:val="24"/>
        </w:rPr>
      </w:pPr>
      <w:r>
        <w:rPr>
          <w:rFonts w:hint="eastAsia"/>
          <w:sz w:val="24"/>
        </w:rPr>
        <w:t>八、政府性基金预算支出决算情况说明</w:t>
      </w:r>
    </w:p>
    <w:p w14:paraId="15A5445F">
      <w:pPr>
        <w:pStyle w:val="14"/>
        <w:adjustRightInd w:val="0"/>
        <w:snapToGrid w:val="0"/>
        <w:spacing w:line="440" w:lineRule="exact"/>
        <w:jc w:val="left"/>
        <w:rPr>
          <w:sz w:val="24"/>
        </w:rPr>
      </w:pPr>
      <w:r>
        <w:rPr>
          <w:rFonts w:hint="eastAsia"/>
          <w:sz w:val="24"/>
        </w:rPr>
        <w:t>九、国有资本经营预算支出决算情况说明</w:t>
      </w:r>
    </w:p>
    <w:p w14:paraId="3A6CD421">
      <w:pPr>
        <w:pStyle w:val="14"/>
        <w:adjustRightInd w:val="0"/>
        <w:snapToGrid w:val="0"/>
        <w:spacing w:line="440" w:lineRule="exact"/>
        <w:jc w:val="left"/>
        <w:rPr>
          <w:sz w:val="24"/>
        </w:rPr>
      </w:pPr>
      <w:r>
        <w:rPr>
          <w:rFonts w:hint="eastAsia"/>
          <w:sz w:val="24"/>
        </w:rPr>
        <w:t>十、其他重要事项的情况说明</w:t>
      </w:r>
    </w:p>
    <w:p w14:paraId="71E4C5D7">
      <w:pPr>
        <w:pStyle w:val="12"/>
        <w:adjustRightInd w:val="0"/>
        <w:snapToGrid w:val="0"/>
        <w:spacing w:before="0" w:line="440" w:lineRule="exact"/>
        <w:jc w:val="left"/>
        <w:rPr>
          <w:rFonts w:cstheme="minorBidi"/>
          <w:sz w:val="24"/>
          <w:szCs w:val="24"/>
        </w:rPr>
      </w:pPr>
      <w:r>
        <w:rPr>
          <w:rFonts w:hint="eastAsia"/>
          <w:sz w:val="24"/>
        </w:rPr>
        <w:t>第三部分</w:t>
      </w:r>
      <w:r>
        <w:rPr>
          <w:sz w:val="24"/>
        </w:rPr>
        <w:t xml:space="preserve"> </w:t>
      </w:r>
      <w:r>
        <w:rPr>
          <w:rFonts w:hint="eastAsia"/>
          <w:sz w:val="24"/>
        </w:rPr>
        <w:t>名词解释</w:t>
      </w:r>
    </w:p>
    <w:p w14:paraId="63450374">
      <w:pPr>
        <w:pStyle w:val="12"/>
        <w:adjustRightInd w:val="0"/>
        <w:snapToGrid w:val="0"/>
        <w:spacing w:before="0" w:line="440" w:lineRule="exact"/>
        <w:jc w:val="left"/>
        <w:rPr>
          <w:rFonts w:cstheme="minorBidi"/>
          <w:sz w:val="24"/>
          <w:szCs w:val="24"/>
        </w:rPr>
      </w:pPr>
      <w:r>
        <w:rPr>
          <w:rFonts w:hint="eastAsia"/>
          <w:sz w:val="24"/>
        </w:rPr>
        <w:t>第四部分</w:t>
      </w:r>
      <w:r>
        <w:rPr>
          <w:sz w:val="24"/>
        </w:rPr>
        <w:t xml:space="preserve"> </w:t>
      </w:r>
      <w:r>
        <w:rPr>
          <w:rFonts w:hint="eastAsia"/>
          <w:sz w:val="24"/>
        </w:rPr>
        <w:t>附件</w:t>
      </w:r>
    </w:p>
    <w:p w14:paraId="5D9EE1DF">
      <w:pPr>
        <w:pStyle w:val="12"/>
        <w:adjustRightInd w:val="0"/>
        <w:snapToGrid w:val="0"/>
        <w:spacing w:before="0" w:line="440" w:lineRule="exact"/>
        <w:jc w:val="left"/>
        <w:rPr>
          <w:rFonts w:cstheme="minorBidi"/>
          <w:sz w:val="24"/>
          <w:szCs w:val="24"/>
        </w:rPr>
      </w:pPr>
      <w:r>
        <w:rPr>
          <w:rFonts w:hint="eastAsia"/>
          <w:sz w:val="24"/>
        </w:rPr>
        <w:t>第五部分</w:t>
      </w:r>
      <w:r>
        <w:rPr>
          <w:sz w:val="24"/>
        </w:rPr>
        <w:t xml:space="preserve"> </w:t>
      </w:r>
      <w:r>
        <w:rPr>
          <w:rFonts w:hint="eastAsia"/>
          <w:sz w:val="24"/>
        </w:rPr>
        <w:t>附表</w:t>
      </w:r>
    </w:p>
    <w:p w14:paraId="5FA396E6">
      <w:pPr>
        <w:pStyle w:val="14"/>
        <w:adjustRightInd w:val="0"/>
        <w:snapToGrid w:val="0"/>
        <w:spacing w:line="440" w:lineRule="exact"/>
        <w:jc w:val="left"/>
        <w:rPr>
          <w:sz w:val="24"/>
        </w:rPr>
      </w:pPr>
      <w:r>
        <w:rPr>
          <w:rFonts w:hint="eastAsia"/>
          <w:sz w:val="24"/>
        </w:rPr>
        <w:t>一、收入支出决算总表</w:t>
      </w:r>
    </w:p>
    <w:p w14:paraId="3182D9FA">
      <w:pPr>
        <w:pStyle w:val="14"/>
        <w:adjustRightInd w:val="0"/>
        <w:snapToGrid w:val="0"/>
        <w:spacing w:line="440" w:lineRule="exact"/>
        <w:jc w:val="left"/>
        <w:rPr>
          <w:sz w:val="24"/>
        </w:rPr>
      </w:pPr>
      <w:r>
        <w:rPr>
          <w:rFonts w:hint="eastAsia"/>
          <w:sz w:val="24"/>
        </w:rPr>
        <w:t>二、收入决算表</w:t>
      </w:r>
    </w:p>
    <w:p w14:paraId="5CA06EF3">
      <w:pPr>
        <w:pStyle w:val="14"/>
        <w:adjustRightInd w:val="0"/>
        <w:snapToGrid w:val="0"/>
        <w:spacing w:line="440" w:lineRule="exact"/>
        <w:jc w:val="left"/>
        <w:rPr>
          <w:sz w:val="24"/>
        </w:rPr>
      </w:pPr>
      <w:r>
        <w:rPr>
          <w:rFonts w:hint="eastAsia"/>
          <w:sz w:val="24"/>
        </w:rPr>
        <w:t>三、支出决算表</w:t>
      </w:r>
    </w:p>
    <w:p w14:paraId="1D00394B">
      <w:pPr>
        <w:pStyle w:val="14"/>
        <w:adjustRightInd w:val="0"/>
        <w:snapToGrid w:val="0"/>
        <w:spacing w:line="440" w:lineRule="exact"/>
        <w:jc w:val="left"/>
        <w:rPr>
          <w:sz w:val="24"/>
        </w:rPr>
      </w:pPr>
      <w:r>
        <w:rPr>
          <w:rFonts w:hint="eastAsia"/>
          <w:sz w:val="24"/>
        </w:rPr>
        <w:t>四、财政拨款收入支出决算总表</w:t>
      </w:r>
    </w:p>
    <w:p w14:paraId="38FE31FB">
      <w:pPr>
        <w:pStyle w:val="14"/>
        <w:adjustRightInd w:val="0"/>
        <w:snapToGrid w:val="0"/>
        <w:spacing w:line="440" w:lineRule="exact"/>
        <w:jc w:val="left"/>
        <w:rPr>
          <w:sz w:val="24"/>
        </w:rPr>
      </w:pPr>
      <w:r>
        <w:rPr>
          <w:rFonts w:hint="eastAsia"/>
          <w:sz w:val="24"/>
        </w:rPr>
        <w:t>五、财政拨款支出决算明细表</w:t>
      </w:r>
    </w:p>
    <w:p w14:paraId="19A96460">
      <w:pPr>
        <w:pStyle w:val="14"/>
        <w:adjustRightInd w:val="0"/>
        <w:snapToGrid w:val="0"/>
        <w:spacing w:line="440" w:lineRule="exact"/>
        <w:jc w:val="left"/>
        <w:rPr>
          <w:sz w:val="24"/>
        </w:rPr>
      </w:pPr>
      <w:r>
        <w:rPr>
          <w:rFonts w:hint="eastAsia"/>
          <w:sz w:val="24"/>
        </w:rPr>
        <w:t>六、一般公共预算财政拨款支出决算表</w:t>
      </w:r>
    </w:p>
    <w:p w14:paraId="0359BAF6">
      <w:pPr>
        <w:pStyle w:val="14"/>
        <w:adjustRightInd w:val="0"/>
        <w:snapToGrid w:val="0"/>
        <w:spacing w:line="440" w:lineRule="exact"/>
        <w:jc w:val="left"/>
        <w:rPr>
          <w:sz w:val="24"/>
        </w:rPr>
      </w:pPr>
      <w:r>
        <w:rPr>
          <w:rFonts w:hint="eastAsia"/>
          <w:sz w:val="24"/>
        </w:rPr>
        <w:t>七、一般公共预算财政拨款支出决算明细表</w:t>
      </w:r>
    </w:p>
    <w:p w14:paraId="25721171">
      <w:pPr>
        <w:pStyle w:val="14"/>
        <w:adjustRightInd w:val="0"/>
        <w:snapToGrid w:val="0"/>
        <w:spacing w:line="440" w:lineRule="exact"/>
        <w:jc w:val="left"/>
        <w:rPr>
          <w:sz w:val="24"/>
        </w:rPr>
      </w:pPr>
      <w:r>
        <w:rPr>
          <w:rFonts w:hint="eastAsia"/>
          <w:sz w:val="24"/>
        </w:rPr>
        <w:t>八、一般公共预算财政拨款基本支出决算明细表</w:t>
      </w:r>
    </w:p>
    <w:p w14:paraId="01BA5111">
      <w:pPr>
        <w:pStyle w:val="14"/>
        <w:adjustRightInd w:val="0"/>
        <w:snapToGrid w:val="0"/>
        <w:spacing w:line="440" w:lineRule="exact"/>
        <w:jc w:val="left"/>
        <w:rPr>
          <w:sz w:val="24"/>
        </w:rPr>
      </w:pPr>
      <w:r>
        <w:rPr>
          <w:rFonts w:hint="eastAsia"/>
          <w:sz w:val="24"/>
        </w:rPr>
        <w:t>九、一般公共预算财政拨款项目支出决算表</w:t>
      </w:r>
    </w:p>
    <w:p w14:paraId="7C673300">
      <w:pPr>
        <w:pStyle w:val="14"/>
        <w:adjustRightInd w:val="0"/>
        <w:snapToGrid w:val="0"/>
        <w:spacing w:line="440" w:lineRule="exact"/>
        <w:jc w:val="left"/>
        <w:rPr>
          <w:sz w:val="24"/>
        </w:rPr>
      </w:pPr>
      <w:r>
        <w:rPr>
          <w:rFonts w:hint="eastAsia"/>
          <w:sz w:val="24"/>
        </w:rPr>
        <w:t>十、政府性基金预算财政拨款收入支出决算表</w:t>
      </w:r>
    </w:p>
    <w:p w14:paraId="2AB537D3">
      <w:pPr>
        <w:pStyle w:val="14"/>
        <w:adjustRightInd w:val="0"/>
        <w:snapToGrid w:val="0"/>
        <w:spacing w:line="440" w:lineRule="exact"/>
        <w:jc w:val="left"/>
        <w:rPr>
          <w:sz w:val="24"/>
        </w:rPr>
      </w:pPr>
      <w:r>
        <w:rPr>
          <w:rFonts w:hint="eastAsia"/>
          <w:sz w:val="24"/>
        </w:rPr>
        <w:t>十一、国有资本经营预算财政拨款收入支出决算表</w:t>
      </w:r>
    </w:p>
    <w:p w14:paraId="73AD26CB">
      <w:pPr>
        <w:pStyle w:val="14"/>
        <w:adjustRightInd w:val="0"/>
        <w:snapToGrid w:val="0"/>
        <w:spacing w:line="440" w:lineRule="exact"/>
        <w:jc w:val="left"/>
        <w:rPr>
          <w:sz w:val="24"/>
        </w:rPr>
      </w:pPr>
      <w:r>
        <w:rPr>
          <w:rFonts w:hint="eastAsia"/>
          <w:sz w:val="24"/>
        </w:rPr>
        <w:t>十二、国有资本经营预算财政拨款支出决算表</w:t>
      </w:r>
    </w:p>
    <w:p w14:paraId="4B3D1CC7">
      <w:pPr>
        <w:pStyle w:val="14"/>
        <w:adjustRightInd w:val="0"/>
        <w:snapToGrid w:val="0"/>
        <w:spacing w:line="440" w:lineRule="exact"/>
        <w:jc w:val="left"/>
        <w:rPr>
          <w:sz w:val="24"/>
        </w:rPr>
      </w:pPr>
      <w:r>
        <w:rPr>
          <w:rFonts w:hint="eastAsia"/>
          <w:sz w:val="24"/>
        </w:rPr>
        <w:t>十三、财政拨款“三公”经费支出决算表</w:t>
      </w:r>
    </w:p>
    <w:p w14:paraId="2917F752">
      <w:pPr>
        <w:widowControl/>
        <w:adjustRightInd w:val="0"/>
        <w:snapToGrid w:val="0"/>
        <w:spacing w:line="440" w:lineRule="exact"/>
        <w:ind w:firstLine="1320" w:firstLineChars="550"/>
        <w:jc w:val="left"/>
        <w:rPr>
          <w:rFonts w:ascii="仿宋" w:hAnsi="仿宋" w:eastAsia="仿宋"/>
          <w:sz w:val="24"/>
        </w:rPr>
      </w:pPr>
      <w:r>
        <w:rPr>
          <w:rFonts w:hint="eastAsia" w:ascii="仿宋" w:hAnsi="仿宋" w:eastAsia="仿宋"/>
          <w:sz w:val="24"/>
          <w:lang w:eastAsia="zh-CN"/>
        </w:rPr>
        <w:t>（</w:t>
      </w:r>
      <w:r>
        <w:rPr>
          <w:rFonts w:ascii="仿宋" w:hAnsi="仿宋" w:eastAsia="仿宋"/>
          <w:sz w:val="24"/>
        </w:rPr>
        <w:t>注：</w:t>
      </w:r>
      <w:r>
        <w:rPr>
          <w:rFonts w:hint="eastAsia" w:ascii="仿宋" w:hAnsi="仿宋" w:eastAsia="仿宋"/>
          <w:sz w:val="24"/>
        </w:rPr>
        <w:t>请单位根据实际注明页码</w:t>
      </w:r>
      <w:r>
        <w:rPr>
          <w:rFonts w:hint="eastAsia" w:ascii="仿宋" w:hAnsi="仿宋" w:eastAsia="仿宋"/>
          <w:sz w:val="24"/>
          <w:lang w:eastAsia="zh-CN"/>
        </w:rPr>
        <w:t>）</w:t>
      </w:r>
    </w:p>
    <w:p w14:paraId="714820A7">
      <w:pPr>
        <w:widowControl/>
        <w:spacing w:line="440" w:lineRule="exact"/>
        <w:jc w:val="left"/>
        <w:rPr>
          <w:rFonts w:ascii="仿宋" w:hAnsi="仿宋" w:eastAsia="仿宋"/>
          <w:bCs/>
          <w:kern w:val="44"/>
          <w:sz w:val="24"/>
        </w:rPr>
      </w:pPr>
      <w:bookmarkStart w:id="12" w:name="_Toc15377196"/>
      <w:bookmarkStart w:id="13" w:name="_Toc15396599"/>
      <w:r>
        <w:rPr>
          <w:rFonts w:ascii="仿宋" w:hAnsi="仿宋" w:eastAsia="仿宋"/>
          <w:b/>
          <w:sz w:val="24"/>
        </w:rPr>
        <w:br w:type="page"/>
      </w:r>
    </w:p>
    <w:p w14:paraId="27C712C9">
      <w:pPr>
        <w:pStyle w:val="4"/>
        <w:jc w:val="center"/>
        <w:rPr>
          <w:rStyle w:val="20"/>
          <w:rFonts w:ascii="黑体" w:hAnsi="黑体" w:eastAsia="黑体"/>
          <w:b/>
          <w:bCs w:val="0"/>
        </w:rPr>
      </w:pPr>
      <w:r>
        <w:rPr>
          <w:rFonts w:hint="eastAsia" w:ascii="黑体" w:hAnsi="黑体" w:eastAsia="黑体"/>
          <w:b w:val="0"/>
        </w:rPr>
        <w:t>第一部分 单位</w:t>
      </w:r>
      <w:r>
        <w:rPr>
          <w:rStyle w:val="20"/>
          <w:rFonts w:hint="eastAsia" w:ascii="黑体" w:hAnsi="黑体" w:eastAsia="黑体"/>
          <w:b w:val="0"/>
          <w:bCs w:val="0"/>
        </w:rPr>
        <w:t>概况</w:t>
      </w:r>
      <w:bookmarkEnd w:id="12"/>
      <w:bookmarkEnd w:id="13"/>
    </w:p>
    <w:p w14:paraId="35CDBFB2">
      <w:pPr>
        <w:widowControl/>
        <w:jc w:val="left"/>
        <w:rPr>
          <w:rFonts w:ascii="黑体" w:eastAsia="黑体"/>
          <w:sz w:val="32"/>
          <w:szCs w:val="32"/>
        </w:rPr>
      </w:pPr>
    </w:p>
    <w:p w14:paraId="30CE4E93">
      <w:pPr>
        <w:pStyle w:val="5"/>
        <w:numPr>
          <w:ilvl w:val="0"/>
          <w:numId w:val="1"/>
        </w:numPr>
        <w:rPr>
          <w:rStyle w:val="21"/>
          <w:rFonts w:ascii="黑体" w:hAnsi="黑体" w:eastAsia="黑体"/>
          <w:b w:val="0"/>
          <w:bCs w:val="0"/>
        </w:rPr>
      </w:pPr>
      <w:bookmarkStart w:id="14" w:name="_Toc15377197"/>
      <w:bookmarkStart w:id="15" w:name="_Toc15396600"/>
      <w:r>
        <w:rPr>
          <w:rStyle w:val="21"/>
          <w:rFonts w:hint="eastAsia" w:ascii="黑体" w:hAnsi="黑体" w:eastAsia="黑体"/>
          <w:b w:val="0"/>
          <w:bCs w:val="0"/>
        </w:rPr>
        <w:t>主要职责</w:t>
      </w:r>
    </w:p>
    <w:p w14:paraId="78EEC5EA">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贯彻执行国家、省、州人力资源和社会保障工作的相关</w:t>
      </w:r>
      <w:r>
        <w:rPr>
          <w:rFonts w:hint="eastAsia" w:ascii="Times New Roman" w:hAnsi="Times New Roman" w:eastAsia="仿宋_GB2312" w:cs="Times New Roman"/>
          <w:kern w:val="0"/>
          <w:sz w:val="32"/>
          <w:szCs w:val="32"/>
          <w:lang w:eastAsia="zh-CN"/>
        </w:rPr>
        <w:t>法律法规</w:t>
      </w:r>
      <w:r>
        <w:rPr>
          <w:rFonts w:hint="default" w:ascii="Times New Roman" w:hAnsi="Times New Roman" w:eastAsia="仿宋_GB2312" w:cs="Times New Roman"/>
          <w:kern w:val="0"/>
          <w:sz w:val="32"/>
          <w:szCs w:val="32"/>
        </w:rPr>
        <w:t>和政策，起草全县人力资源和社会保障规范性文件草案，拟订全县人力资源和社会保障事业发展规划、政策并组织实施和监督检查。</w:t>
      </w:r>
    </w:p>
    <w:p w14:paraId="2A8D2873">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组织实施人力资源市场发展规划和人力资源流动政策，管理人力资源和社会保障公共服务机构，建立全县统一规范的人力资源市场，促进人力资源合理流动、有效配置。</w:t>
      </w:r>
    </w:p>
    <w:p w14:paraId="437BD6C0">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负责就业促进工作，组织实施统筹城乡就业发展规划和政策，完善公共就业服务体系；统筹建立面向城乡劳动者的职业技能培训制度，组织落实创业、就业援助制度；组织实施高校毕业生就业政策。</w:t>
      </w:r>
    </w:p>
    <w:p w14:paraId="2181B944">
      <w:pPr>
        <w:keepNext w:val="0"/>
        <w:keepLines w:val="0"/>
        <w:pageBreakBefore w:val="0"/>
        <w:widowControl w:val="0"/>
        <w:suppressLineNumbers w:val="0"/>
        <w:kinsoku/>
        <w:wordWrap/>
        <w:overflowPunct/>
        <w:topLinePunct w:val="0"/>
        <w:autoSpaceDE w:val="0"/>
        <w:autoSpaceDN/>
        <w:bidi w:val="0"/>
        <w:adjustRightInd/>
        <w:snapToGrid w:val="0"/>
        <w:spacing w:before="0" w:beforeAutospacing="0" w:after="0" w:afterAutospacing="0" w:line="576" w:lineRule="exact"/>
        <w:ind w:right="0" w:firstLine="640" w:firstLineChars="200"/>
        <w:jc w:val="both"/>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4.</w:t>
      </w:r>
      <w:r>
        <w:rPr>
          <w:rFonts w:hint="default" w:ascii="Times New Roman" w:hAnsi="Times New Roman" w:eastAsia="仿宋_GB2312" w:cs="Times New Roman"/>
          <w:color w:val="000000"/>
          <w:kern w:val="0"/>
          <w:sz w:val="32"/>
          <w:szCs w:val="32"/>
        </w:rPr>
        <w:t>推进建立覆盖城乡的多层次社会保障体系。组织实施养老、失业、工伤等社会保险及其补充保险政策和标准。贯彻落实全国统一的养老、失业、工伤保险关系转续办法；贯彻落实养老、失业、工伤等社会保险及其补充保险基金管理和监督办法；编制相关社会保险基金预决算草案。会同有关部门实施全民参保计划并参与建立全国统一的社会保险公共服务平台。拟订全县人力资源和社会保障信息化建设总体规划、年度计划，制定相关制度、标准和规范并组织实施。指导、督促企业参加工伤保险。</w:t>
      </w:r>
    </w:p>
    <w:p w14:paraId="02232A2C">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负责就业、失业和相关社会保险基金预测预警和信息引导，拟订应对预案，实施预防、调节和控制，保持就业形势稳定和相关社会保险基金总体收支平衡。</w:t>
      </w:r>
    </w:p>
    <w:p w14:paraId="0208AFFF">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6.</w:t>
      </w:r>
      <w:r>
        <w:rPr>
          <w:rFonts w:hint="default" w:ascii="Times New Roman" w:hAnsi="Times New Roman" w:eastAsia="仿宋_GB2312" w:cs="Times New Roman"/>
          <w:color w:val="000000"/>
          <w:kern w:val="0"/>
          <w:sz w:val="32"/>
          <w:szCs w:val="32"/>
        </w:rPr>
        <w:t>组织实施劳动人事争议调解仲裁制度和劳动关系政策，完善劳动关系协商协调机制，贯彻职工工作时间、休息休假和假期制度，落实消除非法使用童工政策和女工、未成年工特殊劳动保护政策。依法督促用人单位在劳动用工、合同签订与履约时，载明劳动保护、劳动条件和职业危害防护等条款。组织实施劳动保障监察，协调劳动者维权工作，依法查处重大案件。</w:t>
      </w:r>
    </w:p>
    <w:p w14:paraId="64F08C3B">
      <w:pPr>
        <w:keepNext w:val="0"/>
        <w:keepLines w:val="0"/>
        <w:pageBreakBefore w:val="0"/>
        <w:widowControl/>
        <w:numPr>
          <w:ilvl w:val="0"/>
          <w:numId w:val="0"/>
        </w:numPr>
        <w:suppressLineNumbers w:val="0"/>
        <w:tabs>
          <w:tab w:val="left" w:pos="0"/>
        </w:tabs>
        <w:kinsoku/>
        <w:wordWrap/>
        <w:overflowPunct/>
        <w:topLinePunct w:val="0"/>
        <w:autoSpaceDE w:val="0"/>
        <w:autoSpaceDN/>
        <w:bidi w:val="0"/>
        <w:snapToGrid w:val="0"/>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7.</w:t>
      </w:r>
      <w:r>
        <w:rPr>
          <w:rFonts w:hint="default" w:ascii="Times New Roman" w:hAnsi="Times New Roman" w:eastAsia="仿宋_GB2312" w:cs="Times New Roman"/>
          <w:color w:val="000000"/>
          <w:kern w:val="0"/>
          <w:sz w:val="32"/>
          <w:szCs w:val="32"/>
        </w:rPr>
        <w:t>牵头推进深化职称制度改革，组织实施专业技术人员管理、继续教育和博士后管理等政策，负责高层次专业技术人才选拔和培养工作，贯彻落实吸引留学人员来县</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回县</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工作或定居政策。组织拟订技能人才培养、评价、使用和激励制度。贯彻落实职业资格制度，健全职业技能多元化评价政策。指导、监督各级各类技工学校、民办职业培训机构按国家和省、州、县有关规定履行安全管理责任。</w:t>
      </w:r>
    </w:p>
    <w:p w14:paraId="1C9AA46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 xml:space="preserve">会同有关部门负责事业单位人事制度改革，按照管理权限负责规范事业单位岗位设置、公开招聘、聘用合同等人事综合管理工作，落实规范事业单位工作人员和机关工勤人员管理政策，将安全生产及生态环境保护责任履行情况作为事业单位工作人员奖惩、考核的重要内容。   </w:t>
      </w:r>
    </w:p>
    <w:p w14:paraId="5E81A777">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组织实施国家表彰奖励制度，综合管理政府表彰奖励工作，承担评比达标表彰等工作，根据授权承办以县委、县政府名义开展的表彰奖励活动。承办提请县人大常委会和县政府决定的人事任免事项。</w:t>
      </w:r>
    </w:p>
    <w:p w14:paraId="1B4E01C1">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10.</w:t>
      </w:r>
      <w:r>
        <w:rPr>
          <w:rFonts w:hint="default" w:ascii="Times New Roman" w:hAnsi="Times New Roman" w:eastAsia="仿宋_GB2312" w:cs="Times New Roman"/>
          <w:color w:val="000000"/>
          <w:kern w:val="0"/>
          <w:sz w:val="32"/>
          <w:szCs w:val="32"/>
        </w:rPr>
        <w:t>组织实施事业单位人员工资收入分配政策，建立企事业单位人员工资决定、正常增长和支付保障机制。组织实施企事业单位人员福利和离退休政策。</w:t>
      </w:r>
    </w:p>
    <w:p w14:paraId="64B1AD2F">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11.</w:t>
      </w:r>
      <w:r>
        <w:rPr>
          <w:rFonts w:hint="default" w:ascii="Times New Roman" w:hAnsi="Times New Roman" w:eastAsia="仿宋_GB2312" w:cs="Times New Roman"/>
          <w:color w:val="000000"/>
          <w:kern w:val="0"/>
          <w:sz w:val="32"/>
          <w:szCs w:val="32"/>
        </w:rPr>
        <w:t>会同相关部门组织实施农民工工作的综合性政策和规划，推动相关政策落实，协调解决重点难点问题，维护农民工合法权益。负责将安全生产纳入农民工技能培训内容。</w:t>
      </w:r>
    </w:p>
    <w:p w14:paraId="19FB086D">
      <w:pPr>
        <w:keepNext w:val="0"/>
        <w:keepLines w:val="0"/>
        <w:pageBreakBefore w:val="0"/>
        <w:widowControl/>
        <w:numPr>
          <w:ilvl w:val="0"/>
          <w:numId w:val="0"/>
        </w:numPr>
        <w:suppressLineNumbers w:val="0"/>
        <w:tabs>
          <w:tab w:val="left" w:pos="0"/>
        </w:tabs>
        <w:kinsoku/>
        <w:wordWrap/>
        <w:overflowPunct/>
        <w:topLinePunct w:val="0"/>
        <w:autoSpaceDE w:val="0"/>
        <w:autoSpaceDN/>
        <w:bidi w:val="0"/>
        <w:snapToGrid w:val="0"/>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12.</w:t>
      </w:r>
      <w:r>
        <w:rPr>
          <w:rFonts w:hint="default" w:ascii="Times New Roman" w:hAnsi="Times New Roman" w:eastAsia="仿宋_GB2312" w:cs="Times New Roman"/>
          <w:color w:val="000000"/>
          <w:kern w:val="0"/>
          <w:sz w:val="32"/>
          <w:szCs w:val="32"/>
        </w:rPr>
        <w:t>负责人力资源和社会保障领域内的对外交流与合作。</w:t>
      </w:r>
    </w:p>
    <w:p w14:paraId="251436D2">
      <w:pPr>
        <w:keepNext w:val="0"/>
        <w:keepLines w:val="0"/>
        <w:pageBreakBefore w:val="0"/>
        <w:widowControl/>
        <w:numPr>
          <w:ilvl w:val="0"/>
          <w:numId w:val="0"/>
        </w:numPr>
        <w:suppressLineNumbers w:val="0"/>
        <w:tabs>
          <w:tab w:val="left" w:pos="0"/>
        </w:tabs>
        <w:kinsoku/>
        <w:wordWrap/>
        <w:overflowPunct/>
        <w:topLinePunct w:val="0"/>
        <w:autoSpaceDE w:val="0"/>
        <w:autoSpaceDN/>
        <w:bidi w:val="0"/>
        <w:snapToGrid w:val="0"/>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13.</w:t>
      </w:r>
      <w:r>
        <w:rPr>
          <w:rFonts w:hint="default" w:ascii="Times New Roman" w:hAnsi="Times New Roman" w:eastAsia="仿宋_GB2312" w:cs="Times New Roman"/>
          <w:color w:val="000000"/>
          <w:kern w:val="0"/>
          <w:sz w:val="32"/>
          <w:szCs w:val="32"/>
        </w:rPr>
        <w:t>承担职责范围内的安全生产和职业健康、生态环境保护、审批服务便民化等工作。</w:t>
      </w:r>
    </w:p>
    <w:p w14:paraId="3A5E6427">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14.</w:t>
      </w:r>
      <w:r>
        <w:rPr>
          <w:rFonts w:hint="default" w:ascii="Times New Roman" w:hAnsi="Times New Roman" w:eastAsia="仿宋_GB2312" w:cs="Times New Roman"/>
          <w:color w:val="000000"/>
          <w:kern w:val="0"/>
          <w:sz w:val="32"/>
          <w:szCs w:val="32"/>
        </w:rPr>
        <w:t>完成县委、县政府交办的其他任务。</w:t>
      </w:r>
    </w:p>
    <w:p w14:paraId="4604C267">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15.</w:t>
      </w:r>
      <w:r>
        <w:rPr>
          <w:rFonts w:hint="default" w:ascii="Times New Roman" w:hAnsi="Times New Roman" w:eastAsia="仿宋_GB2312" w:cs="Times New Roman"/>
          <w:color w:val="000000"/>
          <w:kern w:val="0"/>
          <w:sz w:val="32"/>
          <w:szCs w:val="32"/>
        </w:rPr>
        <w:t>职能转变。深入推进简政放权、放管结合、优化服务改革，进一步减少行政审批事项，规范和优化对外办理事项，减少职业资格许可和认定等审批事项，实行职业资格目录清单管理，加强事中事后监管，创新就业和社会保障等公共服务方式，加强信息共享，提高公共服务水平。</w:t>
      </w:r>
    </w:p>
    <w:p w14:paraId="78FFCCC5">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0" w:firstLineChars="200"/>
        <w:jc w:val="both"/>
        <w:rPr>
          <w:rFonts w:hint="default" w:ascii="Times New Roman" w:hAnsi="Times New Roman" w:eastAsia="仿宋_GB2312" w:cs="Times New Roman"/>
          <w:b/>
          <w:bCs/>
          <w:kern w:val="0"/>
          <w:sz w:val="32"/>
          <w:szCs w:val="32"/>
          <w:shd w:val="clear" w:fill="FFFFFF"/>
        </w:rPr>
      </w:pPr>
      <w:r>
        <w:rPr>
          <w:rFonts w:hint="default" w:ascii="Times New Roman" w:hAnsi="Times New Roman" w:eastAsia="仿宋_GB2312" w:cs="Times New Roman"/>
          <w:color w:val="000000"/>
          <w:kern w:val="0"/>
          <w:sz w:val="32"/>
          <w:szCs w:val="32"/>
          <w:lang w:val="en-US" w:eastAsia="zh-CN"/>
        </w:rPr>
        <w:t>16.</w:t>
      </w:r>
      <w:r>
        <w:rPr>
          <w:rFonts w:hint="default" w:ascii="Times New Roman" w:hAnsi="Times New Roman" w:eastAsia="仿宋_GB2312" w:cs="Times New Roman"/>
          <w:color w:val="000000"/>
          <w:kern w:val="0"/>
          <w:sz w:val="32"/>
          <w:szCs w:val="32"/>
        </w:rPr>
        <w:t>有关职责分工。与县教育局的有关职责分工。高校毕业生就业政策由县人力资源</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社会保障局牵头，会同县教育局等部门拟订。高校毕业生离校前的就业指导和服务工作，由县教育局负责；高校毕业生离校后的就业指导和服务工作，由县人力资源</w:t>
      </w:r>
      <w:r>
        <w:rPr>
          <w:rFonts w:hint="eastAsia" w:ascii="Times New Roman" w:hAnsi="Times New Roman" w:eastAsia="仿宋_GB2312" w:cs="Times New Roman"/>
          <w:color w:val="000000"/>
          <w:kern w:val="0"/>
          <w:sz w:val="32"/>
          <w:szCs w:val="32"/>
          <w:lang w:val="en-US" w:eastAsia="zh-CN"/>
        </w:rPr>
        <w:t>和</w:t>
      </w:r>
      <w:r>
        <w:rPr>
          <w:rFonts w:hint="default" w:ascii="Times New Roman" w:hAnsi="Times New Roman" w:eastAsia="仿宋_GB2312" w:cs="Times New Roman"/>
          <w:color w:val="000000"/>
          <w:kern w:val="0"/>
          <w:sz w:val="32"/>
          <w:szCs w:val="32"/>
        </w:rPr>
        <w:t>社会保障局负责。</w:t>
      </w:r>
    </w:p>
    <w:p w14:paraId="1E7CC8CC"/>
    <w:p w14:paraId="2A522575">
      <w:pPr>
        <w:pStyle w:val="5"/>
        <w:numPr>
          <w:ilvl w:val="0"/>
          <w:numId w:val="1"/>
        </w:numPr>
        <w:ind w:left="0" w:leftChars="0" w:firstLine="0" w:firstLineChars="0"/>
      </w:pPr>
      <w:r>
        <w:rPr>
          <w:rFonts w:hint="eastAsia" w:ascii="黑体" w:hAnsi="黑体" w:eastAsia="黑体"/>
          <w:b w:val="0"/>
        </w:rPr>
        <w:t>机构设置</w:t>
      </w:r>
    </w:p>
    <w:p w14:paraId="2BDD0C92">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right="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松潘县人力资源和社会保障局内设机构5个.</w:t>
      </w:r>
    </w:p>
    <w:p w14:paraId="426F855C">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color w:val="000000"/>
          <w:kern w:val="0"/>
          <w:sz w:val="32"/>
          <w:szCs w:val="32"/>
        </w:rPr>
        <w:t>办公室。</w:t>
      </w:r>
      <w:r>
        <w:rPr>
          <w:rFonts w:hint="default" w:ascii="Times New Roman" w:hAnsi="Times New Roman" w:eastAsia="仿宋_GB2312" w:cs="Times New Roman"/>
          <w:b w:val="0"/>
          <w:bCs w:val="0"/>
          <w:color w:val="000000"/>
          <w:kern w:val="0"/>
          <w:sz w:val="32"/>
          <w:szCs w:val="32"/>
        </w:rPr>
        <w:t>负责文电、会务、文秘、机要、绩效管理、精神文明、民族团结、保密、安全以及政务公开、应急管理、督查督办、机关运转、国有资产实物管理、后勤保障、节能减排等工作；负责承担综合性文稿起草；承担单位史志、年鉴、大事记编纂等工作。贯彻执行《</w:t>
      </w:r>
      <w:r>
        <w:rPr>
          <w:rFonts w:hint="eastAsia" w:ascii="Times New Roman" w:hAnsi="Times New Roman" w:eastAsia="仿宋_GB2312" w:cs="Times New Roman"/>
          <w:b w:val="0"/>
          <w:bCs w:val="0"/>
          <w:color w:val="000000"/>
          <w:kern w:val="0"/>
          <w:sz w:val="32"/>
          <w:szCs w:val="32"/>
          <w:lang w:val="en-US" w:eastAsia="zh-CN"/>
        </w:rPr>
        <w:t>中华人民共和国</w:t>
      </w:r>
      <w:r>
        <w:rPr>
          <w:rFonts w:hint="default" w:ascii="Times New Roman" w:hAnsi="Times New Roman" w:eastAsia="仿宋_GB2312" w:cs="Times New Roman"/>
          <w:b w:val="0"/>
          <w:bCs w:val="0"/>
          <w:color w:val="000000"/>
          <w:kern w:val="0"/>
          <w:sz w:val="32"/>
          <w:szCs w:val="32"/>
        </w:rPr>
        <w:t>会计法》《</w:t>
      </w:r>
      <w:r>
        <w:rPr>
          <w:rFonts w:hint="eastAsia" w:ascii="Times New Roman" w:hAnsi="Times New Roman" w:eastAsia="仿宋_GB2312" w:cs="Times New Roman"/>
          <w:b w:val="0"/>
          <w:bCs w:val="0"/>
          <w:color w:val="000000"/>
          <w:kern w:val="0"/>
          <w:sz w:val="32"/>
          <w:szCs w:val="32"/>
          <w:lang w:val="en-US" w:eastAsia="zh-CN"/>
        </w:rPr>
        <w:t>中华人民共和国</w:t>
      </w:r>
      <w:r>
        <w:rPr>
          <w:rFonts w:hint="default" w:ascii="Times New Roman" w:hAnsi="Times New Roman" w:eastAsia="仿宋_GB2312" w:cs="Times New Roman"/>
          <w:b w:val="0"/>
          <w:bCs w:val="0"/>
          <w:color w:val="000000"/>
          <w:kern w:val="0"/>
          <w:sz w:val="32"/>
          <w:szCs w:val="32"/>
        </w:rPr>
        <w:t>预算法》及相关财务管理制度，负责机关财务核算和管理工作，负责国有资产、单位基建财务管理工作。</w:t>
      </w:r>
    </w:p>
    <w:p w14:paraId="4F872340">
      <w:pPr>
        <w:keepNext w:val="0"/>
        <w:keepLines w:val="0"/>
        <w:pageBreakBefore w:val="0"/>
        <w:widowControl w:val="0"/>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color w:val="000000"/>
          <w:kern w:val="0"/>
          <w:sz w:val="32"/>
          <w:szCs w:val="32"/>
        </w:rPr>
        <w:t>劳动关系股。</w:t>
      </w:r>
      <w:r>
        <w:rPr>
          <w:rFonts w:hint="default" w:ascii="Times New Roman" w:hAnsi="Times New Roman" w:eastAsia="仿宋_GB2312" w:cs="Times New Roman"/>
          <w:b w:val="0"/>
          <w:bCs w:val="0"/>
          <w:color w:val="000000"/>
          <w:kern w:val="0"/>
          <w:sz w:val="32"/>
          <w:szCs w:val="32"/>
        </w:rPr>
        <w:t>组织开展人力资源和社会保障政策的综合性研究。组织起草人力资源和社会保障规章草案，承担有关重大决策事项、规范性文件、重大行政执法的合法性审查工作，负责单位法治建设、依法行政工作，承担相关行政执法监督、行政复议、行政诉讼等工作；牵头协调推进本系统“放管服”改革，承担审批服务便民化有关工作，集中承担县级有关审批服务事项的受理、审批等工作，推进纳入一体化政务服务平台；牵头组织人大代表建议、政协委员提案办理工作。</w:t>
      </w:r>
    </w:p>
    <w:p w14:paraId="635E8A7C">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b w:val="0"/>
          <w:bCs w:val="0"/>
          <w:color w:val="000000"/>
          <w:kern w:val="0"/>
          <w:sz w:val="32"/>
          <w:szCs w:val="32"/>
        </w:rPr>
      </w:pPr>
      <w:r>
        <w:rPr>
          <w:rFonts w:hint="default" w:ascii="Times New Roman" w:hAnsi="Times New Roman" w:eastAsia="仿宋_GB2312" w:cs="Times New Roman"/>
          <w:b/>
          <w:bCs/>
          <w:color w:val="000000"/>
          <w:kern w:val="0"/>
          <w:sz w:val="32"/>
          <w:szCs w:val="32"/>
        </w:rPr>
        <w:t>社会保险股。</w:t>
      </w:r>
      <w:r>
        <w:rPr>
          <w:rFonts w:hint="default" w:ascii="Times New Roman" w:hAnsi="Times New Roman" w:eastAsia="仿宋_GB2312" w:cs="Times New Roman"/>
          <w:b w:val="0"/>
          <w:bCs w:val="0"/>
          <w:color w:val="000000"/>
          <w:kern w:val="0"/>
          <w:sz w:val="32"/>
          <w:szCs w:val="32"/>
        </w:rPr>
        <w:t>拟订人力资源和社会保障事业发展、信息化建设发展规划和年度计划并组织实施；会同有关部门编制相关社会保险基金预决算草案，贯彻落实相关社会保障资金</w:t>
      </w:r>
      <w:r>
        <w:rPr>
          <w:rFonts w:hint="eastAsia"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基金</w:t>
      </w:r>
      <w:r>
        <w:rPr>
          <w:rFonts w:hint="eastAsia" w:ascii="Times New Roman" w:hAnsi="Times New Roman" w:eastAsia="仿宋_GB2312" w:cs="Times New Roman"/>
          <w:b w:val="0"/>
          <w:bCs w:val="0"/>
          <w:color w:val="000000"/>
          <w:kern w:val="0"/>
          <w:sz w:val="32"/>
          <w:szCs w:val="32"/>
          <w:lang w:eastAsia="zh-CN"/>
        </w:rPr>
        <w:t>）</w:t>
      </w:r>
      <w:r>
        <w:rPr>
          <w:rFonts w:hint="default" w:ascii="Times New Roman" w:hAnsi="Times New Roman" w:eastAsia="仿宋_GB2312" w:cs="Times New Roman"/>
          <w:b w:val="0"/>
          <w:bCs w:val="0"/>
          <w:color w:val="000000"/>
          <w:kern w:val="0"/>
          <w:sz w:val="32"/>
          <w:szCs w:val="32"/>
        </w:rPr>
        <w:t>财务管理制度，承担人力资源</w:t>
      </w:r>
      <w:r>
        <w:rPr>
          <w:rFonts w:hint="eastAsia" w:ascii="Times New Roman" w:hAnsi="Times New Roman" w:eastAsia="仿宋_GB2312" w:cs="Times New Roman"/>
          <w:b w:val="0"/>
          <w:bCs w:val="0"/>
          <w:color w:val="000000"/>
          <w:kern w:val="0"/>
          <w:sz w:val="32"/>
          <w:szCs w:val="32"/>
          <w:lang w:val="en-US" w:eastAsia="zh-CN"/>
        </w:rPr>
        <w:t>和</w:t>
      </w:r>
      <w:r>
        <w:rPr>
          <w:rFonts w:hint="default" w:ascii="Times New Roman" w:hAnsi="Times New Roman" w:eastAsia="仿宋_GB2312" w:cs="Times New Roman"/>
          <w:b w:val="0"/>
          <w:bCs w:val="0"/>
          <w:color w:val="000000"/>
          <w:kern w:val="0"/>
          <w:sz w:val="32"/>
          <w:szCs w:val="32"/>
        </w:rPr>
        <w:t>社会保障统计管理工作。</w:t>
      </w:r>
    </w:p>
    <w:p w14:paraId="44A5572A">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事业单位管理股。</w:t>
      </w:r>
      <w:r>
        <w:rPr>
          <w:rFonts w:hint="default" w:ascii="Times New Roman" w:hAnsi="Times New Roman" w:eastAsia="仿宋_GB2312" w:cs="Times New Roman"/>
          <w:color w:val="000000"/>
          <w:kern w:val="0"/>
          <w:sz w:val="32"/>
          <w:szCs w:val="32"/>
        </w:rPr>
        <w:t>组织推进深化职称制度改革，负责专业技术人员管理和继续教育，贯彻落实职业资格制度，承担高层次专业技术人才规划和培养工作，综合管理专业技术职称、专家工作；负责专业技术人员继续教育规定执行情况监督检查；负责各类专业技术人员资格</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水平</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考试的管理及资格证书的核准、审验工作。承接四川省专家服务中心的相关业务工作，服务全县专业技术人员。</w:t>
      </w:r>
    </w:p>
    <w:p w14:paraId="70A41B54">
      <w:pPr>
        <w:keepNext w:val="0"/>
        <w:keepLines w:val="0"/>
        <w:pageBreakBefore w:val="0"/>
        <w:widowControl/>
        <w:suppressLineNumbers w:val="0"/>
        <w:kinsoku/>
        <w:wordWrap/>
        <w:overflowPunct/>
        <w:topLinePunct w:val="0"/>
        <w:autoSpaceDE w:val="0"/>
        <w:autoSpaceDN/>
        <w:bidi w:val="0"/>
        <w:snapToGrid w:val="0"/>
        <w:spacing w:before="0" w:beforeAutospacing="0" w:after="0" w:afterAutospacing="0" w:line="576" w:lineRule="exact"/>
        <w:ind w:left="0" w:right="0" w:firstLine="643"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b/>
          <w:bCs/>
          <w:color w:val="000000"/>
          <w:kern w:val="0"/>
          <w:sz w:val="32"/>
          <w:szCs w:val="32"/>
        </w:rPr>
        <w:t>工资福利股。</w:t>
      </w:r>
      <w:r>
        <w:rPr>
          <w:rFonts w:hint="default" w:ascii="Times New Roman" w:hAnsi="Times New Roman" w:eastAsia="仿宋_GB2312" w:cs="Times New Roman"/>
          <w:color w:val="000000"/>
          <w:kern w:val="0"/>
          <w:sz w:val="32"/>
          <w:szCs w:val="32"/>
        </w:rPr>
        <w:t>组织实施事业单位工作人员和机关工勤人员的工资收入分配、福利、工龄计算、退休、退职政策以及离休费待遇政策；负责县属事业单位的工资基金管理工作，承担县属事业单位工作人员的工资总额管理；负责事业单位工作人员艰苦边远地区津贴、岗位津贴、高海拔折算工龄补贴工作；负责事业单位工资统计与综合分析工作。</w:t>
      </w:r>
    </w:p>
    <w:p w14:paraId="079C3644">
      <w:pPr>
        <w:pStyle w:val="42"/>
        <w:keepNext w:val="0"/>
        <w:keepLines w:val="0"/>
        <w:pageBreakBefore w:val="0"/>
        <w:widowControl w:val="0"/>
        <w:suppressLineNumbers w:val="0"/>
        <w:kinsoku/>
        <w:wordWrap/>
        <w:overflowPunct/>
        <w:topLinePunct w:val="0"/>
        <w:autoSpaceDE w:val="0"/>
        <w:autoSpaceDN/>
        <w:bidi w:val="0"/>
        <w:snapToGrid w:val="0"/>
        <w:spacing w:afterAutospacing="0" w:line="576" w:lineRule="exact"/>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b/>
          <w:bCs/>
          <w:color w:val="000000"/>
          <w:kern w:val="0"/>
          <w:sz w:val="32"/>
          <w:szCs w:val="32"/>
        </w:rPr>
        <w:t>机关党委。</w:t>
      </w:r>
      <w:r>
        <w:rPr>
          <w:rFonts w:hint="default" w:ascii="Times New Roman" w:hAnsi="Times New Roman" w:eastAsia="仿宋_GB2312" w:cs="Times New Roman"/>
          <w:color w:val="000000"/>
          <w:kern w:val="0"/>
          <w:sz w:val="32"/>
          <w:szCs w:val="32"/>
        </w:rPr>
        <w:t>负责机关和所属事业单位党的建设、群团工作和意识形态工作。机关党委办事机构由县人力资源和社会保障局党组按照县委规定设置。</w:t>
      </w:r>
    </w:p>
    <w:p w14:paraId="22748171"/>
    <w:bookmarkEnd w:id="14"/>
    <w:bookmarkEnd w:id="15"/>
    <w:p w14:paraId="264057D1">
      <w:pPr>
        <w:widowControl/>
        <w:jc w:val="left"/>
        <w:rPr>
          <w:rFonts w:ascii="仿宋" w:hAnsi="仿宋" w:eastAsia="仿宋"/>
          <w:kern w:val="0"/>
          <w:sz w:val="32"/>
          <w:szCs w:val="32"/>
        </w:rPr>
      </w:pPr>
      <w:r>
        <w:rPr>
          <w:rFonts w:ascii="仿宋" w:hAnsi="仿宋" w:eastAsia="仿宋"/>
          <w:sz w:val="32"/>
          <w:szCs w:val="32"/>
        </w:rPr>
        <w:br w:type="page"/>
      </w:r>
    </w:p>
    <w:p w14:paraId="6BACE6EF">
      <w:pPr>
        <w:pStyle w:val="4"/>
        <w:ind w:right="440"/>
        <w:jc w:val="center"/>
        <w:rPr>
          <w:rStyle w:val="20"/>
          <w:rFonts w:ascii="黑体" w:hAnsi="黑体" w:eastAsia="黑体"/>
          <w:b w:val="0"/>
          <w:bCs/>
        </w:rPr>
      </w:pPr>
      <w:bookmarkStart w:id="16" w:name="_Toc15377204"/>
      <w:bookmarkStart w:id="17" w:name="_Toc15396602"/>
      <w:r>
        <w:rPr>
          <w:rFonts w:hint="eastAsia" w:ascii="黑体" w:hAnsi="黑体" w:eastAsia="黑体"/>
          <w:b w:val="0"/>
        </w:rPr>
        <w:t>第二部分 2023年度</w:t>
      </w:r>
      <w:r>
        <w:rPr>
          <w:rStyle w:val="20"/>
          <w:rFonts w:hint="eastAsia" w:ascii="黑体" w:hAnsi="黑体" w:eastAsia="黑体"/>
          <w:b w:val="0"/>
          <w:bCs/>
        </w:rPr>
        <w:t>单位决算情况说明</w:t>
      </w:r>
      <w:bookmarkEnd w:id="16"/>
      <w:bookmarkEnd w:id="17"/>
    </w:p>
    <w:p w14:paraId="0F72073F"/>
    <w:p w14:paraId="60F7913D">
      <w:pPr>
        <w:pStyle w:val="36"/>
        <w:numPr>
          <w:ilvl w:val="0"/>
          <w:numId w:val="2"/>
        </w:numPr>
        <w:spacing w:line="600" w:lineRule="exact"/>
        <w:ind w:firstLineChars="0"/>
        <w:outlineLvl w:val="1"/>
        <w:rPr>
          <w:rStyle w:val="21"/>
          <w:rFonts w:ascii="黑体" w:hAnsi="黑体" w:eastAsia="黑体"/>
          <w:b w:val="0"/>
        </w:rPr>
      </w:pPr>
      <w:bookmarkStart w:id="18" w:name="_Toc15396603"/>
      <w:bookmarkStart w:id="19" w:name="_Toc15377205"/>
      <w:r>
        <w:rPr>
          <w:rFonts w:hint="eastAsia" w:ascii="黑体" w:hAnsi="黑体" w:eastAsia="黑体"/>
          <w:sz w:val="32"/>
          <w:szCs w:val="32"/>
        </w:rPr>
        <w:t>收</w:t>
      </w:r>
      <w:r>
        <w:rPr>
          <w:rStyle w:val="21"/>
          <w:rFonts w:hint="eastAsia" w:ascii="黑体" w:hAnsi="黑体" w:eastAsia="黑体"/>
          <w:b w:val="0"/>
        </w:rPr>
        <w:t>入支出决算总体情况说明</w:t>
      </w:r>
      <w:bookmarkEnd w:id="18"/>
      <w:bookmarkEnd w:id="19"/>
    </w:p>
    <w:p w14:paraId="7F9A4633">
      <w:pPr>
        <w:spacing w:line="600" w:lineRule="exact"/>
        <w:ind w:firstLine="640" w:firstLineChars="200"/>
        <w:rPr>
          <w:rFonts w:ascii="仿宋_GB2312" w:eastAsia="仿宋_GB2312"/>
          <w:sz w:val="32"/>
          <w:szCs w:val="32"/>
        </w:rPr>
      </w:pPr>
      <w:r>
        <w:rPr>
          <w:rFonts w:hint="eastAsia" w:ascii="仿宋" w:hAnsi="仿宋" w:eastAsia="仿宋"/>
          <w:sz w:val="32"/>
          <w:szCs w:val="32"/>
        </w:rPr>
        <w:t>2023年度收、支总计均为</w:t>
      </w:r>
      <w:r>
        <w:rPr>
          <w:rFonts w:hint="eastAsia" w:ascii="仿宋" w:hAnsi="仿宋" w:eastAsia="仿宋"/>
          <w:b/>
          <w:sz w:val="32"/>
          <w:szCs w:val="32"/>
        </w:rPr>
        <w:t>1882.62</w:t>
      </w:r>
      <w:r>
        <w:rPr>
          <w:rFonts w:hint="eastAsia" w:ascii="仿宋" w:hAnsi="仿宋" w:eastAsia="仿宋"/>
          <w:sz w:val="32"/>
          <w:szCs w:val="32"/>
        </w:rPr>
        <w:t>万元。与2022年度相比，收、支总计各增加</w:t>
      </w:r>
      <w:r>
        <w:rPr>
          <w:rFonts w:hint="eastAsia" w:ascii="仿宋" w:hAnsi="仿宋" w:eastAsia="仿宋"/>
          <w:sz w:val="32"/>
          <w:szCs w:val="32"/>
          <w:lang w:val="en-US" w:eastAsia="zh-CN"/>
        </w:rPr>
        <w:t>1513.81</w:t>
      </w:r>
      <w:r>
        <w:rPr>
          <w:rFonts w:hint="eastAsia" w:ascii="仿宋" w:hAnsi="仿宋" w:eastAsia="仿宋"/>
          <w:sz w:val="32"/>
          <w:szCs w:val="32"/>
        </w:rPr>
        <w:t>万元，增长</w:t>
      </w:r>
      <w:r>
        <w:rPr>
          <w:rFonts w:hint="eastAsia" w:ascii="仿宋" w:hAnsi="仿宋" w:eastAsia="仿宋"/>
          <w:sz w:val="32"/>
          <w:szCs w:val="32"/>
          <w:lang w:val="en-US" w:eastAsia="zh-CN"/>
        </w:rPr>
        <w:t>410.46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w:t>
      </w:r>
      <w:r>
        <w:rPr>
          <w:rFonts w:hint="default" w:ascii="Times New Roman" w:hAnsi="Times New Roman" w:eastAsia="仿宋_GB2312" w:cs="Times New Roman"/>
          <w:kern w:val="0"/>
          <w:sz w:val="32"/>
          <w:szCs w:val="32"/>
          <w:shd w:val="clear" w:fill="FFFFFF"/>
        </w:rPr>
        <w:t>项目资金为存量资金不</w:t>
      </w:r>
      <w:r>
        <w:rPr>
          <w:rFonts w:hint="eastAsia" w:eastAsia="仿宋_GB2312" w:cs="Times New Roman"/>
          <w:kern w:val="0"/>
          <w:sz w:val="32"/>
          <w:szCs w:val="32"/>
          <w:shd w:val="clear" w:fill="FFFFFF"/>
          <w:lang w:eastAsia="zh-CN"/>
        </w:rPr>
        <w:t>做</w:t>
      </w:r>
      <w:r>
        <w:rPr>
          <w:rFonts w:hint="default" w:ascii="Times New Roman" w:hAnsi="Times New Roman" w:eastAsia="仿宋_GB2312" w:cs="Times New Roman"/>
          <w:kern w:val="0"/>
          <w:sz w:val="32"/>
          <w:szCs w:val="32"/>
          <w:shd w:val="clear" w:fill="FFFFFF"/>
        </w:rPr>
        <w:t>决算</w:t>
      </w:r>
      <w:r>
        <w:rPr>
          <w:rFonts w:hint="eastAsia" w:eastAsia="仿宋_GB2312" w:cs="Times New Roman"/>
          <w:kern w:val="0"/>
          <w:sz w:val="32"/>
          <w:szCs w:val="32"/>
          <w:shd w:val="clear" w:fill="FFFFFF"/>
          <w:lang w:eastAsia="zh-CN"/>
        </w:rPr>
        <w:t>，</w:t>
      </w:r>
      <w:r>
        <w:rPr>
          <w:rFonts w:hint="eastAsia" w:eastAsia="仿宋_GB2312" w:cs="Times New Roman"/>
          <w:kern w:val="0"/>
          <w:sz w:val="32"/>
          <w:szCs w:val="32"/>
          <w:shd w:val="clear" w:fill="FFFFFF"/>
          <w:lang w:val="en-US" w:eastAsia="zh-CN"/>
        </w:rPr>
        <w:t>2023年存量资金纳入决算</w:t>
      </w:r>
      <w:r>
        <w:rPr>
          <w:rFonts w:hint="eastAsia" w:ascii="仿宋" w:hAnsi="仿宋" w:eastAsia="仿宋"/>
          <w:sz w:val="32"/>
          <w:szCs w:val="32"/>
        </w:rPr>
        <w:t>。</w:t>
      </w:r>
    </w:p>
    <w:p w14:paraId="73458414">
      <w:pPr>
        <w:pStyle w:val="36"/>
        <w:numPr>
          <w:ilvl w:val="0"/>
          <w:numId w:val="2"/>
        </w:numPr>
        <w:spacing w:line="600" w:lineRule="exact"/>
        <w:ind w:firstLineChars="0"/>
        <w:outlineLvl w:val="1"/>
        <w:rPr>
          <w:rStyle w:val="21"/>
          <w:rFonts w:ascii="黑体" w:hAnsi="黑体" w:eastAsia="黑体"/>
          <w:b w:val="0"/>
        </w:rPr>
      </w:pPr>
      <w:bookmarkStart w:id="20" w:name="_Toc15377206"/>
      <w:bookmarkStart w:id="21" w:name="_Toc15396604"/>
      <w:r>
        <w:rPr>
          <w:rFonts w:hint="eastAsia" w:ascii="黑体" w:hAnsi="黑体" w:eastAsia="黑体"/>
          <w:sz w:val="32"/>
          <w:szCs w:val="32"/>
        </w:rPr>
        <w:t>收</w:t>
      </w:r>
      <w:r>
        <w:rPr>
          <w:rStyle w:val="21"/>
          <w:rFonts w:hint="eastAsia" w:ascii="黑体" w:hAnsi="黑体" w:eastAsia="黑体"/>
          <w:b w:val="0"/>
        </w:rPr>
        <w:t>入决算情况说明</w:t>
      </w:r>
      <w:bookmarkEnd w:id="20"/>
      <w:bookmarkEnd w:id="21"/>
    </w:p>
    <w:p w14:paraId="23A4A51D">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2023年度本年收入合计</w:t>
      </w:r>
      <w:r>
        <w:rPr>
          <w:rFonts w:ascii="仿宋" w:hAnsi="仿宋" w:eastAsia="仿宋"/>
          <w:b/>
          <w:sz w:val="32"/>
          <w:szCs w:val="32"/>
        </w:rPr>
        <w:t>1511.14</w:t>
      </w:r>
      <w:r>
        <w:rPr>
          <w:rFonts w:hint="eastAsia" w:ascii="仿宋" w:hAnsi="仿宋" w:eastAsia="仿宋"/>
          <w:sz w:val="32"/>
          <w:szCs w:val="32"/>
        </w:rPr>
        <w:t>万元，其中：一般公共预算财政拨款收入</w:t>
      </w:r>
      <w:r>
        <w:rPr>
          <w:rFonts w:ascii="仿宋" w:hAnsi="仿宋" w:eastAsia="仿宋"/>
          <w:b/>
          <w:sz w:val="32"/>
          <w:szCs w:val="32"/>
        </w:rPr>
        <w:t>1511.14</w:t>
      </w:r>
      <w:r>
        <w:rPr>
          <w:rFonts w:hint="eastAsia" w:ascii="仿宋" w:hAnsi="仿宋" w:eastAsia="仿宋"/>
          <w:sz w:val="32"/>
          <w:szCs w:val="32"/>
        </w:rPr>
        <w:t>万元，占</w:t>
      </w:r>
      <w:r>
        <w:rPr>
          <w:rFonts w:ascii="仿宋" w:hAnsi="仿宋" w:eastAsia="仿宋"/>
          <w:b/>
          <w:sz w:val="32"/>
          <w:szCs w:val="32"/>
        </w:rPr>
        <w:t>100%</w:t>
      </w:r>
      <w:r>
        <w:rPr>
          <w:rFonts w:hint="eastAsia" w:ascii="仿宋" w:hAnsi="仿宋" w:eastAsia="仿宋"/>
          <w:sz w:val="32"/>
          <w:szCs w:val="32"/>
        </w:rPr>
        <w:t>；政府性基金预算财政拨款收入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；国有资本经营预算财政拨款收入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；上级补助收入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sz w:val="32"/>
          <w:szCs w:val="32"/>
        </w:rPr>
        <w:t>0%</w:t>
      </w:r>
      <w:r>
        <w:rPr>
          <w:rFonts w:hint="eastAsia" w:ascii="仿宋" w:hAnsi="仿宋" w:eastAsia="仿宋"/>
          <w:sz w:val="32"/>
          <w:szCs w:val="32"/>
        </w:rPr>
        <w:t>；事业收入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；附属单位上缴收入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；其他收入</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p>
    <w:p w14:paraId="5EA7A9CD">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01表</w:t>
      </w:r>
      <w:r>
        <w:rPr>
          <w:rFonts w:hint="eastAsia" w:ascii="仿宋" w:hAnsi="仿宋" w:eastAsia="仿宋"/>
          <w:b/>
          <w:sz w:val="32"/>
          <w:szCs w:val="32"/>
        </w:rPr>
        <w:t>，仅罗列本单位涉及的收入。</w:t>
      </w:r>
      <w:r>
        <w:rPr>
          <w:rFonts w:ascii="仿宋" w:hAnsi="仿宋" w:eastAsia="仿宋"/>
          <w:b/>
          <w:sz w:val="32"/>
          <w:szCs w:val="32"/>
        </w:rPr>
        <w:t>）</w:t>
      </w:r>
    </w:p>
    <w:p w14:paraId="39EE6959">
      <w:pPr>
        <w:pStyle w:val="36"/>
        <w:numPr>
          <w:ilvl w:val="0"/>
          <w:numId w:val="2"/>
        </w:numPr>
        <w:spacing w:line="600" w:lineRule="exact"/>
        <w:ind w:firstLineChars="0"/>
        <w:outlineLvl w:val="1"/>
        <w:rPr>
          <w:rStyle w:val="21"/>
          <w:rFonts w:ascii="黑体" w:hAnsi="黑体" w:eastAsia="黑体"/>
          <w:b w:val="0"/>
        </w:rPr>
      </w:pPr>
      <w:bookmarkStart w:id="22" w:name="_Toc15396605"/>
      <w:bookmarkStart w:id="23" w:name="_Toc15377207"/>
      <w:r>
        <w:rPr>
          <w:rFonts w:hint="eastAsia" w:ascii="黑体" w:hAnsi="黑体" w:eastAsia="黑体"/>
          <w:sz w:val="32"/>
          <w:szCs w:val="32"/>
        </w:rPr>
        <w:t>支</w:t>
      </w:r>
      <w:r>
        <w:rPr>
          <w:rStyle w:val="21"/>
          <w:rFonts w:hint="eastAsia" w:ascii="黑体" w:hAnsi="黑体" w:eastAsia="黑体"/>
          <w:b w:val="0"/>
        </w:rPr>
        <w:t>出决算情况说明</w:t>
      </w:r>
      <w:bookmarkEnd w:id="22"/>
      <w:bookmarkEnd w:id="23"/>
    </w:p>
    <w:p w14:paraId="772F9339">
      <w:pPr>
        <w:spacing w:line="600" w:lineRule="exact"/>
        <w:ind w:firstLine="640" w:firstLineChars="200"/>
        <w:outlineLvl w:val="1"/>
        <w:rPr>
          <w:rFonts w:ascii="仿宋" w:hAnsi="仿宋" w:eastAsia="仿宋"/>
          <w:sz w:val="32"/>
          <w:szCs w:val="32"/>
        </w:rPr>
      </w:pPr>
      <w:r>
        <w:rPr>
          <w:rFonts w:hint="eastAsia" w:ascii="仿宋" w:hAnsi="仿宋" w:eastAsia="仿宋"/>
          <w:sz w:val="32"/>
          <w:szCs w:val="32"/>
        </w:rPr>
        <w:t>2023年度本年支出合计</w:t>
      </w:r>
      <w:r>
        <w:rPr>
          <w:rFonts w:ascii="仿宋" w:hAnsi="仿宋" w:eastAsia="仿宋"/>
          <w:b/>
          <w:sz w:val="32"/>
          <w:szCs w:val="32"/>
        </w:rPr>
        <w:t>1882.62</w:t>
      </w:r>
      <w:r>
        <w:rPr>
          <w:rFonts w:hint="eastAsia" w:ascii="仿宋" w:hAnsi="仿宋" w:eastAsia="仿宋"/>
          <w:sz w:val="32"/>
          <w:szCs w:val="32"/>
        </w:rPr>
        <w:t>万元，其中：基本支出</w:t>
      </w:r>
      <w:r>
        <w:rPr>
          <w:rFonts w:ascii="仿宋" w:hAnsi="仿宋" w:eastAsia="仿宋"/>
          <w:b/>
          <w:sz w:val="32"/>
          <w:szCs w:val="32"/>
        </w:rPr>
        <w:t>345.02</w:t>
      </w:r>
      <w:r>
        <w:rPr>
          <w:rFonts w:hint="eastAsia" w:ascii="仿宋" w:hAnsi="仿宋" w:eastAsia="仿宋"/>
          <w:sz w:val="32"/>
          <w:szCs w:val="32"/>
        </w:rPr>
        <w:t>万元，占</w:t>
      </w:r>
      <w:r>
        <w:rPr>
          <w:rFonts w:ascii="仿宋" w:hAnsi="仿宋" w:eastAsia="仿宋"/>
          <w:b/>
          <w:sz w:val="32"/>
          <w:szCs w:val="32"/>
        </w:rPr>
        <w:t>18.32</w:t>
      </w:r>
      <w:r>
        <w:rPr>
          <w:rFonts w:ascii="仿宋" w:hAnsi="仿宋" w:eastAsia="仿宋"/>
          <w:sz w:val="32"/>
          <w:szCs w:val="32"/>
        </w:rPr>
        <w:t>%</w:t>
      </w:r>
      <w:r>
        <w:rPr>
          <w:rFonts w:hint="eastAsia" w:ascii="仿宋" w:hAnsi="仿宋" w:eastAsia="仿宋"/>
          <w:sz w:val="32"/>
          <w:szCs w:val="32"/>
        </w:rPr>
        <w:t>；项目支出</w:t>
      </w:r>
      <w:r>
        <w:rPr>
          <w:rFonts w:ascii="仿宋" w:hAnsi="仿宋" w:eastAsia="仿宋"/>
          <w:b/>
          <w:sz w:val="32"/>
          <w:szCs w:val="32"/>
        </w:rPr>
        <w:t>1537.61</w:t>
      </w:r>
      <w:r>
        <w:rPr>
          <w:rFonts w:hint="eastAsia" w:ascii="仿宋" w:hAnsi="仿宋" w:eastAsia="仿宋"/>
          <w:sz w:val="32"/>
          <w:szCs w:val="32"/>
        </w:rPr>
        <w:t>万元，占</w:t>
      </w:r>
      <w:r>
        <w:rPr>
          <w:rFonts w:ascii="仿宋" w:hAnsi="仿宋" w:eastAsia="仿宋"/>
          <w:b/>
          <w:sz w:val="32"/>
          <w:szCs w:val="32"/>
        </w:rPr>
        <w:t>81.67</w:t>
      </w:r>
      <w:r>
        <w:rPr>
          <w:rFonts w:ascii="仿宋" w:hAnsi="仿宋" w:eastAsia="仿宋"/>
          <w:sz w:val="32"/>
          <w:szCs w:val="32"/>
        </w:rPr>
        <w:t>%</w:t>
      </w:r>
      <w:r>
        <w:rPr>
          <w:rFonts w:hint="eastAsia" w:ascii="仿宋" w:hAnsi="仿宋" w:eastAsia="仿宋"/>
          <w:sz w:val="32"/>
          <w:szCs w:val="32"/>
        </w:rPr>
        <w:t>；上缴上级支出</w:t>
      </w:r>
      <w:r>
        <w:rPr>
          <w:rFonts w:ascii="仿宋" w:hAnsi="仿宋" w:eastAsia="仿宋"/>
          <w:b/>
          <w:sz w:val="32"/>
          <w:szCs w:val="32"/>
        </w:rPr>
        <w:t>0</w:t>
      </w:r>
      <w:r>
        <w:rPr>
          <w:rFonts w:hint="eastAsia" w:ascii="仿宋" w:hAnsi="仿宋" w:eastAsia="仿宋"/>
          <w:sz w:val="32"/>
          <w:szCs w:val="32"/>
        </w:rPr>
        <w:t>万元，占</w:t>
      </w:r>
      <w:r>
        <w:rPr>
          <w:rFonts w:hint="eastAsia"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；经营支出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；对附属单位补助支出</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w:t>
      </w:r>
    </w:p>
    <w:p w14:paraId="4B40F4EB">
      <w:pPr>
        <w:spacing w:line="600" w:lineRule="exact"/>
        <w:ind w:firstLine="643" w:firstLineChars="200"/>
        <w:outlineLvl w:val="1"/>
        <w:rPr>
          <w:rFonts w:ascii="仿宋_GB2312" w:eastAsia="仿宋_GB2312"/>
          <w:sz w:val="32"/>
          <w:szCs w:val="32"/>
        </w:rPr>
      </w:pPr>
      <w:r>
        <w:rPr>
          <w:rFonts w:hint="eastAsia" w:ascii="仿宋" w:hAnsi="仿宋" w:eastAsia="仿宋"/>
          <w:b/>
          <w:sz w:val="32"/>
          <w:szCs w:val="32"/>
        </w:rPr>
        <w:t>（注：数据来源于财决</w:t>
      </w:r>
      <w:r>
        <w:rPr>
          <w:rFonts w:ascii="仿宋" w:hAnsi="仿宋" w:eastAsia="仿宋"/>
          <w:b/>
          <w:sz w:val="32"/>
          <w:szCs w:val="32"/>
        </w:rPr>
        <w:t>04</w:t>
      </w:r>
      <w:r>
        <w:rPr>
          <w:rFonts w:hint="eastAsia" w:ascii="仿宋" w:hAnsi="仿宋" w:eastAsia="仿宋"/>
          <w:b/>
          <w:sz w:val="32"/>
          <w:szCs w:val="32"/>
        </w:rPr>
        <w:t>表，仅罗列本单位涉及的支出。）</w:t>
      </w:r>
    </w:p>
    <w:p w14:paraId="57F52A74">
      <w:pPr>
        <w:spacing w:line="600" w:lineRule="exact"/>
        <w:ind w:firstLine="640" w:firstLineChars="200"/>
        <w:outlineLvl w:val="1"/>
        <w:rPr>
          <w:rStyle w:val="21"/>
          <w:rFonts w:ascii="黑体" w:hAnsi="黑体" w:eastAsia="黑体"/>
          <w:b w:val="0"/>
        </w:rPr>
      </w:pPr>
      <w:bookmarkStart w:id="24" w:name="_Toc15396606"/>
      <w:bookmarkStart w:id="25" w:name="_Toc15377208"/>
      <w:r>
        <w:rPr>
          <w:rFonts w:hint="eastAsia" w:ascii="黑体" w:hAnsi="黑体" w:eastAsia="黑体"/>
          <w:sz w:val="32"/>
          <w:szCs w:val="32"/>
        </w:rPr>
        <w:t>四、财</w:t>
      </w:r>
      <w:r>
        <w:rPr>
          <w:rStyle w:val="21"/>
          <w:rFonts w:hint="eastAsia" w:ascii="黑体" w:hAnsi="黑体" w:eastAsia="黑体"/>
          <w:b w:val="0"/>
        </w:rPr>
        <w:t>政拨款收入支出决算总体情况说明</w:t>
      </w:r>
      <w:bookmarkEnd w:id="24"/>
      <w:bookmarkEnd w:id="25"/>
    </w:p>
    <w:p w14:paraId="7CD2BE6F">
      <w:pPr>
        <w:spacing w:line="600" w:lineRule="exact"/>
        <w:ind w:firstLine="640" w:firstLineChars="200"/>
        <w:rPr>
          <w:rFonts w:ascii="仿宋" w:hAnsi="仿宋" w:eastAsia="仿宋"/>
          <w:sz w:val="32"/>
          <w:szCs w:val="32"/>
        </w:rPr>
      </w:pPr>
      <w:r>
        <w:rPr>
          <w:rFonts w:hint="eastAsia" w:ascii="仿宋" w:hAnsi="仿宋" w:eastAsia="仿宋"/>
          <w:sz w:val="32"/>
          <w:szCs w:val="32"/>
        </w:rPr>
        <w:t>2023年度财政拨款收、支总计均为</w:t>
      </w:r>
      <w:r>
        <w:rPr>
          <w:rFonts w:ascii="仿宋" w:hAnsi="仿宋" w:eastAsia="仿宋"/>
          <w:b/>
          <w:sz w:val="32"/>
          <w:szCs w:val="32"/>
        </w:rPr>
        <w:t>1882.62</w:t>
      </w:r>
      <w:r>
        <w:rPr>
          <w:rFonts w:hint="eastAsia" w:ascii="仿宋" w:hAnsi="仿宋" w:eastAsia="仿宋"/>
          <w:sz w:val="32"/>
          <w:szCs w:val="32"/>
        </w:rPr>
        <w:t>万元。与2022年度相比，财政拨款收、支总计各增加</w:t>
      </w:r>
      <w:r>
        <w:rPr>
          <w:rFonts w:hint="eastAsia" w:ascii="仿宋" w:hAnsi="仿宋" w:eastAsia="仿宋"/>
          <w:sz w:val="32"/>
          <w:szCs w:val="32"/>
          <w:lang w:val="en-US" w:eastAsia="zh-CN"/>
        </w:rPr>
        <w:t>1513.81</w:t>
      </w:r>
      <w:r>
        <w:rPr>
          <w:rFonts w:hint="eastAsia" w:ascii="仿宋" w:hAnsi="仿宋" w:eastAsia="仿宋"/>
          <w:sz w:val="32"/>
          <w:szCs w:val="32"/>
        </w:rPr>
        <w:t>万元，增长</w:t>
      </w:r>
      <w:r>
        <w:rPr>
          <w:rFonts w:hint="eastAsia" w:ascii="仿宋" w:hAnsi="仿宋" w:eastAsia="仿宋"/>
          <w:sz w:val="32"/>
          <w:szCs w:val="32"/>
          <w:lang w:val="en-US" w:eastAsia="zh-CN"/>
        </w:rPr>
        <w:t>410.46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w:t>
      </w:r>
      <w:r>
        <w:rPr>
          <w:rFonts w:hint="default" w:ascii="Times New Roman" w:hAnsi="Times New Roman" w:eastAsia="仿宋_GB2312" w:cs="Times New Roman"/>
          <w:kern w:val="0"/>
          <w:sz w:val="32"/>
          <w:szCs w:val="32"/>
          <w:shd w:val="clear" w:fill="FFFFFF"/>
        </w:rPr>
        <w:t>项目资金为存量资金不</w:t>
      </w:r>
      <w:r>
        <w:rPr>
          <w:rFonts w:hint="eastAsia" w:eastAsia="仿宋_GB2312" w:cs="Times New Roman"/>
          <w:kern w:val="0"/>
          <w:sz w:val="32"/>
          <w:szCs w:val="32"/>
          <w:shd w:val="clear" w:fill="FFFFFF"/>
          <w:lang w:eastAsia="zh-CN"/>
        </w:rPr>
        <w:t>做</w:t>
      </w:r>
      <w:r>
        <w:rPr>
          <w:rFonts w:hint="default" w:ascii="Times New Roman" w:hAnsi="Times New Roman" w:eastAsia="仿宋_GB2312" w:cs="Times New Roman"/>
          <w:kern w:val="0"/>
          <w:sz w:val="32"/>
          <w:szCs w:val="32"/>
          <w:shd w:val="clear" w:fill="FFFFFF"/>
        </w:rPr>
        <w:t>决算</w:t>
      </w:r>
      <w:r>
        <w:rPr>
          <w:rFonts w:hint="eastAsia" w:eastAsia="仿宋_GB2312" w:cs="Times New Roman"/>
          <w:kern w:val="0"/>
          <w:sz w:val="32"/>
          <w:szCs w:val="32"/>
          <w:shd w:val="clear" w:fill="FFFFFF"/>
          <w:lang w:eastAsia="zh-CN"/>
        </w:rPr>
        <w:t>，</w:t>
      </w:r>
      <w:r>
        <w:rPr>
          <w:rFonts w:hint="eastAsia" w:eastAsia="仿宋_GB2312" w:cs="Times New Roman"/>
          <w:kern w:val="0"/>
          <w:sz w:val="32"/>
          <w:szCs w:val="32"/>
          <w:shd w:val="clear" w:fill="FFFFFF"/>
          <w:lang w:val="en-US" w:eastAsia="zh-CN"/>
        </w:rPr>
        <w:t>2023年项目资金纳入决算</w:t>
      </w:r>
      <w:r>
        <w:rPr>
          <w:rFonts w:hint="eastAsia" w:ascii="仿宋" w:hAnsi="仿宋" w:eastAsia="仿宋"/>
          <w:sz w:val="32"/>
          <w:szCs w:val="32"/>
        </w:rPr>
        <w:t>。</w:t>
      </w:r>
    </w:p>
    <w:p w14:paraId="18B05C24">
      <w:pPr>
        <w:spacing w:line="600" w:lineRule="exact"/>
        <w:ind w:firstLine="64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01-1</w:t>
      </w:r>
      <w:r>
        <w:rPr>
          <w:rFonts w:hint="eastAsia" w:ascii="仿宋" w:hAnsi="仿宋" w:eastAsia="仿宋"/>
          <w:b/>
          <w:sz w:val="32"/>
          <w:szCs w:val="32"/>
        </w:rPr>
        <w:t>表</w:t>
      </w:r>
      <w:r>
        <w:rPr>
          <w:rFonts w:ascii="仿宋" w:hAnsi="仿宋" w:eastAsia="仿宋"/>
          <w:b/>
          <w:sz w:val="32"/>
          <w:szCs w:val="32"/>
        </w:rPr>
        <w:t>）</w:t>
      </w:r>
    </w:p>
    <w:p w14:paraId="1A736A36">
      <w:pPr>
        <w:spacing w:line="600" w:lineRule="exact"/>
        <w:ind w:firstLine="640" w:firstLineChars="200"/>
        <w:outlineLvl w:val="1"/>
        <w:rPr>
          <w:rStyle w:val="21"/>
          <w:rFonts w:ascii="黑体" w:hAnsi="黑体" w:eastAsia="黑体"/>
          <w:b w:val="0"/>
        </w:rPr>
      </w:pPr>
      <w:bookmarkStart w:id="26" w:name="_Toc15396607"/>
      <w:bookmarkStart w:id="27" w:name="_Toc15377209"/>
      <w:r>
        <w:rPr>
          <w:rFonts w:hint="eastAsia" w:ascii="黑体" w:hAnsi="黑体" w:eastAsia="黑体"/>
          <w:sz w:val="32"/>
          <w:szCs w:val="32"/>
        </w:rPr>
        <w:t>五、</w:t>
      </w:r>
      <w:r>
        <w:rPr>
          <w:rFonts w:hint="eastAsia" w:ascii="黑体" w:hAnsi="黑体" w:eastAsia="黑体"/>
          <w:b/>
          <w:sz w:val="32"/>
          <w:szCs w:val="32"/>
        </w:rPr>
        <w:t>一</w:t>
      </w:r>
      <w:r>
        <w:rPr>
          <w:rStyle w:val="21"/>
          <w:rFonts w:hint="eastAsia" w:ascii="黑体" w:hAnsi="黑体" w:eastAsia="黑体"/>
          <w:b w:val="0"/>
        </w:rPr>
        <w:t>般公共预算财政拨款支出决算情况说明</w:t>
      </w:r>
      <w:bookmarkEnd w:id="26"/>
      <w:bookmarkEnd w:id="27"/>
    </w:p>
    <w:p w14:paraId="603B05F3">
      <w:pPr>
        <w:spacing w:line="600" w:lineRule="exact"/>
        <w:ind w:firstLine="643" w:firstLineChars="200"/>
        <w:outlineLvl w:val="2"/>
        <w:rPr>
          <w:rFonts w:ascii="仿宋" w:hAnsi="仿宋" w:eastAsia="仿宋"/>
          <w:b/>
          <w:sz w:val="32"/>
          <w:szCs w:val="32"/>
        </w:rPr>
      </w:pPr>
      <w:bookmarkStart w:id="28" w:name="_Toc15377210"/>
      <w:r>
        <w:rPr>
          <w:rFonts w:hint="eastAsia" w:ascii="仿宋" w:hAnsi="仿宋" w:eastAsia="仿宋"/>
          <w:b/>
          <w:sz w:val="32"/>
          <w:szCs w:val="32"/>
        </w:rPr>
        <w:t>（一）一般公共预算财政拨款支出决算总体情况</w:t>
      </w:r>
      <w:bookmarkEnd w:id="28"/>
    </w:p>
    <w:p w14:paraId="321D01F2">
      <w:pPr>
        <w:spacing w:line="600" w:lineRule="exact"/>
        <w:ind w:firstLine="640" w:firstLineChars="200"/>
        <w:rPr>
          <w:rFonts w:ascii="仿宋" w:hAnsi="仿宋" w:eastAsia="仿宋"/>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1882.62</w:t>
      </w:r>
      <w:r>
        <w:rPr>
          <w:rFonts w:hint="eastAsia" w:ascii="仿宋" w:hAnsi="仿宋" w:eastAsia="仿宋"/>
          <w:sz w:val="32"/>
          <w:szCs w:val="32"/>
        </w:rPr>
        <w:t>万元，占本年支出合计的</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。与2022年度相比，一般公共预算财政拨款支出增加</w:t>
      </w:r>
      <w:r>
        <w:rPr>
          <w:rFonts w:hint="eastAsia" w:ascii="仿宋" w:hAnsi="仿宋" w:eastAsia="仿宋"/>
          <w:sz w:val="32"/>
          <w:szCs w:val="32"/>
          <w:lang w:val="en-US" w:eastAsia="zh-CN"/>
        </w:rPr>
        <w:t>1513.81</w:t>
      </w:r>
      <w:r>
        <w:rPr>
          <w:rFonts w:hint="eastAsia" w:ascii="仿宋" w:hAnsi="仿宋" w:eastAsia="仿宋"/>
          <w:sz w:val="32"/>
          <w:szCs w:val="32"/>
        </w:rPr>
        <w:t>万元，增长</w:t>
      </w:r>
      <w:r>
        <w:rPr>
          <w:rFonts w:hint="eastAsia" w:ascii="仿宋" w:hAnsi="仿宋" w:eastAsia="仿宋"/>
          <w:sz w:val="32"/>
          <w:szCs w:val="32"/>
          <w:lang w:val="en-US" w:eastAsia="zh-CN"/>
        </w:rPr>
        <w:t>410.46</w:t>
      </w:r>
      <w:r>
        <w:rPr>
          <w:rFonts w:ascii="仿宋" w:hAnsi="仿宋" w:eastAsia="仿宋"/>
          <w:sz w:val="32"/>
          <w:szCs w:val="32"/>
        </w:rPr>
        <w:t>%</w:t>
      </w:r>
      <w:r>
        <w:rPr>
          <w:rFonts w:hint="eastAsia" w:ascii="仿宋" w:hAnsi="仿宋" w:eastAsia="仿宋"/>
          <w:sz w:val="32"/>
          <w:szCs w:val="32"/>
        </w:rPr>
        <w:t>。主要变动原因是</w:t>
      </w:r>
      <w:r>
        <w:rPr>
          <w:rFonts w:hint="eastAsia" w:ascii="仿宋" w:hAnsi="仿宋" w:eastAsia="仿宋"/>
          <w:sz w:val="32"/>
          <w:szCs w:val="32"/>
          <w:lang w:val="en-US" w:eastAsia="zh-CN"/>
        </w:rPr>
        <w:t>2022年</w:t>
      </w:r>
      <w:r>
        <w:rPr>
          <w:rFonts w:hint="default" w:ascii="Times New Roman" w:hAnsi="Times New Roman" w:eastAsia="仿宋_GB2312" w:cs="Times New Roman"/>
          <w:kern w:val="0"/>
          <w:sz w:val="32"/>
          <w:szCs w:val="32"/>
          <w:shd w:val="clear" w:fill="FFFFFF"/>
        </w:rPr>
        <w:t>项目资金为存量资金不</w:t>
      </w:r>
      <w:r>
        <w:rPr>
          <w:rFonts w:hint="eastAsia" w:eastAsia="仿宋_GB2312" w:cs="Times New Roman"/>
          <w:kern w:val="0"/>
          <w:sz w:val="32"/>
          <w:szCs w:val="32"/>
          <w:shd w:val="clear" w:fill="FFFFFF"/>
          <w:lang w:eastAsia="zh-CN"/>
        </w:rPr>
        <w:t>做</w:t>
      </w:r>
      <w:r>
        <w:rPr>
          <w:rFonts w:hint="default" w:ascii="Times New Roman" w:hAnsi="Times New Roman" w:eastAsia="仿宋_GB2312" w:cs="Times New Roman"/>
          <w:kern w:val="0"/>
          <w:sz w:val="32"/>
          <w:szCs w:val="32"/>
          <w:shd w:val="clear" w:fill="FFFFFF"/>
        </w:rPr>
        <w:t>决算</w:t>
      </w:r>
      <w:r>
        <w:rPr>
          <w:rFonts w:hint="eastAsia" w:eastAsia="仿宋_GB2312" w:cs="Times New Roman"/>
          <w:kern w:val="0"/>
          <w:sz w:val="32"/>
          <w:szCs w:val="32"/>
          <w:shd w:val="clear" w:fill="FFFFFF"/>
          <w:lang w:eastAsia="zh-CN"/>
        </w:rPr>
        <w:t>，</w:t>
      </w:r>
      <w:r>
        <w:rPr>
          <w:rFonts w:hint="eastAsia" w:eastAsia="仿宋_GB2312" w:cs="Times New Roman"/>
          <w:kern w:val="0"/>
          <w:sz w:val="32"/>
          <w:szCs w:val="32"/>
          <w:shd w:val="clear" w:fill="FFFFFF"/>
          <w:lang w:val="en-US" w:eastAsia="zh-CN"/>
        </w:rPr>
        <w:t>2023年项目资金纳入决算</w:t>
      </w:r>
      <w:r>
        <w:rPr>
          <w:rFonts w:hint="eastAsia" w:ascii="仿宋" w:hAnsi="仿宋" w:eastAsia="仿宋"/>
          <w:sz w:val="32"/>
          <w:szCs w:val="32"/>
        </w:rPr>
        <w:t>。</w:t>
      </w:r>
    </w:p>
    <w:p w14:paraId="2C849166">
      <w:pPr>
        <w:spacing w:line="600" w:lineRule="exact"/>
        <w:ind w:firstLine="643" w:firstLineChars="200"/>
        <w:outlineLvl w:val="2"/>
        <w:rPr>
          <w:rFonts w:ascii="仿宋" w:hAnsi="仿宋" w:eastAsia="仿宋"/>
          <w:b/>
          <w:sz w:val="32"/>
          <w:szCs w:val="32"/>
        </w:rPr>
      </w:pPr>
      <w:bookmarkStart w:id="29" w:name="_Toc15377211"/>
      <w:r>
        <w:rPr>
          <w:rFonts w:hint="eastAsia" w:ascii="仿宋" w:hAnsi="仿宋" w:eastAsia="仿宋"/>
          <w:b/>
          <w:sz w:val="32"/>
          <w:szCs w:val="32"/>
        </w:rPr>
        <w:t>（二）一般公共预算财政拨款支出决算结构情况</w:t>
      </w:r>
      <w:bookmarkEnd w:id="29"/>
    </w:p>
    <w:p w14:paraId="52FD1080">
      <w:pPr>
        <w:spacing w:line="600" w:lineRule="exact"/>
        <w:ind w:firstLine="640"/>
        <w:rPr>
          <w:rFonts w:ascii="仿宋" w:hAnsi="仿宋" w:eastAsia="仿宋"/>
          <w:b/>
          <w:sz w:val="32"/>
          <w:szCs w:val="32"/>
        </w:rPr>
      </w:pPr>
      <w:r>
        <w:rPr>
          <w:rFonts w:hint="eastAsia" w:ascii="仿宋" w:hAnsi="仿宋" w:eastAsia="仿宋"/>
          <w:sz w:val="32"/>
          <w:szCs w:val="32"/>
        </w:rPr>
        <w:t>2023年度一般公共预算财政拨款支出</w:t>
      </w:r>
      <w:r>
        <w:rPr>
          <w:rFonts w:ascii="仿宋" w:hAnsi="仿宋" w:eastAsia="仿宋"/>
          <w:b/>
          <w:sz w:val="32"/>
          <w:szCs w:val="32"/>
        </w:rPr>
        <w:t>1882.62</w:t>
      </w:r>
      <w:r>
        <w:rPr>
          <w:rFonts w:hint="eastAsia" w:ascii="仿宋" w:hAnsi="仿宋" w:eastAsia="仿宋"/>
          <w:sz w:val="32"/>
          <w:szCs w:val="32"/>
        </w:rPr>
        <w:t>万元，主要用于以下方面</w:t>
      </w:r>
      <w:r>
        <w:rPr>
          <w:rFonts w:hint="eastAsia" w:ascii="仿宋" w:hAnsi="仿宋" w:eastAsia="仿宋"/>
          <w:sz w:val="32"/>
          <w:szCs w:val="32"/>
          <w:lang w:eastAsia="zh-CN"/>
        </w:rPr>
        <w:t>：</w:t>
      </w:r>
      <w:r>
        <w:rPr>
          <w:rFonts w:hint="eastAsia" w:ascii="仿宋" w:hAnsi="仿宋" w:eastAsia="仿宋"/>
          <w:b/>
          <w:sz w:val="32"/>
          <w:szCs w:val="32"/>
        </w:rPr>
        <w:t>一般公共服务</w:t>
      </w:r>
      <w:r>
        <w:rPr>
          <w:rFonts w:hint="eastAsia" w:ascii="仿宋" w:hAnsi="仿宋" w:eastAsia="仿宋"/>
          <w:b/>
          <w:bCs/>
          <w:sz w:val="32"/>
          <w:szCs w:val="32"/>
        </w:rPr>
        <w:t>支出</w:t>
      </w:r>
      <w:r>
        <w:rPr>
          <w:rFonts w:hint="eastAsia" w:ascii="仿宋" w:hAnsi="仿宋" w:eastAsia="仿宋"/>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教育支出</w:t>
      </w:r>
      <w:r>
        <w:rPr>
          <w:rFonts w:hint="eastAsia" w:ascii="仿宋" w:hAnsi="仿宋" w:eastAsia="仿宋"/>
          <w:sz w:val="32"/>
          <w:szCs w:val="32"/>
          <w:lang w:val="en-US" w:eastAsia="zh-CN"/>
        </w:rPr>
        <w:t>475.56</w:t>
      </w:r>
      <w:r>
        <w:rPr>
          <w:rFonts w:hint="eastAsia" w:ascii="仿宋" w:hAnsi="仿宋" w:eastAsia="仿宋"/>
          <w:sz w:val="32"/>
          <w:szCs w:val="32"/>
        </w:rPr>
        <w:t>万元，占</w:t>
      </w:r>
      <w:r>
        <w:rPr>
          <w:rFonts w:hint="eastAsia" w:ascii="仿宋" w:hAnsi="仿宋" w:eastAsia="仿宋"/>
          <w:sz w:val="32"/>
          <w:szCs w:val="32"/>
          <w:lang w:val="en-US" w:eastAsia="zh-CN"/>
        </w:rPr>
        <w:t>25.26</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sz w:val="32"/>
          <w:szCs w:val="32"/>
        </w:rPr>
        <w:t>科学技术</w:t>
      </w:r>
      <w:r>
        <w:rPr>
          <w:rFonts w:hint="eastAsia" w:ascii="仿宋" w:hAnsi="仿宋" w:eastAsia="仿宋"/>
          <w:b/>
          <w:bCs/>
          <w:sz w:val="32"/>
          <w:szCs w:val="32"/>
        </w:rPr>
        <w:t>支出</w:t>
      </w:r>
      <w:r>
        <w:rPr>
          <w:rFonts w:hint="eastAsia" w:ascii="仿宋" w:hAnsi="仿宋" w:eastAsia="仿宋"/>
          <w:b/>
          <w:bCs/>
          <w:sz w:val="32"/>
          <w:szCs w:val="32"/>
          <w:lang w:val="en-US" w:eastAsia="zh-CN"/>
        </w:rPr>
        <w:t>0</w:t>
      </w:r>
      <w:r>
        <w:rPr>
          <w:rFonts w:hint="eastAsia" w:ascii="仿宋" w:hAnsi="仿宋" w:eastAsia="仿宋"/>
          <w:sz w:val="32"/>
          <w:szCs w:val="32"/>
        </w:rPr>
        <w:t>万元，占</w:t>
      </w:r>
      <w:r>
        <w:rPr>
          <w:rFonts w:hint="eastAsia" w:ascii="仿宋" w:hAnsi="仿宋" w:eastAsia="仿宋"/>
          <w:sz w:val="32"/>
          <w:szCs w:val="32"/>
          <w:lang w:val="en-US" w:eastAsia="zh-CN"/>
        </w:rPr>
        <w:t>0</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文化旅游体育与传媒支出</w:t>
      </w:r>
      <w:r>
        <w:rPr>
          <w:rFonts w:hint="eastAsia" w:ascii="仿宋" w:hAnsi="仿宋" w:eastAsia="仿宋"/>
          <w:b/>
          <w:bCs/>
          <w:sz w:val="32"/>
          <w:szCs w:val="32"/>
          <w:lang w:val="en-US" w:eastAsia="zh-CN"/>
        </w:rPr>
        <w:t>0</w:t>
      </w:r>
      <w:r>
        <w:rPr>
          <w:rFonts w:hint="eastAsia" w:ascii="仿宋" w:hAnsi="仿宋" w:eastAsia="仿宋"/>
          <w:b/>
          <w:bCs/>
          <w:sz w:val="32"/>
          <w:szCs w:val="32"/>
        </w:rPr>
        <w:t>万元，占</w:t>
      </w:r>
      <w:r>
        <w:rPr>
          <w:rFonts w:hint="eastAsia" w:ascii="仿宋" w:hAnsi="仿宋" w:eastAsia="仿宋"/>
          <w:b/>
          <w:bCs/>
          <w:sz w:val="32"/>
          <w:szCs w:val="32"/>
          <w:lang w:val="en-US" w:eastAsia="zh-CN"/>
        </w:rPr>
        <w:t>0</w:t>
      </w:r>
      <w:r>
        <w:rPr>
          <w:rFonts w:ascii="仿宋" w:hAnsi="仿宋" w:eastAsia="仿宋"/>
          <w:b/>
          <w:bCs/>
          <w:sz w:val="32"/>
          <w:szCs w:val="32"/>
        </w:rPr>
        <w:t>%</w:t>
      </w:r>
      <w:r>
        <w:rPr>
          <w:rFonts w:hint="eastAsia" w:ascii="仿宋" w:hAnsi="仿宋" w:eastAsia="仿宋"/>
          <w:sz w:val="32"/>
          <w:szCs w:val="32"/>
        </w:rPr>
        <w:t>；</w:t>
      </w:r>
      <w:r>
        <w:rPr>
          <w:rFonts w:hint="eastAsia" w:ascii="仿宋" w:hAnsi="仿宋" w:eastAsia="仿宋"/>
          <w:b/>
          <w:sz w:val="32"/>
          <w:szCs w:val="32"/>
        </w:rPr>
        <w:t>社会保障和就业</w:t>
      </w:r>
      <w:r>
        <w:rPr>
          <w:rFonts w:hint="eastAsia" w:ascii="仿宋" w:hAnsi="仿宋" w:eastAsia="仿宋"/>
          <w:b/>
          <w:bCs/>
          <w:sz w:val="32"/>
          <w:szCs w:val="32"/>
        </w:rPr>
        <w:t>支出</w:t>
      </w:r>
      <w:r>
        <w:rPr>
          <w:rFonts w:hint="eastAsia" w:ascii="仿宋" w:hAnsi="仿宋" w:eastAsia="仿宋"/>
          <w:sz w:val="32"/>
          <w:szCs w:val="32"/>
          <w:lang w:val="en-US" w:eastAsia="zh-CN"/>
        </w:rPr>
        <w:t>1368.15</w:t>
      </w:r>
      <w:r>
        <w:rPr>
          <w:rFonts w:hint="eastAsia" w:ascii="仿宋" w:hAnsi="仿宋" w:eastAsia="仿宋"/>
          <w:sz w:val="32"/>
          <w:szCs w:val="32"/>
        </w:rPr>
        <w:t>万元，占</w:t>
      </w:r>
      <w:r>
        <w:rPr>
          <w:rFonts w:hint="eastAsia" w:ascii="仿宋" w:hAnsi="仿宋" w:eastAsia="仿宋"/>
          <w:sz w:val="32"/>
          <w:szCs w:val="32"/>
          <w:lang w:val="en-US" w:eastAsia="zh-CN"/>
        </w:rPr>
        <w:t>72.67</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卫生健康支出</w:t>
      </w:r>
      <w:r>
        <w:rPr>
          <w:rFonts w:hint="eastAsia" w:ascii="仿宋" w:hAnsi="仿宋" w:eastAsia="仿宋"/>
          <w:sz w:val="32"/>
          <w:szCs w:val="32"/>
          <w:lang w:val="en-US" w:eastAsia="zh-CN"/>
        </w:rPr>
        <w:t>17.85</w:t>
      </w:r>
      <w:r>
        <w:rPr>
          <w:rFonts w:hint="eastAsia" w:ascii="仿宋" w:hAnsi="仿宋" w:eastAsia="仿宋"/>
          <w:sz w:val="32"/>
          <w:szCs w:val="32"/>
        </w:rPr>
        <w:t>万元，占</w:t>
      </w:r>
      <w:r>
        <w:rPr>
          <w:rFonts w:hint="eastAsia" w:ascii="仿宋" w:hAnsi="仿宋" w:eastAsia="仿宋"/>
          <w:sz w:val="32"/>
          <w:szCs w:val="32"/>
          <w:lang w:val="en-US" w:eastAsia="zh-CN"/>
        </w:rPr>
        <w:t>0.95</w:t>
      </w:r>
      <w:r>
        <w:rPr>
          <w:rFonts w:ascii="仿宋" w:hAnsi="仿宋" w:eastAsia="仿宋"/>
          <w:sz w:val="32"/>
          <w:szCs w:val="32"/>
        </w:rPr>
        <w:t>%</w:t>
      </w:r>
      <w:r>
        <w:rPr>
          <w:rFonts w:hint="eastAsia" w:ascii="仿宋" w:hAnsi="仿宋" w:eastAsia="仿宋"/>
          <w:sz w:val="32"/>
          <w:szCs w:val="32"/>
        </w:rPr>
        <w:t>；</w:t>
      </w:r>
      <w:r>
        <w:rPr>
          <w:rFonts w:hint="eastAsia" w:ascii="仿宋" w:hAnsi="仿宋" w:eastAsia="仿宋"/>
          <w:b/>
          <w:bCs/>
          <w:sz w:val="32"/>
          <w:szCs w:val="32"/>
        </w:rPr>
        <w:t>住房保障支出</w:t>
      </w:r>
      <w:r>
        <w:rPr>
          <w:rFonts w:hint="eastAsia" w:ascii="仿宋" w:hAnsi="仿宋" w:eastAsia="仿宋"/>
          <w:sz w:val="32"/>
          <w:szCs w:val="32"/>
          <w:lang w:val="en-US" w:eastAsia="zh-CN"/>
        </w:rPr>
        <w:t>21.05</w:t>
      </w:r>
      <w:r>
        <w:rPr>
          <w:rFonts w:hint="eastAsia" w:ascii="仿宋" w:hAnsi="仿宋" w:eastAsia="仿宋"/>
          <w:sz w:val="32"/>
          <w:szCs w:val="32"/>
        </w:rPr>
        <w:t>万元，占</w:t>
      </w:r>
      <w:r>
        <w:rPr>
          <w:rFonts w:hint="eastAsia" w:ascii="仿宋" w:hAnsi="仿宋" w:eastAsia="仿宋"/>
          <w:sz w:val="32"/>
          <w:szCs w:val="32"/>
          <w:lang w:val="en-US" w:eastAsia="zh-CN"/>
        </w:rPr>
        <w:t>1.12</w:t>
      </w:r>
      <w:r>
        <w:rPr>
          <w:rFonts w:ascii="仿宋" w:hAnsi="仿宋" w:eastAsia="仿宋"/>
          <w:sz w:val="32"/>
          <w:szCs w:val="32"/>
        </w:rPr>
        <w:t>%</w:t>
      </w:r>
      <w:r>
        <w:rPr>
          <w:rFonts w:hint="eastAsia" w:ascii="仿宋" w:hAnsi="仿宋" w:eastAsia="仿宋"/>
          <w:sz w:val="32"/>
          <w:szCs w:val="32"/>
        </w:rPr>
        <w:t>。</w:t>
      </w:r>
    </w:p>
    <w:p w14:paraId="6AC46433">
      <w:pPr>
        <w:spacing w:line="600" w:lineRule="exact"/>
        <w:ind w:firstLine="640"/>
        <w:rPr>
          <w:rFonts w:ascii="仿宋" w:hAnsi="仿宋" w:eastAsia="仿宋"/>
          <w:sz w:val="32"/>
          <w:szCs w:val="32"/>
        </w:rPr>
      </w:pPr>
      <w:r>
        <w:rPr>
          <w:rFonts w:hint="eastAsia" w:ascii="仿宋" w:hAnsi="仿宋" w:eastAsia="仿宋"/>
          <w:b/>
          <w:sz w:val="32"/>
          <w:szCs w:val="32"/>
        </w:rPr>
        <w:t>（注：数据来源于财决01-1表，仅罗列本单位涉及的全部功能分类科目，至类级。）</w:t>
      </w:r>
    </w:p>
    <w:p w14:paraId="44100863">
      <w:pPr>
        <w:spacing w:line="600" w:lineRule="exact"/>
        <w:ind w:firstLine="643" w:firstLineChars="200"/>
        <w:outlineLvl w:val="2"/>
        <w:rPr>
          <w:rFonts w:ascii="仿宋" w:hAnsi="仿宋" w:eastAsia="仿宋"/>
          <w:b/>
          <w:sz w:val="32"/>
          <w:szCs w:val="32"/>
        </w:rPr>
      </w:pPr>
      <w:bookmarkStart w:id="30" w:name="_Toc15377212"/>
      <w:r>
        <w:rPr>
          <w:rFonts w:hint="eastAsia" w:ascii="仿宋" w:hAnsi="仿宋" w:eastAsia="仿宋"/>
          <w:b/>
          <w:sz w:val="32"/>
          <w:szCs w:val="32"/>
        </w:rPr>
        <w:t>（三）一般公共预算财政拨款支出决算具体情况</w:t>
      </w:r>
      <w:bookmarkEnd w:id="30"/>
    </w:p>
    <w:p w14:paraId="31F4621D">
      <w:pPr>
        <w:spacing w:line="600" w:lineRule="exact"/>
        <w:ind w:firstLine="643" w:firstLineChars="200"/>
        <w:outlineLvl w:val="2"/>
        <w:rPr>
          <w:rFonts w:ascii="仿宋" w:hAnsi="仿宋" w:eastAsia="仿宋"/>
          <w:sz w:val="32"/>
          <w:szCs w:val="32"/>
        </w:rPr>
      </w:pPr>
      <w:bookmarkStart w:id="31" w:name="_Toc15377213"/>
      <w:bookmarkStart w:id="32" w:name="_Toc15377444"/>
      <w:bookmarkStart w:id="33" w:name="_Toc15378460"/>
      <w:r>
        <w:rPr>
          <w:rFonts w:hint="eastAsia" w:ascii="仿宋" w:hAnsi="仿宋" w:eastAsia="仿宋"/>
          <w:b/>
          <w:sz w:val="32"/>
          <w:szCs w:val="32"/>
        </w:rPr>
        <w:t>2023年度一般公共预算支出决算数为</w:t>
      </w:r>
      <w:r>
        <w:rPr>
          <w:rFonts w:ascii="仿宋" w:hAnsi="仿宋" w:eastAsia="仿宋"/>
          <w:b/>
          <w:sz w:val="32"/>
          <w:szCs w:val="32"/>
        </w:rPr>
        <w:t>1882.62</w:t>
      </w:r>
      <w:r>
        <w:rPr>
          <w:rFonts w:hint="eastAsia" w:ascii="仿宋" w:hAnsi="仿宋" w:eastAsia="仿宋"/>
          <w:sz w:val="32"/>
          <w:szCs w:val="32"/>
        </w:rPr>
        <w:t>，</w:t>
      </w:r>
      <w:r>
        <w:rPr>
          <w:rStyle w:val="18"/>
          <w:rFonts w:hint="eastAsia" w:ascii="仿宋" w:hAnsi="仿宋" w:eastAsia="仿宋"/>
          <w:bCs/>
          <w:sz w:val="32"/>
          <w:szCs w:val="32"/>
        </w:rPr>
        <w:t>完成预算</w:t>
      </w:r>
      <w:r>
        <w:rPr>
          <w:rStyle w:val="18"/>
          <w:rFonts w:hint="eastAsia" w:ascii="仿宋" w:hAnsi="仿宋" w:eastAsia="仿宋"/>
          <w:bCs/>
          <w:sz w:val="32"/>
          <w:szCs w:val="32"/>
          <w:lang w:val="en-US" w:eastAsia="zh-CN"/>
        </w:rPr>
        <w:t>78.5</w:t>
      </w:r>
      <w:r>
        <w:rPr>
          <w:rStyle w:val="18"/>
          <w:rFonts w:ascii="仿宋" w:hAnsi="仿宋" w:eastAsia="仿宋"/>
          <w:bCs/>
          <w:sz w:val="32"/>
          <w:szCs w:val="32"/>
        </w:rPr>
        <w:t>%</w:t>
      </w:r>
      <w:r>
        <w:rPr>
          <w:rStyle w:val="18"/>
          <w:rFonts w:hint="eastAsia" w:ascii="仿宋" w:hAnsi="仿宋" w:eastAsia="仿宋"/>
          <w:bCs/>
          <w:sz w:val="32"/>
          <w:szCs w:val="32"/>
        </w:rPr>
        <w:t>。其中：</w:t>
      </w:r>
      <w:bookmarkEnd w:id="31"/>
      <w:bookmarkEnd w:id="32"/>
      <w:bookmarkEnd w:id="33"/>
    </w:p>
    <w:p w14:paraId="453988E7">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1</w:t>
      </w:r>
      <w:r>
        <w:rPr>
          <w:rStyle w:val="18"/>
          <w:rFonts w:ascii="仿宋" w:hAnsi="仿宋" w:eastAsia="仿宋"/>
          <w:bCs/>
          <w:sz w:val="32"/>
          <w:szCs w:val="32"/>
        </w:rPr>
        <w:t>.</w:t>
      </w:r>
      <w:r>
        <w:rPr>
          <w:rStyle w:val="18"/>
          <w:rFonts w:hint="eastAsia" w:ascii="仿宋" w:hAnsi="仿宋" w:eastAsia="仿宋"/>
          <w:bCs/>
          <w:sz w:val="32"/>
          <w:szCs w:val="32"/>
        </w:rPr>
        <w:t>教育</w:t>
      </w:r>
      <w:r>
        <w:rPr>
          <w:rStyle w:val="18"/>
          <w:rFonts w:hint="eastAsia" w:ascii="仿宋" w:hAnsi="仿宋" w:eastAsia="仿宋"/>
          <w:bCs/>
          <w:sz w:val="32"/>
          <w:szCs w:val="32"/>
          <w:lang w:eastAsia="zh-CN"/>
        </w:rPr>
        <w:t>支出：</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475.56</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Style w:val="18"/>
          <w:rFonts w:hint="eastAsia" w:ascii="仿宋" w:hAnsi="仿宋" w:eastAsia="仿宋"/>
          <w:b w:val="0"/>
          <w:bCs/>
          <w:sz w:val="32"/>
          <w:szCs w:val="32"/>
          <w:lang w:val="en-US" w:eastAsia="zh-CN"/>
        </w:rPr>
        <w:t>2059999其他教育支出475.56万元</w:t>
      </w:r>
      <w:r>
        <w:rPr>
          <w:rStyle w:val="18"/>
          <w:rFonts w:hint="eastAsia" w:ascii="仿宋" w:hAnsi="仿宋" w:eastAsia="仿宋"/>
          <w:b w:val="0"/>
          <w:bCs/>
          <w:sz w:val="32"/>
          <w:szCs w:val="32"/>
        </w:rPr>
        <w:t>。</w:t>
      </w:r>
    </w:p>
    <w:p w14:paraId="607B561D">
      <w:pPr>
        <w:spacing w:line="600" w:lineRule="exact"/>
        <w:ind w:firstLine="643" w:firstLineChars="200"/>
        <w:rPr>
          <w:rFonts w:ascii="仿宋" w:hAnsi="仿宋" w:eastAsia="仿宋"/>
          <w:b/>
          <w:sz w:val="32"/>
          <w:szCs w:val="32"/>
        </w:rPr>
      </w:pPr>
      <w:r>
        <w:rPr>
          <w:rStyle w:val="18"/>
          <w:rFonts w:hint="eastAsia" w:ascii="仿宋" w:hAnsi="仿宋" w:eastAsia="仿宋"/>
          <w:bCs/>
          <w:sz w:val="32"/>
          <w:szCs w:val="32"/>
          <w:lang w:val="en-US" w:eastAsia="zh-CN"/>
        </w:rPr>
        <w:t>2</w:t>
      </w:r>
      <w:r>
        <w:rPr>
          <w:rStyle w:val="18"/>
          <w:rFonts w:ascii="仿宋" w:hAnsi="仿宋" w:eastAsia="仿宋"/>
          <w:bCs/>
          <w:sz w:val="32"/>
          <w:szCs w:val="32"/>
        </w:rPr>
        <w:t>.</w:t>
      </w:r>
      <w:r>
        <w:rPr>
          <w:rStyle w:val="18"/>
          <w:rFonts w:hint="eastAsia" w:ascii="仿宋" w:hAnsi="仿宋" w:eastAsia="仿宋"/>
          <w:bCs/>
          <w:sz w:val="32"/>
          <w:szCs w:val="32"/>
        </w:rPr>
        <w:t>社会保障和就业</w:t>
      </w:r>
      <w:r>
        <w:rPr>
          <w:rStyle w:val="18"/>
          <w:rFonts w:hint="eastAsia" w:ascii="仿宋" w:hAnsi="仿宋" w:eastAsia="仿宋"/>
          <w:bCs/>
          <w:sz w:val="32"/>
          <w:szCs w:val="32"/>
          <w:lang w:eastAsia="zh-CN"/>
        </w:rPr>
        <w:t>支出：</w:t>
      </w:r>
      <w:r>
        <w:rPr>
          <w:rStyle w:val="18"/>
          <w:rFonts w:ascii="仿宋" w:hAnsi="仿宋" w:eastAsia="仿宋"/>
          <w:b w:val="0"/>
          <w:bCs/>
          <w:sz w:val="32"/>
          <w:szCs w:val="32"/>
        </w:rPr>
        <w:t xml:space="preserve"> </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1368.15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72.62</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，主要原因编外用工人员变动，项目经费使用减少。其中：</w:t>
      </w:r>
      <w:r>
        <w:rPr>
          <w:rStyle w:val="18"/>
          <w:rFonts w:hint="eastAsia" w:ascii="仿宋" w:hAnsi="仿宋" w:eastAsia="仿宋"/>
          <w:b w:val="0"/>
          <w:bCs/>
          <w:sz w:val="32"/>
          <w:szCs w:val="32"/>
          <w:lang w:val="en-US" w:eastAsia="zh-CN"/>
        </w:rPr>
        <w:t>2080101行政运行支出263.99万元，2080102一般行政管理事务支出1.8万元，2080104综合业务管理支出4万元，2080108信息化建设支出16万元，2080109社会保险经办机构支出20万元，2080199其他人力资源和社会保障管理事务支出1020.24万元，2080505机关事业单位基本养老保险缴费支出28.08万元，2080506机关事业单位职业年金缴费支出14.04万元</w:t>
      </w:r>
      <w:r>
        <w:rPr>
          <w:rStyle w:val="18"/>
          <w:rFonts w:hint="eastAsia" w:ascii="仿宋" w:hAnsi="仿宋" w:eastAsia="仿宋"/>
          <w:b w:val="0"/>
          <w:bCs/>
          <w:sz w:val="32"/>
          <w:szCs w:val="32"/>
        </w:rPr>
        <w:t>。</w:t>
      </w:r>
    </w:p>
    <w:p w14:paraId="0CFCF889">
      <w:pPr>
        <w:spacing w:line="600" w:lineRule="exact"/>
        <w:ind w:firstLine="643" w:firstLineChars="200"/>
        <w:rPr>
          <w:rStyle w:val="18"/>
          <w:rFonts w:hint="eastAsia" w:ascii="仿宋" w:hAnsi="仿宋" w:eastAsia="仿宋"/>
          <w:b w:val="0"/>
          <w:bCs/>
          <w:sz w:val="32"/>
          <w:szCs w:val="32"/>
        </w:rPr>
      </w:pPr>
      <w:r>
        <w:rPr>
          <w:rStyle w:val="18"/>
          <w:rFonts w:hint="eastAsia" w:ascii="仿宋" w:hAnsi="仿宋" w:eastAsia="仿宋"/>
          <w:bCs/>
          <w:sz w:val="32"/>
          <w:szCs w:val="32"/>
          <w:lang w:val="en-US" w:eastAsia="zh-CN"/>
        </w:rPr>
        <w:t>3</w:t>
      </w:r>
      <w:r>
        <w:rPr>
          <w:rStyle w:val="18"/>
          <w:rFonts w:ascii="仿宋" w:hAnsi="仿宋" w:eastAsia="仿宋"/>
          <w:bCs/>
          <w:sz w:val="32"/>
          <w:szCs w:val="32"/>
        </w:rPr>
        <w:t>.</w:t>
      </w:r>
      <w:r>
        <w:rPr>
          <w:rFonts w:hint="eastAsia" w:ascii="仿宋" w:hAnsi="仿宋" w:eastAsia="仿宋"/>
          <w:b/>
          <w:bCs/>
          <w:sz w:val="32"/>
          <w:szCs w:val="32"/>
        </w:rPr>
        <w:t>卫生健康</w:t>
      </w:r>
      <w:r>
        <w:rPr>
          <w:rStyle w:val="18"/>
          <w:rFonts w:hint="eastAsia" w:ascii="仿宋" w:hAnsi="仿宋" w:eastAsia="仿宋"/>
          <w:bCs/>
          <w:sz w:val="32"/>
          <w:szCs w:val="32"/>
          <w:lang w:eastAsia="zh-CN"/>
        </w:rPr>
        <w:t>支出：</w:t>
      </w:r>
      <w:r>
        <w:rPr>
          <w:rStyle w:val="18"/>
          <w:rFonts w:hint="eastAsia" w:ascii="仿宋" w:hAnsi="仿宋" w:eastAsia="仿宋"/>
          <w:b w:val="0"/>
          <w:bCs/>
          <w:sz w:val="32"/>
          <w:szCs w:val="32"/>
        </w:rPr>
        <w:t>支出决算为</w:t>
      </w:r>
      <w:r>
        <w:rPr>
          <w:rStyle w:val="18"/>
          <w:rFonts w:hint="eastAsia" w:ascii="仿宋" w:hAnsi="仿宋" w:eastAsia="仿宋"/>
          <w:b w:val="0"/>
          <w:bCs/>
          <w:sz w:val="32"/>
          <w:szCs w:val="32"/>
          <w:lang w:val="en-US" w:eastAsia="zh-CN"/>
        </w:rPr>
        <w:t>17.85</w:t>
      </w:r>
      <w:r>
        <w:rPr>
          <w:rStyle w:val="18"/>
          <w:rFonts w:hint="eastAsia" w:ascii="仿宋" w:hAnsi="仿宋" w:eastAsia="仿宋"/>
          <w:b w:val="0"/>
          <w:bCs/>
          <w:sz w:val="32"/>
          <w:szCs w:val="32"/>
        </w:rPr>
        <w:t>万元，完成预算</w:t>
      </w:r>
      <w:r>
        <w:rPr>
          <w:rStyle w:val="18"/>
          <w:rFonts w:hint="eastAsia" w:ascii="仿宋" w:hAnsi="仿宋" w:eastAsia="仿宋"/>
          <w:b w:val="0"/>
          <w:bCs/>
          <w:sz w:val="32"/>
          <w:szCs w:val="32"/>
          <w:lang w:val="en-US" w:eastAsia="zh-CN"/>
        </w:rPr>
        <w:t>100</w:t>
      </w:r>
      <w:r>
        <w:rPr>
          <w:rStyle w:val="18"/>
          <w:rFonts w:ascii="仿宋" w:hAnsi="仿宋" w:eastAsia="仿宋"/>
          <w:b w:val="0"/>
          <w:bCs/>
          <w:sz w:val="32"/>
          <w:szCs w:val="32"/>
        </w:rPr>
        <w:t>%</w:t>
      </w:r>
      <w:r>
        <w:rPr>
          <w:rStyle w:val="18"/>
          <w:rFonts w:hint="eastAsia" w:ascii="仿宋" w:hAnsi="仿宋" w:eastAsia="仿宋"/>
          <w:b w:val="0"/>
          <w:bCs/>
          <w:sz w:val="32"/>
          <w:szCs w:val="32"/>
          <w:lang w:eastAsia="zh-CN"/>
        </w:rPr>
        <w:t>。其中：</w:t>
      </w:r>
      <w:r>
        <w:rPr>
          <w:rStyle w:val="18"/>
          <w:rFonts w:hint="eastAsia" w:ascii="仿宋" w:hAnsi="仿宋" w:eastAsia="仿宋"/>
          <w:b w:val="0"/>
          <w:bCs/>
          <w:sz w:val="32"/>
          <w:szCs w:val="32"/>
          <w:lang w:val="en-US" w:eastAsia="zh-CN"/>
        </w:rPr>
        <w:t>2101101行政单位医疗支出12.1万元，2101103公务员医疗补助支出5.75万元</w:t>
      </w:r>
      <w:r>
        <w:rPr>
          <w:rStyle w:val="18"/>
          <w:rFonts w:hint="eastAsia" w:ascii="仿宋" w:hAnsi="仿宋" w:eastAsia="仿宋"/>
          <w:b w:val="0"/>
          <w:bCs/>
          <w:sz w:val="32"/>
          <w:szCs w:val="32"/>
        </w:rPr>
        <w:t>。</w:t>
      </w:r>
    </w:p>
    <w:p w14:paraId="00DD48C3">
      <w:pPr>
        <w:spacing w:line="600" w:lineRule="exact"/>
        <w:ind w:firstLine="643" w:firstLineChars="200"/>
        <w:rPr>
          <w:rStyle w:val="18"/>
          <w:rFonts w:hint="default" w:ascii="仿宋" w:hAnsi="仿宋" w:eastAsia="仿宋" w:cstheme="minorBidi"/>
          <w:b w:val="0"/>
          <w:bCs/>
          <w:sz w:val="32"/>
          <w:szCs w:val="32"/>
          <w:lang w:val="en-US" w:eastAsia="zh-CN"/>
        </w:rPr>
      </w:pPr>
      <w:r>
        <w:rPr>
          <w:rFonts w:hint="eastAsia" w:ascii="仿宋" w:hAnsi="仿宋" w:eastAsia="仿宋"/>
          <w:b/>
          <w:bCs/>
          <w:sz w:val="32"/>
          <w:szCs w:val="32"/>
          <w:lang w:val="en-US" w:eastAsia="zh-CN"/>
        </w:rPr>
        <w:t>4.住房保障支出：</w:t>
      </w:r>
      <w:r>
        <w:rPr>
          <w:rStyle w:val="18"/>
          <w:rFonts w:hint="eastAsia" w:ascii="仿宋" w:hAnsi="仿宋" w:eastAsia="仿宋" w:cstheme="minorBidi"/>
          <w:b w:val="0"/>
          <w:bCs/>
          <w:sz w:val="32"/>
          <w:szCs w:val="32"/>
          <w:lang w:val="en-US" w:eastAsia="zh-CN"/>
        </w:rPr>
        <w:t>2210201住房公积金支出决算为21.05万元，完成预算100%。</w:t>
      </w:r>
    </w:p>
    <w:p w14:paraId="77360E8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1-1表和财决08表，仅罗列本单位涉及的全部功能分类科目，至项级。上述“预算”口径为全年预算数。增减变动原因为决算数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和全年预算数</w:t>
      </w:r>
      <w:r>
        <w:rPr>
          <w:rFonts w:hint="eastAsia" w:ascii="仿宋" w:hAnsi="仿宋" w:eastAsia="仿宋"/>
          <w:b/>
          <w:sz w:val="32"/>
          <w:szCs w:val="32"/>
          <w:lang w:eastAsia="zh-CN"/>
        </w:rPr>
        <w:t>〈</w:t>
      </w:r>
      <w:r>
        <w:rPr>
          <w:rFonts w:hint="eastAsia" w:ascii="仿宋" w:hAnsi="仿宋" w:eastAsia="仿宋"/>
          <w:b/>
          <w:sz w:val="32"/>
          <w:szCs w:val="32"/>
        </w:rPr>
        <w:t>项级</w:t>
      </w:r>
      <w:r>
        <w:rPr>
          <w:rFonts w:hint="eastAsia" w:ascii="仿宋" w:hAnsi="仿宋" w:eastAsia="仿宋"/>
          <w:b/>
          <w:sz w:val="32"/>
          <w:szCs w:val="32"/>
          <w:lang w:eastAsia="zh-CN"/>
        </w:rPr>
        <w:t>〉</w:t>
      </w:r>
      <w:r>
        <w:rPr>
          <w:rFonts w:hint="eastAsia" w:ascii="仿宋" w:hAnsi="仿宋" w:eastAsia="仿宋"/>
          <w:b/>
          <w:sz w:val="32"/>
          <w:szCs w:val="32"/>
        </w:rPr>
        <w:t>比较，与预算数持平可以不写原因。）</w:t>
      </w:r>
    </w:p>
    <w:p w14:paraId="74B254AA">
      <w:pPr>
        <w:spacing w:line="600" w:lineRule="exact"/>
        <w:ind w:firstLine="640"/>
        <w:rPr>
          <w:rFonts w:ascii="仿宋" w:hAnsi="仿宋" w:eastAsia="仿宋"/>
          <w:b/>
          <w:sz w:val="32"/>
          <w:szCs w:val="32"/>
        </w:rPr>
      </w:pPr>
    </w:p>
    <w:p w14:paraId="248CC52E">
      <w:pPr>
        <w:tabs>
          <w:tab w:val="right" w:pos="8306"/>
        </w:tabs>
        <w:spacing w:line="600" w:lineRule="exact"/>
        <w:ind w:firstLine="640"/>
        <w:outlineLvl w:val="1"/>
        <w:rPr>
          <w:rStyle w:val="21"/>
        </w:rPr>
      </w:pPr>
      <w:bookmarkStart w:id="34" w:name="_Toc15396608"/>
      <w:bookmarkStart w:id="35" w:name="_Toc15377214"/>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1"/>
          <w:rFonts w:hint="eastAsia" w:ascii="黑体" w:hAnsi="黑体" w:eastAsia="黑体"/>
          <w:b w:val="0"/>
        </w:rPr>
        <w:t>般公共预算财政拨款基本支出决算情况说明</w:t>
      </w:r>
      <w:bookmarkEnd w:id="34"/>
      <w:bookmarkEnd w:id="35"/>
      <w:r>
        <w:rPr>
          <w:rStyle w:val="21"/>
          <w:rFonts w:ascii="黑体" w:hAnsi="黑体" w:eastAsia="黑体"/>
          <w:b w:val="0"/>
        </w:rPr>
        <w:tab/>
      </w:r>
    </w:p>
    <w:p w14:paraId="7D5BD5E6">
      <w:pPr>
        <w:spacing w:line="600" w:lineRule="exact"/>
        <w:ind w:firstLine="645"/>
        <w:rPr>
          <w:rFonts w:ascii="仿宋" w:hAnsi="仿宋" w:eastAsia="仿宋"/>
          <w:sz w:val="32"/>
          <w:szCs w:val="32"/>
        </w:rPr>
      </w:pPr>
      <w:r>
        <w:rPr>
          <w:rFonts w:hint="eastAsia" w:ascii="仿宋" w:hAnsi="仿宋" w:eastAsia="仿宋"/>
          <w:sz w:val="32"/>
          <w:szCs w:val="32"/>
        </w:rPr>
        <w:t>2023年度一般公共预算财政拨款基本支出</w:t>
      </w:r>
      <w:r>
        <w:rPr>
          <w:rFonts w:ascii="仿宋" w:hAnsi="仿宋" w:eastAsia="仿宋"/>
          <w:b/>
          <w:sz w:val="32"/>
          <w:szCs w:val="32"/>
        </w:rPr>
        <w:t>345.02</w:t>
      </w:r>
      <w:r>
        <w:rPr>
          <w:rFonts w:hint="eastAsia" w:ascii="仿宋" w:hAnsi="仿宋" w:eastAsia="仿宋"/>
          <w:sz w:val="32"/>
          <w:szCs w:val="32"/>
        </w:rPr>
        <w:t>万元，其中：</w:t>
      </w:r>
    </w:p>
    <w:p w14:paraId="6BE278BB">
      <w:pPr>
        <w:spacing w:line="600" w:lineRule="exact"/>
        <w:ind w:firstLine="645"/>
        <w:rPr>
          <w:rFonts w:hint="eastAsia" w:ascii="仿宋" w:hAnsi="仿宋" w:eastAsia="仿宋"/>
          <w:sz w:val="32"/>
          <w:szCs w:val="32"/>
          <w:lang w:eastAsia="zh-CN"/>
        </w:rPr>
      </w:pPr>
      <w:r>
        <w:rPr>
          <w:rFonts w:hint="eastAsia" w:ascii="仿宋" w:hAnsi="仿宋" w:eastAsia="仿宋"/>
          <w:sz w:val="32"/>
          <w:szCs w:val="32"/>
        </w:rPr>
        <w:t>人员经费</w:t>
      </w:r>
      <w:r>
        <w:rPr>
          <w:rFonts w:ascii="仿宋" w:hAnsi="仿宋" w:eastAsia="仿宋"/>
          <w:b/>
          <w:sz w:val="32"/>
          <w:szCs w:val="32"/>
        </w:rPr>
        <w:t>310.45</w:t>
      </w:r>
      <w:r>
        <w:rPr>
          <w:rFonts w:hint="eastAsia" w:ascii="仿宋" w:hAnsi="仿宋" w:eastAsia="仿宋"/>
          <w:sz w:val="32"/>
          <w:szCs w:val="32"/>
        </w:rPr>
        <w:t>万元，主要包括：基本工资、津贴补贴、奖金、伙食补助费、绩效工资、机关事业单位基本养老保险缴费、职业年金缴费、其他社会保障缴费、其他工资福利支出、离休费、退休费、抚恤金、生活补助、医疗费补助、奖励金、住房公积金、其他对个人和家庭的补助支出等。</w:t>
      </w:r>
    </w:p>
    <w:p w14:paraId="2D4CF199">
      <w:pPr>
        <w:spacing w:line="600" w:lineRule="exact"/>
        <w:ind w:firstLine="645"/>
        <w:rPr>
          <w:rFonts w:ascii="仿宋" w:hAnsi="仿宋" w:eastAsia="仿宋"/>
          <w:sz w:val="32"/>
          <w:szCs w:val="32"/>
        </w:rPr>
      </w:pPr>
      <w:r>
        <w:rPr>
          <w:rFonts w:hint="eastAsia" w:ascii="仿宋" w:hAnsi="仿宋" w:eastAsia="仿宋"/>
          <w:sz w:val="32"/>
          <w:szCs w:val="32"/>
        </w:rPr>
        <w:t>　　公用经费</w:t>
      </w:r>
      <w:r>
        <w:rPr>
          <w:rFonts w:ascii="仿宋" w:hAnsi="仿宋" w:eastAsia="仿宋"/>
          <w:b/>
          <w:sz w:val="32"/>
          <w:szCs w:val="32"/>
        </w:rPr>
        <w:t>34.56</w:t>
      </w:r>
      <w:r>
        <w:rPr>
          <w:rFonts w:hint="eastAsia" w:ascii="仿宋" w:hAnsi="仿宋" w:eastAsia="仿宋"/>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2C867033">
      <w:pPr>
        <w:spacing w:line="600" w:lineRule="exact"/>
        <w:ind w:firstLine="645"/>
        <w:rPr>
          <w:rFonts w:ascii="仿宋" w:hAnsi="仿宋" w:eastAsia="仿宋"/>
          <w:b/>
          <w:sz w:val="32"/>
          <w:szCs w:val="32"/>
        </w:rPr>
      </w:pPr>
      <w:r>
        <w:rPr>
          <w:rFonts w:hint="eastAsia" w:ascii="仿宋" w:hAnsi="仿宋" w:eastAsia="仿宋"/>
          <w:b/>
          <w:sz w:val="32"/>
          <w:szCs w:val="32"/>
        </w:rPr>
        <w:t>（注：数据来源于财决</w:t>
      </w:r>
      <w:r>
        <w:rPr>
          <w:rFonts w:ascii="仿宋" w:hAnsi="仿宋" w:eastAsia="仿宋"/>
          <w:b/>
          <w:sz w:val="32"/>
          <w:szCs w:val="32"/>
        </w:rPr>
        <w:t>0</w:t>
      </w:r>
      <w:r>
        <w:rPr>
          <w:rFonts w:hint="eastAsia" w:ascii="仿宋" w:hAnsi="仿宋" w:eastAsia="仿宋"/>
          <w:b/>
          <w:sz w:val="32"/>
          <w:szCs w:val="32"/>
        </w:rPr>
        <w:t>7表和财决08-1表，仅罗列本单位实际支出涉及的经济分类科目。）</w:t>
      </w:r>
    </w:p>
    <w:p w14:paraId="30F936F1">
      <w:pPr>
        <w:spacing w:line="600" w:lineRule="exact"/>
        <w:ind w:firstLine="640"/>
        <w:outlineLvl w:val="1"/>
        <w:rPr>
          <w:rStyle w:val="21"/>
          <w:rFonts w:ascii="黑体" w:hAnsi="黑体" w:eastAsia="黑体"/>
          <w:b w:val="0"/>
        </w:rPr>
      </w:pPr>
      <w:bookmarkStart w:id="36" w:name="_Toc15396609"/>
      <w:bookmarkStart w:id="37" w:name="_Toc15377215"/>
      <w:r>
        <w:rPr>
          <w:rFonts w:hint="eastAsia" w:ascii="黑体" w:eastAsia="黑体"/>
          <w:sz w:val="32"/>
          <w:szCs w:val="32"/>
        </w:rPr>
        <w:t>七、</w:t>
      </w:r>
      <w:r>
        <w:rPr>
          <w:rStyle w:val="21"/>
          <w:rFonts w:hint="eastAsia" w:ascii="黑体" w:hAnsi="黑体" w:eastAsia="黑体"/>
          <w:b w:val="0"/>
        </w:rPr>
        <w:t>财政拨款</w:t>
      </w:r>
      <w:r>
        <w:rPr>
          <w:rStyle w:val="21"/>
          <w:rFonts w:hint="eastAsia" w:ascii="黑体" w:hAnsi="黑体" w:eastAsia="黑体"/>
        </w:rPr>
        <w:t>“</w:t>
      </w:r>
      <w:r>
        <w:rPr>
          <w:rStyle w:val="21"/>
          <w:rFonts w:hint="eastAsia" w:ascii="黑体" w:hAnsi="黑体" w:eastAsia="黑体"/>
          <w:b w:val="0"/>
        </w:rPr>
        <w:t>三公”经费支出决算情况说明</w:t>
      </w:r>
      <w:bookmarkEnd w:id="36"/>
      <w:bookmarkEnd w:id="37"/>
    </w:p>
    <w:p w14:paraId="5347D90A">
      <w:pPr>
        <w:spacing w:line="600" w:lineRule="exact"/>
        <w:ind w:firstLine="640"/>
        <w:outlineLvl w:val="2"/>
        <w:rPr>
          <w:rFonts w:ascii="仿宋" w:hAnsi="仿宋" w:eastAsia="仿宋"/>
          <w:b/>
          <w:sz w:val="32"/>
          <w:szCs w:val="32"/>
        </w:rPr>
      </w:pPr>
      <w:bookmarkStart w:id="38" w:name="_Toc15377216"/>
      <w:r>
        <w:rPr>
          <w:rFonts w:hint="eastAsia" w:ascii="仿宋" w:hAnsi="仿宋" w:eastAsia="仿宋"/>
          <w:b/>
          <w:sz w:val="32"/>
          <w:szCs w:val="32"/>
        </w:rPr>
        <w:t>（一）“三公”经费财政拨款支出决算总体情况说明</w:t>
      </w:r>
      <w:bookmarkEnd w:id="38"/>
    </w:p>
    <w:p w14:paraId="3652240D">
      <w:pPr>
        <w:spacing w:line="600" w:lineRule="exact"/>
        <w:ind w:firstLine="640"/>
        <w:rPr>
          <w:rFonts w:hint="eastAsia" w:ascii="仿宋" w:hAnsi="仿宋" w:eastAsia="仿宋"/>
          <w:sz w:val="32"/>
          <w:szCs w:val="32"/>
          <w:lang w:eastAsia="zh-CN"/>
        </w:rPr>
      </w:pPr>
      <w:r>
        <w:rPr>
          <w:rFonts w:hint="eastAsia" w:ascii="仿宋" w:hAnsi="仿宋" w:eastAsia="仿宋"/>
          <w:sz w:val="32"/>
          <w:szCs w:val="32"/>
        </w:rPr>
        <w:t>2023年度“三公”经费财政拨款支出决算为</w:t>
      </w:r>
      <w:r>
        <w:rPr>
          <w:rFonts w:ascii="仿宋" w:hAnsi="仿宋" w:eastAsia="仿宋"/>
          <w:b/>
          <w:sz w:val="32"/>
          <w:szCs w:val="32"/>
        </w:rPr>
        <w:t>8.2</w:t>
      </w:r>
      <w:r>
        <w:rPr>
          <w:rFonts w:hint="eastAsia" w:ascii="仿宋" w:hAnsi="仿宋" w:eastAsia="仿宋"/>
          <w:sz w:val="32"/>
          <w:szCs w:val="32"/>
        </w:rPr>
        <w:t>万元，完成预算</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，较上年度增加</w:t>
      </w:r>
      <w:r>
        <w:rPr>
          <w:rFonts w:hint="eastAsia" w:ascii="仿宋" w:hAnsi="仿宋" w:eastAsia="仿宋"/>
          <w:sz w:val="32"/>
          <w:szCs w:val="32"/>
          <w:lang w:val="en-US" w:eastAsia="zh-CN"/>
        </w:rPr>
        <w:t>1.2</w:t>
      </w:r>
      <w:r>
        <w:rPr>
          <w:rFonts w:hint="eastAsia" w:ascii="仿宋" w:hAnsi="仿宋" w:eastAsia="仿宋"/>
          <w:sz w:val="32"/>
          <w:szCs w:val="32"/>
        </w:rPr>
        <w:t>万元，增长</w:t>
      </w:r>
      <w:r>
        <w:rPr>
          <w:rFonts w:hint="eastAsia" w:ascii="仿宋" w:hAnsi="仿宋" w:eastAsia="仿宋"/>
          <w:sz w:val="32"/>
          <w:szCs w:val="32"/>
          <w:lang w:val="en-US" w:eastAsia="zh-CN"/>
        </w:rPr>
        <w:t>17.14</w:t>
      </w:r>
      <w:r>
        <w:rPr>
          <w:rFonts w:hint="eastAsia" w:ascii="仿宋" w:hAnsi="仿宋" w:eastAsia="仿宋"/>
          <w:sz w:val="32"/>
          <w:szCs w:val="32"/>
        </w:rPr>
        <w:t>%。</w:t>
      </w:r>
      <w:r>
        <w:rPr>
          <w:rFonts w:hint="eastAsia" w:ascii="仿宋" w:hAnsi="仿宋" w:eastAsia="仿宋"/>
          <w:sz w:val="32"/>
          <w:szCs w:val="32"/>
          <w:lang w:eastAsia="zh-CN"/>
        </w:rPr>
        <w:t>原因是人员增加。</w:t>
      </w:r>
    </w:p>
    <w:p w14:paraId="0D724516">
      <w:pPr>
        <w:spacing w:line="600" w:lineRule="exact"/>
        <w:ind w:firstLine="640"/>
        <w:rPr>
          <w:rFonts w:ascii="仿宋" w:hAnsi="仿宋" w:eastAsia="仿宋"/>
          <w:b/>
          <w:sz w:val="32"/>
          <w:szCs w:val="32"/>
        </w:rPr>
      </w:pPr>
      <w:r>
        <w:rPr>
          <w:rFonts w:hint="eastAsia" w:ascii="仿宋" w:hAnsi="仿宋" w:eastAsia="仿宋"/>
          <w:b/>
          <w:sz w:val="32"/>
          <w:szCs w:val="32"/>
        </w:rPr>
        <w:t>（注：上述“预算”口径为全年预算数，包括一般公共预算和政府性基金预算财政拨款支出决算情况。）</w:t>
      </w:r>
    </w:p>
    <w:p w14:paraId="4EEEFC2D">
      <w:pPr>
        <w:spacing w:line="600" w:lineRule="exact"/>
        <w:ind w:firstLine="640"/>
        <w:outlineLvl w:val="2"/>
        <w:rPr>
          <w:rFonts w:ascii="仿宋" w:hAnsi="仿宋" w:eastAsia="仿宋"/>
          <w:b/>
          <w:sz w:val="32"/>
          <w:szCs w:val="32"/>
        </w:rPr>
      </w:pPr>
      <w:bookmarkStart w:id="39" w:name="_Toc15377217"/>
      <w:r>
        <w:rPr>
          <w:rFonts w:hint="eastAsia" w:ascii="仿宋" w:hAnsi="仿宋" w:eastAsia="仿宋"/>
          <w:b/>
          <w:sz w:val="32"/>
          <w:szCs w:val="32"/>
        </w:rPr>
        <w:t>（二）“三公”经费财政拨款支出决算具体情况说明</w:t>
      </w:r>
      <w:bookmarkEnd w:id="39"/>
    </w:p>
    <w:p w14:paraId="276A3345">
      <w:pPr>
        <w:spacing w:line="600" w:lineRule="exact"/>
        <w:ind w:firstLine="640"/>
        <w:rPr>
          <w:rFonts w:ascii="仿宋" w:hAnsi="仿宋" w:eastAsia="仿宋"/>
          <w:sz w:val="32"/>
          <w:szCs w:val="32"/>
        </w:rPr>
      </w:pPr>
      <w:r>
        <w:rPr>
          <w:rFonts w:hint="eastAsia" w:ascii="仿宋" w:hAnsi="仿宋" w:eastAsia="仿宋"/>
          <w:sz w:val="32"/>
          <w:szCs w:val="32"/>
        </w:rPr>
        <w:t>2023年度“三公”经费财政拨款支出决算中，因公出国（境）费支出决算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；公务用车购置及运行维护费支出决算</w:t>
      </w:r>
      <w:r>
        <w:rPr>
          <w:rFonts w:ascii="仿宋" w:hAnsi="仿宋" w:eastAsia="仿宋"/>
          <w:b/>
          <w:sz w:val="32"/>
          <w:szCs w:val="32"/>
        </w:rPr>
        <w:t>8.2</w:t>
      </w:r>
      <w:r>
        <w:rPr>
          <w:rFonts w:hint="eastAsia" w:ascii="仿宋" w:hAnsi="仿宋" w:eastAsia="仿宋"/>
          <w:sz w:val="32"/>
          <w:szCs w:val="32"/>
        </w:rPr>
        <w:t>万元，占</w:t>
      </w:r>
      <w:r>
        <w:rPr>
          <w:rFonts w:ascii="仿宋" w:hAnsi="仿宋" w:eastAsia="仿宋"/>
          <w:b/>
          <w:sz w:val="32"/>
          <w:szCs w:val="32"/>
        </w:rPr>
        <w:t>100</w:t>
      </w:r>
      <w:r>
        <w:rPr>
          <w:rFonts w:ascii="仿宋" w:hAnsi="仿宋" w:eastAsia="仿宋"/>
          <w:sz w:val="32"/>
          <w:szCs w:val="32"/>
        </w:rPr>
        <w:t>%</w:t>
      </w:r>
      <w:r>
        <w:rPr>
          <w:rFonts w:hint="eastAsia" w:ascii="仿宋" w:hAnsi="仿宋" w:eastAsia="仿宋"/>
          <w:sz w:val="32"/>
          <w:szCs w:val="32"/>
        </w:rPr>
        <w:t>；公务接待费支出决算</w:t>
      </w:r>
      <w:r>
        <w:rPr>
          <w:rFonts w:ascii="仿宋" w:hAnsi="仿宋" w:eastAsia="仿宋"/>
          <w:b/>
          <w:sz w:val="32"/>
          <w:szCs w:val="32"/>
        </w:rPr>
        <w:t>0</w:t>
      </w:r>
      <w:r>
        <w:rPr>
          <w:rFonts w:hint="eastAsia" w:ascii="仿宋" w:hAnsi="仿宋" w:eastAsia="仿宋"/>
          <w:sz w:val="32"/>
          <w:szCs w:val="32"/>
        </w:rPr>
        <w:t>万元，占</w:t>
      </w:r>
      <w:r>
        <w:rPr>
          <w:rFonts w:ascii="仿宋" w:hAnsi="仿宋" w:eastAsia="仿宋"/>
          <w:b/>
          <w:sz w:val="32"/>
          <w:szCs w:val="32"/>
        </w:rPr>
        <w:t>0</w:t>
      </w:r>
      <w:r>
        <w:rPr>
          <w:rFonts w:ascii="仿宋" w:hAnsi="仿宋" w:eastAsia="仿宋"/>
          <w:sz w:val="32"/>
          <w:szCs w:val="32"/>
        </w:rPr>
        <w:t>%</w:t>
      </w:r>
      <w:r>
        <w:rPr>
          <w:rFonts w:hint="eastAsia" w:ascii="仿宋" w:hAnsi="仿宋" w:eastAsia="仿宋"/>
          <w:sz w:val="32"/>
          <w:szCs w:val="32"/>
        </w:rPr>
        <w:t>。具体情况如下：</w:t>
      </w:r>
    </w:p>
    <w:p w14:paraId="1974786B">
      <w:pPr>
        <w:numPr>
          <w:ilvl w:val="0"/>
          <w:numId w:val="3"/>
        </w:numPr>
        <w:spacing w:line="600" w:lineRule="exact"/>
        <w:ind w:firstLine="640"/>
        <w:rPr>
          <w:rFonts w:hint="eastAsia" w:ascii="仿宋_GB2312" w:eastAsia="仿宋_GB2312"/>
          <w:sz w:val="32"/>
          <w:szCs w:val="32"/>
        </w:rPr>
      </w:pPr>
      <w:bookmarkStart w:id="40" w:name="_Toc15396610"/>
      <w:bookmarkStart w:id="41" w:name="_Toc15377218"/>
      <w:r>
        <w:rPr>
          <w:rFonts w:hint="eastAsia" w:ascii="仿宋_GB2312" w:eastAsia="仿宋_GB2312"/>
          <w:b/>
          <w:sz w:val="32"/>
          <w:szCs w:val="32"/>
        </w:rPr>
        <w:t>因公出国（境）经费支出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Cs/>
          <w:sz w:val="32"/>
          <w:szCs w:val="32"/>
        </w:rPr>
        <w:t>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全年安排因公出国（境）团组</w:t>
      </w:r>
      <w:r>
        <w:rPr>
          <w:rFonts w:ascii="仿宋_GB2312" w:eastAsia="仿宋_GB2312"/>
          <w:b/>
          <w:sz w:val="32"/>
          <w:szCs w:val="32"/>
        </w:rPr>
        <w:t>0</w:t>
      </w:r>
      <w:r>
        <w:rPr>
          <w:rFonts w:hint="eastAsia" w:ascii="仿宋_GB2312" w:eastAsia="仿宋_GB2312"/>
          <w:sz w:val="32"/>
          <w:szCs w:val="32"/>
        </w:rPr>
        <w:t>次，出国（境）</w:t>
      </w:r>
      <w:r>
        <w:rPr>
          <w:rFonts w:ascii="仿宋_GB2312" w:eastAsia="仿宋_GB2312"/>
          <w:b/>
          <w:sz w:val="32"/>
          <w:szCs w:val="32"/>
        </w:rPr>
        <w:t>0</w:t>
      </w:r>
      <w:r>
        <w:rPr>
          <w:rFonts w:hint="eastAsia" w:ascii="仿宋_GB2312" w:eastAsia="仿宋_GB2312"/>
          <w:sz w:val="32"/>
          <w:szCs w:val="32"/>
        </w:rPr>
        <w:t>人。</w:t>
      </w:r>
    </w:p>
    <w:p w14:paraId="5826C42E">
      <w:pPr>
        <w:numPr>
          <w:ilvl w:val="0"/>
          <w:numId w:val="0"/>
        </w:numPr>
        <w:spacing w:line="600" w:lineRule="exact"/>
        <w:ind w:firstLine="643" w:firstLineChars="20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ascii="仿宋" w:hAnsi="仿宋" w:eastAsia="仿宋"/>
          <w:b/>
          <w:sz w:val="32"/>
          <w:szCs w:val="32"/>
        </w:rPr>
        <w:t>8.2</w:t>
      </w:r>
      <w:r>
        <w:rPr>
          <w:rFonts w:hint="eastAsia" w:ascii="仿宋_GB2312" w:eastAsia="仿宋_GB2312"/>
          <w:sz w:val="32"/>
          <w:szCs w:val="32"/>
        </w:rPr>
        <w:t>万元</w:t>
      </w:r>
      <w:r>
        <w:rPr>
          <w:rFonts w:hint="eastAsia" w:ascii="仿宋_GB2312" w:eastAsia="仿宋_GB2312"/>
          <w:sz w:val="32"/>
          <w:szCs w:val="32"/>
          <w:lang w:eastAsia="zh-CN"/>
        </w:rPr>
        <w:t>，</w:t>
      </w:r>
      <w:r>
        <w:rPr>
          <w:rStyle w:val="18"/>
          <w:rFonts w:hint="eastAsia" w:ascii="仿宋" w:hAnsi="仿宋" w:eastAsia="仿宋"/>
          <w:b w:val="0"/>
          <w:bCs/>
          <w:sz w:val="32"/>
          <w:szCs w:val="32"/>
        </w:rPr>
        <w:t>完成预算</w:t>
      </w:r>
      <w:r>
        <w:rPr>
          <w:rStyle w:val="18"/>
          <w:rFonts w:ascii="仿宋" w:hAnsi="仿宋" w:eastAsia="仿宋"/>
          <w:bCs/>
          <w:sz w:val="32"/>
          <w:szCs w:val="32"/>
        </w:rPr>
        <w:t>100</w:t>
      </w:r>
      <w:r>
        <w:rPr>
          <w:rStyle w:val="18"/>
          <w:rFonts w:ascii="仿宋" w:hAnsi="仿宋" w:eastAsia="仿宋"/>
          <w:b w:val="0"/>
          <w:bCs/>
          <w:sz w:val="32"/>
          <w:szCs w:val="32"/>
        </w:rPr>
        <w:t>%</w:t>
      </w:r>
      <w:r>
        <w:rPr>
          <w:rStyle w:val="18"/>
          <w:rFonts w:hint="eastAsia" w:ascii="仿宋" w:hAnsi="仿宋" w:eastAsia="仿宋"/>
          <w:b w:val="0"/>
          <w:bCs/>
          <w:sz w:val="32"/>
          <w:szCs w:val="32"/>
        </w:rPr>
        <w:t>。</w:t>
      </w:r>
      <w:r>
        <w:rPr>
          <w:rFonts w:hint="eastAsia" w:ascii="仿宋_GB2312" w:eastAsia="仿宋_GB2312"/>
          <w:sz w:val="32"/>
          <w:szCs w:val="32"/>
        </w:rPr>
        <w:t>公务用车购置及运行维护费支出决算比2022年度增加</w:t>
      </w:r>
      <w:r>
        <w:rPr>
          <w:rFonts w:hint="eastAsia" w:ascii="仿宋_GB2312" w:eastAsia="仿宋_GB2312"/>
          <w:sz w:val="32"/>
          <w:szCs w:val="32"/>
          <w:lang w:val="en-US" w:eastAsia="zh-CN"/>
        </w:rPr>
        <w:t>1.2</w:t>
      </w:r>
      <w:r>
        <w:rPr>
          <w:rFonts w:hint="eastAsia" w:ascii="仿宋_GB2312" w:eastAsia="仿宋_GB2312"/>
          <w:sz w:val="32"/>
          <w:szCs w:val="32"/>
        </w:rPr>
        <w:t>万元，增长</w:t>
      </w:r>
      <w:r>
        <w:rPr>
          <w:rFonts w:hint="eastAsia" w:ascii="仿宋_GB2312" w:eastAsia="仿宋_GB2312"/>
          <w:sz w:val="32"/>
          <w:szCs w:val="32"/>
          <w:lang w:val="en-US" w:eastAsia="zh-CN"/>
        </w:rPr>
        <w:t>17.14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eastAsia="zh-CN"/>
        </w:rPr>
        <w:t>人员增加</w:t>
      </w:r>
      <w:r>
        <w:rPr>
          <w:rFonts w:hint="eastAsia" w:ascii="仿宋_GB2312" w:eastAsia="仿宋_GB2312"/>
          <w:sz w:val="32"/>
          <w:szCs w:val="32"/>
        </w:rPr>
        <w:t>。</w:t>
      </w:r>
    </w:p>
    <w:p w14:paraId="4E1FD501">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ascii="仿宋" w:hAnsi="仿宋" w:eastAsia="仿宋"/>
          <w:b/>
          <w:sz w:val="32"/>
          <w:szCs w:val="32"/>
        </w:rPr>
        <w:t>0</w:t>
      </w:r>
      <w:r>
        <w:rPr>
          <w:rFonts w:hint="eastAsia" w:ascii="仿宋_GB2312" w:eastAsia="仿宋_GB2312"/>
          <w:sz w:val="32"/>
          <w:szCs w:val="32"/>
        </w:rPr>
        <w:t>万元。全年按规定更新购置公务用车</w:t>
      </w:r>
      <w:r>
        <w:rPr>
          <w:rFonts w:hint="eastAsia" w:ascii="仿宋_GB2312" w:eastAsia="仿宋_GB2312"/>
          <w:sz w:val="32"/>
          <w:szCs w:val="32"/>
          <w:lang w:val="en-US" w:eastAsia="zh-CN"/>
        </w:rPr>
        <w:t>0</w:t>
      </w:r>
      <w:r>
        <w:rPr>
          <w:rFonts w:hint="eastAsia" w:ascii="仿宋_GB2312" w:eastAsia="仿宋_GB2312"/>
          <w:sz w:val="32"/>
          <w:szCs w:val="32"/>
        </w:rPr>
        <w:t>辆</w:t>
      </w:r>
      <w:r>
        <w:rPr>
          <w:rFonts w:hint="eastAsia" w:ascii="仿宋_GB2312" w:eastAsia="仿宋_GB2312"/>
          <w:sz w:val="32"/>
          <w:szCs w:val="32"/>
          <w:lang w:eastAsia="zh-CN"/>
        </w:rPr>
        <w:t>。</w:t>
      </w: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月31日，单位共有公务用车</w:t>
      </w:r>
      <w:r>
        <w:rPr>
          <w:rFonts w:hint="eastAsia" w:ascii="仿宋_GB2312" w:eastAsia="仿宋_GB2312"/>
          <w:sz w:val="32"/>
          <w:szCs w:val="32"/>
          <w:lang w:val="en-US" w:eastAsia="zh-CN"/>
        </w:rPr>
        <w:t>2</w:t>
      </w:r>
      <w:r>
        <w:rPr>
          <w:rFonts w:hint="eastAsia" w:ascii="仿宋_GB2312" w:eastAsia="仿宋_GB2312"/>
          <w:sz w:val="32"/>
          <w:szCs w:val="32"/>
        </w:rPr>
        <w:t>辆，其中：轿车</w:t>
      </w:r>
      <w:r>
        <w:rPr>
          <w:rFonts w:hint="eastAsia" w:ascii="仿宋_GB2312" w:eastAsia="仿宋_GB2312"/>
          <w:sz w:val="32"/>
          <w:szCs w:val="32"/>
          <w:lang w:val="en-US" w:eastAsia="zh-CN"/>
        </w:rPr>
        <w:t>1</w:t>
      </w:r>
      <w:r>
        <w:rPr>
          <w:rFonts w:hint="eastAsia" w:ascii="仿宋_GB2312" w:eastAsia="仿宋_GB2312"/>
          <w:sz w:val="32"/>
          <w:szCs w:val="32"/>
        </w:rPr>
        <w:t>辆、越野车</w:t>
      </w:r>
      <w:r>
        <w:rPr>
          <w:rFonts w:hint="eastAsia" w:ascii="仿宋_GB2312" w:eastAsia="仿宋_GB2312"/>
          <w:sz w:val="32"/>
          <w:szCs w:val="32"/>
          <w:lang w:val="en-US" w:eastAsia="zh-CN"/>
        </w:rPr>
        <w:t>1</w:t>
      </w:r>
      <w:r>
        <w:rPr>
          <w:rFonts w:hint="eastAsia" w:ascii="仿宋_GB2312" w:eastAsia="仿宋_GB2312"/>
          <w:sz w:val="32"/>
          <w:szCs w:val="32"/>
        </w:rPr>
        <w:t>辆。</w:t>
      </w:r>
    </w:p>
    <w:p w14:paraId="54A53619">
      <w:pPr>
        <w:spacing w:line="600" w:lineRule="exact"/>
        <w:ind w:firstLine="640"/>
        <w:rPr>
          <w:rFonts w:hint="default" w:ascii="Times New Roman" w:hAnsi="Times New Roman" w:eastAsia="仿宋_GB2312" w:cs="Times New Roman"/>
          <w:kern w:val="0"/>
          <w:sz w:val="32"/>
          <w:szCs w:val="32"/>
          <w:shd w:val="clear" w:fill="FFFFFF"/>
        </w:rPr>
      </w:pPr>
      <w:r>
        <w:rPr>
          <w:rFonts w:hint="eastAsia" w:ascii="仿宋_GB2312" w:eastAsia="仿宋_GB2312"/>
          <w:b/>
          <w:sz w:val="32"/>
          <w:szCs w:val="32"/>
        </w:rPr>
        <w:t>公务用车运行维护费支出</w:t>
      </w:r>
      <w:r>
        <w:rPr>
          <w:rFonts w:ascii="仿宋" w:hAnsi="仿宋" w:eastAsia="仿宋"/>
          <w:b/>
          <w:sz w:val="32"/>
          <w:szCs w:val="32"/>
        </w:rPr>
        <w:t>8.2</w:t>
      </w:r>
      <w:r>
        <w:rPr>
          <w:rFonts w:hint="eastAsia" w:ascii="仿宋_GB2312" w:eastAsia="仿宋_GB2312"/>
          <w:sz w:val="32"/>
          <w:szCs w:val="32"/>
        </w:rPr>
        <w:t>万元。主要用于</w:t>
      </w:r>
      <w:r>
        <w:rPr>
          <w:rFonts w:hint="default" w:ascii="Times New Roman" w:hAnsi="Times New Roman" w:eastAsia="仿宋_GB2312" w:cs="Times New Roman"/>
          <w:kern w:val="0"/>
          <w:sz w:val="32"/>
          <w:szCs w:val="32"/>
          <w:shd w:val="clear" w:fill="FFFFFF"/>
        </w:rPr>
        <w:t>下乡、出差等所需的公务用车燃料费、维修费、过路过桥费、保险费等支出。</w:t>
      </w:r>
    </w:p>
    <w:p w14:paraId="018269F7">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ascii="仿宋" w:hAnsi="仿宋" w:eastAsia="仿宋"/>
          <w:b/>
          <w:sz w:val="32"/>
          <w:szCs w:val="32"/>
        </w:rPr>
        <w:t>0</w:t>
      </w:r>
      <w:r>
        <w:rPr>
          <w:rFonts w:hint="eastAsia" w:ascii="仿宋_GB2312" w:eastAsia="仿宋_GB2312"/>
          <w:sz w:val="32"/>
          <w:szCs w:val="32"/>
        </w:rPr>
        <w:t>万元，</w:t>
      </w:r>
      <w:r>
        <w:rPr>
          <w:rStyle w:val="18"/>
          <w:rFonts w:hint="eastAsia" w:ascii="仿宋" w:hAnsi="仿宋" w:eastAsia="仿宋"/>
          <w:b w:val="0"/>
          <w:bCs/>
          <w:sz w:val="32"/>
          <w:szCs w:val="32"/>
        </w:rPr>
        <w:t>完成预算</w:t>
      </w:r>
      <w:r>
        <w:rPr>
          <w:rStyle w:val="18"/>
          <w:rFonts w:ascii="仿宋" w:hAnsi="仿宋" w:eastAsia="仿宋"/>
          <w:b w:val="0"/>
          <w:bCs/>
          <w:sz w:val="32"/>
          <w:szCs w:val="32"/>
        </w:rPr>
        <w:t>0%</w:t>
      </w:r>
      <w:r>
        <w:rPr>
          <w:rStyle w:val="18"/>
          <w:rFonts w:hint="eastAsia" w:ascii="仿宋" w:hAnsi="仿宋" w:eastAsia="仿宋"/>
          <w:b w:val="0"/>
          <w:bCs/>
          <w:sz w:val="32"/>
          <w:szCs w:val="32"/>
        </w:rPr>
        <w:t>。</w:t>
      </w:r>
      <w:r>
        <w:rPr>
          <w:rFonts w:hint="eastAsia" w:ascii="仿宋_GB2312" w:eastAsia="仿宋_GB2312"/>
          <w:sz w:val="32"/>
          <w:szCs w:val="32"/>
        </w:rPr>
        <w:t>公务接待费支出决算比2022年度增加</w:t>
      </w:r>
      <w:r>
        <w:rPr>
          <w:rFonts w:hint="eastAsia" w:ascii="仿宋_GB2312" w:eastAsia="仿宋_GB2312"/>
          <w:sz w:val="32"/>
          <w:szCs w:val="32"/>
          <w:lang w:val="en-US" w:eastAsia="zh-CN"/>
        </w:rPr>
        <w:t>0</w:t>
      </w:r>
      <w:r>
        <w:rPr>
          <w:rFonts w:hint="eastAsia" w:ascii="仿宋_GB2312" w:eastAsia="仿宋_GB2312"/>
          <w:sz w:val="32"/>
          <w:szCs w:val="32"/>
        </w:rPr>
        <w:t>万元，增长</w:t>
      </w:r>
      <w:r>
        <w:rPr>
          <w:rFonts w:hint="eastAsia" w:ascii="仿宋_GB2312" w:eastAsia="仿宋_GB2312"/>
          <w:sz w:val="32"/>
          <w:szCs w:val="32"/>
          <w:lang w:val="en-US" w:eastAsia="zh-CN"/>
        </w:rPr>
        <w:t>0</w:t>
      </w:r>
      <w:r>
        <w:rPr>
          <w:rFonts w:ascii="仿宋_GB2312" w:eastAsia="仿宋_GB2312"/>
          <w:sz w:val="32"/>
          <w:szCs w:val="32"/>
        </w:rPr>
        <w:t>%</w:t>
      </w:r>
      <w:r>
        <w:rPr>
          <w:rFonts w:hint="eastAsia" w:ascii="仿宋_GB2312" w:eastAsia="仿宋_GB2312"/>
          <w:sz w:val="32"/>
          <w:szCs w:val="32"/>
        </w:rPr>
        <w:t>。其中：</w:t>
      </w:r>
    </w:p>
    <w:p w14:paraId="3AD6119C">
      <w:pPr>
        <w:spacing w:line="600" w:lineRule="exact"/>
        <w:ind w:firstLine="640"/>
        <w:rPr>
          <w:rFonts w:hint="eastAsia" w:ascii="仿宋_GB2312" w:eastAsia="仿宋_GB2312"/>
          <w:sz w:val="32"/>
          <w:szCs w:val="32"/>
          <w:lang w:eastAsia="zh-CN"/>
        </w:rPr>
      </w:pPr>
      <w:r>
        <w:rPr>
          <w:rFonts w:hint="eastAsia" w:ascii="仿宋" w:hAnsi="仿宋" w:eastAsia="仿宋"/>
          <w:b/>
          <w:sz w:val="32"/>
          <w:szCs w:val="32"/>
        </w:rPr>
        <w:t>国内公务接待支出</w:t>
      </w:r>
      <w:r>
        <w:rPr>
          <w:rFonts w:ascii="仿宋" w:hAnsi="仿宋" w:eastAsia="仿宋"/>
          <w:b/>
          <w:sz w:val="32"/>
          <w:szCs w:val="32"/>
        </w:rPr>
        <w:t>0</w:t>
      </w:r>
      <w:r>
        <w:rPr>
          <w:rFonts w:hint="eastAsia" w:ascii="仿宋_GB2312" w:eastAsia="仿宋_GB2312"/>
          <w:sz w:val="32"/>
          <w:szCs w:val="32"/>
        </w:rPr>
        <w:t>万元，国内公务接待批次，人次（不包括陪同人员），共计支出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r>
        <w:rPr>
          <w:rFonts w:hint="eastAsia" w:ascii="仿宋_GB2312" w:eastAsia="仿宋_GB2312"/>
          <w:sz w:val="32"/>
          <w:szCs w:val="32"/>
          <w:lang w:eastAsia="zh-CN"/>
        </w:rPr>
        <w:t>。</w:t>
      </w:r>
    </w:p>
    <w:p w14:paraId="18A39270">
      <w:pPr>
        <w:spacing w:line="600" w:lineRule="exact"/>
        <w:ind w:firstLine="643" w:firstLineChars="200"/>
        <w:rPr>
          <w:rFonts w:ascii="黑体" w:eastAsia="黑体"/>
          <w:sz w:val="32"/>
          <w:szCs w:val="32"/>
        </w:rPr>
      </w:pPr>
      <w:r>
        <w:rPr>
          <w:rFonts w:hint="eastAsia" w:ascii="仿宋" w:hAnsi="仿宋" w:eastAsia="仿宋"/>
          <w:b/>
          <w:sz w:val="32"/>
          <w:szCs w:val="32"/>
        </w:rPr>
        <w:t>外事接待支出</w:t>
      </w:r>
      <w:r>
        <w:rPr>
          <w:rFonts w:ascii="仿宋" w:hAnsi="仿宋" w:eastAsia="仿宋"/>
          <w:b/>
          <w:sz w:val="32"/>
          <w:szCs w:val="32"/>
        </w:rPr>
        <w:t>0</w:t>
      </w:r>
      <w:r>
        <w:rPr>
          <w:rFonts w:hint="eastAsia" w:ascii="仿宋_GB2312" w:eastAsia="仿宋_GB2312"/>
          <w:sz w:val="32"/>
          <w:szCs w:val="32"/>
        </w:rPr>
        <w:t>万元，外事接待</w:t>
      </w:r>
      <w:r>
        <w:rPr>
          <w:rFonts w:hint="eastAsia" w:ascii="仿宋_GB2312" w:eastAsia="仿宋_GB2312"/>
          <w:sz w:val="32"/>
          <w:szCs w:val="32"/>
          <w:lang w:val="en-US" w:eastAsia="zh-CN"/>
        </w:rPr>
        <w:t>0</w:t>
      </w:r>
      <w:r>
        <w:rPr>
          <w:rFonts w:hint="eastAsia" w:ascii="仿宋_GB2312" w:eastAsia="仿宋_GB2312"/>
          <w:sz w:val="32"/>
          <w:szCs w:val="32"/>
        </w:rPr>
        <w:t>批次，</w:t>
      </w:r>
      <w:r>
        <w:rPr>
          <w:rFonts w:hint="eastAsia" w:ascii="仿宋_GB2312" w:eastAsia="仿宋_GB2312"/>
          <w:sz w:val="32"/>
          <w:szCs w:val="32"/>
          <w:lang w:val="en-US" w:eastAsia="zh-CN"/>
        </w:rPr>
        <w:t>0</w:t>
      </w:r>
      <w:r>
        <w:rPr>
          <w:rFonts w:hint="eastAsia" w:ascii="仿宋_GB2312" w:eastAsia="仿宋_GB2312"/>
          <w:sz w:val="32"/>
          <w:szCs w:val="32"/>
        </w:rPr>
        <w:t>人次（不包括陪同人员），共计支出</w:t>
      </w:r>
      <w:r>
        <w:rPr>
          <w:rFonts w:hint="eastAsia" w:ascii="仿宋_GB2312" w:eastAsia="仿宋_GB2312"/>
          <w:sz w:val="32"/>
          <w:szCs w:val="32"/>
          <w:lang w:val="en-US" w:eastAsia="zh-CN"/>
        </w:rPr>
        <w:t>0</w:t>
      </w:r>
      <w:r>
        <w:rPr>
          <w:rFonts w:hint="eastAsia" w:ascii="仿宋_GB2312" w:eastAsia="仿宋_GB2312"/>
          <w:sz w:val="32"/>
          <w:szCs w:val="32"/>
        </w:rPr>
        <w:t>万元。</w:t>
      </w:r>
    </w:p>
    <w:p w14:paraId="2F656062">
      <w:pPr>
        <w:spacing w:line="600" w:lineRule="exact"/>
        <w:ind w:firstLine="640"/>
        <w:outlineLvl w:val="1"/>
        <w:rPr>
          <w:rStyle w:val="21"/>
          <w:rFonts w:ascii="黑体" w:hAnsi="黑体" w:eastAsia="黑体"/>
        </w:rPr>
      </w:pPr>
      <w:r>
        <w:rPr>
          <w:rFonts w:hint="eastAsia" w:ascii="黑体" w:eastAsia="黑体"/>
          <w:sz w:val="32"/>
          <w:szCs w:val="32"/>
        </w:rPr>
        <w:t>八、</w:t>
      </w:r>
      <w:r>
        <w:rPr>
          <w:rStyle w:val="21"/>
          <w:rFonts w:hint="eastAsia" w:ascii="黑体" w:hAnsi="黑体" w:eastAsia="黑体"/>
          <w:b w:val="0"/>
        </w:rPr>
        <w:t>政府性基金预算支出决算情况说明</w:t>
      </w:r>
      <w:bookmarkEnd w:id="40"/>
      <w:bookmarkEnd w:id="41"/>
    </w:p>
    <w:p w14:paraId="72B308D9">
      <w:pPr>
        <w:spacing w:line="600" w:lineRule="exact"/>
        <w:ind w:firstLine="640"/>
        <w:rPr>
          <w:rFonts w:ascii="仿宋_GB2312" w:eastAsia="仿宋_GB2312"/>
          <w:sz w:val="32"/>
          <w:szCs w:val="32"/>
        </w:rPr>
      </w:pPr>
      <w:r>
        <w:rPr>
          <w:rFonts w:hint="eastAsia" w:ascii="仿宋_GB2312" w:eastAsia="仿宋_GB2312"/>
          <w:sz w:val="32"/>
          <w:szCs w:val="32"/>
        </w:rPr>
        <w:t>2023年度政府性基金预算财政拨款支出</w:t>
      </w:r>
      <w:r>
        <w:rPr>
          <w:rFonts w:ascii="仿宋" w:hAnsi="仿宋" w:eastAsia="仿宋"/>
          <w:b/>
          <w:sz w:val="32"/>
          <w:szCs w:val="32"/>
        </w:rPr>
        <w:t>0</w:t>
      </w:r>
      <w:r>
        <w:rPr>
          <w:rFonts w:hint="eastAsia" w:ascii="仿宋_GB2312" w:eastAsia="仿宋_GB2312"/>
          <w:sz w:val="32"/>
          <w:szCs w:val="32"/>
        </w:rPr>
        <w:t>万元。</w:t>
      </w:r>
    </w:p>
    <w:p w14:paraId="616EA9F4">
      <w:pPr>
        <w:numPr>
          <w:ilvl w:val="0"/>
          <w:numId w:val="4"/>
        </w:numPr>
        <w:spacing w:line="600" w:lineRule="exact"/>
        <w:ind w:firstLine="640"/>
        <w:outlineLvl w:val="1"/>
        <w:rPr>
          <w:rStyle w:val="21"/>
          <w:rFonts w:ascii="黑体" w:hAnsi="黑体" w:eastAsia="黑体"/>
          <w:b w:val="0"/>
        </w:rPr>
      </w:pPr>
      <w:bookmarkStart w:id="42" w:name="_Toc15396611"/>
      <w:bookmarkStart w:id="43" w:name="_Toc15377219"/>
      <w:r>
        <w:rPr>
          <w:rStyle w:val="21"/>
          <w:rFonts w:hint="eastAsia" w:ascii="黑体" w:hAnsi="黑体" w:eastAsia="黑体"/>
          <w:b w:val="0"/>
        </w:rPr>
        <w:t>国有资本经营预算支出决算情况说明</w:t>
      </w:r>
      <w:bookmarkEnd w:id="42"/>
      <w:bookmarkEnd w:id="43"/>
    </w:p>
    <w:p w14:paraId="67456176">
      <w:pPr>
        <w:spacing w:line="600" w:lineRule="exact"/>
        <w:ind w:firstLine="640"/>
        <w:rPr>
          <w:rFonts w:ascii="方正小标宋简体" w:hAnsi="方正小标宋简体" w:eastAsia="方正小标宋简体" w:cs="方正小标宋简体"/>
          <w:sz w:val="44"/>
          <w:szCs w:val="44"/>
        </w:rPr>
      </w:pPr>
      <w:r>
        <w:rPr>
          <w:rFonts w:hint="eastAsia" w:ascii="仿宋_GB2312" w:eastAsia="仿宋_GB2312"/>
          <w:sz w:val="32"/>
          <w:szCs w:val="32"/>
        </w:rPr>
        <w:t>2023年度国有资本经营预算财政拨款支出</w:t>
      </w:r>
      <w:r>
        <w:rPr>
          <w:rFonts w:ascii="仿宋" w:hAnsi="仿宋" w:eastAsia="仿宋"/>
          <w:b/>
          <w:sz w:val="32"/>
          <w:szCs w:val="32"/>
        </w:rPr>
        <w:t>0</w:t>
      </w:r>
      <w:r>
        <w:rPr>
          <w:rFonts w:hint="eastAsia" w:ascii="仿宋_GB2312" w:eastAsia="仿宋_GB2312"/>
          <w:sz w:val="32"/>
          <w:szCs w:val="32"/>
        </w:rPr>
        <w:t>万元。</w:t>
      </w:r>
    </w:p>
    <w:p w14:paraId="3D034567">
      <w:pPr>
        <w:numPr>
          <w:ilvl w:val="0"/>
          <w:numId w:val="4"/>
        </w:numPr>
        <w:spacing w:line="600" w:lineRule="exact"/>
        <w:ind w:firstLine="640"/>
        <w:outlineLvl w:val="1"/>
        <w:rPr>
          <w:rStyle w:val="21"/>
          <w:rFonts w:ascii="黑体" w:hAnsi="黑体" w:eastAsia="黑体"/>
          <w:b w:val="0"/>
        </w:rPr>
      </w:pPr>
      <w:bookmarkStart w:id="44" w:name="_Toc15396612"/>
      <w:bookmarkStart w:id="45" w:name="_Toc15377221"/>
      <w:r>
        <w:rPr>
          <w:rStyle w:val="21"/>
          <w:rFonts w:hint="eastAsia" w:ascii="黑体" w:hAnsi="黑体" w:eastAsia="黑体"/>
          <w:b w:val="0"/>
        </w:rPr>
        <w:t>其他重要事项的情况说明</w:t>
      </w:r>
      <w:bookmarkEnd w:id="44"/>
      <w:bookmarkEnd w:id="45"/>
    </w:p>
    <w:p w14:paraId="69A133D5">
      <w:pPr>
        <w:spacing w:line="600" w:lineRule="exact"/>
        <w:ind w:firstLine="643" w:firstLineChars="200"/>
        <w:outlineLvl w:val="2"/>
        <w:rPr>
          <w:rFonts w:ascii="仿宋" w:hAnsi="仿宋" w:eastAsia="仿宋"/>
          <w:sz w:val="32"/>
          <w:szCs w:val="32"/>
        </w:rPr>
      </w:pPr>
      <w:bookmarkStart w:id="46" w:name="_Toc15377222"/>
      <w:r>
        <w:rPr>
          <w:rFonts w:hint="eastAsia" w:ascii="仿宋" w:hAnsi="仿宋" w:eastAsia="仿宋"/>
          <w:b/>
          <w:sz w:val="32"/>
          <w:szCs w:val="32"/>
        </w:rPr>
        <w:t>（一）机关运行经费支出情况</w:t>
      </w:r>
      <w:bookmarkEnd w:id="46"/>
    </w:p>
    <w:p w14:paraId="37CCD6B2">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阿坝州松潘县人力资源和社会保障局</w:t>
      </w:r>
      <w:r>
        <w:rPr>
          <w:rFonts w:hint="eastAsia" w:ascii="仿宋_GB2312" w:eastAsia="仿宋_GB2312"/>
          <w:sz w:val="32"/>
          <w:szCs w:val="32"/>
        </w:rPr>
        <w:t>机关运行经费支出</w:t>
      </w:r>
      <w:r>
        <w:rPr>
          <w:rFonts w:ascii="仿宋" w:hAnsi="仿宋" w:eastAsia="仿宋"/>
          <w:b/>
          <w:sz w:val="32"/>
          <w:szCs w:val="32"/>
        </w:rPr>
        <w:t>34.56</w:t>
      </w:r>
      <w:r>
        <w:rPr>
          <w:rFonts w:hint="eastAsia" w:ascii="仿宋_GB2312" w:eastAsia="仿宋_GB2312"/>
          <w:sz w:val="32"/>
          <w:szCs w:val="32"/>
        </w:rPr>
        <w:t>万元，比2022年度增加</w:t>
      </w:r>
      <w:r>
        <w:rPr>
          <w:rFonts w:hint="eastAsia" w:ascii="仿宋_GB2312" w:eastAsia="仿宋_GB2312"/>
          <w:sz w:val="32"/>
          <w:szCs w:val="32"/>
          <w:lang w:val="en-US" w:eastAsia="zh-CN"/>
        </w:rPr>
        <w:t>18.57</w:t>
      </w:r>
      <w:r>
        <w:rPr>
          <w:rFonts w:hint="eastAsia" w:ascii="仿宋_GB2312" w:eastAsia="仿宋_GB2312"/>
          <w:sz w:val="32"/>
          <w:szCs w:val="32"/>
        </w:rPr>
        <w:t>万元，增长</w:t>
      </w:r>
      <w:r>
        <w:rPr>
          <w:rFonts w:hint="eastAsia" w:ascii="仿宋_GB2312" w:eastAsia="仿宋_GB2312"/>
          <w:sz w:val="32"/>
          <w:szCs w:val="32"/>
          <w:lang w:val="en-US" w:eastAsia="zh-CN"/>
        </w:rPr>
        <w:t>116.14</w:t>
      </w:r>
      <w:r>
        <w:rPr>
          <w:rFonts w:ascii="仿宋_GB2312" w:eastAsia="仿宋_GB2312"/>
          <w:sz w:val="32"/>
          <w:szCs w:val="32"/>
        </w:rPr>
        <w:t>%</w:t>
      </w:r>
      <w:r>
        <w:rPr>
          <w:rFonts w:hint="eastAsia" w:ascii="仿宋_GB2312" w:eastAsia="仿宋_GB2312"/>
          <w:sz w:val="32"/>
          <w:szCs w:val="32"/>
        </w:rPr>
        <w:t>。主要原因是</w:t>
      </w:r>
      <w:r>
        <w:rPr>
          <w:rFonts w:hint="eastAsia" w:ascii="仿宋_GB2312" w:eastAsia="仿宋_GB2312"/>
          <w:sz w:val="32"/>
          <w:szCs w:val="32"/>
          <w:lang w:val="en-US" w:eastAsia="zh-CN"/>
        </w:rPr>
        <w:t>2023年进行了人社局会议室维修维护，导致机关运行经费增加。</w:t>
      </w:r>
    </w:p>
    <w:p w14:paraId="34530FD9">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5817CFB8">
      <w:pPr>
        <w:autoSpaceDE w:val="0"/>
        <w:autoSpaceDN w:val="0"/>
        <w:adjustRightInd w:val="0"/>
        <w:spacing w:line="600" w:lineRule="exact"/>
        <w:ind w:firstLine="643" w:firstLineChars="200"/>
        <w:jc w:val="left"/>
        <w:outlineLvl w:val="2"/>
        <w:rPr>
          <w:rFonts w:ascii="仿宋" w:hAnsi="仿宋" w:eastAsia="仿宋"/>
          <w:b/>
          <w:sz w:val="32"/>
          <w:szCs w:val="32"/>
        </w:rPr>
      </w:pPr>
      <w:bookmarkStart w:id="47" w:name="_Toc15377223"/>
      <w:r>
        <w:rPr>
          <w:rFonts w:hint="eastAsia" w:ascii="仿宋" w:hAnsi="仿宋" w:eastAsia="仿宋"/>
          <w:b/>
          <w:sz w:val="32"/>
          <w:szCs w:val="32"/>
        </w:rPr>
        <w:t>（二）政府采购支出情况</w:t>
      </w:r>
      <w:bookmarkEnd w:id="47"/>
    </w:p>
    <w:p w14:paraId="4F0CAF4D">
      <w:pPr>
        <w:spacing w:line="600" w:lineRule="exact"/>
        <w:ind w:firstLine="640" w:firstLineChars="200"/>
        <w:rPr>
          <w:rFonts w:ascii="仿宋_GB2312" w:eastAsia="仿宋_GB2312"/>
          <w:sz w:val="32"/>
          <w:szCs w:val="32"/>
        </w:rPr>
      </w:pPr>
      <w:r>
        <w:rPr>
          <w:rFonts w:hint="eastAsia" w:ascii="仿宋_GB2312" w:eastAsia="仿宋_GB2312"/>
          <w:sz w:val="32"/>
          <w:szCs w:val="32"/>
        </w:rPr>
        <w:t>2023年度，</w:t>
      </w:r>
      <w:r>
        <w:rPr>
          <w:rFonts w:ascii="仿宋_GB2312" w:eastAsia="仿宋_GB2312"/>
          <w:b/>
          <w:sz w:val="32"/>
          <w:szCs w:val="32"/>
        </w:rPr>
        <w:t>阿坝州松潘县人力资源和社会保障局</w:t>
      </w:r>
      <w:r>
        <w:rPr>
          <w:rFonts w:hint="eastAsia" w:ascii="仿宋_GB2312" w:eastAsia="仿宋_GB2312"/>
          <w:sz w:val="32"/>
          <w:szCs w:val="32"/>
        </w:rPr>
        <w:t>政府采购支出总额</w:t>
      </w:r>
      <w:r>
        <w:rPr>
          <w:rFonts w:ascii="仿宋" w:hAnsi="仿宋" w:eastAsia="仿宋"/>
          <w:b/>
          <w:sz w:val="32"/>
          <w:szCs w:val="32"/>
        </w:rPr>
        <w:t>0</w:t>
      </w:r>
      <w:r>
        <w:rPr>
          <w:rFonts w:hint="eastAsia" w:ascii="仿宋_GB2312" w:eastAsia="仿宋_GB2312"/>
          <w:sz w:val="32"/>
          <w:szCs w:val="32"/>
        </w:rPr>
        <w:t>万元，其中：政府采购货物支出</w:t>
      </w:r>
      <w:r>
        <w:rPr>
          <w:rFonts w:ascii="仿宋" w:hAnsi="仿宋" w:eastAsia="仿宋"/>
          <w:b/>
          <w:sz w:val="32"/>
          <w:szCs w:val="32"/>
        </w:rPr>
        <w:t>0</w:t>
      </w:r>
      <w:r>
        <w:rPr>
          <w:rFonts w:hint="eastAsia" w:ascii="仿宋_GB2312" w:eastAsia="仿宋_GB2312"/>
          <w:sz w:val="32"/>
          <w:szCs w:val="32"/>
        </w:rPr>
        <w:t>万元、政府采购工程支出</w:t>
      </w:r>
      <w:r>
        <w:rPr>
          <w:rFonts w:ascii="仿宋" w:hAnsi="仿宋" w:eastAsia="仿宋"/>
          <w:b/>
          <w:sz w:val="32"/>
          <w:szCs w:val="32"/>
        </w:rPr>
        <w:t>0</w:t>
      </w:r>
      <w:r>
        <w:rPr>
          <w:rFonts w:hint="eastAsia" w:ascii="仿宋_GB2312" w:eastAsia="仿宋_GB2312"/>
          <w:sz w:val="32"/>
          <w:szCs w:val="32"/>
        </w:rPr>
        <w:t>万元、政府采购服务支出</w:t>
      </w:r>
      <w:r>
        <w:rPr>
          <w:rFonts w:ascii="仿宋" w:hAnsi="仿宋" w:eastAsia="仿宋"/>
          <w:b/>
          <w:sz w:val="32"/>
          <w:szCs w:val="32"/>
        </w:rPr>
        <w:t>0</w:t>
      </w:r>
      <w:r>
        <w:rPr>
          <w:rFonts w:hint="eastAsia" w:ascii="仿宋_GB2312" w:eastAsia="仿宋_GB2312"/>
          <w:sz w:val="32"/>
          <w:szCs w:val="32"/>
        </w:rPr>
        <w:t>万元。授予中小企业合同金额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sz w:val="32"/>
          <w:szCs w:val="32"/>
        </w:rPr>
        <w:t>0%</w:t>
      </w:r>
      <w:r>
        <w:rPr>
          <w:rFonts w:hint="eastAsia" w:ascii="仿宋_GB2312" w:eastAsia="仿宋_GB2312"/>
          <w:sz w:val="32"/>
          <w:szCs w:val="32"/>
        </w:rPr>
        <w:t>，其中：授予小微企业合同金额</w:t>
      </w:r>
      <w:r>
        <w:rPr>
          <w:rFonts w:ascii="仿宋" w:hAnsi="仿宋" w:eastAsia="仿宋"/>
          <w:b/>
          <w:sz w:val="32"/>
          <w:szCs w:val="32"/>
        </w:rPr>
        <w:t>0</w:t>
      </w:r>
      <w:r>
        <w:rPr>
          <w:rFonts w:hint="eastAsia" w:ascii="仿宋_GB2312" w:eastAsia="仿宋_GB2312"/>
          <w:sz w:val="32"/>
          <w:szCs w:val="32"/>
        </w:rPr>
        <w:t>万元，占政府采购支出总额的</w:t>
      </w:r>
      <w:r>
        <w:rPr>
          <w:rFonts w:ascii="仿宋_GB2312" w:eastAsia="仿宋_GB2312"/>
          <w:b/>
          <w:sz w:val="32"/>
          <w:szCs w:val="32"/>
        </w:rPr>
        <w:t>0</w:t>
      </w:r>
      <w:r>
        <w:rPr>
          <w:rFonts w:ascii="仿宋_GB2312" w:eastAsia="仿宋_GB2312"/>
          <w:sz w:val="32"/>
          <w:szCs w:val="32"/>
        </w:rPr>
        <w:t>%</w:t>
      </w:r>
      <w:r>
        <w:rPr>
          <w:rFonts w:hint="eastAsia" w:ascii="仿宋_GB2312" w:eastAsia="仿宋_GB2312"/>
          <w:sz w:val="32"/>
          <w:szCs w:val="32"/>
        </w:rPr>
        <w:t>。</w:t>
      </w:r>
    </w:p>
    <w:p w14:paraId="773B8863">
      <w:pPr>
        <w:spacing w:line="600" w:lineRule="exact"/>
        <w:ind w:firstLine="643" w:firstLineChars="200"/>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w:t>
      </w:r>
    </w:p>
    <w:p w14:paraId="64DD99D1">
      <w:pPr>
        <w:autoSpaceDE w:val="0"/>
        <w:autoSpaceDN w:val="0"/>
        <w:adjustRightInd w:val="0"/>
        <w:spacing w:line="600" w:lineRule="exact"/>
        <w:ind w:firstLine="643" w:firstLineChars="200"/>
        <w:jc w:val="left"/>
        <w:outlineLvl w:val="2"/>
        <w:rPr>
          <w:rFonts w:ascii="仿宋" w:hAnsi="仿宋" w:eastAsia="仿宋"/>
          <w:b/>
          <w:sz w:val="32"/>
          <w:szCs w:val="32"/>
        </w:rPr>
      </w:pPr>
      <w:bookmarkStart w:id="48" w:name="_Toc15377224"/>
      <w:r>
        <w:rPr>
          <w:rFonts w:hint="eastAsia" w:ascii="仿宋" w:hAnsi="仿宋" w:eastAsia="仿宋"/>
          <w:b/>
          <w:sz w:val="32"/>
          <w:szCs w:val="32"/>
        </w:rPr>
        <w:t>（三）国有资产占有使用情况</w:t>
      </w:r>
      <w:bookmarkEnd w:id="48"/>
    </w:p>
    <w:p w14:paraId="4CB9B7DA">
      <w:pPr>
        <w:autoSpaceDE w:val="0"/>
        <w:autoSpaceDN w:val="0"/>
        <w:adjustRightInd w:val="0"/>
        <w:spacing w:line="600" w:lineRule="exact"/>
        <w:ind w:firstLine="640" w:firstLineChars="200"/>
        <w:jc w:val="left"/>
        <w:rPr>
          <w:rFonts w:ascii="仿宋_GB2312" w:eastAsia="仿宋_GB2312"/>
          <w:sz w:val="32"/>
          <w:szCs w:val="32"/>
        </w:rPr>
      </w:pPr>
      <w:r>
        <w:rPr>
          <w:rFonts w:hint="eastAsia" w:ascii="仿宋_GB2312" w:eastAsia="仿宋_GB2312"/>
          <w:sz w:val="32"/>
          <w:szCs w:val="32"/>
        </w:rPr>
        <w:t>截至2023年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ascii="仿宋_GB2312" w:eastAsia="仿宋_GB2312"/>
          <w:b/>
          <w:sz w:val="32"/>
          <w:szCs w:val="32"/>
        </w:rPr>
        <w:t>阿坝州松潘县人力资源和社会保障局</w:t>
      </w:r>
      <w:r>
        <w:rPr>
          <w:rFonts w:hint="eastAsia" w:ascii="仿宋_GB2312" w:eastAsia="仿宋_GB2312"/>
          <w:sz w:val="32"/>
          <w:szCs w:val="32"/>
        </w:rPr>
        <w:t>共有车辆</w:t>
      </w:r>
      <w:r>
        <w:rPr>
          <w:rFonts w:hint="eastAsia" w:ascii="仿宋_GB2312" w:eastAsia="仿宋_GB2312"/>
          <w:b/>
          <w:sz w:val="32"/>
          <w:szCs w:val="32"/>
        </w:rPr>
        <w:t>2</w:t>
      </w:r>
      <w:r>
        <w:rPr>
          <w:rFonts w:hint="eastAsia" w:ascii="仿宋_GB2312" w:eastAsia="仿宋_GB2312"/>
          <w:sz w:val="32"/>
          <w:szCs w:val="32"/>
        </w:rPr>
        <w:t>辆，其中：其他用车</w:t>
      </w:r>
      <w:r>
        <w:rPr>
          <w:rFonts w:hint="eastAsia" w:ascii="仿宋_GB2312" w:eastAsia="仿宋_GB2312"/>
          <w:sz w:val="32"/>
          <w:szCs w:val="32"/>
          <w:lang w:val="en-US" w:eastAsia="zh-CN"/>
        </w:rPr>
        <w:t>2</w:t>
      </w:r>
      <w:r>
        <w:rPr>
          <w:rFonts w:hint="eastAsia" w:ascii="仿宋_GB2312" w:eastAsia="仿宋_GB2312"/>
          <w:sz w:val="32"/>
          <w:szCs w:val="32"/>
        </w:rPr>
        <w:t>辆，其他用车主要是用于</w:t>
      </w:r>
      <w:r>
        <w:rPr>
          <w:rFonts w:hint="default" w:ascii="Times New Roman" w:hAnsi="Times New Roman" w:eastAsia="仿宋_GB2312" w:cs="Times New Roman"/>
          <w:kern w:val="0"/>
          <w:sz w:val="32"/>
          <w:szCs w:val="32"/>
          <w:shd w:val="clear" w:fill="FFFFFF"/>
        </w:rPr>
        <w:t>单位办公出差下乡</w:t>
      </w:r>
      <w:r>
        <w:rPr>
          <w:rFonts w:hint="eastAsia" w:ascii="仿宋_GB2312" w:eastAsia="仿宋_GB2312"/>
          <w:sz w:val="32"/>
          <w:szCs w:val="32"/>
        </w:rPr>
        <w:t>。单价</w:t>
      </w:r>
      <w:r>
        <w:rPr>
          <w:rFonts w:ascii="仿宋_GB2312" w:eastAsia="仿宋_GB2312"/>
          <w:sz w:val="32"/>
          <w:szCs w:val="32"/>
        </w:rPr>
        <w:t>100</w:t>
      </w:r>
      <w:r>
        <w:rPr>
          <w:rFonts w:hint="eastAsia" w:ascii="仿宋_GB2312" w:eastAsia="仿宋_GB2312"/>
          <w:sz w:val="32"/>
          <w:szCs w:val="32"/>
        </w:rPr>
        <w:t>万元以上设备（不含车辆）</w:t>
      </w:r>
      <w:r>
        <w:rPr>
          <w:rFonts w:ascii="仿宋_GB2312" w:eastAsia="仿宋_GB2312"/>
          <w:b/>
          <w:sz w:val="32"/>
          <w:szCs w:val="32"/>
        </w:rPr>
        <w:t>0</w:t>
      </w:r>
      <w:r>
        <w:rPr>
          <w:rFonts w:hint="eastAsia" w:ascii="仿宋_GB2312" w:eastAsia="仿宋_GB2312"/>
          <w:sz w:val="32"/>
          <w:szCs w:val="32"/>
        </w:rPr>
        <w:t>台（套）。</w:t>
      </w:r>
    </w:p>
    <w:p w14:paraId="654497E9">
      <w:pPr>
        <w:autoSpaceDE w:val="0"/>
        <w:autoSpaceDN w:val="0"/>
        <w:adjustRightInd w:val="0"/>
        <w:spacing w:line="600" w:lineRule="exact"/>
        <w:ind w:firstLine="643" w:firstLineChars="200"/>
        <w:jc w:val="left"/>
        <w:rPr>
          <w:rFonts w:ascii="仿宋" w:hAnsi="仿宋" w:eastAsia="仿宋"/>
          <w:b/>
          <w:sz w:val="32"/>
          <w:szCs w:val="32"/>
        </w:rPr>
      </w:pPr>
      <w:r>
        <w:rPr>
          <w:rFonts w:hint="eastAsia" w:ascii="仿宋" w:hAnsi="仿宋" w:eastAsia="仿宋"/>
          <w:b/>
          <w:sz w:val="32"/>
          <w:szCs w:val="32"/>
        </w:rPr>
        <w:t>（注：数据来源于财决附</w:t>
      </w:r>
      <w:r>
        <w:rPr>
          <w:rFonts w:ascii="仿宋" w:hAnsi="仿宋" w:eastAsia="仿宋"/>
          <w:b/>
          <w:sz w:val="32"/>
          <w:szCs w:val="32"/>
        </w:rPr>
        <w:t>03</w:t>
      </w:r>
      <w:r>
        <w:rPr>
          <w:rFonts w:hint="eastAsia" w:ascii="仿宋" w:hAnsi="仿宋" w:eastAsia="仿宋"/>
          <w:b/>
          <w:sz w:val="32"/>
          <w:szCs w:val="32"/>
        </w:rPr>
        <w:t>表，按单位决算报表填报数据罗列车辆情况。）</w:t>
      </w:r>
    </w:p>
    <w:p w14:paraId="77506D7C">
      <w:pPr>
        <w:autoSpaceDE w:val="0"/>
        <w:autoSpaceDN w:val="0"/>
        <w:adjustRightInd w:val="0"/>
        <w:spacing w:line="600" w:lineRule="exact"/>
        <w:ind w:firstLine="643" w:firstLineChars="200"/>
        <w:jc w:val="left"/>
        <w:outlineLvl w:val="2"/>
        <w:rPr>
          <w:rFonts w:ascii="仿宋" w:hAnsi="仿宋" w:eastAsia="仿宋"/>
          <w:b/>
          <w:sz w:val="32"/>
          <w:szCs w:val="32"/>
        </w:rPr>
      </w:pPr>
      <w:r>
        <w:rPr>
          <w:rFonts w:hint="eastAsia" w:ascii="仿宋" w:hAnsi="仿宋" w:eastAsia="仿宋"/>
          <w:b/>
          <w:sz w:val="32"/>
          <w:szCs w:val="32"/>
        </w:rPr>
        <w:t>（四）预算绩效管理情况</w:t>
      </w:r>
    </w:p>
    <w:p w14:paraId="2223C96C">
      <w:pPr>
        <w:keepNext w:val="0"/>
        <w:keepLines w:val="0"/>
        <w:pageBreakBefore w:val="0"/>
        <w:kinsoku/>
        <w:wordWrap/>
        <w:overflowPunct/>
        <w:topLinePunct w:val="0"/>
        <w:autoSpaceDE/>
        <w:autoSpaceDN/>
        <w:bidi w:val="0"/>
        <w:spacing w:line="576" w:lineRule="exact"/>
        <w:ind w:firstLine="640" w:firstLineChars="200"/>
        <w:textAlignment w:val="auto"/>
        <w:rPr>
          <w:rFonts w:ascii="仿宋_GB2312" w:eastAsia="仿宋_GB2312"/>
          <w:sz w:val="32"/>
          <w:szCs w:val="32"/>
        </w:rPr>
      </w:pPr>
      <w:r>
        <w:rPr>
          <w:rFonts w:hint="eastAsia" w:ascii="仿宋_GB2312" w:eastAsia="仿宋_GB2312"/>
          <w:sz w:val="32"/>
          <w:szCs w:val="32"/>
        </w:rPr>
        <w:t>根据预算绩效管理要求，本单位在2023年度预算编制阶段，组织对</w:t>
      </w:r>
      <w:r>
        <w:rPr>
          <w:rFonts w:hint="default" w:ascii="仿宋_GB2312" w:hAnsi="Times New Roman" w:eastAsia="仿宋_GB2312" w:cs="Times New Roman"/>
          <w:sz w:val="32"/>
          <w:szCs w:val="32"/>
          <w:lang w:val="en-US" w:eastAsia="zh-CN"/>
        </w:rPr>
        <w:t>社会保障和就业服务大厅工作经费，行政事业单位编外用工工资，乡镇社保网络服务平台，省级社保公共服务能力建设，律师代理费，人事考务费，档案信息化管理工作经费，在职干部学历提升奖补，松潘县人社局一楼政务大厅供暖设备改造质保金，人社局会议室维修维护经费</w:t>
      </w:r>
      <w:r>
        <w:rPr>
          <w:rFonts w:hint="eastAsia" w:ascii="仿宋_GB2312" w:eastAsia="仿宋_GB2312"/>
          <w:sz w:val="32"/>
          <w:szCs w:val="32"/>
        </w:rPr>
        <w:t>等</w:t>
      </w:r>
      <w:r>
        <w:rPr>
          <w:rFonts w:hint="eastAsia" w:ascii="仿宋_GB2312" w:eastAsia="仿宋_GB2312"/>
          <w:sz w:val="32"/>
          <w:szCs w:val="32"/>
          <w:lang w:val="en-US" w:eastAsia="zh-CN"/>
        </w:rPr>
        <w:t>10</w:t>
      </w:r>
      <w:r>
        <w:rPr>
          <w:rFonts w:hint="eastAsia" w:ascii="仿宋_GB2312" w:eastAsia="仿宋_GB2312"/>
          <w:sz w:val="32"/>
          <w:szCs w:val="32"/>
        </w:rPr>
        <w:t>个项目开展了预算事前绩效评估，对</w:t>
      </w:r>
      <w:r>
        <w:rPr>
          <w:rFonts w:hint="eastAsia" w:ascii="仿宋_GB2312" w:eastAsia="仿宋_GB2312"/>
          <w:sz w:val="32"/>
          <w:szCs w:val="32"/>
          <w:lang w:val="en-US" w:eastAsia="zh-CN"/>
        </w:rPr>
        <w:t>10</w:t>
      </w:r>
      <w:r>
        <w:rPr>
          <w:rFonts w:hint="eastAsia" w:ascii="仿宋_GB2312" w:eastAsia="仿宋_GB2312"/>
          <w:sz w:val="32"/>
          <w:szCs w:val="32"/>
        </w:rPr>
        <w:t>个项目编制了绩效目标，预算执行过程中，选取</w:t>
      </w:r>
      <w:r>
        <w:rPr>
          <w:rFonts w:hint="eastAsia" w:ascii="仿宋_GB2312" w:eastAsia="仿宋_GB2312"/>
          <w:sz w:val="32"/>
          <w:szCs w:val="32"/>
          <w:lang w:val="en-US" w:eastAsia="zh-CN"/>
        </w:rPr>
        <w:t>10</w:t>
      </w:r>
      <w:r>
        <w:rPr>
          <w:rFonts w:hint="eastAsia" w:ascii="仿宋_GB2312" w:eastAsia="仿宋_GB2312"/>
          <w:sz w:val="32"/>
          <w:szCs w:val="32"/>
        </w:rPr>
        <w:t>个项目开展绩效监控，组织对</w:t>
      </w:r>
      <w:r>
        <w:rPr>
          <w:rFonts w:hint="eastAsia" w:ascii="仿宋_GB2312" w:eastAsia="仿宋_GB2312"/>
          <w:sz w:val="32"/>
          <w:szCs w:val="32"/>
          <w:lang w:val="en-US" w:eastAsia="zh-CN"/>
        </w:rPr>
        <w:t>10</w:t>
      </w:r>
      <w:r>
        <w:rPr>
          <w:rFonts w:hint="eastAsia" w:ascii="仿宋_GB2312" w:eastAsia="仿宋_GB2312"/>
          <w:sz w:val="32"/>
          <w:szCs w:val="32"/>
        </w:rPr>
        <w:t>个项目开展绩效自评，绩效自评表详见第四部分附件。</w:t>
      </w:r>
    </w:p>
    <w:p w14:paraId="02B28EA6">
      <w:pPr>
        <w:spacing w:line="600" w:lineRule="exact"/>
        <w:ind w:firstLine="640" w:firstLineChars="200"/>
        <w:rPr>
          <w:rFonts w:ascii="仿宋_GB2312" w:eastAsia="仿宋_GB2312"/>
          <w:sz w:val="32"/>
          <w:szCs w:val="32"/>
        </w:rPr>
      </w:pPr>
      <w:r>
        <w:rPr>
          <w:rFonts w:hint="eastAsia" w:ascii="仿宋_GB2312" w:eastAsia="仿宋_GB2312"/>
          <w:sz w:val="32"/>
          <w:szCs w:val="32"/>
        </w:rPr>
        <w:br w:type="page"/>
      </w:r>
    </w:p>
    <w:p w14:paraId="61435D50">
      <w:pPr>
        <w:numPr>
          <w:ilvl w:val="0"/>
          <w:numId w:val="5"/>
        </w:numPr>
        <w:spacing w:line="600" w:lineRule="exact"/>
        <w:ind w:firstLine="660" w:firstLineChars="150"/>
        <w:jc w:val="center"/>
        <w:outlineLvl w:val="0"/>
        <w:rPr>
          <w:rStyle w:val="20"/>
          <w:rFonts w:ascii="黑体" w:hAnsi="黑体" w:eastAsia="黑体"/>
          <w:b w:val="0"/>
        </w:rPr>
      </w:pPr>
      <w:bookmarkStart w:id="49" w:name="_Toc15396613"/>
      <w:bookmarkStart w:id="50" w:name="_Toc15377225"/>
      <w:r>
        <w:rPr>
          <w:rFonts w:hint="eastAsia" w:ascii="黑体" w:hAnsi="黑体" w:eastAsia="黑体"/>
          <w:sz w:val="44"/>
          <w:szCs w:val="44"/>
        </w:rPr>
        <w:t>名</w:t>
      </w:r>
      <w:r>
        <w:rPr>
          <w:rStyle w:val="20"/>
          <w:rFonts w:hint="eastAsia" w:ascii="黑体" w:hAnsi="黑体" w:eastAsia="黑体"/>
          <w:b w:val="0"/>
        </w:rPr>
        <w:t>词解释</w:t>
      </w:r>
      <w:bookmarkEnd w:id="49"/>
      <w:bookmarkEnd w:id="50"/>
    </w:p>
    <w:p w14:paraId="245DDB44">
      <w:pPr>
        <w:spacing w:line="600" w:lineRule="exact"/>
        <w:jc w:val="left"/>
        <w:rPr>
          <w:rFonts w:ascii="宋体"/>
          <w:b/>
          <w:sz w:val="44"/>
          <w:szCs w:val="44"/>
        </w:rPr>
      </w:pPr>
    </w:p>
    <w:p w14:paraId="7DDB432E">
      <w:pPr>
        <w:pStyle w:val="38"/>
        <w:spacing w:line="560" w:lineRule="exact"/>
        <w:ind w:firstLine="640" w:firstLineChars="200"/>
        <w:rPr>
          <w:rFonts w:ascii="仿宋_GB2312" w:eastAsia="仿宋_GB2312"/>
          <w:color w:val="auto"/>
          <w:sz w:val="32"/>
          <w:szCs w:val="32"/>
        </w:rPr>
      </w:pPr>
      <w:r>
        <w:rPr>
          <w:rFonts w:ascii="仿宋_GB2312" w:eastAsia="仿宋_GB2312"/>
          <w:color w:val="auto"/>
          <w:sz w:val="32"/>
          <w:szCs w:val="32"/>
        </w:rPr>
        <w:t>1.</w:t>
      </w:r>
      <w:r>
        <w:rPr>
          <w:rFonts w:hint="eastAsia" w:ascii="仿宋_GB2312" w:eastAsia="仿宋_GB2312"/>
          <w:color w:val="auto"/>
          <w:sz w:val="32"/>
          <w:szCs w:val="32"/>
        </w:rPr>
        <w:t>财政拨款收入：指单位从同级财政部门取得的财政预算资金。</w:t>
      </w:r>
    </w:p>
    <w:p w14:paraId="12ED1829">
      <w:pPr>
        <w:pStyle w:val="3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w:t>
      </w:r>
      <w:r>
        <w:rPr>
          <w:rFonts w:ascii="仿宋_GB2312" w:eastAsia="仿宋_GB2312"/>
          <w:color w:val="auto"/>
          <w:sz w:val="32"/>
          <w:szCs w:val="32"/>
        </w:rPr>
        <w:t>.</w:t>
      </w:r>
      <w:r>
        <w:rPr>
          <w:rFonts w:hint="eastAsia" w:ascii="仿宋_GB2312" w:eastAsia="仿宋_GB2312"/>
          <w:color w:val="auto"/>
          <w:sz w:val="32"/>
          <w:szCs w:val="32"/>
        </w:rPr>
        <w:t>年初结转和结余：指以前年度尚未完成、结转到本年按有关规定继续使用的资金。</w:t>
      </w:r>
      <w:r>
        <w:rPr>
          <w:rFonts w:ascii="仿宋_GB2312" w:eastAsia="仿宋_GB2312"/>
          <w:color w:val="auto"/>
          <w:sz w:val="32"/>
          <w:szCs w:val="32"/>
        </w:rPr>
        <w:t xml:space="preserve"> </w:t>
      </w:r>
    </w:p>
    <w:p w14:paraId="71EC8813">
      <w:pPr>
        <w:pStyle w:val="3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.年末结转和结余：指单位按有关规定结转到下年或以后年度继续使用的资金。</w:t>
      </w:r>
    </w:p>
    <w:p w14:paraId="6B9887C2">
      <w:pPr>
        <w:ind w:firstLine="640" w:firstLineChars="200"/>
        <w:rPr>
          <w:rFonts w:ascii="仿宋_GB2312" w:eastAsia="仿宋_GB2312"/>
          <w:sz w:val="32"/>
          <w:szCs w:val="32"/>
        </w:rPr>
      </w:pPr>
      <w:r>
        <w:rPr>
          <w:rFonts w:hint="eastAsia" w:ascii="仿宋_GB2312" w:eastAsia="仿宋_GB2312"/>
          <w:sz w:val="32"/>
          <w:szCs w:val="32"/>
          <w:lang w:val="en-US" w:eastAsia="zh-CN"/>
        </w:rPr>
        <w:t>4</w:t>
      </w:r>
      <w:r>
        <w:rPr>
          <w:rFonts w:ascii="仿宋_GB2312" w:eastAsia="仿宋_GB2312"/>
          <w:sz w:val="32"/>
          <w:szCs w:val="32"/>
        </w:rPr>
        <w:t>.</w:t>
      </w:r>
      <w:r>
        <w:rPr>
          <w:rFonts w:hint="eastAsia" w:ascii="仿宋_GB2312" w:eastAsia="仿宋_GB2312"/>
          <w:sz w:val="32"/>
          <w:szCs w:val="32"/>
        </w:rPr>
        <w:t>教育（类）</w:t>
      </w:r>
      <w:r>
        <w:rPr>
          <w:rFonts w:hint="eastAsia" w:ascii="仿宋_GB2312" w:eastAsia="仿宋_GB2312"/>
          <w:sz w:val="32"/>
          <w:szCs w:val="32"/>
          <w:lang w:val="en-US" w:eastAsia="zh-CN"/>
        </w:rPr>
        <w:t>205</w:t>
      </w:r>
      <w:r>
        <w:rPr>
          <w:rFonts w:hint="eastAsia" w:ascii="仿宋_GB2312" w:eastAsia="仿宋_GB2312"/>
          <w:sz w:val="32"/>
          <w:szCs w:val="32"/>
        </w:rPr>
        <w:t>（款）</w:t>
      </w:r>
      <w:r>
        <w:rPr>
          <w:rFonts w:hint="eastAsia" w:ascii="仿宋_GB2312" w:eastAsia="仿宋_GB2312"/>
          <w:sz w:val="32"/>
          <w:szCs w:val="32"/>
          <w:lang w:val="en-US" w:eastAsia="zh-CN"/>
        </w:rPr>
        <w:t>99</w:t>
      </w:r>
      <w:r>
        <w:rPr>
          <w:rFonts w:hint="eastAsia" w:ascii="仿宋_GB2312" w:eastAsia="仿宋_GB2312"/>
          <w:sz w:val="32"/>
          <w:szCs w:val="32"/>
        </w:rPr>
        <w:t>（项）</w:t>
      </w:r>
      <w:r>
        <w:rPr>
          <w:rFonts w:hint="eastAsia" w:ascii="仿宋_GB2312" w:eastAsia="仿宋_GB2312"/>
          <w:sz w:val="32"/>
          <w:szCs w:val="32"/>
          <w:lang w:val="en-US" w:eastAsia="zh-CN"/>
        </w:rPr>
        <w:t>99</w:t>
      </w:r>
      <w:r>
        <w:rPr>
          <w:rFonts w:hint="eastAsia" w:ascii="仿宋_GB2312" w:eastAsia="仿宋_GB2312"/>
          <w:sz w:val="32"/>
          <w:szCs w:val="32"/>
        </w:rPr>
        <w:t>：指</w:t>
      </w:r>
      <w:r>
        <w:rPr>
          <w:rFonts w:hint="eastAsia" w:ascii="仿宋_GB2312" w:eastAsia="仿宋_GB2312"/>
          <w:sz w:val="32"/>
          <w:szCs w:val="32"/>
          <w:lang w:eastAsia="zh-CN"/>
        </w:rPr>
        <w:t>其他教育支出</w:t>
      </w:r>
      <w:r>
        <w:rPr>
          <w:rFonts w:hint="eastAsia" w:ascii="仿宋_GB2312" w:eastAsia="仿宋_GB2312"/>
          <w:sz w:val="32"/>
          <w:szCs w:val="32"/>
        </w:rPr>
        <w:t>。</w:t>
      </w:r>
    </w:p>
    <w:p w14:paraId="3AFF1A3A">
      <w:pPr>
        <w:spacing w:line="600" w:lineRule="exact"/>
        <w:ind w:firstLine="640" w:firstLineChars="200"/>
        <w:rPr>
          <w:rFonts w:ascii="仿宋_GB2312" w:eastAsia="仿宋_GB2312"/>
          <w:sz w:val="32"/>
          <w:szCs w:val="32"/>
        </w:rPr>
      </w:pPr>
      <w:r>
        <w:rPr>
          <w:rFonts w:hint="eastAsia" w:ascii="仿宋_GB2312" w:eastAsia="仿宋_GB2312"/>
          <w:sz w:val="32"/>
          <w:szCs w:val="32"/>
          <w:lang w:val="en-US" w:eastAsia="zh-CN"/>
        </w:rPr>
        <w:t>5</w:t>
      </w:r>
      <w:r>
        <w:rPr>
          <w:rFonts w:ascii="仿宋_GB2312" w:eastAsia="仿宋_GB2312"/>
          <w:sz w:val="32"/>
          <w:szCs w:val="32"/>
        </w:rPr>
        <w:t>.</w:t>
      </w:r>
      <w:r>
        <w:rPr>
          <w:rFonts w:hint="eastAsia" w:ascii="仿宋_GB2312" w:eastAsia="仿宋_GB2312"/>
          <w:sz w:val="32"/>
          <w:szCs w:val="32"/>
        </w:rPr>
        <w:t>社会保障和就业（类）</w:t>
      </w:r>
      <w:r>
        <w:rPr>
          <w:rFonts w:hint="eastAsia" w:ascii="仿宋_GB2312" w:eastAsia="仿宋_GB2312"/>
          <w:sz w:val="32"/>
          <w:szCs w:val="32"/>
          <w:lang w:val="en-US" w:eastAsia="zh-CN"/>
        </w:rPr>
        <w:t>208</w:t>
      </w:r>
      <w:r>
        <w:rPr>
          <w:rFonts w:hint="eastAsia" w:ascii="仿宋_GB2312" w:eastAsia="仿宋_GB2312"/>
          <w:sz w:val="32"/>
          <w:szCs w:val="32"/>
        </w:rPr>
        <w:t>（款）</w:t>
      </w:r>
      <w:r>
        <w:rPr>
          <w:rFonts w:hint="eastAsia" w:ascii="仿宋_GB2312" w:eastAsia="仿宋_GB2312"/>
          <w:sz w:val="32"/>
          <w:szCs w:val="32"/>
          <w:lang w:val="en-US" w:eastAsia="zh-CN"/>
        </w:rPr>
        <w:t>01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行政运行，</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02一般行政管理事务支出，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04综合业务管理支出，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08信息化建设支出，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09社会保险经办机构支出，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01</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99其他人力资源和社会保障管理事务支出，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05机关事业单位基本养老保险缴费支出，</w:t>
      </w:r>
      <w:r>
        <w:rPr>
          <w:rFonts w:hint="eastAsia" w:ascii="仿宋_GB2312" w:eastAsia="仿宋_GB2312"/>
          <w:sz w:val="32"/>
          <w:szCs w:val="32"/>
        </w:rPr>
        <w:t>（类）</w:t>
      </w:r>
      <w:r>
        <w:rPr>
          <w:rStyle w:val="18"/>
          <w:rFonts w:hint="eastAsia" w:ascii="仿宋" w:hAnsi="仿宋" w:eastAsia="仿宋"/>
          <w:b w:val="0"/>
          <w:bCs/>
          <w:sz w:val="32"/>
          <w:szCs w:val="32"/>
          <w:lang w:val="en-US" w:eastAsia="zh-CN"/>
        </w:rPr>
        <w:t>208</w:t>
      </w:r>
      <w:r>
        <w:rPr>
          <w:rFonts w:hint="eastAsia" w:ascii="仿宋_GB2312" w:eastAsia="仿宋_GB2312"/>
          <w:sz w:val="32"/>
          <w:szCs w:val="32"/>
        </w:rPr>
        <w:t>（款）</w:t>
      </w:r>
      <w:r>
        <w:rPr>
          <w:rStyle w:val="18"/>
          <w:rFonts w:hint="eastAsia" w:ascii="仿宋" w:hAnsi="仿宋" w:eastAsia="仿宋"/>
          <w:b w:val="0"/>
          <w:bCs/>
          <w:sz w:val="32"/>
          <w:szCs w:val="32"/>
          <w:lang w:val="en-US" w:eastAsia="zh-CN"/>
        </w:rPr>
        <w:t>05</w:t>
      </w:r>
      <w:r>
        <w:rPr>
          <w:rFonts w:hint="eastAsia" w:ascii="仿宋_GB2312" w:eastAsia="仿宋_GB2312"/>
          <w:sz w:val="32"/>
          <w:szCs w:val="32"/>
        </w:rPr>
        <w:t>（项）</w:t>
      </w:r>
      <w:r>
        <w:rPr>
          <w:rStyle w:val="18"/>
          <w:rFonts w:hint="eastAsia" w:ascii="仿宋" w:hAnsi="仿宋" w:eastAsia="仿宋"/>
          <w:b w:val="0"/>
          <w:bCs/>
          <w:sz w:val="32"/>
          <w:szCs w:val="32"/>
          <w:lang w:val="en-US" w:eastAsia="zh-CN"/>
        </w:rPr>
        <w:t>06机关事业单位职业年金缴费支出</w:t>
      </w:r>
      <w:r>
        <w:rPr>
          <w:rStyle w:val="18"/>
          <w:rFonts w:hint="eastAsia" w:ascii="仿宋" w:hAnsi="仿宋" w:eastAsia="仿宋"/>
          <w:b w:val="0"/>
          <w:bCs/>
          <w:sz w:val="32"/>
          <w:szCs w:val="32"/>
        </w:rPr>
        <w:t>。</w:t>
      </w:r>
    </w:p>
    <w:p w14:paraId="6B343D0F">
      <w:pPr>
        <w:ind w:firstLine="640" w:firstLineChars="200"/>
        <w:rPr>
          <w:rFonts w:ascii="仿宋_GB2312" w:eastAsia="仿宋_GB2312"/>
          <w:sz w:val="32"/>
          <w:szCs w:val="32"/>
        </w:rPr>
      </w:pPr>
      <w:r>
        <w:rPr>
          <w:rFonts w:hint="eastAsia" w:ascii="仿宋_GB2312" w:eastAsia="仿宋_GB2312"/>
          <w:sz w:val="32"/>
          <w:szCs w:val="32"/>
          <w:lang w:val="en-US" w:eastAsia="zh-CN"/>
        </w:rPr>
        <w:t>6</w:t>
      </w:r>
      <w:r>
        <w:rPr>
          <w:rFonts w:ascii="仿宋_GB2312" w:eastAsia="仿宋_GB2312"/>
          <w:sz w:val="32"/>
          <w:szCs w:val="32"/>
        </w:rPr>
        <w:t>.</w:t>
      </w:r>
      <w:r>
        <w:rPr>
          <w:rFonts w:hint="eastAsia" w:ascii="仿宋_GB2312" w:eastAsia="仿宋_GB2312"/>
          <w:sz w:val="32"/>
          <w:szCs w:val="32"/>
        </w:rPr>
        <w:t>卫生健康（类）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行政单位医疗，</w:t>
      </w:r>
      <w:r>
        <w:rPr>
          <w:rFonts w:hint="eastAsia" w:ascii="仿宋_GB2312" w:eastAsia="仿宋_GB2312"/>
          <w:sz w:val="32"/>
          <w:szCs w:val="32"/>
        </w:rPr>
        <w:t>（类）</w:t>
      </w:r>
      <w:r>
        <w:rPr>
          <w:rFonts w:hint="eastAsia" w:ascii="仿宋_GB2312" w:eastAsia="仿宋_GB2312"/>
          <w:sz w:val="32"/>
          <w:szCs w:val="32"/>
          <w:lang w:val="en-US" w:eastAsia="zh-CN"/>
        </w:rPr>
        <w:t>210</w:t>
      </w:r>
      <w:r>
        <w:rPr>
          <w:rFonts w:hint="eastAsia" w:ascii="仿宋_GB2312" w:eastAsia="仿宋_GB2312"/>
          <w:sz w:val="32"/>
          <w:szCs w:val="32"/>
        </w:rPr>
        <w:t>（款）</w:t>
      </w:r>
      <w:r>
        <w:rPr>
          <w:rFonts w:hint="eastAsia" w:ascii="仿宋_GB2312" w:eastAsia="仿宋_GB2312"/>
          <w:sz w:val="32"/>
          <w:szCs w:val="32"/>
          <w:lang w:val="en-US" w:eastAsia="zh-CN"/>
        </w:rPr>
        <w:t>11</w:t>
      </w:r>
      <w:r>
        <w:rPr>
          <w:rFonts w:hint="eastAsia" w:ascii="仿宋_GB2312" w:eastAsia="仿宋_GB2312"/>
          <w:sz w:val="32"/>
          <w:szCs w:val="32"/>
        </w:rPr>
        <w:t>（项）</w:t>
      </w:r>
      <w:r>
        <w:rPr>
          <w:rFonts w:hint="eastAsia" w:ascii="仿宋_GB2312" w:eastAsia="仿宋_GB2312"/>
          <w:sz w:val="32"/>
          <w:szCs w:val="32"/>
          <w:lang w:val="en-US" w:eastAsia="zh-CN"/>
        </w:rPr>
        <w:t>03指公务员医疗补助。</w:t>
      </w:r>
    </w:p>
    <w:p w14:paraId="42D6ED41">
      <w:pPr>
        <w:ind w:firstLine="640" w:firstLineChars="200"/>
        <w:rPr>
          <w:rFonts w:ascii="仿宋_GB2312" w:eastAsia="仿宋_GB2312"/>
          <w:sz w:val="32"/>
          <w:szCs w:val="32"/>
        </w:rPr>
      </w:pPr>
      <w:r>
        <w:rPr>
          <w:rFonts w:hint="eastAsia" w:ascii="仿宋_GB2312" w:eastAsia="仿宋_GB2312"/>
          <w:sz w:val="32"/>
          <w:szCs w:val="32"/>
          <w:lang w:val="en-US" w:eastAsia="zh-CN"/>
        </w:rPr>
        <w:t>7</w:t>
      </w:r>
      <w:r>
        <w:rPr>
          <w:rFonts w:ascii="仿宋_GB2312" w:eastAsia="仿宋_GB2312"/>
          <w:sz w:val="32"/>
          <w:szCs w:val="32"/>
        </w:rPr>
        <w:t>.</w:t>
      </w:r>
      <w:r>
        <w:rPr>
          <w:rFonts w:hint="eastAsia" w:ascii="仿宋_GB2312" w:eastAsia="仿宋_GB2312"/>
          <w:sz w:val="32"/>
          <w:szCs w:val="32"/>
        </w:rPr>
        <w:t>住房保障（类）</w:t>
      </w:r>
      <w:r>
        <w:rPr>
          <w:rFonts w:hint="eastAsia" w:ascii="仿宋_GB2312" w:eastAsia="仿宋_GB2312"/>
          <w:sz w:val="32"/>
          <w:szCs w:val="32"/>
          <w:lang w:val="en-US" w:eastAsia="zh-CN"/>
        </w:rPr>
        <w:t>221</w:t>
      </w:r>
      <w:r>
        <w:rPr>
          <w:rFonts w:hint="eastAsia" w:ascii="仿宋_GB2312" w:eastAsia="仿宋_GB2312"/>
          <w:sz w:val="32"/>
          <w:szCs w:val="32"/>
        </w:rPr>
        <w:t>（款）</w:t>
      </w:r>
      <w:r>
        <w:rPr>
          <w:rFonts w:hint="eastAsia" w:ascii="仿宋_GB2312" w:eastAsia="仿宋_GB2312"/>
          <w:sz w:val="32"/>
          <w:szCs w:val="32"/>
          <w:lang w:val="en-US" w:eastAsia="zh-CN"/>
        </w:rPr>
        <w:t>02</w:t>
      </w:r>
      <w:r>
        <w:rPr>
          <w:rFonts w:hint="eastAsia" w:ascii="仿宋_GB2312" w:eastAsia="仿宋_GB2312"/>
          <w:sz w:val="32"/>
          <w:szCs w:val="32"/>
        </w:rPr>
        <w:t>（项）</w:t>
      </w:r>
      <w:r>
        <w:rPr>
          <w:rFonts w:hint="eastAsia" w:ascii="仿宋_GB2312" w:eastAsia="仿宋_GB2312"/>
          <w:sz w:val="32"/>
          <w:szCs w:val="32"/>
          <w:lang w:val="en-US" w:eastAsia="zh-CN"/>
        </w:rPr>
        <w:t>01</w:t>
      </w:r>
      <w:r>
        <w:rPr>
          <w:rFonts w:hint="eastAsia" w:ascii="仿宋_GB2312" w:eastAsia="仿宋_GB2312"/>
          <w:sz w:val="32"/>
          <w:szCs w:val="32"/>
        </w:rPr>
        <w:t>：指</w:t>
      </w:r>
      <w:r>
        <w:rPr>
          <w:rFonts w:hint="eastAsia" w:ascii="仿宋_GB2312" w:eastAsia="仿宋_GB2312"/>
          <w:sz w:val="32"/>
          <w:szCs w:val="32"/>
          <w:lang w:eastAsia="zh-CN"/>
        </w:rPr>
        <w:t>住房公积金</w:t>
      </w:r>
      <w:r>
        <w:rPr>
          <w:rFonts w:hint="eastAsia" w:ascii="仿宋_GB2312" w:eastAsia="仿宋_GB2312"/>
          <w:sz w:val="32"/>
          <w:szCs w:val="32"/>
        </w:rPr>
        <w:t>。</w:t>
      </w:r>
    </w:p>
    <w:p w14:paraId="3441C864">
      <w:pPr>
        <w:spacing w:line="600" w:lineRule="exact"/>
        <w:ind w:firstLine="640"/>
        <w:rPr>
          <w:rFonts w:ascii="仿宋" w:hAnsi="仿宋" w:eastAsia="仿宋"/>
          <w:b/>
          <w:sz w:val="32"/>
          <w:szCs w:val="32"/>
        </w:rPr>
      </w:pPr>
      <w:r>
        <w:rPr>
          <w:rFonts w:hint="eastAsia" w:ascii="仿宋" w:hAnsi="仿宋" w:eastAsia="仿宋"/>
          <w:b/>
          <w:sz w:val="32"/>
          <w:szCs w:val="32"/>
        </w:rPr>
        <w:t>（解释本单位决算报表中涉及的全部功能分类科目至项级，不涉及的科目请自行删除。请参照《2023年政府收支分类科目》增减内容。）</w:t>
      </w:r>
    </w:p>
    <w:p w14:paraId="55425DEA">
      <w:pPr>
        <w:ind w:firstLine="640" w:firstLineChars="200"/>
        <w:rPr>
          <w:rFonts w:ascii="仿宋_GB2312" w:eastAsia="仿宋_GB2312"/>
          <w:sz w:val="32"/>
          <w:szCs w:val="32"/>
        </w:rPr>
      </w:pPr>
      <w:r>
        <w:rPr>
          <w:rFonts w:hint="eastAsia" w:ascii="仿宋_GB2312" w:eastAsia="仿宋_GB2312"/>
          <w:sz w:val="32"/>
          <w:szCs w:val="32"/>
          <w:lang w:val="en-US" w:eastAsia="zh-CN"/>
        </w:rPr>
        <w:t>8</w:t>
      </w:r>
      <w:r>
        <w:rPr>
          <w:rFonts w:ascii="仿宋_GB2312" w:eastAsia="仿宋_GB2312"/>
          <w:sz w:val="32"/>
          <w:szCs w:val="32"/>
        </w:rPr>
        <w:t>.</w:t>
      </w:r>
      <w:r>
        <w:rPr>
          <w:rFonts w:hint="eastAsia" w:ascii="仿宋_GB2312" w:eastAsia="仿宋_GB2312"/>
          <w:sz w:val="32"/>
          <w:szCs w:val="32"/>
        </w:rPr>
        <w:t>基本支出：指为保障机构正常运转、完成日常工作任务而发生的人员支出和公用支出。</w:t>
      </w:r>
    </w:p>
    <w:p w14:paraId="72EBF2C6">
      <w:pPr>
        <w:ind w:firstLine="640" w:firstLineChars="200"/>
        <w:rPr>
          <w:rFonts w:ascii="仿宋_GB2312" w:eastAsia="仿宋_GB2312"/>
          <w:sz w:val="32"/>
          <w:szCs w:val="32"/>
        </w:rPr>
      </w:pPr>
      <w:r>
        <w:rPr>
          <w:rFonts w:hint="eastAsia" w:ascii="仿宋_GB2312" w:eastAsia="仿宋_GB2312"/>
          <w:sz w:val="32"/>
          <w:szCs w:val="32"/>
          <w:lang w:val="en-US" w:eastAsia="zh-CN"/>
        </w:rPr>
        <w:t>9</w:t>
      </w:r>
      <w:r>
        <w:rPr>
          <w:rFonts w:ascii="仿宋_GB2312" w:eastAsia="仿宋_GB2312"/>
          <w:sz w:val="32"/>
          <w:szCs w:val="32"/>
        </w:rPr>
        <w:t>.</w:t>
      </w:r>
      <w:r>
        <w:rPr>
          <w:rFonts w:hint="eastAsia" w:ascii="仿宋_GB2312" w:eastAsia="仿宋_GB2312"/>
          <w:sz w:val="32"/>
          <w:szCs w:val="32"/>
        </w:rPr>
        <w:t>项目支出：指在基本支出之外为完成特定行政任务和事业发展目标所发生的支出。</w:t>
      </w:r>
      <w:r>
        <w:rPr>
          <w:rFonts w:ascii="仿宋_GB2312" w:eastAsia="仿宋_GB2312"/>
          <w:sz w:val="32"/>
          <w:szCs w:val="32"/>
        </w:rPr>
        <w:t xml:space="preserve"> </w:t>
      </w:r>
    </w:p>
    <w:p w14:paraId="0FA8013E">
      <w:pPr>
        <w:pStyle w:val="38"/>
        <w:spacing w:line="560"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10</w:t>
      </w:r>
      <w:r>
        <w:rPr>
          <w:rFonts w:ascii="仿宋_GB2312" w:eastAsia="仿宋_GB2312"/>
          <w:color w:val="auto"/>
          <w:sz w:val="32"/>
          <w:szCs w:val="32"/>
        </w:rPr>
        <w:t>.</w:t>
      </w:r>
      <w:r>
        <w:rPr>
          <w:rFonts w:hint="eastAsia" w:ascii="仿宋_GB2312" w:eastAsia="仿宋_GB2312"/>
          <w:color w:val="auto"/>
          <w:sz w:val="32"/>
          <w:szCs w:val="32"/>
        </w:rPr>
        <w:t>“三公”经费：指单位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3AB9DD5F">
      <w:pPr>
        <w:pStyle w:val="38"/>
        <w:spacing w:line="560" w:lineRule="exact"/>
        <w:ind w:firstLine="640" w:firstLineChars="200"/>
        <w:rPr>
          <w:rFonts w:ascii="仿宋_GB2312" w:eastAsia="仿宋_GB2312" w:cs="黑体"/>
          <w:color w:val="auto"/>
          <w:sz w:val="32"/>
          <w:szCs w:val="32"/>
        </w:rPr>
      </w:pPr>
      <w:r>
        <w:rPr>
          <w:rFonts w:hint="eastAsia" w:ascii="仿宋_GB2312" w:eastAsia="仿宋_GB2312"/>
          <w:color w:val="auto"/>
          <w:sz w:val="32"/>
          <w:szCs w:val="32"/>
          <w:lang w:val="en-US" w:eastAsia="zh-CN"/>
        </w:rPr>
        <w:t>11</w:t>
      </w:r>
      <w:r>
        <w:rPr>
          <w:rFonts w:ascii="仿宋_GB2312" w:eastAsia="仿宋_GB2312"/>
          <w:color w:val="auto"/>
          <w:sz w:val="32"/>
          <w:szCs w:val="32"/>
        </w:rPr>
        <w:t>.</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7B408BE5">
      <w:pPr>
        <w:ind w:firstLine="643" w:firstLineChars="200"/>
        <w:rPr>
          <w:rFonts w:ascii="仿宋" w:hAnsi="仿宋" w:eastAsia="仿宋"/>
          <w:b/>
          <w:sz w:val="32"/>
          <w:szCs w:val="32"/>
        </w:rPr>
      </w:pPr>
      <w:r>
        <w:rPr>
          <w:rFonts w:hint="eastAsia" w:ascii="仿宋" w:hAnsi="仿宋" w:eastAsia="仿宋"/>
          <w:b/>
          <w:sz w:val="32"/>
          <w:szCs w:val="32"/>
        </w:rPr>
        <w:t>（名词解释部分请根据各单位实际列支情况罗列，并根据本单位职责职能增减名词解释内容。）</w:t>
      </w:r>
    </w:p>
    <w:p w14:paraId="337D05BA">
      <w:pPr>
        <w:spacing w:line="600" w:lineRule="exact"/>
        <w:jc w:val="center"/>
        <w:outlineLvl w:val="0"/>
        <w:rPr>
          <w:rStyle w:val="20"/>
          <w:rFonts w:ascii="黑体" w:hAnsi="黑体" w:eastAsia="黑体"/>
          <w:b w:val="0"/>
        </w:rPr>
      </w:pPr>
      <w:bookmarkStart w:id="51" w:name="_Toc15377226"/>
      <w:r>
        <w:rPr>
          <w:rFonts w:ascii="宋体"/>
          <w:b/>
          <w:sz w:val="44"/>
          <w:szCs w:val="44"/>
        </w:rPr>
        <w:br w:type="page"/>
      </w:r>
      <w:bookmarkStart w:id="52" w:name="_Toc15396614"/>
      <w:r>
        <w:rPr>
          <w:rFonts w:hint="eastAsia" w:ascii="黑体" w:hAnsi="黑体" w:eastAsia="黑体"/>
          <w:sz w:val="44"/>
          <w:szCs w:val="44"/>
        </w:rPr>
        <w:t>第</w:t>
      </w:r>
      <w:r>
        <w:rPr>
          <w:rStyle w:val="20"/>
          <w:rFonts w:hint="eastAsia" w:ascii="黑体" w:hAnsi="黑体" w:eastAsia="黑体"/>
          <w:b w:val="0"/>
        </w:rPr>
        <w:t>四部分 附件</w:t>
      </w:r>
      <w:bookmarkEnd w:id="52"/>
    </w:p>
    <w:p w14:paraId="231A1CC5">
      <w:pPr>
        <w:spacing w:line="572" w:lineRule="exact"/>
        <w:jc w:val="left"/>
        <w:outlineLvl w:val="0"/>
        <w:rPr>
          <w:rFonts w:ascii="仿宋_GB2312" w:hAnsi="仿宋_GB2312" w:eastAsia="仿宋_GB2312" w:cs="仿宋_GB2312"/>
          <w:sz w:val="32"/>
          <w:szCs w:val="32"/>
        </w:rPr>
      </w:pPr>
    </w:p>
    <w:p w14:paraId="4609CB44">
      <w:pPr>
        <w:spacing w:line="600" w:lineRule="exact"/>
        <w:jc w:val="center"/>
        <w:outlineLvl w:val="0"/>
        <w:rPr>
          <w:rFonts w:ascii="黑体" w:hAnsi="黑体" w:eastAsia="黑体"/>
          <w:color w:val="FF0000"/>
          <w:sz w:val="44"/>
          <w:szCs w:val="44"/>
        </w:rPr>
      </w:pPr>
      <w:bookmarkStart w:id="53" w:name="_Toc15396618"/>
      <w:r>
        <w:rPr>
          <w:rFonts w:hint="eastAsia"/>
          <w:sz w:val="32"/>
          <w:szCs w:val="32"/>
        </w:rPr>
        <w:t>部门预算项目支出绩效自评表（2023年度）</w:t>
      </w:r>
    </w:p>
    <w:p w14:paraId="3A70B778">
      <w:pPr>
        <w:pStyle w:val="2"/>
        <w:spacing w:line="560" w:lineRule="exact"/>
        <w:ind w:left="0" w:leftChars="0" w:firstLine="640"/>
        <w:rPr>
          <w:sz w:val="32"/>
        </w:rPr>
      </w:pPr>
    </w:p>
    <w:p w14:paraId="6CBFA543">
      <w:pPr>
        <w:pStyle w:val="2"/>
        <w:spacing w:line="560" w:lineRule="exact"/>
        <w:ind w:left="0" w:leftChars="0" w:firstLine="640"/>
        <w:rPr>
          <w:rFonts w:hAnsi="Calibri" w:eastAsia="仿宋_GB2312" w:cs="仿宋"/>
          <w:sz w:val="32"/>
          <w:lang w:val="zh-CN"/>
        </w:rPr>
      </w:pPr>
      <w:r>
        <w:rPr>
          <w:rFonts w:hint="eastAsia" w:hAnsi="Calibri" w:eastAsia="仿宋_GB2312" w:cs="仿宋"/>
          <w:sz w:val="32"/>
        </w:rPr>
        <w:t>（备注：按照绩效自评工作安排，各单位可在预算管理一体化系统—综合报表查询—预算绩效报表模块中下载本单位“部门预算项目支出绩效自评表（2023年度）”，该表格应作为附件予以公开。）</w:t>
      </w:r>
    </w:p>
    <w:p w14:paraId="6323E04E">
      <w:pPr>
        <w:pStyle w:val="7"/>
        <w:spacing w:before="93"/>
        <w:rPr>
          <w:rFonts w:hAnsi="Calibri" w:cs="仿宋"/>
          <w:sz w:val="32"/>
          <w:szCs w:val="32"/>
        </w:rPr>
      </w:pPr>
    </w:p>
    <w:p w14:paraId="5A3A99EB">
      <w:pPr>
        <w:pStyle w:val="7"/>
        <w:spacing w:before="93"/>
        <w:rPr>
          <w:rFonts w:hAnsi="Calibri" w:cs="仿宋"/>
          <w:sz w:val="32"/>
          <w:szCs w:val="32"/>
        </w:rPr>
      </w:pPr>
    </w:p>
    <w:p w14:paraId="0133E712">
      <w:pPr>
        <w:pStyle w:val="7"/>
        <w:spacing w:before="93"/>
        <w:rPr>
          <w:rFonts w:hAnsi="Calibri" w:cs="仿宋"/>
          <w:sz w:val="32"/>
          <w:szCs w:val="32"/>
        </w:rPr>
      </w:pPr>
    </w:p>
    <w:p w14:paraId="5BEE45C9">
      <w:pPr>
        <w:pStyle w:val="7"/>
        <w:spacing w:before="93"/>
        <w:rPr>
          <w:rFonts w:hAnsi="Calibri" w:cs="仿宋"/>
          <w:sz w:val="32"/>
          <w:szCs w:val="32"/>
        </w:rPr>
      </w:pPr>
    </w:p>
    <w:p w14:paraId="13F3A7BD">
      <w:pPr>
        <w:pStyle w:val="7"/>
        <w:spacing w:before="93"/>
        <w:rPr>
          <w:rFonts w:hAnsi="Calibri" w:cs="仿宋"/>
          <w:sz w:val="32"/>
          <w:szCs w:val="32"/>
        </w:rPr>
      </w:pPr>
    </w:p>
    <w:p w14:paraId="71FFB675">
      <w:pPr>
        <w:pStyle w:val="7"/>
        <w:spacing w:before="93"/>
        <w:rPr>
          <w:rFonts w:hAnsi="Calibri" w:cs="仿宋"/>
          <w:sz w:val="32"/>
          <w:szCs w:val="32"/>
        </w:rPr>
      </w:pPr>
    </w:p>
    <w:p w14:paraId="222B5F5A">
      <w:pPr>
        <w:pStyle w:val="7"/>
        <w:spacing w:before="93"/>
        <w:rPr>
          <w:rFonts w:hAnsi="Calibri" w:cs="仿宋"/>
          <w:sz w:val="32"/>
          <w:szCs w:val="32"/>
        </w:rPr>
      </w:pPr>
    </w:p>
    <w:p w14:paraId="0C276A14">
      <w:pPr>
        <w:pStyle w:val="7"/>
        <w:spacing w:before="93"/>
        <w:rPr>
          <w:rFonts w:hAnsi="Calibri" w:cs="仿宋"/>
          <w:sz w:val="32"/>
          <w:szCs w:val="32"/>
        </w:rPr>
      </w:pPr>
    </w:p>
    <w:p w14:paraId="2F9FF9F9">
      <w:pPr>
        <w:pStyle w:val="7"/>
        <w:spacing w:before="93"/>
        <w:rPr>
          <w:rFonts w:hAnsi="Calibri" w:cs="仿宋"/>
          <w:sz w:val="32"/>
          <w:szCs w:val="32"/>
        </w:rPr>
      </w:pPr>
    </w:p>
    <w:p w14:paraId="05EE94ED">
      <w:pPr>
        <w:pStyle w:val="7"/>
        <w:spacing w:before="93"/>
        <w:rPr>
          <w:rFonts w:hAnsi="Calibri" w:cs="仿宋"/>
          <w:sz w:val="32"/>
          <w:szCs w:val="32"/>
        </w:rPr>
      </w:pPr>
    </w:p>
    <w:p w14:paraId="5C78577A">
      <w:pPr>
        <w:pStyle w:val="7"/>
        <w:spacing w:before="93"/>
        <w:rPr>
          <w:rFonts w:hAnsi="Calibri" w:cs="仿宋"/>
          <w:sz w:val="32"/>
          <w:szCs w:val="32"/>
        </w:rPr>
      </w:pPr>
    </w:p>
    <w:p w14:paraId="4094E290">
      <w:pPr>
        <w:pStyle w:val="7"/>
        <w:spacing w:before="93"/>
        <w:rPr>
          <w:rFonts w:hAnsi="Calibri" w:cs="仿宋"/>
          <w:sz w:val="32"/>
          <w:szCs w:val="32"/>
        </w:rPr>
      </w:pPr>
    </w:p>
    <w:p w14:paraId="3535851C">
      <w:pPr>
        <w:spacing w:line="600" w:lineRule="exact"/>
        <w:jc w:val="center"/>
        <w:outlineLvl w:val="0"/>
        <w:rPr>
          <w:rFonts w:hint="eastAsia" w:ascii="黑体" w:hAnsi="黑体" w:eastAsia="黑体"/>
          <w:sz w:val="44"/>
          <w:szCs w:val="44"/>
        </w:rPr>
      </w:pPr>
    </w:p>
    <w:p w14:paraId="2935C7A1">
      <w:pPr>
        <w:spacing w:line="600" w:lineRule="exact"/>
        <w:jc w:val="center"/>
        <w:outlineLvl w:val="0"/>
        <w:rPr>
          <w:rFonts w:ascii="仿宋" w:hAnsi="仿宋" w:eastAsia="仿宋"/>
        </w:rPr>
      </w:pPr>
      <w:r>
        <w:rPr>
          <w:rFonts w:hint="eastAsia" w:ascii="黑体" w:hAnsi="黑体" w:eastAsia="黑体"/>
          <w:sz w:val="44"/>
          <w:szCs w:val="44"/>
        </w:rPr>
        <w:t>第</w:t>
      </w:r>
      <w:r>
        <w:rPr>
          <w:rStyle w:val="20"/>
          <w:rFonts w:hint="eastAsia" w:ascii="黑体" w:hAnsi="黑体" w:eastAsia="黑体"/>
          <w:b w:val="0"/>
        </w:rPr>
        <w:t>五部分 附表</w:t>
      </w:r>
      <w:bookmarkEnd w:id="51"/>
      <w:bookmarkEnd w:id="53"/>
      <w:bookmarkStart w:id="54" w:name="_Toc15396619"/>
    </w:p>
    <w:p w14:paraId="4C72059F">
      <w:pPr>
        <w:pStyle w:val="5"/>
        <w:rPr>
          <w:rFonts w:ascii="仿宋" w:hAnsi="仿宋" w:eastAsia="仿宋"/>
        </w:rPr>
      </w:pPr>
      <w:r>
        <w:rPr>
          <w:rFonts w:hint="eastAsia" w:ascii="仿宋" w:hAnsi="仿宋" w:eastAsia="仿宋"/>
          <w:b w:val="0"/>
        </w:rPr>
        <w:t>一、收</w:t>
      </w:r>
      <w:r>
        <w:rPr>
          <w:rStyle w:val="21"/>
          <w:rFonts w:hint="eastAsia" w:ascii="仿宋" w:hAnsi="仿宋" w:eastAsia="仿宋"/>
          <w:b w:val="0"/>
          <w:bCs w:val="0"/>
        </w:rPr>
        <w:t>入支出决算总表</w:t>
      </w:r>
      <w:bookmarkEnd w:id="54"/>
    </w:p>
    <w:p w14:paraId="4B013DAE">
      <w:pPr>
        <w:pStyle w:val="5"/>
        <w:rPr>
          <w:rFonts w:ascii="仿宋" w:hAnsi="仿宋" w:eastAsia="仿宋"/>
        </w:rPr>
      </w:pPr>
      <w:bookmarkStart w:id="55" w:name="_Toc15396620"/>
      <w:r>
        <w:rPr>
          <w:rFonts w:hint="eastAsia" w:ascii="仿宋" w:hAnsi="仿宋" w:eastAsia="仿宋"/>
          <w:b w:val="0"/>
        </w:rPr>
        <w:t>二、收</w:t>
      </w:r>
      <w:r>
        <w:rPr>
          <w:rStyle w:val="21"/>
          <w:rFonts w:hint="eastAsia" w:ascii="仿宋" w:hAnsi="仿宋" w:eastAsia="仿宋"/>
          <w:b w:val="0"/>
          <w:bCs w:val="0"/>
        </w:rPr>
        <w:t>入决算表</w:t>
      </w:r>
      <w:bookmarkEnd w:id="55"/>
    </w:p>
    <w:p w14:paraId="1F9C0C09">
      <w:pPr>
        <w:pStyle w:val="5"/>
        <w:rPr>
          <w:rFonts w:ascii="仿宋" w:hAnsi="仿宋" w:eastAsia="仿宋"/>
        </w:rPr>
      </w:pPr>
      <w:bookmarkStart w:id="56" w:name="_Toc15396621"/>
      <w:r>
        <w:rPr>
          <w:rStyle w:val="21"/>
          <w:rFonts w:hint="eastAsia" w:ascii="仿宋" w:hAnsi="仿宋" w:eastAsia="仿宋"/>
          <w:b w:val="0"/>
          <w:bCs w:val="0"/>
        </w:rPr>
        <w:t>三、</w:t>
      </w:r>
      <w:r>
        <w:rPr>
          <w:rFonts w:hint="eastAsia" w:ascii="仿宋" w:hAnsi="仿宋" w:eastAsia="仿宋"/>
          <w:b w:val="0"/>
        </w:rPr>
        <w:t>支</w:t>
      </w:r>
      <w:r>
        <w:rPr>
          <w:rStyle w:val="21"/>
          <w:rFonts w:hint="eastAsia" w:ascii="仿宋" w:hAnsi="仿宋" w:eastAsia="仿宋"/>
          <w:b w:val="0"/>
          <w:bCs w:val="0"/>
        </w:rPr>
        <w:t>出决算表</w:t>
      </w:r>
      <w:bookmarkEnd w:id="56"/>
    </w:p>
    <w:p w14:paraId="78A462A4">
      <w:pPr>
        <w:pStyle w:val="5"/>
        <w:rPr>
          <w:rFonts w:ascii="仿宋" w:hAnsi="仿宋" w:eastAsia="仿宋"/>
          <w:b w:val="0"/>
        </w:rPr>
      </w:pPr>
      <w:bookmarkStart w:id="57" w:name="_Toc15396622"/>
      <w:r>
        <w:rPr>
          <w:rStyle w:val="21"/>
          <w:rFonts w:hint="eastAsia" w:ascii="仿宋" w:hAnsi="仿宋" w:eastAsia="仿宋"/>
          <w:b w:val="0"/>
          <w:bCs w:val="0"/>
        </w:rPr>
        <w:t>四、</w:t>
      </w:r>
      <w:r>
        <w:rPr>
          <w:rFonts w:hint="eastAsia" w:ascii="仿宋" w:hAnsi="仿宋" w:eastAsia="仿宋"/>
          <w:b w:val="0"/>
        </w:rPr>
        <w:t>财</w:t>
      </w:r>
      <w:r>
        <w:rPr>
          <w:rStyle w:val="21"/>
          <w:rFonts w:hint="eastAsia" w:ascii="仿宋" w:hAnsi="仿宋" w:eastAsia="仿宋"/>
          <w:b w:val="0"/>
          <w:bCs w:val="0"/>
        </w:rPr>
        <w:t>政拨款收入支出决算总表</w:t>
      </w:r>
      <w:bookmarkEnd w:id="57"/>
    </w:p>
    <w:p w14:paraId="31F2719B">
      <w:pPr>
        <w:pStyle w:val="5"/>
        <w:rPr>
          <w:rStyle w:val="21"/>
          <w:rFonts w:ascii="仿宋" w:hAnsi="仿宋" w:eastAsia="仿宋"/>
          <w:b w:val="0"/>
          <w:bCs w:val="0"/>
        </w:rPr>
      </w:pPr>
      <w:bookmarkStart w:id="58" w:name="_Toc15396623"/>
      <w:r>
        <w:rPr>
          <w:rStyle w:val="21"/>
          <w:rFonts w:hint="eastAsia" w:ascii="仿宋" w:hAnsi="仿宋" w:eastAsia="仿宋"/>
          <w:b w:val="0"/>
          <w:bCs w:val="0"/>
        </w:rPr>
        <w:t>五、</w:t>
      </w:r>
      <w:r>
        <w:rPr>
          <w:rFonts w:hint="eastAsia" w:ascii="仿宋" w:hAnsi="仿宋" w:eastAsia="仿宋"/>
          <w:b w:val="0"/>
        </w:rPr>
        <w:t>财</w:t>
      </w:r>
      <w:r>
        <w:rPr>
          <w:rStyle w:val="21"/>
          <w:rFonts w:hint="eastAsia" w:ascii="仿宋" w:hAnsi="仿宋" w:eastAsia="仿宋"/>
          <w:b w:val="0"/>
          <w:bCs w:val="0"/>
        </w:rPr>
        <w:t>政拨款支出决算明细表</w:t>
      </w:r>
      <w:bookmarkEnd w:id="58"/>
      <w:bookmarkStart w:id="59" w:name="_Toc15396624"/>
    </w:p>
    <w:p w14:paraId="0A5100B8">
      <w:pPr>
        <w:pStyle w:val="5"/>
        <w:rPr>
          <w:rFonts w:ascii="仿宋" w:hAnsi="仿宋" w:eastAsia="仿宋"/>
        </w:rPr>
      </w:pPr>
      <w:r>
        <w:rPr>
          <w:rStyle w:val="21"/>
          <w:rFonts w:hint="eastAsia" w:ascii="仿宋" w:hAnsi="仿宋" w:eastAsia="仿宋"/>
          <w:b w:val="0"/>
          <w:bCs w:val="0"/>
        </w:rPr>
        <w:t>六、</w:t>
      </w:r>
      <w:r>
        <w:rPr>
          <w:rFonts w:hint="eastAsia" w:ascii="仿宋" w:hAnsi="仿宋" w:eastAsia="仿宋"/>
          <w:b w:val="0"/>
        </w:rPr>
        <w:t>一</w:t>
      </w:r>
      <w:r>
        <w:rPr>
          <w:rStyle w:val="21"/>
          <w:rFonts w:hint="eastAsia" w:ascii="仿宋" w:hAnsi="仿宋" w:eastAsia="仿宋"/>
          <w:b w:val="0"/>
          <w:bCs w:val="0"/>
        </w:rPr>
        <w:t>般公共预算财政拨款支出决算表</w:t>
      </w:r>
      <w:bookmarkEnd w:id="59"/>
    </w:p>
    <w:p w14:paraId="5079DA24">
      <w:pPr>
        <w:pStyle w:val="5"/>
        <w:rPr>
          <w:rFonts w:ascii="仿宋" w:hAnsi="仿宋" w:eastAsia="仿宋"/>
        </w:rPr>
      </w:pPr>
      <w:bookmarkStart w:id="60" w:name="_Toc15396625"/>
      <w:r>
        <w:rPr>
          <w:rStyle w:val="21"/>
          <w:rFonts w:hint="eastAsia" w:ascii="仿宋" w:hAnsi="仿宋" w:eastAsia="仿宋"/>
          <w:b w:val="0"/>
          <w:bCs w:val="0"/>
        </w:rPr>
        <w:t>七、</w:t>
      </w:r>
      <w:r>
        <w:rPr>
          <w:rFonts w:hint="eastAsia" w:ascii="仿宋" w:hAnsi="仿宋" w:eastAsia="仿宋"/>
          <w:b w:val="0"/>
        </w:rPr>
        <w:t>一</w:t>
      </w:r>
      <w:r>
        <w:rPr>
          <w:rStyle w:val="21"/>
          <w:rFonts w:hint="eastAsia" w:ascii="仿宋" w:hAnsi="仿宋" w:eastAsia="仿宋"/>
          <w:b w:val="0"/>
          <w:bCs w:val="0"/>
        </w:rPr>
        <w:t>般公共预算财政拨款支出决算明细表</w:t>
      </w:r>
      <w:bookmarkEnd w:id="60"/>
    </w:p>
    <w:p w14:paraId="4E858A98">
      <w:pPr>
        <w:pStyle w:val="5"/>
        <w:rPr>
          <w:rFonts w:ascii="仿宋" w:hAnsi="仿宋" w:eastAsia="仿宋"/>
        </w:rPr>
      </w:pPr>
      <w:bookmarkStart w:id="61" w:name="_Toc15396626"/>
      <w:r>
        <w:rPr>
          <w:rStyle w:val="21"/>
          <w:rFonts w:hint="eastAsia" w:ascii="仿宋" w:hAnsi="仿宋" w:eastAsia="仿宋"/>
          <w:b w:val="0"/>
          <w:bCs w:val="0"/>
        </w:rPr>
        <w:t>八、</w:t>
      </w:r>
      <w:r>
        <w:rPr>
          <w:rFonts w:hint="eastAsia" w:ascii="仿宋" w:hAnsi="仿宋" w:eastAsia="仿宋"/>
          <w:b w:val="0"/>
        </w:rPr>
        <w:t>一</w:t>
      </w:r>
      <w:r>
        <w:rPr>
          <w:rStyle w:val="21"/>
          <w:rFonts w:hint="eastAsia" w:ascii="仿宋" w:hAnsi="仿宋" w:eastAsia="仿宋"/>
          <w:b w:val="0"/>
          <w:bCs w:val="0"/>
        </w:rPr>
        <w:t>般公共预算财政拨款基本支出决算表</w:t>
      </w:r>
      <w:bookmarkEnd w:id="61"/>
    </w:p>
    <w:p w14:paraId="7A495B56">
      <w:pPr>
        <w:pStyle w:val="5"/>
        <w:rPr>
          <w:rFonts w:ascii="仿宋" w:hAnsi="仿宋" w:eastAsia="仿宋"/>
        </w:rPr>
      </w:pPr>
      <w:bookmarkStart w:id="62" w:name="_Toc15396627"/>
      <w:r>
        <w:rPr>
          <w:rStyle w:val="21"/>
          <w:rFonts w:hint="eastAsia" w:ascii="仿宋" w:hAnsi="仿宋" w:eastAsia="仿宋"/>
          <w:b w:val="0"/>
          <w:bCs w:val="0"/>
        </w:rPr>
        <w:t>九、</w:t>
      </w:r>
      <w:r>
        <w:rPr>
          <w:rFonts w:hint="eastAsia" w:ascii="仿宋" w:hAnsi="仿宋" w:eastAsia="仿宋"/>
          <w:b w:val="0"/>
        </w:rPr>
        <w:t>一</w:t>
      </w:r>
      <w:r>
        <w:rPr>
          <w:rStyle w:val="21"/>
          <w:rFonts w:hint="eastAsia" w:ascii="仿宋" w:hAnsi="仿宋" w:eastAsia="仿宋"/>
          <w:b w:val="0"/>
          <w:bCs w:val="0"/>
        </w:rPr>
        <w:t>般公共预算财政拨款项目支出决算表</w:t>
      </w:r>
      <w:bookmarkEnd w:id="62"/>
    </w:p>
    <w:p w14:paraId="5D83FF62">
      <w:pPr>
        <w:pStyle w:val="5"/>
        <w:rPr>
          <w:rFonts w:ascii="仿宋" w:hAnsi="仿宋" w:eastAsia="仿宋"/>
        </w:rPr>
      </w:pPr>
      <w:bookmarkStart w:id="63" w:name="_Toc15396628"/>
      <w:r>
        <w:rPr>
          <w:rStyle w:val="21"/>
          <w:rFonts w:hint="eastAsia" w:ascii="仿宋" w:hAnsi="仿宋" w:eastAsia="仿宋"/>
          <w:b w:val="0"/>
          <w:bCs w:val="0"/>
        </w:rPr>
        <w:t>十、</w:t>
      </w:r>
      <w:bookmarkEnd w:id="63"/>
      <w:r>
        <w:rPr>
          <w:rFonts w:hint="eastAsia" w:ascii="仿宋" w:hAnsi="仿宋" w:eastAsia="仿宋"/>
          <w:b w:val="0"/>
        </w:rPr>
        <w:t>政</w:t>
      </w:r>
      <w:r>
        <w:rPr>
          <w:rStyle w:val="21"/>
          <w:rFonts w:hint="eastAsia" w:ascii="仿宋" w:hAnsi="仿宋" w:eastAsia="仿宋"/>
          <w:b w:val="0"/>
          <w:bCs w:val="0"/>
        </w:rPr>
        <w:t>府性基金预算财政拨款收入支出决算表</w:t>
      </w:r>
    </w:p>
    <w:p w14:paraId="1F1829F7">
      <w:pPr>
        <w:pStyle w:val="5"/>
        <w:rPr>
          <w:rFonts w:ascii="仿宋" w:hAnsi="仿宋" w:eastAsia="仿宋"/>
        </w:rPr>
      </w:pPr>
      <w:bookmarkStart w:id="64" w:name="_Toc15396629"/>
      <w:r>
        <w:rPr>
          <w:rStyle w:val="21"/>
          <w:rFonts w:hint="eastAsia" w:ascii="仿宋" w:hAnsi="仿宋" w:eastAsia="仿宋"/>
          <w:b w:val="0"/>
          <w:bCs w:val="0"/>
        </w:rPr>
        <w:t>十一、</w:t>
      </w:r>
      <w:bookmarkEnd w:id="64"/>
      <w:r>
        <w:rPr>
          <w:rFonts w:hint="eastAsia" w:ascii="仿宋" w:hAnsi="仿宋" w:eastAsia="仿宋"/>
          <w:b w:val="0"/>
        </w:rPr>
        <w:t>国</w:t>
      </w:r>
      <w:r>
        <w:rPr>
          <w:rStyle w:val="21"/>
          <w:rFonts w:hint="eastAsia" w:ascii="仿宋" w:hAnsi="仿宋" w:eastAsia="仿宋"/>
          <w:b w:val="0"/>
          <w:bCs w:val="0"/>
        </w:rPr>
        <w:t>有资本经营预算财政拨款收入支出决算表</w:t>
      </w:r>
    </w:p>
    <w:p w14:paraId="0372DF8F">
      <w:pPr>
        <w:pStyle w:val="5"/>
        <w:rPr>
          <w:rFonts w:ascii="仿宋" w:hAnsi="仿宋" w:eastAsia="仿宋"/>
        </w:rPr>
      </w:pPr>
      <w:bookmarkStart w:id="65" w:name="_Toc15396630"/>
      <w:r>
        <w:rPr>
          <w:rStyle w:val="21"/>
          <w:rFonts w:hint="eastAsia" w:ascii="仿宋" w:hAnsi="仿宋" w:eastAsia="仿宋"/>
          <w:b w:val="0"/>
          <w:bCs w:val="0"/>
        </w:rPr>
        <w:t>十二、</w:t>
      </w:r>
      <w:bookmarkEnd w:id="65"/>
      <w:r>
        <w:rPr>
          <w:rStyle w:val="21"/>
          <w:rFonts w:hint="eastAsia" w:ascii="仿宋" w:hAnsi="仿宋" w:eastAsia="仿宋"/>
          <w:b w:val="0"/>
          <w:bCs w:val="0"/>
        </w:rPr>
        <w:t>国有资本经营预算财政拨款支出决算表</w:t>
      </w:r>
    </w:p>
    <w:p w14:paraId="37434ACC">
      <w:pPr>
        <w:pStyle w:val="5"/>
        <w:rPr>
          <w:rFonts w:eastAsia="仿宋"/>
        </w:rPr>
      </w:pPr>
      <w:bookmarkStart w:id="66" w:name="_Toc15396631"/>
      <w:r>
        <w:rPr>
          <w:rStyle w:val="21"/>
          <w:rFonts w:hint="eastAsia" w:ascii="仿宋" w:hAnsi="仿宋" w:eastAsia="仿宋"/>
          <w:b w:val="0"/>
          <w:bCs w:val="0"/>
        </w:rPr>
        <w:t>十三、</w:t>
      </w:r>
      <w:bookmarkEnd w:id="66"/>
      <w:r>
        <w:rPr>
          <w:rStyle w:val="21"/>
          <w:rFonts w:hint="eastAsia" w:ascii="仿宋" w:hAnsi="仿宋" w:eastAsia="仿宋"/>
          <w:b w:val="0"/>
          <w:bCs w:val="0"/>
        </w:rPr>
        <w:t>财政拨款“三公”经费支出决算表</w:t>
      </w:r>
    </w:p>
    <w:p w14:paraId="0C8F6C58">
      <w:pPr>
        <w:pStyle w:val="5"/>
        <w:rPr>
          <w:rFonts w:eastAsia="仿宋"/>
        </w:rPr>
      </w:pPr>
      <w:bookmarkStart w:id="67" w:name="_GoBack"/>
      <w:bookmarkEnd w:id="67"/>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79A22">
    <w:pPr>
      <w:pStyle w:val="10"/>
      <w:jc w:val="center"/>
    </w:pPr>
    <w:r>
      <w:fldChar w:fldCharType="begin"/>
    </w:r>
    <w:r>
      <w:instrText xml:space="preserve">PAGE   \* MERGEFORMAT</w:instrText>
    </w:r>
    <w:r>
      <w:fldChar w:fldCharType="separate"/>
    </w:r>
    <w:r>
      <w:rPr>
        <w:lang w:val="zh-CN"/>
      </w:rPr>
      <w:t>15</w:t>
    </w:r>
    <w:r>
      <w:fldChar w:fldCharType="end"/>
    </w:r>
  </w:p>
  <w:p w14:paraId="04E193BE">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E942E">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
    <w:nsid w:val="3818A09A"/>
    <w:multiLevelType w:val="singleLevel"/>
    <w:tmpl w:val="3818A09A"/>
    <w:lvl w:ilvl="0" w:tentative="0">
      <w:start w:val="1"/>
      <w:numFmt w:val="chineseCounting"/>
      <w:suff w:val="nothing"/>
      <w:lvlText w:val="%1、"/>
      <w:lvlJc w:val="left"/>
      <w:rPr>
        <w:rFonts w:hint="eastAsia"/>
      </w:rPr>
    </w:lvl>
  </w:abstractNum>
  <w:abstractNum w:abstractNumId="4">
    <w:nsid w:val="73DBF29D"/>
    <w:multiLevelType w:val="singleLevel"/>
    <w:tmpl w:val="73DBF29D"/>
    <w:lvl w:ilvl="0" w:tentative="0">
      <w:start w:val="1"/>
      <w:numFmt w:val="decimal"/>
      <w:lvlText w:val="%1."/>
      <w:lvlJc w:val="left"/>
      <w:pPr>
        <w:tabs>
          <w:tab w:val="left" w:pos="312"/>
        </w:tabs>
      </w:pPr>
    </w:lvl>
  </w:abstractNum>
  <w:num w:numId="1">
    <w:abstractNumId w:val="3"/>
  </w:num>
  <w:num w:numId="2">
    <w:abstractNumId w:val="2"/>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MzMDFjNDRiNDI1ZjdjOWYyNTYzY2ViNmU5OWEwMmQifQ=="/>
  </w:docVars>
  <w:rsids>
    <w:rsidRoot w:val="00172A27"/>
    <w:rsid w:val="023E056C"/>
    <w:rsid w:val="08E4264E"/>
    <w:rsid w:val="09FB33BD"/>
    <w:rsid w:val="146A79E0"/>
    <w:rsid w:val="258F5DCF"/>
    <w:rsid w:val="32A66D30"/>
    <w:rsid w:val="40B96A80"/>
    <w:rsid w:val="4B2D5366"/>
    <w:rsid w:val="4DF947AF"/>
    <w:rsid w:val="6C366168"/>
    <w:rsid w:val="723D360C"/>
    <w:rsid w:val="745B7B5D"/>
    <w:rsid w:val="7827374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rPr>
  </w:style>
  <w:style w:type="paragraph" w:styleId="4">
    <w:name w:val="heading 1"/>
    <w:basedOn w:val="1"/>
    <w:next w:val="1"/>
    <w:link w:val="20"/>
    <w:qFormat/>
    <w:uiPriority w:val="0"/>
    <w:pPr>
      <w:keepNext/>
      <w:keepLines/>
      <w:spacing w:before="340" w:beforeLines="0" w:after="330" w:afterLines="0" w:line="578" w:lineRule="auto"/>
      <w:outlineLvl w:val="0"/>
    </w:pPr>
    <w:rPr>
      <w:rFonts w:ascii="Times New Roman" w:hAnsi="Times New Roman"/>
      <w:b/>
      <w:bCs/>
      <w:kern w:val="44"/>
      <w:sz w:val="44"/>
      <w:szCs w:val="44"/>
    </w:rPr>
  </w:style>
  <w:style w:type="paragraph" w:styleId="5">
    <w:name w:val="heading 2"/>
    <w:basedOn w:val="1"/>
    <w:next w:val="1"/>
    <w:link w:val="21"/>
    <w:qFormat/>
    <w:uiPriority w:val="0"/>
    <w:pPr>
      <w:keepNext/>
      <w:keepLines/>
      <w:spacing w:before="260" w:beforeLines="0" w:after="260" w:afterLines="0" w:line="416" w:lineRule="auto"/>
      <w:outlineLvl w:val="1"/>
    </w:pPr>
    <w:rPr>
      <w:rFonts w:ascii="Cambria" w:hAnsi="Cambria" w:eastAsia="宋体" w:cs="黑体"/>
      <w:b/>
      <w:bCs/>
      <w:kern w:val="2"/>
      <w:sz w:val="32"/>
      <w:szCs w:val="32"/>
    </w:rPr>
  </w:style>
  <w:style w:type="paragraph" w:styleId="6">
    <w:name w:val="heading 3"/>
    <w:basedOn w:val="1"/>
    <w:next w:val="1"/>
    <w:link w:val="22"/>
    <w:uiPriority w:val="0"/>
    <w:pPr>
      <w:keepNext/>
      <w:keepLines/>
      <w:spacing w:before="260" w:beforeLines="0" w:after="260" w:afterLines="0" w:line="416" w:lineRule="auto"/>
      <w:outlineLvl w:val="2"/>
    </w:pPr>
    <w:rPr>
      <w:rFonts w:ascii="Times New Roman" w:hAnsi="Times New Roman"/>
      <w:b/>
      <w:bCs/>
      <w:kern w:val="2"/>
      <w:sz w:val="32"/>
      <w:szCs w:val="32"/>
    </w:rPr>
  </w:style>
  <w:style w:type="character" w:default="1" w:styleId="17">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2">
    <w:name w:val="Body Text First Indent 2"/>
    <w:basedOn w:val="3"/>
    <w:unhideWhenUsed/>
    <w:qFormat/>
    <w:uiPriority w:val="99"/>
    <w:pPr>
      <w:ind w:firstLine="420" w:firstLineChars="200"/>
    </w:pPr>
  </w:style>
  <w:style w:type="paragraph" w:styleId="3">
    <w:name w:val="Body Text Indent"/>
    <w:basedOn w:val="1"/>
    <w:qFormat/>
    <w:uiPriority w:val="0"/>
    <w:pPr>
      <w:spacing w:after="120"/>
      <w:ind w:left="200" w:leftChars="200"/>
    </w:pPr>
    <w:rPr>
      <w:rFonts w:ascii="仿宋_GB2312"/>
      <w:szCs w:val="32"/>
    </w:rPr>
  </w:style>
  <w:style w:type="paragraph" w:styleId="7">
    <w:name w:val="Body Text"/>
    <w:basedOn w:val="1"/>
    <w:link w:val="23"/>
    <w:qFormat/>
    <w:uiPriority w:val="0"/>
    <w:pPr>
      <w:spacing w:before="93" w:beforeLines="30"/>
    </w:pPr>
    <w:rPr>
      <w:rFonts w:ascii="仿宋_GB2312" w:hAnsi="Times New Roman" w:eastAsia="仿宋_GB2312"/>
      <w:sz w:val="24"/>
    </w:rPr>
  </w:style>
  <w:style w:type="paragraph" w:styleId="8">
    <w:name w:val="toc 3"/>
    <w:basedOn w:val="1"/>
    <w:next w:val="1"/>
    <w:qFormat/>
    <w:uiPriority w:val="0"/>
    <w:pPr>
      <w:tabs>
        <w:tab w:val="right" w:leader="dot" w:pos="8296"/>
      </w:tabs>
      <w:ind w:left="840" w:leftChars="400"/>
    </w:pPr>
  </w:style>
  <w:style w:type="paragraph" w:styleId="9">
    <w:name w:val="Balloon Text"/>
    <w:basedOn w:val="1"/>
    <w:link w:val="24"/>
    <w:qFormat/>
    <w:uiPriority w:val="0"/>
    <w:rPr>
      <w:rFonts w:ascii="Times New Roman" w:hAnsi="Times New Roman"/>
      <w:kern w:val="2"/>
      <w:sz w:val="18"/>
      <w:szCs w:val="18"/>
    </w:rPr>
  </w:style>
  <w:style w:type="paragraph" w:styleId="10">
    <w:name w:val="footer"/>
    <w:basedOn w:val="1"/>
    <w:link w:val="25"/>
    <w:qFormat/>
    <w:uiPriority w:val="0"/>
    <w:pPr>
      <w:tabs>
        <w:tab w:val="center" w:pos="4153"/>
        <w:tab w:val="right" w:pos="8306"/>
      </w:tabs>
      <w:snapToGrid w:val="0"/>
      <w:jc w:val="left"/>
    </w:pPr>
    <w:rPr>
      <w:sz w:val="18"/>
    </w:rPr>
  </w:style>
  <w:style w:type="paragraph" w:styleId="11">
    <w:name w:val="header"/>
    <w:basedOn w:val="1"/>
    <w:link w:val="26"/>
    <w:qFormat/>
    <w:uiPriority w:val="0"/>
    <w:pPr>
      <w:pBdr>
        <w:bottom w:val="single" w:color="auto" w:sz="6" w:space="1"/>
      </w:pBdr>
      <w:tabs>
        <w:tab w:val="center" w:pos="4153"/>
        <w:tab w:val="right" w:pos="8306"/>
      </w:tabs>
      <w:snapToGrid w:val="0"/>
      <w:jc w:val="center"/>
    </w:pPr>
    <w:rPr>
      <w:sz w:val="18"/>
    </w:rPr>
  </w:style>
  <w:style w:type="paragraph" w:styleId="12">
    <w:name w:val="toc 1"/>
    <w:basedOn w:val="1"/>
    <w:next w:val="1"/>
    <w:qFormat/>
    <w:uiPriority w:val="0"/>
    <w:pPr>
      <w:tabs>
        <w:tab w:val="right" w:leader="dot" w:pos="8296"/>
      </w:tabs>
      <w:spacing w:before="93" w:beforeLines="0"/>
      <w:jc w:val="center"/>
    </w:pPr>
    <w:rPr>
      <w:rFonts w:ascii="仿宋" w:hAnsi="仿宋" w:eastAsia="仿宋"/>
      <w:sz w:val="28"/>
      <w:szCs w:val="28"/>
    </w:rPr>
  </w:style>
  <w:style w:type="paragraph" w:styleId="13">
    <w:name w:val="table of figures"/>
    <w:basedOn w:val="1"/>
    <w:next w:val="1"/>
    <w:qFormat/>
    <w:uiPriority w:val="0"/>
    <w:pPr>
      <w:ind w:leftChars="200" w:hanging="200" w:hangingChars="200"/>
    </w:pPr>
  </w:style>
  <w:style w:type="paragraph" w:styleId="14">
    <w:name w:val="toc 2"/>
    <w:basedOn w:val="1"/>
    <w:next w:val="1"/>
    <w:qFormat/>
    <w:uiPriority w:val="0"/>
    <w:pPr>
      <w:tabs>
        <w:tab w:val="right" w:leader="dot" w:pos="8296"/>
      </w:tabs>
      <w:ind w:left="420" w:leftChars="200"/>
    </w:p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Strong"/>
    <w:basedOn w:val="17"/>
    <w:qFormat/>
    <w:uiPriority w:val="0"/>
    <w:rPr>
      <w:b/>
    </w:rPr>
  </w:style>
  <w:style w:type="character" w:styleId="19">
    <w:name w:val="Hyperlink"/>
    <w:basedOn w:val="17"/>
    <w:qFormat/>
    <w:uiPriority w:val="0"/>
    <w:rPr>
      <w:color w:val="0000FF"/>
      <w:u w:val="single"/>
    </w:rPr>
  </w:style>
  <w:style w:type="character" w:customStyle="1" w:styleId="20">
    <w:name w:val="标题 1 字符"/>
    <w:basedOn w:val="17"/>
    <w:link w:val="4"/>
    <w:qFormat/>
    <w:uiPriority w:val="0"/>
    <w:rPr>
      <w:rFonts w:ascii="Times New Roman" w:hAnsi="Times New Roman"/>
      <w:b/>
      <w:bCs/>
      <w:kern w:val="44"/>
      <w:sz w:val="44"/>
      <w:szCs w:val="44"/>
    </w:rPr>
  </w:style>
  <w:style w:type="character" w:customStyle="1" w:styleId="21">
    <w:name w:val="标题 2 字符"/>
    <w:basedOn w:val="17"/>
    <w:link w:val="5"/>
    <w:qFormat/>
    <w:uiPriority w:val="0"/>
    <w:rPr>
      <w:rFonts w:ascii="Cambria" w:hAnsi="Cambria" w:eastAsia="宋体" w:cs="黑体"/>
      <w:b/>
      <w:bCs/>
      <w:kern w:val="2"/>
      <w:sz w:val="32"/>
      <w:szCs w:val="32"/>
    </w:rPr>
  </w:style>
  <w:style w:type="character" w:customStyle="1" w:styleId="22">
    <w:name w:val="标题 3 字符"/>
    <w:basedOn w:val="17"/>
    <w:link w:val="6"/>
    <w:qFormat/>
    <w:uiPriority w:val="0"/>
    <w:rPr>
      <w:rFonts w:ascii="Times New Roman" w:hAnsi="Times New Roman"/>
      <w:b/>
      <w:bCs/>
      <w:kern w:val="2"/>
      <w:sz w:val="32"/>
      <w:szCs w:val="32"/>
    </w:rPr>
  </w:style>
  <w:style w:type="character" w:customStyle="1" w:styleId="23">
    <w:name w:val="正文文本 字符"/>
    <w:link w:val="7"/>
    <w:qFormat/>
    <w:uiPriority w:val="0"/>
    <w:rPr>
      <w:rFonts w:ascii="仿宋_GB2312" w:hAnsi="Times New Roman" w:eastAsia="仿宋_GB2312"/>
      <w:sz w:val="24"/>
    </w:rPr>
  </w:style>
  <w:style w:type="character" w:customStyle="1" w:styleId="24">
    <w:name w:val="批注框文本 字符"/>
    <w:basedOn w:val="17"/>
    <w:link w:val="9"/>
    <w:qFormat/>
    <w:uiPriority w:val="0"/>
    <w:rPr>
      <w:rFonts w:ascii="Times New Roman" w:hAnsi="Times New Roman"/>
      <w:kern w:val="2"/>
      <w:sz w:val="18"/>
      <w:szCs w:val="18"/>
    </w:rPr>
  </w:style>
  <w:style w:type="character" w:customStyle="1" w:styleId="25">
    <w:name w:val="页脚 字符"/>
    <w:link w:val="10"/>
    <w:qFormat/>
    <w:uiPriority w:val="0"/>
    <w:rPr>
      <w:sz w:val="18"/>
    </w:rPr>
  </w:style>
  <w:style w:type="character" w:customStyle="1" w:styleId="26">
    <w:name w:val="页眉 字符"/>
    <w:link w:val="11"/>
    <w:qFormat/>
    <w:uiPriority w:val="0"/>
    <w:rPr>
      <w:sz w:val="18"/>
    </w:rPr>
  </w:style>
  <w:style w:type="character" w:customStyle="1" w:styleId="27">
    <w:name w:val="Body Text Char"/>
    <w:basedOn w:val="17"/>
    <w:qFormat/>
    <w:uiPriority w:val="0"/>
    <w:rPr>
      <w:rFonts w:ascii="Times New Roman" w:hAnsi="Times New Roman"/>
      <w:szCs w:val="24"/>
    </w:rPr>
  </w:style>
  <w:style w:type="character" w:customStyle="1" w:styleId="28">
    <w:name w:val="Header Char"/>
    <w:basedOn w:val="17"/>
    <w:qFormat/>
    <w:uiPriority w:val="0"/>
    <w:rPr>
      <w:rFonts w:ascii="Times New Roman" w:hAnsi="Times New Roman"/>
      <w:sz w:val="18"/>
      <w:szCs w:val="18"/>
    </w:rPr>
  </w:style>
  <w:style w:type="character" w:customStyle="1" w:styleId="29">
    <w:name w:val="Footer Char"/>
    <w:basedOn w:val="17"/>
    <w:qFormat/>
    <w:uiPriority w:val="0"/>
    <w:rPr>
      <w:rFonts w:ascii="Times New Roman" w:hAnsi="Times New Roman"/>
      <w:sz w:val="18"/>
      <w:szCs w:val="18"/>
    </w:rPr>
  </w:style>
  <w:style w:type="character" w:customStyle="1" w:styleId="30">
    <w:name w:val="15"/>
    <w:basedOn w:val="17"/>
    <w:qFormat/>
    <w:uiPriority w:val="0"/>
    <w:rPr>
      <w:rFonts w:hint="default" w:ascii="Times New Roman" w:hAnsi="Times New Roman" w:cs="Times New Roman"/>
      <w:b/>
    </w:rPr>
  </w:style>
  <w:style w:type="paragraph" w:customStyle="1" w:styleId="31">
    <w:name w:val="TOC 标题2"/>
    <w:basedOn w:val="4"/>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32">
    <w:name w:val="Body Text Indent"/>
    <w:basedOn w:val="1"/>
    <w:qFormat/>
    <w:uiPriority w:val="0"/>
    <w:pPr>
      <w:spacing w:after="120" w:afterLines="0"/>
      <w:ind w:left="200" w:leftChars="200"/>
    </w:pPr>
    <w:rPr>
      <w:rFonts w:ascii="仿宋_GB2312"/>
      <w:szCs w:val="32"/>
    </w:rPr>
  </w:style>
  <w:style w:type="paragraph" w:customStyle="1" w:styleId="33">
    <w:name w:val="Body Text First Indent 2"/>
    <w:basedOn w:val="32"/>
    <w:qFormat/>
    <w:uiPriority w:val="0"/>
    <w:pPr>
      <w:ind w:firstLine="420" w:firstLineChars="200"/>
    </w:pPr>
  </w:style>
  <w:style w:type="paragraph" w:customStyle="1" w:styleId="34">
    <w:name w:val="标题 5（有编号）（绿盟科技）"/>
    <w:next w:val="1"/>
    <w:qFormat/>
    <w:uiPriority w:val="0"/>
    <w:pPr>
      <w:keepNext/>
      <w:keepLines/>
      <w:widowControl w:val="0"/>
      <w:spacing w:before="280" w:beforeLines="0" w:after="156" w:afterLines="0" w:line="377" w:lineRule="auto"/>
      <w:outlineLvl w:val="4"/>
    </w:pPr>
    <w:rPr>
      <w:rFonts w:ascii="Arial" w:hAnsi="Arial" w:eastAsia="黑体" w:cs="Times New Roman"/>
      <w:b/>
      <w:kern w:val="2"/>
      <w:sz w:val="24"/>
      <w:szCs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 w:type="paragraph" w:customStyle="1" w:styleId="36">
    <w:name w:val="List Paragraph"/>
    <w:basedOn w:val="1"/>
    <w:qFormat/>
    <w:uiPriority w:val="0"/>
    <w:pPr>
      <w:ind w:firstLine="420" w:firstLineChars="200"/>
    </w:pPr>
  </w:style>
  <w:style w:type="paragraph" w:customStyle="1" w:styleId="37">
    <w:name w:val="WPSOffice手动目录 2"/>
    <w:qFormat/>
    <w:uiPriority w:val="0"/>
    <w:pPr>
      <w:ind w:leftChars="200"/>
    </w:pPr>
    <w:rPr>
      <w:rFonts w:ascii="Times New Roman" w:hAnsi="Times New Roman" w:eastAsia="宋体" w:cs="Times New Roman"/>
      <w:sz w:val="20"/>
      <w:szCs w:val="20"/>
    </w:rPr>
  </w:style>
  <w:style w:type="paragraph" w:customStyle="1" w:styleId="38">
    <w:name w:val="Default"/>
    <w:qFormat/>
    <w:uiPriority w:val="0"/>
    <w:pPr>
      <w:widowControl w:val="0"/>
      <w:autoSpaceDE w:val="0"/>
      <w:autoSpaceDN w:val="0"/>
      <w:adjustRightInd w:val="0"/>
    </w:pPr>
    <w:rPr>
      <w:rFonts w:ascii="仿宋" w:hAnsi="Calibri" w:eastAsia="仿宋" w:cs="仿宋"/>
      <w:color w:val="000000"/>
      <w:sz w:val="24"/>
      <w:szCs w:val="24"/>
    </w:rPr>
  </w:style>
  <w:style w:type="paragraph" w:customStyle="1" w:styleId="39">
    <w:name w:val="TOC 标题1"/>
    <w:basedOn w:val="4"/>
    <w:next w:val="1"/>
    <w:qFormat/>
    <w:uiPriority w:val="0"/>
    <w:pPr>
      <w:widowControl/>
      <w:spacing w:before="480" w:beforeLines="0" w:after="0" w:afterLines="0" w:line="276" w:lineRule="auto"/>
      <w:jc w:val="left"/>
      <w:outlineLvl w:val="9"/>
    </w:pPr>
    <w:rPr>
      <w:rFonts w:ascii="Cambria" w:hAnsi="Cambria" w:eastAsia="宋体" w:cs="黑体"/>
      <w:color w:val="365F90"/>
      <w:kern w:val="0"/>
      <w:sz w:val="28"/>
      <w:szCs w:val="28"/>
    </w:rPr>
  </w:style>
  <w:style w:type="paragraph" w:customStyle="1" w:styleId="40">
    <w:name w:val="普通(网站) Char"/>
    <w:basedOn w:val="1"/>
    <w:qFormat/>
    <w:uiPriority w:val="0"/>
    <w:pPr>
      <w:spacing w:before="100" w:beforeAutospacing="1" w:after="100" w:afterAutospacing="1"/>
      <w:ind w:left="0" w:right="0"/>
      <w:jc w:val="left"/>
    </w:pPr>
    <w:rPr>
      <w:rFonts w:hint="eastAsia" w:ascii="宋体" w:hAnsi="宋体" w:eastAsia="宋体" w:cs="宋体"/>
      <w:kern w:val="0"/>
      <w:sz w:val="24"/>
      <w:szCs w:val="24"/>
      <w:lang w:val="en-US" w:eastAsia="zh-CN" w:bidi="ar"/>
    </w:rPr>
  </w:style>
  <w:style w:type="paragraph" w:customStyle="1" w:styleId="41">
    <w:name w:val="四号正文"/>
    <w:basedOn w:val="1"/>
    <w:qFormat/>
    <w:uiPriority w:val="0"/>
    <w:pPr>
      <w:spacing w:line="360" w:lineRule="auto"/>
    </w:pPr>
    <w:rPr>
      <w:rFonts w:ascii="??" w:hAnsi="??"/>
      <w:color w:val="000000"/>
      <w:kern w:val="0"/>
      <w:sz w:val="28"/>
      <w:szCs w:val="21"/>
      <w:lang w:val="zh-CN"/>
    </w:rPr>
  </w:style>
  <w:style w:type="paragraph" w:customStyle="1" w:styleId="42">
    <w:name w:val="常用样式（方正仿宋简）"/>
    <w:basedOn w:val="1"/>
    <w:qFormat/>
    <w:uiPriority w:val="0"/>
    <w:pPr>
      <w:spacing w:before="0" w:beforeAutospacing="0" w:after="0" w:afterAutospacing="0" w:line="560" w:lineRule="exact"/>
      <w:ind w:left="0" w:right="0" w:firstLine="640" w:firstLineChars="200"/>
      <w:jc w:val="left"/>
    </w:pPr>
    <w:rPr>
      <w:rFonts w:hint="default" w:ascii="Times New Roman" w:hAnsi="Times New Roman" w:eastAsia="方正仿宋简体" w:cs="宋体"/>
      <w:kern w:val="0"/>
      <w:sz w:val="32"/>
      <w:szCs w:val="32"/>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四川省财政厅</Company>
  <Pages>19</Pages>
  <Words>16128</Words>
  <Characters>17361</Characters>
  <Lines>54</Lines>
  <Paragraphs>15</Paragraphs>
  <TotalTime>0</TotalTime>
  <ScaleCrop>false</ScaleCrop>
  <LinksUpToDate>false</LinksUpToDate>
  <CharactersWithSpaces>17427</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2020-08-08T01:49:00Z</dcterms:created>
  <dc:creator>曹颖</dc:creator>
  <cp:lastModifiedBy>奕夕^_^</cp:lastModifiedBy>
  <cp:lastPrinted>2023-08-03T02:35:00Z</cp:lastPrinted>
  <dcterms:modified xsi:type="dcterms:W3CDTF">2024-09-19T08:28:59Z</dcterms:modified>
  <dc:title>342438005@qq.com</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D8A32AB990944A658D2128B53D9A7735_13</vt:lpwstr>
  </property>
</Properties>
</file>