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EB637F">
      <w:pPr>
        <w:spacing w:line="600" w:lineRule="exact"/>
        <w:jc w:val="left"/>
        <w:outlineLvl w:val="0"/>
        <w:rPr>
          <w:rFonts w:ascii="方正小标宋简体" w:hAnsi="宋体" w:eastAsia="方正小标宋简体"/>
          <w:szCs w:val="21"/>
        </w:rPr>
      </w:pPr>
      <w:bookmarkStart w:id="0" w:name="_Toc15306267"/>
    </w:p>
    <w:p w14:paraId="72C81300">
      <w:pPr>
        <w:pStyle w:val="6"/>
        <w:spacing w:before="93"/>
      </w:pPr>
    </w:p>
    <w:p w14:paraId="7D515CF3">
      <w:pPr>
        <w:spacing w:line="600" w:lineRule="exact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</w:p>
    <w:p w14:paraId="6797CF1E">
      <w:pPr>
        <w:spacing w:line="600" w:lineRule="exact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</w:p>
    <w:p w14:paraId="2CB80EDF"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72"/>
          <w:szCs w:val="72"/>
        </w:rPr>
      </w:pPr>
      <w:bookmarkStart w:id="1" w:name="_Toc15377425"/>
      <w:bookmarkStart w:id="2" w:name="_Toc15377193"/>
      <w:bookmarkStart w:id="3" w:name="_Toc15396475"/>
      <w:bookmarkStart w:id="4" w:name="_Toc15396597"/>
      <w:bookmarkStart w:id="5" w:name="_Toc15378441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2023年度</w:t>
      </w:r>
      <w:bookmarkEnd w:id="1"/>
      <w:bookmarkEnd w:id="2"/>
      <w:bookmarkEnd w:id="3"/>
      <w:bookmarkEnd w:id="4"/>
      <w:bookmarkEnd w:id="5"/>
    </w:p>
    <w:p w14:paraId="2B6246F4"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bookmarkStart w:id="6" w:name="_Toc15396598"/>
      <w:bookmarkStart w:id="7" w:name="_Toc15396476"/>
      <w:bookmarkStart w:id="8" w:name="_Toc15377426"/>
      <w:bookmarkStart w:id="9" w:name="_Toc15378442"/>
      <w:bookmarkStart w:id="10" w:name="_Toc15377194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四川省</w:t>
      </w:r>
      <w:bookmarkEnd w:id="0"/>
      <w:bookmarkStart w:id="11" w:name="_Toc15306268"/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阿坝州</w:t>
      </w:r>
      <w:bookmarkStart w:id="67" w:name="_GoBack"/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松潘县劳动人事争议仲裁院单位决算</w:t>
      </w:r>
      <w:bookmarkEnd w:id="6"/>
      <w:bookmarkEnd w:id="7"/>
      <w:bookmarkEnd w:id="8"/>
      <w:bookmarkEnd w:id="9"/>
      <w:bookmarkEnd w:id="10"/>
      <w:bookmarkEnd w:id="11"/>
    </w:p>
    <w:bookmarkEnd w:id="67"/>
    <w:p w14:paraId="1DC91480"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宋体" w:eastAsia="方正小标宋简体"/>
          <w:sz w:val="52"/>
          <w:szCs w:val="52"/>
        </w:rPr>
      </w:pPr>
    </w:p>
    <w:p w14:paraId="438908B0">
      <w:pPr>
        <w:widowControl/>
        <w:jc w:val="center"/>
        <w:rPr>
          <w:rFonts w:ascii="黑体" w:hAnsi="黑体" w:eastAsia="黑体"/>
          <w:sz w:val="48"/>
          <w:szCs w:val="48"/>
        </w:rPr>
      </w:pPr>
      <w:r>
        <w:rPr>
          <w:rFonts w:ascii="方正小标宋简体" w:hAnsi="宋体" w:eastAsia="方正小标宋简体"/>
          <w:sz w:val="36"/>
          <w:szCs w:val="36"/>
        </w:rPr>
        <w:br w:type="page"/>
      </w:r>
      <w:r>
        <w:rPr>
          <w:rFonts w:hint="eastAsia" w:ascii="黑体" w:hAnsi="黑体" w:eastAsia="黑体"/>
          <w:sz w:val="48"/>
          <w:szCs w:val="48"/>
        </w:rPr>
        <w:t>目录</w:t>
      </w:r>
    </w:p>
    <w:p w14:paraId="1C7CCBE6">
      <w:pPr>
        <w:widowControl/>
        <w:jc w:val="center"/>
        <w:rPr>
          <w:rFonts w:ascii="黑体" w:hAnsi="黑体" w:eastAsia="黑体" w:cstheme="minorBidi"/>
          <w:sz w:val="28"/>
          <w:szCs w:val="28"/>
        </w:rPr>
      </w:pPr>
    </w:p>
    <w:p w14:paraId="3953DE22">
      <w:pPr>
        <w:pStyle w:val="12"/>
      </w:pPr>
      <w:r>
        <w:rPr>
          <w:rFonts w:hint="eastAsia"/>
        </w:rPr>
        <w:t>公开时间：202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年9月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p w14:paraId="1B9CFA02"/>
    <w:p w14:paraId="0ED44DC4">
      <w:pPr>
        <w:pStyle w:val="12"/>
        <w:adjustRightInd w:val="0"/>
        <w:snapToGrid w:val="0"/>
        <w:spacing w:before="0" w:line="440" w:lineRule="exact"/>
        <w:jc w:val="left"/>
        <w:rPr>
          <w:rFonts w:cstheme="minorBidi"/>
          <w:sz w:val="24"/>
          <w:szCs w:val="24"/>
        </w:rPr>
      </w:pPr>
      <w:r>
        <w:rPr>
          <w:rFonts w:hint="eastAsia"/>
          <w:sz w:val="24"/>
        </w:rPr>
        <w:t>第一部分</w:t>
      </w:r>
      <w:r>
        <w:rPr>
          <w:sz w:val="24"/>
        </w:rPr>
        <w:t xml:space="preserve"> </w:t>
      </w:r>
      <w:r>
        <w:rPr>
          <w:rFonts w:hint="eastAsia"/>
          <w:sz w:val="24"/>
        </w:rPr>
        <w:t>单位概况</w:t>
      </w:r>
    </w:p>
    <w:p w14:paraId="108D49E4">
      <w:pPr>
        <w:pStyle w:val="13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一、主要职责</w:t>
      </w:r>
    </w:p>
    <w:p w14:paraId="2990F19D">
      <w:pPr>
        <w:pStyle w:val="13"/>
        <w:adjustRightInd w:val="0"/>
        <w:snapToGrid w:val="0"/>
        <w:spacing w:line="440" w:lineRule="exact"/>
        <w:jc w:val="left"/>
      </w:pPr>
      <w:r>
        <w:rPr>
          <w:rFonts w:hint="eastAsia"/>
          <w:sz w:val="24"/>
        </w:rPr>
        <w:t>二、机构设置</w:t>
      </w:r>
    </w:p>
    <w:p w14:paraId="7B0E20FD">
      <w:pPr>
        <w:pStyle w:val="12"/>
        <w:adjustRightInd w:val="0"/>
        <w:snapToGrid w:val="0"/>
        <w:spacing w:before="0" w:line="440" w:lineRule="exact"/>
        <w:jc w:val="left"/>
        <w:rPr>
          <w:sz w:val="24"/>
          <w:szCs w:val="24"/>
        </w:rPr>
      </w:pPr>
      <w:r>
        <w:rPr>
          <w:rFonts w:hint="eastAsia"/>
          <w:sz w:val="24"/>
        </w:rPr>
        <w:t>第二部分 2023年度单位决算情况说明</w:t>
      </w:r>
    </w:p>
    <w:p w14:paraId="6392DBFC">
      <w:pPr>
        <w:pStyle w:val="13"/>
        <w:adjustRightInd w:val="0"/>
        <w:snapToGrid w:val="0"/>
        <w:spacing w:line="440" w:lineRule="exact"/>
        <w:jc w:val="left"/>
        <w:rPr>
          <w:rFonts w:ascii="仿宋" w:hAnsi="仿宋" w:eastAsia="仿宋" w:cstheme="minorBidi"/>
          <w:sz w:val="24"/>
        </w:rPr>
      </w:pPr>
      <w:r>
        <w:rPr>
          <w:rFonts w:hint="eastAsia"/>
          <w:sz w:val="24"/>
        </w:rPr>
        <w:t>一、收入支出决算总体情况说明</w:t>
      </w:r>
    </w:p>
    <w:p w14:paraId="57F682B4">
      <w:pPr>
        <w:pStyle w:val="13"/>
        <w:adjustRightInd w:val="0"/>
        <w:snapToGrid w:val="0"/>
        <w:spacing w:line="440" w:lineRule="exact"/>
        <w:jc w:val="left"/>
        <w:rPr>
          <w:rFonts w:ascii="仿宋" w:hAnsi="仿宋" w:eastAsia="仿宋" w:cstheme="minorBidi"/>
          <w:sz w:val="24"/>
        </w:rPr>
      </w:pPr>
      <w:r>
        <w:rPr>
          <w:rFonts w:hint="eastAsia"/>
          <w:sz w:val="24"/>
        </w:rPr>
        <w:t>二、收入决算情况说明</w:t>
      </w:r>
    </w:p>
    <w:p w14:paraId="35E85FD7">
      <w:pPr>
        <w:pStyle w:val="13"/>
        <w:adjustRightInd w:val="0"/>
        <w:snapToGrid w:val="0"/>
        <w:spacing w:line="440" w:lineRule="exact"/>
        <w:jc w:val="left"/>
        <w:rPr>
          <w:rFonts w:ascii="仿宋" w:hAnsi="仿宋" w:eastAsia="仿宋" w:cstheme="minorBidi"/>
          <w:sz w:val="24"/>
        </w:rPr>
      </w:pPr>
      <w:r>
        <w:rPr>
          <w:rFonts w:hint="eastAsia"/>
          <w:sz w:val="24"/>
        </w:rPr>
        <w:t>三、支出决算情况说明</w:t>
      </w:r>
    </w:p>
    <w:p w14:paraId="718C9B93">
      <w:pPr>
        <w:pStyle w:val="13"/>
        <w:adjustRightInd w:val="0"/>
        <w:snapToGrid w:val="0"/>
        <w:spacing w:line="440" w:lineRule="exact"/>
        <w:jc w:val="left"/>
        <w:rPr>
          <w:rFonts w:ascii="仿宋" w:hAnsi="仿宋" w:eastAsia="仿宋" w:cstheme="minorBidi"/>
          <w:sz w:val="24"/>
        </w:rPr>
      </w:pPr>
      <w:r>
        <w:rPr>
          <w:rFonts w:hint="eastAsia"/>
          <w:sz w:val="24"/>
        </w:rPr>
        <w:t>四、财政拨款收入支出决算总体情况说明</w:t>
      </w:r>
    </w:p>
    <w:p w14:paraId="4C709589">
      <w:pPr>
        <w:pStyle w:val="13"/>
        <w:adjustRightInd w:val="0"/>
        <w:snapToGrid w:val="0"/>
        <w:spacing w:line="440" w:lineRule="exact"/>
        <w:jc w:val="left"/>
        <w:rPr>
          <w:rFonts w:ascii="仿宋" w:hAnsi="仿宋" w:eastAsia="仿宋" w:cstheme="minorBidi"/>
          <w:sz w:val="24"/>
        </w:rPr>
      </w:pPr>
      <w:r>
        <w:rPr>
          <w:rFonts w:hint="eastAsia"/>
          <w:sz w:val="24"/>
        </w:rPr>
        <w:t>五、一般公共预算财政拨款支出决算情况说明</w:t>
      </w:r>
    </w:p>
    <w:p w14:paraId="7AE6D636">
      <w:pPr>
        <w:pStyle w:val="13"/>
        <w:adjustRightInd w:val="0"/>
        <w:snapToGrid w:val="0"/>
        <w:spacing w:line="440" w:lineRule="exact"/>
        <w:jc w:val="left"/>
        <w:rPr>
          <w:rFonts w:ascii="仿宋" w:hAnsi="仿宋" w:eastAsia="仿宋" w:cstheme="minorBidi"/>
          <w:sz w:val="24"/>
        </w:rPr>
      </w:pPr>
      <w:r>
        <w:rPr>
          <w:rFonts w:hint="eastAsia"/>
          <w:sz w:val="24"/>
        </w:rPr>
        <w:t>六、一般公共预算财政拨款基本支出决算情况说明</w:t>
      </w:r>
    </w:p>
    <w:p w14:paraId="5EE883D5">
      <w:pPr>
        <w:pStyle w:val="13"/>
        <w:adjustRightInd w:val="0"/>
        <w:snapToGrid w:val="0"/>
        <w:spacing w:line="440" w:lineRule="exact"/>
        <w:jc w:val="left"/>
        <w:rPr>
          <w:rFonts w:ascii="仿宋" w:hAnsi="仿宋" w:eastAsia="仿宋" w:cstheme="minorBidi"/>
          <w:sz w:val="24"/>
        </w:rPr>
      </w:pPr>
      <w:r>
        <w:rPr>
          <w:rFonts w:hint="eastAsia"/>
          <w:sz w:val="24"/>
        </w:rPr>
        <w:t>七、财政拨款“三公”经费支出决算情况说明</w:t>
      </w:r>
    </w:p>
    <w:p w14:paraId="5B0C7F14">
      <w:pPr>
        <w:pStyle w:val="13"/>
        <w:adjustRightInd w:val="0"/>
        <w:snapToGrid w:val="0"/>
        <w:spacing w:line="440" w:lineRule="exact"/>
        <w:jc w:val="left"/>
        <w:rPr>
          <w:rFonts w:ascii="仿宋" w:hAnsi="仿宋" w:eastAsia="仿宋" w:cstheme="minorBidi"/>
          <w:sz w:val="24"/>
        </w:rPr>
      </w:pPr>
      <w:r>
        <w:rPr>
          <w:rFonts w:hint="eastAsia"/>
          <w:sz w:val="24"/>
        </w:rPr>
        <w:t>八、政府性基金预算支出决算情况说明</w:t>
      </w:r>
    </w:p>
    <w:p w14:paraId="7312EFE9">
      <w:pPr>
        <w:pStyle w:val="13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九、国有资本经营预算支出决算情况说明</w:t>
      </w:r>
    </w:p>
    <w:p w14:paraId="56D7DF82">
      <w:pPr>
        <w:pStyle w:val="13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十、其他重要事项的情况说明</w:t>
      </w:r>
    </w:p>
    <w:p w14:paraId="1DA39862">
      <w:pPr>
        <w:pStyle w:val="12"/>
        <w:adjustRightInd w:val="0"/>
        <w:snapToGrid w:val="0"/>
        <w:spacing w:before="0" w:line="440" w:lineRule="exact"/>
        <w:jc w:val="left"/>
        <w:rPr>
          <w:rFonts w:cstheme="minorBidi"/>
          <w:sz w:val="24"/>
          <w:szCs w:val="24"/>
        </w:rPr>
      </w:pPr>
      <w:r>
        <w:rPr>
          <w:rFonts w:hint="eastAsia"/>
          <w:sz w:val="24"/>
        </w:rPr>
        <w:t>第三部分</w:t>
      </w:r>
      <w:r>
        <w:rPr>
          <w:sz w:val="24"/>
        </w:rPr>
        <w:t xml:space="preserve"> </w:t>
      </w:r>
      <w:r>
        <w:rPr>
          <w:rFonts w:hint="eastAsia"/>
          <w:sz w:val="24"/>
        </w:rPr>
        <w:t>名词解释</w:t>
      </w:r>
    </w:p>
    <w:p w14:paraId="7806C32B">
      <w:pPr>
        <w:pStyle w:val="12"/>
        <w:adjustRightInd w:val="0"/>
        <w:snapToGrid w:val="0"/>
        <w:spacing w:before="0" w:line="440" w:lineRule="exact"/>
        <w:jc w:val="left"/>
        <w:rPr>
          <w:rFonts w:cstheme="minorBidi"/>
          <w:sz w:val="24"/>
          <w:szCs w:val="24"/>
        </w:rPr>
      </w:pPr>
      <w:r>
        <w:rPr>
          <w:rFonts w:hint="eastAsia"/>
          <w:sz w:val="24"/>
        </w:rPr>
        <w:t>第四部分</w:t>
      </w:r>
      <w:r>
        <w:rPr>
          <w:sz w:val="24"/>
        </w:rPr>
        <w:t xml:space="preserve"> </w:t>
      </w:r>
      <w:r>
        <w:rPr>
          <w:rFonts w:hint="eastAsia"/>
          <w:sz w:val="24"/>
        </w:rPr>
        <w:t>附件</w:t>
      </w:r>
    </w:p>
    <w:p w14:paraId="0576FAA7">
      <w:pPr>
        <w:pStyle w:val="12"/>
        <w:adjustRightInd w:val="0"/>
        <w:snapToGrid w:val="0"/>
        <w:spacing w:before="0" w:line="440" w:lineRule="exact"/>
        <w:jc w:val="left"/>
        <w:rPr>
          <w:rFonts w:cstheme="minorBidi"/>
          <w:sz w:val="24"/>
          <w:szCs w:val="24"/>
        </w:rPr>
      </w:pPr>
      <w:r>
        <w:rPr>
          <w:rFonts w:hint="eastAsia"/>
          <w:sz w:val="24"/>
        </w:rPr>
        <w:t>第五部分</w:t>
      </w:r>
      <w:r>
        <w:rPr>
          <w:sz w:val="24"/>
        </w:rPr>
        <w:t xml:space="preserve"> </w:t>
      </w:r>
      <w:r>
        <w:rPr>
          <w:rFonts w:hint="eastAsia"/>
          <w:sz w:val="24"/>
        </w:rPr>
        <w:t>附表</w:t>
      </w:r>
    </w:p>
    <w:p w14:paraId="31C13CE6">
      <w:pPr>
        <w:pStyle w:val="13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一、收入支出决算总表</w:t>
      </w:r>
    </w:p>
    <w:p w14:paraId="4C540512">
      <w:pPr>
        <w:pStyle w:val="13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二、收入决算表</w:t>
      </w:r>
    </w:p>
    <w:p w14:paraId="3F25202A">
      <w:pPr>
        <w:pStyle w:val="13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三、支出决算表</w:t>
      </w:r>
    </w:p>
    <w:p w14:paraId="19CD17AE">
      <w:pPr>
        <w:pStyle w:val="13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四、财政拨款收入支出决算总表</w:t>
      </w:r>
    </w:p>
    <w:p w14:paraId="72A455C7">
      <w:pPr>
        <w:pStyle w:val="13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五、财政拨款支出决算明细表</w:t>
      </w:r>
    </w:p>
    <w:p w14:paraId="6A99837B">
      <w:pPr>
        <w:pStyle w:val="13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六、一般公共预算财政拨款支出决算表</w:t>
      </w:r>
    </w:p>
    <w:p w14:paraId="3AEA98A8">
      <w:pPr>
        <w:pStyle w:val="13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七、一般公共预算财政拨款支出决算明细表</w:t>
      </w:r>
    </w:p>
    <w:p w14:paraId="58618226">
      <w:pPr>
        <w:pStyle w:val="13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八、一般公共预算财政拨款基本支出决算明细表</w:t>
      </w:r>
    </w:p>
    <w:p w14:paraId="6F77D6B4">
      <w:pPr>
        <w:pStyle w:val="13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九、一般公共预算财政拨款项目支出决算表</w:t>
      </w:r>
    </w:p>
    <w:p w14:paraId="23E39E28">
      <w:pPr>
        <w:pStyle w:val="13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十、政府性基金预算财政拨款收入支出决算表</w:t>
      </w:r>
    </w:p>
    <w:p w14:paraId="5F03D8A8">
      <w:pPr>
        <w:pStyle w:val="13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十一、国有资本经营预算财政拨款收入支出决算表</w:t>
      </w:r>
    </w:p>
    <w:p w14:paraId="10CF218E">
      <w:pPr>
        <w:pStyle w:val="13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十二、国有资本经营预算财政拨款支出决算表</w:t>
      </w:r>
    </w:p>
    <w:p w14:paraId="1CD4756B">
      <w:pPr>
        <w:pStyle w:val="13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十三、财政拨款“三公”经费支出决算表</w:t>
      </w:r>
    </w:p>
    <w:p w14:paraId="39F8B04A">
      <w:pPr>
        <w:widowControl/>
        <w:adjustRightInd w:val="0"/>
        <w:snapToGrid w:val="0"/>
        <w:spacing w:line="440" w:lineRule="exact"/>
        <w:ind w:firstLine="1320" w:firstLineChars="55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（</w:t>
      </w:r>
      <w:r>
        <w:rPr>
          <w:rFonts w:ascii="仿宋" w:hAnsi="仿宋" w:eastAsia="仿宋"/>
          <w:sz w:val="24"/>
        </w:rPr>
        <w:t>注：</w:t>
      </w:r>
      <w:r>
        <w:rPr>
          <w:rFonts w:hint="eastAsia" w:ascii="仿宋" w:hAnsi="仿宋" w:eastAsia="仿宋"/>
          <w:sz w:val="24"/>
        </w:rPr>
        <w:t>请单位根据实际注明页码</w:t>
      </w:r>
      <w:r>
        <w:rPr>
          <w:rFonts w:hint="eastAsia" w:ascii="仿宋" w:hAnsi="仿宋" w:eastAsia="仿宋"/>
          <w:sz w:val="24"/>
          <w:lang w:eastAsia="zh-CN"/>
        </w:rPr>
        <w:t>）</w:t>
      </w:r>
    </w:p>
    <w:p w14:paraId="2F259E38">
      <w:pPr>
        <w:widowControl/>
        <w:spacing w:line="440" w:lineRule="exact"/>
        <w:jc w:val="left"/>
        <w:rPr>
          <w:rFonts w:ascii="仿宋" w:hAnsi="仿宋" w:eastAsia="仿宋"/>
          <w:bCs/>
          <w:kern w:val="44"/>
          <w:sz w:val="24"/>
        </w:rPr>
      </w:pPr>
      <w:bookmarkStart w:id="12" w:name="_Toc15396599"/>
      <w:bookmarkStart w:id="13" w:name="_Toc15377196"/>
      <w:r>
        <w:rPr>
          <w:rFonts w:ascii="仿宋" w:hAnsi="仿宋" w:eastAsia="仿宋"/>
          <w:b/>
          <w:sz w:val="24"/>
        </w:rPr>
        <w:br w:type="page"/>
      </w:r>
    </w:p>
    <w:p w14:paraId="1CC44858">
      <w:pPr>
        <w:pStyle w:val="3"/>
        <w:jc w:val="center"/>
        <w:rPr>
          <w:rStyle w:val="20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20"/>
          <w:rFonts w:hint="eastAsia" w:ascii="黑体" w:hAnsi="黑体" w:eastAsia="黑体"/>
          <w:b w:val="0"/>
          <w:bCs w:val="0"/>
        </w:rPr>
        <w:t>概况</w:t>
      </w:r>
      <w:bookmarkEnd w:id="12"/>
      <w:bookmarkEnd w:id="13"/>
    </w:p>
    <w:p w14:paraId="7DEB4149">
      <w:pPr>
        <w:widowControl/>
        <w:jc w:val="left"/>
        <w:rPr>
          <w:rFonts w:ascii="黑体" w:eastAsia="黑体"/>
          <w:sz w:val="32"/>
          <w:szCs w:val="32"/>
        </w:rPr>
      </w:pPr>
    </w:p>
    <w:p w14:paraId="1890FB23">
      <w:pPr>
        <w:pStyle w:val="4"/>
        <w:numPr>
          <w:ilvl w:val="0"/>
          <w:numId w:val="1"/>
        </w:numPr>
        <w:rPr>
          <w:rStyle w:val="21"/>
          <w:rFonts w:ascii="黑体" w:hAnsi="黑体" w:eastAsia="黑体"/>
          <w:b w:val="0"/>
          <w:bCs w:val="0"/>
        </w:rPr>
      </w:pPr>
      <w:bookmarkStart w:id="14" w:name="_Toc15396600"/>
      <w:bookmarkStart w:id="15" w:name="_Toc15377197"/>
      <w:r>
        <w:rPr>
          <w:rStyle w:val="21"/>
          <w:rFonts w:hint="eastAsia" w:ascii="黑体" w:hAnsi="黑体" w:eastAsia="黑体"/>
          <w:b w:val="0"/>
          <w:bCs w:val="0"/>
        </w:rPr>
        <w:t>主要职责</w:t>
      </w:r>
    </w:p>
    <w:p w14:paraId="0C40DD80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统筹拟订和实施全县劳动、人事争议调解仲裁工作规划和相关规定，指导和协调全县劳动、人事争议调解仲裁工作，指导开展全县劳动、人事争议预防工作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；</w:t>
      </w:r>
    </w:p>
    <w:p w14:paraId="3E206195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负责松潘县劳动人事争议仲裁院的日常工作，依法组织协调处理重大劳动、人事争议案件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；</w:t>
      </w:r>
    </w:p>
    <w:p w14:paraId="178F0EE9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负责仲裁员的培训、考核工作，根据办案需要组成仲裁庭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；</w:t>
      </w:r>
    </w:p>
    <w:p w14:paraId="11E3BA8E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4.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接待有关劳动人事争议预防和处理方面的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法律法规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、政策咨询，对企业及其职工开展劳动人事争议预防和处理方面的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法律法规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、政策知识宣传和培训，指导全县境内的企业、个体经济组织、民办非企业单位、国家机关、事业单位、社会团体依法用工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；</w:t>
      </w:r>
    </w:p>
    <w:p w14:paraId="2AA8EB5D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5.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对全县劳动人事争议案件依法进行调解和仲裁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；</w:t>
      </w:r>
    </w:p>
    <w:p w14:paraId="3A7CBD29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6.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参与涉及劳动人事突发事件，群体、疑难及重大案件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；</w:t>
      </w:r>
    </w:p>
    <w:p w14:paraId="11803D34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7.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负责管理劳动人事争议仲裁院的文书、档案、印鉴及全县劳动、人事争议处理情况的统计分析和上报工作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；</w:t>
      </w:r>
    </w:p>
    <w:p w14:paraId="788CB3D9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8.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负责县属用人单位及省、州属驻我县单位劳动人事争议调解组织的业务指导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；</w:t>
      </w:r>
    </w:p>
    <w:p w14:paraId="7FF4E9C7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9.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指导辖区内企业劳动争议调解委员会开展工作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；</w:t>
      </w:r>
    </w:p>
    <w:p w14:paraId="4D3CDF48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10.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承担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县委、县政府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以及州、县人力资源和社会保障局交办的其他工作事项。</w:t>
      </w:r>
    </w:p>
    <w:p w14:paraId="1C85AD5D"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bookmarkEnd w:id="14"/>
    <w:bookmarkEnd w:id="15"/>
    <w:p w14:paraId="6EE5B3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我县劳动争议仲裁院设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个职能股室。</w:t>
      </w:r>
    </w:p>
    <w:p w14:paraId="5FC14665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Times New Roman" w:eastAsia="楷体_GB2312" w:cs="楷体_GB2312"/>
          <w:b/>
          <w:bCs/>
          <w:kern w:val="0"/>
          <w:sz w:val="32"/>
          <w:szCs w:val="32"/>
          <w:shd w:val="clear" w:fill="FFFFFF"/>
        </w:rPr>
        <w:t>一</w:t>
      </w:r>
      <w:r>
        <w:rPr>
          <w:rFonts w:hint="eastAsia" w:ascii="楷体_GB2312" w:hAnsi="Times New Roman" w:eastAsia="楷体_GB2312" w:cs="楷体_GB2312"/>
          <w:b/>
          <w:bCs/>
          <w:kern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Times New Roman" w:eastAsia="楷体_GB2312" w:cs="楷体_GB2312"/>
          <w:b/>
          <w:bCs/>
          <w:kern w:val="0"/>
          <w:sz w:val="32"/>
          <w:szCs w:val="32"/>
          <w:shd w:val="clear" w:fill="FFFFFF"/>
        </w:rPr>
        <w:t>综合股。</w:t>
      </w:r>
    </w:p>
    <w:p w14:paraId="7A88A908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负责劳动争议案件登记、审查、受理和立案工作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；</w:t>
      </w:r>
    </w:p>
    <w:p w14:paraId="347093E9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负责立案前的劳动争议案件的案前调解工作，做好调解记录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；</w:t>
      </w:r>
    </w:p>
    <w:p w14:paraId="5B05F437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负责对案件当事人进行劳动保障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法律法规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和政策的宣传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；</w:t>
      </w:r>
    </w:p>
    <w:p w14:paraId="35A57CB8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4.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负责松潘县劳动人事争议仲裁院内外协调、财务管理、信息、统计等日常事务和后勤服务工作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；</w:t>
      </w:r>
    </w:p>
    <w:p w14:paraId="1DD878D9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Times New Roman" w:eastAsia="楷体_GB2312" w:cs="楷体_GB2312"/>
          <w:b/>
          <w:bCs/>
          <w:kern w:val="0"/>
          <w:sz w:val="32"/>
          <w:szCs w:val="32"/>
          <w:shd w:val="clear" w:fill="FFFFFF"/>
        </w:rPr>
        <w:t>二</w:t>
      </w:r>
      <w:r>
        <w:rPr>
          <w:rFonts w:hint="eastAsia" w:ascii="楷体_GB2312" w:hAnsi="Times New Roman" w:eastAsia="楷体_GB2312" w:cs="楷体_GB2312"/>
          <w:b/>
          <w:bCs/>
          <w:kern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Times New Roman" w:eastAsia="楷体_GB2312" w:cs="楷体_GB2312"/>
          <w:b/>
          <w:bCs/>
          <w:kern w:val="0"/>
          <w:sz w:val="32"/>
          <w:szCs w:val="32"/>
          <w:shd w:val="clear" w:fill="FFFFFF"/>
        </w:rPr>
        <w:t>仲裁庭。</w:t>
      </w:r>
    </w:p>
    <w:p w14:paraId="5144AF4C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按照《劳动人事争议仲裁办案规则》要求，主要负责对劳动关系、劳动报酬、劳动保护、经济补偿等方面应当受理的劳动争议案件的审理工作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；</w:t>
      </w:r>
    </w:p>
    <w:p w14:paraId="7443443F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按照《劳动人事争议仲裁办案规则》要求，主要负责对社会保险、工伤医疗费、培训、辞职、离职等方面应当受理的劳动争议案件的审理工作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；</w:t>
      </w:r>
    </w:p>
    <w:p w14:paraId="11E95CA3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承担法律文书的校对、装订、送达、案卷材料的整理、归档和保管工作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eastAsia="zh-CN"/>
        </w:rPr>
        <w:t>；</w:t>
      </w:r>
    </w:p>
    <w:p w14:paraId="6C161500">
      <w:pPr>
        <w:widowControl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 w14:paraId="1C824EA9">
      <w:pPr>
        <w:pStyle w:val="3"/>
        <w:ind w:right="440"/>
        <w:jc w:val="center"/>
        <w:rPr>
          <w:rStyle w:val="20"/>
          <w:rFonts w:ascii="黑体" w:hAnsi="黑体" w:eastAsia="黑体"/>
          <w:b w:val="0"/>
          <w:bCs/>
        </w:rPr>
      </w:pPr>
      <w:bookmarkStart w:id="16" w:name="_Toc15377204"/>
      <w:bookmarkStart w:id="17" w:name="_Toc15396602"/>
      <w:r>
        <w:rPr>
          <w:rFonts w:hint="eastAsia" w:ascii="黑体" w:hAnsi="黑体" w:eastAsia="黑体"/>
          <w:b w:val="0"/>
        </w:rPr>
        <w:t>第二部分 2023年度</w:t>
      </w:r>
      <w:r>
        <w:rPr>
          <w:rStyle w:val="20"/>
          <w:rFonts w:hint="eastAsia" w:ascii="黑体" w:hAnsi="黑体" w:eastAsia="黑体"/>
          <w:b w:val="0"/>
          <w:bCs/>
        </w:rPr>
        <w:t>单位决算情况说明</w:t>
      </w:r>
      <w:bookmarkEnd w:id="16"/>
      <w:bookmarkEnd w:id="17"/>
    </w:p>
    <w:p w14:paraId="3CA0F738"/>
    <w:p w14:paraId="310B1A76">
      <w:pPr>
        <w:pStyle w:val="36"/>
        <w:numPr>
          <w:ilvl w:val="0"/>
          <w:numId w:val="2"/>
        </w:numPr>
        <w:spacing w:line="600" w:lineRule="exact"/>
        <w:ind w:firstLineChars="0"/>
        <w:outlineLvl w:val="1"/>
        <w:rPr>
          <w:rStyle w:val="21"/>
          <w:rFonts w:ascii="黑体" w:hAnsi="黑体" w:eastAsia="黑体"/>
          <w:b w:val="0"/>
        </w:rPr>
      </w:pPr>
      <w:bookmarkStart w:id="18" w:name="_Toc15377205"/>
      <w:bookmarkStart w:id="19" w:name="_Toc15396603"/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21"/>
          <w:rFonts w:hint="eastAsia" w:ascii="黑体" w:hAnsi="黑体" w:eastAsia="黑体"/>
          <w:b w:val="0"/>
        </w:rPr>
        <w:t>入支出决算总体情况说明</w:t>
      </w:r>
      <w:bookmarkEnd w:id="18"/>
      <w:bookmarkEnd w:id="19"/>
    </w:p>
    <w:p w14:paraId="3E17632F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2023年度收、支总计均为</w:t>
      </w:r>
      <w:r>
        <w:rPr>
          <w:rFonts w:hint="eastAsia" w:ascii="仿宋" w:hAnsi="仿宋" w:eastAsia="仿宋"/>
          <w:b/>
          <w:sz w:val="32"/>
          <w:szCs w:val="32"/>
        </w:rPr>
        <w:t>181.76</w:t>
      </w:r>
      <w:r>
        <w:rPr>
          <w:rFonts w:hint="eastAsia" w:ascii="仿宋" w:hAnsi="仿宋" w:eastAsia="仿宋"/>
          <w:sz w:val="32"/>
          <w:szCs w:val="32"/>
        </w:rPr>
        <w:t>万元。与2022年度相比，收、支总计各减少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0.18</w:t>
      </w:r>
      <w:r>
        <w:rPr>
          <w:rFonts w:hint="eastAsia" w:ascii="仿宋" w:hAnsi="仿宋" w:eastAsia="仿宋"/>
          <w:sz w:val="32"/>
          <w:szCs w:val="32"/>
        </w:rPr>
        <w:t>万元，下降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0.1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。主要变动原因是</w:t>
      </w:r>
      <w:r>
        <w:rPr>
          <w:rFonts w:hint="eastAsia" w:ascii="仿宋" w:hAnsi="仿宋" w:eastAsia="仿宋"/>
          <w:sz w:val="32"/>
          <w:szCs w:val="32"/>
          <w:lang w:eastAsia="zh-CN"/>
        </w:rPr>
        <w:t>节约开支，公用经费压缩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9130AB6">
      <w:pPr>
        <w:pStyle w:val="36"/>
        <w:numPr>
          <w:ilvl w:val="0"/>
          <w:numId w:val="2"/>
        </w:numPr>
        <w:spacing w:line="600" w:lineRule="exact"/>
        <w:ind w:firstLineChars="0"/>
        <w:outlineLvl w:val="1"/>
        <w:rPr>
          <w:rStyle w:val="21"/>
          <w:rFonts w:ascii="黑体" w:hAnsi="黑体" w:eastAsia="黑体"/>
          <w:b w:val="0"/>
        </w:rPr>
      </w:pPr>
      <w:bookmarkStart w:id="20" w:name="_Toc15377206"/>
      <w:bookmarkStart w:id="21" w:name="_Toc15396604"/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21"/>
          <w:rFonts w:hint="eastAsia" w:ascii="黑体" w:hAnsi="黑体" w:eastAsia="黑体"/>
          <w:b w:val="0"/>
        </w:rPr>
        <w:t>入决算情况说明</w:t>
      </w:r>
      <w:bookmarkEnd w:id="20"/>
      <w:bookmarkEnd w:id="21"/>
    </w:p>
    <w:p w14:paraId="51EE80F9">
      <w:pPr>
        <w:spacing w:line="60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2023年度本年收入合计</w:t>
      </w:r>
      <w:r>
        <w:rPr>
          <w:rFonts w:ascii="仿宋" w:hAnsi="仿宋" w:eastAsia="仿宋"/>
          <w:b/>
          <w:sz w:val="32"/>
          <w:szCs w:val="32"/>
        </w:rPr>
        <w:t>181.76</w:t>
      </w:r>
      <w:r>
        <w:rPr>
          <w:rFonts w:hint="eastAsia" w:ascii="仿宋" w:hAnsi="仿宋" w:eastAsia="仿宋"/>
          <w:sz w:val="32"/>
          <w:szCs w:val="32"/>
        </w:rPr>
        <w:t>万元，其中：一般公共预算财政拨款收入</w:t>
      </w:r>
      <w:r>
        <w:rPr>
          <w:rFonts w:ascii="仿宋" w:hAnsi="仿宋" w:eastAsia="仿宋"/>
          <w:b/>
          <w:sz w:val="32"/>
          <w:szCs w:val="32"/>
        </w:rPr>
        <w:t>181.76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b/>
          <w:sz w:val="32"/>
          <w:szCs w:val="32"/>
        </w:rPr>
        <w:t>100%</w:t>
      </w:r>
      <w:r>
        <w:rPr>
          <w:rFonts w:hint="eastAsia" w:ascii="仿宋" w:hAnsi="仿宋" w:eastAsia="仿宋"/>
          <w:sz w:val="32"/>
          <w:szCs w:val="32"/>
        </w:rPr>
        <w:t>；政府性基金预算财政拨款收入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；国有资本经营预算财政拨款收入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；上级补助收入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0%</w:t>
      </w:r>
      <w:r>
        <w:rPr>
          <w:rFonts w:hint="eastAsia" w:ascii="仿宋" w:hAnsi="仿宋" w:eastAsia="仿宋"/>
          <w:sz w:val="32"/>
          <w:szCs w:val="32"/>
        </w:rPr>
        <w:t>；事业收入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；经营收入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；附属单位上缴收入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；其他收入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%</w:t>
      </w:r>
    </w:p>
    <w:p w14:paraId="2B3F0B48">
      <w:pPr>
        <w:spacing w:line="600" w:lineRule="exact"/>
        <w:ind w:firstLine="643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（注：数据来源于财决</w:t>
      </w:r>
      <w:r>
        <w:rPr>
          <w:rFonts w:ascii="仿宋" w:hAnsi="仿宋" w:eastAsia="仿宋"/>
          <w:b/>
          <w:sz w:val="32"/>
          <w:szCs w:val="32"/>
        </w:rPr>
        <w:t>01表</w:t>
      </w:r>
      <w:r>
        <w:rPr>
          <w:rFonts w:hint="eastAsia" w:ascii="仿宋" w:hAnsi="仿宋" w:eastAsia="仿宋"/>
          <w:b/>
          <w:sz w:val="32"/>
          <w:szCs w:val="32"/>
        </w:rPr>
        <w:t>，仅罗列本单位涉及的收入。</w:t>
      </w:r>
      <w:r>
        <w:rPr>
          <w:rFonts w:ascii="仿宋" w:hAnsi="仿宋" w:eastAsia="仿宋"/>
          <w:b/>
          <w:sz w:val="32"/>
          <w:szCs w:val="32"/>
        </w:rPr>
        <w:t>）</w:t>
      </w:r>
    </w:p>
    <w:p w14:paraId="308AD9FF">
      <w:pPr>
        <w:pStyle w:val="36"/>
        <w:numPr>
          <w:ilvl w:val="0"/>
          <w:numId w:val="2"/>
        </w:numPr>
        <w:spacing w:line="600" w:lineRule="exact"/>
        <w:ind w:firstLineChars="0"/>
        <w:outlineLvl w:val="1"/>
        <w:rPr>
          <w:rStyle w:val="21"/>
          <w:rFonts w:ascii="黑体" w:hAnsi="黑体" w:eastAsia="黑体"/>
          <w:b w:val="0"/>
        </w:rPr>
      </w:pPr>
      <w:bookmarkStart w:id="22" w:name="_Toc15396605"/>
      <w:bookmarkStart w:id="23" w:name="_Toc15377207"/>
      <w:r>
        <w:rPr>
          <w:rFonts w:hint="eastAsia" w:ascii="黑体" w:hAnsi="黑体" w:eastAsia="黑体"/>
          <w:sz w:val="32"/>
          <w:szCs w:val="32"/>
        </w:rPr>
        <w:t>支</w:t>
      </w:r>
      <w:r>
        <w:rPr>
          <w:rStyle w:val="21"/>
          <w:rFonts w:hint="eastAsia" w:ascii="黑体" w:hAnsi="黑体" w:eastAsia="黑体"/>
          <w:b w:val="0"/>
        </w:rPr>
        <w:t>出决算情况说明</w:t>
      </w:r>
      <w:bookmarkEnd w:id="22"/>
      <w:bookmarkEnd w:id="23"/>
    </w:p>
    <w:p w14:paraId="5FFB8ADD">
      <w:pPr>
        <w:spacing w:line="60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2023年度本年支出合计</w:t>
      </w:r>
      <w:r>
        <w:rPr>
          <w:rFonts w:ascii="仿宋" w:hAnsi="仿宋" w:eastAsia="仿宋"/>
          <w:b/>
          <w:sz w:val="32"/>
          <w:szCs w:val="32"/>
        </w:rPr>
        <w:t>181.76</w:t>
      </w:r>
      <w:r>
        <w:rPr>
          <w:rFonts w:hint="eastAsia" w:ascii="仿宋" w:hAnsi="仿宋" w:eastAsia="仿宋"/>
          <w:sz w:val="32"/>
          <w:szCs w:val="32"/>
        </w:rPr>
        <w:t>万元，其中：基本支出</w:t>
      </w:r>
      <w:r>
        <w:rPr>
          <w:rFonts w:ascii="仿宋" w:hAnsi="仿宋" w:eastAsia="仿宋"/>
          <w:b/>
          <w:sz w:val="32"/>
          <w:szCs w:val="32"/>
        </w:rPr>
        <w:t>181.76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b/>
          <w:sz w:val="32"/>
          <w:szCs w:val="32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；项目支出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；上缴上级支出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b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；经营支出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；对附属单位补助支出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D45A1DA">
      <w:pPr>
        <w:spacing w:line="600" w:lineRule="exact"/>
        <w:ind w:firstLine="643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（注：数据来源于财决</w:t>
      </w:r>
      <w:r>
        <w:rPr>
          <w:rFonts w:ascii="仿宋" w:hAnsi="仿宋" w:eastAsia="仿宋"/>
          <w:b/>
          <w:sz w:val="32"/>
          <w:szCs w:val="32"/>
        </w:rPr>
        <w:t>04</w:t>
      </w:r>
      <w:r>
        <w:rPr>
          <w:rFonts w:hint="eastAsia" w:ascii="仿宋" w:hAnsi="仿宋" w:eastAsia="仿宋"/>
          <w:b/>
          <w:sz w:val="32"/>
          <w:szCs w:val="32"/>
        </w:rPr>
        <w:t>表，仅罗列本单位涉及的支出。）</w:t>
      </w:r>
    </w:p>
    <w:p w14:paraId="0D3D38AB">
      <w:pPr>
        <w:spacing w:line="600" w:lineRule="exact"/>
        <w:ind w:firstLine="640" w:firstLineChars="200"/>
        <w:outlineLvl w:val="1"/>
        <w:rPr>
          <w:rStyle w:val="21"/>
          <w:rFonts w:ascii="黑体" w:hAnsi="黑体" w:eastAsia="黑体"/>
          <w:b w:val="0"/>
        </w:rPr>
      </w:pPr>
      <w:bookmarkStart w:id="24" w:name="_Toc15396606"/>
      <w:bookmarkStart w:id="25" w:name="_Toc15377208"/>
      <w:r>
        <w:rPr>
          <w:rFonts w:hint="eastAsia" w:ascii="黑体" w:hAnsi="黑体" w:eastAsia="黑体"/>
          <w:sz w:val="32"/>
          <w:szCs w:val="32"/>
        </w:rPr>
        <w:t>四、财</w:t>
      </w:r>
      <w:r>
        <w:rPr>
          <w:rStyle w:val="21"/>
          <w:rFonts w:hint="eastAsia" w:ascii="黑体" w:hAnsi="黑体" w:eastAsia="黑体"/>
          <w:b w:val="0"/>
        </w:rPr>
        <w:t>政拨款收入支出决算总体情况说明</w:t>
      </w:r>
      <w:bookmarkEnd w:id="24"/>
      <w:bookmarkEnd w:id="25"/>
    </w:p>
    <w:p w14:paraId="3069A5C4"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2023年度财政拨款收、支总计均为</w:t>
      </w:r>
      <w:r>
        <w:rPr>
          <w:rFonts w:ascii="仿宋" w:hAnsi="仿宋" w:eastAsia="仿宋"/>
          <w:b/>
          <w:sz w:val="32"/>
          <w:szCs w:val="32"/>
        </w:rPr>
        <w:t>181.76</w:t>
      </w:r>
      <w:r>
        <w:rPr>
          <w:rFonts w:hint="eastAsia" w:ascii="仿宋" w:hAnsi="仿宋" w:eastAsia="仿宋"/>
          <w:sz w:val="32"/>
          <w:szCs w:val="32"/>
        </w:rPr>
        <w:t>万元。与2022年度相比，财政拨款收、支总计各减少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0.18</w:t>
      </w:r>
      <w:r>
        <w:rPr>
          <w:rFonts w:hint="eastAsia" w:ascii="仿宋" w:hAnsi="仿宋" w:eastAsia="仿宋"/>
          <w:sz w:val="32"/>
          <w:szCs w:val="32"/>
        </w:rPr>
        <w:t>万元，下降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0.1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。主要变动原因是</w:t>
      </w:r>
      <w:r>
        <w:rPr>
          <w:rFonts w:hint="eastAsia" w:ascii="仿宋" w:hAnsi="仿宋" w:eastAsia="仿宋"/>
          <w:sz w:val="32"/>
          <w:szCs w:val="32"/>
          <w:lang w:eastAsia="zh-CN"/>
        </w:rPr>
        <w:t>节约开支，公用经费压缩。</w:t>
      </w:r>
    </w:p>
    <w:p w14:paraId="463FCD1A">
      <w:pPr>
        <w:spacing w:line="600" w:lineRule="exact"/>
        <w:ind w:firstLine="64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（注：数据来源于财决</w:t>
      </w:r>
      <w:r>
        <w:rPr>
          <w:rFonts w:ascii="仿宋" w:hAnsi="仿宋" w:eastAsia="仿宋"/>
          <w:b/>
          <w:sz w:val="32"/>
          <w:szCs w:val="32"/>
        </w:rPr>
        <w:t>01-1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>）</w:t>
      </w:r>
    </w:p>
    <w:p w14:paraId="2F775AB2">
      <w:pPr>
        <w:spacing w:line="600" w:lineRule="exact"/>
        <w:ind w:firstLine="640" w:firstLineChars="200"/>
        <w:outlineLvl w:val="1"/>
        <w:rPr>
          <w:rStyle w:val="21"/>
          <w:rFonts w:ascii="黑体" w:hAnsi="黑体" w:eastAsia="黑体"/>
          <w:b w:val="0"/>
        </w:rPr>
      </w:pPr>
      <w:bookmarkStart w:id="26" w:name="_Toc15396607"/>
      <w:bookmarkStart w:id="27" w:name="_Toc15377209"/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21"/>
          <w:rFonts w:hint="eastAsia" w:ascii="黑体" w:hAnsi="黑体" w:eastAsia="黑体"/>
          <w:b w:val="0"/>
        </w:rPr>
        <w:t>般公共预算财政拨款支出决算情况说明</w:t>
      </w:r>
      <w:bookmarkEnd w:id="26"/>
      <w:bookmarkEnd w:id="27"/>
    </w:p>
    <w:p w14:paraId="45C8F6B6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28" w:name="_Toc15377210"/>
      <w:r>
        <w:rPr>
          <w:rFonts w:hint="eastAsia" w:ascii="仿宋" w:hAnsi="仿宋" w:eastAsia="仿宋"/>
          <w:b/>
          <w:sz w:val="32"/>
          <w:szCs w:val="32"/>
        </w:rPr>
        <w:t>（一）一般公共预算财政拨款支出决算总体情况</w:t>
      </w:r>
      <w:bookmarkEnd w:id="28"/>
    </w:p>
    <w:p w14:paraId="348D733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2023年度一般公共预算财政拨款支出</w:t>
      </w:r>
      <w:r>
        <w:rPr>
          <w:rFonts w:ascii="仿宋" w:hAnsi="仿宋" w:eastAsia="仿宋"/>
          <w:b/>
          <w:sz w:val="32"/>
          <w:szCs w:val="32"/>
        </w:rPr>
        <w:t>181.76</w:t>
      </w:r>
      <w:r>
        <w:rPr>
          <w:rFonts w:hint="eastAsia" w:ascii="仿宋" w:hAnsi="仿宋" w:eastAsia="仿宋"/>
          <w:sz w:val="32"/>
          <w:szCs w:val="32"/>
        </w:rPr>
        <w:t>万元，占本年支出合计的</w:t>
      </w:r>
      <w:r>
        <w:rPr>
          <w:rFonts w:ascii="仿宋" w:hAnsi="仿宋" w:eastAsia="仿宋"/>
          <w:b/>
          <w:sz w:val="32"/>
          <w:szCs w:val="32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。与2022年度相比，一般公共预算财政拨款支出减少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0.18</w:t>
      </w:r>
      <w:r>
        <w:rPr>
          <w:rFonts w:hint="eastAsia" w:ascii="仿宋" w:hAnsi="仿宋" w:eastAsia="仿宋"/>
          <w:sz w:val="32"/>
          <w:szCs w:val="32"/>
        </w:rPr>
        <w:t>万元，下降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0.1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。主要变动原因是</w:t>
      </w:r>
      <w:r>
        <w:rPr>
          <w:rFonts w:hint="eastAsia" w:ascii="仿宋" w:hAnsi="仿宋" w:eastAsia="仿宋"/>
          <w:sz w:val="32"/>
          <w:szCs w:val="32"/>
          <w:lang w:eastAsia="zh-CN"/>
        </w:rPr>
        <w:t>节约开支，公用经费压缩。</w:t>
      </w:r>
    </w:p>
    <w:p w14:paraId="1A450190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29" w:name="_Toc15377211"/>
      <w:r>
        <w:rPr>
          <w:rFonts w:hint="eastAsia" w:ascii="仿宋" w:hAnsi="仿宋" w:eastAsia="仿宋"/>
          <w:b/>
          <w:sz w:val="32"/>
          <w:szCs w:val="32"/>
        </w:rPr>
        <w:t>（二）一般公共预算财政拨款支出决算结构情况</w:t>
      </w:r>
      <w:bookmarkEnd w:id="29"/>
    </w:p>
    <w:p w14:paraId="7C349B6E">
      <w:pPr>
        <w:spacing w:line="600" w:lineRule="exact"/>
        <w:ind w:firstLine="64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2023年度一般公共预算财政拨款支出</w:t>
      </w:r>
      <w:r>
        <w:rPr>
          <w:rFonts w:ascii="仿宋" w:hAnsi="仿宋" w:eastAsia="仿宋"/>
          <w:b/>
          <w:sz w:val="32"/>
          <w:szCs w:val="32"/>
        </w:rPr>
        <w:t>181.76</w:t>
      </w:r>
      <w:r>
        <w:rPr>
          <w:rFonts w:hint="eastAsia" w:ascii="仿宋" w:hAnsi="仿宋" w:eastAsia="仿宋"/>
          <w:sz w:val="32"/>
          <w:szCs w:val="32"/>
        </w:rPr>
        <w:t>万元，主要用于以下方面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/>
          <w:sz w:val="32"/>
          <w:szCs w:val="32"/>
        </w:rPr>
        <w:t>一般公共服务</w:t>
      </w:r>
      <w:r>
        <w:rPr>
          <w:rFonts w:hint="eastAsia" w:ascii="仿宋" w:hAnsi="仿宋" w:eastAsia="仿宋"/>
          <w:b/>
          <w:bCs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sz w:val="32"/>
          <w:szCs w:val="32"/>
        </w:rPr>
        <w:t>教育支出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sz w:val="32"/>
          <w:szCs w:val="32"/>
        </w:rPr>
        <w:t>科学技术</w:t>
      </w:r>
      <w:r>
        <w:rPr>
          <w:rFonts w:hint="eastAsia" w:ascii="仿宋" w:hAnsi="仿宋" w:eastAsia="仿宋"/>
          <w:b/>
          <w:bCs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文化旅游体育与传媒支出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bCs/>
          <w:sz w:val="32"/>
          <w:szCs w:val="32"/>
        </w:rPr>
        <w:t>万元，占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b/>
          <w:bCs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sz w:val="32"/>
          <w:szCs w:val="32"/>
        </w:rPr>
        <w:t>社会保障和就业</w:t>
      </w:r>
      <w:r>
        <w:rPr>
          <w:rFonts w:hint="eastAsia" w:ascii="仿宋" w:hAnsi="仿宋" w:eastAsia="仿宋"/>
          <w:b/>
          <w:bCs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159.71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87.87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9.26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5.09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住房保障支出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12.79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7.04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402C823"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（注：数据来源于财决01-1表，仅罗列本单位涉及的全部功能分类科目，至类级。）</w:t>
      </w:r>
    </w:p>
    <w:p w14:paraId="17C4B757"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30" w:name="_Toc15377212"/>
      <w:r>
        <w:rPr>
          <w:rFonts w:hint="eastAsia" w:ascii="仿宋" w:hAnsi="仿宋" w:eastAsia="仿宋"/>
          <w:b/>
          <w:sz w:val="32"/>
          <w:szCs w:val="32"/>
        </w:rPr>
        <w:t>（三）一般公共预算财政拨款支出决算具体情况</w:t>
      </w:r>
      <w:bookmarkEnd w:id="30"/>
    </w:p>
    <w:p w14:paraId="6500EE96">
      <w:pPr>
        <w:spacing w:line="600" w:lineRule="exact"/>
        <w:ind w:firstLine="643" w:firstLineChars="200"/>
        <w:outlineLvl w:val="2"/>
        <w:rPr>
          <w:rFonts w:ascii="仿宋" w:hAnsi="仿宋" w:eastAsia="仿宋"/>
          <w:sz w:val="32"/>
          <w:szCs w:val="32"/>
        </w:rPr>
      </w:pPr>
      <w:bookmarkStart w:id="31" w:name="_Toc15377444"/>
      <w:bookmarkStart w:id="32" w:name="_Toc15378460"/>
      <w:bookmarkStart w:id="33" w:name="_Toc15377213"/>
      <w:r>
        <w:rPr>
          <w:rFonts w:hint="eastAsia" w:ascii="仿宋" w:hAnsi="仿宋" w:eastAsia="仿宋"/>
          <w:b/>
          <w:sz w:val="32"/>
          <w:szCs w:val="32"/>
        </w:rPr>
        <w:t>2023年度一般公共预算支出决算数为</w:t>
      </w:r>
      <w:r>
        <w:rPr>
          <w:rFonts w:ascii="仿宋" w:hAnsi="仿宋" w:eastAsia="仿宋"/>
          <w:b/>
          <w:sz w:val="32"/>
          <w:szCs w:val="32"/>
        </w:rPr>
        <w:t>181.76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Style w:val="18"/>
          <w:rFonts w:hint="eastAsia" w:ascii="仿宋" w:hAnsi="仿宋" w:eastAsia="仿宋"/>
          <w:bCs/>
          <w:sz w:val="32"/>
          <w:szCs w:val="32"/>
        </w:rPr>
        <w:t>完成预算</w:t>
      </w:r>
      <w:r>
        <w:rPr>
          <w:rStyle w:val="18"/>
          <w:rFonts w:hint="eastAsia" w:ascii="仿宋" w:hAnsi="仿宋" w:eastAsia="仿宋"/>
          <w:bCs/>
          <w:sz w:val="32"/>
          <w:szCs w:val="32"/>
          <w:lang w:val="en-US" w:eastAsia="zh-CN"/>
        </w:rPr>
        <w:t>100</w:t>
      </w:r>
      <w:r>
        <w:rPr>
          <w:rStyle w:val="18"/>
          <w:rFonts w:ascii="仿宋" w:hAnsi="仿宋" w:eastAsia="仿宋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Cs/>
          <w:sz w:val="32"/>
          <w:szCs w:val="32"/>
        </w:rPr>
        <w:t>。其中：</w:t>
      </w:r>
      <w:bookmarkEnd w:id="31"/>
      <w:bookmarkEnd w:id="32"/>
      <w:bookmarkEnd w:id="33"/>
    </w:p>
    <w:p w14:paraId="48060698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Style w:val="18"/>
          <w:rFonts w:hint="eastAsia" w:ascii="仿宋" w:hAnsi="仿宋" w:eastAsia="仿宋"/>
          <w:bCs/>
          <w:sz w:val="32"/>
          <w:szCs w:val="32"/>
          <w:lang w:val="en-US" w:eastAsia="zh-CN"/>
        </w:rPr>
        <w:t>1</w:t>
      </w:r>
      <w:r>
        <w:rPr>
          <w:rStyle w:val="18"/>
          <w:rFonts w:ascii="仿宋" w:hAnsi="仿宋" w:eastAsia="仿宋"/>
          <w:bCs/>
          <w:sz w:val="32"/>
          <w:szCs w:val="32"/>
        </w:rPr>
        <w:t>.</w:t>
      </w:r>
      <w:r>
        <w:rPr>
          <w:rStyle w:val="18"/>
          <w:rFonts w:hint="eastAsia" w:ascii="仿宋" w:hAnsi="仿宋" w:eastAsia="仿宋"/>
          <w:bCs/>
          <w:sz w:val="32"/>
          <w:szCs w:val="32"/>
        </w:rPr>
        <w:t>社会保障和就业</w:t>
      </w:r>
      <w:r>
        <w:rPr>
          <w:rStyle w:val="18"/>
          <w:rFonts w:hint="eastAsia" w:ascii="仿宋" w:hAnsi="仿宋" w:eastAsia="仿宋"/>
          <w:bCs/>
          <w:sz w:val="32"/>
          <w:szCs w:val="32"/>
          <w:lang w:eastAsia="zh-CN"/>
        </w:rPr>
        <w:t>支出：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 xml:space="preserve"> 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159.71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，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2080150事业运行134.57万元，</w:t>
      </w:r>
      <w:r>
        <w:rPr>
          <w:rStyle w:val="18"/>
          <w:rFonts w:hint="default" w:ascii="仿宋" w:hAnsi="仿宋" w:eastAsia="仿宋" w:cstheme="minorBidi"/>
          <w:b w:val="0"/>
          <w:bCs/>
          <w:sz w:val="32"/>
          <w:szCs w:val="32"/>
          <w:lang w:val="en-US" w:eastAsia="zh-CN"/>
        </w:rPr>
        <w:t>2080505</w:t>
      </w:r>
      <w:r>
        <w:rPr>
          <w:rStyle w:val="18"/>
          <w:rFonts w:hint="eastAsia" w:ascii="仿宋" w:hAnsi="仿宋" w:eastAsia="仿宋" w:cstheme="minorBidi"/>
          <w:b w:val="0"/>
          <w:bCs/>
          <w:sz w:val="32"/>
          <w:szCs w:val="32"/>
          <w:lang w:val="en-US" w:eastAsia="zh-CN"/>
        </w:rPr>
        <w:t>机关事业单位基本养老保险缴费支出16.75万元，</w:t>
      </w:r>
      <w:r>
        <w:rPr>
          <w:rStyle w:val="18"/>
          <w:rFonts w:hint="default" w:ascii="仿宋" w:hAnsi="仿宋" w:eastAsia="仿宋" w:cstheme="minorBidi"/>
          <w:b w:val="0"/>
          <w:bCs/>
          <w:sz w:val="32"/>
          <w:szCs w:val="32"/>
          <w:lang w:val="en-US" w:eastAsia="zh-CN"/>
        </w:rPr>
        <w:t>2080506</w:t>
      </w:r>
      <w:r>
        <w:rPr>
          <w:rStyle w:val="18"/>
          <w:rFonts w:hint="eastAsia" w:ascii="仿宋" w:hAnsi="仿宋" w:eastAsia="仿宋" w:cstheme="minorBidi"/>
          <w:b w:val="0"/>
          <w:bCs/>
          <w:sz w:val="32"/>
          <w:szCs w:val="32"/>
          <w:lang w:val="en-US" w:eastAsia="zh-CN"/>
        </w:rPr>
        <w:t>机关事业单位职业年金缴费支出8.38万元。</w:t>
      </w:r>
    </w:p>
    <w:p w14:paraId="240BFC81">
      <w:pPr>
        <w:spacing w:line="600" w:lineRule="exact"/>
        <w:ind w:firstLine="643" w:firstLineChars="200"/>
        <w:rPr>
          <w:rStyle w:val="18"/>
          <w:rFonts w:hint="eastAsia" w:ascii="仿宋" w:hAnsi="仿宋" w:eastAsia="仿宋"/>
          <w:b w:val="0"/>
          <w:bCs/>
          <w:sz w:val="32"/>
          <w:szCs w:val="32"/>
        </w:rPr>
      </w:pPr>
      <w:r>
        <w:rPr>
          <w:rStyle w:val="18"/>
          <w:rFonts w:hint="eastAsia" w:ascii="仿宋" w:hAnsi="仿宋" w:eastAsia="仿宋"/>
          <w:bCs/>
          <w:sz w:val="32"/>
          <w:szCs w:val="32"/>
          <w:lang w:val="en-US" w:eastAsia="zh-CN"/>
        </w:rPr>
        <w:t>2</w:t>
      </w:r>
      <w:r>
        <w:rPr>
          <w:rStyle w:val="18"/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</w:t>
      </w:r>
      <w:r>
        <w:rPr>
          <w:rStyle w:val="18"/>
          <w:rFonts w:hint="eastAsia" w:ascii="仿宋" w:hAnsi="仿宋" w:eastAsia="仿宋"/>
          <w:bCs/>
          <w:sz w:val="32"/>
          <w:szCs w:val="32"/>
          <w:lang w:eastAsia="zh-CN"/>
        </w:rPr>
        <w:t>支出：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9.26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，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2101102事业单位医疗7.32万元，2101199其他行政事业单位医疗支出1.95万元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</w:p>
    <w:p w14:paraId="08963F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</w:pPr>
      <w:r>
        <w:rPr>
          <w:rStyle w:val="18"/>
          <w:rFonts w:hint="default" w:ascii="仿宋" w:hAnsi="仿宋" w:eastAsia="仿宋" w:cstheme="minorBidi"/>
          <w:bCs/>
          <w:sz w:val="32"/>
          <w:szCs w:val="32"/>
          <w:lang w:val="en-US" w:eastAsia="zh-CN"/>
        </w:rPr>
        <w:t>3.</w:t>
      </w:r>
      <w:r>
        <w:rPr>
          <w:rStyle w:val="18"/>
          <w:rFonts w:hint="eastAsia" w:ascii="仿宋" w:hAnsi="仿宋" w:eastAsia="仿宋" w:cstheme="minorBidi"/>
          <w:bCs/>
          <w:sz w:val="32"/>
          <w:szCs w:val="32"/>
          <w:lang w:val="en-US" w:eastAsia="zh-CN"/>
        </w:rPr>
        <w:t>住房保障支出</w:t>
      </w:r>
      <w:r>
        <w:rPr>
          <w:rStyle w:val="43"/>
          <w:rFonts w:hint="eastAsia" w:ascii="仿宋_GB2312" w:hAnsi="Times New Roman" w:eastAsia="仿宋_GB2312" w:cs="仿宋_GB2312"/>
          <w:b/>
          <w:bCs/>
          <w:kern w:val="0"/>
          <w:sz w:val="32"/>
          <w:szCs w:val="32"/>
          <w:shd w:val="clear" w:fill="FFFFFF"/>
        </w:rPr>
        <w:t>：</w:t>
      </w:r>
      <w:r>
        <w:rPr>
          <w:rStyle w:val="18"/>
          <w:rFonts w:hint="default" w:ascii="仿宋" w:hAnsi="仿宋" w:eastAsia="仿宋" w:cstheme="minorBidi"/>
          <w:b w:val="0"/>
          <w:bCs/>
          <w:sz w:val="32"/>
          <w:szCs w:val="32"/>
        </w:rPr>
        <w:t>2210201</w:t>
      </w:r>
      <w:r>
        <w:rPr>
          <w:rStyle w:val="18"/>
          <w:rFonts w:hint="eastAsia" w:ascii="仿宋" w:hAnsi="仿宋" w:eastAsia="仿宋" w:cstheme="minorBidi"/>
          <w:b w:val="0"/>
          <w:bCs/>
          <w:sz w:val="32"/>
          <w:szCs w:val="32"/>
        </w:rPr>
        <w:t>住房公积金：支出决算数为</w:t>
      </w:r>
      <w:r>
        <w:rPr>
          <w:rStyle w:val="18"/>
          <w:rFonts w:hint="eastAsia" w:ascii="仿宋" w:hAnsi="仿宋" w:eastAsia="仿宋" w:cstheme="minorBidi"/>
          <w:b w:val="0"/>
          <w:bCs/>
          <w:sz w:val="32"/>
          <w:szCs w:val="32"/>
          <w:lang w:val="en-US" w:eastAsia="zh-CN"/>
        </w:rPr>
        <w:t>12.79</w:t>
      </w:r>
      <w:r>
        <w:rPr>
          <w:rStyle w:val="18"/>
          <w:rFonts w:hint="eastAsia" w:ascii="仿宋" w:hAnsi="仿宋" w:eastAsia="仿宋" w:cstheme="minorBidi"/>
          <w:b w:val="0"/>
          <w:bCs/>
          <w:sz w:val="32"/>
          <w:szCs w:val="32"/>
        </w:rPr>
        <w:t>万元，完成预算</w:t>
      </w:r>
      <w:r>
        <w:rPr>
          <w:rStyle w:val="18"/>
          <w:rFonts w:hint="default" w:ascii="仿宋" w:hAnsi="仿宋" w:eastAsia="仿宋" w:cstheme="minorBidi"/>
          <w:b w:val="0"/>
          <w:bCs/>
          <w:sz w:val="32"/>
          <w:szCs w:val="32"/>
        </w:rPr>
        <w:t>100%</w:t>
      </w:r>
      <w:r>
        <w:rPr>
          <w:rStyle w:val="18"/>
          <w:rFonts w:hint="eastAsia" w:ascii="仿宋" w:hAnsi="仿宋" w:eastAsia="仿宋" w:cstheme="minorBidi"/>
          <w:b w:val="0"/>
          <w:bCs/>
          <w:sz w:val="32"/>
          <w:szCs w:val="32"/>
        </w:rPr>
        <w:t>。</w:t>
      </w:r>
    </w:p>
    <w:p w14:paraId="55D4C139"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（注：数据来源于财决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b/>
          <w:sz w:val="32"/>
          <w:szCs w:val="32"/>
        </w:rPr>
        <w:t>1-1表和财决08表，仅罗列本单位涉及的全部功能分类科目，至项级。上述“预算”口径为全年预算数。增减变动原因为决算数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〈</w:t>
      </w:r>
      <w:r>
        <w:rPr>
          <w:rFonts w:hint="eastAsia" w:ascii="仿宋" w:hAnsi="仿宋" w:eastAsia="仿宋"/>
          <w:b/>
          <w:sz w:val="32"/>
          <w:szCs w:val="32"/>
        </w:rPr>
        <w:t>项级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〉</w:t>
      </w:r>
      <w:r>
        <w:rPr>
          <w:rFonts w:hint="eastAsia" w:ascii="仿宋" w:hAnsi="仿宋" w:eastAsia="仿宋"/>
          <w:b/>
          <w:sz w:val="32"/>
          <w:szCs w:val="32"/>
        </w:rPr>
        <w:t>和全年预算数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〈</w:t>
      </w:r>
      <w:r>
        <w:rPr>
          <w:rFonts w:hint="eastAsia" w:ascii="仿宋" w:hAnsi="仿宋" w:eastAsia="仿宋"/>
          <w:b/>
          <w:sz w:val="32"/>
          <w:szCs w:val="32"/>
        </w:rPr>
        <w:t>项级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〉</w:t>
      </w:r>
      <w:r>
        <w:rPr>
          <w:rFonts w:hint="eastAsia" w:ascii="仿宋" w:hAnsi="仿宋" w:eastAsia="仿宋"/>
          <w:b/>
          <w:sz w:val="32"/>
          <w:szCs w:val="32"/>
        </w:rPr>
        <w:t>比较，与预算数持平可以不写原因。）</w:t>
      </w:r>
    </w:p>
    <w:p w14:paraId="6A44CE08">
      <w:pPr>
        <w:tabs>
          <w:tab w:val="right" w:pos="8306"/>
        </w:tabs>
        <w:spacing w:line="600" w:lineRule="exact"/>
        <w:ind w:firstLine="640"/>
        <w:outlineLvl w:val="1"/>
        <w:rPr>
          <w:rStyle w:val="21"/>
        </w:rPr>
      </w:pPr>
      <w:bookmarkStart w:id="34" w:name="_Toc15396608"/>
      <w:bookmarkStart w:id="35" w:name="_Toc15377214"/>
      <w:r>
        <w:rPr>
          <w:rFonts w:hint="eastAsia" w:ascii="黑体" w:eastAsia="黑体"/>
          <w:sz w:val="32"/>
          <w:szCs w:val="32"/>
        </w:rPr>
        <w:t>六</w:t>
      </w:r>
      <w:r>
        <w:rPr>
          <w:rFonts w:hint="eastAsia" w:asci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21"/>
          <w:rFonts w:hint="eastAsia" w:ascii="黑体" w:hAnsi="黑体" w:eastAsia="黑体"/>
          <w:b w:val="0"/>
        </w:rPr>
        <w:t>般公共预算财政拨款基本支出决算情况说明</w:t>
      </w:r>
      <w:bookmarkEnd w:id="34"/>
      <w:bookmarkEnd w:id="35"/>
      <w:r>
        <w:rPr>
          <w:rStyle w:val="21"/>
          <w:rFonts w:ascii="黑体" w:hAnsi="黑体" w:eastAsia="黑体"/>
          <w:b w:val="0"/>
        </w:rPr>
        <w:tab/>
      </w:r>
    </w:p>
    <w:p w14:paraId="6836ED2A"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2023年度一般公共预算财政拨款基本支出</w:t>
      </w:r>
      <w:r>
        <w:rPr>
          <w:rFonts w:ascii="仿宋" w:hAnsi="仿宋" w:eastAsia="仿宋"/>
          <w:b/>
          <w:sz w:val="32"/>
          <w:szCs w:val="32"/>
        </w:rPr>
        <w:t>181.76</w:t>
      </w:r>
      <w:r>
        <w:rPr>
          <w:rFonts w:hint="eastAsia" w:ascii="仿宋" w:hAnsi="仿宋" w:eastAsia="仿宋"/>
          <w:sz w:val="32"/>
          <w:szCs w:val="32"/>
        </w:rPr>
        <w:t>万元，其中：</w:t>
      </w:r>
    </w:p>
    <w:p w14:paraId="2695EE5C"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人员经费</w:t>
      </w:r>
      <w:r>
        <w:rPr>
          <w:rFonts w:ascii="仿宋" w:hAnsi="仿宋" w:eastAsia="仿宋"/>
          <w:b/>
          <w:sz w:val="32"/>
          <w:szCs w:val="32"/>
        </w:rPr>
        <w:t>174.19</w:t>
      </w:r>
      <w:r>
        <w:rPr>
          <w:rFonts w:hint="eastAsia" w:ascii="仿宋" w:hAnsi="仿宋" w:eastAsia="仿宋"/>
          <w:sz w:val="32"/>
          <w:szCs w:val="32"/>
        </w:rPr>
        <w:t>万元，主要包括：基本工资、津贴补贴、奖金、伙食补助费、绩效工资、机关事业单位基本养老保险缴费、职业年金缴费、其他社会保障缴费、其他工资福利支出、离休费、退休费、抚恤金、生活补助、医疗费补助、奖励金、住房公积金、其他对个人和家庭的补助支出等。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公用经费</w:t>
      </w:r>
      <w:r>
        <w:rPr>
          <w:rFonts w:ascii="仿宋" w:hAnsi="仿宋" w:eastAsia="仿宋"/>
          <w:b/>
          <w:sz w:val="32"/>
          <w:szCs w:val="32"/>
        </w:rPr>
        <w:t>7.57</w:t>
      </w:r>
      <w:r>
        <w:rPr>
          <w:rFonts w:hint="eastAsia" w:ascii="仿宋" w:hAnsi="仿宋" w:eastAsia="仿宋"/>
          <w:sz w:val="32"/>
          <w:szCs w:val="32"/>
        </w:rPr>
        <w:t>万元，主要包括：办公费、印刷费、咨询费、手续费、水费、电费、邮电费、取暖费、物业管理费、差旅费、因公出国（境）费用、维修（护）费、租赁费、会议费、培训费、公务接待费、劳务费、委托业务费、工会经费、福利费、公务用车运行维护费、其他交通费、税金及附加费用、其他商品和服务支出、办公设备购置、专用设备购置、信息网络及软件购置更新、其他资本性支出等。</w:t>
      </w:r>
    </w:p>
    <w:p w14:paraId="185DFF60">
      <w:pPr>
        <w:spacing w:line="600" w:lineRule="exact"/>
        <w:ind w:firstLine="64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（注：数据来源于财决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b/>
          <w:sz w:val="32"/>
          <w:szCs w:val="32"/>
        </w:rPr>
        <w:t>7表和财决08-1表，仅罗列本单位实际支出涉及的经济分类科目。）</w:t>
      </w:r>
    </w:p>
    <w:p w14:paraId="0AA092EA">
      <w:pPr>
        <w:spacing w:line="600" w:lineRule="exact"/>
        <w:ind w:firstLine="640"/>
        <w:outlineLvl w:val="1"/>
        <w:rPr>
          <w:rStyle w:val="21"/>
          <w:rFonts w:ascii="黑体" w:hAnsi="黑体" w:eastAsia="黑体"/>
          <w:b w:val="0"/>
        </w:rPr>
      </w:pPr>
      <w:bookmarkStart w:id="36" w:name="_Toc15396609"/>
      <w:bookmarkStart w:id="37" w:name="_Toc15377215"/>
      <w:r>
        <w:rPr>
          <w:rFonts w:hint="eastAsia" w:ascii="黑体" w:eastAsia="黑体"/>
          <w:sz w:val="32"/>
          <w:szCs w:val="32"/>
        </w:rPr>
        <w:t>七、</w:t>
      </w:r>
      <w:r>
        <w:rPr>
          <w:rStyle w:val="21"/>
          <w:rFonts w:hint="eastAsia" w:ascii="黑体" w:hAnsi="黑体" w:eastAsia="黑体"/>
          <w:b w:val="0"/>
        </w:rPr>
        <w:t>财政拨款</w:t>
      </w:r>
      <w:r>
        <w:rPr>
          <w:rStyle w:val="21"/>
          <w:rFonts w:hint="eastAsia" w:ascii="黑体" w:hAnsi="黑体" w:eastAsia="黑体"/>
        </w:rPr>
        <w:t>“</w:t>
      </w:r>
      <w:r>
        <w:rPr>
          <w:rStyle w:val="21"/>
          <w:rFonts w:hint="eastAsia" w:ascii="黑体" w:hAnsi="黑体" w:eastAsia="黑体"/>
          <w:b w:val="0"/>
        </w:rPr>
        <w:t>三公”经费支出决算情况说明</w:t>
      </w:r>
      <w:bookmarkEnd w:id="36"/>
      <w:bookmarkEnd w:id="37"/>
    </w:p>
    <w:p w14:paraId="4DFB39B1">
      <w:pPr>
        <w:spacing w:line="600" w:lineRule="exact"/>
        <w:ind w:firstLine="640"/>
        <w:outlineLvl w:val="2"/>
        <w:rPr>
          <w:rFonts w:ascii="仿宋" w:hAnsi="仿宋" w:eastAsia="仿宋"/>
          <w:b/>
          <w:sz w:val="32"/>
          <w:szCs w:val="32"/>
        </w:rPr>
      </w:pPr>
      <w:bookmarkStart w:id="38" w:name="_Toc15377216"/>
      <w:r>
        <w:rPr>
          <w:rFonts w:hint="eastAsia" w:ascii="仿宋" w:hAnsi="仿宋" w:eastAsia="仿宋"/>
          <w:b/>
          <w:sz w:val="32"/>
          <w:szCs w:val="32"/>
        </w:rPr>
        <w:t>（一）“三公”经费财政拨款支出决算总体情况说明</w:t>
      </w:r>
      <w:bookmarkEnd w:id="38"/>
    </w:p>
    <w:p w14:paraId="4079B129"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2023年度“三公”经费财政拨款支出决算为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万元，完成预算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，较上年度增加/减少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万元，增长/下降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71E5A90A">
      <w:pPr>
        <w:spacing w:line="600" w:lineRule="exact"/>
        <w:ind w:firstLine="64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（注：上述“预算”口径为全年预算数，包括一般公共预算和政府性基金预算财政拨款支出决算情况。）</w:t>
      </w:r>
    </w:p>
    <w:p w14:paraId="2D4E2FD4">
      <w:pPr>
        <w:spacing w:line="600" w:lineRule="exact"/>
        <w:ind w:firstLine="640"/>
        <w:outlineLvl w:val="2"/>
        <w:rPr>
          <w:rFonts w:ascii="仿宋" w:hAnsi="仿宋" w:eastAsia="仿宋"/>
          <w:b/>
          <w:sz w:val="32"/>
          <w:szCs w:val="32"/>
        </w:rPr>
      </w:pPr>
      <w:bookmarkStart w:id="39" w:name="_Toc15377217"/>
      <w:r>
        <w:rPr>
          <w:rFonts w:hint="eastAsia" w:ascii="仿宋" w:hAnsi="仿宋" w:eastAsia="仿宋"/>
          <w:b/>
          <w:sz w:val="32"/>
          <w:szCs w:val="32"/>
        </w:rPr>
        <w:t>（二）“三公”经费财政拨款支出决算具体情况说明</w:t>
      </w:r>
      <w:bookmarkEnd w:id="39"/>
    </w:p>
    <w:p w14:paraId="7988F596"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2023年度“三公”经费财政拨款支出决算中，因公出国（境）费支出决算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；公务用车购置及运行维护费支出决算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；公务接待费支出决算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。具体情况如下：</w:t>
      </w:r>
    </w:p>
    <w:p w14:paraId="75D018B9"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  <w:bookmarkStart w:id="40" w:name="_Toc15377218"/>
      <w:bookmarkStart w:id="41" w:name="_Toc15396610"/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因公出国（境）经费支出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8"/>
          <w:rFonts w:ascii="仿宋" w:hAnsi="仿宋" w:eastAsia="仿宋"/>
          <w:bCs/>
          <w:sz w:val="32"/>
          <w:szCs w:val="32"/>
        </w:rPr>
        <w:t>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全年安排因公出国（境）团组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次，出国（境）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人。因公出国（境）支出决算比2022年增加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A1B33A1"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公务用车购置及运行维护费支出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8"/>
          <w:rFonts w:ascii="仿宋" w:hAnsi="仿宋" w:eastAsia="仿宋"/>
          <w:bCs/>
          <w:sz w:val="32"/>
          <w:szCs w:val="32"/>
        </w:rPr>
        <w:t>0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公务用车购置及运行维护费支出决算比2022年度增加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EDF19DD">
      <w:pPr>
        <w:spacing w:line="60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其中：</w:t>
      </w:r>
      <w:r>
        <w:rPr>
          <w:rFonts w:hint="eastAsia" w:ascii="仿宋_GB2312" w:eastAsia="仿宋_GB2312"/>
          <w:b/>
          <w:sz w:val="32"/>
          <w:szCs w:val="32"/>
        </w:rPr>
        <w:t>公务用车购置支出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万元。全年按规定更新购置公务用车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辆。截至2023年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月31日，单位共有公务用车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辆。</w:t>
      </w:r>
    </w:p>
    <w:p w14:paraId="4A227F39"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公务用车运行维护费支出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 w14:paraId="56231E98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3.</w:t>
      </w:r>
      <w:r>
        <w:rPr>
          <w:rFonts w:hint="eastAsia" w:ascii="仿宋_GB2312" w:eastAsia="仿宋_GB2312"/>
          <w:b/>
          <w:sz w:val="32"/>
          <w:szCs w:val="32"/>
        </w:rPr>
        <w:t>公务接待费支出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8"/>
          <w:rFonts w:ascii="仿宋" w:hAnsi="仿宋" w:eastAsia="仿宋"/>
          <w:b w:val="0"/>
          <w:bCs/>
          <w:sz w:val="32"/>
          <w:szCs w:val="32"/>
        </w:rPr>
        <w:t>0%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公务接待费支出决算比2022年度增加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其中：</w:t>
      </w:r>
    </w:p>
    <w:p w14:paraId="1FAD8C0F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国内公务接待支出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万元。国内公务接待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批次，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人次（不包括陪同人员），共计支出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 w14:paraId="06C40E19">
      <w:pPr>
        <w:spacing w:line="600" w:lineRule="exact"/>
        <w:ind w:firstLine="643" w:firstLineChars="200"/>
        <w:rPr>
          <w:rFonts w:ascii="黑体" w:eastAsia="黑体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外事接待支出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万元。外事接待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批次，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人次（不包括陪同人员），共计支出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 w14:paraId="504B44B7">
      <w:pPr>
        <w:spacing w:line="600" w:lineRule="exact"/>
        <w:ind w:firstLine="640"/>
        <w:outlineLvl w:val="1"/>
        <w:rPr>
          <w:rStyle w:val="21"/>
          <w:rFonts w:ascii="黑体" w:hAnsi="黑体" w:eastAsia="黑体"/>
        </w:rPr>
      </w:pPr>
      <w:r>
        <w:rPr>
          <w:rFonts w:hint="eastAsia" w:ascii="黑体" w:eastAsia="黑体"/>
          <w:sz w:val="32"/>
          <w:szCs w:val="32"/>
        </w:rPr>
        <w:t>八、</w:t>
      </w:r>
      <w:r>
        <w:rPr>
          <w:rStyle w:val="21"/>
          <w:rFonts w:hint="eastAsia" w:ascii="黑体" w:hAnsi="黑体" w:eastAsia="黑体"/>
          <w:b w:val="0"/>
        </w:rPr>
        <w:t>政府性基金预算支出决算情况说明</w:t>
      </w:r>
      <w:bookmarkEnd w:id="40"/>
      <w:bookmarkEnd w:id="41"/>
    </w:p>
    <w:p w14:paraId="7CFE518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2023年度政府性基金预算财政拨款支出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 w14:paraId="7E60B818">
      <w:pPr>
        <w:numPr>
          <w:ilvl w:val="0"/>
          <w:numId w:val="3"/>
        </w:numPr>
        <w:spacing w:line="600" w:lineRule="exact"/>
        <w:ind w:firstLine="640"/>
        <w:outlineLvl w:val="1"/>
        <w:rPr>
          <w:rStyle w:val="21"/>
          <w:rFonts w:ascii="黑体" w:hAnsi="黑体" w:eastAsia="黑体"/>
          <w:b w:val="0"/>
        </w:rPr>
      </w:pPr>
      <w:bookmarkStart w:id="42" w:name="_Toc15377219"/>
      <w:bookmarkStart w:id="43" w:name="_Toc15396611"/>
      <w:r>
        <w:rPr>
          <w:rStyle w:val="21"/>
          <w:rFonts w:hint="eastAsia" w:ascii="黑体" w:hAnsi="黑体" w:eastAsia="黑体"/>
          <w:b w:val="0"/>
        </w:rPr>
        <w:t>国有资本经营预算支出决算情况说明</w:t>
      </w:r>
      <w:bookmarkEnd w:id="42"/>
      <w:bookmarkEnd w:id="43"/>
    </w:p>
    <w:p w14:paraId="53253583">
      <w:pPr>
        <w:spacing w:line="600" w:lineRule="exact"/>
        <w:ind w:firstLine="64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2023年度国有资本经营预算财政拨款支出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 w14:paraId="70AF7BA2">
      <w:pPr>
        <w:numPr>
          <w:ilvl w:val="0"/>
          <w:numId w:val="3"/>
        </w:numPr>
        <w:spacing w:line="600" w:lineRule="exact"/>
        <w:ind w:firstLine="640"/>
        <w:outlineLvl w:val="1"/>
        <w:rPr>
          <w:rStyle w:val="21"/>
          <w:rFonts w:ascii="黑体" w:hAnsi="黑体" w:eastAsia="黑体"/>
          <w:b w:val="0"/>
        </w:rPr>
      </w:pPr>
      <w:bookmarkStart w:id="44" w:name="_Toc15377221"/>
      <w:bookmarkStart w:id="45" w:name="_Toc15396612"/>
      <w:r>
        <w:rPr>
          <w:rStyle w:val="21"/>
          <w:rFonts w:hint="eastAsia" w:ascii="黑体" w:hAnsi="黑体" w:eastAsia="黑体"/>
          <w:b w:val="0"/>
        </w:rPr>
        <w:t>其他重要事项的情况说明</w:t>
      </w:r>
      <w:bookmarkEnd w:id="44"/>
      <w:bookmarkEnd w:id="45"/>
    </w:p>
    <w:p w14:paraId="4F763515">
      <w:pPr>
        <w:spacing w:line="600" w:lineRule="exact"/>
        <w:ind w:firstLine="643" w:firstLineChars="200"/>
        <w:outlineLvl w:val="2"/>
        <w:rPr>
          <w:rFonts w:ascii="仿宋" w:hAnsi="仿宋" w:eastAsia="仿宋"/>
          <w:sz w:val="32"/>
          <w:szCs w:val="32"/>
        </w:rPr>
      </w:pPr>
      <w:bookmarkStart w:id="46" w:name="_Toc15377222"/>
      <w:r>
        <w:rPr>
          <w:rFonts w:hint="eastAsia" w:ascii="仿宋" w:hAnsi="仿宋" w:eastAsia="仿宋"/>
          <w:b/>
          <w:sz w:val="32"/>
          <w:szCs w:val="32"/>
        </w:rPr>
        <w:t>（一）机关运行经费支出情况</w:t>
      </w:r>
      <w:bookmarkEnd w:id="46"/>
    </w:p>
    <w:p w14:paraId="57D69A48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2023年度，</w:t>
      </w:r>
      <w:r>
        <w:rPr>
          <w:rFonts w:ascii="仿宋_GB2312" w:eastAsia="仿宋_GB2312"/>
          <w:b/>
          <w:sz w:val="32"/>
          <w:szCs w:val="32"/>
        </w:rPr>
        <w:t>阿坝州松潘县劳动人事争议仲裁院</w:t>
      </w:r>
      <w:r>
        <w:rPr>
          <w:rFonts w:hint="eastAsia" w:ascii="仿宋_GB2312" w:eastAsia="仿宋_GB2312"/>
          <w:sz w:val="32"/>
          <w:szCs w:val="32"/>
        </w:rPr>
        <w:t>机关运行经费支出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万元，比2022年度增加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9B45382"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（注：数据来源于财决附</w:t>
      </w:r>
      <w:r>
        <w:rPr>
          <w:rFonts w:ascii="仿宋" w:hAnsi="仿宋" w:eastAsia="仿宋"/>
          <w:b/>
          <w:sz w:val="32"/>
          <w:szCs w:val="32"/>
        </w:rPr>
        <w:t>03</w:t>
      </w:r>
      <w:r>
        <w:rPr>
          <w:rFonts w:hint="eastAsia" w:ascii="仿宋" w:hAnsi="仿宋" w:eastAsia="仿宋"/>
          <w:b/>
          <w:sz w:val="32"/>
          <w:szCs w:val="32"/>
        </w:rPr>
        <w:t>表）</w:t>
      </w:r>
    </w:p>
    <w:p w14:paraId="6181AD19"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bookmarkStart w:id="47" w:name="_Toc15377223"/>
      <w:r>
        <w:rPr>
          <w:rFonts w:hint="eastAsia" w:ascii="仿宋" w:hAnsi="仿宋" w:eastAsia="仿宋"/>
          <w:b/>
          <w:sz w:val="32"/>
          <w:szCs w:val="32"/>
        </w:rPr>
        <w:t>（二）政府采购支出情况</w:t>
      </w:r>
      <w:bookmarkEnd w:id="47"/>
    </w:p>
    <w:p w14:paraId="5C3B9A6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2023年度，</w:t>
      </w:r>
      <w:r>
        <w:rPr>
          <w:rFonts w:ascii="仿宋_GB2312" w:eastAsia="仿宋_GB2312"/>
          <w:b/>
          <w:sz w:val="32"/>
          <w:szCs w:val="32"/>
        </w:rPr>
        <w:t>阿坝州松潘县劳动人事争议仲裁院</w:t>
      </w:r>
      <w:r>
        <w:rPr>
          <w:rFonts w:hint="eastAsia" w:ascii="仿宋_GB2312" w:eastAsia="仿宋_GB2312"/>
          <w:sz w:val="32"/>
          <w:szCs w:val="32"/>
        </w:rPr>
        <w:t>政府采购支出总额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万元，其中：政府采购货物支出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万元、政府采购工程支出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万元、政府采购服务支出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万元。主要用于</w:t>
      </w:r>
      <w:r>
        <w:rPr>
          <w:rFonts w:ascii="仿宋_GB2312" w:eastAsia="仿宋_GB2312"/>
          <w:sz w:val="32"/>
          <w:szCs w:val="32"/>
        </w:rPr>
        <w:t>…</w:t>
      </w:r>
      <w:r>
        <w:rPr>
          <w:rFonts w:hint="eastAsia" w:ascii="仿宋_GB2312" w:eastAsia="仿宋_GB2312"/>
          <w:sz w:val="32"/>
          <w:szCs w:val="32"/>
        </w:rPr>
        <w:t>（具体工作）。授予中小企业合同金额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万元，占政府采购支出总额的</w:t>
      </w:r>
      <w:r>
        <w:rPr>
          <w:rFonts w:ascii="仿宋_GB2312" w:eastAsia="仿宋_GB2312"/>
          <w:sz w:val="32"/>
          <w:szCs w:val="32"/>
        </w:rPr>
        <w:t>0%</w:t>
      </w:r>
      <w:r>
        <w:rPr>
          <w:rFonts w:hint="eastAsia" w:ascii="仿宋_GB2312" w:eastAsia="仿宋_GB2312"/>
          <w:sz w:val="32"/>
          <w:szCs w:val="32"/>
        </w:rPr>
        <w:t>，其中：授予小微企业合同金额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万元，占政府采购支出总额的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9CB3CDE"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（注：数据来源于财决附</w:t>
      </w:r>
      <w:r>
        <w:rPr>
          <w:rFonts w:ascii="仿宋" w:hAnsi="仿宋" w:eastAsia="仿宋"/>
          <w:b/>
          <w:sz w:val="32"/>
          <w:szCs w:val="32"/>
        </w:rPr>
        <w:t>03</w:t>
      </w:r>
      <w:r>
        <w:rPr>
          <w:rFonts w:hint="eastAsia" w:ascii="仿宋" w:hAnsi="仿宋" w:eastAsia="仿宋"/>
          <w:b/>
          <w:sz w:val="32"/>
          <w:szCs w:val="32"/>
        </w:rPr>
        <w:t>表）</w:t>
      </w:r>
    </w:p>
    <w:p w14:paraId="31C69037"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bookmarkStart w:id="48" w:name="_Toc15377224"/>
      <w:r>
        <w:rPr>
          <w:rFonts w:hint="eastAsia" w:ascii="仿宋" w:hAnsi="仿宋" w:eastAsia="仿宋"/>
          <w:b/>
          <w:sz w:val="32"/>
          <w:szCs w:val="32"/>
        </w:rPr>
        <w:t>（三）国有资产占有使用情况</w:t>
      </w:r>
      <w:bookmarkEnd w:id="48"/>
    </w:p>
    <w:p w14:paraId="2598F9C6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截至2023年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ascii="仿宋_GB2312" w:eastAsia="仿宋_GB2312"/>
          <w:b/>
          <w:sz w:val="32"/>
          <w:szCs w:val="32"/>
        </w:rPr>
        <w:t>阿坝州松潘县劳动人事争议仲裁院</w:t>
      </w:r>
      <w:r>
        <w:rPr>
          <w:rFonts w:hint="eastAsia" w:ascii="仿宋_GB2312" w:eastAsia="仿宋_GB2312"/>
          <w:sz w:val="32"/>
          <w:szCs w:val="32"/>
        </w:rPr>
        <w:t>共有车辆</w:t>
      </w:r>
      <w:r>
        <w:rPr>
          <w:rFonts w:hint="eastAsia" w:ascii="仿宋_GB2312" w:eastAsia="仿宋_GB2312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单价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万元以上设备（不含车辆）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 w14:paraId="695AC4C7">
      <w:pPr>
        <w:autoSpaceDE w:val="0"/>
        <w:autoSpaceDN w:val="0"/>
        <w:adjustRightInd w:val="0"/>
        <w:spacing w:line="600" w:lineRule="exact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（注：数据来源于财决附</w:t>
      </w:r>
      <w:r>
        <w:rPr>
          <w:rFonts w:ascii="仿宋" w:hAnsi="仿宋" w:eastAsia="仿宋"/>
          <w:b/>
          <w:sz w:val="32"/>
          <w:szCs w:val="32"/>
        </w:rPr>
        <w:t>03</w:t>
      </w:r>
      <w:r>
        <w:rPr>
          <w:rFonts w:hint="eastAsia" w:ascii="仿宋" w:hAnsi="仿宋" w:eastAsia="仿宋"/>
          <w:b/>
          <w:sz w:val="32"/>
          <w:szCs w:val="32"/>
        </w:rPr>
        <w:t>表，按单位决算报表填报数据罗列车辆情况。）</w:t>
      </w:r>
    </w:p>
    <w:p w14:paraId="4D618F3B"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（四）预算绩效管理情况</w:t>
      </w:r>
    </w:p>
    <w:p w14:paraId="06906E7B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本单位在2023年度</w:t>
      </w:r>
      <w:r>
        <w:rPr>
          <w:rFonts w:hint="eastAsia" w:ascii="仿宋_GB2312" w:eastAsia="仿宋_GB2312"/>
          <w:sz w:val="32"/>
          <w:szCs w:val="32"/>
          <w:lang w:eastAsia="zh-CN"/>
        </w:rPr>
        <w:t>无项目。</w:t>
      </w:r>
      <w:r>
        <w:rPr>
          <w:rFonts w:hint="eastAsia" w:ascii="仿宋_GB2312" w:eastAsia="仿宋_GB2312"/>
          <w:sz w:val="32"/>
          <w:szCs w:val="32"/>
        </w:rPr>
        <w:br w:type="page"/>
      </w:r>
    </w:p>
    <w:p w14:paraId="4C60BF1F">
      <w:pPr>
        <w:numPr>
          <w:ilvl w:val="0"/>
          <w:numId w:val="4"/>
        </w:numPr>
        <w:spacing w:line="600" w:lineRule="exact"/>
        <w:ind w:firstLine="660" w:firstLineChars="150"/>
        <w:jc w:val="center"/>
        <w:outlineLvl w:val="0"/>
        <w:rPr>
          <w:rStyle w:val="20"/>
          <w:rFonts w:ascii="黑体" w:hAnsi="黑体" w:eastAsia="黑体"/>
          <w:b w:val="0"/>
        </w:rPr>
      </w:pPr>
      <w:bookmarkStart w:id="49" w:name="_Toc15377225"/>
      <w:bookmarkStart w:id="50" w:name="_Toc15396613"/>
      <w:r>
        <w:rPr>
          <w:rFonts w:hint="eastAsia" w:ascii="黑体" w:hAnsi="黑体" w:eastAsia="黑体"/>
          <w:sz w:val="44"/>
          <w:szCs w:val="44"/>
        </w:rPr>
        <w:t>名</w:t>
      </w:r>
      <w:r>
        <w:rPr>
          <w:rStyle w:val="20"/>
          <w:rFonts w:hint="eastAsia" w:ascii="黑体" w:hAnsi="黑体" w:eastAsia="黑体"/>
          <w:b w:val="0"/>
        </w:rPr>
        <w:t>词解释</w:t>
      </w:r>
      <w:bookmarkEnd w:id="49"/>
      <w:bookmarkEnd w:id="50"/>
    </w:p>
    <w:p w14:paraId="4B40C1DD">
      <w:pPr>
        <w:spacing w:line="600" w:lineRule="exact"/>
        <w:jc w:val="left"/>
        <w:rPr>
          <w:rFonts w:ascii="宋体"/>
          <w:b/>
          <w:sz w:val="44"/>
          <w:szCs w:val="44"/>
        </w:rPr>
      </w:pPr>
    </w:p>
    <w:p w14:paraId="40E28FA4">
      <w:pPr>
        <w:pStyle w:val="38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财政拨款收入：指单位从同级财政部门取得的财政预算资金。</w:t>
      </w:r>
    </w:p>
    <w:p w14:paraId="63E1891D">
      <w:pPr>
        <w:pStyle w:val="38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年初结转和结余：指以前年度尚未完成、结转到本年按有关规定继续使用的资金。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</w:p>
    <w:p w14:paraId="2F257240">
      <w:pPr>
        <w:pStyle w:val="38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.年末结转和结余：指单位按有关规定结转到下年或以后年度继续使用的资金。</w:t>
      </w:r>
    </w:p>
    <w:p w14:paraId="19848BD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社会保障和就业（类）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208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（款）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01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（项）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50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指事业运行，（类）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208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（款）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05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（项）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05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是指机关事业单位基本养老保险缴费，（类）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208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（款）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05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（项）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06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机关事业单位职业年金缴费。</w:t>
      </w:r>
    </w:p>
    <w:p w14:paraId="68DBA10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卫生健康（类）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210</w:t>
      </w:r>
      <w:r>
        <w:rPr>
          <w:rFonts w:hint="eastAsia" w:ascii="仿宋_GB2312" w:eastAsia="仿宋_GB2312"/>
          <w:sz w:val="32"/>
          <w:szCs w:val="32"/>
        </w:rPr>
        <w:t>（款）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（项）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</w:t>
      </w:r>
      <w:r>
        <w:rPr>
          <w:rFonts w:hint="eastAsia" w:ascii="仿宋_GB2312" w:eastAsia="仿宋_GB2312"/>
          <w:sz w:val="32"/>
          <w:szCs w:val="32"/>
        </w:rPr>
        <w:t>指</w:t>
      </w:r>
      <w:r>
        <w:rPr>
          <w:rFonts w:hint="eastAsia" w:ascii="仿宋_GB2312" w:eastAsia="仿宋_GB2312"/>
          <w:sz w:val="32"/>
          <w:szCs w:val="32"/>
          <w:lang w:eastAsia="zh-CN"/>
        </w:rPr>
        <w:t>事业单位医疗，</w:t>
      </w:r>
      <w:r>
        <w:rPr>
          <w:rFonts w:hint="eastAsia" w:ascii="仿宋_GB2312" w:eastAsia="仿宋_GB2312"/>
          <w:sz w:val="32"/>
          <w:szCs w:val="32"/>
        </w:rPr>
        <w:t>（类）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210</w:t>
      </w:r>
      <w:r>
        <w:rPr>
          <w:rFonts w:hint="eastAsia" w:ascii="仿宋_GB2312" w:eastAsia="仿宋_GB2312"/>
          <w:sz w:val="32"/>
          <w:szCs w:val="32"/>
        </w:rPr>
        <w:t>（款）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（项）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99支其他行政事业单位医疗支出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3B26210">
      <w:pPr>
        <w:pStyle w:val="4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567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住房保障（类）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221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（款）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02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（项）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01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</w:rPr>
        <w:t>：指住房公积金。</w:t>
      </w:r>
    </w:p>
    <w:p w14:paraId="61D701AA">
      <w:pPr>
        <w:spacing w:line="6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（解释本单位决算报表中涉及的全部功能分类科目至项级，不涉及的科目请自行删除。请参照《2023年政府收支分类科目》增减内容。）</w:t>
      </w:r>
    </w:p>
    <w:p w14:paraId="6D0E47F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基本支出：指为保障机构正常运转、完成日常工作任务而发生的人员支出和公用支出。</w:t>
      </w:r>
    </w:p>
    <w:p w14:paraId="38BD8D2E">
      <w:pPr>
        <w:pStyle w:val="38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“三公”经费：指单位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 w14:paraId="0B9437BE">
      <w:pPr>
        <w:pStyle w:val="38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机关运行经费：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02E663FA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（名词解释部分请根据各单位实际列支情况罗列，并根据本单位职责职能增减名词解释内容。）</w:t>
      </w:r>
    </w:p>
    <w:p w14:paraId="4EF7E544">
      <w:pPr>
        <w:spacing w:line="600" w:lineRule="exact"/>
        <w:jc w:val="center"/>
        <w:outlineLvl w:val="0"/>
        <w:rPr>
          <w:rStyle w:val="20"/>
          <w:rFonts w:ascii="黑体" w:hAnsi="黑体" w:eastAsia="黑体"/>
          <w:b w:val="0"/>
        </w:rPr>
      </w:pPr>
      <w:bookmarkStart w:id="51" w:name="_Toc15377226"/>
      <w:r>
        <w:rPr>
          <w:rFonts w:ascii="宋体"/>
          <w:b/>
          <w:sz w:val="44"/>
          <w:szCs w:val="44"/>
        </w:rPr>
        <w:br w:type="page"/>
      </w:r>
      <w:bookmarkStart w:id="52" w:name="_Toc15396614"/>
      <w:r>
        <w:rPr>
          <w:rFonts w:hint="eastAsia" w:ascii="黑体" w:hAnsi="黑体" w:eastAsia="黑体"/>
          <w:sz w:val="44"/>
          <w:szCs w:val="44"/>
        </w:rPr>
        <w:t>第</w:t>
      </w:r>
      <w:r>
        <w:rPr>
          <w:rStyle w:val="20"/>
          <w:rFonts w:hint="eastAsia" w:ascii="黑体" w:hAnsi="黑体" w:eastAsia="黑体"/>
          <w:b w:val="0"/>
        </w:rPr>
        <w:t>四部分 附件</w:t>
      </w:r>
      <w:bookmarkEnd w:id="52"/>
    </w:p>
    <w:p w14:paraId="74E047EA">
      <w:pPr>
        <w:spacing w:line="572" w:lineRule="exact"/>
        <w:jc w:val="left"/>
        <w:outlineLvl w:val="0"/>
        <w:rPr>
          <w:rFonts w:ascii="仿宋_GB2312" w:hAnsi="仿宋_GB2312" w:eastAsia="仿宋_GB2312" w:cs="仿宋_GB2312"/>
          <w:sz w:val="32"/>
          <w:szCs w:val="32"/>
        </w:rPr>
      </w:pPr>
    </w:p>
    <w:p w14:paraId="4668EF8B">
      <w:pPr>
        <w:spacing w:line="600" w:lineRule="exact"/>
        <w:jc w:val="center"/>
        <w:outlineLvl w:val="0"/>
        <w:rPr>
          <w:rFonts w:ascii="黑体" w:hAnsi="黑体" w:eastAsia="黑体"/>
          <w:color w:val="FF0000"/>
          <w:sz w:val="44"/>
          <w:szCs w:val="44"/>
        </w:rPr>
      </w:pPr>
      <w:bookmarkStart w:id="53" w:name="_Toc15396618"/>
      <w:r>
        <w:rPr>
          <w:rFonts w:hint="eastAsia"/>
          <w:sz w:val="32"/>
          <w:szCs w:val="32"/>
          <w:lang w:val="en-US" w:eastAsia="zh-CN"/>
        </w:rPr>
        <w:t>2023年无</w:t>
      </w:r>
      <w:r>
        <w:rPr>
          <w:rFonts w:hint="eastAsia"/>
          <w:sz w:val="32"/>
          <w:szCs w:val="32"/>
        </w:rPr>
        <w:t>部门预算项目支出</w:t>
      </w:r>
    </w:p>
    <w:p w14:paraId="1283C228">
      <w:pPr>
        <w:pStyle w:val="14"/>
        <w:spacing w:line="560" w:lineRule="exact"/>
        <w:ind w:left="0" w:leftChars="0" w:firstLine="640"/>
        <w:rPr>
          <w:sz w:val="32"/>
        </w:rPr>
      </w:pPr>
    </w:p>
    <w:p w14:paraId="39948B4E">
      <w:pPr>
        <w:pStyle w:val="6"/>
        <w:spacing w:before="93"/>
        <w:rPr>
          <w:rFonts w:hAnsi="Calibri" w:cs="仿宋"/>
          <w:sz w:val="32"/>
          <w:szCs w:val="32"/>
        </w:rPr>
      </w:pPr>
    </w:p>
    <w:p w14:paraId="0BA479FC">
      <w:pPr>
        <w:pStyle w:val="6"/>
        <w:spacing w:before="93"/>
        <w:rPr>
          <w:rFonts w:hAnsi="Calibri" w:cs="仿宋"/>
          <w:sz w:val="32"/>
          <w:szCs w:val="32"/>
        </w:rPr>
      </w:pPr>
    </w:p>
    <w:p w14:paraId="49B3EE5C">
      <w:pPr>
        <w:pStyle w:val="6"/>
        <w:spacing w:before="93"/>
        <w:rPr>
          <w:rFonts w:hAnsi="Calibri" w:cs="仿宋"/>
          <w:sz w:val="32"/>
          <w:szCs w:val="32"/>
        </w:rPr>
      </w:pPr>
    </w:p>
    <w:p w14:paraId="1F605E94">
      <w:pPr>
        <w:pStyle w:val="6"/>
        <w:spacing w:before="93"/>
        <w:rPr>
          <w:rFonts w:hAnsi="Calibri" w:cs="仿宋"/>
          <w:sz w:val="32"/>
          <w:szCs w:val="32"/>
        </w:rPr>
      </w:pPr>
    </w:p>
    <w:p w14:paraId="127A2AC4">
      <w:pPr>
        <w:pStyle w:val="6"/>
        <w:spacing w:before="93"/>
        <w:rPr>
          <w:rFonts w:hAnsi="Calibri" w:cs="仿宋"/>
          <w:sz w:val="32"/>
          <w:szCs w:val="32"/>
        </w:rPr>
      </w:pPr>
    </w:p>
    <w:p w14:paraId="3DA6BA1D">
      <w:pPr>
        <w:pStyle w:val="6"/>
        <w:spacing w:before="93"/>
        <w:rPr>
          <w:rFonts w:hAnsi="Calibri" w:cs="仿宋"/>
          <w:sz w:val="32"/>
          <w:szCs w:val="32"/>
        </w:rPr>
      </w:pPr>
    </w:p>
    <w:p w14:paraId="02569C1E">
      <w:pPr>
        <w:pStyle w:val="6"/>
        <w:spacing w:before="93"/>
        <w:rPr>
          <w:rFonts w:hAnsi="Calibri" w:cs="仿宋"/>
          <w:sz w:val="32"/>
          <w:szCs w:val="32"/>
        </w:rPr>
      </w:pPr>
    </w:p>
    <w:p w14:paraId="7B8ABC30">
      <w:pPr>
        <w:pStyle w:val="6"/>
        <w:spacing w:before="93"/>
        <w:rPr>
          <w:rFonts w:hAnsi="Calibri" w:cs="仿宋"/>
          <w:sz w:val="32"/>
          <w:szCs w:val="32"/>
        </w:rPr>
      </w:pPr>
    </w:p>
    <w:p w14:paraId="265DA1A6">
      <w:pPr>
        <w:pStyle w:val="6"/>
        <w:spacing w:before="93"/>
        <w:rPr>
          <w:rFonts w:hAnsi="Calibri" w:cs="仿宋"/>
          <w:sz w:val="32"/>
          <w:szCs w:val="32"/>
        </w:rPr>
      </w:pPr>
    </w:p>
    <w:p w14:paraId="2BB86E62">
      <w:pPr>
        <w:pStyle w:val="6"/>
        <w:spacing w:before="93"/>
        <w:rPr>
          <w:rFonts w:hAnsi="Calibri" w:cs="仿宋"/>
          <w:sz w:val="32"/>
          <w:szCs w:val="32"/>
        </w:rPr>
      </w:pPr>
    </w:p>
    <w:p w14:paraId="33A5F5DE">
      <w:pPr>
        <w:pStyle w:val="6"/>
        <w:spacing w:before="93"/>
        <w:rPr>
          <w:rFonts w:hAnsi="Calibri" w:cs="仿宋"/>
          <w:sz w:val="32"/>
          <w:szCs w:val="32"/>
        </w:rPr>
      </w:pPr>
    </w:p>
    <w:p w14:paraId="728F73CC">
      <w:pPr>
        <w:pStyle w:val="6"/>
        <w:spacing w:before="93"/>
        <w:rPr>
          <w:rFonts w:hAnsi="Calibri" w:cs="仿宋"/>
          <w:sz w:val="32"/>
          <w:szCs w:val="32"/>
        </w:rPr>
      </w:pPr>
    </w:p>
    <w:p w14:paraId="4E80D342">
      <w:pPr>
        <w:pStyle w:val="6"/>
        <w:spacing w:before="93"/>
        <w:rPr>
          <w:rFonts w:hAnsi="Calibri" w:cs="仿宋"/>
          <w:sz w:val="32"/>
          <w:szCs w:val="32"/>
        </w:rPr>
      </w:pPr>
    </w:p>
    <w:p w14:paraId="60234C4E">
      <w:pPr>
        <w:pStyle w:val="6"/>
        <w:spacing w:before="93"/>
        <w:rPr>
          <w:rFonts w:hAnsi="Calibri" w:cs="仿宋"/>
          <w:sz w:val="32"/>
          <w:szCs w:val="32"/>
        </w:rPr>
      </w:pPr>
    </w:p>
    <w:p w14:paraId="361CB1E1">
      <w:pPr>
        <w:pStyle w:val="6"/>
        <w:spacing w:before="93"/>
        <w:rPr>
          <w:rFonts w:hAnsi="Calibri" w:cs="仿宋"/>
          <w:sz w:val="32"/>
          <w:szCs w:val="32"/>
        </w:rPr>
      </w:pPr>
    </w:p>
    <w:p w14:paraId="6ACA6EB4">
      <w:pPr>
        <w:pStyle w:val="6"/>
        <w:spacing w:before="93"/>
        <w:rPr>
          <w:rFonts w:hAnsi="Calibri" w:cs="仿宋"/>
          <w:sz w:val="32"/>
          <w:szCs w:val="32"/>
        </w:rPr>
      </w:pPr>
    </w:p>
    <w:p w14:paraId="545A0647">
      <w:pPr>
        <w:spacing w:line="600" w:lineRule="exact"/>
        <w:jc w:val="center"/>
        <w:outlineLvl w:val="0"/>
        <w:rPr>
          <w:rFonts w:ascii="仿宋" w:hAnsi="仿宋" w:eastAsia="仿宋"/>
        </w:rPr>
      </w:pPr>
      <w:r>
        <w:rPr>
          <w:rFonts w:hint="eastAsia" w:ascii="黑体" w:hAnsi="黑体" w:eastAsia="黑体"/>
          <w:sz w:val="44"/>
          <w:szCs w:val="44"/>
        </w:rPr>
        <w:t>第</w:t>
      </w:r>
      <w:r>
        <w:rPr>
          <w:rStyle w:val="20"/>
          <w:rFonts w:hint="eastAsia" w:ascii="黑体" w:hAnsi="黑体" w:eastAsia="黑体"/>
          <w:b w:val="0"/>
        </w:rPr>
        <w:t>五部分 附表</w:t>
      </w:r>
      <w:bookmarkEnd w:id="51"/>
      <w:bookmarkEnd w:id="53"/>
      <w:bookmarkStart w:id="54" w:name="_Toc15396619"/>
    </w:p>
    <w:p w14:paraId="6BC29F16">
      <w:pPr>
        <w:pStyle w:val="4"/>
        <w:rPr>
          <w:rFonts w:ascii="仿宋" w:hAnsi="仿宋" w:eastAsia="仿宋"/>
        </w:rPr>
      </w:pPr>
      <w:r>
        <w:rPr>
          <w:rFonts w:hint="eastAsia" w:ascii="仿宋" w:hAnsi="仿宋" w:eastAsia="仿宋"/>
          <w:b w:val="0"/>
        </w:rPr>
        <w:t>一、收</w:t>
      </w:r>
      <w:r>
        <w:rPr>
          <w:rStyle w:val="21"/>
          <w:rFonts w:hint="eastAsia" w:ascii="仿宋" w:hAnsi="仿宋" w:eastAsia="仿宋"/>
          <w:b w:val="0"/>
          <w:bCs w:val="0"/>
        </w:rPr>
        <w:t>入支出决算总表</w:t>
      </w:r>
      <w:bookmarkEnd w:id="54"/>
    </w:p>
    <w:p w14:paraId="4373746B">
      <w:pPr>
        <w:pStyle w:val="4"/>
        <w:rPr>
          <w:rFonts w:ascii="仿宋" w:hAnsi="仿宋" w:eastAsia="仿宋"/>
        </w:rPr>
      </w:pPr>
      <w:bookmarkStart w:id="55" w:name="_Toc15396620"/>
      <w:r>
        <w:rPr>
          <w:rFonts w:hint="eastAsia" w:ascii="仿宋" w:hAnsi="仿宋" w:eastAsia="仿宋"/>
          <w:b w:val="0"/>
        </w:rPr>
        <w:t>二、收</w:t>
      </w:r>
      <w:r>
        <w:rPr>
          <w:rStyle w:val="21"/>
          <w:rFonts w:hint="eastAsia" w:ascii="仿宋" w:hAnsi="仿宋" w:eastAsia="仿宋"/>
          <w:b w:val="0"/>
          <w:bCs w:val="0"/>
        </w:rPr>
        <w:t>入决算表</w:t>
      </w:r>
      <w:bookmarkEnd w:id="55"/>
    </w:p>
    <w:p w14:paraId="2CA06CED">
      <w:pPr>
        <w:pStyle w:val="4"/>
        <w:rPr>
          <w:rFonts w:ascii="仿宋" w:hAnsi="仿宋" w:eastAsia="仿宋"/>
        </w:rPr>
      </w:pPr>
      <w:bookmarkStart w:id="56" w:name="_Toc15396621"/>
      <w:r>
        <w:rPr>
          <w:rStyle w:val="21"/>
          <w:rFonts w:hint="eastAsia" w:ascii="仿宋" w:hAnsi="仿宋" w:eastAsia="仿宋"/>
          <w:b w:val="0"/>
          <w:bCs w:val="0"/>
        </w:rPr>
        <w:t>三、</w:t>
      </w:r>
      <w:r>
        <w:rPr>
          <w:rFonts w:hint="eastAsia" w:ascii="仿宋" w:hAnsi="仿宋" w:eastAsia="仿宋"/>
          <w:b w:val="0"/>
        </w:rPr>
        <w:t>支</w:t>
      </w:r>
      <w:r>
        <w:rPr>
          <w:rStyle w:val="21"/>
          <w:rFonts w:hint="eastAsia" w:ascii="仿宋" w:hAnsi="仿宋" w:eastAsia="仿宋"/>
          <w:b w:val="0"/>
          <w:bCs w:val="0"/>
        </w:rPr>
        <w:t>出决算表</w:t>
      </w:r>
      <w:bookmarkEnd w:id="56"/>
    </w:p>
    <w:p w14:paraId="1181F4F1">
      <w:pPr>
        <w:pStyle w:val="4"/>
        <w:rPr>
          <w:rFonts w:ascii="仿宋" w:hAnsi="仿宋" w:eastAsia="仿宋"/>
          <w:b w:val="0"/>
        </w:rPr>
      </w:pPr>
      <w:bookmarkStart w:id="57" w:name="_Toc15396622"/>
      <w:r>
        <w:rPr>
          <w:rStyle w:val="21"/>
          <w:rFonts w:hint="eastAsia" w:ascii="仿宋" w:hAnsi="仿宋" w:eastAsia="仿宋"/>
          <w:b w:val="0"/>
          <w:bCs w:val="0"/>
        </w:rPr>
        <w:t>四、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21"/>
          <w:rFonts w:hint="eastAsia" w:ascii="仿宋" w:hAnsi="仿宋" w:eastAsia="仿宋"/>
          <w:b w:val="0"/>
          <w:bCs w:val="0"/>
        </w:rPr>
        <w:t>政拨款收入支出决算总表</w:t>
      </w:r>
      <w:bookmarkEnd w:id="57"/>
    </w:p>
    <w:p w14:paraId="1BA8F307">
      <w:pPr>
        <w:pStyle w:val="4"/>
        <w:rPr>
          <w:rStyle w:val="21"/>
          <w:rFonts w:ascii="仿宋" w:hAnsi="仿宋" w:eastAsia="仿宋"/>
          <w:b w:val="0"/>
          <w:bCs w:val="0"/>
        </w:rPr>
      </w:pPr>
      <w:bookmarkStart w:id="58" w:name="_Toc15396623"/>
      <w:r>
        <w:rPr>
          <w:rStyle w:val="21"/>
          <w:rFonts w:hint="eastAsia" w:ascii="仿宋" w:hAnsi="仿宋" w:eastAsia="仿宋"/>
          <w:b w:val="0"/>
          <w:bCs w:val="0"/>
        </w:rPr>
        <w:t>五、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21"/>
          <w:rFonts w:hint="eastAsia" w:ascii="仿宋" w:hAnsi="仿宋" w:eastAsia="仿宋"/>
          <w:b w:val="0"/>
          <w:bCs w:val="0"/>
        </w:rPr>
        <w:t>政拨款支出决算明细表</w:t>
      </w:r>
      <w:bookmarkEnd w:id="58"/>
      <w:bookmarkStart w:id="59" w:name="_Toc15396624"/>
    </w:p>
    <w:p w14:paraId="5BCD0438">
      <w:pPr>
        <w:pStyle w:val="4"/>
        <w:rPr>
          <w:rFonts w:ascii="仿宋" w:hAnsi="仿宋" w:eastAsia="仿宋"/>
        </w:rPr>
      </w:pPr>
      <w:r>
        <w:rPr>
          <w:rStyle w:val="21"/>
          <w:rFonts w:hint="eastAsia" w:ascii="仿宋" w:hAnsi="仿宋" w:eastAsia="仿宋"/>
          <w:b w:val="0"/>
          <w:bCs w:val="0"/>
        </w:rPr>
        <w:t>六、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21"/>
          <w:rFonts w:hint="eastAsia" w:ascii="仿宋" w:hAnsi="仿宋" w:eastAsia="仿宋"/>
          <w:b w:val="0"/>
          <w:bCs w:val="0"/>
        </w:rPr>
        <w:t>般公共预算财政拨款支出决算表</w:t>
      </w:r>
      <w:bookmarkEnd w:id="59"/>
    </w:p>
    <w:p w14:paraId="413A640E">
      <w:pPr>
        <w:pStyle w:val="4"/>
        <w:rPr>
          <w:rFonts w:ascii="仿宋" w:hAnsi="仿宋" w:eastAsia="仿宋"/>
        </w:rPr>
      </w:pPr>
      <w:bookmarkStart w:id="60" w:name="_Toc15396625"/>
      <w:r>
        <w:rPr>
          <w:rStyle w:val="21"/>
          <w:rFonts w:hint="eastAsia" w:ascii="仿宋" w:hAnsi="仿宋" w:eastAsia="仿宋"/>
          <w:b w:val="0"/>
          <w:bCs w:val="0"/>
        </w:rPr>
        <w:t>七、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21"/>
          <w:rFonts w:hint="eastAsia" w:ascii="仿宋" w:hAnsi="仿宋" w:eastAsia="仿宋"/>
          <w:b w:val="0"/>
          <w:bCs w:val="0"/>
        </w:rPr>
        <w:t>般公共预算财政拨款支出决算明细表</w:t>
      </w:r>
      <w:bookmarkEnd w:id="60"/>
    </w:p>
    <w:p w14:paraId="10C58A87">
      <w:pPr>
        <w:pStyle w:val="4"/>
        <w:rPr>
          <w:rFonts w:ascii="仿宋" w:hAnsi="仿宋" w:eastAsia="仿宋"/>
        </w:rPr>
      </w:pPr>
      <w:bookmarkStart w:id="61" w:name="_Toc15396626"/>
      <w:r>
        <w:rPr>
          <w:rStyle w:val="21"/>
          <w:rFonts w:hint="eastAsia" w:ascii="仿宋" w:hAnsi="仿宋" w:eastAsia="仿宋"/>
          <w:b w:val="0"/>
          <w:bCs w:val="0"/>
        </w:rPr>
        <w:t>八、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21"/>
          <w:rFonts w:hint="eastAsia" w:ascii="仿宋" w:hAnsi="仿宋" w:eastAsia="仿宋"/>
          <w:b w:val="0"/>
          <w:bCs w:val="0"/>
        </w:rPr>
        <w:t>般公共预算财政拨款基本支出决算表</w:t>
      </w:r>
      <w:bookmarkEnd w:id="61"/>
    </w:p>
    <w:p w14:paraId="36C9672D">
      <w:pPr>
        <w:pStyle w:val="4"/>
        <w:rPr>
          <w:rFonts w:ascii="仿宋" w:hAnsi="仿宋" w:eastAsia="仿宋"/>
        </w:rPr>
      </w:pPr>
      <w:bookmarkStart w:id="62" w:name="_Toc15396627"/>
      <w:r>
        <w:rPr>
          <w:rStyle w:val="21"/>
          <w:rFonts w:hint="eastAsia" w:ascii="仿宋" w:hAnsi="仿宋" w:eastAsia="仿宋"/>
          <w:b w:val="0"/>
          <w:bCs w:val="0"/>
        </w:rPr>
        <w:t>九、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21"/>
          <w:rFonts w:hint="eastAsia" w:ascii="仿宋" w:hAnsi="仿宋" w:eastAsia="仿宋"/>
          <w:b w:val="0"/>
          <w:bCs w:val="0"/>
        </w:rPr>
        <w:t>般公共预算财政拨款项目支出决算表</w:t>
      </w:r>
      <w:bookmarkEnd w:id="62"/>
    </w:p>
    <w:p w14:paraId="5BE9C0BE">
      <w:pPr>
        <w:pStyle w:val="4"/>
        <w:rPr>
          <w:rFonts w:ascii="仿宋" w:hAnsi="仿宋" w:eastAsia="仿宋"/>
        </w:rPr>
      </w:pPr>
      <w:bookmarkStart w:id="63" w:name="_Toc15396628"/>
      <w:r>
        <w:rPr>
          <w:rStyle w:val="21"/>
          <w:rFonts w:hint="eastAsia" w:ascii="仿宋" w:hAnsi="仿宋" w:eastAsia="仿宋"/>
          <w:b w:val="0"/>
          <w:bCs w:val="0"/>
        </w:rPr>
        <w:t>十、</w:t>
      </w:r>
      <w:bookmarkEnd w:id="63"/>
      <w:r>
        <w:rPr>
          <w:rFonts w:hint="eastAsia" w:ascii="仿宋" w:hAnsi="仿宋" w:eastAsia="仿宋"/>
          <w:b w:val="0"/>
        </w:rPr>
        <w:t>政</w:t>
      </w:r>
      <w:r>
        <w:rPr>
          <w:rStyle w:val="21"/>
          <w:rFonts w:hint="eastAsia" w:ascii="仿宋" w:hAnsi="仿宋" w:eastAsia="仿宋"/>
          <w:b w:val="0"/>
          <w:bCs w:val="0"/>
        </w:rPr>
        <w:t>府性基金预算财政拨款收入支出决算表</w:t>
      </w:r>
    </w:p>
    <w:p w14:paraId="5A44AA54">
      <w:pPr>
        <w:pStyle w:val="4"/>
        <w:rPr>
          <w:rFonts w:ascii="仿宋" w:hAnsi="仿宋" w:eastAsia="仿宋"/>
        </w:rPr>
      </w:pPr>
      <w:bookmarkStart w:id="64" w:name="_Toc15396629"/>
      <w:r>
        <w:rPr>
          <w:rStyle w:val="21"/>
          <w:rFonts w:hint="eastAsia" w:ascii="仿宋" w:hAnsi="仿宋" w:eastAsia="仿宋"/>
          <w:b w:val="0"/>
          <w:bCs w:val="0"/>
        </w:rPr>
        <w:t>十一、</w:t>
      </w:r>
      <w:bookmarkEnd w:id="64"/>
      <w:r>
        <w:rPr>
          <w:rFonts w:hint="eastAsia" w:ascii="仿宋" w:hAnsi="仿宋" w:eastAsia="仿宋"/>
          <w:b w:val="0"/>
        </w:rPr>
        <w:t>国</w:t>
      </w:r>
      <w:r>
        <w:rPr>
          <w:rStyle w:val="21"/>
          <w:rFonts w:hint="eastAsia" w:ascii="仿宋" w:hAnsi="仿宋" w:eastAsia="仿宋"/>
          <w:b w:val="0"/>
          <w:bCs w:val="0"/>
        </w:rPr>
        <w:t>有资本经营预算财政拨款收入支出决算表</w:t>
      </w:r>
    </w:p>
    <w:p w14:paraId="43DF3C85">
      <w:pPr>
        <w:pStyle w:val="4"/>
        <w:rPr>
          <w:rFonts w:ascii="仿宋" w:hAnsi="仿宋" w:eastAsia="仿宋"/>
        </w:rPr>
      </w:pPr>
      <w:bookmarkStart w:id="65" w:name="_Toc15396630"/>
      <w:r>
        <w:rPr>
          <w:rStyle w:val="21"/>
          <w:rFonts w:hint="eastAsia" w:ascii="仿宋" w:hAnsi="仿宋" w:eastAsia="仿宋"/>
          <w:b w:val="0"/>
          <w:bCs w:val="0"/>
        </w:rPr>
        <w:t>十二、</w:t>
      </w:r>
      <w:bookmarkEnd w:id="65"/>
      <w:r>
        <w:rPr>
          <w:rStyle w:val="21"/>
          <w:rFonts w:hint="eastAsia" w:ascii="仿宋" w:hAnsi="仿宋" w:eastAsia="仿宋"/>
          <w:b w:val="0"/>
          <w:bCs w:val="0"/>
        </w:rPr>
        <w:t>国有资本经营预算财政拨款支出决算表</w:t>
      </w:r>
    </w:p>
    <w:p w14:paraId="56183F76">
      <w:pPr>
        <w:pStyle w:val="4"/>
        <w:rPr>
          <w:rFonts w:eastAsia="仿宋"/>
        </w:rPr>
      </w:pPr>
      <w:bookmarkStart w:id="66" w:name="_Toc15396631"/>
      <w:r>
        <w:rPr>
          <w:rStyle w:val="21"/>
          <w:rFonts w:hint="eastAsia" w:ascii="仿宋" w:hAnsi="仿宋" w:eastAsia="仿宋"/>
          <w:b w:val="0"/>
          <w:bCs w:val="0"/>
        </w:rPr>
        <w:t>十三、</w:t>
      </w:r>
      <w:bookmarkEnd w:id="66"/>
      <w:r>
        <w:rPr>
          <w:rStyle w:val="21"/>
          <w:rFonts w:hint="eastAsia" w:ascii="仿宋" w:hAnsi="仿宋" w:eastAsia="仿宋"/>
          <w:b w:val="0"/>
          <w:bCs w:val="0"/>
        </w:rPr>
        <w:t>财政拨款“三公”经费支出决算表</w:t>
      </w:r>
    </w:p>
    <w:p w14:paraId="0896D10B">
      <w:pPr>
        <w:pStyle w:val="4"/>
        <w:rPr>
          <w:rFonts w:eastAsia="仿宋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79A22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15</w:t>
    </w:r>
    <w:r>
      <w:fldChar w:fldCharType="end"/>
    </w:r>
  </w:p>
  <w:p w14:paraId="04E193B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E942E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52CEC"/>
    <w:multiLevelType w:val="singleLevel"/>
    <w:tmpl w:val="CF652CE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FA047D"/>
    <w:multiLevelType w:val="singleLevel"/>
    <w:tmpl w:val="E2FA047D"/>
    <w:lvl w:ilvl="0" w:tentative="0">
      <w:start w:val="3"/>
      <w:numFmt w:val="chineseCounting"/>
      <w:suff w:val="space"/>
      <w:lvlText w:val="第%1部分"/>
      <w:lvlJc w:val="left"/>
      <w:rPr>
        <w:rFonts w:hint="eastAsia" w:ascii="黑体" w:hAnsi="黑体" w:eastAsia="黑体" w:cs="黑体"/>
        <w:sz w:val="44"/>
        <w:szCs w:val="44"/>
      </w:rPr>
    </w:lvl>
  </w:abstractNum>
  <w:abstractNum w:abstractNumId="2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MDFjNDRiNDI1ZjdjOWYyNTYzY2ViNmU5OWEwMmQifQ=="/>
  </w:docVars>
  <w:rsids>
    <w:rsidRoot w:val="00172A27"/>
    <w:rsid w:val="023E056C"/>
    <w:rsid w:val="08E4264E"/>
    <w:rsid w:val="09FB33BD"/>
    <w:rsid w:val="146A79E0"/>
    <w:rsid w:val="258F5DCF"/>
    <w:rsid w:val="32A66D30"/>
    <w:rsid w:val="40B96A80"/>
    <w:rsid w:val="4B2D5366"/>
    <w:rsid w:val="4DF947AF"/>
    <w:rsid w:val="6B2A561A"/>
    <w:rsid w:val="6C366168"/>
    <w:rsid w:val="723D360C"/>
    <w:rsid w:val="745B7B5D"/>
    <w:rsid w:val="782737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黑体"/>
      <w:b/>
      <w:bCs/>
      <w:kern w:val="2"/>
      <w:sz w:val="32"/>
      <w:szCs w:val="32"/>
    </w:rPr>
  </w:style>
  <w:style w:type="paragraph" w:styleId="5">
    <w:name w:val="heading 3"/>
    <w:basedOn w:val="1"/>
    <w:next w:val="1"/>
    <w:link w:val="22"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Times New Roman" w:hAnsi="Times New Roman"/>
      <w:b/>
      <w:bCs/>
      <w:kern w:val="2"/>
      <w:sz w:val="32"/>
      <w:szCs w:val="32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6">
    <w:name w:val="Body Text"/>
    <w:basedOn w:val="1"/>
    <w:link w:val="23"/>
    <w:qFormat/>
    <w:uiPriority w:val="0"/>
    <w:pPr>
      <w:spacing w:before="93" w:beforeLines="30"/>
    </w:pPr>
    <w:rPr>
      <w:rFonts w:ascii="仿宋_GB2312" w:hAnsi="Times New Roman" w:eastAsia="仿宋_GB2312"/>
      <w:sz w:val="24"/>
    </w:r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  <w:rPr>
      <w:rFonts w:ascii="仿宋_GB2312"/>
      <w:szCs w:val="32"/>
    </w:rPr>
  </w:style>
  <w:style w:type="paragraph" w:styleId="8">
    <w:name w:val="toc 3"/>
    <w:basedOn w:val="1"/>
    <w:next w:val="1"/>
    <w:qFormat/>
    <w:uiPriority w:val="0"/>
    <w:pPr>
      <w:tabs>
        <w:tab w:val="right" w:leader="dot" w:pos="8296"/>
      </w:tabs>
      <w:ind w:left="840" w:leftChars="400"/>
    </w:pPr>
  </w:style>
  <w:style w:type="paragraph" w:styleId="9">
    <w:name w:val="Balloon Text"/>
    <w:basedOn w:val="1"/>
    <w:link w:val="24"/>
    <w:qFormat/>
    <w:uiPriority w:val="0"/>
    <w:rPr>
      <w:rFonts w:ascii="Times New Roman" w:hAnsi="Times New Roman"/>
      <w:kern w:val="2"/>
      <w:sz w:val="18"/>
      <w:szCs w:val="18"/>
    </w:rPr>
  </w:style>
  <w:style w:type="paragraph" w:styleId="10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toc 1"/>
    <w:basedOn w:val="1"/>
    <w:next w:val="1"/>
    <w:qFormat/>
    <w:uiPriority w:val="0"/>
    <w:pPr>
      <w:tabs>
        <w:tab w:val="right" w:leader="dot" w:pos="8296"/>
      </w:tabs>
      <w:spacing w:before="93" w:beforeLines="0"/>
      <w:jc w:val="center"/>
    </w:pPr>
    <w:rPr>
      <w:rFonts w:ascii="仿宋" w:hAnsi="仿宋" w:eastAsia="仿宋"/>
      <w:sz w:val="28"/>
      <w:szCs w:val="28"/>
    </w:rPr>
  </w:style>
  <w:style w:type="paragraph" w:styleId="13">
    <w:name w:val="toc 2"/>
    <w:basedOn w:val="1"/>
    <w:next w:val="1"/>
    <w:qFormat/>
    <w:uiPriority w:val="0"/>
    <w:pPr>
      <w:tabs>
        <w:tab w:val="right" w:leader="dot" w:pos="8296"/>
      </w:tabs>
      <w:ind w:left="420" w:leftChars="200"/>
    </w:pPr>
  </w:style>
  <w:style w:type="paragraph" w:styleId="14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character" w:customStyle="1" w:styleId="20">
    <w:name w:val="标题 1 字符"/>
    <w:basedOn w:val="17"/>
    <w:link w:val="3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1">
    <w:name w:val="标题 2 字符"/>
    <w:basedOn w:val="17"/>
    <w:link w:val="4"/>
    <w:qFormat/>
    <w:uiPriority w:val="0"/>
    <w:rPr>
      <w:rFonts w:ascii="Cambria" w:hAnsi="Cambria" w:eastAsia="宋体" w:cs="黑体"/>
      <w:b/>
      <w:bCs/>
      <w:kern w:val="2"/>
      <w:sz w:val="32"/>
      <w:szCs w:val="32"/>
    </w:rPr>
  </w:style>
  <w:style w:type="character" w:customStyle="1" w:styleId="22">
    <w:name w:val="标题 3 字符"/>
    <w:basedOn w:val="17"/>
    <w:link w:val="5"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23">
    <w:name w:val="正文文本 字符"/>
    <w:link w:val="6"/>
    <w:qFormat/>
    <w:uiPriority w:val="0"/>
    <w:rPr>
      <w:rFonts w:ascii="仿宋_GB2312" w:hAnsi="Times New Roman" w:eastAsia="仿宋_GB2312"/>
      <w:sz w:val="24"/>
    </w:rPr>
  </w:style>
  <w:style w:type="character" w:customStyle="1" w:styleId="24">
    <w:name w:val="批注框文本 字符"/>
    <w:basedOn w:val="17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5">
    <w:name w:val="页脚 字符"/>
    <w:link w:val="10"/>
    <w:qFormat/>
    <w:uiPriority w:val="0"/>
    <w:rPr>
      <w:sz w:val="18"/>
    </w:rPr>
  </w:style>
  <w:style w:type="character" w:customStyle="1" w:styleId="26">
    <w:name w:val="页眉 字符"/>
    <w:link w:val="11"/>
    <w:qFormat/>
    <w:uiPriority w:val="0"/>
    <w:rPr>
      <w:sz w:val="18"/>
    </w:rPr>
  </w:style>
  <w:style w:type="character" w:customStyle="1" w:styleId="27">
    <w:name w:val="Body Text Char"/>
    <w:basedOn w:val="17"/>
    <w:qFormat/>
    <w:uiPriority w:val="0"/>
    <w:rPr>
      <w:rFonts w:ascii="Times New Roman" w:hAnsi="Times New Roman"/>
      <w:szCs w:val="24"/>
    </w:rPr>
  </w:style>
  <w:style w:type="character" w:customStyle="1" w:styleId="28">
    <w:name w:val="Header Char"/>
    <w:basedOn w:val="17"/>
    <w:qFormat/>
    <w:uiPriority w:val="0"/>
    <w:rPr>
      <w:rFonts w:ascii="Times New Roman" w:hAnsi="Times New Roman"/>
      <w:sz w:val="18"/>
      <w:szCs w:val="18"/>
    </w:rPr>
  </w:style>
  <w:style w:type="character" w:customStyle="1" w:styleId="29">
    <w:name w:val="Footer Char"/>
    <w:basedOn w:val="17"/>
    <w:qFormat/>
    <w:uiPriority w:val="0"/>
    <w:rPr>
      <w:rFonts w:ascii="Times New Roman" w:hAnsi="Times New Roman"/>
      <w:sz w:val="18"/>
      <w:szCs w:val="18"/>
    </w:rPr>
  </w:style>
  <w:style w:type="character" w:customStyle="1" w:styleId="30">
    <w:name w:val="15"/>
    <w:basedOn w:val="17"/>
    <w:qFormat/>
    <w:uiPriority w:val="0"/>
    <w:rPr>
      <w:rFonts w:hint="default" w:ascii="Times New Roman" w:hAnsi="Times New Roman" w:cs="Times New Roman"/>
      <w:b/>
    </w:rPr>
  </w:style>
  <w:style w:type="paragraph" w:customStyle="1" w:styleId="31">
    <w:name w:val="TOC 标题2"/>
    <w:basedOn w:val="3"/>
    <w:next w:val="1"/>
    <w:qFormat/>
    <w:uiPriority w:val="0"/>
    <w:pPr>
      <w:widowControl/>
      <w:spacing w:before="480" w:beforeLines="0" w:after="0" w:afterLines="0" w:line="276" w:lineRule="auto"/>
      <w:jc w:val="left"/>
      <w:outlineLvl w:val="9"/>
    </w:pPr>
    <w:rPr>
      <w:rFonts w:ascii="Cambria" w:hAnsi="Cambria" w:eastAsia="宋体" w:cs="黑体"/>
      <w:color w:val="365F90"/>
      <w:kern w:val="0"/>
      <w:sz w:val="28"/>
      <w:szCs w:val="28"/>
    </w:rPr>
  </w:style>
  <w:style w:type="paragraph" w:customStyle="1" w:styleId="32">
    <w:name w:val="Body Text Indent"/>
    <w:basedOn w:val="1"/>
    <w:qFormat/>
    <w:uiPriority w:val="0"/>
    <w:pPr>
      <w:spacing w:after="120" w:afterLines="0"/>
      <w:ind w:left="200" w:leftChars="200"/>
    </w:pPr>
    <w:rPr>
      <w:rFonts w:ascii="仿宋_GB2312"/>
      <w:szCs w:val="32"/>
    </w:rPr>
  </w:style>
  <w:style w:type="paragraph" w:customStyle="1" w:styleId="33">
    <w:name w:val="Body Text First Indent 2"/>
    <w:basedOn w:val="32"/>
    <w:qFormat/>
    <w:uiPriority w:val="0"/>
    <w:pPr>
      <w:ind w:firstLine="420" w:firstLineChars="200"/>
    </w:pPr>
  </w:style>
  <w:style w:type="paragraph" w:customStyle="1" w:styleId="34">
    <w:name w:val="标题 5（有编号）（绿盟科技）"/>
    <w:next w:val="1"/>
    <w:qFormat/>
    <w:uiPriority w:val="0"/>
    <w:pPr>
      <w:keepNext/>
      <w:keepLines/>
      <w:widowControl w:val="0"/>
      <w:spacing w:before="280" w:beforeLines="0" w:after="156" w:afterLines="0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</w:rPr>
  </w:style>
  <w:style w:type="paragraph" w:customStyle="1" w:styleId="3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6">
    <w:name w:val="List Paragraph"/>
    <w:basedOn w:val="1"/>
    <w:qFormat/>
    <w:uiPriority w:val="0"/>
    <w:pPr>
      <w:ind w:firstLine="420" w:firstLineChars="200"/>
    </w:pPr>
  </w:style>
  <w:style w:type="paragraph" w:customStyle="1" w:styleId="3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</w:rPr>
  </w:style>
  <w:style w:type="paragraph" w:customStyle="1" w:styleId="39">
    <w:name w:val="TOC 标题1"/>
    <w:basedOn w:val="3"/>
    <w:next w:val="1"/>
    <w:qFormat/>
    <w:uiPriority w:val="0"/>
    <w:pPr>
      <w:widowControl/>
      <w:spacing w:before="480" w:beforeLines="0" w:after="0" w:afterLines="0" w:line="276" w:lineRule="auto"/>
      <w:jc w:val="left"/>
      <w:outlineLvl w:val="9"/>
    </w:pPr>
    <w:rPr>
      <w:rFonts w:ascii="Cambria" w:hAnsi="Cambria" w:eastAsia="宋体" w:cs="黑体"/>
      <w:color w:val="365F90"/>
      <w:kern w:val="0"/>
      <w:sz w:val="28"/>
      <w:szCs w:val="28"/>
    </w:rPr>
  </w:style>
  <w:style w:type="paragraph" w:customStyle="1" w:styleId="40">
    <w:name w:val="普通(网站) Char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41">
    <w:name w:val="四号正文"/>
    <w:basedOn w:val="1"/>
    <w:qFormat/>
    <w:uiPriority w:val="0"/>
    <w:pPr>
      <w:spacing w:line="360" w:lineRule="auto"/>
    </w:pPr>
    <w:rPr>
      <w:rFonts w:ascii="??" w:hAnsi="??"/>
      <w:color w:val="000000"/>
      <w:kern w:val="0"/>
      <w:sz w:val="28"/>
      <w:szCs w:val="21"/>
      <w:lang w:val="zh-CN"/>
    </w:rPr>
  </w:style>
  <w:style w:type="paragraph" w:customStyle="1" w:styleId="42">
    <w:name w:val="常用样式（方正仿宋简）"/>
    <w:basedOn w:val="1"/>
    <w:qFormat/>
    <w:uiPriority w:val="0"/>
    <w:pPr>
      <w:spacing w:before="0" w:beforeAutospacing="0" w:after="0" w:afterAutospacing="0" w:line="560" w:lineRule="exact"/>
      <w:ind w:left="0" w:right="0" w:firstLine="640" w:firstLineChars="200"/>
      <w:jc w:val="left"/>
    </w:pPr>
    <w:rPr>
      <w:rFonts w:hint="default" w:ascii="Times New Roman" w:hAnsi="Times New Roman" w:eastAsia="方正仿宋简体" w:cs="宋体"/>
      <w:kern w:val="0"/>
      <w:sz w:val="32"/>
      <w:szCs w:val="32"/>
      <w:lang w:val="en-US" w:eastAsia="zh-CN" w:bidi="ar"/>
    </w:rPr>
  </w:style>
  <w:style w:type="character" w:customStyle="1" w:styleId="43">
    <w:name w:val="16"/>
    <w:basedOn w:val="17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15</Pages>
  <Words>7095</Words>
  <Characters>7696</Characters>
  <Lines>54</Lines>
  <Paragraphs>15</Paragraphs>
  <TotalTime>0</TotalTime>
  <ScaleCrop>false</ScaleCrop>
  <LinksUpToDate>false</LinksUpToDate>
  <CharactersWithSpaces>7715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2020-08-08T01:49:00Z</dcterms:created>
  <dc:creator>曹颖</dc:creator>
  <cp:lastModifiedBy>奕夕^_^</cp:lastModifiedBy>
  <cp:lastPrinted>2023-08-03T02:35:00Z</cp:lastPrinted>
  <dcterms:modified xsi:type="dcterms:W3CDTF">2024-09-19T08:37:53Z</dcterms:modified>
  <dc:title>342438005@qq.com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D8A32AB990944A658D2128B53D9A7735_13</vt:lpwstr>
  </property>
</Properties>
</file>