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487CE">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4FBD5ACE">
      <w:pPr>
        <w:pStyle w:val="12"/>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p>
    <w:p w14:paraId="3C276929">
      <w:pPr>
        <w:pStyle w:val="12"/>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专项预算项目绩效评价报告范本</w:t>
      </w:r>
    </w:p>
    <w:p w14:paraId="348C5880">
      <w:pPr>
        <w:pStyle w:val="12"/>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18C4A281">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35833A27">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14:paraId="25F87C9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为贯彻落实好各项就业创业政策，</w:t>
      </w:r>
      <w:bookmarkStart w:id="1" w:name="_GoBack"/>
      <w:bookmarkEnd w:id="1"/>
      <w:r>
        <w:rPr>
          <w:rFonts w:hint="eastAsia" w:ascii="仿宋_GB2312" w:hAnsi="仿宋_GB2312" w:cs="仿宋_GB2312"/>
          <w:color w:val="auto"/>
          <w:kern w:val="0"/>
          <w:sz w:val="32"/>
          <w:szCs w:val="32"/>
          <w:highlight w:val="none"/>
          <w:u w:val="none"/>
          <w:shd w:val="clear" w:color="auto" w:fill="FFFFFF"/>
          <w:lang w:val="en-US" w:eastAsia="zh-CN"/>
        </w:rPr>
        <w:t>规范中央和省级就业创业补助资金管理，提高资金使用绩效，根据川财社（2019）38号，就业创业专项补助资金按规定用于职业技能培训补贴、职业技能鉴定补贴、社会保险补贴、公益性岗位补贴、创业补贴、就业见习补贴等支出以及经省人民政府批准的其他支出项目。推动城镇新增就业，城镇失业人员和就业困难人员再就业计划的实施，重点支持大学生、就业困难人员、贫困家庭人员、返乡农民工等群体就业创业。</w:t>
      </w:r>
    </w:p>
    <w:p w14:paraId="5CA3ACE6">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hAnsi="仿宋_GB2312" w:cs="仿宋_GB2312"/>
          <w:color w:val="auto"/>
          <w:kern w:val="0"/>
          <w:sz w:val="32"/>
          <w:szCs w:val="32"/>
          <w:highlight w:val="none"/>
          <w:u w:val="none"/>
          <w:shd w:val="clear" w:color="auto" w:fill="FFFFFF"/>
          <w:lang w:val="en-US" w:eastAsia="zh-CN"/>
        </w:rPr>
        <w:t>资金，预算数680.69万元，预算执行数673.11万元，预算执行率98.89%。</w:t>
      </w:r>
    </w:p>
    <w:p w14:paraId="62EACD72">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hAnsi="仿宋_GB2312" w:cs="仿宋_GB2312"/>
          <w:color w:val="auto"/>
          <w:kern w:val="0"/>
          <w:sz w:val="32"/>
          <w:szCs w:val="32"/>
          <w:highlight w:val="none"/>
          <w:u w:val="none"/>
          <w:shd w:val="clear" w:color="auto" w:fill="FFFFFF"/>
          <w:lang w:val="en-US" w:eastAsia="zh-CN"/>
        </w:rPr>
        <w:t>资金主要遵循原则：</w:t>
      </w:r>
    </w:p>
    <w:p w14:paraId="719069EF">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（1）注重普惠、重点倾斜。落实各项就业创业政策，重点支持就业困难人员、建档立卡贫困劳动力、大学生、退役军人、农民工等群体就业创业，同时兼顾其他各类群体，促进城乡劳动者平等就业。</w:t>
      </w:r>
    </w:p>
    <w:p w14:paraId="7D197AB4">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（2）健全机制、激励约束。优化制度设计，奖补结合，强化激励与约束并重的机制效应，发挥政策执行部门、用人单位促进就业、稳定就业的主动性，调动城乡劳动者提升能力、主动就业、积极创业的积极性。</w:t>
      </w:r>
    </w:p>
    <w:p w14:paraId="038081F2">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（3）</w:t>
      </w:r>
      <w:r>
        <w:rPr>
          <w:rFonts w:hint="default" w:ascii="仿宋_GB2312" w:hAnsi="仿宋_GB2312" w:cs="仿宋_GB2312"/>
          <w:color w:val="auto"/>
          <w:kern w:val="0"/>
          <w:sz w:val="32"/>
          <w:szCs w:val="32"/>
          <w:highlight w:val="none"/>
          <w:u w:val="none"/>
          <w:shd w:val="clear" w:color="auto" w:fill="FFFFFF"/>
          <w:lang w:val="en-US" w:eastAsia="zh-CN"/>
        </w:rPr>
        <w:t>统筹使用、补缺补短。补助资金主要按照定向转移支付模式进行分配管理，根据本地实际统筹安排使用，重点用于就业创业领域最急需、最迫切的项目。</w:t>
      </w:r>
    </w:p>
    <w:p w14:paraId="6E60AED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（4）</w:t>
      </w:r>
      <w:r>
        <w:rPr>
          <w:rFonts w:hint="default" w:ascii="仿宋_GB2312" w:hAnsi="仿宋_GB2312" w:cs="仿宋_GB2312"/>
          <w:color w:val="auto"/>
          <w:kern w:val="0"/>
          <w:sz w:val="32"/>
          <w:szCs w:val="32"/>
          <w:highlight w:val="none"/>
          <w:u w:val="none"/>
          <w:shd w:val="clear" w:color="auto" w:fill="FFFFFF"/>
          <w:lang w:val="en-US" w:eastAsia="zh-CN"/>
        </w:rPr>
        <w:t>严格管理、强化绩效。健全管理制度，规范管理监督强化跟踪问效。对</w:t>
      </w:r>
      <w:r>
        <w:rPr>
          <w:rFonts w:hint="eastAsia" w:ascii="仿宋_GB2312" w:hAnsi="仿宋_GB2312" w:cs="仿宋_GB2312"/>
          <w:color w:val="auto"/>
          <w:kern w:val="0"/>
          <w:sz w:val="32"/>
          <w:szCs w:val="32"/>
          <w:highlight w:val="none"/>
          <w:u w:val="none"/>
          <w:shd w:val="clear" w:color="auto" w:fill="FFFFFF"/>
          <w:lang w:val="en-US" w:eastAsia="zh-CN"/>
        </w:rPr>
        <w:t>该</w:t>
      </w:r>
      <w:r>
        <w:rPr>
          <w:rFonts w:hint="default" w:ascii="仿宋_GB2312" w:hAnsi="仿宋_GB2312" w:cs="仿宋_GB2312"/>
          <w:color w:val="auto"/>
          <w:kern w:val="0"/>
          <w:sz w:val="32"/>
          <w:szCs w:val="32"/>
          <w:highlight w:val="none"/>
          <w:u w:val="none"/>
          <w:shd w:val="clear" w:color="auto" w:fill="FFFFFF"/>
          <w:lang w:val="en-US" w:eastAsia="zh-CN"/>
        </w:rPr>
        <w:t>补助资金使用情况实行绩效管理。</w:t>
      </w:r>
    </w:p>
    <w:p w14:paraId="01BCDFED">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14:paraId="731FA9FE">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cs="仿宋_GB2312"/>
          <w:color w:val="auto"/>
          <w:kern w:val="0"/>
          <w:sz w:val="32"/>
          <w:szCs w:val="32"/>
          <w:highlight w:val="none"/>
          <w:u w:val="none"/>
          <w:shd w:val="clear" w:color="auto" w:fill="FFFFFF"/>
          <w:lang w:val="en-US" w:eastAsia="zh-CN"/>
        </w:rPr>
        <w:t>为贯彻落实好各项就业创业政策，</w:t>
      </w:r>
      <w:r>
        <w:rPr>
          <w:rFonts w:hint="eastAsia" w:ascii="仿宋_GB2312" w:hAnsi="仿宋_GB2312" w:eastAsia="仿宋_GB2312" w:cs="仿宋_GB2312"/>
          <w:color w:val="auto"/>
          <w:kern w:val="0"/>
          <w:sz w:val="32"/>
          <w:szCs w:val="32"/>
          <w:highlight w:val="none"/>
          <w:u w:val="none"/>
          <w:shd w:val="clear" w:color="auto" w:fill="FFFFFF"/>
          <w:lang w:val="zh-CN"/>
        </w:rPr>
        <w:t>根据</w:t>
      </w:r>
      <w:r>
        <w:rPr>
          <w:rFonts w:hint="eastAsia" w:ascii="仿宋_GB2312" w:hAnsi="仿宋_GB2312" w:cs="仿宋_GB2312"/>
          <w:color w:val="auto"/>
          <w:kern w:val="0"/>
          <w:sz w:val="32"/>
          <w:szCs w:val="32"/>
          <w:highlight w:val="none"/>
          <w:u w:val="none"/>
          <w:shd w:val="clear" w:color="auto" w:fill="FFFFFF"/>
          <w:lang w:val="en-US" w:eastAsia="zh-CN"/>
        </w:rPr>
        <w:t>四川省</w:t>
      </w:r>
      <w:r>
        <w:rPr>
          <w:rFonts w:hint="eastAsia" w:ascii="仿宋_GB2312" w:hAnsi="仿宋_GB2312" w:eastAsia="仿宋_GB2312" w:cs="仿宋_GB2312"/>
          <w:color w:val="auto"/>
          <w:kern w:val="0"/>
          <w:sz w:val="32"/>
          <w:szCs w:val="32"/>
          <w:highlight w:val="none"/>
          <w:u w:val="none"/>
          <w:shd w:val="clear" w:color="auto" w:fill="FFFFFF"/>
          <w:lang w:val="zh-CN"/>
        </w:rPr>
        <w:t>财政厅</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cs="仿宋_GB2312"/>
          <w:color w:val="auto"/>
          <w:kern w:val="0"/>
          <w:sz w:val="32"/>
          <w:szCs w:val="32"/>
          <w:highlight w:val="none"/>
          <w:u w:val="none"/>
          <w:shd w:val="clear" w:color="auto" w:fill="FFFFFF"/>
          <w:lang w:val="en-US" w:eastAsia="zh-CN"/>
        </w:rPr>
        <w:t>四川省</w:t>
      </w:r>
      <w:r>
        <w:rPr>
          <w:rFonts w:hint="eastAsia" w:ascii="仿宋_GB2312" w:hAnsi="仿宋_GB2312" w:eastAsia="仿宋_GB2312" w:cs="仿宋_GB2312"/>
          <w:color w:val="auto"/>
          <w:kern w:val="0"/>
          <w:sz w:val="32"/>
          <w:szCs w:val="32"/>
          <w:highlight w:val="none"/>
          <w:u w:val="none"/>
          <w:shd w:val="clear" w:color="auto" w:fill="FFFFFF"/>
          <w:lang w:val="zh-CN"/>
        </w:rPr>
        <w:t>人力资源社会保障厅关于印发</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eastAsia="仿宋_GB2312" w:cs="仿宋_GB2312"/>
          <w:color w:val="auto"/>
          <w:kern w:val="0"/>
          <w:sz w:val="32"/>
          <w:szCs w:val="32"/>
          <w:highlight w:val="none"/>
          <w:u w:val="none"/>
          <w:shd w:val="clear" w:color="auto" w:fill="FFFFFF"/>
          <w:lang w:val="zh-CN"/>
        </w:rPr>
        <w:t>中央和省级就业创业补助资金管理办法</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eastAsia="仿宋_GB2312" w:cs="仿宋_GB2312"/>
          <w:color w:val="auto"/>
          <w:kern w:val="0"/>
          <w:sz w:val="32"/>
          <w:szCs w:val="32"/>
          <w:highlight w:val="none"/>
          <w:u w:val="none"/>
          <w:shd w:val="clear" w:color="auto" w:fill="FFFFFF"/>
          <w:lang w:val="zh-CN"/>
        </w:rPr>
        <w:t>的通知，我单位制定了《松潘县公共就业和人才交流服务中心关于中央和省级就业创业补助资金管理办法》，对就业创业补助资金实行专项管理，专款专用。</w:t>
      </w:r>
    </w:p>
    <w:p w14:paraId="4F99EDD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就业创业专项补助资金主要用于职业技能培训补贴、职业技能鉴定补贴、社会保险补贴、公益性岗位补贴、创业补贴、就业见习补贴等支出以及经省人民政府批准的其他支出项目。推动城镇新增就业，城镇失业人员和就业困难人员再就业计划的实施，重点支持大学生、就业困难人员、贫困家庭人员、返乡农民工等群体就业创业。</w:t>
      </w:r>
    </w:p>
    <w:p w14:paraId="4080B931">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14:paraId="50C09D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hAnsi="仿宋_GB2312" w:cs="仿宋_GB2312"/>
          <w:color w:val="auto"/>
          <w:kern w:val="0"/>
          <w:sz w:val="32"/>
          <w:szCs w:val="32"/>
          <w:highlight w:val="none"/>
          <w:u w:val="none"/>
          <w:shd w:val="clear" w:color="auto" w:fill="FFFFFF"/>
          <w:lang w:val="en-US" w:eastAsia="zh-CN"/>
        </w:rPr>
        <w:t>资金，</w:t>
      </w:r>
      <w:r>
        <w:rPr>
          <w:rFonts w:hint="eastAsia" w:ascii="仿宋_GB2312" w:hAnsi="仿宋_GB2312" w:eastAsia="仿宋_GB2312" w:cs="仿宋_GB2312"/>
          <w:sz w:val="32"/>
          <w:szCs w:val="32"/>
          <w:lang w:val="en-US" w:eastAsia="zh-CN"/>
        </w:rPr>
        <w:t>本项目年初预算资金</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lang w:val="en-US" w:eastAsia="zh-CN"/>
        </w:rPr>
        <w:t>万元，预算批复</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lang w:val="en-US" w:eastAsia="zh-CN"/>
        </w:rPr>
        <w:t>万元，年中发生预算调整，追加</w:t>
      </w:r>
      <w:r>
        <w:rPr>
          <w:rFonts w:hint="eastAsia" w:ascii="仿宋_GB2312" w:hAnsi="仿宋_GB2312" w:cs="仿宋_GB2312"/>
          <w:color w:val="auto"/>
          <w:kern w:val="0"/>
          <w:sz w:val="32"/>
          <w:szCs w:val="32"/>
          <w:highlight w:val="none"/>
          <w:u w:val="none"/>
          <w:shd w:val="clear" w:color="auto" w:fill="FFFFFF"/>
          <w:lang w:val="en-US" w:eastAsia="zh-CN"/>
        </w:rPr>
        <w:t>680.69</w:t>
      </w:r>
      <w:r>
        <w:rPr>
          <w:rFonts w:hint="eastAsia" w:ascii="仿宋_GB2312" w:hAnsi="仿宋_GB2312" w:eastAsia="仿宋_GB2312" w:cs="仿宋_GB2312"/>
          <w:sz w:val="32"/>
          <w:szCs w:val="32"/>
          <w:lang w:val="en-US" w:eastAsia="zh-CN"/>
        </w:rPr>
        <w:t>万元，调整后预算数</w:t>
      </w:r>
      <w:r>
        <w:rPr>
          <w:rFonts w:hint="eastAsia" w:ascii="仿宋_GB2312" w:hAnsi="仿宋_GB2312" w:cs="仿宋_GB2312"/>
          <w:color w:val="auto"/>
          <w:kern w:val="0"/>
          <w:sz w:val="32"/>
          <w:szCs w:val="32"/>
          <w:highlight w:val="none"/>
          <w:u w:val="none"/>
          <w:shd w:val="clear" w:color="auto" w:fill="FFFFFF"/>
          <w:lang w:val="en-US" w:eastAsia="zh-CN"/>
        </w:rPr>
        <w:t>680.69</w:t>
      </w:r>
      <w:r>
        <w:rPr>
          <w:rFonts w:hint="eastAsia" w:ascii="仿宋_GB2312" w:hAnsi="仿宋_GB2312" w:eastAsia="仿宋_GB2312" w:cs="仿宋_GB2312"/>
          <w:sz w:val="32"/>
          <w:szCs w:val="32"/>
          <w:lang w:val="en-US" w:eastAsia="zh-CN"/>
        </w:rPr>
        <w:t>万元，全年支付</w:t>
      </w:r>
      <w:r>
        <w:rPr>
          <w:rFonts w:hint="eastAsia" w:ascii="仿宋_GB2312" w:hAnsi="仿宋_GB2312" w:cs="仿宋_GB2312"/>
          <w:color w:val="auto"/>
          <w:kern w:val="0"/>
          <w:sz w:val="32"/>
          <w:szCs w:val="32"/>
          <w:highlight w:val="none"/>
          <w:u w:val="none"/>
          <w:shd w:val="clear" w:color="auto" w:fill="FFFFFF"/>
          <w:lang w:val="en-US" w:eastAsia="zh-CN"/>
        </w:rPr>
        <w:t>673.11</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w:t>
      </w:r>
      <w:r>
        <w:rPr>
          <w:rFonts w:hint="eastAsia" w:ascii="仿宋_GB2312" w:hAnsi="仿宋_GB2312" w:cs="仿宋_GB2312"/>
          <w:color w:val="auto"/>
          <w:kern w:val="0"/>
          <w:sz w:val="32"/>
          <w:szCs w:val="32"/>
          <w:highlight w:val="none"/>
          <w:u w:val="none"/>
          <w:shd w:val="clear" w:color="auto" w:fill="FFFFFF"/>
          <w:lang w:val="en-US" w:eastAsia="zh-CN"/>
        </w:rPr>
        <w:t>预算执行率98.89%，</w:t>
      </w:r>
      <w:r>
        <w:rPr>
          <w:rFonts w:hint="eastAsia" w:ascii="仿宋_GB2312" w:hAnsi="仿宋_GB2312" w:eastAsia="仿宋_GB2312" w:cs="仿宋_GB2312"/>
          <w:sz w:val="32"/>
          <w:szCs w:val="32"/>
          <w:lang w:val="en-US" w:eastAsia="zh-CN"/>
        </w:rPr>
        <w:t>预算及使用过程</w:t>
      </w:r>
      <w:r>
        <w:rPr>
          <w:rFonts w:hint="eastAsia" w:ascii="仿宋_GB2312" w:hAnsi="仿宋_GB2312" w:eastAsia="仿宋_GB2312" w:cs="仿宋_GB2312"/>
          <w:sz w:val="32"/>
          <w:szCs w:val="32"/>
        </w:rPr>
        <w:t>符合资金管理办法等相关规定</w:t>
      </w:r>
      <w:r>
        <w:rPr>
          <w:rFonts w:hint="eastAsia" w:ascii="仿宋_GB2312" w:hAnsi="仿宋_GB2312" w:eastAsia="仿宋_GB2312" w:cs="仿宋_GB2312"/>
          <w:sz w:val="32"/>
          <w:szCs w:val="32"/>
          <w:lang w:eastAsia="zh-CN"/>
        </w:rPr>
        <w:t>。</w:t>
      </w:r>
    </w:p>
    <w:p w14:paraId="1EB3193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为加强</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hAnsi="仿宋_GB2312" w:cs="仿宋_GB2312"/>
          <w:color w:val="auto"/>
          <w:kern w:val="0"/>
          <w:sz w:val="32"/>
          <w:szCs w:val="32"/>
          <w:highlight w:val="none"/>
          <w:u w:val="none"/>
          <w:shd w:val="clear" w:color="auto" w:fill="FFFFFF"/>
          <w:lang w:val="en-US" w:eastAsia="zh-CN"/>
        </w:rPr>
        <w:t>资金</w:t>
      </w:r>
      <w:r>
        <w:rPr>
          <w:rFonts w:hint="eastAsia" w:ascii="Times New Roman" w:hAnsi="Times New Roman" w:cs="Times New Roman"/>
          <w:color w:val="000000"/>
          <w:kern w:val="0"/>
          <w:szCs w:val="32"/>
          <w:highlight w:val="none"/>
          <w:shd w:val="clear" w:color="auto" w:fill="FFFFFF"/>
          <w:lang w:val="en-US" w:eastAsia="zh-CN"/>
        </w:rPr>
        <w:t>预算管理，推进厉行节约、规范财务行为，2023年市松潘县公共就业和人才交流服务中心修订完善了《</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Times New Roman" w:hAnsi="Times New Roman" w:cs="Times New Roman"/>
          <w:color w:val="000000"/>
          <w:kern w:val="0"/>
          <w:szCs w:val="32"/>
          <w:highlight w:val="none"/>
          <w:shd w:val="clear" w:color="auto" w:fill="FFFFFF"/>
          <w:lang w:val="en-US" w:eastAsia="zh-CN"/>
        </w:rPr>
        <w:t>预算管理规定》，对</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Times New Roman" w:hAnsi="Times New Roman" w:cs="Times New Roman"/>
          <w:color w:val="000000"/>
          <w:kern w:val="0"/>
          <w:szCs w:val="32"/>
          <w:highlight w:val="none"/>
          <w:shd w:val="clear" w:color="auto" w:fill="FFFFFF"/>
          <w:lang w:val="en-US" w:eastAsia="zh-CN"/>
        </w:rPr>
        <w:t>预算编制、预算编制责任分工、预算执行及分析、预算调整、决算编制、预算绩效管理等内容作出了明确规定，预算管理制度健全。</w:t>
      </w:r>
    </w:p>
    <w:p w14:paraId="21E921FB">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松潘县公共就业和人才交流服务中心在编制</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仿宋_GB2312" w:hAnsi="仿宋_GB2312" w:cs="仿宋_GB2312"/>
          <w:color w:val="auto"/>
          <w:kern w:val="0"/>
          <w:sz w:val="32"/>
          <w:szCs w:val="32"/>
          <w:highlight w:val="none"/>
          <w:u w:val="none"/>
          <w:shd w:val="clear" w:color="auto" w:fill="FFFFFF"/>
          <w:lang w:val="en-US" w:eastAsia="zh-CN"/>
        </w:rPr>
        <w:t>预算</w:t>
      </w:r>
      <w:r>
        <w:rPr>
          <w:rFonts w:hint="eastAsia" w:ascii="Times New Roman" w:hAnsi="Times New Roman" w:cs="Times New Roman"/>
          <w:color w:val="000000"/>
          <w:kern w:val="0"/>
          <w:szCs w:val="32"/>
          <w:highlight w:val="none"/>
          <w:shd w:val="clear" w:color="auto" w:fill="FFFFFF"/>
          <w:lang w:val="en-US" w:eastAsia="zh-CN"/>
        </w:rPr>
        <w:t>时基本按照相关预算编制文件要求编制，落实了相关经费的控制要求，亦编制了</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Times New Roman" w:hAnsi="Times New Roman" w:cs="Times New Roman"/>
          <w:color w:val="000000"/>
          <w:kern w:val="0"/>
          <w:szCs w:val="32"/>
          <w:highlight w:val="none"/>
          <w:shd w:val="clear" w:color="auto" w:fill="FFFFFF"/>
          <w:lang w:val="en-US" w:eastAsia="zh-CN"/>
        </w:rPr>
        <w:t>项目绩效目标。</w:t>
      </w:r>
    </w:p>
    <w:p w14:paraId="77D38497">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经查阅预算编制相关资料，</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Times New Roman" w:hAnsi="Times New Roman" w:cs="Times New Roman"/>
          <w:color w:val="000000"/>
          <w:kern w:val="0"/>
          <w:szCs w:val="32"/>
          <w:highlight w:val="none"/>
          <w:shd w:val="clear" w:color="auto" w:fill="FFFFFF"/>
          <w:lang w:val="en-US" w:eastAsia="zh-CN"/>
        </w:rPr>
        <w:t>对预算资金进行分解安排，但在预算测算过程还不够细化，只按分项罗列了预算金额，未具体测算到明细内容；在预算执行方面，预算执行监控到位，该项目年度预算执行进度较好。总体来看市松潘县公共就业和人才交流服务中心在</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仿宋_GB2312" w:hAnsi="仿宋_GB2312" w:cs="仿宋_GB2312"/>
          <w:color w:val="auto"/>
          <w:kern w:val="0"/>
          <w:sz w:val="32"/>
          <w:szCs w:val="32"/>
          <w:highlight w:val="none"/>
          <w:u w:val="none"/>
          <w:shd w:val="clear" w:color="auto" w:fill="FFFFFF"/>
          <w:lang w:val="en-US" w:eastAsia="zh-CN"/>
        </w:rPr>
        <w:t>项目</w:t>
      </w:r>
      <w:r>
        <w:rPr>
          <w:rFonts w:hint="eastAsia" w:ascii="Times New Roman" w:hAnsi="Times New Roman" w:cs="Times New Roman"/>
          <w:color w:val="000000"/>
          <w:kern w:val="0"/>
          <w:szCs w:val="32"/>
          <w:highlight w:val="none"/>
          <w:shd w:val="clear" w:color="auto" w:fill="FFFFFF"/>
          <w:lang w:val="en-US" w:eastAsia="zh-CN"/>
        </w:rPr>
        <w:t>预算编制、预算执行、项目库管理等方面比较规范。</w:t>
      </w:r>
    </w:p>
    <w:p w14:paraId="1158EC1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p w14:paraId="7A200311">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w:t>
      </w:r>
      <w:r>
        <w:rPr>
          <w:rFonts w:hint="eastAsia" w:ascii="仿宋_GB2312" w:hAnsi="仿宋_GB2312" w:cs="仿宋_GB2312"/>
          <w:color w:val="auto"/>
          <w:kern w:val="0"/>
          <w:sz w:val="32"/>
          <w:szCs w:val="32"/>
          <w:highlight w:val="none"/>
          <w:u w:val="none"/>
          <w:shd w:val="clear" w:color="auto" w:fill="FFFFFF"/>
          <w:lang w:val="en-US" w:eastAsia="zh-CN"/>
        </w:rPr>
        <w:t>年度总体目标是资金按规定用于职业培训补贴、职业技能鉴定补贴、社会保险补贴、公益性岗位补贴、创业补贴、就业见习补贴、求职创业补贴、就业创业服务补助、高技能人才培养补助等支出以及经省级人民政府批准的其他支出项目。以及确保完成年度城镇新增就业目标任务。</w:t>
      </w:r>
    </w:p>
    <w:p w14:paraId="44245F87">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我</w:t>
      </w:r>
      <w:r>
        <w:rPr>
          <w:rFonts w:hint="eastAsia" w:ascii="仿宋_GB2312" w:hAnsi="仿宋_GB2312" w:cs="仿宋_GB2312"/>
          <w:color w:val="auto"/>
          <w:kern w:val="0"/>
          <w:sz w:val="32"/>
          <w:szCs w:val="32"/>
          <w:highlight w:val="none"/>
          <w:u w:val="none"/>
          <w:shd w:val="clear" w:color="auto" w:fill="FFFFFF"/>
          <w:lang w:val="en-US" w:eastAsia="zh-CN"/>
        </w:rPr>
        <w:t>单位</w:t>
      </w:r>
      <w:r>
        <w:rPr>
          <w:rFonts w:hint="eastAsia" w:ascii="仿宋_GB2312" w:hAnsi="仿宋_GB2312" w:cs="仿宋_GB2312"/>
          <w:color w:val="auto"/>
          <w:kern w:val="0"/>
          <w:sz w:val="32"/>
          <w:szCs w:val="32"/>
          <w:highlight w:val="none"/>
          <w:u w:val="none"/>
          <w:shd w:val="clear" w:color="auto" w:fill="FFFFFF"/>
          <w:lang w:val="zh-CN" w:eastAsia="zh-CN"/>
        </w:rPr>
        <w:t>产出的数量、质量普遍超过了预期，完成情况均达到年初制定的绩效目标，</w:t>
      </w:r>
      <w:r>
        <w:rPr>
          <w:rFonts w:hint="eastAsia" w:ascii="仿宋_GB2312" w:hAnsi="仿宋_GB2312" w:cs="仿宋_GB2312"/>
          <w:color w:val="auto"/>
          <w:kern w:val="0"/>
          <w:sz w:val="32"/>
          <w:szCs w:val="32"/>
          <w:highlight w:val="none"/>
          <w:u w:val="none"/>
          <w:shd w:val="clear" w:color="auto" w:fill="FFFFFF"/>
          <w:lang w:val="en-US" w:eastAsia="zh-CN"/>
        </w:rPr>
        <w:t>本年度资金按规定用于职业培训补贴、职业技能鉴定补贴、社会保险补贴、公益性岗位补贴、创业补贴、就业见习补贴、求职创业补贴、就业创业服务补助、高技能人才培养补助等支出以及经省级人民政府批准的其他支出项目。在预算执行年度内，无超经费文件设定范围使用经费的情况发生。</w:t>
      </w:r>
    </w:p>
    <w:p w14:paraId="686D7B3D">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329C2FF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14:paraId="7A16A6A7">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通过对就业创业专项补助资金项目绩效自评，可以对该项目的资金分配、资金使用、资金监督有明确的了解。更加有利于贯彻落实好各项就业创业政策，规范中央和省级就业创业补助资金的申领、审核及拨付程序。</w:t>
      </w:r>
    </w:p>
    <w:p w14:paraId="6D7BD3EA">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（二）预设问题及评价重点。</w:t>
      </w:r>
    </w:p>
    <w:p w14:paraId="2C1C6E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Times New Roman"/>
          <w:szCs w:val="32"/>
          <w:lang w:eastAsia="zh-CN"/>
        </w:rPr>
      </w:pP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hAnsi="仿宋_GB2312" w:cs="仿宋_GB2312"/>
          <w:color w:val="auto"/>
          <w:kern w:val="0"/>
          <w:sz w:val="32"/>
          <w:szCs w:val="32"/>
          <w:highlight w:val="none"/>
          <w:u w:val="none"/>
          <w:shd w:val="clear" w:color="auto" w:fill="FFFFFF"/>
          <w:lang w:val="en-US" w:eastAsia="zh-CN"/>
        </w:rPr>
        <w:t>资金自评的重点主要是全年资金使用情况，是否符合《中央和省级就业创业补助资金申领使用管理细则》。</w:t>
      </w:r>
      <w:r>
        <w:rPr>
          <w:rFonts w:hint="eastAsia" w:ascii="仿宋_GB2312" w:hAnsi="仿宋_GB2312" w:eastAsia="仿宋_GB2312" w:cs="仿宋_GB2312"/>
          <w:sz w:val="32"/>
          <w:szCs w:val="32"/>
          <w:lang w:val="en-US" w:eastAsia="zh-CN"/>
        </w:rPr>
        <w:t>本项目</w:t>
      </w:r>
      <w:r>
        <w:rPr>
          <w:rFonts w:hint="eastAsia" w:ascii="仿宋_GB2312" w:hAnsi="仿宋_GB2312" w:cs="仿宋_GB2312"/>
          <w:sz w:val="32"/>
          <w:szCs w:val="32"/>
          <w:lang w:val="en-US" w:eastAsia="zh-CN"/>
        </w:rPr>
        <w:t>本年度</w:t>
      </w:r>
      <w:r>
        <w:rPr>
          <w:rFonts w:hint="eastAsia" w:ascii="仿宋_GB2312" w:hAnsi="仿宋_GB2312" w:eastAsia="仿宋_GB2312" w:cs="仿宋_GB2312"/>
          <w:sz w:val="32"/>
          <w:szCs w:val="32"/>
          <w:lang w:val="en-US" w:eastAsia="zh-CN"/>
        </w:rPr>
        <w:t>年初预算资金</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lang w:val="en-US" w:eastAsia="zh-CN"/>
        </w:rPr>
        <w:t>万元，预算批复</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lang w:val="en-US" w:eastAsia="zh-CN"/>
        </w:rPr>
        <w:t>万元，年中发生预算调整，追加</w:t>
      </w:r>
      <w:r>
        <w:rPr>
          <w:rFonts w:hint="eastAsia" w:ascii="仿宋_GB2312" w:hAnsi="仿宋_GB2312" w:cs="仿宋_GB2312"/>
          <w:color w:val="auto"/>
          <w:kern w:val="0"/>
          <w:sz w:val="32"/>
          <w:szCs w:val="32"/>
          <w:highlight w:val="none"/>
          <w:u w:val="none"/>
          <w:shd w:val="clear" w:color="auto" w:fill="FFFFFF"/>
          <w:lang w:val="en-US" w:eastAsia="zh-CN"/>
        </w:rPr>
        <w:t>680.69</w:t>
      </w:r>
      <w:r>
        <w:rPr>
          <w:rFonts w:hint="eastAsia" w:ascii="仿宋_GB2312" w:hAnsi="仿宋_GB2312" w:eastAsia="仿宋_GB2312" w:cs="仿宋_GB2312"/>
          <w:sz w:val="32"/>
          <w:szCs w:val="32"/>
          <w:lang w:val="en-US" w:eastAsia="zh-CN"/>
        </w:rPr>
        <w:t>万元，调整后预算数</w:t>
      </w:r>
      <w:r>
        <w:rPr>
          <w:rFonts w:hint="eastAsia" w:ascii="仿宋_GB2312" w:hAnsi="仿宋_GB2312" w:cs="仿宋_GB2312"/>
          <w:color w:val="auto"/>
          <w:kern w:val="0"/>
          <w:sz w:val="32"/>
          <w:szCs w:val="32"/>
          <w:highlight w:val="none"/>
          <w:u w:val="none"/>
          <w:shd w:val="clear" w:color="auto" w:fill="FFFFFF"/>
          <w:lang w:val="en-US" w:eastAsia="zh-CN"/>
        </w:rPr>
        <w:t>680.69</w:t>
      </w:r>
      <w:r>
        <w:rPr>
          <w:rFonts w:hint="eastAsia" w:ascii="仿宋_GB2312" w:hAnsi="仿宋_GB2312" w:eastAsia="仿宋_GB2312" w:cs="仿宋_GB2312"/>
          <w:sz w:val="32"/>
          <w:szCs w:val="32"/>
          <w:lang w:val="en-US" w:eastAsia="zh-CN"/>
        </w:rPr>
        <w:t>万元，全年支付</w:t>
      </w:r>
      <w:r>
        <w:rPr>
          <w:rFonts w:hint="eastAsia" w:ascii="仿宋_GB2312" w:hAnsi="仿宋_GB2312" w:cs="仿宋_GB2312"/>
          <w:color w:val="auto"/>
          <w:kern w:val="0"/>
          <w:sz w:val="32"/>
          <w:szCs w:val="32"/>
          <w:highlight w:val="none"/>
          <w:u w:val="none"/>
          <w:shd w:val="clear" w:color="auto" w:fill="FFFFFF"/>
          <w:lang w:val="en-US" w:eastAsia="zh-CN"/>
        </w:rPr>
        <w:t>673.11</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w:t>
      </w:r>
      <w:r>
        <w:rPr>
          <w:rFonts w:hint="eastAsia" w:ascii="仿宋_GB2312" w:hAnsi="仿宋_GB2312" w:cs="仿宋_GB2312"/>
          <w:color w:val="auto"/>
          <w:kern w:val="0"/>
          <w:sz w:val="32"/>
          <w:szCs w:val="32"/>
          <w:highlight w:val="none"/>
          <w:u w:val="none"/>
          <w:shd w:val="clear" w:color="auto" w:fill="FFFFFF"/>
          <w:lang w:val="en-US" w:eastAsia="zh-CN"/>
        </w:rPr>
        <w:t>预算执行率98.89%，</w:t>
      </w:r>
      <w:r>
        <w:rPr>
          <w:rFonts w:hint="eastAsia" w:ascii="仿宋_GB2312" w:hAnsi="仿宋_GB2312" w:eastAsia="仿宋_GB2312" w:cs="仿宋_GB2312"/>
          <w:sz w:val="32"/>
          <w:szCs w:val="32"/>
          <w:lang w:val="en-US" w:eastAsia="zh-CN"/>
        </w:rPr>
        <w:t>预算及使用过程</w:t>
      </w:r>
      <w:r>
        <w:rPr>
          <w:rFonts w:hint="eastAsia" w:ascii="仿宋_GB2312" w:hAnsi="仿宋_GB2312" w:eastAsia="仿宋_GB2312" w:cs="仿宋_GB2312"/>
          <w:sz w:val="32"/>
          <w:szCs w:val="32"/>
        </w:rPr>
        <w:t>符合资金管理办法等相关规定</w:t>
      </w:r>
      <w:r>
        <w:rPr>
          <w:rFonts w:hint="eastAsia" w:ascii="仿宋_GB2312" w:hAnsi="仿宋_GB2312" w:eastAsia="仿宋_GB2312" w:cs="仿宋_GB2312"/>
          <w:sz w:val="32"/>
          <w:szCs w:val="32"/>
          <w:lang w:eastAsia="zh-CN"/>
        </w:rPr>
        <w:t>。</w:t>
      </w:r>
    </w:p>
    <w:p w14:paraId="402CEA1B">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（三）评价选点。</w:t>
      </w:r>
    </w:p>
    <w:p w14:paraId="5588E607">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rPr>
        <w:t>对采集的</w:t>
      </w:r>
      <w:r>
        <w:rPr>
          <w:rFonts w:hint="eastAsia" w:ascii="仿宋_GB2312" w:hAnsi="仿宋_GB2312" w:eastAsia="仿宋_GB2312" w:cs="仿宋_GB2312"/>
          <w:color w:val="auto"/>
          <w:kern w:val="0"/>
          <w:sz w:val="32"/>
          <w:szCs w:val="32"/>
          <w:highlight w:val="none"/>
          <w:u w:val="none"/>
          <w:shd w:val="clear" w:color="auto" w:fill="FFFFFF"/>
          <w:lang w:val="zh-CN"/>
        </w:rPr>
        <w:t>就业创业补助资金项目</w:t>
      </w:r>
      <w:r>
        <w:rPr>
          <w:rFonts w:hint="eastAsia" w:ascii="仿宋_GB2312" w:eastAsia="仿宋_GB2312"/>
          <w:sz w:val="32"/>
          <w:szCs w:val="32"/>
          <w:highlight w:val="none"/>
        </w:rPr>
        <w:t>数据信息，根据简单随机抽样的方法，按照不低于2</w:t>
      </w:r>
      <w:r>
        <w:rPr>
          <w:rFonts w:ascii="仿宋_GB2312" w:eastAsia="仿宋_GB2312"/>
          <w:sz w:val="32"/>
          <w:szCs w:val="32"/>
          <w:highlight w:val="none"/>
        </w:rPr>
        <w:t>0</w:t>
      </w:r>
      <w:r>
        <w:rPr>
          <w:rFonts w:hint="eastAsia" w:ascii="仿宋_GB2312" w:eastAsia="仿宋_GB2312"/>
          <w:sz w:val="32"/>
          <w:szCs w:val="32"/>
          <w:highlight w:val="none"/>
        </w:rPr>
        <w:t>%的比例进行抽样复核</w:t>
      </w:r>
      <w:r>
        <w:rPr>
          <w:rFonts w:hint="eastAsia" w:ascii="仿宋_GB2312"/>
          <w:sz w:val="32"/>
          <w:szCs w:val="32"/>
          <w:highlight w:val="none"/>
          <w:lang w:eastAsia="zh-CN"/>
        </w:rPr>
        <w:t>。</w:t>
      </w:r>
    </w:p>
    <w:p w14:paraId="06E1B66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（四）评价方法。</w:t>
      </w:r>
    </w:p>
    <w:p w14:paraId="658184DD">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本次</w:t>
      </w:r>
      <w:r>
        <w:rPr>
          <w:rFonts w:hint="eastAsia" w:ascii="仿宋_GB2312"/>
          <w:sz w:val="32"/>
          <w:szCs w:val="32"/>
          <w:highlight w:val="none"/>
          <w:lang w:val="en-US" w:eastAsia="zh-CN"/>
        </w:rPr>
        <w:t>项目绩效自评</w:t>
      </w:r>
      <w:r>
        <w:rPr>
          <w:rFonts w:hint="eastAsia" w:ascii="仿宋_GB2312" w:eastAsia="仿宋_GB2312"/>
          <w:sz w:val="32"/>
          <w:szCs w:val="32"/>
          <w:highlight w:val="none"/>
        </w:rPr>
        <w:t>的方案包括</w:t>
      </w:r>
      <w:r>
        <w:rPr>
          <w:rFonts w:eastAsia="仿宋_GB2312" w:cs="Times New Roman"/>
          <w:szCs w:val="32"/>
        </w:rPr>
        <w:t>采用</w:t>
      </w:r>
      <w:r>
        <w:rPr>
          <w:rFonts w:hint="eastAsia" w:eastAsia="仿宋_GB2312" w:cs="Times New Roman"/>
          <w:szCs w:val="32"/>
        </w:rPr>
        <w:t>成本效益分析法、标杆管理法、</w:t>
      </w:r>
      <w:r>
        <w:rPr>
          <w:rFonts w:eastAsia="仿宋_GB2312" w:cs="Times New Roman"/>
          <w:szCs w:val="32"/>
        </w:rPr>
        <w:t>案卷研究法、单位自评法、实地勘察法、问卷调查法、座谈调研法等</w:t>
      </w:r>
      <w:r>
        <w:rPr>
          <w:rFonts w:hint="eastAsia" w:ascii="仿宋_GB2312" w:eastAsia="仿宋_GB2312"/>
          <w:sz w:val="32"/>
          <w:szCs w:val="32"/>
          <w:highlight w:val="none"/>
        </w:rPr>
        <w:t>。</w:t>
      </w:r>
    </w:p>
    <w:p w14:paraId="00384E02">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一是通过研究、解读相关文献，来获取项目概况、绩效指标等有用信息；</w:t>
      </w:r>
    </w:p>
    <w:p w14:paraId="421A4F04">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二是</w:t>
      </w:r>
      <w:r>
        <w:rPr>
          <w:rFonts w:hint="eastAsia" w:ascii="仿宋_GB2312"/>
          <w:sz w:val="32"/>
          <w:szCs w:val="32"/>
          <w:highlight w:val="none"/>
          <w:lang w:eastAsia="zh-CN"/>
        </w:rPr>
        <w:t>采用</w:t>
      </w:r>
      <w:r>
        <w:rPr>
          <w:rFonts w:hint="eastAsia" w:eastAsia="仿宋_GB2312" w:cs="Times New Roman"/>
          <w:szCs w:val="32"/>
        </w:rPr>
        <w:t>成本效益分析法、</w:t>
      </w:r>
      <w:r>
        <w:rPr>
          <w:rFonts w:eastAsia="仿宋_GB2312" w:cs="Times New Roman"/>
          <w:szCs w:val="32"/>
        </w:rPr>
        <w:t>实地勘察法、问卷调查法、座谈调研法</w:t>
      </w:r>
      <w:r>
        <w:rPr>
          <w:rFonts w:hint="eastAsia" w:ascii="仿宋_GB2312" w:eastAsia="仿宋_GB2312"/>
          <w:sz w:val="32"/>
          <w:szCs w:val="32"/>
          <w:highlight w:val="none"/>
        </w:rPr>
        <w:t>对项目的实施内容安排、目标设定等进行分析判断；</w:t>
      </w:r>
    </w:p>
    <w:p w14:paraId="46791F8C">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三是对采集的数据信息，根据简单随机抽样的方法，按照不低于2</w:t>
      </w:r>
      <w:r>
        <w:rPr>
          <w:rFonts w:ascii="仿宋_GB2312" w:eastAsia="仿宋_GB2312"/>
          <w:sz w:val="32"/>
          <w:szCs w:val="32"/>
          <w:highlight w:val="none"/>
        </w:rPr>
        <w:t>0</w:t>
      </w:r>
      <w:r>
        <w:rPr>
          <w:rFonts w:hint="eastAsia" w:ascii="仿宋_GB2312" w:eastAsia="仿宋_GB2312"/>
          <w:sz w:val="32"/>
          <w:szCs w:val="32"/>
          <w:highlight w:val="none"/>
        </w:rPr>
        <w:t>%的比例进行抽样复核；</w:t>
      </w:r>
    </w:p>
    <w:p w14:paraId="14663303">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是从项目工作及预算安排</w:t>
      </w:r>
      <w:r>
        <w:rPr>
          <w:rFonts w:hint="eastAsia" w:ascii="仿宋_GB2312"/>
          <w:sz w:val="32"/>
          <w:szCs w:val="32"/>
          <w:highlight w:val="none"/>
          <w:lang w:val="en-US" w:eastAsia="zh-CN"/>
        </w:rPr>
        <w:t>以及预算执行</w:t>
      </w:r>
      <w:r>
        <w:rPr>
          <w:rFonts w:hint="eastAsia" w:ascii="仿宋_GB2312" w:eastAsia="仿宋_GB2312"/>
          <w:sz w:val="32"/>
          <w:szCs w:val="32"/>
          <w:highlight w:val="none"/>
        </w:rPr>
        <w:t>工作中提炼项目实施中的经验和不足</w:t>
      </w:r>
      <w:r>
        <w:rPr>
          <w:rFonts w:hint="eastAsia" w:ascii="仿宋_GB2312" w:eastAsia="仿宋_GB2312"/>
          <w:sz w:val="32"/>
          <w:szCs w:val="32"/>
          <w:highlight w:val="none"/>
          <w:lang w:eastAsia="zh-CN"/>
        </w:rPr>
        <w:t>。</w:t>
      </w:r>
    </w:p>
    <w:p w14:paraId="42BB9D4F">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综合分析相关情况后，对</w:t>
      </w:r>
      <w:r>
        <w:rPr>
          <w:rFonts w:hint="eastAsia"/>
          <w:sz w:val="32"/>
          <w:szCs w:val="32"/>
          <w:highlight w:val="none"/>
          <w:lang w:eastAsia="zh-CN"/>
        </w:rPr>
        <w:t>项目</w:t>
      </w:r>
      <w:r>
        <w:rPr>
          <w:rFonts w:hint="eastAsia" w:ascii="Times New Roman" w:hAnsi="Times New Roman"/>
          <w:sz w:val="32"/>
          <w:szCs w:val="32"/>
          <w:highlight w:val="none"/>
          <w:lang w:val="en-US" w:eastAsia="zh-CN"/>
        </w:rPr>
        <w:t>进行绩效自评</w:t>
      </w:r>
      <w:r>
        <w:rPr>
          <w:rFonts w:hint="eastAsia" w:ascii="Times New Roman" w:hAnsi="Times New Roman" w:eastAsia="仿宋_GB2312"/>
          <w:sz w:val="32"/>
          <w:szCs w:val="32"/>
          <w:highlight w:val="none"/>
        </w:rPr>
        <w:t>。</w:t>
      </w:r>
    </w:p>
    <w:p w14:paraId="084674D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（五）评价组织。</w:t>
      </w:r>
    </w:p>
    <w:p w14:paraId="769915EF">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1.成立</w:t>
      </w:r>
      <w:r>
        <w:rPr>
          <w:rFonts w:hint="eastAsia" w:cs="Times New Roman"/>
          <w:szCs w:val="32"/>
          <w:lang w:val="en-US" w:eastAsia="zh-CN"/>
        </w:rPr>
        <w:t>专项预算项目自评</w:t>
      </w:r>
      <w:r>
        <w:rPr>
          <w:rFonts w:hint="eastAsia" w:eastAsia="仿宋_GB2312" w:cs="Times New Roman"/>
          <w:szCs w:val="32"/>
        </w:rPr>
        <w:t>工作组。松潘县公共就业和人才交流服务中心成立</w:t>
      </w:r>
      <w:r>
        <w:rPr>
          <w:rFonts w:hint="eastAsia" w:cs="Times New Roman"/>
          <w:szCs w:val="32"/>
          <w:lang w:val="en-US" w:eastAsia="zh-CN"/>
        </w:rPr>
        <w:t>绩效自评</w:t>
      </w:r>
      <w:r>
        <w:rPr>
          <w:rFonts w:hint="eastAsia" w:eastAsia="仿宋_GB2312" w:cs="Times New Roman"/>
          <w:szCs w:val="32"/>
        </w:rPr>
        <w:t>工作组，组织开展</w:t>
      </w:r>
      <w:r>
        <w:rPr>
          <w:rFonts w:hint="eastAsia" w:cs="Times New Roman"/>
          <w:szCs w:val="32"/>
          <w:lang w:val="en-US" w:eastAsia="zh-CN"/>
        </w:rPr>
        <w:t>绩效自评</w:t>
      </w:r>
      <w:r>
        <w:rPr>
          <w:rFonts w:hint="eastAsia" w:eastAsia="仿宋_GB2312" w:cs="Times New Roman"/>
          <w:szCs w:val="32"/>
        </w:rPr>
        <w:t>各项工作。</w:t>
      </w:r>
    </w:p>
    <w:p w14:paraId="7690BF0F">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2.拟定工作方案。</w:t>
      </w:r>
      <w:r>
        <w:rPr>
          <w:rFonts w:hint="eastAsia" w:cs="Times New Roman"/>
          <w:szCs w:val="32"/>
          <w:lang w:eastAsia="zh-CN"/>
        </w:rPr>
        <w:t>自评</w:t>
      </w:r>
      <w:r>
        <w:rPr>
          <w:rFonts w:hint="eastAsia" w:eastAsia="仿宋_GB2312" w:cs="Times New Roman"/>
          <w:szCs w:val="32"/>
        </w:rPr>
        <w:t>工作组按要求拟定具体的</w:t>
      </w:r>
      <w:r>
        <w:rPr>
          <w:rFonts w:hint="eastAsia" w:cs="Times New Roman"/>
          <w:szCs w:val="32"/>
          <w:lang w:eastAsia="zh-CN"/>
        </w:rPr>
        <w:t>绩效自评</w:t>
      </w:r>
      <w:r>
        <w:rPr>
          <w:rFonts w:hint="eastAsia" w:eastAsia="仿宋_GB2312" w:cs="Times New Roman"/>
          <w:szCs w:val="32"/>
        </w:rPr>
        <w:t>工作方案。</w:t>
      </w:r>
    </w:p>
    <w:p w14:paraId="0C4729D7">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3.入户调研。</w:t>
      </w:r>
      <w:r>
        <w:rPr>
          <w:rFonts w:hint="eastAsia" w:cs="Times New Roman"/>
          <w:szCs w:val="32"/>
          <w:lang w:eastAsia="zh-CN"/>
        </w:rPr>
        <w:t>自评</w:t>
      </w:r>
      <w:r>
        <w:rPr>
          <w:rFonts w:hint="eastAsia" w:eastAsia="仿宋_GB2312" w:cs="Times New Roman"/>
          <w:szCs w:val="32"/>
        </w:rPr>
        <w:t>工作组到项目单位进行入户调研，了解项目情况，辅导项目单位收集准备资料。</w:t>
      </w:r>
    </w:p>
    <w:p w14:paraId="40F3481B">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4.收集审核资料，现场</w:t>
      </w:r>
      <w:r>
        <w:rPr>
          <w:rFonts w:hint="eastAsia" w:cs="Times New Roman"/>
          <w:szCs w:val="32"/>
          <w:lang w:val="en-US" w:eastAsia="zh-CN"/>
        </w:rPr>
        <w:t>自评</w:t>
      </w:r>
      <w:r>
        <w:rPr>
          <w:rFonts w:hint="eastAsia" w:eastAsia="仿宋_GB2312" w:cs="Times New Roman"/>
          <w:szCs w:val="32"/>
        </w:rPr>
        <w:t>。</w:t>
      </w:r>
      <w:r>
        <w:rPr>
          <w:rFonts w:hint="eastAsia" w:cs="Times New Roman"/>
          <w:szCs w:val="32"/>
          <w:lang w:eastAsia="zh-CN"/>
        </w:rPr>
        <w:t>自评</w:t>
      </w:r>
      <w:r>
        <w:rPr>
          <w:rFonts w:hint="eastAsia" w:eastAsia="仿宋_GB2312" w:cs="Times New Roman"/>
          <w:szCs w:val="32"/>
        </w:rPr>
        <w:t>工作组收集审核项目资料，到项目现场进行调研。通过咨询专业人士、查阅资料、集中座谈等方式，多渠道获取项目信息。</w:t>
      </w:r>
    </w:p>
    <w:p w14:paraId="08B35856">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5.进行</w:t>
      </w:r>
      <w:r>
        <w:rPr>
          <w:rFonts w:hint="eastAsia" w:cs="Times New Roman"/>
          <w:szCs w:val="32"/>
          <w:lang w:eastAsia="zh-CN"/>
        </w:rPr>
        <w:t>绩效自评</w:t>
      </w:r>
      <w:r>
        <w:rPr>
          <w:rFonts w:hint="eastAsia" w:eastAsia="仿宋_GB2312" w:cs="Times New Roman"/>
          <w:szCs w:val="32"/>
        </w:rPr>
        <w:t>。</w:t>
      </w:r>
      <w:r>
        <w:rPr>
          <w:rFonts w:hint="eastAsia" w:cs="Times New Roman"/>
          <w:szCs w:val="32"/>
          <w:lang w:eastAsia="zh-CN"/>
        </w:rPr>
        <w:t>自评</w:t>
      </w:r>
      <w:r>
        <w:rPr>
          <w:rFonts w:hint="eastAsia" w:eastAsia="仿宋_GB2312" w:cs="Times New Roman"/>
          <w:szCs w:val="32"/>
        </w:rPr>
        <w:t>工作组通过</w:t>
      </w:r>
      <w:r>
        <w:rPr>
          <w:rFonts w:hint="eastAsia" w:cs="Times New Roman"/>
          <w:szCs w:val="32"/>
          <w:lang w:val="en-US" w:eastAsia="zh-CN"/>
        </w:rPr>
        <w:t>查阅专项</w:t>
      </w:r>
      <w:r>
        <w:rPr>
          <w:rFonts w:hint="eastAsia" w:eastAsia="仿宋_GB2312" w:cs="Times New Roman"/>
          <w:szCs w:val="32"/>
        </w:rPr>
        <w:t>项目资料和听取项目汇报，对项目内容进行</w:t>
      </w:r>
      <w:r>
        <w:rPr>
          <w:rFonts w:hint="eastAsia" w:cs="Times New Roman"/>
          <w:szCs w:val="32"/>
          <w:lang w:eastAsia="zh-CN"/>
        </w:rPr>
        <w:t>自评</w:t>
      </w:r>
      <w:r>
        <w:rPr>
          <w:rFonts w:hint="eastAsia" w:eastAsia="仿宋_GB2312" w:cs="Times New Roman"/>
          <w:szCs w:val="32"/>
        </w:rPr>
        <w:t>，形成</w:t>
      </w:r>
      <w:r>
        <w:rPr>
          <w:rFonts w:hint="eastAsia" w:cs="Times New Roman"/>
          <w:szCs w:val="32"/>
          <w:lang w:eastAsia="zh-CN"/>
        </w:rPr>
        <w:t>自评</w:t>
      </w:r>
      <w:r>
        <w:rPr>
          <w:rFonts w:hint="eastAsia" w:cs="Times New Roman"/>
          <w:szCs w:val="32"/>
          <w:lang w:val="en-US" w:eastAsia="zh-CN"/>
        </w:rPr>
        <w:t>报告</w:t>
      </w:r>
      <w:r>
        <w:rPr>
          <w:rFonts w:hint="eastAsia" w:eastAsia="仿宋_GB2312" w:cs="Times New Roman"/>
          <w:szCs w:val="32"/>
        </w:rPr>
        <w:t>。</w:t>
      </w:r>
    </w:p>
    <w:p w14:paraId="2196D66A">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6.撰写报告。</w:t>
      </w:r>
      <w:r>
        <w:rPr>
          <w:rFonts w:hint="eastAsia" w:cs="Times New Roman"/>
          <w:szCs w:val="32"/>
          <w:lang w:eastAsia="zh-CN"/>
        </w:rPr>
        <w:t>自评</w:t>
      </w:r>
      <w:r>
        <w:rPr>
          <w:rFonts w:hint="eastAsia" w:eastAsia="仿宋_GB2312" w:cs="Times New Roman"/>
          <w:szCs w:val="32"/>
        </w:rPr>
        <w:t>工作组根据</w:t>
      </w:r>
      <w:r>
        <w:rPr>
          <w:rFonts w:hint="eastAsia" w:cs="Times New Roman"/>
          <w:szCs w:val="32"/>
          <w:lang w:eastAsia="zh-CN"/>
        </w:rPr>
        <w:t>自评</w:t>
      </w:r>
      <w:r>
        <w:rPr>
          <w:rFonts w:hint="eastAsia" w:eastAsia="仿宋_GB2312" w:cs="Times New Roman"/>
          <w:szCs w:val="32"/>
        </w:rPr>
        <w:t>意见，按照规定的文本格式和要求，撰写</w:t>
      </w:r>
      <w:r>
        <w:rPr>
          <w:rFonts w:hint="eastAsia" w:cs="Times New Roman"/>
          <w:szCs w:val="32"/>
          <w:lang w:eastAsia="zh-CN"/>
        </w:rPr>
        <w:t>绩效自评</w:t>
      </w:r>
      <w:r>
        <w:rPr>
          <w:rFonts w:hint="eastAsia" w:eastAsia="仿宋_GB2312" w:cs="Times New Roman"/>
          <w:szCs w:val="32"/>
        </w:rPr>
        <w:t>报告，整理</w:t>
      </w:r>
      <w:r>
        <w:rPr>
          <w:rFonts w:hint="eastAsia" w:cs="Times New Roman"/>
          <w:szCs w:val="32"/>
          <w:lang w:eastAsia="zh-CN"/>
        </w:rPr>
        <w:t>绩效自评</w:t>
      </w:r>
      <w:r>
        <w:rPr>
          <w:rFonts w:hint="eastAsia" w:eastAsia="仿宋_GB2312" w:cs="Times New Roman"/>
          <w:szCs w:val="32"/>
        </w:rPr>
        <w:t>资料。</w:t>
      </w:r>
    </w:p>
    <w:p w14:paraId="5A0BD504">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Cs w:val="32"/>
        </w:rPr>
      </w:pPr>
      <w:r>
        <w:rPr>
          <w:rFonts w:hint="eastAsia" w:eastAsia="仿宋_GB2312" w:cs="Times New Roman"/>
          <w:szCs w:val="32"/>
        </w:rPr>
        <w:t>7.提交报告。</w:t>
      </w:r>
      <w:r>
        <w:rPr>
          <w:rFonts w:hint="eastAsia" w:cs="Times New Roman"/>
          <w:szCs w:val="32"/>
          <w:lang w:eastAsia="zh-CN"/>
        </w:rPr>
        <w:t>自评</w:t>
      </w:r>
      <w:r>
        <w:rPr>
          <w:rFonts w:hint="eastAsia" w:eastAsia="仿宋_GB2312" w:cs="Times New Roman"/>
          <w:szCs w:val="32"/>
        </w:rPr>
        <w:t>工作组在规定时间内，向</w:t>
      </w:r>
      <w:r>
        <w:rPr>
          <w:rFonts w:hint="eastAsia" w:cs="Times New Roman"/>
          <w:szCs w:val="32"/>
          <w:lang w:eastAsia="zh-CN"/>
        </w:rPr>
        <w:t>松潘县</w:t>
      </w:r>
      <w:r>
        <w:rPr>
          <w:rFonts w:hint="eastAsia" w:eastAsia="仿宋_GB2312" w:cs="Times New Roman"/>
          <w:szCs w:val="32"/>
        </w:rPr>
        <w:t>财政投资评审中心提交</w:t>
      </w:r>
      <w:r>
        <w:rPr>
          <w:rFonts w:hint="eastAsia" w:cs="Times New Roman"/>
          <w:szCs w:val="32"/>
          <w:lang w:eastAsia="zh-CN"/>
        </w:rPr>
        <w:t>绩效自评</w:t>
      </w:r>
      <w:r>
        <w:rPr>
          <w:rFonts w:hint="eastAsia" w:eastAsia="仿宋_GB2312" w:cs="Times New Roman"/>
          <w:szCs w:val="32"/>
        </w:rPr>
        <w:t>报告。</w:t>
      </w:r>
    </w:p>
    <w:p w14:paraId="03C612B8">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3D24FEB8">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en-US" w:eastAsia="zh-CN"/>
        </w:rPr>
        <w:t>本年度就业创业补助资金完成了年度城镇新增就业目标任务，本项目评分为：99.89分，</w:t>
      </w:r>
      <w:r>
        <w:rPr>
          <w:rFonts w:hint="eastAsia" w:ascii="仿宋_GB2312" w:hAnsi="仿宋_GB2312" w:cs="仿宋_GB2312"/>
          <w:color w:val="auto"/>
          <w:kern w:val="0"/>
          <w:sz w:val="32"/>
          <w:szCs w:val="32"/>
          <w:highlight w:val="none"/>
          <w:u w:val="none"/>
          <w:shd w:val="clear" w:color="auto" w:fill="FFFFFF"/>
          <w:lang w:val="zh-CN" w:eastAsia="zh-CN"/>
        </w:rPr>
        <w:t>总体评价为优秀，具体如下（</w:t>
      </w:r>
      <w:r>
        <w:rPr>
          <w:rFonts w:hint="eastAsia" w:ascii="仿宋_GB2312" w:hAnsi="仿宋_GB2312" w:cs="仿宋_GB2312"/>
          <w:color w:val="auto"/>
          <w:kern w:val="0"/>
          <w:sz w:val="32"/>
          <w:szCs w:val="32"/>
          <w:highlight w:val="none"/>
          <w:u w:val="none"/>
          <w:shd w:val="clear" w:color="auto" w:fill="FFFFFF"/>
          <w:lang w:val="en-US" w:eastAsia="zh-CN"/>
        </w:rPr>
        <w:t>评分表见附表</w:t>
      </w:r>
      <w:r>
        <w:rPr>
          <w:rFonts w:hint="eastAsia" w:ascii="仿宋_GB2312" w:hAnsi="仿宋_GB2312" w:cs="仿宋_GB2312"/>
          <w:color w:val="auto"/>
          <w:kern w:val="0"/>
          <w:sz w:val="32"/>
          <w:szCs w:val="32"/>
          <w:highlight w:val="none"/>
          <w:u w:val="none"/>
          <w:shd w:val="clear" w:color="auto" w:fill="FFFFFF"/>
          <w:lang w:val="zh-CN" w:eastAsia="zh-CN"/>
        </w:rPr>
        <w:t>）：</w:t>
      </w:r>
    </w:p>
    <w:p w14:paraId="30B8C1B2">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（1）数量指标：享受职业培训补贴人员数量1465</w:t>
      </w:r>
      <w:r>
        <w:rPr>
          <w:rFonts w:hint="eastAsia" w:ascii="仿宋_GB2312" w:hAnsi="仿宋_GB2312" w:cs="仿宋_GB2312"/>
          <w:color w:val="auto"/>
          <w:kern w:val="0"/>
          <w:sz w:val="32"/>
          <w:szCs w:val="32"/>
          <w:highlight w:val="none"/>
          <w:u w:val="none"/>
          <w:shd w:val="clear" w:color="auto" w:fill="FFFFFF"/>
          <w:lang w:val="en-US" w:eastAsia="zh-CN"/>
        </w:rPr>
        <w:t>人</w:t>
      </w:r>
      <w:r>
        <w:rPr>
          <w:rFonts w:hint="eastAsia" w:ascii="仿宋_GB2312" w:hAnsi="仿宋_GB2312" w:cs="仿宋_GB2312"/>
          <w:color w:val="auto"/>
          <w:kern w:val="0"/>
          <w:sz w:val="32"/>
          <w:szCs w:val="32"/>
          <w:highlight w:val="none"/>
          <w:u w:val="none"/>
          <w:shd w:val="clear" w:color="auto" w:fill="FFFFFF"/>
          <w:lang w:val="zh-CN" w:eastAsia="zh-CN"/>
        </w:rPr>
        <w:t>，享受社会保险补贴人员数量</w:t>
      </w:r>
      <w:r>
        <w:rPr>
          <w:rFonts w:hint="eastAsia" w:ascii="仿宋_GB2312" w:hAnsi="仿宋_GB2312" w:cs="仿宋_GB2312"/>
          <w:color w:val="auto"/>
          <w:kern w:val="0"/>
          <w:sz w:val="32"/>
          <w:szCs w:val="32"/>
          <w:highlight w:val="none"/>
          <w:u w:val="none"/>
          <w:shd w:val="clear" w:color="auto" w:fill="FFFFFF"/>
          <w:lang w:val="en-US" w:eastAsia="zh-CN"/>
        </w:rPr>
        <w:t>43人，享受公益性岗位补贴人员数量102人，享受就业见习补贴人员数量94人，符合政策规定的毕业年度高校毕业生享受求职创业补贴比例95%，</w:t>
      </w:r>
      <w:r>
        <w:rPr>
          <w:rFonts w:hint="eastAsia" w:ascii="仿宋_GB2312" w:hAnsi="仿宋_GB2312" w:cs="仿宋_GB2312"/>
          <w:color w:val="auto"/>
          <w:kern w:val="0"/>
          <w:sz w:val="32"/>
          <w:szCs w:val="32"/>
          <w:highlight w:val="none"/>
          <w:u w:val="none"/>
          <w:shd w:val="clear" w:color="auto" w:fill="FFFFFF"/>
          <w:lang w:val="zh-CN" w:eastAsia="zh-CN"/>
        </w:rPr>
        <w:t>总体绩效目标超额完成。</w:t>
      </w:r>
    </w:p>
    <w:p w14:paraId="5CCF3BA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（2）质量指标：职业培训补贴发放准确率</w:t>
      </w:r>
      <w:r>
        <w:rPr>
          <w:rFonts w:hint="eastAsia" w:ascii="仿宋_GB2312" w:hAnsi="仿宋_GB2312" w:cs="仿宋_GB2312"/>
          <w:color w:val="auto"/>
          <w:kern w:val="0"/>
          <w:sz w:val="32"/>
          <w:szCs w:val="32"/>
          <w:highlight w:val="none"/>
          <w:u w:val="none"/>
          <w:shd w:val="clear" w:color="auto" w:fill="FFFFFF"/>
          <w:lang w:val="en-US" w:eastAsia="zh-CN"/>
        </w:rPr>
        <w:t>98%，接受职业培训后取得职业资格证书（或职业技能等级证书、专项职业能力证书、培训合格证书）人员的比例85%，社会保险补贴发放准确率98%，公益性岗位补贴发放准确率98%，就业见习补贴发放准确率98%，求职创业补贴发放准确率98%</w:t>
      </w:r>
      <w:r>
        <w:rPr>
          <w:rFonts w:hint="eastAsia" w:ascii="仿宋_GB2312" w:hAnsi="仿宋_GB2312" w:cs="仿宋_GB2312"/>
          <w:color w:val="auto"/>
          <w:kern w:val="0"/>
          <w:sz w:val="32"/>
          <w:szCs w:val="32"/>
          <w:highlight w:val="none"/>
          <w:u w:val="none"/>
          <w:shd w:val="clear" w:color="auto" w:fill="FFFFFF"/>
          <w:lang w:val="zh-CN" w:eastAsia="zh-CN"/>
        </w:rPr>
        <w:t>，绩效目标超额完成。</w:t>
      </w:r>
    </w:p>
    <w:p w14:paraId="6DED53D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（3）时效指标：资金在规定时间内下达率</w:t>
      </w:r>
      <w:r>
        <w:rPr>
          <w:rFonts w:hint="eastAsia" w:ascii="仿宋_GB2312" w:hAnsi="仿宋_GB2312" w:cs="仿宋_GB2312"/>
          <w:color w:val="auto"/>
          <w:kern w:val="0"/>
          <w:sz w:val="32"/>
          <w:szCs w:val="32"/>
          <w:highlight w:val="none"/>
          <w:u w:val="none"/>
          <w:shd w:val="clear" w:color="auto" w:fill="FFFFFF"/>
          <w:lang w:val="en-US" w:eastAsia="zh-CN"/>
        </w:rPr>
        <w:t>98%，补贴资金在规定时间内支付到位率98%</w:t>
      </w:r>
      <w:r>
        <w:rPr>
          <w:rFonts w:hint="eastAsia" w:ascii="仿宋_GB2312" w:hAnsi="仿宋_GB2312" w:cs="仿宋_GB2312"/>
          <w:color w:val="auto"/>
          <w:kern w:val="0"/>
          <w:sz w:val="32"/>
          <w:szCs w:val="32"/>
          <w:highlight w:val="none"/>
          <w:u w:val="none"/>
          <w:shd w:val="clear" w:color="auto" w:fill="FFFFFF"/>
          <w:lang w:val="zh-CN" w:eastAsia="zh-CN"/>
        </w:rPr>
        <w:t>。</w:t>
      </w:r>
    </w:p>
    <w:p w14:paraId="6508AE3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（4）成本指标：</w:t>
      </w:r>
      <w:r>
        <w:rPr>
          <w:rFonts w:hint="eastAsia" w:ascii="仿宋_GB2312" w:hAnsi="仿宋_GB2312" w:cs="仿宋_GB2312"/>
          <w:color w:val="auto"/>
          <w:kern w:val="0"/>
          <w:sz w:val="32"/>
          <w:szCs w:val="32"/>
          <w:highlight w:val="none"/>
          <w:u w:val="none"/>
          <w:shd w:val="clear" w:color="auto" w:fill="FFFFFF"/>
          <w:lang w:val="en-US" w:eastAsia="zh-CN"/>
        </w:rPr>
        <w:t>社会保险补贴人均标准0.63万元，公益性岗位补贴人均标准1万元，</w:t>
      </w:r>
      <w:r>
        <w:rPr>
          <w:rFonts w:hint="eastAsia" w:ascii="仿宋_GB2312" w:hAnsi="仿宋_GB2312" w:cs="仿宋_GB2312"/>
          <w:color w:val="auto"/>
          <w:kern w:val="0"/>
          <w:sz w:val="32"/>
          <w:szCs w:val="32"/>
          <w:highlight w:val="none"/>
          <w:u w:val="none"/>
          <w:shd w:val="clear" w:color="auto" w:fill="FFFFFF"/>
          <w:lang w:val="zh-CN" w:eastAsia="zh-CN"/>
        </w:rPr>
        <w:t>总体完成情况良好。</w:t>
      </w:r>
    </w:p>
    <w:p w14:paraId="4614C3A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3. 效果指标分析</w:t>
      </w:r>
    </w:p>
    <w:p w14:paraId="195F767D">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w:t>
      </w:r>
      <w:r>
        <w:rPr>
          <w:rFonts w:hint="eastAsia" w:ascii="仿宋_GB2312" w:hAnsi="仿宋_GB2312" w:cs="仿宋_GB2312"/>
          <w:color w:val="auto"/>
          <w:kern w:val="0"/>
          <w:sz w:val="32"/>
          <w:szCs w:val="32"/>
          <w:highlight w:val="none"/>
          <w:u w:val="none"/>
          <w:shd w:val="clear" w:color="auto" w:fill="FFFFFF"/>
          <w:lang w:val="en-US" w:eastAsia="zh-CN"/>
        </w:rPr>
        <w:t>1</w:t>
      </w:r>
      <w:r>
        <w:rPr>
          <w:rFonts w:hint="eastAsia" w:ascii="仿宋_GB2312" w:hAnsi="仿宋_GB2312" w:cs="仿宋_GB2312"/>
          <w:color w:val="auto"/>
          <w:kern w:val="0"/>
          <w:sz w:val="32"/>
          <w:szCs w:val="32"/>
          <w:highlight w:val="none"/>
          <w:u w:val="none"/>
          <w:shd w:val="clear" w:color="auto" w:fill="FFFFFF"/>
          <w:lang w:val="zh-CN" w:eastAsia="zh-CN"/>
        </w:rPr>
        <w:t>）经济效益：</w:t>
      </w:r>
      <w:r>
        <w:rPr>
          <w:rFonts w:hint="eastAsia" w:ascii="仿宋_GB2312" w:hAnsi="仿宋_GB2312" w:cs="仿宋_GB2312"/>
          <w:color w:val="auto"/>
          <w:kern w:val="0"/>
          <w:sz w:val="32"/>
          <w:szCs w:val="32"/>
          <w:highlight w:val="none"/>
          <w:u w:val="none"/>
          <w:shd w:val="clear" w:color="auto" w:fill="FFFFFF"/>
          <w:lang w:val="en-US" w:eastAsia="zh-CN"/>
        </w:rPr>
        <w:t>城镇新增就业人数601人，年末城镇调查失业率低于5.5%，年末城镇调查失业率为3.8%，年末高校毕业生总体就业率90%，失业人员再就业人数48人，就业困难人员就业人数9人，</w:t>
      </w:r>
      <w:r>
        <w:rPr>
          <w:rFonts w:hint="eastAsia" w:ascii="仿宋_GB2312" w:hAnsi="仿宋_GB2312" w:cs="仿宋_GB2312"/>
          <w:color w:val="auto"/>
          <w:kern w:val="0"/>
          <w:sz w:val="32"/>
          <w:szCs w:val="32"/>
          <w:highlight w:val="none"/>
          <w:u w:val="none"/>
          <w:shd w:val="clear" w:color="auto" w:fill="FFFFFF"/>
          <w:lang w:val="zh-CN" w:eastAsia="zh-CN"/>
        </w:rPr>
        <w:t>总体完成情况良好。</w:t>
      </w:r>
    </w:p>
    <w:p w14:paraId="79B396D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社会效益：零就业家庭帮扶率</w:t>
      </w:r>
      <w:r>
        <w:rPr>
          <w:rFonts w:hint="eastAsia" w:ascii="仿宋_GB2312" w:hAnsi="仿宋_GB2312" w:cs="仿宋_GB2312"/>
          <w:color w:val="auto"/>
          <w:kern w:val="0"/>
          <w:sz w:val="32"/>
          <w:szCs w:val="32"/>
          <w:highlight w:val="none"/>
          <w:u w:val="none"/>
          <w:shd w:val="clear" w:color="auto" w:fill="FFFFFF"/>
          <w:lang w:val="en-US" w:eastAsia="zh-CN"/>
        </w:rPr>
        <w:t>98%，因就业问题发生重大群体性事件数量0起。</w:t>
      </w:r>
    </w:p>
    <w:p w14:paraId="621E266E">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仿宋_GB2312" w:hAnsi="仿宋_GB2312" w:cs="仿宋_GB2312"/>
          <w:color w:val="auto"/>
          <w:kern w:val="0"/>
          <w:sz w:val="32"/>
          <w:szCs w:val="32"/>
          <w:highlight w:val="none"/>
          <w:u w:val="none"/>
          <w:shd w:val="clear" w:color="auto" w:fill="FFFFFF"/>
          <w:lang w:val="zh-CN" w:eastAsia="zh-CN"/>
        </w:rPr>
      </w:pPr>
      <w:r>
        <w:rPr>
          <w:rFonts w:hint="eastAsia" w:ascii="仿宋_GB2312" w:hAnsi="仿宋_GB2312" w:cs="仿宋_GB2312"/>
          <w:color w:val="auto"/>
          <w:kern w:val="0"/>
          <w:sz w:val="32"/>
          <w:szCs w:val="32"/>
          <w:highlight w:val="none"/>
          <w:u w:val="none"/>
          <w:shd w:val="clear" w:color="auto" w:fill="FFFFFF"/>
          <w:lang w:val="zh-CN" w:eastAsia="zh-CN"/>
        </w:rPr>
        <w:t>（</w:t>
      </w:r>
      <w:r>
        <w:rPr>
          <w:rFonts w:hint="eastAsia" w:ascii="仿宋_GB2312" w:hAnsi="仿宋_GB2312" w:cs="仿宋_GB2312"/>
          <w:color w:val="auto"/>
          <w:kern w:val="0"/>
          <w:sz w:val="32"/>
          <w:szCs w:val="32"/>
          <w:highlight w:val="none"/>
          <w:u w:val="none"/>
          <w:shd w:val="clear" w:color="auto" w:fill="FFFFFF"/>
          <w:lang w:val="en-US" w:eastAsia="zh-CN"/>
        </w:rPr>
        <w:t>2</w:t>
      </w:r>
      <w:r>
        <w:rPr>
          <w:rFonts w:hint="eastAsia" w:ascii="仿宋_GB2312" w:hAnsi="仿宋_GB2312" w:cs="仿宋_GB2312"/>
          <w:color w:val="auto"/>
          <w:kern w:val="0"/>
          <w:sz w:val="32"/>
          <w:szCs w:val="32"/>
          <w:highlight w:val="none"/>
          <w:u w:val="none"/>
          <w:shd w:val="clear" w:color="auto" w:fill="FFFFFF"/>
          <w:lang w:val="zh-CN" w:eastAsia="zh-CN"/>
        </w:rPr>
        <w:t>）服务对象满意度目标：公共就业服务满意度</w:t>
      </w:r>
      <w:r>
        <w:rPr>
          <w:rFonts w:hint="eastAsia" w:ascii="仿宋_GB2312" w:hAnsi="仿宋_GB2312" w:cs="仿宋_GB2312"/>
          <w:color w:val="auto"/>
          <w:kern w:val="0"/>
          <w:sz w:val="32"/>
          <w:szCs w:val="32"/>
          <w:highlight w:val="none"/>
          <w:u w:val="none"/>
          <w:shd w:val="clear" w:color="auto" w:fill="FFFFFF"/>
          <w:lang w:val="en-US" w:eastAsia="zh-CN"/>
        </w:rPr>
        <w:t>90%，就业扶持政策经办服务满意度92%</w:t>
      </w:r>
      <w:r>
        <w:rPr>
          <w:rFonts w:hint="eastAsia" w:ascii="仿宋_GB2312" w:hAnsi="仿宋_GB2312" w:cs="仿宋_GB2312"/>
          <w:color w:val="auto"/>
          <w:kern w:val="0"/>
          <w:sz w:val="32"/>
          <w:szCs w:val="32"/>
          <w:highlight w:val="none"/>
          <w:u w:val="none"/>
          <w:shd w:val="clear" w:color="auto" w:fill="FFFFFF"/>
          <w:lang w:val="zh-CN" w:eastAsia="zh-CN"/>
        </w:rPr>
        <w:t>。</w:t>
      </w:r>
    </w:p>
    <w:p w14:paraId="5B0D0932">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44046AF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lang w:val="en-US" w:eastAsia="zh-CN"/>
        </w:rPr>
        <w:t>1.</w:t>
      </w:r>
      <w:r>
        <w:rPr>
          <w:rFonts w:hint="eastAsia" w:ascii="楷体_GB2312" w:hAnsi="楷体_GB2312" w:eastAsia="楷体_GB2312" w:cs="楷体_GB2312"/>
          <w:color w:val="auto"/>
          <w:szCs w:val="32"/>
          <w:lang w:eastAsia="zh-CN"/>
        </w:rPr>
        <w:t>项目决策。</w:t>
      </w:r>
    </w:p>
    <w:p w14:paraId="7B1C25A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cs="Times New Roman"/>
          <w:color w:val="auto"/>
          <w:szCs w:val="32"/>
          <w:lang w:eastAsia="zh-CN"/>
        </w:rPr>
      </w:pPr>
      <w:r>
        <w:rPr>
          <w:rFonts w:hint="eastAsia" w:ascii="Times New Roman" w:hAnsi="Times New Roman" w:cs="Times New Roman"/>
          <w:color w:val="auto"/>
          <w:szCs w:val="32"/>
          <w:lang w:val="en-US" w:eastAsia="zh-CN"/>
        </w:rPr>
        <w:t>该</w:t>
      </w:r>
      <w:r>
        <w:rPr>
          <w:rFonts w:hint="eastAsia" w:ascii="Times New Roman" w:hAnsi="Times New Roman" w:cs="Times New Roman"/>
          <w:color w:val="auto"/>
          <w:szCs w:val="32"/>
          <w:lang w:eastAsia="zh-CN"/>
        </w:rPr>
        <w:t>项目决策程序严密，项目规划论证符合</w:t>
      </w:r>
      <w:r>
        <w:rPr>
          <w:rFonts w:hint="eastAsia" w:ascii="Times New Roman" w:hAnsi="Times New Roman" w:cs="Times New Roman"/>
          <w:color w:val="auto"/>
          <w:szCs w:val="32"/>
          <w:lang w:val="en-US" w:eastAsia="zh-CN"/>
        </w:rPr>
        <w:t>相关</w:t>
      </w:r>
      <w:r>
        <w:rPr>
          <w:rFonts w:hint="eastAsia" w:ascii="Times New Roman" w:hAnsi="Times New Roman" w:cs="Times New Roman"/>
          <w:color w:val="auto"/>
          <w:szCs w:val="32"/>
          <w:lang w:eastAsia="zh-CN"/>
        </w:rPr>
        <w:t>要求，项目绩效目标设置科学合理。项目资金与项目总体规划、相关行业事业发展相匹配，聚焦重大任务、重点领域、重点环节和重点项目。项目制度办法体系健全、要素完备。</w:t>
      </w:r>
    </w:p>
    <w:p w14:paraId="12AD80C5">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lang w:val="en-US" w:eastAsia="zh-CN"/>
        </w:rPr>
        <w:t>2.</w:t>
      </w:r>
      <w:r>
        <w:rPr>
          <w:rFonts w:hint="eastAsia" w:ascii="楷体_GB2312" w:hAnsi="楷体_GB2312" w:eastAsia="楷体_GB2312" w:cs="楷体_GB2312"/>
          <w:color w:val="auto"/>
          <w:szCs w:val="32"/>
          <w:lang w:eastAsia="zh-CN"/>
        </w:rPr>
        <w:t>项目管理。</w:t>
      </w:r>
    </w:p>
    <w:p w14:paraId="50EE0835">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cs="仿宋_GB2312"/>
          <w:color w:val="auto"/>
          <w:kern w:val="0"/>
          <w:sz w:val="32"/>
          <w:szCs w:val="32"/>
          <w:highlight w:val="none"/>
          <w:u w:val="none"/>
          <w:shd w:val="clear" w:color="auto" w:fill="FFFFFF"/>
          <w:lang w:val="en-US" w:eastAsia="zh-CN"/>
        </w:rPr>
        <w:t>为贯彻落实好各项就业创业政策，</w:t>
      </w:r>
      <w:r>
        <w:rPr>
          <w:rFonts w:hint="eastAsia" w:ascii="仿宋_GB2312" w:hAnsi="仿宋_GB2312" w:eastAsia="仿宋_GB2312" w:cs="仿宋_GB2312"/>
          <w:color w:val="auto"/>
          <w:kern w:val="0"/>
          <w:sz w:val="32"/>
          <w:szCs w:val="32"/>
          <w:highlight w:val="none"/>
          <w:u w:val="none"/>
          <w:shd w:val="clear" w:color="auto" w:fill="FFFFFF"/>
          <w:lang w:val="zh-CN"/>
        </w:rPr>
        <w:t>根据</w:t>
      </w:r>
      <w:r>
        <w:rPr>
          <w:rFonts w:hint="eastAsia" w:ascii="仿宋_GB2312" w:hAnsi="仿宋_GB2312" w:cs="仿宋_GB2312"/>
          <w:color w:val="auto"/>
          <w:kern w:val="0"/>
          <w:sz w:val="32"/>
          <w:szCs w:val="32"/>
          <w:highlight w:val="none"/>
          <w:u w:val="none"/>
          <w:shd w:val="clear" w:color="auto" w:fill="FFFFFF"/>
          <w:lang w:val="en-US" w:eastAsia="zh-CN"/>
        </w:rPr>
        <w:t>四川省</w:t>
      </w:r>
      <w:r>
        <w:rPr>
          <w:rFonts w:hint="eastAsia" w:ascii="仿宋_GB2312" w:hAnsi="仿宋_GB2312" w:eastAsia="仿宋_GB2312" w:cs="仿宋_GB2312"/>
          <w:color w:val="auto"/>
          <w:kern w:val="0"/>
          <w:sz w:val="32"/>
          <w:szCs w:val="32"/>
          <w:highlight w:val="none"/>
          <w:u w:val="none"/>
          <w:shd w:val="clear" w:color="auto" w:fill="FFFFFF"/>
          <w:lang w:val="zh-CN"/>
        </w:rPr>
        <w:t>财政厅</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cs="仿宋_GB2312"/>
          <w:color w:val="auto"/>
          <w:kern w:val="0"/>
          <w:sz w:val="32"/>
          <w:szCs w:val="32"/>
          <w:highlight w:val="none"/>
          <w:u w:val="none"/>
          <w:shd w:val="clear" w:color="auto" w:fill="FFFFFF"/>
          <w:lang w:val="en-US" w:eastAsia="zh-CN"/>
        </w:rPr>
        <w:t>四川省</w:t>
      </w:r>
      <w:r>
        <w:rPr>
          <w:rFonts w:hint="eastAsia" w:ascii="仿宋_GB2312" w:hAnsi="仿宋_GB2312" w:eastAsia="仿宋_GB2312" w:cs="仿宋_GB2312"/>
          <w:color w:val="auto"/>
          <w:kern w:val="0"/>
          <w:sz w:val="32"/>
          <w:szCs w:val="32"/>
          <w:highlight w:val="none"/>
          <w:u w:val="none"/>
          <w:shd w:val="clear" w:color="auto" w:fill="FFFFFF"/>
          <w:lang w:val="zh-CN"/>
        </w:rPr>
        <w:t>人力资源社会保障厅关于印发</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eastAsia="仿宋_GB2312" w:cs="仿宋_GB2312"/>
          <w:color w:val="auto"/>
          <w:kern w:val="0"/>
          <w:sz w:val="32"/>
          <w:szCs w:val="32"/>
          <w:highlight w:val="none"/>
          <w:u w:val="none"/>
          <w:shd w:val="clear" w:color="auto" w:fill="FFFFFF"/>
          <w:lang w:val="zh-CN"/>
        </w:rPr>
        <w:t>中央和省级就业创业补助资金管理办法</w:t>
      </w:r>
      <w:r>
        <w:rPr>
          <w:rFonts w:hint="eastAsia" w:ascii="仿宋_GB2312" w:hAnsi="仿宋_GB2312" w:cs="仿宋_GB2312"/>
          <w:color w:val="auto"/>
          <w:kern w:val="0"/>
          <w:sz w:val="32"/>
          <w:szCs w:val="32"/>
          <w:highlight w:val="none"/>
          <w:u w:val="none"/>
          <w:shd w:val="clear" w:color="auto" w:fill="FFFFFF"/>
          <w:lang w:val="zh-CN"/>
        </w:rPr>
        <w:t>》</w:t>
      </w:r>
      <w:r>
        <w:rPr>
          <w:rFonts w:hint="eastAsia" w:ascii="仿宋_GB2312" w:hAnsi="仿宋_GB2312" w:eastAsia="仿宋_GB2312" w:cs="仿宋_GB2312"/>
          <w:color w:val="auto"/>
          <w:kern w:val="0"/>
          <w:sz w:val="32"/>
          <w:szCs w:val="32"/>
          <w:highlight w:val="none"/>
          <w:u w:val="none"/>
          <w:shd w:val="clear" w:color="auto" w:fill="FFFFFF"/>
          <w:lang w:val="zh-CN"/>
        </w:rPr>
        <w:t>的通知，我单位制定了《松潘县公共就业和人才交流服务中心关于中央和省级就业创业补助资金管理办法》，对就业创业补助资金实行专项管理，专款专用。项目资金分配因素选取、权重设置、区域分布，项目管理、审批符合管理要求</w:t>
      </w:r>
      <w:r>
        <w:rPr>
          <w:rFonts w:hint="eastAsia" w:ascii="仿宋_GB2312" w:hAnsi="仿宋_GB2312" w:cs="仿宋_GB2312"/>
          <w:color w:val="auto"/>
          <w:kern w:val="0"/>
          <w:sz w:val="32"/>
          <w:szCs w:val="32"/>
          <w:highlight w:val="none"/>
          <w:u w:val="none"/>
          <w:shd w:val="clear" w:color="auto" w:fill="FFFFFF"/>
          <w:lang w:val="zh-CN"/>
        </w:rPr>
        <w:t>，管资金、项目、政策、管绩效，项目绩效监管按要求开展，对下指导有力有效。</w:t>
      </w:r>
    </w:p>
    <w:p w14:paraId="2ECE01EF">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eastAsia" w:ascii="楷体_GB2312" w:hAnsi="楷体_GB2312" w:eastAsia="楷体_GB2312" w:cs="楷体_GB2312"/>
          <w:color w:val="auto"/>
          <w:szCs w:val="32"/>
          <w:lang w:val="en-US" w:eastAsia="zh-CN"/>
        </w:rPr>
      </w:pPr>
      <w:r>
        <w:rPr>
          <w:rFonts w:hint="eastAsia" w:ascii="楷体_GB2312" w:hAnsi="楷体_GB2312" w:eastAsia="楷体_GB2312" w:cs="楷体_GB2312"/>
          <w:color w:val="auto"/>
          <w:szCs w:val="32"/>
          <w:lang w:val="en-US" w:eastAsia="zh-CN"/>
        </w:rPr>
        <w:t>3.项目实施。</w:t>
      </w:r>
    </w:p>
    <w:p w14:paraId="2BF1B1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cs="Times New Roman"/>
          <w:color w:val="auto"/>
          <w:szCs w:val="32"/>
          <w:lang w:eastAsia="zh-CN"/>
        </w:rPr>
      </w:pPr>
      <w:r>
        <w:rPr>
          <w:rFonts w:hint="eastAsia" w:ascii="Times New Roman" w:hAnsi="Times New Roman" w:cs="Times New Roman"/>
          <w:color w:val="auto"/>
          <w:szCs w:val="32"/>
          <w:lang w:eastAsia="zh-CN"/>
        </w:rPr>
        <w:t>就业创业补助资金项目完成预期目标，实施结果与绩效目标相匹配，反映目标实现程度</w:t>
      </w:r>
      <w:r>
        <w:rPr>
          <w:rFonts w:hint="eastAsia" w:cs="Times New Roman"/>
          <w:color w:val="auto"/>
          <w:szCs w:val="32"/>
          <w:lang w:eastAsia="zh-CN"/>
        </w:rPr>
        <w:t>。</w:t>
      </w:r>
    </w:p>
    <w:p w14:paraId="5F5DAEF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Cs w:val="32"/>
          <w:lang w:val="en-US" w:eastAsia="zh-CN"/>
        </w:rPr>
      </w:pPr>
      <w:r>
        <w:rPr>
          <w:rFonts w:hint="eastAsia" w:ascii="楷体_GB2312" w:hAnsi="楷体_GB2312" w:eastAsia="楷体_GB2312" w:cs="楷体_GB2312"/>
          <w:color w:val="auto"/>
          <w:szCs w:val="32"/>
          <w:lang w:val="en-US" w:eastAsia="zh-CN"/>
        </w:rPr>
        <w:t>4.项目结果。</w:t>
      </w:r>
    </w:p>
    <w:p w14:paraId="58920E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Times New Roman" w:hAnsi="Times New Roman" w:cs="Times New Roman"/>
          <w:color w:val="auto"/>
          <w:szCs w:val="32"/>
          <w:lang w:eastAsia="zh-CN"/>
        </w:rPr>
      </w:pPr>
      <w:r>
        <w:rPr>
          <w:rFonts w:hint="eastAsia" w:ascii="Times New Roman" w:hAnsi="Times New Roman" w:cs="Times New Roman"/>
          <w:color w:val="auto"/>
          <w:szCs w:val="32"/>
          <w:lang w:val="en-US" w:eastAsia="zh-CN"/>
        </w:rPr>
        <w:t>就业创业</w:t>
      </w:r>
      <w:r>
        <w:rPr>
          <w:rFonts w:hint="eastAsia" w:cs="Times New Roman"/>
          <w:color w:val="auto"/>
          <w:szCs w:val="32"/>
          <w:lang w:val="en-US" w:eastAsia="zh-CN"/>
        </w:rPr>
        <w:t>补助资金资金在</w:t>
      </w:r>
      <w:r>
        <w:rPr>
          <w:rFonts w:hint="eastAsia" w:ascii="Times New Roman" w:hAnsi="Times New Roman" w:cs="Times New Roman"/>
          <w:color w:val="auto"/>
          <w:szCs w:val="32"/>
          <w:lang w:val="en-US" w:eastAsia="zh-CN"/>
        </w:rPr>
        <w:t>规定时间内下达率</w:t>
      </w:r>
      <w:r>
        <w:rPr>
          <w:rFonts w:hint="eastAsia" w:cs="Times New Roman"/>
          <w:color w:val="auto"/>
          <w:szCs w:val="32"/>
          <w:lang w:val="en-US" w:eastAsia="zh-CN"/>
        </w:rPr>
        <w:t>98%，补贴资金在规定时间内支付到位率98%。</w:t>
      </w:r>
    </w:p>
    <w:p w14:paraId="2978FAD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3F09CC6F">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本项目设置个性指标享受职业培训补贴人员数量1465</w:t>
      </w:r>
      <w:r>
        <w:rPr>
          <w:rFonts w:hint="eastAsia" w:ascii="仿宋_GB2312" w:hAnsi="仿宋_GB2312" w:cs="仿宋_GB2312"/>
          <w:b w:val="0"/>
          <w:bCs w:val="0"/>
          <w:kern w:val="0"/>
          <w:position w:val="0"/>
          <w:sz w:val="32"/>
          <w:szCs w:val="32"/>
          <w:highlight w:val="none"/>
          <w:lang w:val="en-US" w:eastAsia="zh-CN" w:bidi="ar-SA"/>
        </w:rPr>
        <w:t>人，享受社会保险补贴人员数量43人，享受公益性岗位补贴人员数量102人。</w:t>
      </w:r>
    </w:p>
    <w:p w14:paraId="62B42CEB">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04D8F74C">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松潘县公共就业和人才交流服务中心2023年完成了就业创业补助资金项目制定的目标任务，本年度资金按规定用于职业培训补贴、职业技能鉴定补贴、社会保险补贴、公益性岗位补贴、创业补贴、就业见习补贴、求职创业补贴、就业创业服务补助、高技能人才培养补助等支出以及经省级人民政府批准的其他支出项目。本年度完成年度城镇新增就业目标任务。但存在预算安排准确性有待提高、需加强单位制度建设及做好成本控制等问题。经评价，松潘县公共就业和人才交流服务中心2023年就业创业补助资金</w:t>
      </w:r>
      <w:r>
        <w:rPr>
          <w:rFonts w:hint="eastAsia" w:ascii="仿宋_GB2312" w:hAnsi="仿宋_GB2312" w:cs="仿宋_GB2312"/>
          <w:b w:val="0"/>
          <w:bCs w:val="0"/>
          <w:kern w:val="0"/>
          <w:position w:val="0"/>
          <w:sz w:val="32"/>
          <w:szCs w:val="32"/>
          <w:highlight w:val="none"/>
          <w:lang w:val="en-US" w:eastAsia="zh-CN" w:bidi="ar-SA"/>
        </w:rPr>
        <w:t>项目</w:t>
      </w:r>
      <w:r>
        <w:rPr>
          <w:rFonts w:hint="eastAsia" w:ascii="仿宋_GB2312" w:hAnsi="仿宋_GB2312" w:eastAsia="仿宋_GB2312" w:cs="仿宋_GB2312"/>
          <w:b w:val="0"/>
          <w:bCs w:val="0"/>
          <w:kern w:val="0"/>
          <w:position w:val="0"/>
          <w:sz w:val="32"/>
          <w:szCs w:val="32"/>
          <w:highlight w:val="none"/>
          <w:lang w:val="en-US" w:eastAsia="zh-CN" w:bidi="ar-SA"/>
        </w:rPr>
        <w:t>绩效评价为优秀。</w:t>
      </w:r>
    </w:p>
    <w:p w14:paraId="3FBF23A2">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730A72A1">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该</w:t>
      </w:r>
      <w:r>
        <w:rPr>
          <w:rFonts w:hint="eastAsia" w:ascii="仿宋_GB2312" w:hAnsi="仿宋_GB2312" w:eastAsia="仿宋_GB2312" w:cs="仿宋_GB2312"/>
          <w:b w:val="0"/>
          <w:bCs w:val="0"/>
          <w:kern w:val="0"/>
          <w:position w:val="0"/>
          <w:sz w:val="32"/>
          <w:szCs w:val="32"/>
          <w:highlight w:val="none"/>
          <w:lang w:val="en-US" w:eastAsia="zh-CN" w:bidi="ar-SA"/>
        </w:rPr>
        <w:t>项目支出预算编制不够具体细化，导致预算执行率</w:t>
      </w:r>
      <w:r>
        <w:rPr>
          <w:rFonts w:hint="eastAsia" w:ascii="仿宋_GB2312" w:hAnsi="仿宋_GB2312" w:cs="仿宋_GB2312"/>
          <w:b w:val="0"/>
          <w:bCs w:val="0"/>
          <w:kern w:val="0"/>
          <w:position w:val="0"/>
          <w:sz w:val="32"/>
          <w:szCs w:val="32"/>
          <w:highlight w:val="none"/>
          <w:lang w:val="en-US" w:eastAsia="zh-CN" w:bidi="ar-SA"/>
        </w:rPr>
        <w:t>未达到100%</w:t>
      </w:r>
      <w:r>
        <w:rPr>
          <w:rFonts w:hint="eastAsia" w:ascii="仿宋_GB2312" w:hAnsi="仿宋_GB2312" w:eastAsia="仿宋_GB2312" w:cs="仿宋_GB2312"/>
          <w:b w:val="0"/>
          <w:bCs w:val="0"/>
          <w:kern w:val="0"/>
          <w:position w:val="0"/>
          <w:sz w:val="32"/>
          <w:szCs w:val="32"/>
          <w:highlight w:val="none"/>
          <w:lang w:val="en-US" w:eastAsia="zh-CN" w:bidi="ar-SA"/>
        </w:rPr>
        <w:t>。就业创业补助资金该项目经费年初预算</w:t>
      </w:r>
      <w:r>
        <w:rPr>
          <w:rFonts w:hint="eastAsia" w:ascii="仿宋_GB2312" w:hAnsi="仿宋_GB2312" w:cs="仿宋_GB2312"/>
          <w:b w:val="0"/>
          <w:bCs w:val="0"/>
          <w:kern w:val="0"/>
          <w:position w:val="0"/>
          <w:sz w:val="32"/>
          <w:szCs w:val="32"/>
          <w:highlight w:val="none"/>
          <w:lang w:val="en-US" w:eastAsia="zh-CN" w:bidi="ar-SA"/>
        </w:rPr>
        <w:t>0</w:t>
      </w:r>
      <w:r>
        <w:rPr>
          <w:rFonts w:hint="eastAsia" w:ascii="仿宋_GB2312" w:hAnsi="仿宋_GB2312" w:eastAsia="仿宋_GB2312" w:cs="仿宋_GB2312"/>
          <w:b w:val="0"/>
          <w:bCs w:val="0"/>
          <w:kern w:val="0"/>
          <w:position w:val="0"/>
          <w:sz w:val="32"/>
          <w:szCs w:val="32"/>
          <w:highlight w:val="none"/>
          <w:lang w:val="en-US" w:eastAsia="zh-CN" w:bidi="ar-SA"/>
        </w:rPr>
        <w:t>万元，调整后预算数</w:t>
      </w:r>
      <w:r>
        <w:rPr>
          <w:rFonts w:hint="eastAsia" w:ascii="仿宋_GB2312" w:hAnsi="仿宋_GB2312" w:cs="仿宋_GB2312"/>
          <w:b w:val="0"/>
          <w:bCs w:val="0"/>
          <w:kern w:val="0"/>
          <w:position w:val="0"/>
          <w:sz w:val="32"/>
          <w:szCs w:val="32"/>
          <w:highlight w:val="none"/>
          <w:lang w:val="en-US" w:eastAsia="zh-CN" w:bidi="ar-SA"/>
        </w:rPr>
        <w:t>680.69</w:t>
      </w:r>
      <w:r>
        <w:rPr>
          <w:rFonts w:hint="eastAsia" w:ascii="仿宋_GB2312" w:hAnsi="仿宋_GB2312" w:eastAsia="仿宋_GB2312" w:cs="仿宋_GB2312"/>
          <w:b w:val="0"/>
          <w:bCs w:val="0"/>
          <w:kern w:val="0"/>
          <w:position w:val="0"/>
          <w:sz w:val="32"/>
          <w:szCs w:val="32"/>
          <w:highlight w:val="none"/>
          <w:lang w:val="en-US" w:eastAsia="zh-CN" w:bidi="ar-SA"/>
        </w:rPr>
        <w:t>万元，预算执行数</w:t>
      </w:r>
      <w:r>
        <w:rPr>
          <w:rFonts w:hint="eastAsia" w:ascii="仿宋_GB2312" w:hAnsi="仿宋_GB2312" w:cs="仿宋_GB2312"/>
          <w:b w:val="0"/>
          <w:bCs w:val="0"/>
          <w:kern w:val="0"/>
          <w:position w:val="0"/>
          <w:sz w:val="32"/>
          <w:szCs w:val="32"/>
          <w:highlight w:val="none"/>
          <w:lang w:val="en-US" w:eastAsia="zh-CN" w:bidi="ar-SA"/>
        </w:rPr>
        <w:t>673.11</w:t>
      </w:r>
      <w:r>
        <w:rPr>
          <w:rFonts w:hint="eastAsia" w:ascii="仿宋_GB2312" w:hAnsi="仿宋_GB2312" w:eastAsia="仿宋_GB2312" w:cs="仿宋_GB2312"/>
          <w:b w:val="0"/>
          <w:bCs w:val="0"/>
          <w:kern w:val="0"/>
          <w:position w:val="0"/>
          <w:sz w:val="32"/>
          <w:szCs w:val="32"/>
          <w:highlight w:val="none"/>
          <w:lang w:val="en-US" w:eastAsia="zh-CN" w:bidi="ar-SA"/>
        </w:rPr>
        <w:t>万元，预算执行率</w:t>
      </w:r>
      <w:r>
        <w:rPr>
          <w:rFonts w:hint="eastAsia" w:ascii="仿宋_GB2312" w:hAnsi="仿宋_GB2312" w:cs="仿宋_GB2312"/>
          <w:b w:val="0"/>
          <w:bCs w:val="0"/>
          <w:kern w:val="0"/>
          <w:position w:val="0"/>
          <w:sz w:val="32"/>
          <w:szCs w:val="32"/>
          <w:highlight w:val="none"/>
          <w:lang w:val="en-US" w:eastAsia="zh-CN" w:bidi="ar-SA"/>
        </w:rPr>
        <w:t>98.89</w:t>
      </w:r>
      <w:r>
        <w:rPr>
          <w:rFonts w:hint="eastAsia" w:ascii="仿宋_GB2312" w:hAnsi="仿宋_GB2312" w:eastAsia="仿宋_GB2312" w:cs="仿宋_GB2312"/>
          <w:b w:val="0"/>
          <w:bCs w:val="0"/>
          <w:kern w:val="0"/>
          <w:position w:val="0"/>
          <w:sz w:val="32"/>
          <w:szCs w:val="32"/>
          <w:highlight w:val="none"/>
          <w:lang w:val="en-US" w:eastAsia="zh-CN" w:bidi="ar-SA"/>
        </w:rPr>
        <w:t>%，预算完成率</w:t>
      </w:r>
      <w:r>
        <w:rPr>
          <w:rFonts w:hint="eastAsia" w:ascii="仿宋_GB2312" w:hAnsi="仿宋_GB2312" w:cs="仿宋_GB2312"/>
          <w:b w:val="0"/>
          <w:bCs w:val="0"/>
          <w:kern w:val="0"/>
          <w:position w:val="0"/>
          <w:sz w:val="32"/>
          <w:szCs w:val="32"/>
          <w:highlight w:val="none"/>
          <w:lang w:val="en-US" w:eastAsia="zh-CN" w:bidi="ar-SA"/>
        </w:rPr>
        <w:t>相对其他预算执行率100%的项目</w:t>
      </w:r>
      <w:r>
        <w:rPr>
          <w:rFonts w:hint="eastAsia" w:ascii="仿宋_GB2312" w:hAnsi="仿宋_GB2312" w:eastAsia="仿宋_GB2312" w:cs="仿宋_GB2312"/>
          <w:b w:val="0"/>
          <w:bCs w:val="0"/>
          <w:kern w:val="0"/>
          <w:position w:val="0"/>
          <w:sz w:val="32"/>
          <w:szCs w:val="32"/>
          <w:highlight w:val="none"/>
          <w:lang w:val="en-US" w:eastAsia="zh-CN" w:bidi="ar-SA"/>
        </w:rPr>
        <w:t>较低。主要系该工作经费预算编制不够具体细化，未明确具体实施内容，导致该项预算执行率仅为</w:t>
      </w:r>
      <w:r>
        <w:rPr>
          <w:rFonts w:hint="eastAsia" w:ascii="仿宋_GB2312" w:hAnsi="仿宋_GB2312" w:cs="仿宋_GB2312"/>
          <w:b w:val="0"/>
          <w:bCs w:val="0"/>
          <w:kern w:val="0"/>
          <w:position w:val="0"/>
          <w:sz w:val="32"/>
          <w:szCs w:val="32"/>
          <w:highlight w:val="none"/>
          <w:lang w:val="en-US" w:eastAsia="zh-CN" w:bidi="ar-SA"/>
        </w:rPr>
        <w:t>98.89</w:t>
      </w:r>
      <w:r>
        <w:rPr>
          <w:rFonts w:hint="eastAsia" w:ascii="仿宋_GB2312" w:hAnsi="仿宋_GB2312" w:eastAsia="仿宋_GB2312" w:cs="仿宋_GB2312"/>
          <w:b w:val="0"/>
          <w:bCs w:val="0"/>
          <w:kern w:val="0"/>
          <w:position w:val="0"/>
          <w:sz w:val="32"/>
          <w:szCs w:val="32"/>
          <w:highlight w:val="none"/>
          <w:lang w:val="en-US" w:eastAsia="zh-CN" w:bidi="ar-SA"/>
        </w:rPr>
        <w:t>%。</w:t>
      </w:r>
    </w:p>
    <w:p w14:paraId="3E1F6C3A">
      <w:pPr>
        <w:pStyle w:val="2"/>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2C29A958">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bookmarkStart w:id="0" w:name="_Hlk110546638"/>
      <w:r>
        <w:rPr>
          <w:rFonts w:hint="eastAsia" w:ascii="仿宋_GB2312" w:hAnsi="仿宋_GB2312" w:cs="仿宋_GB2312"/>
          <w:b w:val="0"/>
          <w:bCs w:val="0"/>
          <w:kern w:val="0"/>
          <w:position w:val="0"/>
          <w:sz w:val="32"/>
          <w:szCs w:val="32"/>
          <w:highlight w:val="none"/>
          <w:lang w:val="en-US" w:eastAsia="zh-CN" w:bidi="ar-SA"/>
        </w:rPr>
        <w:t>1</w:t>
      </w:r>
      <w:r>
        <w:rPr>
          <w:rFonts w:hint="eastAsia" w:ascii="仿宋_GB2312" w:hAnsi="仿宋_GB2312" w:eastAsia="仿宋_GB2312" w:cs="仿宋_GB2312"/>
          <w:b w:val="0"/>
          <w:bCs w:val="0"/>
          <w:kern w:val="0"/>
          <w:position w:val="0"/>
          <w:sz w:val="32"/>
          <w:szCs w:val="32"/>
          <w:highlight w:val="none"/>
          <w:lang w:val="en-US" w:eastAsia="zh-CN" w:bidi="ar-SA"/>
        </w:rPr>
        <w:t>、进一步细化年度目标任务，对分解的目标任务进行仔细分析及测算，做好预算编制的沟通与协调工作，努力提高预算编制的准确性与前瞻性，降低年度预算调整幅度，加强对预算执行的控制，体现预算的刚性约束力。</w:t>
      </w:r>
    </w:p>
    <w:p w14:paraId="043BEE96">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2、进一步加快预算资金的执行进度，努力提升资金使用效益。</w:t>
      </w:r>
    </w:p>
    <w:p w14:paraId="11EE24FE">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3、进一步完善内控管理制度，建立完善项目资金管理办法，有助于进一步加强对预算资金使用的管控，提高财政资金的使用效率，促进财政支出绩效不断提升。</w:t>
      </w:r>
    </w:p>
    <w:bookmarkEnd w:id="0"/>
    <w:p w14:paraId="14C4BE02">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672D2ED9">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0D4AE7D">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F06B2D2">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附表：1.项目资金分配涉及所有点位自评得分情况表</w:t>
      </w:r>
    </w:p>
    <w:p w14:paraId="493F869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2.专项预算项目绩效目标完成情况自评表</w:t>
      </w:r>
    </w:p>
    <w:p w14:paraId="72029703">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zh-CN" w:eastAsia="zh-CN"/>
        </w:rPr>
        <w:br w:type="page"/>
      </w:r>
    </w:p>
    <w:p w14:paraId="41800B0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14:paraId="6747FCAC">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4160"/>
        <w:gridCol w:w="2544"/>
        <w:gridCol w:w="993"/>
      </w:tblGrid>
      <w:tr w14:paraId="1A57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1123" w:type="dxa"/>
            <w:vAlign w:val="top"/>
          </w:tcPr>
          <w:p w14:paraId="1506362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序号</w:t>
            </w:r>
          </w:p>
        </w:tc>
        <w:tc>
          <w:tcPr>
            <w:tcW w:w="4160" w:type="dxa"/>
            <w:vAlign w:val="top"/>
          </w:tcPr>
          <w:p w14:paraId="2B1F005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US" w:eastAsia="zh-CN"/>
              </w:rPr>
              <w:t>项目资金末端分配点位</w:t>
            </w:r>
          </w:p>
        </w:tc>
        <w:tc>
          <w:tcPr>
            <w:tcW w:w="2544" w:type="dxa"/>
            <w:vAlign w:val="top"/>
          </w:tcPr>
          <w:p w14:paraId="221B3C1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 w:eastAsia="zh-CN"/>
              </w:rPr>
              <w:t>自评得分（百分制）</w:t>
            </w:r>
          </w:p>
        </w:tc>
        <w:tc>
          <w:tcPr>
            <w:tcW w:w="993" w:type="dxa"/>
            <w:vAlign w:val="top"/>
          </w:tcPr>
          <w:p w14:paraId="450C76C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备注</w:t>
            </w:r>
          </w:p>
        </w:tc>
      </w:tr>
      <w:tr w14:paraId="4A81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1123" w:type="dxa"/>
            <w:vAlign w:val="top"/>
          </w:tcPr>
          <w:p w14:paraId="341BBBF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p>
        </w:tc>
        <w:tc>
          <w:tcPr>
            <w:tcW w:w="4160" w:type="dxa"/>
            <w:vAlign w:val="top"/>
          </w:tcPr>
          <w:p w14:paraId="71623BC1">
            <w:pPr>
              <w:keepNext w:val="0"/>
              <w:keepLines w:val="0"/>
              <w:pageBreakBefore w:val="0"/>
              <w:widowControl w:val="0"/>
              <w:tabs>
                <w:tab w:val="left" w:pos="1229"/>
              </w:tabs>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r>
              <w:rPr>
                <w:rFonts w:hint="eastAsia" w:ascii="宋体" w:hAnsi="宋体" w:cs="宋体"/>
                <w:color w:val="auto"/>
                <w:sz w:val="24"/>
                <w:szCs w:val="24"/>
                <w:highlight w:val="none"/>
                <w:u w:val="none"/>
                <w:vertAlign w:val="baseline"/>
                <w:lang w:val="en-US" w:eastAsia="zh-CN"/>
              </w:rPr>
              <w:t>松潘县公共就业和人才交流服务中心</w:t>
            </w:r>
          </w:p>
        </w:tc>
        <w:tc>
          <w:tcPr>
            <w:tcW w:w="2544" w:type="dxa"/>
            <w:vAlign w:val="top"/>
          </w:tcPr>
          <w:p w14:paraId="785793E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r>
              <w:rPr>
                <w:rFonts w:hint="eastAsia" w:ascii="宋体" w:hAnsi="宋体" w:cs="宋体"/>
                <w:color w:val="auto"/>
                <w:sz w:val="24"/>
                <w:szCs w:val="24"/>
                <w:highlight w:val="none"/>
                <w:u w:val="none"/>
                <w:vertAlign w:val="baseline"/>
                <w:lang w:val="en-US" w:eastAsia="zh-CN"/>
              </w:rPr>
              <w:t>99.93</w:t>
            </w:r>
          </w:p>
        </w:tc>
        <w:tc>
          <w:tcPr>
            <w:tcW w:w="993" w:type="dxa"/>
            <w:vAlign w:val="top"/>
          </w:tcPr>
          <w:p w14:paraId="1AC8AFC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3404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09B6BAC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p>
        </w:tc>
        <w:tc>
          <w:tcPr>
            <w:tcW w:w="4160" w:type="dxa"/>
            <w:vAlign w:val="top"/>
          </w:tcPr>
          <w:p w14:paraId="14C160B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002A194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219645A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6C5E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6BB2B29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w:t>
            </w:r>
          </w:p>
        </w:tc>
        <w:tc>
          <w:tcPr>
            <w:tcW w:w="4160" w:type="dxa"/>
            <w:vAlign w:val="top"/>
          </w:tcPr>
          <w:p w14:paraId="196F12D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7F6FAE9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586B92F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7E2B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443282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w:t>
            </w:r>
          </w:p>
        </w:tc>
        <w:tc>
          <w:tcPr>
            <w:tcW w:w="4160" w:type="dxa"/>
            <w:vAlign w:val="top"/>
          </w:tcPr>
          <w:p w14:paraId="45E026A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53EFC12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7A5C93C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285F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080A6F2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w:t>
            </w:r>
          </w:p>
        </w:tc>
        <w:tc>
          <w:tcPr>
            <w:tcW w:w="4160" w:type="dxa"/>
            <w:vAlign w:val="top"/>
          </w:tcPr>
          <w:p w14:paraId="6BB9CCA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7010B84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23FC150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6746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5B76169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w:t>
            </w:r>
          </w:p>
        </w:tc>
        <w:tc>
          <w:tcPr>
            <w:tcW w:w="4160" w:type="dxa"/>
            <w:vAlign w:val="top"/>
          </w:tcPr>
          <w:p w14:paraId="0F4D2ED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5604AC7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73CDCB6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2C4D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1373CC2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w:t>
            </w:r>
          </w:p>
        </w:tc>
        <w:tc>
          <w:tcPr>
            <w:tcW w:w="4160" w:type="dxa"/>
            <w:vAlign w:val="top"/>
          </w:tcPr>
          <w:p w14:paraId="3E8D39A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54F298E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779A4DF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3AC1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70630EC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w:t>
            </w:r>
          </w:p>
        </w:tc>
        <w:tc>
          <w:tcPr>
            <w:tcW w:w="4160" w:type="dxa"/>
            <w:vAlign w:val="top"/>
          </w:tcPr>
          <w:p w14:paraId="163B5B4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2685788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37B48D4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r w14:paraId="495A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14:paraId="0EFF43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w:t>
            </w:r>
          </w:p>
        </w:tc>
        <w:tc>
          <w:tcPr>
            <w:tcW w:w="4160" w:type="dxa"/>
            <w:vAlign w:val="top"/>
          </w:tcPr>
          <w:p w14:paraId="124B9A8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2544" w:type="dxa"/>
            <w:vAlign w:val="top"/>
          </w:tcPr>
          <w:p w14:paraId="7D0DF7C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 w:eastAsia="zh-CN"/>
              </w:rPr>
            </w:pPr>
          </w:p>
        </w:tc>
        <w:tc>
          <w:tcPr>
            <w:tcW w:w="993" w:type="dxa"/>
            <w:vAlign w:val="top"/>
          </w:tcPr>
          <w:p w14:paraId="3BEE8CB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cs="宋体"/>
                <w:color w:val="auto"/>
                <w:sz w:val="24"/>
                <w:szCs w:val="24"/>
                <w:highlight w:val="none"/>
                <w:u w:val="none"/>
                <w:vertAlign w:val="baseline"/>
                <w:lang w:val="en-US" w:eastAsia="zh-CN"/>
              </w:rPr>
            </w:pPr>
          </w:p>
        </w:tc>
      </w:tr>
    </w:tbl>
    <w:p w14:paraId="78BD38E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备注：1.项目资金末端分配点位包括州本级、县（市）、州级部门下属单位及一次性单位等。</w:t>
      </w:r>
    </w:p>
    <w:p w14:paraId="2B149C9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30" w:firstLineChars="3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14:paraId="53C52749">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14:paraId="35BA3DE3">
      <w:pPr>
        <w:pStyle w:val="7"/>
        <w:keepNext w:val="0"/>
        <w:keepLines w:val="0"/>
        <w:pageBreakBefore w:val="0"/>
        <w:kinsoku/>
        <w:wordWrap/>
        <w:overflowPunct/>
        <w:topLinePunct w:val="0"/>
        <w:autoSpaceDE/>
        <w:autoSpaceDN/>
        <w:bidi w:val="0"/>
        <w:spacing w:after="0" w:line="578" w:lineRule="exact"/>
        <w:ind w:left="0" w:leftChars="0" w:firstLine="0" w:firstLineChars="0"/>
        <w:rPr>
          <w:rFonts w:hint="default" w:ascii="Times New Roman" w:hAnsi="Times New Roman" w:eastAsia="黑体" w:cs="Times New Roman"/>
          <w:kern w:val="2"/>
          <w:sz w:val="32"/>
          <w:szCs w:val="24"/>
          <w:highlight w:val="none"/>
          <w:lang w:val="en-US" w:eastAsia="zh-CN" w:bidi="ar-SA"/>
        </w:rPr>
      </w:pPr>
      <w:r>
        <w:rPr>
          <w:rFonts w:hint="default" w:ascii="Times New Roman" w:hAnsi="Times New Roman" w:eastAsia="黑体" w:cs="Times New Roman"/>
          <w:kern w:val="2"/>
          <w:sz w:val="32"/>
          <w:szCs w:val="24"/>
          <w:highlight w:val="none"/>
          <w:lang w:val="en-US" w:eastAsia="zh-CN" w:bidi="ar-SA"/>
        </w:rPr>
        <w:t>附表2</w:t>
      </w:r>
    </w:p>
    <w:tbl>
      <w:tblPr>
        <w:tblStyle w:val="8"/>
        <w:tblW w:w="102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85"/>
        <w:gridCol w:w="785"/>
        <w:gridCol w:w="1097"/>
        <w:gridCol w:w="2400"/>
        <w:gridCol w:w="1023"/>
        <w:gridCol w:w="786"/>
        <w:gridCol w:w="786"/>
        <w:gridCol w:w="1162"/>
        <w:gridCol w:w="1409"/>
      </w:tblGrid>
      <w:tr w14:paraId="5E0F1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6" w:hRule="atLeast"/>
          <w:jc w:val="center"/>
        </w:trPr>
        <w:tc>
          <w:tcPr>
            <w:tcW w:w="10233" w:type="dxa"/>
            <w:gridSpan w:val="9"/>
            <w:shd w:val="clear" w:color="auto" w:fill="auto"/>
            <w:vAlign w:val="center"/>
          </w:tcPr>
          <w:p w14:paraId="2572B0EB">
            <w:pPr>
              <w:keepNext w:val="0"/>
              <w:keepLines w:val="0"/>
              <w:widowControl/>
              <w:suppressLineNumbers w:val="0"/>
              <w:jc w:val="center"/>
              <w:textAlignment w:val="center"/>
              <w:rPr>
                <w:rFonts w:ascii="黑体" w:hAnsi="宋体" w:eastAsia="黑体" w:cs="黑体"/>
                <w:i w:val="0"/>
                <w:color w:val="000000"/>
                <w:sz w:val="30"/>
                <w:szCs w:val="30"/>
                <w:u w:val="none"/>
              </w:rPr>
            </w:pPr>
            <w:r>
              <w:rPr>
                <w:rFonts w:hint="default" w:ascii="方正小标宋简体" w:hAnsi="方正小标宋简体" w:eastAsia="方正小标宋简体" w:cs="方正小标宋简体"/>
                <w:i w:val="0"/>
                <w:iCs w:val="0"/>
                <w:color w:val="000000"/>
                <w:kern w:val="0"/>
                <w:sz w:val="40"/>
                <w:szCs w:val="40"/>
                <w:u w:val="none"/>
                <w:lang w:val="en-US" w:eastAsia="zh-CN" w:bidi="ar"/>
              </w:rPr>
              <w:t>专项预算项目绩效目标完成情况自评表</w:t>
            </w:r>
          </w:p>
        </w:tc>
      </w:tr>
      <w:tr w14:paraId="203AA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5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A3F121">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0A73FED1">
            <w:pPr>
              <w:keepNext w:val="0"/>
              <w:keepLines w:val="0"/>
              <w:widowControl/>
              <w:suppressLineNumbers w:val="0"/>
              <w:jc w:val="both"/>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就业创业补助资金</w:t>
            </w:r>
          </w:p>
        </w:tc>
      </w:tr>
      <w:tr w14:paraId="20EF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5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500792">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4C059021">
            <w:pPr>
              <w:keepNext w:val="0"/>
              <w:keepLines w:val="0"/>
              <w:widowControl/>
              <w:suppressLineNumbers w:val="0"/>
              <w:jc w:val="both"/>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松潘县公共就业和人才交流服务中心</w:t>
            </w:r>
          </w:p>
        </w:tc>
      </w:tr>
      <w:tr w14:paraId="090CB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50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F1043F">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项目类型</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3019B2C5">
            <w:pPr>
              <w:jc w:val="left"/>
              <w:rPr>
                <w:rFonts w:hint="eastAsia" w:ascii="宋体" w:hAnsi="宋体" w:eastAsia="宋体" w:cs="宋体"/>
                <w:i w:val="0"/>
                <w:color w:val="000000"/>
                <w:sz w:val="24"/>
                <w:szCs w:val="24"/>
                <w:u w:val="none"/>
              </w:rPr>
            </w:pPr>
          </w:p>
        </w:tc>
      </w:tr>
      <w:tr w14:paraId="06C47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25ACB2">
            <w:pPr>
              <w:keepNext w:val="0"/>
              <w:keepLines w:val="0"/>
              <w:widowControl/>
              <w:suppressLineNumbers w:val="0"/>
              <w:jc w:val="center"/>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 概况</w:t>
            </w: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A0E88D">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中长期规划（名称、文号，仅指</w:t>
            </w:r>
          </w:p>
        </w:tc>
        <w:tc>
          <w:tcPr>
            <w:tcW w:w="516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227B43F9">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川财社（2019）38号</w:t>
            </w:r>
          </w:p>
        </w:tc>
      </w:tr>
      <w:tr w14:paraId="60B1E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5E5A9">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149ABA">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常年项目）</w:t>
            </w:r>
          </w:p>
        </w:tc>
        <w:tc>
          <w:tcPr>
            <w:tcW w:w="516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511D2497">
            <w:pPr>
              <w:jc w:val="left"/>
              <w:rPr>
                <w:rFonts w:hint="eastAsia" w:ascii="宋体" w:hAnsi="宋体" w:eastAsia="宋体" w:cs="宋体"/>
                <w:i w:val="0"/>
                <w:color w:val="000000"/>
                <w:sz w:val="24"/>
                <w:szCs w:val="24"/>
                <w:u w:val="none"/>
              </w:rPr>
            </w:pPr>
          </w:p>
        </w:tc>
      </w:tr>
      <w:tr w14:paraId="31DBB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10FE8">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D4EACB">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资金管理办法（名称、文号）</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50E61735">
            <w:pPr>
              <w:keepNext w:val="0"/>
              <w:keepLines w:val="0"/>
              <w:widowControl/>
              <w:suppressLineNumbers w:val="0"/>
              <w:jc w:val="left"/>
              <w:textAlignment w:val="bottom"/>
              <w:rPr>
                <w:rFonts w:hint="default" w:ascii="Wingdings 2" w:hAnsi="Wingdings 2" w:eastAsia="Wingdings 2" w:cs="Wingdings 2"/>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川财社（2019）38号</w:t>
            </w:r>
          </w:p>
        </w:tc>
      </w:tr>
      <w:tr w14:paraId="12275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138A3">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BA8FD9">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绩效分配方式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E1F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default" w:ascii="Wingdings 2" w:hAnsi="Wingdings 2" w:eastAsia="Wingdings 2" w:cs="Wingdings 2"/>
                <w:i w:val="0"/>
                <w:iCs w:val="0"/>
                <w:color w:val="000000"/>
                <w:kern w:val="0"/>
                <w:sz w:val="24"/>
                <w:szCs w:val="24"/>
                <w:u w:val="none"/>
                <w:lang w:val="en-US" w:eastAsia="zh-CN" w:bidi="ar"/>
              </w:rPr>
              <w:t>£</w:t>
            </w:r>
            <w:r>
              <w:rPr>
                <w:rStyle w:val="13"/>
                <w:lang w:val="en-US" w:eastAsia="zh-CN" w:bidi="ar"/>
              </w:rPr>
              <w:t>因素法</w:t>
            </w:r>
          </w:p>
        </w:tc>
        <w:tc>
          <w:tcPr>
            <w:tcW w:w="1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D8B9B">
            <w:pPr>
              <w:keepNext w:val="0"/>
              <w:keepLines w:val="0"/>
              <w:widowControl/>
              <w:suppressLineNumbers w:val="0"/>
              <w:jc w:val="center"/>
              <w:textAlignment w:val="center"/>
            </w:pPr>
            <w:r>
              <w:rPr>
                <w:rFonts w:hint="default" w:ascii="Wingdings 2" w:hAnsi="Wingdings 2" w:eastAsia="Wingdings 2" w:cs="Wingdings 2"/>
                <w:i w:val="0"/>
                <w:iCs w:val="0"/>
                <w:color w:val="000000"/>
                <w:kern w:val="0"/>
                <w:sz w:val="24"/>
                <w:szCs w:val="24"/>
                <w:u w:val="none"/>
                <w:lang w:val="en-US" w:eastAsia="zh-CN" w:bidi="ar"/>
              </w:rPr>
              <w:t>£项目法</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C782">
            <w:pPr>
              <w:keepNext w:val="0"/>
              <w:keepLines w:val="0"/>
              <w:widowControl/>
              <w:suppressLineNumbers w:val="0"/>
              <w:jc w:val="center"/>
              <w:textAlignment w:val="center"/>
            </w:pPr>
            <w:r>
              <w:rPr>
                <w:rFonts w:hint="default" w:ascii="Wingdings 2" w:hAnsi="Wingdings 2" w:eastAsia="Wingdings 2" w:cs="Wingdings 2"/>
                <w:i w:val="0"/>
                <w:iCs w:val="0"/>
                <w:color w:val="000000"/>
                <w:kern w:val="0"/>
                <w:sz w:val="24"/>
                <w:szCs w:val="24"/>
                <w:u w:val="none"/>
                <w:lang w:val="en-US" w:eastAsia="zh-CN" w:bidi="ar"/>
              </w:rPr>
              <w:t>£</w:t>
            </w:r>
            <w:r>
              <w:rPr>
                <w:rStyle w:val="13"/>
                <w:lang w:val="en-US" w:eastAsia="zh-CN" w:bidi="ar"/>
              </w:rPr>
              <w:t>据实据效</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01B0">
            <w:pPr>
              <w:keepNext w:val="0"/>
              <w:keepLines w:val="0"/>
              <w:widowControl/>
              <w:suppressLineNumbers w:val="0"/>
              <w:jc w:val="center"/>
              <w:textAlignment w:val="center"/>
            </w:pPr>
            <w:r>
              <w:rPr>
                <w:rFonts w:hint="default" w:ascii="Wingdings 2" w:hAnsi="Wingdings 2" w:eastAsia="Wingdings 2" w:cs="Wingdings 2"/>
                <w:i w:val="0"/>
                <w:iCs w:val="0"/>
                <w:color w:val="000000"/>
                <w:kern w:val="0"/>
                <w:sz w:val="24"/>
                <w:szCs w:val="24"/>
                <w:u w:val="none"/>
                <w:lang w:val="en-US" w:eastAsia="zh-CN" w:bidi="ar"/>
              </w:rPr>
              <w:t>£</w:t>
            </w:r>
            <w:r>
              <w:rPr>
                <w:rStyle w:val="13"/>
                <w:lang w:val="en-US" w:eastAsia="zh-CN" w:bidi="ar"/>
              </w:rPr>
              <w:t>因素法与项目法相结合</w:t>
            </w:r>
          </w:p>
        </w:tc>
      </w:tr>
      <w:tr w14:paraId="7B4E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0A42C">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EE89EE">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立项依据</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0C1B6EA7">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川财社（2019）38号</w:t>
            </w:r>
          </w:p>
        </w:tc>
      </w:tr>
      <w:tr w14:paraId="703E5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ACFFF">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7CC615">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使用范围</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09386877">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用于职业培训补贴、职业技能鉴定补贴、社会保险补贴、公益性岗位补贴、创业补贴、就业见习补贴、求职创业补贴、就业创业服务补助、高技能人才培养补助等支出以及经省级人民政府批准的其他支出项目。</w:t>
            </w:r>
          </w:p>
        </w:tc>
      </w:tr>
      <w:tr w14:paraId="01B69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7EB27">
            <w:pPr>
              <w:jc w:val="center"/>
              <w:rPr>
                <w:rFonts w:hint="eastAsia"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01D779">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申报（补助）条件</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13123F56">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贯彻落实好各项就业创业政策，规范中央和省级就业创业补助资金管理，提高资金使用绩效，根据川财社（2019）38号，就业创业专项补助资金按规定用于职业技能培训补贴、职业技能鉴定补贴、社会保险补贴、公益性岗位补贴、创业补贴、就业见习补贴等支出以及经省人民政府批准的其他支出项目。推动城镇新增就业，城镇失业人员和就业困难人员再就业计划的实施，重点支持大学生、就业困难人员、贫困家庭人员、返乡农民工等群体就业创业。</w:t>
            </w:r>
          </w:p>
        </w:tc>
      </w:tr>
      <w:tr w14:paraId="11CB8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70AAB">
            <w:pPr>
              <w:jc w:val="center"/>
              <w:rPr>
                <w:rFonts w:ascii="宋体" w:hAnsi="宋体" w:eastAsia="宋体" w:cs="宋体"/>
                <w:i w:val="0"/>
                <w:color w:val="000000"/>
                <w:sz w:val="24"/>
                <w:szCs w:val="24"/>
                <w:u w:val="none"/>
              </w:rPr>
            </w:pPr>
          </w:p>
        </w:tc>
        <w:tc>
          <w:tcPr>
            <w:tcW w:w="42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009287">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项目起止年限</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6FE7442C">
            <w:pPr>
              <w:keepNext w:val="0"/>
              <w:keepLines w:val="0"/>
              <w:widowControl/>
              <w:suppressLineNumbers w:val="0"/>
              <w:jc w:val="both"/>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2023年1月1日—2023年12月31日</w:t>
            </w:r>
          </w:p>
        </w:tc>
      </w:tr>
      <w:tr w14:paraId="3ED8F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467C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p>
        </w:tc>
        <w:tc>
          <w:tcPr>
            <w:tcW w:w="34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CF32BA">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r>
              <w:rPr>
                <w:rStyle w:val="13"/>
                <w:lang w:val="en-US" w:eastAsia="zh-CN" w:bidi="ar"/>
              </w:rPr>
              <w:t>年度资金总额：</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7E9C3A0A">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673.11 </w:t>
            </w:r>
          </w:p>
        </w:tc>
      </w:tr>
      <w:tr w14:paraId="589B4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92D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（万元）</w:t>
            </w:r>
          </w:p>
        </w:tc>
        <w:tc>
          <w:tcPr>
            <w:tcW w:w="34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D3DFA">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r>
              <w:rPr>
                <w:rStyle w:val="13"/>
                <w:lang w:val="en-US" w:eastAsia="zh-CN" w:bidi="ar"/>
              </w:rPr>
              <w:t>其中：财政拨款</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360CDD0A">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673.11 </w:t>
            </w:r>
          </w:p>
        </w:tc>
      </w:tr>
      <w:tr w14:paraId="40193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52A62597">
            <w:pPr>
              <w:rPr>
                <w:rFonts w:ascii="宋体" w:hAnsi="宋体" w:eastAsia="宋体" w:cs="宋体"/>
                <w:i w:val="0"/>
                <w:color w:val="000000"/>
                <w:sz w:val="24"/>
                <w:szCs w:val="24"/>
                <w:u w:val="none"/>
              </w:rPr>
            </w:pPr>
          </w:p>
        </w:tc>
        <w:tc>
          <w:tcPr>
            <w:tcW w:w="34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0C64A4">
            <w:pPr>
              <w:keepNext w:val="0"/>
              <w:keepLines w:val="0"/>
              <w:widowControl/>
              <w:suppressLineNumbers w:val="0"/>
              <w:jc w:val="left"/>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r>
              <w:rPr>
                <w:rStyle w:val="13"/>
                <w:lang w:val="en-US" w:eastAsia="zh-CN" w:bidi="ar"/>
              </w:rPr>
              <w:t>其他资金</w:t>
            </w:r>
          </w:p>
        </w:tc>
        <w:tc>
          <w:tcPr>
            <w:tcW w:w="5166"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14:paraId="781D74DB">
            <w:pPr>
              <w:jc w:val="right"/>
            </w:pPr>
          </w:p>
        </w:tc>
      </w:tr>
      <w:tr w14:paraId="2521B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E04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总体 目标</w:t>
            </w:r>
          </w:p>
        </w:tc>
        <w:tc>
          <w:tcPr>
            <w:tcW w:w="94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521208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年度目标</w:t>
            </w:r>
          </w:p>
        </w:tc>
      </w:tr>
      <w:tr w14:paraId="5C6B5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20823DAB">
            <w:pPr>
              <w:jc w:val="center"/>
              <w:rPr>
                <w:rFonts w:ascii="宋体" w:hAnsi="宋体" w:eastAsia="宋体" w:cs="宋体"/>
                <w:i w:val="0"/>
                <w:color w:val="000000"/>
                <w:sz w:val="24"/>
                <w:szCs w:val="24"/>
                <w:u w:val="none"/>
              </w:rPr>
            </w:pPr>
          </w:p>
        </w:tc>
        <w:tc>
          <w:tcPr>
            <w:tcW w:w="9448"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14:paraId="1E4425E6">
            <w:pPr>
              <w:jc w:val="both"/>
              <w:rPr>
                <w:rFonts w:ascii="宋体" w:hAnsi="宋体" w:eastAsia="宋体" w:cs="宋体"/>
                <w:i w:val="0"/>
                <w:color w:val="000000"/>
                <w:sz w:val="24"/>
                <w:szCs w:val="24"/>
                <w:u w:val="none"/>
              </w:rPr>
            </w:pPr>
          </w:p>
        </w:tc>
      </w:tr>
      <w:tr w14:paraId="26DA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restart"/>
            <w:tcBorders>
              <w:top w:val="single" w:color="000000" w:sz="4" w:space="0"/>
              <w:left w:val="single" w:color="000000" w:sz="4" w:space="0"/>
              <w:bottom w:val="single" w:color="000000" w:sz="4" w:space="0"/>
            </w:tcBorders>
            <w:shd w:val="clear" w:color="auto" w:fill="auto"/>
            <w:vAlign w:val="center"/>
          </w:tcPr>
          <w:p w14:paraId="49A2E14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 指标</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DD42">
            <w:pPr>
              <w:keepNext w:val="0"/>
              <w:keepLines w:val="0"/>
              <w:widowControl/>
              <w:suppressLineNumbers w:val="0"/>
              <w:jc w:val="center"/>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AE7B">
            <w:pPr>
              <w:keepNext w:val="0"/>
              <w:keepLines w:val="0"/>
              <w:widowControl/>
              <w:suppressLineNumbers w:val="0"/>
              <w:jc w:val="center"/>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F33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24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指标性质</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F54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6EF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度量单位</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07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D62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实际完成指标值</w:t>
            </w:r>
          </w:p>
        </w:tc>
      </w:tr>
      <w:tr w14:paraId="20640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387655A2">
            <w:pPr>
              <w:jc w:val="center"/>
              <w:rPr>
                <w:rFonts w:hint="eastAsia" w:ascii="宋体" w:hAnsi="宋体" w:eastAsia="宋体" w:cs="宋体"/>
                <w:i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FB43D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23101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0E5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享受职业培训补贴人员数量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78C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28B45EC">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67F5FC6">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CC3D202">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46A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1465</w:t>
            </w:r>
          </w:p>
        </w:tc>
      </w:tr>
      <w:tr w14:paraId="1718D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13656FAC">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913DA">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E8471">
            <w:pPr>
              <w:jc w:val="center"/>
              <w:rPr>
                <w:rFonts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392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享受社会保险补贴人员数量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A69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11C8C0">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9803B5">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49CD6C">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52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43</w:t>
            </w:r>
          </w:p>
        </w:tc>
      </w:tr>
      <w:tr w14:paraId="0F7A3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67382D3E">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4B12A">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A9BA7">
            <w:pPr>
              <w:jc w:val="center"/>
              <w:rPr>
                <w:rFonts w:hint="eastAsia"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854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享受公益性岗位补贴人员数量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02D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C85AAE8">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EA31600">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9252D6">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DD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102</w:t>
            </w:r>
          </w:p>
        </w:tc>
      </w:tr>
      <w:tr w14:paraId="63BC6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1CAA375">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59BEF">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EF16B">
            <w:pPr>
              <w:jc w:val="center"/>
              <w:rPr>
                <w:rFonts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458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享受就业见习补贴人员数量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358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0E169C">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E1471D4">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59BE54">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2D68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94</w:t>
            </w:r>
          </w:p>
        </w:tc>
      </w:tr>
      <w:tr w14:paraId="77D88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563F08CB">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D59FE">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50E33">
            <w:pPr>
              <w:jc w:val="center"/>
              <w:rPr>
                <w:rFonts w:hint="eastAsia"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C9E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符合政策规定的毕业年度高校毕业生享受求职创业补贴比例</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3297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08B924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E260138">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8EB526">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9C7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95</w:t>
            </w:r>
          </w:p>
        </w:tc>
      </w:tr>
      <w:tr w14:paraId="65312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4D5A55F5">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F4C75">
            <w:pPr>
              <w:jc w:val="center"/>
              <w:rPr>
                <w:rFonts w:hint="eastAsia" w:ascii="宋体" w:hAnsi="宋体" w:eastAsia="宋体" w:cs="宋体"/>
                <w:i w:val="0"/>
                <w:color w:val="000000"/>
                <w:sz w:val="24"/>
                <w:szCs w:val="24"/>
                <w:u w:val="none"/>
              </w:rPr>
            </w:pP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FABA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ECDC1">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职业培训补贴发放准确率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37D4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6BE0F98">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86F818">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F2CCC8">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1B5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6A0FE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5BCE5175">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E90F5">
            <w:pPr>
              <w:jc w:val="center"/>
              <w:rPr>
                <w:rFonts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B7163">
            <w:pPr>
              <w:jc w:val="center"/>
              <w:rPr>
                <w:rFonts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7F2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接受职业培训后取得职业资格证书（或职业技能等级证书、专项职业能力证书、培训合格证书）人员的比例</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421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6F81D3B">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CB6D7FA">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6942D3">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BCE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85</w:t>
            </w:r>
          </w:p>
        </w:tc>
      </w:tr>
      <w:tr w14:paraId="35489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58103759">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131DA">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AF861">
            <w:pPr>
              <w:jc w:val="center"/>
              <w:rPr>
                <w:rFonts w:hint="eastAsia"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E6E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社会保险补贴发放准确率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00F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A8A8D9">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A221F7">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B218D95">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320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6A73A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1F5E8204">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6F054">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right w:val="single" w:color="000000" w:sz="4" w:space="0"/>
            </w:tcBorders>
            <w:shd w:val="clear" w:color="auto" w:fill="auto"/>
            <w:vAlign w:val="center"/>
          </w:tcPr>
          <w:p w14:paraId="1DFB2E8F">
            <w:pPr>
              <w:jc w:val="center"/>
              <w:rPr>
                <w:rFonts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52B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公益性岗位补贴发放准确率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C1C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20153D9">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933327">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32C220">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4BA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509CD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7CA939AF">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CD903">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right w:val="single" w:color="000000" w:sz="4" w:space="0"/>
            </w:tcBorders>
            <w:shd w:val="clear" w:color="auto" w:fill="auto"/>
            <w:vAlign w:val="center"/>
          </w:tcPr>
          <w:p w14:paraId="4063C229">
            <w:pPr>
              <w:jc w:val="center"/>
              <w:rPr>
                <w:rFonts w:hint="eastAsia"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31C0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就业见习补贴发放准确率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8FF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E42C1B">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135934C">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103F8C">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B91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58C02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2623E6AF">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14FAB">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EC080">
            <w:pPr>
              <w:jc w:val="center"/>
              <w:rPr>
                <w:rFonts w:hint="eastAsia" w:ascii="宋体" w:hAnsi="宋体" w:eastAsia="宋体" w:cs="宋体"/>
                <w:i w:val="0"/>
                <w:color w:val="000000"/>
                <w:sz w:val="24"/>
                <w:szCs w:val="24"/>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E2B3">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求职创业补贴发放准确率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6561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683CE9">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A62B70F">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AD0E721">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BFA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1FC5E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13E57AAD">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right w:val="single" w:color="000000" w:sz="4" w:space="0"/>
            </w:tcBorders>
            <w:shd w:val="clear" w:color="auto" w:fill="auto"/>
            <w:vAlign w:val="center"/>
          </w:tcPr>
          <w:p w14:paraId="29A02525">
            <w:pPr>
              <w:jc w:val="center"/>
              <w:rPr>
                <w:rFonts w:ascii="宋体" w:hAnsi="宋体" w:eastAsia="宋体" w:cs="宋体"/>
                <w:i w:val="0"/>
                <w:color w:val="000000"/>
                <w:sz w:val="24"/>
                <w:szCs w:val="24"/>
                <w:u w:val="none"/>
              </w:rPr>
            </w:pPr>
          </w:p>
        </w:tc>
        <w:tc>
          <w:tcPr>
            <w:tcW w:w="1097" w:type="dxa"/>
            <w:vMerge w:val="restart"/>
            <w:tcBorders>
              <w:top w:val="single" w:color="000000" w:sz="4" w:space="0"/>
              <w:left w:val="single" w:color="000000" w:sz="4" w:space="0"/>
              <w:right w:val="single" w:color="000000" w:sz="4" w:space="0"/>
            </w:tcBorders>
            <w:shd w:val="clear" w:color="auto" w:fill="auto"/>
            <w:vAlign w:val="center"/>
          </w:tcPr>
          <w:p w14:paraId="72FF909B">
            <w:pPr>
              <w:keepNext w:val="0"/>
              <w:keepLines w:val="0"/>
              <w:widowControl/>
              <w:suppressLineNumbers w:val="0"/>
              <w:jc w:val="center"/>
              <w:textAlignment w:val="center"/>
              <w:rPr>
                <w:rFonts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23D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资金在规定时间内下达率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BC5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05DB16">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FAE039">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03D5C61">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BD2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03CEC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6228BCA">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9AD68">
            <w:pPr>
              <w:jc w:val="center"/>
              <w:rPr>
                <w:rFonts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59DE9">
            <w:pPr>
              <w:jc w:val="center"/>
              <w:rPr>
                <w:rFonts w:ascii="宋体" w:hAnsi="宋体" w:eastAsia="宋体" w:cs="宋体"/>
                <w:i w:val="0"/>
                <w:color w:val="000000"/>
                <w:sz w:val="24"/>
                <w:szCs w:val="24"/>
                <w:u w:val="none"/>
              </w:rPr>
            </w:pPr>
          </w:p>
        </w:tc>
        <w:tc>
          <w:tcPr>
            <w:tcW w:w="2400" w:type="dxa"/>
            <w:tcBorders>
              <w:top w:val="single" w:color="000000" w:sz="4" w:space="0"/>
              <w:bottom w:val="single" w:color="000000" w:sz="4" w:space="0"/>
              <w:right w:val="single" w:color="000000" w:sz="4" w:space="0"/>
            </w:tcBorders>
            <w:shd w:val="clear" w:color="auto" w:fill="auto"/>
            <w:vAlign w:val="center"/>
          </w:tcPr>
          <w:p w14:paraId="79DDEBE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补贴资金在规定时间内支付到位率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7D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5F4575F">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AC44B1">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C19B311">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4128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528FD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90B8084">
            <w:pPr>
              <w:jc w:val="center"/>
              <w:rPr>
                <w:rFonts w:hint="eastAsia" w:ascii="宋体" w:hAnsi="宋体" w:eastAsia="宋体" w:cs="宋体"/>
                <w:i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3FF3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CFF9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400" w:type="dxa"/>
            <w:tcBorders>
              <w:top w:val="single" w:color="000000" w:sz="4" w:space="0"/>
              <w:bottom w:val="single" w:color="000000" w:sz="4" w:space="0"/>
              <w:right w:val="single" w:color="000000" w:sz="4" w:space="0"/>
            </w:tcBorders>
            <w:shd w:val="clear" w:color="auto" w:fill="auto"/>
            <w:vAlign w:val="center"/>
          </w:tcPr>
          <w:p w14:paraId="73684784">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城镇新增就业人数</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C28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70135D">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70CDFE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5192AA">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40EF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601</w:t>
            </w:r>
          </w:p>
        </w:tc>
      </w:tr>
      <w:tr w14:paraId="48836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6B29E1DC">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E8B1C">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877CB">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27633964">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年末城镇调查失业率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484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40C2FB">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C18EE1F">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8BFB99">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28E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3.8</w:t>
            </w:r>
          </w:p>
        </w:tc>
      </w:tr>
      <w:tr w14:paraId="15EC6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FBDF2DB">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779CD">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D0392">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3AA59BE8">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年末高校毕业生总体就业率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882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B0BE9C">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93ECC8">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75C248">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5E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90</w:t>
            </w:r>
          </w:p>
        </w:tc>
      </w:tr>
      <w:tr w14:paraId="30F5F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7FE860C4">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94E4B">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B3744">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62C6B85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失业人员再就业人数</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AD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378B0B3">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804234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6BEA7F">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C7C0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48</w:t>
            </w:r>
          </w:p>
        </w:tc>
      </w:tr>
      <w:tr w14:paraId="670FE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27C4AEAF">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5D9B7">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C17FA">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2787C34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就业困难人员就业人数</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71A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45CE020">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7A996E">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E64C0F">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BEA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w:t>
            </w:r>
          </w:p>
        </w:tc>
      </w:tr>
      <w:tr w14:paraId="52FDB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6127D368">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438FB">
            <w:pPr>
              <w:jc w:val="center"/>
              <w:rPr>
                <w:rFonts w:hint="eastAsia" w:ascii="宋体" w:hAnsi="宋体" w:eastAsia="宋体" w:cs="宋体"/>
                <w:i w:val="0"/>
                <w:color w:val="000000"/>
                <w:sz w:val="24"/>
                <w:szCs w:val="24"/>
                <w:u w:val="none"/>
              </w:rPr>
            </w:pP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A7485">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社会效益指标</w:t>
            </w:r>
          </w:p>
        </w:tc>
        <w:tc>
          <w:tcPr>
            <w:tcW w:w="2400" w:type="dxa"/>
            <w:tcBorders>
              <w:top w:val="single" w:color="000000" w:sz="4" w:space="0"/>
              <w:bottom w:val="single" w:color="000000" w:sz="4" w:space="0"/>
              <w:right w:val="single" w:color="000000" w:sz="4" w:space="0"/>
            </w:tcBorders>
            <w:shd w:val="clear" w:color="auto" w:fill="auto"/>
            <w:vAlign w:val="center"/>
          </w:tcPr>
          <w:p w14:paraId="469FFF0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零就业家庭帮扶率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D07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242AB7">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CC5916">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0E8BD1">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EA3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98</w:t>
            </w:r>
          </w:p>
        </w:tc>
      </w:tr>
      <w:tr w14:paraId="56F31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181876B">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A7A24">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3C350">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5C09CBEF">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因就业问题发生重大群体性事件数量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90E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5EFD8FC">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42A8A64">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起</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D0EBF2">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3</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0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0</w:t>
            </w:r>
          </w:p>
        </w:tc>
      </w:tr>
      <w:tr w14:paraId="52586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4DB00776">
            <w:pPr>
              <w:jc w:val="center"/>
              <w:rPr>
                <w:rFonts w:hint="eastAsia" w:ascii="宋体" w:hAnsi="宋体" w:eastAsia="宋体" w:cs="宋体"/>
                <w:i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5D9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3F732">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2400" w:type="dxa"/>
            <w:tcBorders>
              <w:top w:val="single" w:color="000000" w:sz="4" w:space="0"/>
              <w:bottom w:val="single" w:color="000000" w:sz="4" w:space="0"/>
              <w:right w:val="single" w:color="000000" w:sz="4" w:space="0"/>
            </w:tcBorders>
            <w:shd w:val="clear" w:color="auto" w:fill="auto"/>
            <w:vAlign w:val="center"/>
          </w:tcPr>
          <w:p w14:paraId="4E86882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公共就业服务满意度</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8895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DFF4AF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F09FB17">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5C0B37">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A8B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90</w:t>
            </w:r>
          </w:p>
        </w:tc>
      </w:tr>
      <w:tr w14:paraId="04E3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0332F9B">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10A15">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E5579">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7FD2CF5D">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就业扶持政策经办服务满意度</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52B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8028445">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03054D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2E705FE">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A09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92</w:t>
            </w:r>
          </w:p>
        </w:tc>
      </w:tr>
      <w:tr w14:paraId="79E7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EF25759">
            <w:pPr>
              <w:jc w:val="center"/>
              <w:rPr>
                <w:rFonts w:hint="eastAsia" w:ascii="宋体" w:hAnsi="宋体" w:eastAsia="宋体" w:cs="宋体"/>
                <w:i w:val="0"/>
                <w:color w:val="000000"/>
                <w:sz w:val="24"/>
                <w:szCs w:val="24"/>
                <w:u w:val="none"/>
              </w:rPr>
            </w:pPr>
          </w:p>
        </w:tc>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528C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A2C67">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经济成本指标</w:t>
            </w:r>
          </w:p>
        </w:tc>
        <w:tc>
          <w:tcPr>
            <w:tcW w:w="2400" w:type="dxa"/>
            <w:tcBorders>
              <w:top w:val="single" w:color="000000" w:sz="4" w:space="0"/>
              <w:bottom w:val="single" w:color="000000" w:sz="4" w:space="0"/>
              <w:right w:val="single" w:color="000000" w:sz="4" w:space="0"/>
            </w:tcBorders>
            <w:shd w:val="clear" w:color="auto" w:fill="auto"/>
            <w:vAlign w:val="center"/>
          </w:tcPr>
          <w:p w14:paraId="40265CF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社会保险补贴人均标准</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771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A18224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0.63</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DC304DA">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3644BA7">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34C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0.63</w:t>
            </w:r>
          </w:p>
        </w:tc>
      </w:tr>
      <w:tr w14:paraId="0C7C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785" w:type="dxa"/>
            <w:vMerge w:val="continue"/>
            <w:tcBorders>
              <w:top w:val="single" w:color="000000" w:sz="4" w:space="0"/>
              <w:left w:val="single" w:color="000000" w:sz="4" w:space="0"/>
              <w:bottom w:val="single" w:color="000000" w:sz="4" w:space="0"/>
            </w:tcBorders>
            <w:shd w:val="clear" w:color="auto" w:fill="auto"/>
            <w:vAlign w:val="center"/>
          </w:tcPr>
          <w:p w14:paraId="036D4808">
            <w:pPr>
              <w:jc w:val="center"/>
              <w:rPr>
                <w:rFonts w:hint="eastAsia" w:ascii="宋体" w:hAnsi="宋体" w:eastAsia="宋体" w:cs="宋体"/>
                <w:i w:val="0"/>
                <w:color w:val="000000"/>
                <w:sz w:val="24"/>
                <w:szCs w:val="24"/>
                <w:u w:val="none"/>
              </w:rPr>
            </w:pPr>
          </w:p>
        </w:tc>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2E67F">
            <w:pPr>
              <w:jc w:val="center"/>
              <w:rPr>
                <w:rFonts w:hint="eastAsia" w:ascii="宋体" w:hAnsi="宋体" w:eastAsia="宋体" w:cs="宋体"/>
                <w:i w:val="0"/>
                <w:color w:val="000000"/>
                <w:sz w:val="24"/>
                <w:szCs w:val="24"/>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7568D">
            <w:pPr>
              <w:jc w:val="center"/>
              <w:rPr>
                <w:rFonts w:hint="eastAsia" w:ascii="宋体" w:hAnsi="宋体" w:eastAsia="宋体" w:cs="宋体"/>
                <w:i w:val="0"/>
                <w:color w:val="000000"/>
                <w:kern w:val="0"/>
                <w:sz w:val="24"/>
                <w:szCs w:val="24"/>
                <w:u w:val="none"/>
                <w:lang w:val="en-US" w:eastAsia="zh-CN" w:bidi="ar"/>
              </w:rPr>
            </w:pPr>
          </w:p>
        </w:tc>
        <w:tc>
          <w:tcPr>
            <w:tcW w:w="2400" w:type="dxa"/>
            <w:tcBorders>
              <w:top w:val="single" w:color="000000" w:sz="4" w:space="0"/>
              <w:bottom w:val="single" w:color="000000" w:sz="4" w:space="0"/>
              <w:right w:val="single" w:color="000000" w:sz="4" w:space="0"/>
            </w:tcBorders>
            <w:shd w:val="clear" w:color="auto" w:fill="auto"/>
            <w:vAlign w:val="center"/>
          </w:tcPr>
          <w:p w14:paraId="7A9CE8A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公益性岗位补贴人均标准</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C74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F123142">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B5BA013">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6BF0B9">
            <w:pPr>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3ED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1</w:t>
            </w:r>
          </w:p>
        </w:tc>
      </w:tr>
    </w:tbl>
    <w:p w14:paraId="14B5BCA9">
      <w:pPr>
        <w:pStyle w:val="7"/>
        <w:keepNext w:val="0"/>
        <w:keepLines w:val="0"/>
        <w:pageBreakBefore w:val="0"/>
        <w:kinsoku/>
        <w:wordWrap/>
        <w:overflowPunct/>
        <w:topLinePunct w:val="0"/>
        <w:autoSpaceDE/>
        <w:autoSpaceDN/>
        <w:bidi w:val="0"/>
        <w:spacing w:after="0" w:line="578" w:lineRule="exact"/>
        <w:ind w:left="0" w:leftChars="0"/>
        <w:rPr>
          <w:rFonts w:hint="default" w:ascii="黑体" w:hAnsi="黑体" w:eastAsia="黑体" w:cs="黑体"/>
          <w:sz w:val="24"/>
          <w:szCs w:val="24"/>
          <w:highlight w:val="none"/>
          <w:lang w:val="en-US" w:eastAsia="zh-CN"/>
        </w:rPr>
      </w:pPr>
    </w:p>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40FA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55CAD">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E55CAD">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771D4D51"/>
    <w:rsid w:val="0A9B7ECD"/>
    <w:rsid w:val="0E4017EB"/>
    <w:rsid w:val="1AA6346B"/>
    <w:rsid w:val="1BAC1422"/>
    <w:rsid w:val="1C25106F"/>
    <w:rsid w:val="1CFD8DF6"/>
    <w:rsid w:val="1E814693"/>
    <w:rsid w:val="1FFF9AD9"/>
    <w:rsid w:val="218F7BCD"/>
    <w:rsid w:val="22AD555F"/>
    <w:rsid w:val="26CF2DB3"/>
    <w:rsid w:val="27FD41EB"/>
    <w:rsid w:val="2A3C6EB3"/>
    <w:rsid w:val="2AF86ED7"/>
    <w:rsid w:val="2AFDF212"/>
    <w:rsid w:val="2B385C88"/>
    <w:rsid w:val="2B6BF484"/>
    <w:rsid w:val="2FFF7DE7"/>
    <w:rsid w:val="31142A23"/>
    <w:rsid w:val="31374B9C"/>
    <w:rsid w:val="33E950F4"/>
    <w:rsid w:val="33F748AD"/>
    <w:rsid w:val="352549E8"/>
    <w:rsid w:val="35874596"/>
    <w:rsid w:val="35F2A362"/>
    <w:rsid w:val="36EA2AC9"/>
    <w:rsid w:val="371A51D2"/>
    <w:rsid w:val="373BBD0C"/>
    <w:rsid w:val="39BFEDBA"/>
    <w:rsid w:val="39DBABD8"/>
    <w:rsid w:val="3A8A55EA"/>
    <w:rsid w:val="3AED12ED"/>
    <w:rsid w:val="3AFF6A5D"/>
    <w:rsid w:val="3BDD34D2"/>
    <w:rsid w:val="3BDDFF97"/>
    <w:rsid w:val="3BFFD43B"/>
    <w:rsid w:val="3C7BD5C9"/>
    <w:rsid w:val="3E713DAF"/>
    <w:rsid w:val="3E963F94"/>
    <w:rsid w:val="3FBF9251"/>
    <w:rsid w:val="3FED766E"/>
    <w:rsid w:val="3FFEEAD9"/>
    <w:rsid w:val="3FFFE931"/>
    <w:rsid w:val="457F07F2"/>
    <w:rsid w:val="47013270"/>
    <w:rsid w:val="49A95790"/>
    <w:rsid w:val="49DC3F67"/>
    <w:rsid w:val="4CC6FDBD"/>
    <w:rsid w:val="4E07F45D"/>
    <w:rsid w:val="4EC24C5B"/>
    <w:rsid w:val="4FF59AF5"/>
    <w:rsid w:val="503D00E8"/>
    <w:rsid w:val="50B302F9"/>
    <w:rsid w:val="51B9215B"/>
    <w:rsid w:val="53DE41AB"/>
    <w:rsid w:val="547A117A"/>
    <w:rsid w:val="55FE10A2"/>
    <w:rsid w:val="56EF6619"/>
    <w:rsid w:val="57AF1E73"/>
    <w:rsid w:val="587A4EC7"/>
    <w:rsid w:val="5AB21C33"/>
    <w:rsid w:val="5B778EC0"/>
    <w:rsid w:val="5BFD93EC"/>
    <w:rsid w:val="5CBA8FF2"/>
    <w:rsid w:val="5D5F7E21"/>
    <w:rsid w:val="5F5B35E4"/>
    <w:rsid w:val="60032B8A"/>
    <w:rsid w:val="60163727"/>
    <w:rsid w:val="609603C4"/>
    <w:rsid w:val="609FA7B0"/>
    <w:rsid w:val="62994782"/>
    <w:rsid w:val="62B52964"/>
    <w:rsid w:val="6342042A"/>
    <w:rsid w:val="69FCE5E7"/>
    <w:rsid w:val="6BCDA9CC"/>
    <w:rsid w:val="6D9F2765"/>
    <w:rsid w:val="6DB508E5"/>
    <w:rsid w:val="6DDFA6BD"/>
    <w:rsid w:val="6E767ACE"/>
    <w:rsid w:val="6E781687"/>
    <w:rsid w:val="6EEE3ED1"/>
    <w:rsid w:val="6EFFED40"/>
    <w:rsid w:val="6F1B2166"/>
    <w:rsid w:val="6F5FC1DE"/>
    <w:rsid w:val="6FB3E1FD"/>
    <w:rsid w:val="6FD768E4"/>
    <w:rsid w:val="6FF341F1"/>
    <w:rsid w:val="6FFEBD86"/>
    <w:rsid w:val="71705E05"/>
    <w:rsid w:val="71C4646A"/>
    <w:rsid w:val="722B0B5C"/>
    <w:rsid w:val="73FF1F09"/>
    <w:rsid w:val="73FF684B"/>
    <w:rsid w:val="74A708C5"/>
    <w:rsid w:val="74A957A6"/>
    <w:rsid w:val="76DFCB7D"/>
    <w:rsid w:val="771D4D51"/>
    <w:rsid w:val="7735A28E"/>
    <w:rsid w:val="77778F6D"/>
    <w:rsid w:val="77ABFD6B"/>
    <w:rsid w:val="77B7A121"/>
    <w:rsid w:val="77C748BA"/>
    <w:rsid w:val="77DD24F1"/>
    <w:rsid w:val="77F10335"/>
    <w:rsid w:val="77F7E860"/>
    <w:rsid w:val="77FB8D34"/>
    <w:rsid w:val="797D0128"/>
    <w:rsid w:val="7991611F"/>
    <w:rsid w:val="79EDB415"/>
    <w:rsid w:val="7ABBCDAB"/>
    <w:rsid w:val="7AFCAD25"/>
    <w:rsid w:val="7AFEB9B4"/>
    <w:rsid w:val="7B2071DF"/>
    <w:rsid w:val="7B5E0C37"/>
    <w:rsid w:val="7B63F034"/>
    <w:rsid w:val="7B735637"/>
    <w:rsid w:val="7B7DE504"/>
    <w:rsid w:val="7BFEC4F8"/>
    <w:rsid w:val="7D9202C5"/>
    <w:rsid w:val="7DA14F75"/>
    <w:rsid w:val="7DB57A61"/>
    <w:rsid w:val="7DC7DC1F"/>
    <w:rsid w:val="7DEB606B"/>
    <w:rsid w:val="7DF95E12"/>
    <w:rsid w:val="7DFDF40F"/>
    <w:rsid w:val="7DFF9BC7"/>
    <w:rsid w:val="7EB645E3"/>
    <w:rsid w:val="7EB6B7AB"/>
    <w:rsid w:val="7EDD645B"/>
    <w:rsid w:val="7EDEF702"/>
    <w:rsid w:val="7EFD6908"/>
    <w:rsid w:val="7EFF8787"/>
    <w:rsid w:val="7F1C270D"/>
    <w:rsid w:val="7F5F4807"/>
    <w:rsid w:val="7F722518"/>
    <w:rsid w:val="7F7CF90E"/>
    <w:rsid w:val="7F9E3557"/>
    <w:rsid w:val="7FBF2857"/>
    <w:rsid w:val="7FD3B1BB"/>
    <w:rsid w:val="7FE7031F"/>
    <w:rsid w:val="7FEC5D3B"/>
    <w:rsid w:val="7FEF37E2"/>
    <w:rsid w:val="7FF70813"/>
    <w:rsid w:val="7FF7B584"/>
    <w:rsid w:val="7FFDFB4B"/>
    <w:rsid w:val="7FFF1910"/>
    <w:rsid w:val="7FFF8C1D"/>
    <w:rsid w:val="7FFF92F0"/>
    <w:rsid w:val="7FFFF07C"/>
    <w:rsid w:val="9BF3195D"/>
    <w:rsid w:val="A5DB4128"/>
    <w:rsid w:val="A6E375DB"/>
    <w:rsid w:val="A6EFA809"/>
    <w:rsid w:val="A6F7CC0B"/>
    <w:rsid w:val="AABFBDFA"/>
    <w:rsid w:val="AF7DE88E"/>
    <w:rsid w:val="AFED1DC0"/>
    <w:rsid w:val="AFFBB299"/>
    <w:rsid w:val="B3ECA4C8"/>
    <w:rsid w:val="B4D7E8EA"/>
    <w:rsid w:val="B4EF3795"/>
    <w:rsid w:val="B5E79B51"/>
    <w:rsid w:val="B6E7F02A"/>
    <w:rsid w:val="B797ED78"/>
    <w:rsid w:val="BB75119C"/>
    <w:rsid w:val="BBD3B774"/>
    <w:rsid w:val="BBDF02B2"/>
    <w:rsid w:val="BCFB0575"/>
    <w:rsid w:val="BE5EC634"/>
    <w:rsid w:val="BEC77393"/>
    <w:rsid w:val="BEFECBAE"/>
    <w:rsid w:val="BF2F7DA9"/>
    <w:rsid w:val="BF7F7592"/>
    <w:rsid w:val="BFB71281"/>
    <w:rsid w:val="BFBDF2DF"/>
    <w:rsid w:val="BFE4DD88"/>
    <w:rsid w:val="BFF9117D"/>
    <w:rsid w:val="BFFF6947"/>
    <w:rsid w:val="C8FDA203"/>
    <w:rsid w:val="CEF79301"/>
    <w:rsid w:val="CEFBB93B"/>
    <w:rsid w:val="CF7C6158"/>
    <w:rsid w:val="CF9D4E98"/>
    <w:rsid w:val="CFBFEC5E"/>
    <w:rsid w:val="D65BF816"/>
    <w:rsid w:val="D73F10CF"/>
    <w:rsid w:val="D977C3BB"/>
    <w:rsid w:val="D977C9A6"/>
    <w:rsid w:val="D9FF310B"/>
    <w:rsid w:val="DBF57698"/>
    <w:rsid w:val="DBFFAB54"/>
    <w:rsid w:val="DDFF5069"/>
    <w:rsid w:val="DECF83A1"/>
    <w:rsid w:val="DEEBD176"/>
    <w:rsid w:val="DEED29CB"/>
    <w:rsid w:val="DEFF6025"/>
    <w:rsid w:val="DF4E686F"/>
    <w:rsid w:val="DF7F78BD"/>
    <w:rsid w:val="DFDFC0CD"/>
    <w:rsid w:val="DFF7F21C"/>
    <w:rsid w:val="DFFE4986"/>
    <w:rsid w:val="E3F74AB8"/>
    <w:rsid w:val="E5FD7CF6"/>
    <w:rsid w:val="E7FE6222"/>
    <w:rsid w:val="E9BB2A12"/>
    <w:rsid w:val="EDDF69E1"/>
    <w:rsid w:val="EDF76BB3"/>
    <w:rsid w:val="EEF68640"/>
    <w:rsid w:val="EFF41AC0"/>
    <w:rsid w:val="EFF76D95"/>
    <w:rsid w:val="EFFF2C87"/>
    <w:rsid w:val="EFFFA435"/>
    <w:rsid w:val="F1DF82E1"/>
    <w:rsid w:val="F1F64F55"/>
    <w:rsid w:val="F2E22473"/>
    <w:rsid w:val="F35D14F0"/>
    <w:rsid w:val="F3F4C349"/>
    <w:rsid w:val="F3F64609"/>
    <w:rsid w:val="F4E96614"/>
    <w:rsid w:val="F4F54B3B"/>
    <w:rsid w:val="F58EBBB0"/>
    <w:rsid w:val="F5CBD2AD"/>
    <w:rsid w:val="F6F3FBF3"/>
    <w:rsid w:val="F6FE0D0F"/>
    <w:rsid w:val="F9B8FDC3"/>
    <w:rsid w:val="F9BF4E89"/>
    <w:rsid w:val="FA79E738"/>
    <w:rsid w:val="FAD729CA"/>
    <w:rsid w:val="FB1B5977"/>
    <w:rsid w:val="FBF62448"/>
    <w:rsid w:val="FBF76486"/>
    <w:rsid w:val="FBFF7DC7"/>
    <w:rsid w:val="FC37AF17"/>
    <w:rsid w:val="FCDE5A6F"/>
    <w:rsid w:val="FCFE5638"/>
    <w:rsid w:val="FCFF1FE1"/>
    <w:rsid w:val="FD7C7175"/>
    <w:rsid w:val="FDD7319B"/>
    <w:rsid w:val="FDDE4FF7"/>
    <w:rsid w:val="FDF8F696"/>
    <w:rsid w:val="FE7B38A4"/>
    <w:rsid w:val="FE7EBDAF"/>
    <w:rsid w:val="FEAF5424"/>
    <w:rsid w:val="FECB8DB0"/>
    <w:rsid w:val="FECF948F"/>
    <w:rsid w:val="FEDCE487"/>
    <w:rsid w:val="FEED62B0"/>
    <w:rsid w:val="FEEFF60E"/>
    <w:rsid w:val="FEFD6F73"/>
    <w:rsid w:val="FF0F1500"/>
    <w:rsid w:val="FF5995C2"/>
    <w:rsid w:val="FF6B552C"/>
    <w:rsid w:val="FF6F74D4"/>
    <w:rsid w:val="FFBB4B28"/>
    <w:rsid w:val="FFCFE300"/>
    <w:rsid w:val="FFD58A98"/>
    <w:rsid w:val="FFDD382A"/>
    <w:rsid w:val="FFDFD60A"/>
    <w:rsid w:val="FFE6F78D"/>
    <w:rsid w:val="FFEBBD1A"/>
    <w:rsid w:val="FFEF3B9A"/>
    <w:rsid w:val="FFF171B6"/>
    <w:rsid w:val="FFF33D76"/>
    <w:rsid w:val="FFF3C5BB"/>
    <w:rsid w:val="FFFA984C"/>
    <w:rsid w:val="FFFB4651"/>
    <w:rsid w:val="FFFD90B9"/>
    <w:rsid w:val="FFFF2620"/>
    <w:rsid w:val="FFFF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3">
    <w:name w:val="Body Text Indent"/>
    <w:basedOn w:val="1"/>
    <w:qFormat/>
    <w:uiPriority w:val="0"/>
    <w:pPr>
      <w:spacing w:after="120"/>
      <w:ind w:leftChars="200"/>
    </w:pPr>
    <w:rPr>
      <w:rFonts w:ascii="仿宋_GB2312"/>
      <w:szCs w:val="32"/>
    </w:rPr>
  </w:style>
  <w:style w:type="paragraph" w:styleId="4">
    <w:name w:val="footer"/>
    <w:basedOn w:val="1"/>
    <w:unhideWhenUsed/>
    <w:qFormat/>
    <w:uiPriority w:val="99"/>
    <w:pPr>
      <w:tabs>
        <w:tab w:val="center" w:pos="4153"/>
        <w:tab w:val="right" w:pos="8306"/>
      </w:tabs>
      <w:snapToGrid w:val="0"/>
      <w:jc w:val="left"/>
    </w:pPr>
    <w:rPr>
      <w:sz w:val="18"/>
      <w:szCs w:val="18"/>
      <w:lang w:val="zh-CN" w:eastAsia="zh-CN"/>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6">
    <w:name w:val="toc 1"/>
    <w:basedOn w:val="1"/>
    <w:next w:val="1"/>
    <w:qFormat/>
    <w:uiPriority w:val="0"/>
  </w:style>
  <w:style w:type="paragraph" w:styleId="7">
    <w:name w:val="Body Text First Indent 2"/>
    <w:basedOn w:val="3"/>
    <w:unhideWhenUsed/>
    <w:qFormat/>
    <w:uiPriority w:val="99"/>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2">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13">
    <w:name w:val="font2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5474</Words>
  <Characters>5757</Characters>
  <Lines>0</Lines>
  <Paragraphs>0</Paragraphs>
  <TotalTime>21</TotalTime>
  <ScaleCrop>false</ScaleCrop>
  <LinksUpToDate>false</LinksUpToDate>
  <CharactersWithSpaces>5785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2020-07-12T08:13:00Z</dcterms:created>
  <dc:creator>Administrator</dc:creator>
  <cp:lastModifiedBy>奕夕^_^</cp:lastModifiedBy>
  <cp:lastPrinted>2016-02-13T11:32:00Z</cp:lastPrinted>
  <dcterms:modified xsi:type="dcterms:W3CDTF">2024-09-19T03:12:48Z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FD65ACE9ECD42879F7879466AF52A2C4</vt:lpwstr>
  </property>
</Properties>
</file>