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8A51BE">
      <w:pPr>
        <w:keepNext w:val="0"/>
        <w:keepLines w:val="0"/>
        <w:pageBreakBefore w:val="0"/>
        <w:kinsoku/>
        <w:wordWrap/>
        <w:overflowPunct/>
        <w:topLinePunct w:val="0"/>
        <w:autoSpaceDE/>
        <w:autoSpaceDN/>
        <w:bidi w:val="0"/>
        <w:spacing w:line="578" w:lineRule="exact"/>
        <w:contextualSpacing/>
        <w:textAlignment w:val="auto"/>
        <w:outlineLvl w:val="9"/>
        <w:rPr>
          <w:rFonts w:hint="default" w:ascii="Times New Roman" w:hAnsi="Times New Roman" w:eastAsia="黑体" w:cs="Times New Roman"/>
          <w:szCs w:val="32"/>
          <w:highlight w:val="none"/>
          <w:lang w:val="zh-CN" w:eastAsia="zh-CN"/>
        </w:rPr>
      </w:pPr>
      <w:r>
        <w:rPr>
          <w:rFonts w:hint="default" w:ascii="Times New Roman" w:hAnsi="Times New Roman" w:eastAsia="黑体" w:cs="Times New Roman"/>
          <w:szCs w:val="32"/>
          <w:highlight w:val="none"/>
          <w:lang w:val="zh-CN"/>
        </w:rPr>
        <w:t>附件</w:t>
      </w:r>
      <w:r>
        <w:rPr>
          <w:rFonts w:hint="default" w:ascii="Times New Roman" w:hAnsi="Times New Roman" w:eastAsia="黑体" w:cs="Times New Roman"/>
          <w:szCs w:val="32"/>
          <w:highlight w:val="none"/>
          <w:lang w:val="en-US" w:eastAsia="zh-CN"/>
        </w:rPr>
        <w:t>2</w:t>
      </w:r>
    </w:p>
    <w:p w14:paraId="4D850112">
      <w:pPr>
        <w:keepNext w:val="0"/>
        <w:keepLines w:val="0"/>
        <w:pageBreakBefore w:val="0"/>
        <w:widowControl/>
        <w:kinsoku/>
        <w:wordWrap/>
        <w:overflowPunct/>
        <w:topLinePunct w:val="0"/>
        <w:autoSpaceDE/>
        <w:autoSpaceDN/>
        <w:bidi w:val="0"/>
        <w:spacing w:line="578" w:lineRule="exact"/>
        <w:contextualSpacing/>
        <w:jc w:val="both"/>
        <w:textAlignment w:val="auto"/>
        <w:outlineLvl w:val="9"/>
        <w:rPr>
          <w:rFonts w:hint="default" w:ascii="Times New Roman" w:hAnsi="Times New Roman" w:eastAsia="宋体" w:cs="Times New Roman"/>
          <w:b/>
          <w:sz w:val="44"/>
          <w:szCs w:val="44"/>
          <w:highlight w:val="none"/>
          <w:shd w:val="clear" w:color="auto" w:fill="FFFFFF"/>
        </w:rPr>
      </w:pPr>
    </w:p>
    <w:p w14:paraId="396EA07C">
      <w:pPr>
        <w:keepNext w:val="0"/>
        <w:keepLines w:val="0"/>
        <w:pageBreakBefore w:val="0"/>
        <w:widowControl/>
        <w:kinsoku/>
        <w:wordWrap/>
        <w:overflowPunct/>
        <w:topLinePunct w:val="0"/>
        <w:autoSpaceDE/>
        <w:autoSpaceDN/>
        <w:bidi w:val="0"/>
        <w:spacing w:line="578" w:lineRule="exact"/>
        <w:contextualSpacing/>
        <w:jc w:val="center"/>
        <w:textAlignment w:val="auto"/>
        <w:outlineLvl w:val="9"/>
        <w:rPr>
          <w:rFonts w:hint="default" w:ascii="Times New Roman" w:hAnsi="Times New Roman" w:eastAsia="方正小标宋简体" w:cs="Times New Roman"/>
          <w:b w:val="0"/>
          <w:bCs/>
          <w:sz w:val="44"/>
          <w:szCs w:val="44"/>
          <w:highlight w:val="none"/>
          <w:shd w:val="clear" w:color="auto" w:fill="FFFFFF"/>
        </w:rPr>
      </w:pPr>
      <w:r>
        <w:rPr>
          <w:rFonts w:hint="default" w:ascii="Times New Roman" w:hAnsi="Times New Roman" w:eastAsia="方正小标宋简体" w:cs="Times New Roman"/>
          <w:b w:val="0"/>
          <w:bCs/>
          <w:sz w:val="44"/>
          <w:szCs w:val="44"/>
          <w:highlight w:val="none"/>
          <w:shd w:val="clear" w:color="auto" w:fill="FFFFFF"/>
        </w:rPr>
        <w:t>松潘县公共就业和人才交流服务中心</w:t>
      </w:r>
    </w:p>
    <w:p w14:paraId="4174E87D">
      <w:pPr>
        <w:keepNext w:val="0"/>
        <w:keepLines w:val="0"/>
        <w:pageBreakBefore w:val="0"/>
        <w:widowControl/>
        <w:kinsoku/>
        <w:wordWrap/>
        <w:overflowPunct/>
        <w:topLinePunct w:val="0"/>
        <w:autoSpaceDE/>
        <w:autoSpaceDN/>
        <w:bidi w:val="0"/>
        <w:spacing w:line="578" w:lineRule="exact"/>
        <w:contextualSpacing/>
        <w:jc w:val="center"/>
        <w:textAlignment w:val="auto"/>
        <w:outlineLvl w:val="9"/>
        <w:rPr>
          <w:rFonts w:hint="default" w:ascii="Times New Roman" w:hAnsi="Times New Roman" w:cs="Times New Roman"/>
          <w:szCs w:val="32"/>
          <w:highlight w:val="none"/>
          <w:shd w:val="clear" w:color="auto" w:fill="FFFFFF"/>
        </w:rPr>
      </w:pPr>
      <w:r>
        <w:rPr>
          <w:rFonts w:hint="default" w:ascii="Times New Roman" w:hAnsi="Times New Roman" w:eastAsia="方正小标宋简体" w:cs="Times New Roman"/>
          <w:b w:val="0"/>
          <w:bCs/>
          <w:sz w:val="44"/>
          <w:szCs w:val="44"/>
          <w:highlight w:val="none"/>
          <w:shd w:val="clear" w:color="auto" w:fill="FFFFFF"/>
        </w:rPr>
        <w:t>部门</w:t>
      </w:r>
      <w:r>
        <w:rPr>
          <w:rFonts w:hint="default" w:ascii="Times New Roman" w:hAnsi="Times New Roman" w:eastAsia="方正小标宋简体" w:cs="Times New Roman"/>
          <w:b w:val="0"/>
          <w:bCs/>
          <w:sz w:val="44"/>
          <w:szCs w:val="44"/>
          <w:highlight w:val="none"/>
          <w:shd w:val="clear" w:color="auto" w:fill="FFFFFF"/>
          <w:lang w:eastAsia="zh-CN"/>
        </w:rPr>
        <w:t>预算</w:t>
      </w:r>
      <w:r>
        <w:rPr>
          <w:rFonts w:hint="default" w:ascii="Times New Roman" w:hAnsi="Times New Roman" w:eastAsia="方正小标宋简体" w:cs="Times New Roman"/>
          <w:b w:val="0"/>
          <w:bCs/>
          <w:sz w:val="44"/>
          <w:szCs w:val="44"/>
          <w:highlight w:val="none"/>
          <w:shd w:val="clear" w:color="auto" w:fill="FFFFFF"/>
        </w:rPr>
        <w:t>绩效</w:t>
      </w:r>
      <w:r>
        <w:rPr>
          <w:rFonts w:hint="eastAsia" w:ascii="Times New Roman" w:hAnsi="Times New Roman" w:eastAsia="方正小标宋简体" w:cs="Times New Roman"/>
          <w:b w:val="0"/>
          <w:bCs/>
          <w:sz w:val="44"/>
          <w:szCs w:val="44"/>
          <w:highlight w:val="none"/>
          <w:shd w:val="clear" w:color="auto" w:fill="FFFFFF"/>
          <w:lang w:eastAsia="zh-CN"/>
        </w:rPr>
        <w:t>评价</w:t>
      </w:r>
      <w:r>
        <w:rPr>
          <w:rFonts w:hint="default" w:ascii="Times New Roman" w:hAnsi="Times New Roman" w:eastAsia="方正小标宋简体" w:cs="Times New Roman"/>
          <w:b w:val="0"/>
          <w:bCs/>
          <w:sz w:val="44"/>
          <w:szCs w:val="44"/>
          <w:highlight w:val="none"/>
          <w:shd w:val="clear" w:color="auto" w:fill="FFFFFF"/>
        </w:rPr>
        <w:t>报告</w:t>
      </w:r>
    </w:p>
    <w:p w14:paraId="70E97EC7">
      <w:pPr>
        <w:keepNext w:val="0"/>
        <w:keepLines w:val="0"/>
        <w:pageBreakBefore w:val="0"/>
        <w:widowControl/>
        <w:kinsoku/>
        <w:wordWrap/>
        <w:overflowPunct/>
        <w:topLinePunct w:val="0"/>
        <w:autoSpaceDE/>
        <w:autoSpaceDN/>
        <w:bidi w:val="0"/>
        <w:adjustRightInd w:val="0"/>
        <w:snapToGrid w:val="0"/>
        <w:spacing w:line="578" w:lineRule="exact"/>
        <w:ind w:firstLine="480" w:firstLineChars="200"/>
        <w:contextualSpacing/>
        <w:jc w:val="left"/>
        <w:textAlignment w:val="auto"/>
        <w:outlineLvl w:val="9"/>
        <w:rPr>
          <w:rFonts w:hint="default" w:ascii="Times New Roman" w:hAnsi="Times New Roman" w:eastAsia="黑体" w:cs="Times New Roman"/>
          <w:color w:val="000000"/>
          <w:kern w:val="0"/>
          <w:sz w:val="24"/>
          <w:szCs w:val="32"/>
          <w:highlight w:val="none"/>
          <w:shd w:val="clear" w:color="auto" w:fill="FFFFFF"/>
        </w:rPr>
      </w:pPr>
    </w:p>
    <w:p w14:paraId="5F791128">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cs="Times New Roman"/>
          <w:szCs w:val="32"/>
        </w:rPr>
      </w:pPr>
      <w:r>
        <w:rPr>
          <w:rFonts w:hint="eastAsia" w:eastAsia="黑体" w:cs="Times New Roman"/>
          <w:color w:val="000000"/>
          <w:kern w:val="0"/>
          <w:szCs w:val="32"/>
          <w:highlight w:val="none"/>
          <w:shd w:val="clear" w:color="auto" w:fill="FFFFFF"/>
          <w:lang w:val="zh-CN"/>
        </w:rPr>
        <w:t>一、单位</w:t>
      </w:r>
      <w:r>
        <w:rPr>
          <w:rFonts w:hint="default" w:ascii="Times New Roman" w:hAnsi="Times New Roman" w:eastAsia="黑体" w:cs="Times New Roman"/>
          <w:color w:val="000000"/>
          <w:kern w:val="0"/>
          <w:szCs w:val="32"/>
          <w:highlight w:val="none"/>
          <w:shd w:val="clear" w:color="auto" w:fill="FFFFFF"/>
          <w:lang w:val="zh-CN"/>
        </w:rPr>
        <w:t>基本情况</w:t>
      </w:r>
    </w:p>
    <w:p w14:paraId="6658B21B">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eastAsia="楷体_GB2312" w:cs="Times New Roman"/>
          <w:b/>
          <w:bCs/>
          <w:color w:val="000000"/>
          <w:kern w:val="0"/>
          <w:szCs w:val="32"/>
          <w:highlight w:val="none"/>
          <w:shd w:val="clear" w:color="auto" w:fill="FFFFFF"/>
          <w:lang w:val="zh-CN"/>
        </w:rPr>
      </w:pPr>
      <w:r>
        <w:rPr>
          <w:rFonts w:hint="eastAsia" w:eastAsia="楷体_GB2312" w:cs="Times New Roman"/>
          <w:b/>
          <w:bCs/>
          <w:color w:val="000000"/>
          <w:kern w:val="0"/>
          <w:szCs w:val="32"/>
          <w:highlight w:val="none"/>
          <w:shd w:val="clear" w:color="auto" w:fill="FFFFFF"/>
          <w:lang w:val="zh-CN"/>
        </w:rPr>
        <w:t>（一）</w:t>
      </w:r>
      <w:r>
        <w:rPr>
          <w:rFonts w:hint="default" w:ascii="Times New Roman" w:hAnsi="Times New Roman" w:eastAsia="楷体_GB2312" w:cs="Times New Roman"/>
          <w:b/>
          <w:bCs/>
          <w:color w:val="000000"/>
          <w:kern w:val="0"/>
          <w:szCs w:val="32"/>
          <w:highlight w:val="none"/>
          <w:shd w:val="clear" w:color="auto" w:fill="FFFFFF"/>
          <w:lang w:val="zh-CN"/>
        </w:rPr>
        <w:t>机构组成。</w:t>
      </w:r>
    </w:p>
    <w:p w14:paraId="16F4BEB2">
      <w:pPr>
        <w:numPr>
          <w:ilvl w:val="0"/>
          <w:numId w:val="0"/>
        </w:numPr>
        <w:snapToGrid w:val="0"/>
        <w:spacing w:line="520" w:lineRule="exact"/>
        <w:ind w:firstLine="640" w:firstLineChars="200"/>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松潘县公共就业和人才交流局成立于1986年，属参照公务员法管理的事业单位，现有人员13人，其中在职11人，退休2人。局内</w:t>
      </w:r>
      <w:r>
        <w:rPr>
          <w:rFonts w:hint="eastAsia" w:ascii="仿宋_GB2312" w:hAnsi="仿宋" w:cs="Times New Roman"/>
          <w:sz w:val="32"/>
          <w:szCs w:val="32"/>
          <w:lang w:val="en-US" w:eastAsia="zh-CN"/>
        </w:rPr>
        <w:t>设</w:t>
      </w:r>
      <w:bookmarkStart w:id="0" w:name="_GoBack"/>
      <w:bookmarkEnd w:id="0"/>
      <w:r>
        <w:rPr>
          <w:rFonts w:hint="eastAsia" w:ascii="仿宋_GB2312" w:hAnsi="仿宋" w:eastAsia="仿宋_GB2312" w:cs="Times New Roman"/>
          <w:sz w:val="32"/>
          <w:szCs w:val="32"/>
          <w:lang w:val="en-US" w:eastAsia="zh-CN"/>
        </w:rPr>
        <w:t>有办公室、失业保险股、就业指导股、劳动就业服务企业管理股、培训股。</w:t>
      </w:r>
    </w:p>
    <w:p w14:paraId="78D10CA0">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eastAsia" w:eastAsia="楷体_GB2312" w:cs="Times New Roman"/>
          <w:b/>
          <w:bCs/>
          <w:color w:val="000000"/>
          <w:kern w:val="0"/>
          <w:szCs w:val="32"/>
          <w:highlight w:val="none"/>
          <w:shd w:val="clear" w:color="auto" w:fill="FFFFFF"/>
          <w:lang w:val="zh-CN"/>
        </w:rPr>
      </w:pPr>
      <w:r>
        <w:rPr>
          <w:rFonts w:hint="default" w:ascii="Times New Roman" w:hAnsi="Times New Roman" w:eastAsia="楷体_GB2312" w:cs="Times New Roman"/>
          <w:b/>
          <w:bCs/>
          <w:color w:val="000000"/>
          <w:kern w:val="0"/>
          <w:szCs w:val="32"/>
          <w:highlight w:val="none"/>
          <w:shd w:val="clear" w:color="auto" w:fill="FFFFFF"/>
          <w:lang w:val="zh-CN"/>
        </w:rPr>
        <w:t>（二）机构职能</w:t>
      </w:r>
      <w:r>
        <w:rPr>
          <w:rFonts w:hint="eastAsia" w:eastAsia="楷体_GB2312" w:cs="Times New Roman"/>
          <w:b/>
          <w:bCs/>
          <w:color w:val="000000"/>
          <w:kern w:val="0"/>
          <w:szCs w:val="32"/>
          <w:highlight w:val="none"/>
          <w:shd w:val="clear" w:color="auto" w:fill="FFFFFF"/>
          <w:lang w:val="zh-CN"/>
        </w:rPr>
        <w:t>。</w:t>
      </w:r>
    </w:p>
    <w:p w14:paraId="50B1211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cs="Times New Roman"/>
          <w:szCs w:val="32"/>
          <w:lang w:val="zh-CN"/>
        </w:rPr>
      </w:pPr>
      <w:r>
        <w:rPr>
          <w:rFonts w:hint="eastAsia" w:ascii="Times New Roman" w:hAnsi="Times New Roman" w:cs="Times New Roman"/>
          <w:szCs w:val="32"/>
          <w:lang w:val="en-US" w:eastAsia="zh-CN"/>
        </w:rPr>
        <w:t>1、</w:t>
      </w:r>
      <w:r>
        <w:rPr>
          <w:rFonts w:hint="default" w:ascii="Times New Roman" w:hAnsi="Times New Roman" w:cs="Times New Roman"/>
          <w:szCs w:val="32"/>
          <w:lang w:val="zh-CN"/>
        </w:rPr>
        <w:t>贯彻落实中央、省、州、县有关就业创业的各项政策、法律法规，组织协调落实就业创业各项优惠政策，开展全县就业创业服务工作。</w:t>
      </w:r>
    </w:p>
    <w:p w14:paraId="1109D3E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cs="Times New Roman"/>
          <w:szCs w:val="32"/>
          <w:lang w:val="zh-CN"/>
        </w:rPr>
      </w:pPr>
      <w:r>
        <w:rPr>
          <w:rFonts w:hint="eastAsia" w:ascii="Times New Roman" w:hAnsi="Times New Roman" w:cs="Times New Roman"/>
          <w:szCs w:val="32"/>
          <w:lang w:val="en-US" w:eastAsia="zh-CN"/>
        </w:rPr>
        <w:t>2、</w:t>
      </w:r>
      <w:r>
        <w:rPr>
          <w:rFonts w:hint="default" w:ascii="Times New Roman" w:hAnsi="Times New Roman" w:cs="Times New Roman"/>
          <w:szCs w:val="32"/>
          <w:lang w:val="zh-CN"/>
        </w:rPr>
        <w:t>为辖区内城乡劳动者提供就业创业、职业技能培训和失业保险政策法规咨询，为用工单位和求职者搭建招聘求职平台、开展职业指导、职业介绍等服务，对就业困难人员等群体实施就业援助。</w:t>
      </w:r>
    </w:p>
    <w:p w14:paraId="669AD81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cs="Times New Roman"/>
          <w:szCs w:val="32"/>
          <w:lang w:val="zh-CN"/>
        </w:rPr>
      </w:pPr>
      <w:r>
        <w:rPr>
          <w:rFonts w:hint="eastAsia" w:cs="Times New Roman"/>
          <w:szCs w:val="32"/>
          <w:lang w:val="en-US" w:eastAsia="zh-CN"/>
        </w:rPr>
        <w:t>3、</w:t>
      </w:r>
      <w:r>
        <w:rPr>
          <w:rFonts w:hint="default" w:ascii="Times New Roman" w:hAnsi="Times New Roman" w:cs="Times New Roman"/>
          <w:szCs w:val="32"/>
          <w:lang w:val="zh-CN"/>
        </w:rPr>
        <w:t>实施创业引领计划，为有创业意愿的城乡劳动者提供创业政策咨询、创业担保、贷款担保、创业培训、项目推介等创业服务</w:t>
      </w:r>
      <w:r>
        <w:rPr>
          <w:rFonts w:hint="eastAsia" w:cs="Times New Roman"/>
          <w:szCs w:val="32"/>
          <w:lang w:val="zh-CN"/>
        </w:rPr>
        <w:t>；</w:t>
      </w:r>
      <w:r>
        <w:rPr>
          <w:rFonts w:hint="default" w:ascii="Times New Roman" w:hAnsi="Times New Roman" w:cs="Times New Roman"/>
          <w:szCs w:val="32"/>
          <w:lang w:val="zh-CN"/>
        </w:rPr>
        <w:t>负责实施高校毕业生创业引领计划，落实好高校毕业生就业困难人员、农民工等群体促进创业带动就业扶持政策</w:t>
      </w:r>
      <w:r>
        <w:rPr>
          <w:rFonts w:hint="eastAsia" w:cs="Times New Roman"/>
          <w:szCs w:val="32"/>
          <w:lang w:val="zh-CN"/>
        </w:rPr>
        <w:t>；</w:t>
      </w:r>
      <w:r>
        <w:rPr>
          <w:rFonts w:hint="default" w:ascii="Times New Roman" w:hAnsi="Times New Roman" w:cs="Times New Roman"/>
          <w:szCs w:val="32"/>
          <w:lang w:val="zh-CN"/>
        </w:rPr>
        <w:t>组织开展各类创业宣传、承担创业项目孵化、建立具有特色的创业载体</w:t>
      </w:r>
      <w:r>
        <w:rPr>
          <w:rFonts w:hint="eastAsia" w:cs="Times New Roman"/>
          <w:szCs w:val="32"/>
          <w:lang w:val="zh-CN"/>
        </w:rPr>
        <w:t>（</w:t>
      </w:r>
      <w:r>
        <w:rPr>
          <w:rFonts w:hint="default" w:ascii="Times New Roman" w:hAnsi="Times New Roman" w:cs="Times New Roman"/>
          <w:szCs w:val="32"/>
          <w:lang w:val="zh-CN"/>
        </w:rPr>
        <w:t>基地</w:t>
      </w:r>
      <w:r>
        <w:rPr>
          <w:rFonts w:hint="eastAsia" w:cs="Times New Roman"/>
          <w:szCs w:val="32"/>
          <w:lang w:val="zh-CN"/>
        </w:rPr>
        <w:t>）</w:t>
      </w:r>
      <w:r>
        <w:rPr>
          <w:rFonts w:hint="default" w:ascii="Times New Roman" w:hAnsi="Times New Roman" w:cs="Times New Roman"/>
          <w:szCs w:val="32"/>
          <w:lang w:val="zh-CN"/>
        </w:rPr>
        <w:t>。</w:t>
      </w:r>
    </w:p>
    <w:p w14:paraId="5A41369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cs="Times New Roman"/>
          <w:szCs w:val="32"/>
          <w:lang w:val="zh-CN"/>
        </w:rPr>
      </w:pPr>
      <w:r>
        <w:rPr>
          <w:rFonts w:hint="eastAsia" w:cs="Times New Roman"/>
          <w:szCs w:val="32"/>
          <w:lang w:val="en-US" w:eastAsia="zh-CN"/>
        </w:rPr>
        <w:t>4、</w:t>
      </w:r>
      <w:r>
        <w:rPr>
          <w:rFonts w:hint="default" w:ascii="Times New Roman" w:hAnsi="Times New Roman" w:cs="Times New Roman"/>
          <w:szCs w:val="32"/>
          <w:lang w:val="zh-CN"/>
        </w:rPr>
        <w:t>组织城镇失业人员等重点群体和企业职工开展职业技能培训。按照《社会保险法》《失业保险条例》和《四川省失业保险条例》等相关法律法规，负责失业保险经办管理工作</w:t>
      </w:r>
      <w:r>
        <w:rPr>
          <w:rFonts w:hint="eastAsia" w:cs="Times New Roman"/>
          <w:szCs w:val="32"/>
          <w:lang w:val="zh-CN"/>
        </w:rPr>
        <w:t>；</w:t>
      </w:r>
      <w:r>
        <w:rPr>
          <w:rFonts w:hint="default" w:ascii="Times New Roman" w:hAnsi="Times New Roman" w:cs="Times New Roman"/>
          <w:szCs w:val="32"/>
          <w:lang w:val="zh-CN"/>
        </w:rPr>
        <w:t>经办失业保险业务</w:t>
      </w:r>
      <w:r>
        <w:rPr>
          <w:rFonts w:hint="eastAsia" w:cs="Times New Roman"/>
          <w:szCs w:val="32"/>
          <w:lang w:val="zh-CN"/>
        </w:rPr>
        <w:t>；</w:t>
      </w:r>
      <w:r>
        <w:rPr>
          <w:rFonts w:hint="default" w:ascii="Times New Roman" w:hAnsi="Times New Roman" w:cs="Times New Roman"/>
          <w:szCs w:val="32"/>
          <w:lang w:val="zh-CN"/>
        </w:rPr>
        <w:t>开展失业动态监测和调控</w:t>
      </w:r>
      <w:r>
        <w:rPr>
          <w:rFonts w:hint="eastAsia" w:cs="Times New Roman"/>
          <w:szCs w:val="32"/>
          <w:lang w:val="zh-CN"/>
        </w:rPr>
        <w:t>；</w:t>
      </w:r>
      <w:r>
        <w:rPr>
          <w:rFonts w:hint="default" w:ascii="Times New Roman" w:hAnsi="Times New Roman" w:cs="Times New Roman"/>
          <w:szCs w:val="32"/>
          <w:lang w:val="zh-CN"/>
        </w:rPr>
        <w:t>预测预警失业率变化状况</w:t>
      </w:r>
      <w:r>
        <w:rPr>
          <w:rFonts w:hint="eastAsia" w:cs="Times New Roman"/>
          <w:szCs w:val="32"/>
          <w:lang w:val="zh-CN"/>
        </w:rPr>
        <w:t>；</w:t>
      </w:r>
      <w:r>
        <w:rPr>
          <w:rFonts w:hint="default" w:ascii="Times New Roman" w:hAnsi="Times New Roman" w:cs="Times New Roman"/>
          <w:szCs w:val="32"/>
          <w:lang w:val="zh-CN"/>
        </w:rPr>
        <w:t>办理就业失业登记及相关证件的发放和管理</w:t>
      </w:r>
    </w:p>
    <w:p w14:paraId="501A07FA">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cs="Times New Roman"/>
          <w:szCs w:val="32"/>
          <w:lang w:val="zh-CN"/>
        </w:rPr>
      </w:pPr>
      <w:r>
        <w:rPr>
          <w:rFonts w:hint="eastAsia" w:cs="Times New Roman"/>
          <w:szCs w:val="32"/>
          <w:lang w:val="en-US" w:eastAsia="zh-CN"/>
        </w:rPr>
        <w:t>5、</w:t>
      </w:r>
      <w:r>
        <w:rPr>
          <w:rFonts w:hint="default" w:ascii="Times New Roman" w:hAnsi="Times New Roman" w:cs="Times New Roman"/>
          <w:szCs w:val="32"/>
          <w:lang w:val="zh-CN"/>
        </w:rPr>
        <w:t>负责公益性岗位的开发和安置、离校未就业的高校毕业生跟踪服务和实名制管理、困难高校毕业生的就业援助工作</w:t>
      </w:r>
      <w:r>
        <w:rPr>
          <w:rFonts w:hint="eastAsia" w:cs="Times New Roman"/>
          <w:szCs w:val="32"/>
          <w:lang w:val="zh-CN"/>
        </w:rPr>
        <w:t>；</w:t>
      </w:r>
      <w:r>
        <w:rPr>
          <w:rFonts w:hint="default" w:ascii="Times New Roman" w:hAnsi="Times New Roman" w:cs="Times New Roman"/>
          <w:szCs w:val="32"/>
          <w:lang w:val="zh-CN"/>
        </w:rPr>
        <w:t>认定和管理见习基地。负责农村劳动力实名制登记、园区企业用工监测。</w:t>
      </w:r>
    </w:p>
    <w:p w14:paraId="51EE3FA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cs="Times New Roman"/>
          <w:szCs w:val="32"/>
          <w:lang w:val="zh-CN"/>
        </w:rPr>
      </w:pPr>
      <w:r>
        <w:rPr>
          <w:rFonts w:hint="eastAsia" w:cs="Times New Roman"/>
          <w:szCs w:val="32"/>
          <w:lang w:val="en-US" w:eastAsia="zh-CN"/>
        </w:rPr>
        <w:t>6、</w:t>
      </w:r>
      <w:r>
        <w:rPr>
          <w:rFonts w:hint="default" w:ascii="Times New Roman" w:hAnsi="Times New Roman" w:cs="Times New Roman"/>
          <w:szCs w:val="32"/>
          <w:lang w:val="zh-CN"/>
        </w:rPr>
        <w:t>负责宣传各项职业技能培训和创业培训政策</w:t>
      </w:r>
      <w:r>
        <w:rPr>
          <w:rFonts w:hint="eastAsia" w:cs="Times New Roman"/>
          <w:szCs w:val="32"/>
          <w:lang w:val="zh-CN"/>
        </w:rPr>
        <w:t>：</w:t>
      </w:r>
      <w:r>
        <w:rPr>
          <w:rFonts w:hint="default" w:ascii="Times New Roman" w:hAnsi="Times New Roman" w:cs="Times New Roman"/>
          <w:szCs w:val="32"/>
          <w:lang w:val="zh-CN"/>
        </w:rPr>
        <w:t>按照职业培训促进就业的要求，组织有培训意愿的城乡劳动者，按照相关规定开展职业技能培训和创业培训。</w:t>
      </w:r>
    </w:p>
    <w:p w14:paraId="1A88E64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cs="Times New Roman"/>
          <w:szCs w:val="32"/>
          <w:lang w:val="zh-CN"/>
        </w:rPr>
      </w:pPr>
      <w:r>
        <w:rPr>
          <w:rFonts w:hint="eastAsia" w:cs="Times New Roman"/>
          <w:szCs w:val="32"/>
          <w:lang w:val="en-US" w:eastAsia="zh-CN"/>
        </w:rPr>
        <w:t>7、</w:t>
      </w:r>
      <w:r>
        <w:rPr>
          <w:rFonts w:hint="default" w:ascii="Times New Roman" w:hAnsi="Times New Roman" w:cs="Times New Roman"/>
          <w:szCs w:val="32"/>
          <w:lang w:val="zh-CN"/>
        </w:rPr>
        <w:t>负责落实各项就业再就业优惠政策，收集、整理、储存、发布就业再就业信息，统计就业再就业相关数据，为政府和相关部门决策提供依据</w:t>
      </w:r>
      <w:r>
        <w:rPr>
          <w:rFonts w:hint="eastAsia" w:cs="Times New Roman"/>
          <w:szCs w:val="32"/>
          <w:lang w:val="zh-CN"/>
        </w:rPr>
        <w:t>。</w:t>
      </w:r>
    </w:p>
    <w:p w14:paraId="3F9C4C0B">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cs="Times New Roman"/>
          <w:szCs w:val="32"/>
          <w:lang w:val="zh-CN"/>
        </w:rPr>
      </w:pPr>
      <w:r>
        <w:rPr>
          <w:rFonts w:hint="eastAsia" w:cs="Times New Roman"/>
          <w:szCs w:val="32"/>
          <w:lang w:val="en-US" w:eastAsia="zh-CN"/>
        </w:rPr>
        <w:t>8、</w:t>
      </w:r>
      <w:r>
        <w:rPr>
          <w:rFonts w:hint="default" w:ascii="Times New Roman" w:hAnsi="Times New Roman" w:cs="Times New Roman"/>
          <w:szCs w:val="32"/>
          <w:lang w:val="zh-CN"/>
        </w:rPr>
        <w:t>开展省内外劳务协作工作</w:t>
      </w:r>
      <w:r>
        <w:rPr>
          <w:rFonts w:hint="eastAsia" w:cs="Times New Roman"/>
          <w:szCs w:val="32"/>
          <w:lang w:val="zh-CN"/>
        </w:rPr>
        <w:t>。</w:t>
      </w:r>
    </w:p>
    <w:p w14:paraId="1B3AB99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cs="Times New Roman"/>
          <w:szCs w:val="32"/>
          <w:lang w:val="zh-CN"/>
        </w:rPr>
      </w:pPr>
      <w:r>
        <w:rPr>
          <w:rFonts w:hint="eastAsia" w:cs="Times New Roman"/>
          <w:szCs w:val="32"/>
          <w:lang w:val="en-US" w:eastAsia="zh-CN"/>
        </w:rPr>
        <w:t>9、</w:t>
      </w:r>
      <w:r>
        <w:rPr>
          <w:rFonts w:hint="default" w:ascii="Times New Roman" w:hAnsi="Times New Roman" w:cs="Times New Roman"/>
          <w:szCs w:val="32"/>
          <w:lang w:val="zh-CN"/>
        </w:rPr>
        <w:t>完成县委、县政府和上级主管部门交办的其他工作任务</w:t>
      </w:r>
      <w:r>
        <w:rPr>
          <w:rFonts w:hint="eastAsia" w:cs="Times New Roman"/>
          <w:szCs w:val="32"/>
          <w:lang w:val="zh-CN"/>
        </w:rPr>
        <w:t>。</w:t>
      </w:r>
    </w:p>
    <w:p w14:paraId="50E519D2">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eastAsia="楷体_GB2312" w:cs="Times New Roman"/>
          <w:b/>
          <w:bCs/>
          <w:color w:val="000000"/>
          <w:kern w:val="0"/>
          <w:szCs w:val="32"/>
          <w:highlight w:val="none"/>
          <w:shd w:val="clear" w:color="auto" w:fill="FFFFFF"/>
          <w:lang w:val="zh-CN"/>
        </w:rPr>
      </w:pPr>
      <w:r>
        <w:rPr>
          <w:rFonts w:hint="default" w:ascii="Times New Roman" w:hAnsi="Times New Roman" w:eastAsia="楷体_GB2312" w:cs="Times New Roman"/>
          <w:b/>
          <w:bCs/>
          <w:color w:val="000000"/>
          <w:kern w:val="0"/>
          <w:szCs w:val="32"/>
          <w:highlight w:val="none"/>
          <w:shd w:val="clear" w:color="auto" w:fill="FFFFFF"/>
          <w:lang w:val="zh-CN"/>
        </w:rPr>
        <w:t>（</w:t>
      </w:r>
      <w:r>
        <w:rPr>
          <w:rFonts w:hint="eastAsia" w:eastAsia="楷体_GB2312" w:cs="Times New Roman"/>
          <w:b/>
          <w:bCs/>
          <w:color w:val="000000"/>
          <w:kern w:val="0"/>
          <w:szCs w:val="32"/>
          <w:highlight w:val="none"/>
          <w:shd w:val="clear" w:color="auto" w:fill="FFFFFF"/>
          <w:lang w:val="zh-CN"/>
        </w:rPr>
        <w:t>三</w:t>
      </w:r>
      <w:r>
        <w:rPr>
          <w:rFonts w:hint="default" w:ascii="Times New Roman" w:hAnsi="Times New Roman" w:eastAsia="楷体_GB2312" w:cs="Times New Roman"/>
          <w:b/>
          <w:bCs/>
          <w:color w:val="000000"/>
          <w:kern w:val="0"/>
          <w:szCs w:val="32"/>
          <w:highlight w:val="none"/>
          <w:shd w:val="clear" w:color="auto" w:fill="FFFFFF"/>
          <w:lang w:val="zh-CN"/>
        </w:rPr>
        <w:t>）人员概况</w:t>
      </w:r>
      <w:r>
        <w:rPr>
          <w:rFonts w:hint="eastAsia" w:eastAsia="楷体_GB2312" w:cs="Times New Roman"/>
          <w:b/>
          <w:bCs/>
          <w:color w:val="000000"/>
          <w:kern w:val="0"/>
          <w:szCs w:val="32"/>
          <w:highlight w:val="none"/>
          <w:shd w:val="clear" w:color="auto" w:fill="FFFFFF"/>
          <w:lang w:val="zh-CN"/>
        </w:rPr>
        <w:t>。</w:t>
      </w:r>
    </w:p>
    <w:p w14:paraId="6A0C3363">
      <w:pPr>
        <w:numPr>
          <w:ilvl w:val="0"/>
          <w:numId w:val="0"/>
        </w:numPr>
        <w:snapToGrid w:val="0"/>
        <w:spacing w:line="520" w:lineRule="exact"/>
        <w:ind w:firstLine="640" w:firstLineChars="200"/>
        <w:rPr>
          <w:rFonts w:hint="default" w:ascii="仿宋_GB2312" w:hAnsi="仿宋" w:eastAsia="仿宋_GB2312"/>
          <w:sz w:val="32"/>
          <w:szCs w:val="32"/>
          <w:lang w:val="en-US" w:eastAsia="zh-CN"/>
        </w:rPr>
      </w:pPr>
      <w:r>
        <w:rPr>
          <w:rFonts w:hint="default" w:ascii="Times New Roman" w:hAnsi="Times New Roman" w:cs="Times New Roman"/>
          <w:szCs w:val="32"/>
        </w:rPr>
        <w:t>截至202</w:t>
      </w:r>
      <w:r>
        <w:rPr>
          <w:rFonts w:hint="eastAsia" w:ascii="Times New Roman" w:hAnsi="Times New Roman" w:cs="Times New Roman"/>
          <w:szCs w:val="32"/>
          <w:lang w:val="en-US" w:eastAsia="zh-CN"/>
        </w:rPr>
        <w:t>3</w:t>
      </w:r>
      <w:r>
        <w:rPr>
          <w:rFonts w:hint="default" w:ascii="Times New Roman" w:hAnsi="Times New Roman" w:cs="Times New Roman"/>
          <w:szCs w:val="32"/>
        </w:rPr>
        <w:t>年末，</w:t>
      </w:r>
      <w:r>
        <w:rPr>
          <w:rFonts w:hint="eastAsia" w:ascii="Times New Roman" w:hAnsi="Times New Roman" w:cs="Times New Roman"/>
          <w:szCs w:val="32"/>
          <w:lang w:val="en-US" w:eastAsia="zh-CN"/>
        </w:rPr>
        <w:t>松潘县公共就业和人才交流服务中心</w:t>
      </w:r>
      <w:r>
        <w:rPr>
          <w:rFonts w:hint="eastAsia" w:ascii="仿宋_GB2312" w:hAnsi="仿宋" w:eastAsia="仿宋_GB2312"/>
          <w:sz w:val="32"/>
          <w:szCs w:val="32"/>
        </w:rPr>
        <w:t>年末实有人数</w:t>
      </w:r>
      <w:r>
        <w:rPr>
          <w:rFonts w:hint="eastAsia" w:ascii="仿宋_GB2312" w:hAnsi="仿宋" w:eastAsia="仿宋_GB2312"/>
          <w:sz w:val="32"/>
          <w:szCs w:val="32"/>
          <w:lang w:val="en-US" w:eastAsia="zh-CN"/>
        </w:rPr>
        <w:t>11人，在职人员11人，均为参照公务员法管理事业人员。</w:t>
      </w:r>
    </w:p>
    <w:p w14:paraId="35817A18">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eastAsia="黑体" w:cs="Times New Roman"/>
          <w:color w:val="000000"/>
          <w:kern w:val="0"/>
          <w:szCs w:val="32"/>
          <w:highlight w:val="none"/>
          <w:shd w:val="clear" w:color="auto" w:fill="FFFFFF"/>
        </w:rPr>
      </w:pPr>
      <w:r>
        <w:rPr>
          <w:rFonts w:hint="default" w:ascii="Times New Roman" w:hAnsi="Times New Roman" w:eastAsia="黑体" w:cs="Times New Roman"/>
          <w:color w:val="000000"/>
          <w:kern w:val="0"/>
          <w:szCs w:val="32"/>
          <w:highlight w:val="none"/>
          <w:shd w:val="clear" w:color="auto" w:fill="FFFFFF"/>
        </w:rPr>
        <w:t>二、</w:t>
      </w:r>
      <w:r>
        <w:rPr>
          <w:rFonts w:hint="default" w:ascii="Times New Roman" w:hAnsi="Times New Roman" w:eastAsia="黑体" w:cs="Times New Roman"/>
          <w:color w:val="000000"/>
          <w:kern w:val="0"/>
          <w:szCs w:val="32"/>
          <w:highlight w:val="none"/>
          <w:shd w:val="clear" w:color="auto" w:fill="FFFFFF"/>
          <w:lang w:eastAsia="zh-CN"/>
        </w:rPr>
        <w:t>部门</w:t>
      </w:r>
      <w:r>
        <w:rPr>
          <w:rFonts w:hint="default" w:ascii="Times New Roman" w:hAnsi="Times New Roman" w:eastAsia="黑体" w:cs="Times New Roman"/>
          <w:color w:val="000000"/>
          <w:kern w:val="0"/>
          <w:szCs w:val="32"/>
          <w:highlight w:val="none"/>
          <w:shd w:val="clear" w:color="auto" w:fill="FFFFFF"/>
        </w:rPr>
        <w:t>资金收支情况</w:t>
      </w:r>
    </w:p>
    <w:p w14:paraId="0A595C91">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eastAsia="楷体_GB2312" w:cs="Times New Roman"/>
          <w:b/>
          <w:bCs/>
          <w:color w:val="000000"/>
          <w:kern w:val="0"/>
          <w:szCs w:val="32"/>
          <w:highlight w:val="none"/>
          <w:shd w:val="clear" w:color="auto" w:fill="FFFFFF"/>
          <w:lang w:val="zh-CN"/>
        </w:rPr>
      </w:pPr>
      <w:r>
        <w:rPr>
          <w:rFonts w:hint="default" w:ascii="Times New Roman" w:hAnsi="Times New Roman" w:eastAsia="楷体_GB2312" w:cs="Times New Roman"/>
          <w:b/>
          <w:bCs/>
          <w:color w:val="000000"/>
          <w:kern w:val="0"/>
          <w:szCs w:val="32"/>
          <w:highlight w:val="none"/>
          <w:shd w:val="clear" w:color="auto" w:fill="FFFFFF"/>
          <w:lang w:val="zh-CN"/>
        </w:rPr>
        <w:t>（一）</w:t>
      </w:r>
      <w:r>
        <w:rPr>
          <w:rFonts w:hint="eastAsia" w:eastAsia="楷体_GB2312" w:cs="Times New Roman"/>
          <w:b/>
          <w:bCs/>
          <w:color w:val="000000"/>
          <w:kern w:val="0"/>
          <w:szCs w:val="32"/>
          <w:highlight w:val="none"/>
          <w:shd w:val="clear" w:color="auto" w:fill="FFFFFF"/>
          <w:lang w:val="zh-CN"/>
        </w:rPr>
        <w:t>收入情况</w:t>
      </w:r>
      <w:r>
        <w:rPr>
          <w:rFonts w:hint="default" w:ascii="Times New Roman" w:hAnsi="Times New Roman" w:eastAsia="楷体_GB2312" w:cs="Times New Roman"/>
          <w:b/>
          <w:bCs/>
          <w:color w:val="000000"/>
          <w:kern w:val="0"/>
          <w:szCs w:val="32"/>
          <w:highlight w:val="none"/>
          <w:shd w:val="clear" w:color="auto" w:fill="FFFFFF"/>
          <w:lang w:val="zh-CN"/>
        </w:rPr>
        <w:t>。</w:t>
      </w:r>
    </w:p>
    <w:p w14:paraId="60128659">
      <w:pPr>
        <w:spacing w:line="580" w:lineRule="exact"/>
        <w:ind w:firstLine="640" w:firstLineChars="200"/>
        <w:rPr>
          <w:rFonts w:hint="eastAsia" w:ascii="仿宋_GB2312" w:hAnsi="仿宋" w:eastAsia="仿宋_GB2312" w:cs="Times New Roman"/>
          <w:kern w:val="2"/>
          <w:sz w:val="32"/>
          <w:szCs w:val="32"/>
          <w:highlight w:val="none"/>
          <w:lang w:val="en-US" w:eastAsia="zh-CN" w:bidi="ar-SA"/>
        </w:rPr>
      </w:pPr>
      <w:r>
        <w:rPr>
          <w:rFonts w:hint="eastAsia" w:cs="Times New Roman"/>
          <w:szCs w:val="32"/>
          <w:highlight w:val="none"/>
          <w:lang w:val="en-US" w:eastAsia="zh-CN"/>
        </w:rPr>
        <w:t>松潘县公共就业和人才交流服务中心2023年年初预算</w:t>
      </w:r>
      <w:r>
        <w:rPr>
          <w:rFonts w:hint="eastAsia" w:ascii="仿宋_GB2312" w:hAnsi="仿宋" w:eastAsia="仿宋_GB2312" w:cs="Times New Roman"/>
          <w:kern w:val="2"/>
          <w:sz w:val="32"/>
          <w:szCs w:val="32"/>
          <w:highlight w:val="none"/>
          <w:lang w:val="en-US" w:eastAsia="zh-CN" w:bidi="ar-SA"/>
        </w:rPr>
        <w:t>安排总计177.11万元。与上年度593.45万元相比，收入预算安排总计减少416.33万元，减少70.16%，主要变动原因是今年收入较去年项目减少。</w:t>
      </w:r>
    </w:p>
    <w:p w14:paraId="6C97F644">
      <w:pPr>
        <w:spacing w:line="580" w:lineRule="exact"/>
        <w:ind w:firstLine="640" w:firstLineChars="200"/>
        <w:rPr>
          <w:rFonts w:hint="eastAsia" w:ascii="仿宋_GB2312" w:hAnsi="仿宋" w:eastAsia="仿宋_GB2312" w:cs="Times New Roman"/>
          <w:kern w:val="2"/>
          <w:sz w:val="32"/>
          <w:szCs w:val="32"/>
          <w:highlight w:val="none"/>
          <w:lang w:val="en-US" w:eastAsia="zh-CN" w:bidi="ar-SA"/>
        </w:rPr>
      </w:pPr>
      <w:r>
        <w:rPr>
          <w:rFonts w:hint="eastAsia" w:ascii="仿宋_GB2312" w:hAnsi="仿宋" w:eastAsia="仿宋_GB2312" w:cs="Times New Roman"/>
          <w:kern w:val="2"/>
          <w:sz w:val="32"/>
          <w:szCs w:val="32"/>
          <w:highlight w:val="none"/>
          <w:lang w:val="en-US" w:eastAsia="zh-CN" w:bidi="ar-SA"/>
        </w:rPr>
        <w:t>2023年度</w:t>
      </w:r>
      <w:r>
        <w:rPr>
          <w:rFonts w:hint="eastAsia" w:ascii="仿宋_GB2312" w:hAnsi="仿宋" w:cs="Times New Roman"/>
          <w:kern w:val="2"/>
          <w:sz w:val="32"/>
          <w:szCs w:val="32"/>
          <w:highlight w:val="none"/>
          <w:lang w:val="en-US" w:eastAsia="zh-CN" w:bidi="ar-SA"/>
        </w:rPr>
        <w:t>决算收入</w:t>
      </w:r>
      <w:r>
        <w:rPr>
          <w:rFonts w:hint="eastAsia" w:ascii="仿宋_GB2312" w:hAnsi="仿宋" w:eastAsia="仿宋_GB2312" w:cs="Times New Roman"/>
          <w:kern w:val="2"/>
          <w:sz w:val="32"/>
          <w:szCs w:val="32"/>
          <w:highlight w:val="none"/>
          <w:lang w:val="en-US" w:eastAsia="zh-CN" w:bidi="ar-SA"/>
        </w:rPr>
        <w:t>总计998.96万元。与上年度1042.59万元相比，收入预算执行总计减少43.63万元，减少4.19%，主要变动原因是今年收入较去年项目减少。</w:t>
      </w:r>
    </w:p>
    <w:p w14:paraId="4F2E875E">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eastAsia="楷体_GB2312" w:cs="Times New Roman"/>
          <w:b/>
          <w:bCs/>
          <w:color w:val="000000"/>
          <w:kern w:val="0"/>
          <w:szCs w:val="32"/>
          <w:highlight w:val="none"/>
          <w:shd w:val="clear" w:color="auto" w:fill="FFFFFF"/>
          <w:lang w:val="zh-CN"/>
        </w:rPr>
      </w:pPr>
      <w:r>
        <w:rPr>
          <w:rFonts w:hint="default" w:ascii="Times New Roman" w:hAnsi="Times New Roman" w:eastAsia="楷体_GB2312" w:cs="Times New Roman"/>
          <w:b/>
          <w:bCs/>
          <w:color w:val="000000"/>
          <w:kern w:val="0"/>
          <w:szCs w:val="32"/>
          <w:highlight w:val="none"/>
          <w:shd w:val="clear" w:color="auto" w:fill="FFFFFF"/>
          <w:lang w:val="zh-CN"/>
        </w:rPr>
        <w:t>（</w:t>
      </w:r>
      <w:r>
        <w:rPr>
          <w:rFonts w:hint="eastAsia" w:eastAsia="楷体_GB2312" w:cs="Times New Roman"/>
          <w:b/>
          <w:bCs/>
          <w:color w:val="000000"/>
          <w:kern w:val="0"/>
          <w:szCs w:val="32"/>
          <w:highlight w:val="none"/>
          <w:shd w:val="clear" w:color="auto" w:fill="FFFFFF"/>
          <w:lang w:val="zh-CN"/>
        </w:rPr>
        <w:t>二</w:t>
      </w:r>
      <w:r>
        <w:rPr>
          <w:rFonts w:hint="default" w:ascii="Times New Roman" w:hAnsi="Times New Roman" w:eastAsia="楷体_GB2312" w:cs="Times New Roman"/>
          <w:b/>
          <w:bCs/>
          <w:color w:val="000000"/>
          <w:kern w:val="0"/>
          <w:szCs w:val="32"/>
          <w:highlight w:val="none"/>
          <w:shd w:val="clear" w:color="auto" w:fill="FFFFFF"/>
          <w:lang w:val="zh-CN"/>
        </w:rPr>
        <w:t>）</w:t>
      </w:r>
      <w:r>
        <w:rPr>
          <w:rFonts w:hint="eastAsia" w:eastAsia="楷体_GB2312" w:cs="Times New Roman"/>
          <w:b/>
          <w:bCs/>
          <w:color w:val="000000"/>
          <w:kern w:val="0"/>
          <w:szCs w:val="32"/>
          <w:highlight w:val="none"/>
          <w:shd w:val="clear" w:color="auto" w:fill="FFFFFF"/>
          <w:lang w:val="zh-CN"/>
        </w:rPr>
        <w:t>支出情况</w:t>
      </w:r>
      <w:r>
        <w:rPr>
          <w:rFonts w:hint="default" w:ascii="Times New Roman" w:hAnsi="Times New Roman" w:eastAsia="楷体_GB2312" w:cs="Times New Roman"/>
          <w:b/>
          <w:bCs/>
          <w:color w:val="000000"/>
          <w:kern w:val="0"/>
          <w:szCs w:val="32"/>
          <w:highlight w:val="none"/>
          <w:shd w:val="clear" w:color="auto" w:fill="FFFFFF"/>
          <w:lang w:val="zh-CN"/>
        </w:rPr>
        <w:t>。</w:t>
      </w:r>
    </w:p>
    <w:p w14:paraId="4F465B29">
      <w:pPr>
        <w:spacing w:line="580" w:lineRule="exact"/>
        <w:ind w:firstLine="640" w:firstLineChars="200"/>
        <w:rPr>
          <w:rFonts w:hint="eastAsia" w:ascii="仿宋_GB2312" w:hAnsi="仿宋" w:eastAsia="仿宋_GB2312" w:cs="Times New Roman"/>
          <w:kern w:val="2"/>
          <w:sz w:val="32"/>
          <w:szCs w:val="32"/>
          <w:highlight w:val="none"/>
          <w:lang w:val="en-US" w:eastAsia="zh-CN" w:bidi="ar-SA"/>
        </w:rPr>
      </w:pPr>
      <w:r>
        <w:rPr>
          <w:rFonts w:hint="eastAsia" w:cs="Times New Roman"/>
          <w:szCs w:val="32"/>
          <w:highlight w:val="none"/>
          <w:lang w:val="en-US" w:eastAsia="zh-CN"/>
        </w:rPr>
        <w:t>松潘县公共就业和人才交流服务中心</w:t>
      </w:r>
      <w:r>
        <w:rPr>
          <w:rFonts w:hint="eastAsia" w:ascii="Times New Roman" w:hAnsi="Times New Roman" w:cs="Times New Roman"/>
          <w:szCs w:val="32"/>
          <w:highlight w:val="none"/>
          <w:lang w:val="en-US" w:eastAsia="zh-CN"/>
        </w:rPr>
        <w:t>2023年年初预算</w:t>
      </w:r>
      <w:r>
        <w:rPr>
          <w:rFonts w:hint="eastAsia" w:ascii="仿宋_GB2312" w:hAnsi="仿宋" w:eastAsia="仿宋_GB2312" w:cs="Times New Roman"/>
          <w:kern w:val="2"/>
          <w:sz w:val="32"/>
          <w:szCs w:val="32"/>
          <w:highlight w:val="none"/>
          <w:lang w:val="en-US" w:eastAsia="zh-CN" w:bidi="ar-SA"/>
        </w:rPr>
        <w:t>安排总计177.11万元。与上年度593.45万元相比，支出预算安排总计减少416.33万元，减少70.16%，主要变动原因是今年收入较去年项目减少。</w:t>
      </w:r>
    </w:p>
    <w:p w14:paraId="61410B6D">
      <w:pPr>
        <w:spacing w:line="580" w:lineRule="exact"/>
        <w:ind w:firstLine="640" w:firstLineChars="200"/>
        <w:rPr>
          <w:rFonts w:hint="eastAsia" w:ascii="仿宋_GB2312" w:hAnsi="仿宋" w:eastAsia="仿宋_GB2312" w:cs="Times New Roman"/>
          <w:kern w:val="2"/>
          <w:sz w:val="32"/>
          <w:szCs w:val="32"/>
          <w:highlight w:val="none"/>
          <w:lang w:val="en-US" w:eastAsia="zh-CN" w:bidi="ar-SA"/>
        </w:rPr>
      </w:pPr>
      <w:r>
        <w:rPr>
          <w:rFonts w:hint="eastAsia" w:ascii="仿宋_GB2312" w:hAnsi="仿宋" w:eastAsia="仿宋_GB2312" w:cs="Times New Roman"/>
          <w:kern w:val="2"/>
          <w:sz w:val="32"/>
          <w:szCs w:val="32"/>
          <w:highlight w:val="none"/>
          <w:lang w:val="en-US" w:eastAsia="zh-CN" w:bidi="ar-SA"/>
        </w:rPr>
        <w:t>2023年度</w:t>
      </w:r>
      <w:r>
        <w:rPr>
          <w:rFonts w:hint="eastAsia" w:ascii="仿宋_GB2312" w:hAnsi="仿宋" w:cs="Times New Roman"/>
          <w:kern w:val="2"/>
          <w:sz w:val="32"/>
          <w:szCs w:val="32"/>
          <w:highlight w:val="none"/>
          <w:lang w:val="en-US" w:eastAsia="zh-CN" w:bidi="ar-SA"/>
        </w:rPr>
        <w:t>决算支出</w:t>
      </w:r>
      <w:r>
        <w:rPr>
          <w:rFonts w:hint="eastAsia" w:ascii="仿宋_GB2312" w:hAnsi="仿宋" w:eastAsia="仿宋_GB2312" w:cs="Times New Roman"/>
          <w:kern w:val="2"/>
          <w:sz w:val="32"/>
          <w:szCs w:val="32"/>
          <w:highlight w:val="none"/>
          <w:lang w:val="en-US" w:eastAsia="zh-CN" w:bidi="ar-SA"/>
        </w:rPr>
        <w:t>总计1009.12万元。与上年度1042.59万元相比，支出预算执行总计减少33.47万元，减少3.21%。主要变动原因是今年收入较去年项目减少。</w:t>
      </w:r>
    </w:p>
    <w:p w14:paraId="57B37307">
      <w:pPr>
        <w:keepNext w:val="0"/>
        <w:keepLines w:val="0"/>
        <w:pageBreakBefore w:val="0"/>
        <w:widowControl/>
        <w:numPr>
          <w:ilvl w:val="0"/>
          <w:numId w:val="1"/>
        </w:numPr>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eastAsia" w:ascii="Times New Roman" w:hAnsi="Times New Roman" w:eastAsia="楷体_GB2312" w:cs="Times New Roman"/>
          <w:b/>
          <w:szCs w:val="32"/>
          <w:highlight w:val="none"/>
          <w:lang w:eastAsia="zh-CN"/>
        </w:rPr>
      </w:pPr>
      <w:r>
        <w:rPr>
          <w:rFonts w:hint="default" w:ascii="Times New Roman" w:hAnsi="Times New Roman" w:eastAsia="楷体_GB2312" w:cs="Times New Roman"/>
          <w:b/>
          <w:szCs w:val="32"/>
          <w:highlight w:val="none"/>
        </w:rPr>
        <w:t>结余分配和结转结余情况</w:t>
      </w:r>
      <w:r>
        <w:rPr>
          <w:rFonts w:hint="eastAsia" w:ascii="Times New Roman" w:hAnsi="Times New Roman" w:eastAsia="楷体_GB2312" w:cs="Times New Roman"/>
          <w:b/>
          <w:szCs w:val="32"/>
          <w:highlight w:val="none"/>
          <w:lang w:eastAsia="zh-CN"/>
        </w:rPr>
        <w:t>。</w:t>
      </w:r>
    </w:p>
    <w:p w14:paraId="51082A3F">
      <w:pPr>
        <w:snapToGrid w:val="0"/>
        <w:spacing w:line="520" w:lineRule="exact"/>
        <w:ind w:firstLine="640" w:firstLineChars="200"/>
        <w:rPr>
          <w:rFonts w:hint="default" w:ascii="仿宋_GB2312" w:hAnsi="仿宋" w:eastAsia="仿宋_GB2312" w:cs="Times New Roman"/>
          <w:kern w:val="2"/>
          <w:sz w:val="32"/>
          <w:szCs w:val="32"/>
          <w:highlight w:val="none"/>
          <w:lang w:val="en-US" w:eastAsia="zh-CN" w:bidi="ar-SA"/>
        </w:rPr>
      </w:pPr>
      <w:r>
        <w:rPr>
          <w:rFonts w:hint="eastAsia" w:ascii="仿宋_GB2312" w:hAnsi="仿宋" w:eastAsia="仿宋_GB2312" w:cs="Times New Roman"/>
          <w:kern w:val="2"/>
          <w:sz w:val="32"/>
          <w:szCs w:val="32"/>
          <w:highlight w:val="none"/>
          <w:lang w:val="en-US" w:eastAsia="zh-CN" w:bidi="ar-SA"/>
        </w:rPr>
        <w:t>松潘县公共就业和人才交流服务中心</w:t>
      </w:r>
      <w:r>
        <w:rPr>
          <w:rFonts w:hint="eastAsia" w:ascii="仿宋_GB2312" w:hAnsi="仿宋" w:cs="Times New Roman"/>
          <w:kern w:val="2"/>
          <w:sz w:val="32"/>
          <w:szCs w:val="32"/>
          <w:highlight w:val="none"/>
          <w:lang w:val="en-US" w:eastAsia="zh-CN" w:bidi="ar-SA"/>
        </w:rPr>
        <w:t>2022</w:t>
      </w:r>
      <w:r>
        <w:rPr>
          <w:rFonts w:hint="eastAsia" w:ascii="仿宋_GB2312" w:hAnsi="仿宋" w:eastAsia="仿宋_GB2312" w:cs="Times New Roman"/>
          <w:kern w:val="2"/>
          <w:sz w:val="32"/>
          <w:szCs w:val="32"/>
          <w:highlight w:val="none"/>
          <w:lang w:val="en-US" w:eastAsia="zh-CN" w:bidi="ar-SA"/>
        </w:rPr>
        <w:t>年度结余10.17万元，2023年收入998.96万元，2023年支出1009.12万元，累计结余0万元。</w:t>
      </w:r>
    </w:p>
    <w:p w14:paraId="076E30BF">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eastAsia="黑体" w:cs="Times New Roman"/>
          <w:color w:val="000000" w:themeColor="text1"/>
          <w:kern w:val="0"/>
          <w:szCs w:val="32"/>
          <w:highlight w:val="none"/>
          <w:shd w:val="clear" w:color="auto" w:fill="FFFFFF"/>
          <w14:textFill>
            <w14:solidFill>
              <w14:schemeClr w14:val="tx1"/>
            </w14:solidFill>
          </w14:textFill>
        </w:rPr>
      </w:pPr>
      <w:r>
        <w:rPr>
          <w:rFonts w:hint="default" w:ascii="Times New Roman" w:hAnsi="Times New Roman" w:eastAsia="黑体" w:cs="Times New Roman"/>
          <w:color w:val="000000"/>
          <w:kern w:val="0"/>
          <w:szCs w:val="32"/>
          <w:highlight w:val="none"/>
          <w:shd w:val="clear" w:color="auto" w:fill="FFFFFF"/>
        </w:rPr>
        <w:t>三、</w:t>
      </w:r>
      <w:r>
        <w:rPr>
          <w:rFonts w:hint="default" w:ascii="Times New Roman" w:hAnsi="Times New Roman" w:eastAsia="黑体" w:cs="Times New Roman"/>
          <w:color w:val="000000"/>
          <w:kern w:val="0"/>
          <w:szCs w:val="32"/>
          <w:highlight w:val="none"/>
          <w:u w:val="none"/>
          <w:shd w:val="clear" w:color="auto" w:fill="FFFFFF"/>
        </w:rPr>
        <w:t>部门</w:t>
      </w:r>
      <w:r>
        <w:rPr>
          <w:rFonts w:hint="default" w:ascii="Times New Roman" w:hAnsi="Times New Roman" w:eastAsia="黑体" w:cs="Times New Roman"/>
          <w:color w:val="000000"/>
          <w:kern w:val="0"/>
          <w:szCs w:val="32"/>
          <w:highlight w:val="none"/>
          <w:u w:val="none"/>
          <w:shd w:val="clear" w:color="auto" w:fill="FFFFFF"/>
          <w:lang w:eastAsia="zh-CN"/>
        </w:rPr>
        <w:t>预算</w:t>
      </w:r>
      <w:r>
        <w:rPr>
          <w:rFonts w:hint="default" w:ascii="Times New Roman" w:hAnsi="Times New Roman" w:eastAsia="黑体" w:cs="Times New Roman"/>
          <w:color w:val="000000"/>
          <w:kern w:val="0"/>
          <w:szCs w:val="32"/>
          <w:highlight w:val="none"/>
          <w:u w:val="none"/>
          <w:shd w:val="clear" w:color="auto" w:fill="FFFFFF"/>
        </w:rPr>
        <w:t>绩效</w:t>
      </w:r>
      <w:r>
        <w:rPr>
          <w:rFonts w:hint="default" w:ascii="Times New Roman" w:hAnsi="Times New Roman" w:eastAsia="黑体" w:cs="Times New Roman"/>
          <w:color w:val="000000"/>
          <w:kern w:val="0"/>
          <w:szCs w:val="32"/>
          <w:highlight w:val="none"/>
          <w:u w:val="none"/>
          <w:shd w:val="clear" w:color="auto" w:fill="FFFFFF"/>
          <w:lang w:eastAsia="zh-CN"/>
        </w:rPr>
        <w:t>分析</w:t>
      </w:r>
    </w:p>
    <w:p w14:paraId="42692EB0">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eastAsia="楷体_GB2312" w:cs="Times New Roman"/>
          <w:b/>
          <w:bCs/>
          <w:color w:val="000000"/>
          <w:kern w:val="0"/>
          <w:szCs w:val="32"/>
          <w:highlight w:val="none"/>
          <w:shd w:val="clear" w:color="auto" w:fill="FFFFFF"/>
          <w:lang w:val="zh-CN"/>
        </w:rPr>
      </w:pPr>
      <w:r>
        <w:rPr>
          <w:rFonts w:hint="default" w:ascii="Times New Roman" w:hAnsi="Times New Roman" w:eastAsia="楷体_GB2312" w:cs="Times New Roman"/>
          <w:b/>
          <w:bCs/>
          <w:color w:val="000000"/>
          <w:kern w:val="0"/>
          <w:szCs w:val="32"/>
          <w:highlight w:val="none"/>
          <w:shd w:val="clear" w:color="auto" w:fill="FFFFFF"/>
          <w:lang w:val="zh-CN"/>
        </w:rPr>
        <w:t>（一）</w:t>
      </w:r>
      <w:r>
        <w:rPr>
          <w:rFonts w:hint="eastAsia" w:eastAsia="楷体_GB2312" w:cs="Times New Roman"/>
          <w:b/>
          <w:bCs/>
          <w:color w:val="000000"/>
          <w:kern w:val="0"/>
          <w:szCs w:val="32"/>
          <w:highlight w:val="none"/>
          <w:shd w:val="clear" w:color="auto" w:fill="FFFFFF"/>
          <w:lang w:val="zh-CN"/>
        </w:rPr>
        <w:t>部门预算</w:t>
      </w:r>
      <w:r>
        <w:rPr>
          <w:rFonts w:hint="default" w:ascii="Times New Roman" w:hAnsi="Times New Roman" w:eastAsia="楷体_GB2312" w:cs="Times New Roman"/>
          <w:b/>
          <w:bCs/>
          <w:color w:val="000000"/>
          <w:kern w:val="0"/>
          <w:szCs w:val="32"/>
          <w:highlight w:val="none"/>
          <w:shd w:val="clear" w:color="auto" w:fill="FFFFFF"/>
          <w:lang w:val="zh-CN"/>
        </w:rPr>
        <w:t>总体绩效分析。</w:t>
      </w:r>
    </w:p>
    <w:p w14:paraId="5B321404">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cs="Times New Roman"/>
          <w:color w:val="000000"/>
          <w:kern w:val="0"/>
          <w:szCs w:val="32"/>
          <w:highlight w:val="none"/>
          <w:shd w:val="clear" w:color="auto" w:fill="FFFFFF"/>
          <w:lang w:val="en-US" w:eastAsia="zh-CN"/>
        </w:rPr>
      </w:pPr>
      <w:r>
        <w:rPr>
          <w:rFonts w:hint="eastAsia" w:ascii="Times New Roman" w:hAnsi="Times New Roman" w:cs="Times New Roman"/>
          <w:color w:val="000000"/>
          <w:kern w:val="0"/>
          <w:szCs w:val="32"/>
          <w:highlight w:val="none"/>
          <w:shd w:val="clear" w:color="auto" w:fill="FFFFFF"/>
          <w:lang w:val="en-US" w:eastAsia="zh-CN"/>
        </w:rPr>
        <w:t>1．人员类项目绩效分析</w:t>
      </w:r>
    </w:p>
    <w:p w14:paraId="51C3AC91">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cs="Times New Roman"/>
          <w:color w:val="000000"/>
          <w:kern w:val="0"/>
          <w:szCs w:val="32"/>
          <w:highlight w:val="none"/>
          <w:shd w:val="clear" w:color="auto" w:fill="FFFFFF"/>
          <w:lang w:val="en-US" w:eastAsia="zh-CN"/>
        </w:rPr>
      </w:pPr>
      <w:r>
        <w:rPr>
          <w:rFonts w:hint="eastAsia" w:ascii="Times New Roman" w:hAnsi="Times New Roman" w:cs="Times New Roman"/>
          <w:color w:val="000000"/>
          <w:kern w:val="0"/>
          <w:szCs w:val="32"/>
          <w:highlight w:val="none"/>
          <w:shd w:val="clear" w:color="auto" w:fill="FFFFFF"/>
          <w:lang w:val="en-US" w:eastAsia="zh-CN"/>
        </w:rPr>
        <w:t>2023年度本单位无此项。</w:t>
      </w:r>
    </w:p>
    <w:p w14:paraId="5F102AC4">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cs="Times New Roman"/>
          <w:color w:val="000000"/>
          <w:kern w:val="0"/>
          <w:szCs w:val="32"/>
          <w:highlight w:val="none"/>
          <w:shd w:val="clear" w:color="auto" w:fill="FFFFFF"/>
          <w:lang w:val="en-US" w:eastAsia="zh-CN"/>
        </w:rPr>
      </w:pPr>
      <w:r>
        <w:rPr>
          <w:rFonts w:hint="eastAsia" w:ascii="Times New Roman" w:hAnsi="Times New Roman" w:cs="Times New Roman"/>
          <w:color w:val="000000"/>
          <w:kern w:val="0"/>
          <w:szCs w:val="32"/>
          <w:highlight w:val="none"/>
          <w:shd w:val="clear" w:color="auto" w:fill="FFFFFF"/>
          <w:lang w:val="en-US" w:eastAsia="zh-CN"/>
        </w:rPr>
        <w:t>2．运转类项目绩效分析</w:t>
      </w:r>
    </w:p>
    <w:p w14:paraId="0B97A59E">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cs="Times New Roman"/>
          <w:color w:val="000000"/>
          <w:kern w:val="0"/>
          <w:szCs w:val="32"/>
          <w:highlight w:val="none"/>
          <w:shd w:val="clear" w:color="auto" w:fill="FFFFFF"/>
          <w:lang w:val="en-US" w:eastAsia="zh-CN"/>
        </w:rPr>
      </w:pPr>
      <w:r>
        <w:rPr>
          <w:rFonts w:hint="eastAsia" w:ascii="Times New Roman" w:hAnsi="Times New Roman" w:cs="Times New Roman"/>
          <w:color w:val="000000"/>
          <w:kern w:val="0"/>
          <w:szCs w:val="32"/>
          <w:highlight w:val="none"/>
          <w:shd w:val="clear" w:color="auto" w:fill="FFFFFF"/>
          <w:lang w:val="en-US" w:eastAsia="zh-CN"/>
        </w:rPr>
        <w:t>2023年度本单位无此项。</w:t>
      </w:r>
    </w:p>
    <w:p w14:paraId="27CBA664">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cs="Times New Roman"/>
          <w:color w:val="000000"/>
          <w:kern w:val="0"/>
          <w:szCs w:val="32"/>
          <w:highlight w:val="none"/>
          <w:shd w:val="clear" w:color="auto" w:fill="FFFFFF"/>
          <w:lang w:val="en-US" w:eastAsia="zh-CN"/>
        </w:rPr>
      </w:pPr>
      <w:r>
        <w:rPr>
          <w:rFonts w:hint="eastAsia" w:ascii="Times New Roman" w:hAnsi="Times New Roman" w:cs="Times New Roman"/>
          <w:color w:val="000000"/>
          <w:kern w:val="0"/>
          <w:szCs w:val="32"/>
          <w:highlight w:val="none"/>
          <w:shd w:val="clear" w:color="auto" w:fill="FFFFFF"/>
          <w:lang w:val="en-US" w:eastAsia="zh-CN"/>
        </w:rPr>
        <w:t>3．特定目标类项目绩效分析</w:t>
      </w:r>
    </w:p>
    <w:p w14:paraId="1E3AB25C">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cs="Times New Roman"/>
          <w:color w:val="000000"/>
          <w:kern w:val="0"/>
          <w:szCs w:val="32"/>
          <w:highlight w:val="none"/>
          <w:shd w:val="clear" w:color="auto" w:fill="FFFFFF"/>
          <w:lang w:val="en-US" w:eastAsia="zh-CN"/>
        </w:rPr>
      </w:pPr>
      <w:r>
        <w:rPr>
          <w:rFonts w:hint="eastAsia" w:ascii="Times New Roman" w:hAnsi="Times New Roman" w:cs="Times New Roman"/>
          <w:color w:val="000000"/>
          <w:kern w:val="0"/>
          <w:szCs w:val="32"/>
          <w:highlight w:val="none"/>
          <w:shd w:val="clear" w:color="auto" w:fill="FFFFFF"/>
          <w:lang w:val="en-US" w:eastAsia="zh-CN"/>
        </w:rPr>
        <w:t>2023年特定目标类主要包含就业创业工作经费、东西部劳务协作工作经费、农民工服务中心工作经费、就业创业补助资金项目工作经费、劳动人口转移就业工程工作经费5个项目。</w:t>
      </w:r>
    </w:p>
    <w:p w14:paraId="6F165255">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cs="Times New Roman"/>
          <w:color w:val="000000"/>
          <w:kern w:val="0"/>
          <w:szCs w:val="32"/>
          <w:highlight w:val="none"/>
          <w:shd w:val="clear" w:color="auto" w:fill="FFFFFF"/>
          <w:lang w:val="en-US" w:eastAsia="zh-CN"/>
        </w:rPr>
      </w:pPr>
      <w:r>
        <w:rPr>
          <w:rFonts w:hint="eastAsia" w:ascii="Times New Roman" w:hAnsi="Times New Roman" w:cs="Times New Roman"/>
          <w:color w:val="000000"/>
          <w:kern w:val="0"/>
          <w:szCs w:val="32"/>
          <w:highlight w:val="none"/>
          <w:shd w:val="clear" w:color="auto" w:fill="FFFFFF"/>
          <w:lang w:val="en-US" w:eastAsia="zh-CN"/>
        </w:rPr>
        <w:t>本年度就业创业工作经费是用于负责贯彻落实中央、省、州、县有关就业创业的各项政策、法律法规，组织协调落实就业创业各项优惠政策，开展全县就业创业服务工作。</w:t>
      </w:r>
    </w:p>
    <w:p w14:paraId="6CBA9437">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cs="Times New Roman"/>
          <w:color w:val="000000"/>
          <w:kern w:val="0"/>
          <w:szCs w:val="32"/>
          <w:highlight w:val="none"/>
          <w:shd w:val="clear" w:color="auto" w:fill="FFFFFF"/>
          <w:lang w:val="en-US" w:eastAsia="zh-CN"/>
        </w:rPr>
      </w:pPr>
      <w:r>
        <w:rPr>
          <w:rFonts w:hint="default" w:ascii="Times New Roman" w:hAnsi="Times New Roman" w:cs="Times New Roman"/>
          <w:color w:val="000000"/>
          <w:kern w:val="0"/>
          <w:szCs w:val="32"/>
          <w:highlight w:val="none"/>
          <w:shd w:val="clear" w:color="auto" w:fill="FFFFFF"/>
          <w:lang w:val="en-US" w:eastAsia="zh-CN"/>
        </w:rPr>
        <w:t>东西部劳务协作工作经费</w:t>
      </w:r>
      <w:r>
        <w:rPr>
          <w:rFonts w:hint="eastAsia" w:ascii="Times New Roman" w:hAnsi="Times New Roman" w:cs="Times New Roman"/>
          <w:color w:val="000000"/>
          <w:kern w:val="0"/>
          <w:szCs w:val="32"/>
          <w:highlight w:val="none"/>
          <w:shd w:val="clear" w:color="auto" w:fill="FFFFFF"/>
          <w:lang w:val="en-US" w:eastAsia="zh-CN"/>
        </w:rPr>
        <w:t>是用于</w:t>
      </w:r>
      <w:r>
        <w:rPr>
          <w:rFonts w:hint="default" w:ascii="Times New Roman" w:hAnsi="Times New Roman" w:cs="Times New Roman"/>
          <w:color w:val="000000"/>
          <w:kern w:val="0"/>
          <w:szCs w:val="32"/>
          <w:highlight w:val="none"/>
          <w:shd w:val="clear" w:color="auto" w:fill="FFFFFF"/>
          <w:lang w:val="en-US" w:eastAsia="zh-CN"/>
        </w:rPr>
        <w:t>促进我县城乡劳动力实现就业，以劳务输出为切入点，采取政府组织发动，城乡劳动力广泛参与方式，切实提高转移就业率，帮助城乡劳动力实现就业增收。保障东西部劳务协作工作经费，促进就业。</w:t>
      </w:r>
    </w:p>
    <w:p w14:paraId="5E62E6A6">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cs="Times New Roman"/>
          <w:color w:val="000000"/>
          <w:kern w:val="0"/>
          <w:szCs w:val="32"/>
          <w:highlight w:val="none"/>
          <w:shd w:val="clear" w:color="auto" w:fill="FFFFFF"/>
          <w:lang w:val="en-US" w:eastAsia="zh-CN"/>
        </w:rPr>
      </w:pPr>
      <w:r>
        <w:rPr>
          <w:rFonts w:hint="default" w:ascii="Times New Roman" w:hAnsi="Times New Roman" w:cs="Times New Roman"/>
          <w:color w:val="000000"/>
          <w:kern w:val="0"/>
          <w:szCs w:val="32"/>
          <w:highlight w:val="none"/>
          <w:shd w:val="clear" w:color="auto" w:fill="FFFFFF"/>
          <w:lang w:val="en-US" w:eastAsia="zh-CN"/>
        </w:rPr>
        <w:t>农民工服务中心工作经费</w:t>
      </w:r>
      <w:r>
        <w:rPr>
          <w:rFonts w:hint="eastAsia" w:ascii="Times New Roman" w:hAnsi="Times New Roman" w:cs="Times New Roman"/>
          <w:color w:val="000000"/>
          <w:kern w:val="0"/>
          <w:szCs w:val="32"/>
          <w:highlight w:val="none"/>
          <w:shd w:val="clear" w:color="auto" w:fill="FFFFFF"/>
          <w:lang w:val="en-US" w:eastAsia="zh-CN"/>
        </w:rPr>
        <w:t>是用于保障农民工服务中心日常工作开展。落实好农民工等群体促进创业带动就业扶持政策。</w:t>
      </w:r>
    </w:p>
    <w:p w14:paraId="342ACFDF">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cs="Times New Roman"/>
          <w:color w:val="000000"/>
          <w:kern w:val="0"/>
          <w:szCs w:val="32"/>
          <w:highlight w:val="none"/>
          <w:shd w:val="clear" w:color="auto" w:fill="FFFFFF"/>
          <w:lang w:val="en-US" w:eastAsia="zh-CN"/>
        </w:rPr>
      </w:pPr>
      <w:r>
        <w:rPr>
          <w:rFonts w:hint="default" w:ascii="Times New Roman" w:hAnsi="Times New Roman" w:cs="Times New Roman"/>
          <w:color w:val="000000"/>
          <w:kern w:val="0"/>
          <w:szCs w:val="32"/>
          <w:highlight w:val="none"/>
          <w:shd w:val="clear" w:color="auto" w:fill="FFFFFF"/>
          <w:lang w:val="en-US" w:eastAsia="zh-CN"/>
        </w:rPr>
        <w:t>就业创业补助资金项目</w:t>
      </w:r>
      <w:r>
        <w:rPr>
          <w:rFonts w:hint="eastAsia" w:ascii="Times New Roman" w:hAnsi="Times New Roman" w:cs="Times New Roman"/>
          <w:color w:val="000000"/>
          <w:kern w:val="0"/>
          <w:szCs w:val="32"/>
          <w:highlight w:val="none"/>
          <w:shd w:val="clear" w:color="auto" w:fill="FFFFFF"/>
          <w:lang w:val="en-US" w:eastAsia="zh-CN"/>
        </w:rPr>
        <w:t>经费是用于职业培训补贴、职业技能鉴定补贴、社会保险补贴、公益性岗位补贴、创业补贴、就业见习补贴、求职创业补贴、就业创业服务补助、高技能人才培养补助等支出以及经省级人民政府批准的其他支出项目。确保完成年度城镇新增就业目标任务。</w:t>
      </w:r>
    </w:p>
    <w:p w14:paraId="0CD37E0D">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cs="Times New Roman"/>
          <w:color w:val="000000"/>
          <w:kern w:val="0"/>
          <w:szCs w:val="32"/>
          <w:highlight w:val="none"/>
          <w:shd w:val="clear" w:color="auto" w:fill="FFFFFF"/>
          <w:lang w:val="en-US" w:eastAsia="zh-CN"/>
        </w:rPr>
      </w:pPr>
      <w:r>
        <w:rPr>
          <w:rFonts w:hint="eastAsia" w:ascii="Times New Roman" w:hAnsi="Times New Roman" w:cs="Times New Roman"/>
          <w:color w:val="000000"/>
          <w:kern w:val="0"/>
          <w:szCs w:val="32"/>
          <w:highlight w:val="none"/>
          <w:shd w:val="clear" w:color="auto" w:fill="FFFFFF"/>
          <w:lang w:val="en-US" w:eastAsia="zh-CN"/>
        </w:rPr>
        <w:t>劳动人口转移就业工程是用于保障2023年大邑县对口支援工作的开展。</w:t>
      </w:r>
    </w:p>
    <w:p w14:paraId="3AA17BA1">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cs="Times New Roman"/>
          <w:color w:val="000000"/>
          <w:kern w:val="0"/>
          <w:szCs w:val="32"/>
          <w:highlight w:val="none"/>
          <w:shd w:val="clear" w:color="auto" w:fill="FFFFFF"/>
          <w:lang w:val="zh-CN"/>
        </w:rPr>
      </w:pPr>
      <w:r>
        <w:rPr>
          <w:rFonts w:hint="eastAsia" w:ascii="楷体_GB2312" w:hAnsi="楷体_GB2312" w:eastAsia="楷体_GB2312" w:cs="楷体_GB2312"/>
          <w:color w:val="000000"/>
          <w:kern w:val="0"/>
          <w:szCs w:val="32"/>
          <w:highlight w:val="none"/>
          <w:shd w:val="clear" w:color="auto" w:fill="FFFFFF"/>
          <w:lang w:val="en-US" w:eastAsia="zh-CN"/>
        </w:rPr>
        <w:t>1.</w:t>
      </w:r>
      <w:r>
        <w:rPr>
          <w:rFonts w:hint="eastAsia" w:ascii="楷体_GB2312" w:hAnsi="楷体_GB2312" w:eastAsia="楷体_GB2312" w:cs="楷体_GB2312"/>
          <w:color w:val="000000"/>
          <w:kern w:val="0"/>
          <w:szCs w:val="32"/>
          <w:highlight w:val="none"/>
          <w:shd w:val="clear" w:color="auto" w:fill="FFFFFF"/>
          <w:lang w:val="zh-CN"/>
        </w:rPr>
        <w:t>履职效能。</w:t>
      </w:r>
    </w:p>
    <w:p w14:paraId="2EA4B599">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cs="Times New Roman"/>
          <w:color w:val="000000"/>
          <w:kern w:val="0"/>
          <w:szCs w:val="32"/>
          <w:highlight w:val="none"/>
          <w:shd w:val="clear" w:color="auto" w:fill="FFFFFF"/>
          <w:lang w:val="en-US" w:eastAsia="zh-CN"/>
        </w:rPr>
      </w:pPr>
      <w:r>
        <w:rPr>
          <w:rFonts w:hint="eastAsia" w:ascii="Times New Roman" w:hAnsi="Times New Roman" w:cs="Times New Roman"/>
          <w:color w:val="000000"/>
          <w:kern w:val="0"/>
          <w:szCs w:val="32"/>
          <w:highlight w:val="none"/>
          <w:shd w:val="clear" w:color="auto" w:fill="FFFFFF"/>
          <w:lang w:val="en-US" w:eastAsia="zh-CN"/>
        </w:rPr>
        <w:t>2023年</w:t>
      </w:r>
      <w:r>
        <w:rPr>
          <w:rFonts w:hint="eastAsia" w:ascii="Times New Roman" w:hAnsi="Times New Roman" w:cs="Times New Roman"/>
          <w:color w:val="000000"/>
          <w:kern w:val="0"/>
          <w:szCs w:val="32"/>
          <w:highlight w:val="none"/>
          <w:shd w:val="clear" w:color="auto" w:fill="FFFFFF"/>
          <w:lang w:val="zh-CN"/>
        </w:rPr>
        <w:t>部门整体绩效目标保障松潘县公共就业和人才交流服务中心在职人员</w:t>
      </w:r>
      <w:r>
        <w:rPr>
          <w:rFonts w:hint="eastAsia" w:cs="Times New Roman"/>
          <w:color w:val="000000"/>
          <w:kern w:val="0"/>
          <w:szCs w:val="32"/>
          <w:highlight w:val="none"/>
          <w:shd w:val="clear" w:color="auto" w:fill="FFFFFF"/>
          <w:lang w:val="en-US" w:eastAsia="zh-CN"/>
        </w:rPr>
        <w:t>11</w:t>
      </w:r>
      <w:r>
        <w:rPr>
          <w:rFonts w:hint="eastAsia" w:ascii="Times New Roman" w:hAnsi="Times New Roman" w:cs="Times New Roman"/>
          <w:color w:val="000000"/>
          <w:kern w:val="0"/>
          <w:szCs w:val="32"/>
          <w:highlight w:val="none"/>
          <w:shd w:val="clear" w:color="auto" w:fill="FFFFFF"/>
          <w:lang w:val="zh-CN"/>
        </w:rPr>
        <w:t>人的正常办公、生活秩序</w:t>
      </w:r>
      <w:r>
        <w:rPr>
          <w:rFonts w:hint="eastAsia" w:ascii="Times New Roman" w:hAnsi="Times New Roman" w:cs="Times New Roman"/>
          <w:color w:val="000000"/>
          <w:kern w:val="0"/>
          <w:szCs w:val="32"/>
          <w:highlight w:val="none"/>
          <w:shd w:val="clear" w:color="auto" w:fill="FFFFFF"/>
          <w:lang w:val="zh-CN" w:eastAsia="zh-CN"/>
        </w:rPr>
        <w:t>。</w:t>
      </w:r>
      <w:r>
        <w:rPr>
          <w:rFonts w:hint="eastAsia" w:ascii="Times New Roman" w:hAnsi="Times New Roman" w:cs="Times New Roman"/>
          <w:color w:val="000000"/>
          <w:kern w:val="0"/>
          <w:szCs w:val="32"/>
          <w:highlight w:val="none"/>
          <w:shd w:val="clear" w:color="auto" w:fill="FFFFFF"/>
          <w:lang w:val="en-US" w:eastAsia="zh-CN"/>
        </w:rPr>
        <w:t>年底绩效目标已全部完成。</w:t>
      </w:r>
    </w:p>
    <w:p w14:paraId="292DAC28">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cs="Times New Roman"/>
          <w:color w:val="000000"/>
          <w:kern w:val="0"/>
          <w:szCs w:val="32"/>
          <w:highlight w:val="none"/>
          <w:shd w:val="clear" w:color="auto" w:fill="FFFFFF"/>
          <w:lang w:val="en-US" w:eastAsia="zh-CN"/>
        </w:rPr>
      </w:pPr>
      <w:r>
        <w:rPr>
          <w:rFonts w:hint="eastAsia" w:ascii="Times New Roman" w:hAnsi="Times New Roman" w:cs="Times New Roman"/>
          <w:color w:val="000000"/>
          <w:kern w:val="0"/>
          <w:szCs w:val="32"/>
          <w:highlight w:val="none"/>
          <w:shd w:val="clear" w:color="auto" w:fill="FFFFFF"/>
          <w:lang w:val="en-US" w:eastAsia="zh-CN"/>
        </w:rPr>
        <w:t>数量指标：职业培训目标人数1000</w:t>
      </w:r>
      <w:r>
        <w:rPr>
          <w:rFonts w:hint="eastAsia" w:cs="Times New Roman"/>
          <w:color w:val="000000"/>
          <w:kern w:val="0"/>
          <w:szCs w:val="32"/>
          <w:highlight w:val="none"/>
          <w:shd w:val="clear" w:color="auto" w:fill="FFFFFF"/>
          <w:lang w:val="en-US" w:eastAsia="zh-CN"/>
        </w:rPr>
        <w:t>人，就业见习全年目标人数20人，提供就业岗位数量1000个，全年拟转移劳动力赴浙江省桐乡市务工人数80人，为农民工提供服务次数98人，享受职业培训补贴人员数量1465人，转移劳动人口就业人数1000人，享受公益性岗位补贴人员数量102人。</w:t>
      </w:r>
    </w:p>
    <w:p w14:paraId="565C7900">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cs="Times New Roman"/>
          <w:color w:val="000000"/>
          <w:kern w:val="0"/>
          <w:szCs w:val="32"/>
          <w:highlight w:val="none"/>
          <w:shd w:val="clear" w:color="auto" w:fill="FFFFFF"/>
          <w:lang w:val="en-US" w:eastAsia="zh-CN"/>
        </w:rPr>
      </w:pPr>
      <w:r>
        <w:rPr>
          <w:rFonts w:hint="default" w:ascii="Times New Roman" w:hAnsi="Times New Roman" w:cs="Times New Roman"/>
          <w:color w:val="000000"/>
          <w:kern w:val="0"/>
          <w:szCs w:val="32"/>
          <w:highlight w:val="none"/>
          <w:shd w:val="clear" w:color="auto" w:fill="FFFFFF"/>
          <w:lang w:val="en-US" w:eastAsia="zh-CN"/>
        </w:rPr>
        <w:t>质量指标</w:t>
      </w:r>
      <w:r>
        <w:rPr>
          <w:rFonts w:hint="eastAsia" w:ascii="Times New Roman" w:hAnsi="Times New Roman" w:cs="Times New Roman"/>
          <w:color w:val="000000"/>
          <w:kern w:val="0"/>
          <w:szCs w:val="32"/>
          <w:highlight w:val="none"/>
          <w:shd w:val="clear" w:color="auto" w:fill="FFFFFF"/>
          <w:lang w:val="en-US" w:eastAsia="zh-CN"/>
        </w:rPr>
        <w:t>：本年度工作完成合格率</w:t>
      </w:r>
      <w:r>
        <w:rPr>
          <w:rFonts w:hint="eastAsia" w:cs="Times New Roman"/>
          <w:color w:val="000000"/>
          <w:kern w:val="0"/>
          <w:szCs w:val="32"/>
          <w:highlight w:val="none"/>
          <w:shd w:val="clear" w:color="auto" w:fill="FFFFFF"/>
          <w:lang w:val="en-US" w:eastAsia="zh-CN"/>
        </w:rPr>
        <w:t>95%，就业工作完成合格率95%，对口帮扶工作完成合格率95%。</w:t>
      </w:r>
    </w:p>
    <w:p w14:paraId="0138CB9F">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cs="Times New Roman"/>
          <w:color w:val="000000"/>
          <w:kern w:val="0"/>
          <w:szCs w:val="32"/>
          <w:highlight w:val="none"/>
          <w:shd w:val="clear" w:color="auto" w:fill="FFFFFF"/>
          <w:lang w:val="en-US" w:eastAsia="zh-CN"/>
        </w:rPr>
      </w:pPr>
      <w:r>
        <w:rPr>
          <w:rFonts w:hint="default" w:ascii="Times New Roman" w:hAnsi="Times New Roman" w:cs="Times New Roman"/>
          <w:color w:val="000000"/>
          <w:kern w:val="0"/>
          <w:szCs w:val="32"/>
          <w:highlight w:val="none"/>
          <w:shd w:val="clear" w:color="auto" w:fill="FFFFFF"/>
          <w:lang w:val="en-US" w:eastAsia="zh-CN"/>
        </w:rPr>
        <w:t>时效指标</w:t>
      </w:r>
      <w:r>
        <w:rPr>
          <w:rFonts w:hint="eastAsia" w:ascii="Times New Roman" w:hAnsi="Times New Roman" w:cs="Times New Roman"/>
          <w:color w:val="000000"/>
          <w:kern w:val="0"/>
          <w:szCs w:val="32"/>
          <w:highlight w:val="none"/>
          <w:shd w:val="clear" w:color="auto" w:fill="FFFFFF"/>
          <w:lang w:val="en-US" w:eastAsia="zh-CN"/>
        </w:rPr>
        <w:t>：项目完成及时率</w:t>
      </w:r>
      <w:r>
        <w:rPr>
          <w:rFonts w:hint="eastAsia" w:cs="Times New Roman"/>
          <w:color w:val="000000"/>
          <w:kern w:val="0"/>
          <w:szCs w:val="32"/>
          <w:highlight w:val="none"/>
          <w:shd w:val="clear" w:color="auto" w:fill="FFFFFF"/>
          <w:lang w:val="en-US" w:eastAsia="zh-CN"/>
        </w:rPr>
        <w:t>99%，补贴资金在规定时间内支付到位率98%，帮扶工作及时率98%。</w:t>
      </w:r>
    </w:p>
    <w:p w14:paraId="3ACA3861">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cs="Times New Roman"/>
          <w:color w:val="000000"/>
          <w:kern w:val="0"/>
          <w:szCs w:val="32"/>
          <w:highlight w:val="none"/>
          <w:shd w:val="clear" w:color="auto" w:fill="FFFFFF"/>
          <w:lang w:val="en-US" w:eastAsia="zh-CN"/>
        </w:rPr>
      </w:pPr>
      <w:r>
        <w:rPr>
          <w:rFonts w:hint="default" w:ascii="Times New Roman" w:hAnsi="Times New Roman" w:cs="Times New Roman"/>
          <w:color w:val="000000"/>
          <w:kern w:val="0"/>
          <w:szCs w:val="32"/>
          <w:highlight w:val="none"/>
          <w:shd w:val="clear" w:color="auto" w:fill="FFFFFF"/>
          <w:lang w:val="en-US" w:eastAsia="zh-CN"/>
        </w:rPr>
        <w:t>社会效益指标</w:t>
      </w:r>
      <w:r>
        <w:rPr>
          <w:rFonts w:hint="eastAsia" w:ascii="Times New Roman" w:hAnsi="Times New Roman" w:cs="Times New Roman"/>
          <w:color w:val="000000"/>
          <w:kern w:val="0"/>
          <w:szCs w:val="32"/>
          <w:highlight w:val="none"/>
          <w:shd w:val="clear" w:color="auto" w:fill="FFFFFF"/>
          <w:lang w:val="en-US" w:eastAsia="zh-CN"/>
        </w:rPr>
        <w:t>：零就业家庭帮扶率</w:t>
      </w:r>
      <w:r>
        <w:rPr>
          <w:rFonts w:hint="eastAsia" w:cs="Times New Roman"/>
          <w:color w:val="000000"/>
          <w:kern w:val="0"/>
          <w:szCs w:val="32"/>
          <w:highlight w:val="none"/>
          <w:shd w:val="clear" w:color="auto" w:fill="FFFFFF"/>
          <w:lang w:val="en-US" w:eastAsia="zh-CN"/>
        </w:rPr>
        <w:t>98%，提升工作人员幸福感、满足感</w:t>
      </w:r>
      <w:r>
        <w:rPr>
          <w:rFonts w:hint="eastAsia" w:ascii="Times New Roman" w:hAnsi="Times New Roman" w:cs="Times New Roman"/>
          <w:color w:val="000000"/>
          <w:kern w:val="0"/>
          <w:szCs w:val="32"/>
          <w:highlight w:val="none"/>
          <w:shd w:val="clear" w:color="auto" w:fill="FFFFFF"/>
          <w:lang w:val="en-US" w:eastAsia="zh-CN"/>
        </w:rPr>
        <w:t>。</w:t>
      </w:r>
    </w:p>
    <w:p w14:paraId="05C404AC">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cs="Times New Roman"/>
          <w:color w:val="000000"/>
          <w:kern w:val="0"/>
          <w:szCs w:val="32"/>
          <w:highlight w:val="none"/>
          <w:shd w:val="clear" w:color="auto" w:fill="FFFFFF"/>
          <w:lang w:val="en-US" w:eastAsia="zh-CN"/>
        </w:rPr>
      </w:pPr>
      <w:r>
        <w:rPr>
          <w:rFonts w:hint="default" w:ascii="Times New Roman" w:hAnsi="Times New Roman" w:cs="Times New Roman"/>
          <w:color w:val="000000"/>
          <w:kern w:val="0"/>
          <w:szCs w:val="32"/>
          <w:highlight w:val="none"/>
          <w:shd w:val="clear" w:color="auto" w:fill="FFFFFF"/>
          <w:lang w:val="en-US" w:eastAsia="zh-CN"/>
        </w:rPr>
        <w:t>可持续影响指标</w:t>
      </w:r>
      <w:r>
        <w:rPr>
          <w:rFonts w:hint="eastAsia" w:ascii="Times New Roman" w:hAnsi="Times New Roman" w:cs="Times New Roman"/>
          <w:color w:val="000000"/>
          <w:kern w:val="0"/>
          <w:szCs w:val="32"/>
          <w:highlight w:val="none"/>
          <w:shd w:val="clear" w:color="auto" w:fill="FFFFFF"/>
          <w:lang w:val="en-US" w:eastAsia="zh-CN"/>
        </w:rPr>
        <w:t>：政策影响率</w:t>
      </w:r>
      <w:r>
        <w:rPr>
          <w:rFonts w:hint="eastAsia" w:cs="Times New Roman"/>
          <w:color w:val="000000"/>
          <w:kern w:val="0"/>
          <w:szCs w:val="32"/>
          <w:highlight w:val="none"/>
          <w:shd w:val="clear" w:color="auto" w:fill="FFFFFF"/>
          <w:lang w:val="en-US" w:eastAsia="zh-CN"/>
        </w:rPr>
        <w:t>95%，政策影响率95%，帮扶工作政策知晓率95%</w:t>
      </w:r>
      <w:r>
        <w:rPr>
          <w:rFonts w:hint="eastAsia" w:ascii="Times New Roman" w:hAnsi="Times New Roman" w:cs="Times New Roman"/>
          <w:color w:val="000000"/>
          <w:kern w:val="0"/>
          <w:szCs w:val="32"/>
          <w:highlight w:val="none"/>
          <w:shd w:val="clear" w:color="auto" w:fill="FFFFFF"/>
          <w:lang w:val="en-US" w:eastAsia="zh-CN"/>
        </w:rPr>
        <w:t>。</w:t>
      </w:r>
    </w:p>
    <w:p w14:paraId="697FBE50">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cs="Times New Roman"/>
          <w:color w:val="000000"/>
          <w:kern w:val="0"/>
          <w:szCs w:val="32"/>
          <w:highlight w:val="none"/>
          <w:shd w:val="clear" w:color="auto" w:fill="FFFFFF"/>
          <w:lang w:val="en-US" w:eastAsia="zh-CN"/>
        </w:rPr>
      </w:pPr>
      <w:r>
        <w:rPr>
          <w:rFonts w:hint="default" w:ascii="Times New Roman" w:hAnsi="Times New Roman" w:cs="Times New Roman"/>
          <w:color w:val="000000"/>
          <w:kern w:val="0"/>
          <w:szCs w:val="32"/>
          <w:highlight w:val="none"/>
          <w:shd w:val="clear" w:color="auto" w:fill="FFFFFF"/>
          <w:lang w:val="en-US" w:eastAsia="zh-CN"/>
        </w:rPr>
        <w:t>满意度指标</w:t>
      </w:r>
      <w:r>
        <w:rPr>
          <w:rFonts w:hint="eastAsia" w:ascii="Times New Roman" w:hAnsi="Times New Roman" w:cs="Times New Roman"/>
          <w:color w:val="000000"/>
          <w:kern w:val="0"/>
          <w:szCs w:val="32"/>
          <w:highlight w:val="none"/>
          <w:shd w:val="clear" w:color="auto" w:fill="FFFFFF"/>
          <w:lang w:val="en-US" w:eastAsia="zh-CN"/>
        </w:rPr>
        <w:t>：服务对象满意度高。</w:t>
      </w:r>
    </w:p>
    <w:p w14:paraId="09A88098">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cs="Times New Roman"/>
          <w:color w:val="000000"/>
          <w:kern w:val="0"/>
          <w:szCs w:val="32"/>
          <w:highlight w:val="none"/>
          <w:shd w:val="clear" w:color="auto" w:fill="FFFFFF"/>
          <w:lang w:val="en-US" w:eastAsia="zh-CN"/>
        </w:rPr>
      </w:pPr>
      <w:r>
        <w:rPr>
          <w:rFonts w:hint="default" w:ascii="Times New Roman" w:hAnsi="Times New Roman" w:cs="Times New Roman"/>
          <w:color w:val="000000"/>
          <w:kern w:val="0"/>
          <w:szCs w:val="32"/>
          <w:highlight w:val="none"/>
          <w:shd w:val="clear" w:color="auto" w:fill="FFFFFF"/>
          <w:lang w:val="en-US" w:eastAsia="zh-CN"/>
        </w:rPr>
        <w:t>经济成本指标</w:t>
      </w:r>
      <w:r>
        <w:rPr>
          <w:rFonts w:hint="eastAsia" w:ascii="Times New Roman" w:hAnsi="Times New Roman" w:cs="Times New Roman"/>
          <w:color w:val="000000"/>
          <w:kern w:val="0"/>
          <w:szCs w:val="32"/>
          <w:highlight w:val="none"/>
          <w:shd w:val="clear" w:color="auto" w:fill="FFFFFF"/>
          <w:lang w:val="en-US" w:eastAsia="zh-CN"/>
        </w:rPr>
        <w:t>：成本控制有效性总支出不超预算成本</w:t>
      </w:r>
    </w:p>
    <w:p w14:paraId="4CC3967F">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cs="Times New Roman"/>
          <w:color w:val="000000"/>
          <w:kern w:val="0"/>
          <w:szCs w:val="32"/>
          <w:highlight w:val="none"/>
          <w:shd w:val="clear" w:color="auto" w:fill="FFFFFF"/>
          <w:lang w:val="zh-CN" w:eastAsia="zh-CN"/>
        </w:rPr>
      </w:pPr>
      <w:r>
        <w:rPr>
          <w:rFonts w:hint="eastAsia" w:ascii="Times New Roman" w:hAnsi="Times New Roman" w:cs="Times New Roman"/>
          <w:color w:val="000000"/>
          <w:kern w:val="0"/>
          <w:szCs w:val="32"/>
          <w:highlight w:val="none"/>
          <w:shd w:val="clear" w:color="auto" w:fill="FFFFFF"/>
          <w:lang w:val="zh-CN"/>
        </w:rPr>
        <w:t>部门履职情况进行绩效分析</w:t>
      </w:r>
      <w:r>
        <w:rPr>
          <w:rFonts w:hint="eastAsia" w:ascii="Times New Roman" w:hAnsi="Times New Roman" w:cs="Times New Roman"/>
          <w:color w:val="000000"/>
          <w:kern w:val="0"/>
          <w:szCs w:val="32"/>
          <w:highlight w:val="none"/>
          <w:shd w:val="clear" w:color="auto" w:fill="FFFFFF"/>
          <w:lang w:val="zh-CN" w:eastAsia="zh-CN"/>
        </w:rPr>
        <w:t>：</w:t>
      </w:r>
    </w:p>
    <w:p w14:paraId="153FC495">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cs="Times New Roman"/>
          <w:color w:val="000000"/>
          <w:kern w:val="0"/>
          <w:szCs w:val="32"/>
          <w:highlight w:val="none"/>
          <w:shd w:val="clear" w:color="auto" w:fill="FFFFFF"/>
          <w:lang w:val="en-US" w:eastAsia="zh-CN"/>
        </w:rPr>
      </w:pPr>
      <w:r>
        <w:rPr>
          <w:rFonts w:hint="eastAsia" w:ascii="Times New Roman" w:hAnsi="Times New Roman" w:cs="Times New Roman"/>
          <w:color w:val="000000"/>
          <w:kern w:val="0"/>
          <w:szCs w:val="32"/>
          <w:highlight w:val="none"/>
          <w:shd w:val="clear" w:color="auto" w:fill="FFFFFF"/>
          <w:lang w:val="en-US" w:eastAsia="zh-CN"/>
        </w:rPr>
        <w:t>2023我单位修订完善了《绩效管理规定》，对预算绩效评价管理的工作流程、工作规范、管理职责分工、绩效管理各环节工作内容、结果应用等内容进行了明确，绩效管理制度基本健全。按照2023年</w:t>
      </w:r>
      <w:r>
        <w:rPr>
          <w:rFonts w:hint="eastAsia" w:cs="Times New Roman"/>
          <w:color w:val="000000"/>
          <w:kern w:val="0"/>
          <w:szCs w:val="32"/>
          <w:highlight w:val="none"/>
          <w:shd w:val="clear" w:color="auto" w:fill="FFFFFF"/>
          <w:lang w:val="en-US" w:eastAsia="zh-CN"/>
        </w:rPr>
        <w:t>县财政局</w:t>
      </w:r>
      <w:r>
        <w:rPr>
          <w:rFonts w:hint="eastAsia" w:ascii="Times New Roman" w:hAnsi="Times New Roman" w:cs="Times New Roman"/>
          <w:color w:val="000000"/>
          <w:kern w:val="0"/>
          <w:szCs w:val="32"/>
          <w:highlight w:val="none"/>
          <w:shd w:val="clear" w:color="auto" w:fill="FFFFFF"/>
          <w:lang w:val="en-US" w:eastAsia="zh-CN"/>
        </w:rPr>
        <w:t>有关绩效管理的要求填报了部门整体支出和各项目的绩效目标，并进行了2023年部门整体支出绩效评价自评，对全部部门项目进行绩效管理，实施了项目绩效目标填报、绩效过程监控、绩效自评工作，其编制的部门整体支出绩效自评报告或项目自评表反映数据较为准确。</w:t>
      </w:r>
    </w:p>
    <w:p w14:paraId="670849CC">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楷体_GB2312" w:hAnsi="楷体_GB2312" w:eastAsia="楷体_GB2312" w:cs="楷体_GB2312"/>
          <w:color w:val="000000"/>
          <w:kern w:val="0"/>
          <w:szCs w:val="32"/>
          <w:highlight w:val="none"/>
          <w:shd w:val="clear" w:color="auto" w:fill="FFFFFF"/>
          <w:lang w:val="zh-CN"/>
        </w:rPr>
      </w:pPr>
      <w:r>
        <w:rPr>
          <w:rFonts w:hint="eastAsia" w:ascii="楷体_GB2312" w:hAnsi="楷体_GB2312" w:eastAsia="楷体_GB2312" w:cs="楷体_GB2312"/>
          <w:color w:val="000000"/>
          <w:kern w:val="0"/>
          <w:szCs w:val="32"/>
          <w:highlight w:val="none"/>
          <w:shd w:val="clear" w:color="auto" w:fill="FFFFFF"/>
          <w:lang w:val="en-US" w:eastAsia="zh-CN"/>
        </w:rPr>
        <w:t>2.</w:t>
      </w:r>
      <w:r>
        <w:rPr>
          <w:rFonts w:hint="default" w:ascii="楷体_GB2312" w:hAnsi="楷体_GB2312" w:eastAsia="楷体_GB2312" w:cs="楷体_GB2312"/>
          <w:color w:val="000000"/>
          <w:kern w:val="0"/>
          <w:szCs w:val="32"/>
          <w:highlight w:val="none"/>
          <w:shd w:val="clear" w:color="auto" w:fill="FFFFFF"/>
          <w:lang w:val="zh-CN"/>
        </w:rPr>
        <w:t>预算管理</w:t>
      </w:r>
      <w:r>
        <w:rPr>
          <w:rFonts w:hint="eastAsia" w:ascii="楷体_GB2312" w:hAnsi="楷体_GB2312" w:eastAsia="楷体_GB2312" w:cs="楷体_GB2312"/>
          <w:color w:val="000000"/>
          <w:kern w:val="0"/>
          <w:szCs w:val="32"/>
          <w:highlight w:val="none"/>
          <w:shd w:val="clear" w:color="auto" w:fill="FFFFFF"/>
          <w:lang w:val="zh-CN"/>
        </w:rPr>
        <w:t>。</w:t>
      </w:r>
    </w:p>
    <w:p w14:paraId="6082F2DF">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cs="Times New Roman"/>
          <w:color w:val="000000"/>
          <w:kern w:val="0"/>
          <w:szCs w:val="32"/>
          <w:highlight w:val="none"/>
          <w:shd w:val="clear" w:color="auto" w:fill="FFFFFF"/>
          <w:lang w:val="en-US" w:eastAsia="zh-CN"/>
        </w:rPr>
      </w:pPr>
      <w:r>
        <w:rPr>
          <w:rFonts w:hint="eastAsia" w:ascii="Times New Roman" w:hAnsi="Times New Roman" w:cs="Times New Roman"/>
          <w:color w:val="000000"/>
          <w:kern w:val="0"/>
          <w:szCs w:val="32"/>
          <w:highlight w:val="none"/>
          <w:shd w:val="clear" w:color="auto" w:fill="FFFFFF"/>
          <w:lang w:val="en-US" w:eastAsia="zh-CN"/>
        </w:rPr>
        <w:t>为加强预算管理，推进厉行节约、规范财务行为，2023年松潘县公共就业和人才交流服务中心修订完善了《松潘县公共就业和人才交流服务中心预算管理规定》，对预算编制、预算编制责任分工、预算执行及分析、预算调整、决算编制、预算绩效管理等内容作出了明确规定，预算管理制度健全。由党组会确定预算年度重点工作任务，并将任务分解到各</w:t>
      </w:r>
      <w:r>
        <w:rPr>
          <w:rFonts w:hint="eastAsia" w:cs="Times New Roman"/>
          <w:color w:val="000000"/>
          <w:kern w:val="0"/>
          <w:szCs w:val="32"/>
          <w:highlight w:val="none"/>
          <w:shd w:val="clear" w:color="auto" w:fill="FFFFFF"/>
          <w:lang w:val="en-US" w:eastAsia="zh-CN"/>
        </w:rPr>
        <w:t>股室</w:t>
      </w:r>
      <w:r>
        <w:rPr>
          <w:rFonts w:hint="eastAsia" w:ascii="Times New Roman" w:hAnsi="Times New Roman" w:cs="Times New Roman"/>
          <w:color w:val="000000"/>
          <w:kern w:val="0"/>
          <w:szCs w:val="32"/>
          <w:highlight w:val="none"/>
          <w:shd w:val="clear" w:color="auto" w:fill="FFFFFF"/>
          <w:lang w:val="en-US" w:eastAsia="zh-CN"/>
        </w:rPr>
        <w:t>，业务根据下达的工作任务提出预算项目经费需求，财务汇总预算数据，报局党组会审议后，形成当年部门预算。</w:t>
      </w:r>
    </w:p>
    <w:p w14:paraId="525856A9">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cs="Times New Roman"/>
          <w:color w:val="000000"/>
          <w:kern w:val="0"/>
          <w:szCs w:val="32"/>
          <w:highlight w:val="none"/>
          <w:shd w:val="clear" w:color="auto" w:fill="FFFFFF"/>
          <w:lang w:val="en-US" w:eastAsia="zh-CN"/>
        </w:rPr>
      </w:pPr>
      <w:r>
        <w:rPr>
          <w:rFonts w:hint="eastAsia" w:ascii="Times New Roman" w:hAnsi="Times New Roman" w:cs="Times New Roman"/>
          <w:color w:val="000000"/>
          <w:kern w:val="0"/>
          <w:szCs w:val="32"/>
          <w:highlight w:val="none"/>
          <w:shd w:val="clear" w:color="auto" w:fill="FFFFFF"/>
          <w:lang w:val="en-US" w:eastAsia="zh-CN"/>
        </w:rPr>
        <w:t>松潘县公共就业和人才交流服务中心在预算编制时基本按照相关预算编制文件要求编制单位2023年部门预算，落实了人员经费支出定员定额管理控制的要求，亦编制了部门整体支出绩效目标和部门项目绩效目标。</w:t>
      </w:r>
    </w:p>
    <w:p w14:paraId="230C2619">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cs="Times New Roman"/>
          <w:color w:val="000000"/>
          <w:kern w:val="0"/>
          <w:szCs w:val="32"/>
          <w:highlight w:val="none"/>
          <w:shd w:val="clear" w:color="auto" w:fill="FFFFFF"/>
          <w:lang w:val="en-US" w:eastAsia="zh-CN"/>
        </w:rPr>
      </w:pPr>
      <w:r>
        <w:rPr>
          <w:rFonts w:hint="eastAsia" w:ascii="Times New Roman" w:hAnsi="Times New Roman" w:cs="Times New Roman"/>
          <w:color w:val="000000"/>
          <w:kern w:val="0"/>
          <w:szCs w:val="32"/>
          <w:highlight w:val="none"/>
          <w:shd w:val="clear" w:color="auto" w:fill="FFFFFF"/>
          <w:lang w:val="en-US" w:eastAsia="zh-CN"/>
        </w:rPr>
        <w:t>经查阅预算编制相关资料，部门按当年重点工作任务对预算资金进行分解安排，但在预算测算过程还不够细化，只按分项罗列了预算金额，未具体测算到数量、单价等明细内容；在预算执行方面，预算执行监控到位，发现预算执行存在困难，及时进行了预算调整，年度预算执行进度较好。总体来看松潘县公共就业和人才交流服务中心在预算编制、预算执行、项目库管理等方面比较规范。</w:t>
      </w:r>
    </w:p>
    <w:p w14:paraId="32484956">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cs="Times New Roman"/>
          <w:color w:val="000000"/>
          <w:kern w:val="0"/>
          <w:szCs w:val="32"/>
          <w:highlight w:val="none"/>
          <w:shd w:val="clear" w:color="auto" w:fill="FFFFFF"/>
          <w:lang w:val="zh-CN"/>
        </w:rPr>
      </w:pPr>
      <w:r>
        <w:rPr>
          <w:rFonts w:hint="eastAsia" w:ascii="楷体_GB2312" w:hAnsi="楷体_GB2312" w:eastAsia="楷体_GB2312" w:cs="楷体_GB2312"/>
          <w:color w:val="000000"/>
          <w:kern w:val="0"/>
          <w:szCs w:val="32"/>
          <w:highlight w:val="none"/>
          <w:shd w:val="clear" w:color="auto" w:fill="FFFFFF"/>
          <w:lang w:val="en-US" w:eastAsia="zh-CN"/>
        </w:rPr>
        <w:t>3.</w:t>
      </w:r>
      <w:r>
        <w:rPr>
          <w:rFonts w:hint="default" w:ascii="楷体_GB2312" w:hAnsi="楷体_GB2312" w:eastAsia="楷体_GB2312" w:cs="楷体_GB2312"/>
          <w:color w:val="000000"/>
          <w:kern w:val="0"/>
          <w:szCs w:val="32"/>
          <w:highlight w:val="none"/>
          <w:shd w:val="clear" w:color="auto" w:fill="FFFFFF"/>
          <w:lang w:val="zh-CN"/>
        </w:rPr>
        <w:t>财务管理</w:t>
      </w:r>
      <w:r>
        <w:rPr>
          <w:rFonts w:hint="eastAsia" w:ascii="楷体_GB2312" w:hAnsi="楷体_GB2312" w:eastAsia="楷体_GB2312" w:cs="楷体_GB2312"/>
          <w:color w:val="000000"/>
          <w:kern w:val="0"/>
          <w:szCs w:val="32"/>
          <w:highlight w:val="none"/>
          <w:shd w:val="clear" w:color="auto" w:fill="FFFFFF"/>
          <w:lang w:val="zh-CN"/>
        </w:rPr>
        <w:t>。</w:t>
      </w:r>
    </w:p>
    <w:p w14:paraId="1FBC29DC">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cs="Times New Roman"/>
          <w:color w:val="000000"/>
          <w:kern w:val="0"/>
          <w:szCs w:val="32"/>
          <w:highlight w:val="none"/>
          <w:shd w:val="clear" w:color="auto" w:fill="FFFFFF"/>
          <w:lang w:val="en-US" w:eastAsia="zh-CN"/>
        </w:rPr>
      </w:pPr>
      <w:r>
        <w:rPr>
          <w:rFonts w:hint="eastAsia" w:ascii="Times New Roman" w:hAnsi="Times New Roman" w:cs="Times New Roman"/>
          <w:color w:val="000000"/>
          <w:kern w:val="0"/>
          <w:szCs w:val="32"/>
          <w:highlight w:val="none"/>
          <w:shd w:val="clear" w:color="auto" w:fill="FFFFFF"/>
          <w:lang w:val="zh-CN"/>
        </w:rPr>
        <w:t>松潘县公共就业和人才交流服务中心2023年修订了《制度汇编》，对“三重一大”事项决策、预算管理、收入管理、支出管理、报销管理、会计档案管理、“三公经费”支出、合同管理等方面的管理程序进行了明确。各科室根据下年度业务工作计划安排，结合编制口径要求，会同财务科平衡汇总后完成预算的具体编制，单位负责人审定后报市</w:t>
      </w:r>
      <w:r>
        <w:rPr>
          <w:rFonts w:hint="eastAsia" w:cs="Times New Roman"/>
          <w:color w:val="000000"/>
          <w:kern w:val="0"/>
          <w:szCs w:val="32"/>
          <w:highlight w:val="none"/>
          <w:shd w:val="clear" w:color="auto" w:fill="FFFFFF"/>
          <w:lang w:val="zh-CN"/>
        </w:rPr>
        <w:t>松潘县</w:t>
      </w:r>
      <w:r>
        <w:rPr>
          <w:rFonts w:hint="eastAsia" w:ascii="Times New Roman" w:hAnsi="Times New Roman" w:cs="Times New Roman"/>
          <w:color w:val="000000"/>
          <w:kern w:val="0"/>
          <w:szCs w:val="32"/>
          <w:highlight w:val="none"/>
          <w:shd w:val="clear" w:color="auto" w:fill="FFFFFF"/>
          <w:lang w:val="zh-CN"/>
        </w:rPr>
        <w:t>财政处归口编制。专项资金年度支出编制：松潘县公共就业和人才交流服务中心在取得财政经费预算批复通知后，在额度范围内编制。追加预算编制的审定：涉及单位追加预算的项目，由归口部门会同松潘县公共就业和人才交流服务中心拟制预算报告，报单位负责人审定后，按相关程序向</w:t>
      </w:r>
      <w:r>
        <w:rPr>
          <w:rFonts w:hint="eastAsia" w:cs="Times New Roman"/>
          <w:color w:val="000000"/>
          <w:kern w:val="0"/>
          <w:szCs w:val="32"/>
          <w:highlight w:val="none"/>
          <w:shd w:val="clear" w:color="auto" w:fill="FFFFFF"/>
          <w:lang w:val="zh-CN"/>
        </w:rPr>
        <w:t>松潘县</w:t>
      </w:r>
      <w:r>
        <w:rPr>
          <w:rFonts w:hint="eastAsia" w:ascii="Times New Roman" w:hAnsi="Times New Roman" w:cs="Times New Roman"/>
          <w:color w:val="000000"/>
          <w:kern w:val="0"/>
          <w:szCs w:val="32"/>
          <w:highlight w:val="none"/>
          <w:shd w:val="clear" w:color="auto" w:fill="FFFFFF"/>
          <w:lang w:val="zh-CN"/>
        </w:rPr>
        <w:t>财政局或经费对口部门报批。</w:t>
      </w:r>
      <w:r>
        <w:rPr>
          <w:rFonts w:hint="eastAsia" w:ascii="Times New Roman" w:hAnsi="Times New Roman" w:cs="Times New Roman"/>
          <w:color w:val="000000"/>
          <w:kern w:val="0"/>
          <w:szCs w:val="32"/>
          <w:highlight w:val="none"/>
          <w:shd w:val="clear" w:color="auto" w:fill="FFFFFF"/>
          <w:lang w:val="en-US" w:eastAsia="zh-CN"/>
        </w:rPr>
        <w:t>2023年</w:t>
      </w:r>
      <w:r>
        <w:rPr>
          <w:rFonts w:hint="eastAsia" w:ascii="Times New Roman" w:hAnsi="Times New Roman" w:cs="Times New Roman"/>
          <w:color w:val="000000"/>
          <w:kern w:val="0"/>
          <w:szCs w:val="32"/>
          <w:highlight w:val="none"/>
          <w:shd w:val="clear" w:color="auto" w:fill="FFFFFF"/>
          <w:lang w:val="zh-CN"/>
        </w:rPr>
        <w:t>“三公”经费</w:t>
      </w:r>
      <w:r>
        <w:rPr>
          <w:rFonts w:hint="eastAsia" w:ascii="Times New Roman" w:hAnsi="Times New Roman" w:cs="Times New Roman"/>
          <w:color w:val="000000"/>
          <w:kern w:val="0"/>
          <w:szCs w:val="32"/>
          <w:highlight w:val="none"/>
          <w:shd w:val="clear" w:color="auto" w:fill="FFFFFF"/>
          <w:lang w:val="en-US" w:eastAsia="zh-CN"/>
        </w:rPr>
        <w:t>1.68万元，较上年增加0.1万元，增加0.57%，主要原因是公车运行维护费增加。</w:t>
      </w:r>
    </w:p>
    <w:p w14:paraId="67CDC215">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楷体_GB2312" w:hAnsi="楷体_GB2312" w:eastAsia="楷体_GB2312" w:cs="楷体_GB2312"/>
          <w:color w:val="000000"/>
          <w:kern w:val="0"/>
          <w:szCs w:val="32"/>
          <w:highlight w:val="none"/>
          <w:shd w:val="clear" w:color="auto" w:fill="FFFFFF"/>
          <w:lang w:val="zh-CN"/>
        </w:rPr>
      </w:pPr>
      <w:r>
        <w:rPr>
          <w:rFonts w:hint="eastAsia" w:ascii="楷体_GB2312" w:hAnsi="楷体_GB2312" w:eastAsia="楷体_GB2312" w:cs="楷体_GB2312"/>
          <w:color w:val="000000"/>
          <w:kern w:val="0"/>
          <w:szCs w:val="32"/>
          <w:highlight w:val="none"/>
          <w:shd w:val="clear" w:color="auto" w:fill="FFFFFF"/>
          <w:lang w:val="en-US" w:eastAsia="zh-CN"/>
        </w:rPr>
        <w:t>4.</w:t>
      </w:r>
      <w:r>
        <w:rPr>
          <w:rFonts w:hint="default" w:ascii="楷体_GB2312" w:hAnsi="楷体_GB2312" w:eastAsia="楷体_GB2312" w:cs="楷体_GB2312"/>
          <w:color w:val="000000"/>
          <w:kern w:val="0"/>
          <w:szCs w:val="32"/>
          <w:highlight w:val="none"/>
          <w:shd w:val="clear" w:color="auto" w:fill="FFFFFF"/>
          <w:lang w:val="zh-CN"/>
        </w:rPr>
        <w:t>资产管理</w:t>
      </w:r>
      <w:r>
        <w:rPr>
          <w:rFonts w:hint="eastAsia" w:ascii="楷体_GB2312" w:hAnsi="楷体_GB2312" w:eastAsia="楷体_GB2312" w:cs="楷体_GB2312"/>
          <w:color w:val="000000"/>
          <w:kern w:val="0"/>
          <w:szCs w:val="32"/>
          <w:highlight w:val="none"/>
          <w:shd w:val="clear" w:color="auto" w:fill="FFFFFF"/>
          <w:lang w:val="zh-CN"/>
        </w:rPr>
        <w:t>。</w:t>
      </w:r>
    </w:p>
    <w:p w14:paraId="119B2D85">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cs="Times New Roman"/>
          <w:color w:val="000000"/>
          <w:kern w:val="0"/>
          <w:szCs w:val="32"/>
          <w:highlight w:val="none"/>
          <w:shd w:val="clear" w:color="auto" w:fill="FFFFFF"/>
          <w:lang w:val="zh-CN" w:eastAsia="zh-CN"/>
        </w:rPr>
      </w:pPr>
      <w:r>
        <w:rPr>
          <w:rFonts w:hint="eastAsia" w:cs="Times New Roman"/>
          <w:color w:val="000000"/>
          <w:kern w:val="0"/>
          <w:szCs w:val="32"/>
          <w:highlight w:val="none"/>
          <w:shd w:val="clear" w:color="auto" w:fill="FFFFFF"/>
          <w:lang w:val="zh-CN" w:eastAsia="zh-CN"/>
        </w:rPr>
        <w:t>松潘县公共就业和人才交流服务中心</w:t>
      </w:r>
      <w:r>
        <w:rPr>
          <w:rFonts w:hint="eastAsia" w:ascii="Times New Roman" w:hAnsi="Times New Roman" w:cs="Times New Roman"/>
          <w:color w:val="000000"/>
          <w:kern w:val="0"/>
          <w:szCs w:val="32"/>
          <w:highlight w:val="none"/>
          <w:shd w:val="clear" w:color="auto" w:fill="FFFFFF"/>
          <w:lang w:val="zh-CN" w:eastAsia="zh-CN"/>
        </w:rPr>
        <w:t>制定了《资产管理制度》，对单位资产配置管理、资产使用管理、资产处置管理、资产财务管理等方面进行了规定，但未制定无形资产管理制度及资产维修维护管理规定。</w:t>
      </w:r>
      <w:r>
        <w:rPr>
          <w:rFonts w:hint="eastAsia" w:cs="Times New Roman"/>
          <w:color w:val="000000"/>
          <w:kern w:val="0"/>
          <w:szCs w:val="32"/>
          <w:highlight w:val="none"/>
          <w:shd w:val="clear" w:color="auto" w:fill="FFFFFF"/>
          <w:lang w:val="zh-CN" w:eastAsia="zh-CN"/>
        </w:rPr>
        <w:t>松潘县公共就业和人才交流服务中心</w:t>
      </w:r>
      <w:r>
        <w:rPr>
          <w:rFonts w:hint="eastAsia" w:ascii="Times New Roman" w:hAnsi="Times New Roman" w:cs="Times New Roman"/>
          <w:color w:val="000000"/>
          <w:kern w:val="0"/>
          <w:szCs w:val="32"/>
          <w:highlight w:val="none"/>
          <w:shd w:val="clear" w:color="auto" w:fill="FFFFFF"/>
          <w:lang w:val="zh-CN" w:eastAsia="zh-CN"/>
        </w:rPr>
        <w:t>基本按照上述管理制度实施了资产采购和日常管理。2023年</w:t>
      </w:r>
      <w:r>
        <w:rPr>
          <w:rFonts w:hint="eastAsia" w:cs="Times New Roman"/>
          <w:color w:val="000000"/>
          <w:kern w:val="0"/>
          <w:szCs w:val="32"/>
          <w:highlight w:val="none"/>
          <w:shd w:val="clear" w:color="auto" w:fill="FFFFFF"/>
          <w:lang w:val="zh-CN" w:eastAsia="zh-CN"/>
        </w:rPr>
        <w:t>松潘县公共就业和人才交流服务中心</w:t>
      </w:r>
      <w:r>
        <w:rPr>
          <w:rFonts w:hint="eastAsia" w:ascii="Times New Roman" w:hAnsi="Times New Roman" w:cs="Times New Roman"/>
          <w:color w:val="000000"/>
          <w:kern w:val="0"/>
          <w:szCs w:val="32"/>
          <w:highlight w:val="none"/>
          <w:shd w:val="clear" w:color="auto" w:fill="FFFFFF"/>
          <w:lang w:val="zh-CN" w:eastAsia="zh-CN"/>
        </w:rPr>
        <w:t>固定资产价值</w:t>
      </w:r>
      <w:r>
        <w:rPr>
          <w:rFonts w:hint="eastAsia" w:cs="Times New Roman"/>
          <w:color w:val="000000"/>
          <w:kern w:val="0"/>
          <w:szCs w:val="32"/>
          <w:highlight w:val="none"/>
          <w:shd w:val="clear" w:color="auto" w:fill="FFFFFF"/>
          <w:lang w:val="zh-CN" w:eastAsia="zh-CN"/>
        </w:rPr>
        <w:t>85.19</w:t>
      </w:r>
      <w:r>
        <w:rPr>
          <w:rFonts w:hint="eastAsia" w:ascii="Times New Roman" w:hAnsi="Times New Roman" w:cs="Times New Roman"/>
          <w:color w:val="000000"/>
          <w:kern w:val="0"/>
          <w:szCs w:val="32"/>
          <w:highlight w:val="none"/>
          <w:shd w:val="clear" w:color="auto" w:fill="FFFFFF"/>
          <w:lang w:val="zh-CN" w:eastAsia="zh-CN"/>
        </w:rPr>
        <w:t>万元</w:t>
      </w:r>
      <w:r>
        <w:rPr>
          <w:rFonts w:hint="eastAsia" w:cs="Times New Roman"/>
          <w:color w:val="000000"/>
          <w:kern w:val="0"/>
          <w:szCs w:val="32"/>
          <w:highlight w:val="none"/>
          <w:shd w:val="clear" w:color="auto" w:fill="FFFFFF"/>
          <w:lang w:val="zh-CN" w:eastAsia="zh-CN"/>
        </w:rPr>
        <w:t>，</w:t>
      </w:r>
      <w:r>
        <w:rPr>
          <w:rFonts w:hint="eastAsia" w:ascii="Times New Roman" w:hAnsi="Times New Roman" w:cs="Times New Roman"/>
          <w:color w:val="000000"/>
          <w:kern w:val="0"/>
          <w:szCs w:val="32"/>
          <w:highlight w:val="none"/>
          <w:shd w:val="clear" w:color="auto" w:fill="FFFFFF"/>
          <w:lang w:val="zh-CN" w:eastAsia="zh-CN"/>
        </w:rPr>
        <w:t>通用设备</w:t>
      </w:r>
      <w:r>
        <w:rPr>
          <w:rFonts w:hint="eastAsia" w:cs="Times New Roman"/>
          <w:color w:val="000000"/>
          <w:kern w:val="0"/>
          <w:szCs w:val="32"/>
          <w:highlight w:val="none"/>
          <w:shd w:val="clear" w:color="auto" w:fill="FFFFFF"/>
          <w:lang w:val="zh-CN" w:eastAsia="zh-CN"/>
        </w:rPr>
        <w:t>85.19</w:t>
      </w:r>
      <w:r>
        <w:rPr>
          <w:rFonts w:hint="eastAsia" w:ascii="Times New Roman" w:hAnsi="Times New Roman" w:cs="Times New Roman"/>
          <w:color w:val="000000"/>
          <w:kern w:val="0"/>
          <w:szCs w:val="32"/>
          <w:highlight w:val="none"/>
          <w:shd w:val="clear" w:color="auto" w:fill="FFFFFF"/>
          <w:lang w:val="zh-CN" w:eastAsia="zh-CN"/>
        </w:rPr>
        <w:t>万元，</w:t>
      </w:r>
      <w:r>
        <w:rPr>
          <w:rFonts w:hint="eastAsia" w:ascii="Times New Roman" w:hAnsi="Times New Roman" w:cs="Times New Roman"/>
          <w:color w:val="000000"/>
          <w:kern w:val="0"/>
          <w:szCs w:val="32"/>
          <w:highlight w:val="none"/>
          <w:shd w:val="clear" w:color="auto" w:fill="FFFFFF"/>
          <w:lang w:val="en-US" w:eastAsia="zh-CN"/>
        </w:rPr>
        <w:t>其中</w:t>
      </w:r>
      <w:r>
        <w:rPr>
          <w:rFonts w:hint="eastAsia" w:ascii="Times New Roman" w:hAnsi="Times New Roman" w:cs="Times New Roman"/>
          <w:color w:val="000000"/>
          <w:kern w:val="0"/>
          <w:szCs w:val="32"/>
          <w:highlight w:val="none"/>
          <w:shd w:val="clear" w:color="auto" w:fill="FFFFFF"/>
          <w:lang w:val="zh-CN" w:eastAsia="zh-CN"/>
        </w:rPr>
        <w:t>车辆</w:t>
      </w:r>
      <w:r>
        <w:rPr>
          <w:rFonts w:hint="eastAsia" w:cs="Times New Roman"/>
          <w:color w:val="000000"/>
          <w:kern w:val="0"/>
          <w:szCs w:val="32"/>
          <w:highlight w:val="none"/>
          <w:shd w:val="clear" w:color="auto" w:fill="FFFFFF"/>
          <w:lang w:val="en-US" w:eastAsia="zh-CN"/>
        </w:rPr>
        <w:t>21.78万元</w:t>
      </w:r>
      <w:r>
        <w:rPr>
          <w:rFonts w:hint="eastAsia" w:ascii="Times New Roman" w:hAnsi="Times New Roman" w:cs="Times New Roman"/>
          <w:color w:val="000000"/>
          <w:kern w:val="0"/>
          <w:szCs w:val="32"/>
          <w:highlight w:val="none"/>
          <w:shd w:val="clear" w:color="auto" w:fill="FFFFFF"/>
          <w:lang w:val="zh-CN" w:eastAsia="zh-CN"/>
        </w:rPr>
        <w:t>，固定资产累计折旧</w:t>
      </w:r>
      <w:r>
        <w:rPr>
          <w:rFonts w:hint="eastAsia" w:cs="Times New Roman"/>
          <w:color w:val="000000"/>
          <w:kern w:val="0"/>
          <w:szCs w:val="32"/>
          <w:highlight w:val="none"/>
          <w:shd w:val="clear" w:color="auto" w:fill="FFFFFF"/>
          <w:lang w:val="en-US" w:eastAsia="zh-CN"/>
        </w:rPr>
        <w:t>51.42</w:t>
      </w:r>
      <w:r>
        <w:rPr>
          <w:rFonts w:hint="eastAsia" w:ascii="Times New Roman" w:hAnsi="Times New Roman" w:cs="Times New Roman"/>
          <w:color w:val="000000"/>
          <w:kern w:val="0"/>
          <w:szCs w:val="32"/>
          <w:highlight w:val="none"/>
          <w:shd w:val="clear" w:color="auto" w:fill="FFFFFF"/>
          <w:lang w:val="zh-CN" w:eastAsia="zh-CN"/>
        </w:rPr>
        <w:t>万元</w:t>
      </w:r>
      <w:r>
        <w:rPr>
          <w:rFonts w:hint="eastAsia" w:cs="Times New Roman"/>
          <w:color w:val="000000"/>
          <w:kern w:val="0"/>
          <w:szCs w:val="32"/>
          <w:highlight w:val="none"/>
          <w:shd w:val="clear" w:color="auto" w:fill="FFFFFF"/>
          <w:lang w:val="zh-CN" w:eastAsia="zh-CN"/>
        </w:rPr>
        <w:t>。</w:t>
      </w:r>
      <w:r>
        <w:rPr>
          <w:rFonts w:hint="eastAsia" w:ascii="Times New Roman" w:hAnsi="Times New Roman" w:cs="Times New Roman"/>
          <w:color w:val="000000"/>
          <w:kern w:val="0"/>
          <w:szCs w:val="32"/>
          <w:highlight w:val="none"/>
          <w:shd w:val="clear" w:color="auto" w:fill="FFFFFF"/>
          <w:lang w:val="zh-CN" w:eastAsia="zh-CN"/>
        </w:rPr>
        <w:t>固定资产全部为在用状态。</w:t>
      </w:r>
    </w:p>
    <w:p w14:paraId="6C3369B3">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楷体_GB2312" w:hAnsi="楷体_GB2312" w:eastAsia="楷体_GB2312" w:cs="楷体_GB2312"/>
          <w:color w:val="000000"/>
          <w:kern w:val="0"/>
          <w:szCs w:val="32"/>
          <w:highlight w:val="none"/>
          <w:shd w:val="clear" w:color="auto" w:fill="FFFFFF"/>
          <w:lang w:val="zh-CN"/>
        </w:rPr>
      </w:pPr>
      <w:r>
        <w:rPr>
          <w:rFonts w:hint="eastAsia" w:ascii="楷体_GB2312" w:hAnsi="楷体_GB2312" w:eastAsia="楷体_GB2312" w:cs="楷体_GB2312"/>
          <w:color w:val="000000"/>
          <w:kern w:val="0"/>
          <w:szCs w:val="32"/>
          <w:highlight w:val="none"/>
          <w:shd w:val="clear" w:color="auto" w:fill="FFFFFF"/>
          <w:lang w:val="en-US" w:eastAsia="zh-CN"/>
        </w:rPr>
        <w:t>5.</w:t>
      </w:r>
      <w:r>
        <w:rPr>
          <w:rFonts w:hint="default" w:ascii="楷体_GB2312" w:hAnsi="楷体_GB2312" w:eastAsia="楷体_GB2312" w:cs="楷体_GB2312"/>
          <w:color w:val="000000"/>
          <w:kern w:val="0"/>
          <w:szCs w:val="32"/>
          <w:highlight w:val="none"/>
          <w:shd w:val="clear" w:color="auto" w:fill="FFFFFF"/>
          <w:lang w:val="zh-CN"/>
        </w:rPr>
        <w:t>采购管理</w:t>
      </w:r>
      <w:r>
        <w:rPr>
          <w:rFonts w:hint="eastAsia" w:ascii="楷体_GB2312" w:hAnsi="楷体_GB2312" w:eastAsia="楷体_GB2312" w:cs="楷体_GB2312"/>
          <w:color w:val="000000"/>
          <w:kern w:val="0"/>
          <w:szCs w:val="32"/>
          <w:highlight w:val="none"/>
          <w:shd w:val="clear" w:color="auto" w:fill="FFFFFF"/>
          <w:lang w:val="zh-CN"/>
        </w:rPr>
        <w:t>。</w:t>
      </w:r>
    </w:p>
    <w:p w14:paraId="42FFEF2B">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cs="Times New Roman"/>
          <w:color w:val="000000"/>
          <w:kern w:val="0"/>
          <w:szCs w:val="32"/>
          <w:highlight w:val="none"/>
          <w:shd w:val="clear" w:color="auto" w:fill="FFFFFF"/>
          <w:lang w:val="zh-CN"/>
        </w:rPr>
      </w:pPr>
      <w:r>
        <w:rPr>
          <w:rFonts w:hint="eastAsia" w:ascii="Times New Roman" w:hAnsi="Times New Roman" w:cs="Times New Roman"/>
          <w:color w:val="000000"/>
          <w:kern w:val="0"/>
          <w:szCs w:val="32"/>
          <w:highlight w:val="none"/>
          <w:shd w:val="clear" w:color="auto" w:fill="FFFFFF"/>
          <w:lang w:val="zh-CN" w:eastAsia="zh-CN"/>
        </w:rPr>
        <w:t>松潘县公共就业和人才交流服务中心</w:t>
      </w:r>
      <w:r>
        <w:rPr>
          <w:rFonts w:hint="eastAsia" w:ascii="Times New Roman" w:hAnsi="Times New Roman" w:cs="Times New Roman"/>
          <w:color w:val="000000"/>
          <w:kern w:val="0"/>
          <w:szCs w:val="32"/>
          <w:highlight w:val="none"/>
          <w:shd w:val="clear" w:color="auto" w:fill="FFFFFF"/>
          <w:lang w:val="zh-CN"/>
        </w:rPr>
        <w:t>2023年修订完善了《</w:t>
      </w:r>
      <w:r>
        <w:rPr>
          <w:rFonts w:hint="eastAsia" w:ascii="Times New Roman" w:hAnsi="Times New Roman" w:cs="Times New Roman"/>
          <w:color w:val="000000"/>
          <w:kern w:val="0"/>
          <w:szCs w:val="32"/>
          <w:highlight w:val="none"/>
          <w:shd w:val="clear" w:color="auto" w:fill="FFFFFF"/>
          <w:lang w:val="zh-CN" w:eastAsia="zh-CN"/>
        </w:rPr>
        <w:t>松潘县公共就业和人才交流服务中心</w:t>
      </w:r>
      <w:r>
        <w:rPr>
          <w:rFonts w:hint="eastAsia" w:ascii="Times New Roman" w:hAnsi="Times New Roman" w:cs="Times New Roman"/>
          <w:color w:val="000000"/>
          <w:kern w:val="0"/>
          <w:szCs w:val="32"/>
          <w:highlight w:val="none"/>
          <w:shd w:val="clear" w:color="auto" w:fill="FFFFFF"/>
          <w:lang w:val="zh-CN"/>
        </w:rPr>
        <w:t>政府采购内部控制管理办法》，对管理机构与职责、工作岗位设置、政府采购组织形式及方式、政府采购程序、政府采购档案管理及监督检查进行了规定，管理制度较健全。2023年度</w:t>
      </w:r>
      <w:r>
        <w:rPr>
          <w:rFonts w:hint="eastAsia" w:ascii="Times New Roman" w:hAnsi="Times New Roman" w:cs="Times New Roman"/>
          <w:color w:val="000000"/>
          <w:kern w:val="0"/>
          <w:szCs w:val="32"/>
          <w:highlight w:val="none"/>
          <w:shd w:val="clear" w:color="auto" w:fill="FFFFFF"/>
          <w:lang w:val="zh-CN" w:eastAsia="zh-CN"/>
        </w:rPr>
        <w:t>松潘县公共就业和人才交流服务中心</w:t>
      </w:r>
      <w:r>
        <w:rPr>
          <w:rFonts w:hint="eastAsia" w:ascii="Times New Roman" w:hAnsi="Times New Roman" w:cs="Times New Roman"/>
          <w:color w:val="000000"/>
          <w:kern w:val="0"/>
          <w:szCs w:val="32"/>
          <w:highlight w:val="none"/>
          <w:shd w:val="clear" w:color="auto" w:fill="FFFFFF"/>
          <w:lang w:val="zh-CN"/>
        </w:rPr>
        <w:t>政府采购预算编制基本合理，严格按照法定采购方式和程序实施采购，项目采购方案均经馆务会审批，按规定发布政府采购项目信息，及时签订合同并发布采购结果，并按照合同约定及时支付资金，政府采购行为较为规范。2023年政府采购支出</w:t>
      </w:r>
      <w:r>
        <w:rPr>
          <w:rFonts w:hint="eastAsia" w:cs="Times New Roman"/>
          <w:color w:val="000000"/>
          <w:kern w:val="0"/>
          <w:szCs w:val="32"/>
          <w:highlight w:val="none"/>
          <w:shd w:val="clear" w:color="auto" w:fill="FFFFFF"/>
          <w:lang w:val="en-US" w:eastAsia="zh-CN"/>
        </w:rPr>
        <w:t>0</w:t>
      </w:r>
      <w:r>
        <w:rPr>
          <w:rFonts w:hint="eastAsia" w:ascii="Times New Roman" w:hAnsi="Times New Roman" w:cs="Times New Roman"/>
          <w:color w:val="000000"/>
          <w:kern w:val="0"/>
          <w:szCs w:val="32"/>
          <w:highlight w:val="none"/>
          <w:shd w:val="clear" w:color="auto" w:fill="FFFFFF"/>
          <w:lang w:val="zh-CN"/>
        </w:rPr>
        <w:t>万元。</w:t>
      </w:r>
    </w:p>
    <w:p w14:paraId="7F2973E4">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cs="Times New Roman"/>
          <w:color w:val="000000"/>
          <w:kern w:val="0"/>
          <w:szCs w:val="32"/>
          <w:highlight w:val="none"/>
          <w:shd w:val="clear" w:color="auto" w:fill="FFFFFF"/>
          <w:lang w:val="en-US" w:eastAsia="zh-CN"/>
        </w:rPr>
      </w:pPr>
      <w:r>
        <w:rPr>
          <w:rFonts w:hint="default" w:ascii="Times New Roman" w:hAnsi="Times New Roman" w:eastAsia="楷体_GB2312" w:cs="Times New Roman"/>
          <w:b/>
          <w:bCs/>
          <w:color w:val="000000"/>
          <w:kern w:val="0"/>
          <w:szCs w:val="32"/>
          <w:highlight w:val="none"/>
          <w:shd w:val="clear" w:color="auto" w:fill="FFFFFF"/>
          <w:lang w:val="zh-CN"/>
        </w:rPr>
        <w:t>（二）部门预算项目绩效分析。</w:t>
      </w:r>
    </w:p>
    <w:p w14:paraId="4A813881">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cs="Times New Roman"/>
          <w:color w:val="000000"/>
          <w:kern w:val="0"/>
          <w:szCs w:val="32"/>
          <w:highlight w:val="none"/>
          <w:shd w:val="clear" w:color="auto" w:fill="FFFFFF"/>
          <w:lang w:val="zh-CN" w:eastAsia="zh-CN"/>
        </w:rPr>
      </w:pPr>
      <w:r>
        <w:rPr>
          <w:rFonts w:hint="eastAsia" w:ascii="Times New Roman" w:hAnsi="Times New Roman" w:cs="Times New Roman"/>
          <w:color w:val="000000"/>
          <w:kern w:val="0"/>
          <w:szCs w:val="32"/>
          <w:highlight w:val="none"/>
          <w:shd w:val="clear" w:color="auto" w:fill="FFFFFF"/>
          <w:lang w:val="en-US" w:eastAsia="zh-CN"/>
        </w:rPr>
        <w:t>2023年</w:t>
      </w:r>
      <w:r>
        <w:rPr>
          <w:rFonts w:hint="eastAsia" w:ascii="Times New Roman" w:hAnsi="Times New Roman" w:cs="Times New Roman"/>
          <w:color w:val="000000"/>
          <w:kern w:val="0"/>
          <w:szCs w:val="32"/>
          <w:highlight w:val="none"/>
          <w:shd w:val="clear" w:color="auto" w:fill="FFFFFF"/>
          <w:lang w:val="zh-CN" w:eastAsia="zh-CN"/>
        </w:rPr>
        <w:t>松潘县公共就业和人才交流服务中心</w:t>
      </w:r>
      <w:r>
        <w:rPr>
          <w:rFonts w:hint="eastAsia" w:ascii="Times New Roman" w:hAnsi="Times New Roman" w:cs="Times New Roman"/>
          <w:color w:val="000000"/>
          <w:kern w:val="0"/>
          <w:szCs w:val="32"/>
          <w:highlight w:val="none"/>
          <w:shd w:val="clear" w:color="auto" w:fill="FFFFFF"/>
          <w:lang w:val="en-US" w:eastAsia="zh-CN"/>
        </w:rPr>
        <w:t>包含就业创业工作经费、东西部劳务协作工作经费、农民工服务中心工作经费、就业创业补助资金项目工作经费、劳动人口转移就业工程工作经费5个项目。</w:t>
      </w:r>
      <w:r>
        <w:rPr>
          <w:rFonts w:hint="default" w:cs="Times New Roman"/>
          <w:color w:val="000000"/>
          <w:kern w:val="0"/>
          <w:szCs w:val="32"/>
          <w:highlight w:val="none"/>
          <w:shd w:val="clear" w:color="auto" w:fill="FFFFFF"/>
          <w:lang w:val="zh-CN" w:eastAsia="zh-CN"/>
        </w:rPr>
        <w:t>涉及预算总金额</w:t>
      </w:r>
      <w:r>
        <w:rPr>
          <w:rFonts w:hint="default" w:cs="Times New Roman"/>
          <w:color w:val="000000"/>
          <w:kern w:val="0"/>
          <w:szCs w:val="32"/>
          <w:highlight w:val="none"/>
          <w:shd w:val="clear" w:color="auto" w:fill="FFFFFF"/>
          <w:lang w:val="en-US" w:eastAsia="zh-CN"/>
        </w:rPr>
        <w:t>1023.5</w:t>
      </w:r>
      <w:r>
        <w:rPr>
          <w:rFonts w:hint="eastAsia" w:cs="Times New Roman"/>
          <w:color w:val="000000"/>
          <w:kern w:val="0"/>
          <w:szCs w:val="32"/>
          <w:highlight w:val="none"/>
          <w:shd w:val="clear" w:color="auto" w:fill="FFFFFF"/>
          <w:lang w:val="en-US" w:eastAsia="zh-CN"/>
        </w:rPr>
        <w:t>8</w:t>
      </w:r>
      <w:r>
        <w:rPr>
          <w:rFonts w:hint="default" w:cs="Times New Roman"/>
          <w:color w:val="000000"/>
          <w:kern w:val="0"/>
          <w:szCs w:val="32"/>
          <w:highlight w:val="none"/>
          <w:shd w:val="clear" w:color="auto" w:fill="FFFFFF"/>
          <w:lang w:val="zh-CN" w:eastAsia="zh-CN"/>
        </w:rPr>
        <w:t>万元，</w:t>
      </w:r>
      <w:r>
        <w:rPr>
          <w:rFonts w:hint="default" w:cs="Times New Roman"/>
          <w:color w:val="000000"/>
          <w:kern w:val="0"/>
          <w:szCs w:val="32"/>
          <w:highlight w:val="none"/>
          <w:shd w:val="clear" w:color="auto" w:fill="FFFFFF"/>
          <w:lang w:val="zh-CN"/>
        </w:rPr>
        <w:t>1</w:t>
      </w:r>
      <w:r>
        <w:rPr>
          <w:rFonts w:hint="eastAsia" w:cs="Times New Roman"/>
          <w:color w:val="000000"/>
          <w:kern w:val="0"/>
          <w:szCs w:val="32"/>
          <w:highlight w:val="none"/>
          <w:shd w:val="clear" w:color="auto" w:fill="FFFFFF"/>
          <w:lang w:val="zh-CN" w:eastAsia="zh-CN"/>
        </w:rPr>
        <w:t>—</w:t>
      </w:r>
      <w:r>
        <w:rPr>
          <w:rFonts w:hint="default" w:cs="Times New Roman"/>
          <w:color w:val="000000"/>
          <w:kern w:val="0"/>
          <w:szCs w:val="32"/>
          <w:highlight w:val="none"/>
          <w:shd w:val="clear" w:color="auto" w:fill="FFFFFF"/>
          <w:lang w:val="zh-CN"/>
        </w:rPr>
        <w:t>1</w:t>
      </w:r>
      <w:r>
        <w:rPr>
          <w:rFonts w:hint="default" w:cs="Times New Roman"/>
          <w:color w:val="000000"/>
          <w:kern w:val="0"/>
          <w:szCs w:val="32"/>
          <w:highlight w:val="none"/>
          <w:shd w:val="clear" w:color="auto" w:fill="FFFFFF"/>
          <w:lang w:val="en-US" w:eastAsia="zh-CN"/>
        </w:rPr>
        <w:t>2</w:t>
      </w:r>
      <w:r>
        <w:rPr>
          <w:rFonts w:hint="default" w:cs="Times New Roman"/>
          <w:color w:val="000000"/>
          <w:kern w:val="0"/>
          <w:szCs w:val="32"/>
          <w:highlight w:val="none"/>
          <w:shd w:val="clear" w:color="auto" w:fill="FFFFFF"/>
          <w:lang w:val="zh-CN"/>
        </w:rPr>
        <w:t>月预算执行</w:t>
      </w:r>
      <w:r>
        <w:rPr>
          <w:rFonts w:hint="eastAsia" w:cs="Times New Roman"/>
          <w:color w:val="000000"/>
          <w:kern w:val="0"/>
          <w:szCs w:val="32"/>
          <w:highlight w:val="none"/>
          <w:shd w:val="clear" w:color="auto" w:fill="FFFFFF"/>
          <w:lang w:val="en-US" w:eastAsia="zh-CN"/>
        </w:rPr>
        <w:t>数1009.12万元，</w:t>
      </w:r>
      <w:r>
        <w:rPr>
          <w:rFonts w:hint="default" w:cs="Times New Roman"/>
          <w:color w:val="000000"/>
          <w:kern w:val="0"/>
          <w:szCs w:val="32"/>
          <w:highlight w:val="none"/>
          <w:shd w:val="clear" w:color="auto" w:fill="FFFFFF"/>
          <w:lang w:val="zh-CN"/>
        </w:rPr>
        <w:t>总体进度为</w:t>
      </w:r>
      <w:r>
        <w:rPr>
          <w:rFonts w:hint="eastAsia" w:cs="Times New Roman"/>
          <w:color w:val="000000"/>
          <w:kern w:val="0"/>
          <w:szCs w:val="32"/>
          <w:highlight w:val="none"/>
          <w:shd w:val="clear" w:color="auto" w:fill="FFFFFF"/>
          <w:lang w:val="en-US" w:eastAsia="zh-CN"/>
        </w:rPr>
        <w:t>98.59</w:t>
      </w:r>
      <w:r>
        <w:rPr>
          <w:rFonts w:hint="default" w:cs="Times New Roman"/>
          <w:color w:val="000000"/>
          <w:kern w:val="0"/>
          <w:szCs w:val="32"/>
          <w:highlight w:val="none"/>
          <w:shd w:val="clear" w:color="auto" w:fill="FFFFFF"/>
          <w:lang w:val="zh-CN"/>
        </w:rPr>
        <w:t>%，其中：</w:t>
      </w:r>
      <w:r>
        <w:rPr>
          <w:rFonts w:hint="default" w:cs="Times New Roman"/>
          <w:color w:val="000000"/>
          <w:kern w:val="0"/>
          <w:szCs w:val="32"/>
          <w:highlight w:val="none"/>
          <w:shd w:val="clear" w:color="auto" w:fill="FFFFFF"/>
          <w:lang w:val="zh-CN" w:eastAsia="zh-CN"/>
        </w:rPr>
        <w:t>预算结余率大于</w:t>
      </w:r>
      <w:r>
        <w:rPr>
          <w:rFonts w:hint="default" w:cs="Times New Roman"/>
          <w:color w:val="000000"/>
          <w:kern w:val="0"/>
          <w:szCs w:val="32"/>
          <w:highlight w:val="none"/>
          <w:shd w:val="clear" w:color="auto" w:fill="FFFFFF"/>
          <w:lang w:val="en-US" w:eastAsia="zh-CN"/>
        </w:rPr>
        <w:t>10%</w:t>
      </w:r>
      <w:r>
        <w:rPr>
          <w:rFonts w:hint="default" w:cs="Times New Roman"/>
          <w:color w:val="000000"/>
          <w:kern w:val="0"/>
          <w:szCs w:val="32"/>
          <w:highlight w:val="none"/>
          <w:shd w:val="clear" w:color="auto" w:fill="FFFFFF"/>
          <w:lang w:val="zh-CN" w:eastAsia="zh-CN"/>
        </w:rPr>
        <w:t>的项目共计</w:t>
      </w:r>
      <w:r>
        <w:rPr>
          <w:rFonts w:hint="eastAsia" w:cs="Times New Roman"/>
          <w:color w:val="000000"/>
          <w:kern w:val="0"/>
          <w:szCs w:val="32"/>
          <w:highlight w:val="none"/>
          <w:shd w:val="clear" w:color="auto" w:fill="FFFFFF"/>
          <w:lang w:val="en-US" w:eastAsia="zh-CN"/>
        </w:rPr>
        <w:t>0</w:t>
      </w:r>
      <w:r>
        <w:rPr>
          <w:rFonts w:hint="default" w:cs="Times New Roman"/>
          <w:color w:val="000000"/>
          <w:kern w:val="0"/>
          <w:szCs w:val="32"/>
          <w:highlight w:val="none"/>
          <w:shd w:val="clear" w:color="auto" w:fill="FFFFFF"/>
          <w:lang w:val="zh-CN" w:eastAsia="zh-CN"/>
        </w:rPr>
        <w:t>个。</w:t>
      </w:r>
    </w:p>
    <w:p w14:paraId="4CEE2B6F">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cs="Times New Roman"/>
          <w:color w:val="000000"/>
          <w:kern w:val="0"/>
          <w:szCs w:val="32"/>
          <w:highlight w:val="none"/>
          <w:shd w:val="clear" w:color="auto" w:fill="FFFFFF"/>
          <w:lang w:val="en-US" w:eastAsia="zh-CN"/>
        </w:rPr>
      </w:pPr>
      <w:r>
        <w:rPr>
          <w:rFonts w:hint="eastAsia" w:ascii="Times New Roman" w:hAnsi="Times New Roman" w:cs="Times New Roman"/>
          <w:color w:val="000000"/>
          <w:kern w:val="0"/>
          <w:szCs w:val="32"/>
          <w:highlight w:val="none"/>
          <w:shd w:val="clear" w:color="auto" w:fill="FFFFFF"/>
          <w:lang w:val="en-US" w:eastAsia="zh-CN"/>
        </w:rPr>
        <w:t>本年度就业创业工作经费是用于负责贯彻落实中央、省、州、县有关就业创业的各项政策、法律法规，组织协调落实就业创业各项优惠政策，开展全县就业创业服务工作。</w:t>
      </w:r>
    </w:p>
    <w:p w14:paraId="3143C5CD">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cs="Times New Roman"/>
          <w:color w:val="000000"/>
          <w:kern w:val="0"/>
          <w:szCs w:val="32"/>
          <w:highlight w:val="none"/>
          <w:shd w:val="clear" w:color="auto" w:fill="FFFFFF"/>
          <w:lang w:val="en-US" w:eastAsia="zh-CN"/>
        </w:rPr>
      </w:pPr>
      <w:r>
        <w:rPr>
          <w:rFonts w:hint="default" w:ascii="Times New Roman" w:hAnsi="Times New Roman" w:cs="Times New Roman"/>
          <w:color w:val="000000"/>
          <w:kern w:val="0"/>
          <w:szCs w:val="32"/>
          <w:highlight w:val="none"/>
          <w:shd w:val="clear" w:color="auto" w:fill="FFFFFF"/>
          <w:lang w:val="en-US" w:eastAsia="zh-CN"/>
        </w:rPr>
        <w:t>东西部劳务协作工作经费</w:t>
      </w:r>
      <w:r>
        <w:rPr>
          <w:rFonts w:hint="eastAsia" w:ascii="Times New Roman" w:hAnsi="Times New Roman" w:cs="Times New Roman"/>
          <w:color w:val="000000"/>
          <w:kern w:val="0"/>
          <w:szCs w:val="32"/>
          <w:highlight w:val="none"/>
          <w:shd w:val="clear" w:color="auto" w:fill="FFFFFF"/>
          <w:lang w:val="en-US" w:eastAsia="zh-CN"/>
        </w:rPr>
        <w:t>是用于</w:t>
      </w:r>
      <w:r>
        <w:rPr>
          <w:rFonts w:hint="default" w:ascii="Times New Roman" w:hAnsi="Times New Roman" w:cs="Times New Roman"/>
          <w:color w:val="000000"/>
          <w:kern w:val="0"/>
          <w:szCs w:val="32"/>
          <w:highlight w:val="none"/>
          <w:shd w:val="clear" w:color="auto" w:fill="FFFFFF"/>
          <w:lang w:val="en-US" w:eastAsia="zh-CN"/>
        </w:rPr>
        <w:t>促进我县城乡劳动力实现就业，以劳务输出为切入点，采取政府组织发动，城乡劳动力广泛参与方式，切实提高转移就业率，帮助城乡劳动力实现就业增收。保障东西部劳务协作工作经费，促进就业。</w:t>
      </w:r>
    </w:p>
    <w:p w14:paraId="677C7120">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cs="Times New Roman"/>
          <w:color w:val="000000"/>
          <w:kern w:val="0"/>
          <w:szCs w:val="32"/>
          <w:highlight w:val="none"/>
          <w:shd w:val="clear" w:color="auto" w:fill="FFFFFF"/>
          <w:lang w:val="en-US" w:eastAsia="zh-CN"/>
        </w:rPr>
      </w:pPr>
      <w:r>
        <w:rPr>
          <w:rFonts w:hint="default" w:ascii="Times New Roman" w:hAnsi="Times New Roman" w:cs="Times New Roman"/>
          <w:color w:val="000000"/>
          <w:kern w:val="0"/>
          <w:szCs w:val="32"/>
          <w:highlight w:val="none"/>
          <w:shd w:val="clear" w:color="auto" w:fill="FFFFFF"/>
          <w:lang w:val="en-US" w:eastAsia="zh-CN"/>
        </w:rPr>
        <w:t>农民工服务中心工作经费</w:t>
      </w:r>
      <w:r>
        <w:rPr>
          <w:rFonts w:hint="eastAsia" w:ascii="Times New Roman" w:hAnsi="Times New Roman" w:cs="Times New Roman"/>
          <w:color w:val="000000"/>
          <w:kern w:val="0"/>
          <w:szCs w:val="32"/>
          <w:highlight w:val="none"/>
          <w:shd w:val="clear" w:color="auto" w:fill="FFFFFF"/>
          <w:lang w:val="en-US" w:eastAsia="zh-CN"/>
        </w:rPr>
        <w:t>是用于保障农民工服务中心日常工作开展。落实好农民工等群体促进创业带动就业扶持政策。</w:t>
      </w:r>
    </w:p>
    <w:p w14:paraId="332892C3">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Times New Roman" w:hAnsi="Times New Roman" w:cs="Times New Roman"/>
          <w:color w:val="000000"/>
          <w:kern w:val="0"/>
          <w:szCs w:val="32"/>
          <w:highlight w:val="none"/>
          <w:shd w:val="clear" w:color="auto" w:fill="FFFFFF"/>
          <w:lang w:val="en-US" w:eastAsia="zh-CN"/>
        </w:rPr>
      </w:pPr>
      <w:r>
        <w:rPr>
          <w:rFonts w:hint="default" w:ascii="Times New Roman" w:hAnsi="Times New Roman" w:cs="Times New Roman"/>
          <w:color w:val="000000"/>
          <w:kern w:val="0"/>
          <w:szCs w:val="32"/>
          <w:highlight w:val="none"/>
          <w:shd w:val="clear" w:color="auto" w:fill="FFFFFF"/>
          <w:lang w:val="en-US" w:eastAsia="zh-CN"/>
        </w:rPr>
        <w:t>就业创业补助资金项目</w:t>
      </w:r>
      <w:r>
        <w:rPr>
          <w:rFonts w:hint="eastAsia" w:ascii="Times New Roman" w:hAnsi="Times New Roman" w:cs="Times New Roman"/>
          <w:color w:val="000000"/>
          <w:kern w:val="0"/>
          <w:szCs w:val="32"/>
          <w:highlight w:val="none"/>
          <w:shd w:val="clear" w:color="auto" w:fill="FFFFFF"/>
          <w:lang w:val="en-US" w:eastAsia="zh-CN"/>
        </w:rPr>
        <w:t>经费是用于职业培训补贴、职业技能鉴定补贴、社会保险补贴、公益性岗位补贴、创业补贴、就业见习补贴、求职创业补贴、就业创业服务补助、高技能人才培养补助等支出以及经省级人民政府批准的其他支出项目。确保完成年度城镇新增就业目标任务。</w:t>
      </w:r>
    </w:p>
    <w:p w14:paraId="42B29BBD">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cs="Times New Roman"/>
          <w:color w:val="000000"/>
          <w:kern w:val="0"/>
          <w:szCs w:val="32"/>
          <w:highlight w:val="none"/>
          <w:shd w:val="clear" w:color="auto" w:fill="FFFFFF"/>
          <w:lang w:val="en-US" w:eastAsia="zh-CN"/>
        </w:rPr>
      </w:pPr>
      <w:r>
        <w:rPr>
          <w:rFonts w:hint="eastAsia" w:ascii="Times New Roman" w:hAnsi="Times New Roman" w:cs="Times New Roman"/>
          <w:color w:val="000000"/>
          <w:kern w:val="0"/>
          <w:szCs w:val="32"/>
          <w:highlight w:val="none"/>
          <w:shd w:val="clear" w:color="auto" w:fill="FFFFFF"/>
          <w:lang w:val="en-US" w:eastAsia="zh-CN"/>
        </w:rPr>
        <w:t>劳动人口转移就业工程是用于保障2023年大邑县对口支援工作的开展。</w:t>
      </w:r>
    </w:p>
    <w:p w14:paraId="1AF1F6CE">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楷体_GB2312" w:hAnsi="楷体_GB2312" w:eastAsia="楷体_GB2312" w:cs="楷体_GB2312"/>
          <w:color w:val="000000"/>
          <w:kern w:val="0"/>
          <w:szCs w:val="32"/>
          <w:highlight w:val="none"/>
          <w:shd w:val="clear" w:color="auto" w:fill="FFFFFF"/>
          <w:lang w:val="zh-CN"/>
        </w:rPr>
      </w:pPr>
      <w:r>
        <w:rPr>
          <w:rFonts w:hint="eastAsia" w:ascii="楷体_GB2312" w:hAnsi="楷体_GB2312" w:eastAsia="楷体_GB2312" w:cs="楷体_GB2312"/>
          <w:color w:val="000000"/>
          <w:kern w:val="0"/>
          <w:szCs w:val="32"/>
          <w:highlight w:val="none"/>
          <w:shd w:val="clear" w:color="auto" w:fill="FFFFFF"/>
          <w:lang w:val="en-US" w:eastAsia="zh-CN"/>
        </w:rPr>
        <w:t>1.</w:t>
      </w:r>
      <w:r>
        <w:rPr>
          <w:rFonts w:hint="eastAsia" w:ascii="楷体_GB2312" w:hAnsi="楷体_GB2312" w:eastAsia="楷体_GB2312" w:cs="楷体_GB2312"/>
          <w:color w:val="000000"/>
          <w:kern w:val="0"/>
          <w:szCs w:val="32"/>
          <w:highlight w:val="none"/>
          <w:shd w:val="clear" w:color="auto" w:fill="FFFFFF"/>
          <w:lang w:val="zh-CN"/>
        </w:rPr>
        <w:t>项目决策。</w:t>
      </w:r>
    </w:p>
    <w:p w14:paraId="1028D013">
      <w:pPr>
        <w:keepNext w:val="0"/>
        <w:keepLines w:val="0"/>
        <w:pageBreakBefore w:val="0"/>
        <w:widowControl w:val="0"/>
        <w:kinsoku/>
        <w:wordWrap/>
        <w:overflowPunct/>
        <w:topLinePunct w:val="0"/>
        <w:autoSpaceDE/>
        <w:autoSpaceDN/>
        <w:bidi w:val="0"/>
        <w:adjustRightInd/>
        <w:snapToGrid/>
        <w:spacing w:line="578" w:lineRule="exact"/>
        <w:ind w:firstLine="640"/>
        <w:textAlignment w:val="auto"/>
        <w:outlineLvl w:val="9"/>
        <w:rPr>
          <w:rFonts w:hint="eastAsia" w:ascii="Times New Roman" w:hAnsi="Times New Roman" w:cs="Times New Roman"/>
          <w:color w:val="auto"/>
          <w:szCs w:val="32"/>
          <w:highlight w:val="none"/>
          <w:lang w:eastAsia="zh-CN"/>
        </w:rPr>
      </w:pPr>
      <w:r>
        <w:rPr>
          <w:rFonts w:hint="eastAsia" w:cs="Times New Roman"/>
          <w:color w:val="auto"/>
          <w:szCs w:val="32"/>
          <w:highlight w:val="none"/>
          <w:lang w:val="en-US" w:eastAsia="zh-CN"/>
        </w:rPr>
        <w:t>2023年我单位整体绩效自评</w:t>
      </w:r>
      <w:r>
        <w:rPr>
          <w:rFonts w:hint="eastAsia" w:ascii="Times New Roman" w:hAnsi="Times New Roman" w:cs="Times New Roman"/>
          <w:color w:val="auto"/>
          <w:szCs w:val="32"/>
          <w:highlight w:val="none"/>
          <w:lang w:eastAsia="zh-CN"/>
        </w:rPr>
        <w:t>决策程序严密，项目绩效目标设置科学合理。项目资金与项目总体规划、相关行业事业发展相匹配，聚焦重大任务、重点领域、重点环节和重点项目。项目制度办法体系健全、要素完备。</w:t>
      </w:r>
    </w:p>
    <w:p w14:paraId="64A56AE0">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楷体_GB2312" w:hAnsi="楷体_GB2312" w:eastAsia="楷体_GB2312" w:cs="楷体_GB2312"/>
          <w:color w:val="000000"/>
          <w:kern w:val="0"/>
          <w:szCs w:val="32"/>
          <w:highlight w:val="none"/>
          <w:shd w:val="clear" w:color="auto" w:fill="FFFFFF"/>
          <w:lang w:val="zh-CN"/>
        </w:rPr>
      </w:pPr>
      <w:r>
        <w:rPr>
          <w:rFonts w:hint="eastAsia" w:ascii="楷体_GB2312" w:hAnsi="楷体_GB2312" w:eastAsia="楷体_GB2312" w:cs="楷体_GB2312"/>
          <w:color w:val="000000"/>
          <w:kern w:val="0"/>
          <w:szCs w:val="32"/>
          <w:highlight w:val="none"/>
          <w:shd w:val="clear" w:color="auto" w:fill="FFFFFF"/>
          <w:lang w:val="en-US" w:eastAsia="zh-CN"/>
        </w:rPr>
        <w:t>2.项目执行</w:t>
      </w:r>
      <w:r>
        <w:rPr>
          <w:rFonts w:hint="eastAsia" w:ascii="楷体_GB2312" w:hAnsi="楷体_GB2312" w:eastAsia="楷体_GB2312" w:cs="楷体_GB2312"/>
          <w:color w:val="000000"/>
          <w:kern w:val="0"/>
          <w:szCs w:val="32"/>
          <w:highlight w:val="none"/>
          <w:shd w:val="clear" w:color="auto" w:fill="FFFFFF"/>
          <w:lang w:val="zh-CN"/>
        </w:rPr>
        <w:t>。</w:t>
      </w:r>
    </w:p>
    <w:p w14:paraId="0EDD457D">
      <w:pPr>
        <w:keepNext w:val="0"/>
        <w:keepLines w:val="0"/>
        <w:pageBreakBefore w:val="0"/>
        <w:widowControl/>
        <w:numPr>
          <w:ilvl w:val="0"/>
          <w:numId w:val="0"/>
        </w:numPr>
        <w:kinsoku/>
        <w:wordWrap/>
        <w:overflowPunct/>
        <w:topLinePunct w:val="0"/>
        <w:autoSpaceDE/>
        <w:autoSpaceDN/>
        <w:bidi w:val="0"/>
        <w:adjustRightInd w:val="0"/>
        <w:snapToGrid w:val="0"/>
        <w:spacing w:line="578" w:lineRule="exact"/>
        <w:ind w:left="0" w:leftChars="0" w:firstLine="640" w:firstLineChars="200"/>
        <w:contextualSpacing/>
        <w:jc w:val="left"/>
        <w:textAlignment w:val="auto"/>
        <w:rPr>
          <w:rFonts w:hint="eastAsia" w:ascii="仿宋_GB2312" w:hAnsi="仿宋_GB2312" w:eastAsia="仿宋_GB2312" w:cs="仿宋_GB2312"/>
          <w:color w:val="auto"/>
          <w:kern w:val="0"/>
          <w:sz w:val="32"/>
          <w:szCs w:val="32"/>
          <w:highlight w:val="none"/>
          <w:u w:val="none"/>
          <w:shd w:val="clear" w:color="auto" w:fill="FFFFFF"/>
          <w:lang w:val="zh-CN"/>
        </w:rPr>
      </w:pPr>
      <w:r>
        <w:rPr>
          <w:rFonts w:hint="eastAsia" w:cs="Times New Roman"/>
          <w:color w:val="auto"/>
          <w:szCs w:val="32"/>
          <w:highlight w:val="none"/>
          <w:lang w:val="en-US" w:eastAsia="zh-CN"/>
        </w:rPr>
        <w:t>2023年我单位</w:t>
      </w:r>
      <w:r>
        <w:rPr>
          <w:rFonts w:hint="eastAsia" w:ascii="仿宋_GB2312" w:hAnsi="仿宋_GB2312" w:eastAsia="仿宋_GB2312" w:cs="仿宋_GB2312"/>
          <w:color w:val="auto"/>
          <w:kern w:val="0"/>
          <w:sz w:val="32"/>
          <w:szCs w:val="32"/>
          <w:highlight w:val="none"/>
          <w:u w:val="none"/>
          <w:shd w:val="clear" w:color="auto" w:fill="FFFFFF"/>
          <w:lang w:val="zh-CN"/>
        </w:rPr>
        <w:t>项目资金分配因素选取、权重设置、区域分布，项目管理、审批符合管理要求</w:t>
      </w:r>
      <w:r>
        <w:rPr>
          <w:rFonts w:hint="eastAsia" w:ascii="仿宋_GB2312" w:hAnsi="仿宋_GB2312" w:cs="仿宋_GB2312"/>
          <w:color w:val="auto"/>
          <w:kern w:val="0"/>
          <w:sz w:val="32"/>
          <w:szCs w:val="32"/>
          <w:highlight w:val="none"/>
          <w:u w:val="none"/>
          <w:shd w:val="clear" w:color="auto" w:fill="FFFFFF"/>
          <w:lang w:val="zh-CN"/>
        </w:rPr>
        <w:t>，管资金、项目、政策、管绩效，项目绩效监管按要求开展，对下指导有力有效。</w:t>
      </w:r>
    </w:p>
    <w:p w14:paraId="062251C1">
      <w:pPr>
        <w:keepNext w:val="0"/>
        <w:keepLines w:val="0"/>
        <w:pageBreakBefore w:val="0"/>
        <w:widowControl w:val="0"/>
        <w:numPr>
          <w:ilvl w:val="0"/>
          <w:numId w:val="0"/>
        </w:numPr>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楷体_GB2312" w:hAnsi="楷体_GB2312" w:eastAsia="楷体_GB2312" w:cs="楷体_GB2312"/>
          <w:color w:val="000000"/>
          <w:kern w:val="0"/>
          <w:szCs w:val="32"/>
          <w:highlight w:val="none"/>
          <w:shd w:val="clear" w:color="auto" w:fill="FFFFFF"/>
          <w:lang w:val="zh-CN"/>
        </w:rPr>
      </w:pPr>
      <w:r>
        <w:rPr>
          <w:rFonts w:hint="eastAsia" w:ascii="楷体_GB2312" w:hAnsi="楷体_GB2312" w:eastAsia="楷体_GB2312" w:cs="楷体_GB2312"/>
          <w:color w:val="000000"/>
          <w:kern w:val="0"/>
          <w:szCs w:val="32"/>
          <w:highlight w:val="none"/>
          <w:shd w:val="clear" w:color="auto" w:fill="FFFFFF"/>
          <w:lang w:val="en-US" w:eastAsia="zh-CN"/>
        </w:rPr>
        <w:t>3.</w:t>
      </w:r>
      <w:r>
        <w:rPr>
          <w:rFonts w:hint="eastAsia" w:ascii="楷体_GB2312" w:hAnsi="楷体_GB2312" w:eastAsia="楷体_GB2312" w:cs="楷体_GB2312"/>
          <w:color w:val="000000"/>
          <w:kern w:val="0"/>
          <w:szCs w:val="32"/>
          <w:highlight w:val="none"/>
          <w:shd w:val="clear" w:color="auto" w:fill="FFFFFF"/>
          <w:lang w:val="zh-CN"/>
        </w:rPr>
        <w:t>目标实现。</w:t>
      </w:r>
    </w:p>
    <w:p w14:paraId="5FD3D83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outlineLvl w:val="9"/>
        <w:rPr>
          <w:rFonts w:hint="eastAsia" w:cs="Times New Roman"/>
          <w:color w:val="auto"/>
          <w:szCs w:val="32"/>
          <w:lang w:eastAsia="zh-CN"/>
        </w:rPr>
      </w:pPr>
      <w:r>
        <w:rPr>
          <w:rFonts w:hint="eastAsia" w:cs="Times New Roman"/>
          <w:color w:val="auto"/>
          <w:szCs w:val="32"/>
          <w:highlight w:val="none"/>
          <w:lang w:val="en-US" w:eastAsia="zh-CN"/>
        </w:rPr>
        <w:t>2023年我单位</w:t>
      </w:r>
      <w:r>
        <w:rPr>
          <w:rFonts w:hint="eastAsia" w:ascii="Times New Roman" w:hAnsi="Times New Roman" w:cs="Times New Roman"/>
          <w:color w:val="auto"/>
          <w:szCs w:val="32"/>
          <w:highlight w:val="none"/>
          <w:lang w:eastAsia="zh-CN"/>
        </w:rPr>
        <w:t>项目完成预期目标，实施结果</w:t>
      </w:r>
      <w:r>
        <w:rPr>
          <w:rFonts w:hint="eastAsia" w:ascii="Times New Roman" w:hAnsi="Times New Roman" w:cs="Times New Roman"/>
          <w:color w:val="auto"/>
          <w:szCs w:val="32"/>
          <w:lang w:eastAsia="zh-CN"/>
        </w:rPr>
        <w:t>与绩效目标相匹配，反映目标实现程度</w:t>
      </w:r>
      <w:r>
        <w:rPr>
          <w:rFonts w:hint="eastAsia" w:cs="Times New Roman"/>
          <w:color w:val="auto"/>
          <w:szCs w:val="32"/>
          <w:lang w:eastAsia="zh-CN"/>
        </w:rPr>
        <w:t>。</w:t>
      </w:r>
    </w:p>
    <w:p w14:paraId="5B0CE807">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eastAsia="楷体_GB2312" w:cs="Times New Roman"/>
          <w:b/>
          <w:bCs/>
          <w:color w:val="000000"/>
          <w:kern w:val="0"/>
          <w:szCs w:val="32"/>
          <w:highlight w:val="none"/>
          <w:shd w:val="clear" w:color="auto" w:fill="FFFFFF"/>
          <w:lang w:val="zh-CN" w:eastAsia="zh-CN"/>
        </w:rPr>
      </w:pPr>
      <w:r>
        <w:rPr>
          <w:rFonts w:hint="default" w:ascii="Times New Roman" w:hAnsi="Times New Roman" w:eastAsia="楷体_GB2312" w:cs="Times New Roman"/>
          <w:b/>
          <w:bCs/>
          <w:color w:val="000000"/>
          <w:kern w:val="0"/>
          <w:szCs w:val="32"/>
          <w:highlight w:val="none"/>
          <w:shd w:val="clear" w:color="auto" w:fill="FFFFFF"/>
          <w:lang w:val="zh-CN"/>
        </w:rPr>
        <w:t>（</w:t>
      </w:r>
      <w:r>
        <w:rPr>
          <w:rFonts w:hint="eastAsia" w:eastAsia="楷体_GB2312" w:cs="Times New Roman"/>
          <w:b/>
          <w:bCs/>
          <w:color w:val="000000"/>
          <w:kern w:val="0"/>
          <w:szCs w:val="32"/>
          <w:highlight w:val="none"/>
          <w:shd w:val="clear" w:color="auto" w:fill="FFFFFF"/>
          <w:lang w:val="zh-CN"/>
        </w:rPr>
        <w:t>三</w:t>
      </w:r>
      <w:r>
        <w:rPr>
          <w:rFonts w:hint="default" w:ascii="Times New Roman" w:hAnsi="Times New Roman" w:eastAsia="楷体_GB2312" w:cs="Times New Roman"/>
          <w:b/>
          <w:bCs/>
          <w:color w:val="000000"/>
          <w:kern w:val="0"/>
          <w:szCs w:val="32"/>
          <w:highlight w:val="none"/>
          <w:shd w:val="clear" w:color="auto" w:fill="FFFFFF"/>
          <w:lang w:val="zh-CN"/>
        </w:rPr>
        <w:t>）</w:t>
      </w:r>
      <w:r>
        <w:rPr>
          <w:rFonts w:hint="default" w:ascii="Times New Roman" w:hAnsi="Times New Roman" w:eastAsia="楷体_GB2312" w:cs="Times New Roman"/>
          <w:b/>
          <w:bCs/>
          <w:color w:val="000000"/>
          <w:kern w:val="0"/>
          <w:szCs w:val="32"/>
          <w:highlight w:val="none"/>
          <w:shd w:val="clear" w:color="auto" w:fill="FFFFFF"/>
          <w:lang w:val="zh-CN" w:eastAsia="zh-CN"/>
        </w:rPr>
        <w:t>重点领域</w:t>
      </w:r>
      <w:r>
        <w:rPr>
          <w:rFonts w:hint="default" w:ascii="Times New Roman" w:hAnsi="Times New Roman" w:eastAsia="楷体_GB2312" w:cs="Times New Roman"/>
          <w:b/>
          <w:bCs/>
          <w:color w:val="000000"/>
          <w:kern w:val="0"/>
          <w:szCs w:val="32"/>
          <w:highlight w:val="none"/>
          <w:shd w:val="clear" w:color="auto" w:fill="FFFFFF"/>
          <w:lang w:val="zh-CN"/>
        </w:rPr>
        <w:t>绩效分析</w:t>
      </w:r>
      <w:r>
        <w:rPr>
          <w:rFonts w:hint="default" w:ascii="Times New Roman" w:hAnsi="Times New Roman" w:eastAsia="楷体_GB2312" w:cs="Times New Roman"/>
          <w:b/>
          <w:bCs/>
          <w:color w:val="000000"/>
          <w:kern w:val="0"/>
          <w:szCs w:val="32"/>
          <w:highlight w:val="none"/>
          <w:shd w:val="clear" w:color="auto" w:fill="FFFFFF"/>
          <w:lang w:val="zh-CN" w:eastAsia="zh-CN"/>
        </w:rPr>
        <w:t>。</w:t>
      </w:r>
    </w:p>
    <w:p w14:paraId="1E24D041">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cs="Times New Roman"/>
          <w:color w:val="000000"/>
          <w:kern w:val="0"/>
          <w:szCs w:val="32"/>
          <w:highlight w:val="none"/>
          <w:shd w:val="clear" w:color="auto" w:fill="FFFFFF"/>
          <w:lang w:val="en-US" w:eastAsia="zh-CN"/>
        </w:rPr>
      </w:pPr>
      <w:r>
        <w:rPr>
          <w:rFonts w:hint="eastAsia" w:cs="Times New Roman"/>
          <w:sz w:val="32"/>
          <w:szCs w:val="32"/>
          <w:highlight w:val="none"/>
          <w:u w:val="none"/>
          <w:lang w:val="en-US" w:eastAsia="zh-CN"/>
        </w:rPr>
        <w:t>本单位无此项。</w:t>
      </w:r>
    </w:p>
    <w:p w14:paraId="5D56D3D1">
      <w:pPr>
        <w:keepNext w:val="0"/>
        <w:keepLines w:val="0"/>
        <w:pageBreakBefore w:val="0"/>
        <w:widowControl w:val="0"/>
        <w:kinsoku/>
        <w:wordWrap/>
        <w:overflowPunct/>
        <w:topLinePunct w:val="0"/>
        <w:autoSpaceDE/>
        <w:autoSpaceDN/>
        <w:bidi w:val="0"/>
        <w:snapToGrid w:val="0"/>
        <w:spacing w:line="600" w:lineRule="exact"/>
        <w:ind w:firstLine="643" w:firstLineChars="200"/>
        <w:textAlignment w:val="auto"/>
        <w:rPr>
          <w:rFonts w:hint="eastAsia" w:ascii="Times New Roman" w:hAnsi="Times New Roman" w:eastAsia="楷体_GB2312" w:cs="Times New Roman"/>
          <w:b/>
          <w:bCs/>
          <w:szCs w:val="32"/>
          <w:lang w:val="zh-CN"/>
        </w:rPr>
      </w:pPr>
      <w:r>
        <w:rPr>
          <w:rFonts w:hint="default" w:ascii="Times New Roman" w:hAnsi="Times New Roman" w:eastAsia="楷体_GB2312" w:cs="Times New Roman"/>
          <w:b/>
          <w:bCs/>
          <w:szCs w:val="32"/>
          <w:lang w:val="zh-CN"/>
        </w:rPr>
        <w:t>（四）绩效结果应用情况</w:t>
      </w:r>
      <w:r>
        <w:rPr>
          <w:rFonts w:hint="eastAsia" w:ascii="Times New Roman" w:hAnsi="Times New Roman" w:eastAsia="楷体_GB2312" w:cs="Times New Roman"/>
          <w:b/>
          <w:bCs/>
          <w:szCs w:val="32"/>
          <w:lang w:val="zh-CN"/>
        </w:rPr>
        <w:t>。</w:t>
      </w:r>
    </w:p>
    <w:p w14:paraId="7FC846D7">
      <w:pPr>
        <w:keepNext w:val="0"/>
        <w:keepLines w:val="0"/>
        <w:pageBreakBefore w:val="0"/>
        <w:widowControl w:val="0"/>
        <w:kinsoku/>
        <w:wordWrap/>
        <w:overflowPunct/>
        <w:topLinePunct w:val="0"/>
        <w:autoSpaceDE/>
        <w:autoSpaceDN/>
        <w:bidi w:val="0"/>
        <w:snapToGrid w:val="0"/>
        <w:spacing w:line="600" w:lineRule="exact"/>
        <w:ind w:firstLine="640" w:firstLineChars="200"/>
        <w:textAlignment w:val="auto"/>
        <w:rPr>
          <w:rFonts w:hint="eastAsia" w:ascii="Times New Roman" w:hAnsi="Times New Roman" w:cs="Times New Roman"/>
          <w:color w:val="000000"/>
          <w:kern w:val="0"/>
          <w:szCs w:val="32"/>
          <w:highlight w:val="none"/>
          <w:shd w:val="clear" w:color="auto" w:fill="FFFFFF"/>
          <w:lang w:val="zh-CN" w:eastAsia="zh-CN"/>
        </w:rPr>
      </w:pPr>
      <w:r>
        <w:rPr>
          <w:rFonts w:hint="eastAsia" w:ascii="仿宋_GB2312" w:hAnsi="仿宋_GB2312" w:eastAsia="仿宋_GB2312" w:cs="仿宋_GB2312"/>
          <w:b w:val="0"/>
          <w:bCs w:val="0"/>
          <w:kern w:val="0"/>
          <w:position w:val="0"/>
          <w:sz w:val="32"/>
          <w:szCs w:val="32"/>
          <w:highlight w:val="none"/>
          <w:lang w:val="en-US" w:eastAsia="zh-CN" w:bidi="ar-SA"/>
        </w:rPr>
        <w:t>松潘县公共就业和人才交流服务中心</w:t>
      </w:r>
      <w:r>
        <w:rPr>
          <w:rFonts w:hint="eastAsia" w:ascii="Times New Roman" w:hAnsi="Times New Roman" w:cs="Times New Roman"/>
          <w:color w:val="000000"/>
          <w:kern w:val="0"/>
          <w:szCs w:val="32"/>
          <w:highlight w:val="none"/>
          <w:shd w:val="clear" w:color="auto" w:fill="FFFFFF"/>
          <w:lang w:val="zh-CN" w:eastAsia="zh-CN"/>
        </w:rPr>
        <w:t>2023年预算绩效管理工作，均按要求完成了预算项目事前绩效目标填报、事中绩效监控、事后绩效评价等绩效管理的全过程工作。</w:t>
      </w:r>
    </w:p>
    <w:p w14:paraId="2569C525">
      <w:pPr>
        <w:keepNext w:val="0"/>
        <w:keepLines w:val="0"/>
        <w:pageBreakBefore w:val="0"/>
        <w:widowControl w:val="0"/>
        <w:kinsoku/>
        <w:wordWrap/>
        <w:overflowPunct/>
        <w:topLinePunct w:val="0"/>
        <w:autoSpaceDE/>
        <w:autoSpaceDN/>
        <w:bidi w:val="0"/>
        <w:snapToGrid w:val="0"/>
        <w:spacing w:line="600" w:lineRule="exact"/>
        <w:ind w:firstLine="640" w:firstLineChars="200"/>
        <w:textAlignment w:val="auto"/>
        <w:rPr>
          <w:rFonts w:hint="eastAsia" w:ascii="Times New Roman" w:hAnsi="Times New Roman" w:cs="Times New Roman"/>
          <w:color w:val="000000"/>
          <w:kern w:val="0"/>
          <w:szCs w:val="32"/>
          <w:highlight w:val="none"/>
          <w:shd w:val="clear" w:color="auto" w:fill="FFFFFF"/>
          <w:lang w:val="zh-CN" w:eastAsia="zh-CN"/>
        </w:rPr>
      </w:pPr>
      <w:r>
        <w:rPr>
          <w:rFonts w:hint="eastAsia" w:ascii="Times New Roman" w:hAnsi="Times New Roman" w:cs="Times New Roman"/>
          <w:color w:val="000000"/>
          <w:kern w:val="0"/>
          <w:szCs w:val="32"/>
          <w:highlight w:val="none"/>
          <w:shd w:val="clear" w:color="auto" w:fill="FFFFFF"/>
          <w:lang w:val="en-US" w:eastAsia="zh-CN"/>
        </w:rPr>
        <w:t>2023年</w:t>
      </w:r>
      <w:r>
        <w:rPr>
          <w:rFonts w:hint="eastAsia" w:cs="Times New Roman"/>
          <w:color w:val="000000"/>
          <w:kern w:val="0"/>
          <w:szCs w:val="32"/>
          <w:highlight w:val="none"/>
          <w:shd w:val="clear" w:color="auto" w:fill="FFFFFF"/>
          <w:lang w:val="en-US" w:eastAsia="zh-CN"/>
        </w:rPr>
        <w:t>单位</w:t>
      </w:r>
      <w:r>
        <w:rPr>
          <w:rFonts w:hint="eastAsia" w:ascii="Times New Roman" w:hAnsi="Times New Roman" w:cs="Times New Roman"/>
          <w:color w:val="000000"/>
          <w:kern w:val="0"/>
          <w:szCs w:val="32"/>
          <w:highlight w:val="none"/>
          <w:shd w:val="clear" w:color="auto" w:fill="FFFFFF"/>
          <w:lang w:val="en-US" w:eastAsia="zh-CN"/>
        </w:rPr>
        <w:t>共有特定目标类项目5个，均按要求完成了项目绩效目标填报、事中绩效目标监控、事后绩效目标自评，在评价过程中</w:t>
      </w:r>
      <w:r>
        <w:rPr>
          <w:rFonts w:hint="eastAsia" w:ascii="仿宋_GB2312" w:hAnsi="仿宋_GB2312" w:eastAsia="仿宋_GB2312" w:cs="仿宋_GB2312"/>
          <w:b w:val="0"/>
          <w:bCs w:val="0"/>
          <w:kern w:val="0"/>
          <w:position w:val="0"/>
          <w:sz w:val="32"/>
          <w:szCs w:val="32"/>
          <w:highlight w:val="none"/>
          <w:lang w:val="en-US" w:eastAsia="zh-CN" w:bidi="ar-SA"/>
        </w:rPr>
        <w:t>松潘县公共就业和人才交流服务中心</w:t>
      </w:r>
      <w:r>
        <w:rPr>
          <w:rFonts w:hint="eastAsia" w:ascii="仿宋_GB2312" w:hAnsi="仿宋_GB2312" w:cs="仿宋_GB2312"/>
          <w:b w:val="0"/>
          <w:bCs w:val="0"/>
          <w:kern w:val="0"/>
          <w:position w:val="0"/>
          <w:sz w:val="32"/>
          <w:szCs w:val="32"/>
          <w:highlight w:val="none"/>
          <w:lang w:val="en-US" w:eastAsia="zh-CN" w:bidi="ar-SA"/>
        </w:rPr>
        <w:t>按</w:t>
      </w:r>
      <w:r>
        <w:rPr>
          <w:rFonts w:hint="eastAsia" w:ascii="Times New Roman" w:hAnsi="Times New Roman" w:cs="Times New Roman"/>
          <w:color w:val="000000"/>
          <w:kern w:val="0"/>
          <w:szCs w:val="32"/>
          <w:highlight w:val="none"/>
          <w:shd w:val="clear" w:color="auto" w:fill="FFFFFF"/>
          <w:lang w:val="en-US" w:eastAsia="zh-CN"/>
        </w:rPr>
        <w:t>要求提供了部门整体绩效自评报告，报告格式规范、内容完整</w:t>
      </w:r>
      <w:r>
        <w:rPr>
          <w:rFonts w:hint="eastAsia" w:ascii="Times New Roman" w:hAnsi="Times New Roman" w:cs="Times New Roman"/>
          <w:color w:val="000000"/>
          <w:kern w:val="0"/>
          <w:szCs w:val="32"/>
          <w:highlight w:val="none"/>
          <w:shd w:val="clear" w:color="auto" w:fill="FFFFFF"/>
          <w:lang w:val="zh-CN" w:eastAsia="zh-CN"/>
        </w:rPr>
        <w:t>。</w:t>
      </w:r>
    </w:p>
    <w:p w14:paraId="110E0716">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default" w:ascii="Times New Roman" w:hAnsi="Times New Roman" w:eastAsia="黑体" w:cs="Times New Roman"/>
          <w:color w:val="000000"/>
          <w:kern w:val="0"/>
          <w:szCs w:val="32"/>
          <w:highlight w:val="none"/>
          <w:shd w:val="clear" w:color="auto" w:fill="FFFFFF"/>
        </w:rPr>
      </w:pPr>
      <w:r>
        <w:rPr>
          <w:rFonts w:hint="default" w:ascii="Times New Roman" w:hAnsi="Times New Roman" w:eastAsia="黑体" w:cs="Times New Roman"/>
          <w:color w:val="000000"/>
          <w:kern w:val="0"/>
          <w:szCs w:val="32"/>
          <w:highlight w:val="none"/>
          <w:shd w:val="clear" w:color="auto" w:fill="FFFFFF"/>
          <w:lang w:eastAsia="zh-CN"/>
        </w:rPr>
        <w:t>四、</w:t>
      </w:r>
      <w:r>
        <w:rPr>
          <w:rFonts w:hint="default" w:ascii="Times New Roman" w:hAnsi="Times New Roman" w:eastAsia="黑体" w:cs="Times New Roman"/>
          <w:color w:val="000000"/>
          <w:kern w:val="0"/>
          <w:szCs w:val="32"/>
          <w:highlight w:val="none"/>
          <w:shd w:val="clear" w:color="auto" w:fill="FFFFFF"/>
        </w:rPr>
        <w:t>评价结论及建议</w:t>
      </w:r>
    </w:p>
    <w:p w14:paraId="7AE55A6A">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eastAsia="楷体_GB2312" w:cs="Times New Roman"/>
          <w:b/>
          <w:bCs/>
          <w:color w:val="000000"/>
          <w:kern w:val="0"/>
          <w:szCs w:val="32"/>
          <w:highlight w:val="none"/>
          <w:shd w:val="clear" w:color="auto" w:fill="FFFFFF"/>
          <w:lang w:val="zh-CN"/>
        </w:rPr>
      </w:pPr>
      <w:r>
        <w:rPr>
          <w:rFonts w:hint="default" w:ascii="Times New Roman" w:hAnsi="Times New Roman" w:eastAsia="楷体_GB2312" w:cs="Times New Roman"/>
          <w:b/>
          <w:bCs/>
          <w:color w:val="000000"/>
          <w:kern w:val="0"/>
          <w:szCs w:val="32"/>
          <w:highlight w:val="none"/>
          <w:shd w:val="clear" w:color="auto" w:fill="FFFFFF"/>
          <w:lang w:val="zh-CN"/>
        </w:rPr>
        <w:t>（一）评价结论。</w:t>
      </w:r>
    </w:p>
    <w:p w14:paraId="05978006">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仿宋_GB2312" w:hAnsi="仿宋_GB2312" w:eastAsia="仿宋_GB2312" w:cs="仿宋_GB2312"/>
          <w:b w:val="0"/>
          <w:bCs w:val="0"/>
          <w:kern w:val="0"/>
          <w:position w:val="0"/>
          <w:sz w:val="32"/>
          <w:szCs w:val="32"/>
          <w:highlight w:val="none"/>
          <w:lang w:val="en-US" w:eastAsia="zh-CN" w:bidi="ar-SA"/>
        </w:rPr>
      </w:pPr>
      <w:r>
        <w:rPr>
          <w:rFonts w:hint="eastAsia" w:ascii="仿宋_GB2312" w:hAnsi="仿宋_GB2312" w:eastAsia="仿宋_GB2312" w:cs="仿宋_GB2312"/>
          <w:b w:val="0"/>
          <w:bCs w:val="0"/>
          <w:kern w:val="0"/>
          <w:position w:val="0"/>
          <w:sz w:val="32"/>
          <w:szCs w:val="32"/>
          <w:highlight w:val="none"/>
          <w:lang w:val="en-US" w:eastAsia="zh-CN" w:bidi="ar-SA"/>
        </w:rPr>
        <w:t>松潘县公共就业和人才交流服务中心2023年完成了法定职责以及年初制定的目标任务，单位运转正常，年度重点工作基本达到预期目标，履行了单位应尽的职责。但存在预算安排准确性有待提高、需加强单位制度建设及做好成本控制等问题。经评价，松潘县公共就业和人才交流服务中心2023年部门整体支出绩效评价为优秀。</w:t>
      </w:r>
    </w:p>
    <w:p w14:paraId="035BC3A0">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eastAsia="楷体_GB2312" w:cs="Times New Roman"/>
          <w:b/>
          <w:bCs/>
          <w:color w:val="000000"/>
          <w:kern w:val="0"/>
          <w:szCs w:val="32"/>
          <w:highlight w:val="none"/>
          <w:shd w:val="clear" w:color="auto" w:fill="FFFFFF"/>
          <w:lang w:val="zh-CN"/>
        </w:rPr>
      </w:pPr>
      <w:r>
        <w:rPr>
          <w:rFonts w:hint="default" w:ascii="Times New Roman" w:hAnsi="Times New Roman" w:eastAsia="楷体_GB2312" w:cs="Times New Roman"/>
          <w:b/>
          <w:bCs/>
          <w:color w:val="000000"/>
          <w:kern w:val="0"/>
          <w:szCs w:val="32"/>
          <w:highlight w:val="none"/>
          <w:shd w:val="clear" w:color="auto" w:fill="FFFFFF"/>
          <w:lang w:val="zh-CN"/>
        </w:rPr>
        <w:t>（二）存在问题。</w:t>
      </w:r>
    </w:p>
    <w:p w14:paraId="71BC8BC4">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仿宋_GB2312" w:hAnsi="仿宋_GB2312" w:eastAsia="仿宋_GB2312" w:cs="仿宋_GB2312"/>
          <w:b w:val="0"/>
          <w:bCs w:val="0"/>
          <w:kern w:val="0"/>
          <w:position w:val="0"/>
          <w:sz w:val="32"/>
          <w:szCs w:val="32"/>
          <w:highlight w:val="none"/>
          <w:lang w:val="en-US" w:eastAsia="zh-CN" w:bidi="ar-SA"/>
        </w:rPr>
      </w:pPr>
      <w:r>
        <w:rPr>
          <w:rFonts w:hint="eastAsia" w:ascii="仿宋_GB2312" w:hAnsi="仿宋_GB2312" w:eastAsia="仿宋_GB2312" w:cs="仿宋_GB2312"/>
          <w:b w:val="0"/>
          <w:bCs w:val="0"/>
          <w:kern w:val="0"/>
          <w:position w:val="0"/>
          <w:sz w:val="32"/>
          <w:szCs w:val="32"/>
          <w:highlight w:val="none"/>
          <w:lang w:val="en-US" w:eastAsia="zh-CN" w:bidi="ar-SA"/>
        </w:rPr>
        <w:t>个别项目支出预算编制不够具体细化，导致预算执行率</w:t>
      </w:r>
      <w:r>
        <w:rPr>
          <w:rFonts w:hint="eastAsia" w:ascii="仿宋_GB2312" w:hAnsi="仿宋_GB2312" w:cs="仿宋_GB2312"/>
          <w:b w:val="0"/>
          <w:bCs w:val="0"/>
          <w:kern w:val="0"/>
          <w:position w:val="0"/>
          <w:sz w:val="32"/>
          <w:szCs w:val="32"/>
          <w:highlight w:val="none"/>
          <w:lang w:val="en-US" w:eastAsia="zh-CN" w:bidi="ar-SA"/>
        </w:rPr>
        <w:t>未达到100%</w:t>
      </w:r>
      <w:r>
        <w:rPr>
          <w:rFonts w:hint="eastAsia" w:ascii="仿宋_GB2312" w:hAnsi="仿宋_GB2312" w:eastAsia="仿宋_GB2312" w:cs="仿宋_GB2312"/>
          <w:b w:val="0"/>
          <w:bCs w:val="0"/>
          <w:kern w:val="0"/>
          <w:position w:val="0"/>
          <w:sz w:val="32"/>
          <w:szCs w:val="32"/>
          <w:highlight w:val="none"/>
          <w:lang w:val="en-US" w:eastAsia="zh-CN" w:bidi="ar-SA"/>
        </w:rPr>
        <w:t>。东西部劳务协作工作经费项目经费该项目经费年初预算</w:t>
      </w:r>
      <w:r>
        <w:rPr>
          <w:rFonts w:hint="eastAsia" w:ascii="仿宋_GB2312" w:hAnsi="仿宋_GB2312" w:cs="仿宋_GB2312"/>
          <w:b w:val="0"/>
          <w:bCs w:val="0"/>
          <w:kern w:val="0"/>
          <w:position w:val="0"/>
          <w:sz w:val="32"/>
          <w:szCs w:val="32"/>
          <w:highlight w:val="none"/>
          <w:lang w:val="en-US" w:eastAsia="zh-CN" w:bidi="ar-SA"/>
        </w:rPr>
        <w:t>0</w:t>
      </w:r>
      <w:r>
        <w:rPr>
          <w:rFonts w:hint="eastAsia" w:ascii="仿宋_GB2312" w:hAnsi="仿宋_GB2312" w:eastAsia="仿宋_GB2312" w:cs="仿宋_GB2312"/>
          <w:b w:val="0"/>
          <w:bCs w:val="0"/>
          <w:kern w:val="0"/>
          <w:position w:val="0"/>
          <w:sz w:val="32"/>
          <w:szCs w:val="32"/>
          <w:highlight w:val="none"/>
          <w:lang w:val="en-US" w:eastAsia="zh-CN" w:bidi="ar-SA"/>
        </w:rPr>
        <w:t>万元，调整后预算数</w:t>
      </w:r>
      <w:r>
        <w:rPr>
          <w:rFonts w:hint="eastAsia" w:ascii="仿宋_GB2312" w:hAnsi="仿宋_GB2312" w:cs="仿宋_GB2312"/>
          <w:b w:val="0"/>
          <w:bCs w:val="0"/>
          <w:kern w:val="0"/>
          <w:position w:val="0"/>
          <w:sz w:val="32"/>
          <w:szCs w:val="32"/>
          <w:highlight w:val="none"/>
          <w:lang w:val="en-US" w:eastAsia="zh-CN" w:bidi="ar-SA"/>
        </w:rPr>
        <w:t>125.96</w:t>
      </w:r>
      <w:r>
        <w:rPr>
          <w:rFonts w:hint="eastAsia" w:ascii="仿宋_GB2312" w:hAnsi="仿宋_GB2312" w:eastAsia="仿宋_GB2312" w:cs="仿宋_GB2312"/>
          <w:b w:val="0"/>
          <w:bCs w:val="0"/>
          <w:kern w:val="0"/>
          <w:position w:val="0"/>
          <w:sz w:val="32"/>
          <w:szCs w:val="32"/>
          <w:highlight w:val="none"/>
          <w:lang w:val="en-US" w:eastAsia="zh-CN" w:bidi="ar-SA"/>
        </w:rPr>
        <w:t>万元，预算执行数</w:t>
      </w:r>
      <w:r>
        <w:rPr>
          <w:rFonts w:hint="eastAsia" w:ascii="仿宋_GB2312" w:hAnsi="仿宋_GB2312" w:cs="仿宋_GB2312"/>
          <w:b w:val="0"/>
          <w:bCs w:val="0"/>
          <w:kern w:val="0"/>
          <w:position w:val="0"/>
          <w:sz w:val="32"/>
          <w:szCs w:val="32"/>
          <w:highlight w:val="none"/>
          <w:lang w:val="en-US" w:eastAsia="zh-CN" w:bidi="ar-SA"/>
        </w:rPr>
        <w:t>119.34</w:t>
      </w:r>
      <w:r>
        <w:rPr>
          <w:rFonts w:hint="eastAsia" w:ascii="仿宋_GB2312" w:hAnsi="仿宋_GB2312" w:eastAsia="仿宋_GB2312" w:cs="仿宋_GB2312"/>
          <w:b w:val="0"/>
          <w:bCs w:val="0"/>
          <w:kern w:val="0"/>
          <w:position w:val="0"/>
          <w:sz w:val="32"/>
          <w:szCs w:val="32"/>
          <w:highlight w:val="none"/>
          <w:lang w:val="en-US" w:eastAsia="zh-CN" w:bidi="ar-SA"/>
        </w:rPr>
        <w:t>万元，预算执行率</w:t>
      </w:r>
      <w:r>
        <w:rPr>
          <w:rFonts w:hint="eastAsia" w:ascii="仿宋_GB2312" w:hAnsi="仿宋_GB2312" w:cs="仿宋_GB2312"/>
          <w:b w:val="0"/>
          <w:bCs w:val="0"/>
          <w:kern w:val="0"/>
          <w:position w:val="0"/>
          <w:sz w:val="32"/>
          <w:szCs w:val="32"/>
          <w:highlight w:val="none"/>
          <w:lang w:val="en-US" w:eastAsia="zh-CN" w:bidi="ar-SA"/>
        </w:rPr>
        <w:t>94.74</w:t>
      </w:r>
      <w:r>
        <w:rPr>
          <w:rFonts w:hint="eastAsia" w:ascii="仿宋_GB2312" w:hAnsi="仿宋_GB2312" w:eastAsia="仿宋_GB2312" w:cs="仿宋_GB2312"/>
          <w:b w:val="0"/>
          <w:bCs w:val="0"/>
          <w:kern w:val="0"/>
          <w:position w:val="0"/>
          <w:sz w:val="32"/>
          <w:szCs w:val="32"/>
          <w:highlight w:val="none"/>
          <w:lang w:val="en-US" w:eastAsia="zh-CN" w:bidi="ar-SA"/>
        </w:rPr>
        <w:t>%，预算完成率</w:t>
      </w:r>
      <w:r>
        <w:rPr>
          <w:rFonts w:hint="eastAsia" w:ascii="仿宋_GB2312" w:hAnsi="仿宋_GB2312" w:cs="仿宋_GB2312"/>
          <w:b w:val="0"/>
          <w:bCs w:val="0"/>
          <w:kern w:val="0"/>
          <w:position w:val="0"/>
          <w:sz w:val="32"/>
          <w:szCs w:val="32"/>
          <w:highlight w:val="none"/>
          <w:lang w:val="en-US" w:eastAsia="zh-CN" w:bidi="ar-SA"/>
        </w:rPr>
        <w:t>相对其他项目比</w:t>
      </w:r>
      <w:r>
        <w:rPr>
          <w:rFonts w:hint="eastAsia" w:ascii="仿宋_GB2312" w:hAnsi="仿宋_GB2312" w:eastAsia="仿宋_GB2312" w:cs="仿宋_GB2312"/>
          <w:b w:val="0"/>
          <w:bCs w:val="0"/>
          <w:kern w:val="0"/>
          <w:position w:val="0"/>
          <w:sz w:val="32"/>
          <w:szCs w:val="32"/>
          <w:highlight w:val="none"/>
          <w:lang w:val="en-US" w:eastAsia="zh-CN" w:bidi="ar-SA"/>
        </w:rPr>
        <w:t>较低。主要系该工作经费预算编制不够具体细化，未明确具体实施内容，导致该项预算执行率仅为</w:t>
      </w:r>
      <w:r>
        <w:rPr>
          <w:rFonts w:hint="eastAsia" w:ascii="仿宋_GB2312" w:hAnsi="仿宋_GB2312" w:cs="仿宋_GB2312"/>
          <w:b w:val="0"/>
          <w:bCs w:val="0"/>
          <w:kern w:val="0"/>
          <w:position w:val="0"/>
          <w:sz w:val="32"/>
          <w:szCs w:val="32"/>
          <w:highlight w:val="none"/>
          <w:lang w:val="en-US" w:eastAsia="zh-CN" w:bidi="ar-SA"/>
        </w:rPr>
        <w:t>94.74</w:t>
      </w:r>
      <w:r>
        <w:rPr>
          <w:rFonts w:hint="eastAsia" w:ascii="仿宋_GB2312" w:hAnsi="仿宋_GB2312" w:eastAsia="仿宋_GB2312" w:cs="仿宋_GB2312"/>
          <w:b w:val="0"/>
          <w:bCs w:val="0"/>
          <w:kern w:val="0"/>
          <w:position w:val="0"/>
          <w:sz w:val="32"/>
          <w:szCs w:val="32"/>
          <w:highlight w:val="none"/>
          <w:lang w:val="en-US" w:eastAsia="zh-CN" w:bidi="ar-SA"/>
        </w:rPr>
        <w:t>%。</w:t>
      </w:r>
    </w:p>
    <w:p w14:paraId="0C47BAC8">
      <w:pPr>
        <w:keepNext w:val="0"/>
        <w:keepLines w:val="0"/>
        <w:pageBreakBefore w:val="0"/>
        <w:widowControl/>
        <w:kinsoku/>
        <w:wordWrap/>
        <w:overflowPunct/>
        <w:topLinePunct w:val="0"/>
        <w:autoSpaceDE/>
        <w:autoSpaceDN/>
        <w:bidi w:val="0"/>
        <w:adjustRightInd w:val="0"/>
        <w:snapToGrid w:val="0"/>
        <w:spacing w:line="578" w:lineRule="exact"/>
        <w:ind w:firstLine="643" w:firstLineChars="200"/>
        <w:contextualSpacing/>
        <w:jc w:val="left"/>
        <w:textAlignment w:val="auto"/>
        <w:outlineLvl w:val="9"/>
        <w:rPr>
          <w:rFonts w:hint="default" w:ascii="Times New Roman" w:hAnsi="Times New Roman" w:eastAsia="楷体_GB2312" w:cs="Times New Roman"/>
          <w:b/>
          <w:bCs/>
          <w:color w:val="000000"/>
          <w:kern w:val="0"/>
          <w:szCs w:val="32"/>
          <w:highlight w:val="none"/>
          <w:shd w:val="clear" w:color="auto" w:fill="FFFFFF"/>
          <w:lang w:val="zh-CN" w:eastAsia="zh-CN"/>
        </w:rPr>
      </w:pPr>
      <w:r>
        <w:rPr>
          <w:rFonts w:hint="default" w:ascii="Times New Roman" w:hAnsi="Times New Roman" w:eastAsia="楷体_GB2312" w:cs="Times New Roman"/>
          <w:b/>
          <w:bCs/>
          <w:color w:val="000000"/>
          <w:kern w:val="0"/>
          <w:szCs w:val="32"/>
          <w:highlight w:val="none"/>
          <w:shd w:val="clear" w:color="auto" w:fill="FFFFFF"/>
          <w:lang w:val="zh-CN" w:eastAsia="zh-CN"/>
        </w:rPr>
        <w:t>（三）改进建议。</w:t>
      </w:r>
    </w:p>
    <w:p w14:paraId="61DA1F6F">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仿宋_GB2312" w:hAnsi="仿宋_GB2312" w:eastAsia="仿宋_GB2312" w:cs="仿宋_GB2312"/>
          <w:b w:val="0"/>
          <w:bCs w:val="0"/>
          <w:kern w:val="0"/>
          <w:position w:val="0"/>
          <w:sz w:val="32"/>
          <w:szCs w:val="32"/>
          <w:highlight w:val="none"/>
          <w:lang w:val="en-US" w:eastAsia="zh-CN" w:bidi="ar-SA"/>
        </w:rPr>
      </w:pPr>
      <w:r>
        <w:rPr>
          <w:rFonts w:hint="eastAsia" w:ascii="仿宋_GB2312" w:hAnsi="仿宋_GB2312" w:cs="仿宋_GB2312"/>
          <w:b w:val="0"/>
          <w:bCs w:val="0"/>
          <w:kern w:val="0"/>
          <w:position w:val="0"/>
          <w:sz w:val="32"/>
          <w:szCs w:val="32"/>
          <w:highlight w:val="none"/>
          <w:lang w:val="en-US" w:eastAsia="zh-CN" w:bidi="ar-SA"/>
        </w:rPr>
        <w:t>1</w:t>
      </w:r>
      <w:r>
        <w:rPr>
          <w:rFonts w:hint="eastAsia" w:ascii="仿宋_GB2312" w:hAnsi="仿宋_GB2312" w:eastAsia="仿宋_GB2312" w:cs="仿宋_GB2312"/>
          <w:b w:val="0"/>
          <w:bCs w:val="0"/>
          <w:kern w:val="0"/>
          <w:position w:val="0"/>
          <w:sz w:val="32"/>
          <w:szCs w:val="32"/>
          <w:highlight w:val="none"/>
          <w:lang w:val="en-US" w:eastAsia="zh-CN" w:bidi="ar-SA"/>
        </w:rPr>
        <w:t>、进一步细化年度目标任务，对分解的目标任务进行仔细分析及测算，做好预算编制的沟通与协调工作，努力提高预算编制的准确性与前瞻性，降低年度预算调整幅度，加强对预算执行的控制，体现预算的刚性约束力。</w:t>
      </w:r>
    </w:p>
    <w:p w14:paraId="38B9DB24">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仿宋_GB2312" w:hAnsi="仿宋_GB2312" w:eastAsia="仿宋_GB2312" w:cs="仿宋_GB2312"/>
          <w:b w:val="0"/>
          <w:bCs w:val="0"/>
          <w:kern w:val="0"/>
          <w:position w:val="0"/>
          <w:sz w:val="32"/>
          <w:szCs w:val="32"/>
          <w:highlight w:val="none"/>
          <w:lang w:val="en-US" w:eastAsia="zh-CN" w:bidi="ar-SA"/>
        </w:rPr>
      </w:pPr>
      <w:r>
        <w:rPr>
          <w:rFonts w:hint="eastAsia" w:ascii="仿宋_GB2312" w:hAnsi="仿宋_GB2312" w:eastAsia="仿宋_GB2312" w:cs="仿宋_GB2312"/>
          <w:b w:val="0"/>
          <w:bCs w:val="0"/>
          <w:kern w:val="0"/>
          <w:position w:val="0"/>
          <w:sz w:val="32"/>
          <w:szCs w:val="32"/>
          <w:highlight w:val="none"/>
          <w:lang w:val="en-US" w:eastAsia="zh-CN" w:bidi="ar-SA"/>
        </w:rPr>
        <w:t>2、进一步加快预算资金的执行进度，努力提升资金使用效益。</w:t>
      </w:r>
    </w:p>
    <w:p w14:paraId="2E09ECD7">
      <w:pPr>
        <w:keepNext w:val="0"/>
        <w:keepLines w:val="0"/>
        <w:pageBreakBefore w:val="0"/>
        <w:widowControl/>
        <w:kinsoku/>
        <w:wordWrap/>
        <w:overflowPunct/>
        <w:topLinePunct w:val="0"/>
        <w:autoSpaceDE/>
        <w:autoSpaceDN/>
        <w:bidi w:val="0"/>
        <w:adjustRightInd w:val="0"/>
        <w:snapToGrid w:val="0"/>
        <w:spacing w:line="578" w:lineRule="exact"/>
        <w:ind w:firstLine="640" w:firstLineChars="200"/>
        <w:contextualSpacing/>
        <w:jc w:val="left"/>
        <w:textAlignment w:val="auto"/>
        <w:outlineLvl w:val="9"/>
        <w:rPr>
          <w:rFonts w:hint="eastAsia" w:ascii="仿宋_GB2312" w:hAnsi="仿宋_GB2312" w:eastAsia="仿宋_GB2312" w:cs="仿宋_GB2312"/>
          <w:b w:val="0"/>
          <w:bCs w:val="0"/>
          <w:kern w:val="0"/>
          <w:position w:val="0"/>
          <w:sz w:val="32"/>
          <w:szCs w:val="32"/>
          <w:highlight w:val="none"/>
          <w:lang w:val="en-US" w:eastAsia="zh-CN" w:bidi="ar-SA"/>
        </w:rPr>
      </w:pPr>
      <w:r>
        <w:rPr>
          <w:rFonts w:hint="eastAsia" w:ascii="仿宋_GB2312" w:hAnsi="仿宋_GB2312" w:eastAsia="仿宋_GB2312" w:cs="仿宋_GB2312"/>
          <w:b w:val="0"/>
          <w:bCs w:val="0"/>
          <w:kern w:val="0"/>
          <w:position w:val="0"/>
          <w:sz w:val="32"/>
          <w:szCs w:val="32"/>
          <w:highlight w:val="none"/>
          <w:lang w:val="en-US" w:eastAsia="zh-CN" w:bidi="ar-SA"/>
        </w:rPr>
        <w:t>3、进一步完善内控管理制度，建立完善项目资金管理办法，有助于进一步加强对预算资金使用的管控，提高财政资金的使用效率，促进财政支出绩效不断提升。</w:t>
      </w:r>
    </w:p>
    <w:p w14:paraId="19C7D45D">
      <w:pPr>
        <w:keepNext w:val="0"/>
        <w:keepLines w:val="0"/>
        <w:pageBreakBefore w:val="0"/>
        <w:kinsoku/>
        <w:wordWrap/>
        <w:overflowPunct/>
        <w:topLinePunct w:val="0"/>
        <w:autoSpaceDE/>
        <w:autoSpaceDN/>
        <w:bidi w:val="0"/>
        <w:spacing w:line="578" w:lineRule="exact"/>
        <w:contextualSpacing/>
        <w:textAlignment w:val="auto"/>
        <w:outlineLvl w:val="9"/>
        <w:rPr>
          <w:rFonts w:hint="default" w:ascii="Times New Roman" w:hAnsi="Times New Roman" w:eastAsia="黑体" w:cs="Times New Roman"/>
          <w:szCs w:val="32"/>
          <w:highlight w:val="none"/>
          <w:lang w:val="en-US" w:eastAsia="zh-CN"/>
        </w:rPr>
      </w:pPr>
    </w:p>
    <w:p w14:paraId="58876573">
      <w:pPr>
        <w:keepNext w:val="0"/>
        <w:keepLines w:val="0"/>
        <w:pageBreakBefore w:val="0"/>
        <w:kinsoku/>
        <w:wordWrap/>
        <w:overflowPunct/>
        <w:topLinePunct w:val="0"/>
        <w:autoSpaceDE/>
        <w:autoSpaceDN/>
        <w:bidi w:val="0"/>
        <w:spacing w:line="578" w:lineRule="exact"/>
        <w:ind w:firstLine="640" w:firstLineChars="200"/>
        <w:textAlignment w:val="auto"/>
        <w:rPr>
          <w:rFonts w:hint="default" w:ascii="Times New Roman" w:hAnsi="Times New Roman" w:eastAsia="仿宋_GB2312" w:cs="Times New Roman"/>
          <w:kern w:val="2"/>
          <w:sz w:val="32"/>
          <w:szCs w:val="24"/>
          <w:highlight w:val="none"/>
          <w:lang w:val="en-US" w:eastAsia="zh-CN" w:bidi="ar-SA"/>
        </w:rPr>
      </w:pPr>
      <w:r>
        <w:rPr>
          <w:rFonts w:hint="eastAsia" w:ascii="Times New Roman" w:hAnsi="Times New Roman" w:cs="Times New Roman"/>
          <w:color w:val="000000"/>
          <w:kern w:val="0"/>
          <w:szCs w:val="32"/>
          <w:highlight w:val="none"/>
          <w:shd w:val="clear" w:color="auto" w:fill="FFFFFF"/>
          <w:lang w:val="en-US" w:eastAsia="zh-CN"/>
        </w:rPr>
        <w:t>附表：</w:t>
      </w:r>
      <w:r>
        <w:rPr>
          <w:rFonts w:hint="default" w:ascii="Times New Roman" w:hAnsi="Times New Roman" w:cs="Times New Roman"/>
          <w:color w:val="000000"/>
          <w:kern w:val="0"/>
          <w:szCs w:val="32"/>
          <w:highlight w:val="none"/>
          <w:shd w:val="clear" w:color="auto" w:fill="FFFFFF"/>
          <w:lang w:val="en-US" w:eastAsia="zh-CN"/>
        </w:rPr>
        <w:t>部门整体支出绩效目标完成情况自评表</w:t>
      </w:r>
      <w:r>
        <w:rPr>
          <w:rFonts w:hint="default" w:ascii="Times New Roman" w:hAnsi="Times New Roman" w:cs="Times New Roman"/>
          <w:color w:val="000000"/>
          <w:kern w:val="0"/>
          <w:szCs w:val="32"/>
          <w:highlight w:val="none"/>
          <w:shd w:val="clear" w:color="auto" w:fill="FFFFFF"/>
          <w:lang w:val="en-US" w:eastAsia="zh-CN"/>
        </w:rPr>
        <w:br w:type="page"/>
      </w:r>
      <w:r>
        <w:rPr>
          <w:rFonts w:hint="eastAsia" w:ascii="黑体" w:hAnsi="黑体" w:eastAsia="黑体" w:cs="黑体"/>
          <w:kern w:val="2"/>
          <w:sz w:val="32"/>
          <w:szCs w:val="24"/>
          <w:highlight w:val="none"/>
          <w:lang w:val="en-US" w:eastAsia="zh-CN" w:bidi="ar-SA"/>
        </w:rPr>
        <w:t>附表</w:t>
      </w:r>
    </w:p>
    <w:tbl>
      <w:tblPr>
        <w:tblStyle w:val="11"/>
        <w:tblW w:w="105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554"/>
        <w:gridCol w:w="754"/>
        <w:gridCol w:w="754"/>
        <w:gridCol w:w="2715"/>
        <w:gridCol w:w="778"/>
        <w:gridCol w:w="895"/>
        <w:gridCol w:w="777"/>
        <w:gridCol w:w="777"/>
        <w:gridCol w:w="1556"/>
      </w:tblGrid>
      <w:tr w14:paraId="110653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762" w:hRule="exact"/>
          <w:jc w:val="center"/>
        </w:trPr>
        <w:tc>
          <w:tcPr>
            <w:tcW w:w="10560" w:type="dxa"/>
            <w:gridSpan w:val="9"/>
            <w:shd w:val="clear" w:color="auto" w:fill="auto"/>
            <w:vAlign w:val="center"/>
          </w:tcPr>
          <w:p w14:paraId="258F56BD">
            <w:pPr>
              <w:keepNext w:val="0"/>
              <w:keepLines w:val="0"/>
              <w:widowControl/>
              <w:suppressLineNumbers w:val="0"/>
              <w:jc w:val="center"/>
              <w:textAlignment w:val="center"/>
              <w:rPr>
                <w:rFonts w:hint="default" w:ascii="Times New Roman" w:hAnsi="Times New Roman" w:eastAsia="黑体" w:cs="Times New Roman"/>
                <w:i w:val="0"/>
                <w:color w:val="000000"/>
                <w:sz w:val="28"/>
                <w:szCs w:val="28"/>
                <w:u w:val="none"/>
              </w:rPr>
            </w:pPr>
            <w:r>
              <w:rPr>
                <w:rFonts w:hint="default" w:ascii="方正小标宋简体" w:hAnsi="方正小标宋简体" w:eastAsia="方正小标宋简体" w:cs="方正小标宋简体"/>
                <w:i w:val="0"/>
                <w:iCs w:val="0"/>
                <w:color w:val="000000"/>
                <w:kern w:val="0"/>
                <w:sz w:val="44"/>
                <w:szCs w:val="44"/>
                <w:u w:val="none"/>
                <w:lang w:val="en-US" w:eastAsia="zh-CN" w:bidi="ar"/>
              </w:rPr>
              <w:t>部门整体支出绩效目标完成情况自评表</w:t>
            </w:r>
          </w:p>
        </w:tc>
      </w:tr>
      <w:tr w14:paraId="66029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0560" w:type="dxa"/>
            <w:gridSpan w:val="9"/>
            <w:shd w:val="clear" w:color="auto" w:fill="auto"/>
            <w:vAlign w:val="center"/>
          </w:tcPr>
          <w:p w14:paraId="1569ED8B">
            <w:pPr>
              <w:keepNext w:val="0"/>
              <w:keepLines w:val="0"/>
              <w:widowControl/>
              <w:suppressLineNumbers w:val="0"/>
              <w:jc w:val="center"/>
              <w:textAlignment w:val="center"/>
              <w:rPr>
                <w:rFonts w:hint="default" w:ascii="Times New Roman" w:hAnsi="Times New Roman" w:eastAsia="宋体" w:cs="Times New Roman"/>
                <w:i w:val="0"/>
                <w:color w:val="000000"/>
                <w:sz w:val="28"/>
                <w:szCs w:val="28"/>
                <w:u w:val="none"/>
              </w:rPr>
            </w:pPr>
            <w:r>
              <w:rPr>
                <w:rFonts w:hint="eastAsia" w:ascii="宋体" w:hAnsi="宋体" w:eastAsia="宋体" w:cs="宋体"/>
                <w:i w:val="0"/>
                <w:iCs w:val="0"/>
                <w:color w:val="000000"/>
                <w:kern w:val="0"/>
                <w:sz w:val="28"/>
                <w:szCs w:val="28"/>
                <w:u w:val="none"/>
                <w:lang w:val="en-US" w:eastAsia="zh-CN" w:bidi="ar"/>
              </w:rPr>
              <w:t>（</w:t>
            </w:r>
            <w:r>
              <w:rPr>
                <w:rFonts w:hint="default" w:ascii="Times New Roman" w:hAnsi="Times New Roman" w:eastAsia="宋体" w:cs="Times New Roman"/>
                <w:i w:val="0"/>
                <w:iCs w:val="0"/>
                <w:color w:val="000000"/>
                <w:kern w:val="0"/>
                <w:sz w:val="28"/>
                <w:szCs w:val="28"/>
                <w:u w:val="none"/>
                <w:lang w:val="en-US" w:eastAsia="zh-CN" w:bidi="ar"/>
              </w:rPr>
              <w:t>2023</w:t>
            </w:r>
            <w:r>
              <w:rPr>
                <w:rFonts w:hint="eastAsia" w:ascii="宋体" w:hAnsi="宋体" w:eastAsia="宋体" w:cs="宋体"/>
                <w:i w:val="0"/>
                <w:iCs w:val="0"/>
                <w:color w:val="000000"/>
                <w:kern w:val="0"/>
                <w:sz w:val="28"/>
                <w:szCs w:val="28"/>
                <w:u w:val="none"/>
                <w:lang w:val="en-US" w:eastAsia="zh-CN" w:bidi="ar"/>
              </w:rPr>
              <w:t>年度）</w:t>
            </w:r>
          </w:p>
        </w:tc>
      </w:tr>
      <w:tr w14:paraId="15F2E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0560" w:type="dxa"/>
            <w:gridSpan w:val="9"/>
            <w:tcBorders>
              <w:bottom w:val="single" w:color="000000" w:sz="4" w:space="0"/>
            </w:tcBorders>
            <w:shd w:val="clear" w:color="auto" w:fill="auto"/>
            <w:vAlign w:val="center"/>
          </w:tcPr>
          <w:p w14:paraId="3774E0D6">
            <w:pPr>
              <w:keepNext w:val="0"/>
              <w:keepLines w:val="0"/>
              <w:widowControl/>
              <w:suppressLineNumbers w:val="0"/>
              <w:jc w:val="right"/>
              <w:textAlignment w:val="center"/>
              <w:rPr>
                <w:rFonts w:hint="default" w:ascii="Times New Roman" w:hAnsi="Times New Roman" w:eastAsia="宋体" w:cs="Times New Roman"/>
                <w:i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单位：万元</w:t>
            </w:r>
          </w:p>
        </w:tc>
      </w:tr>
      <w:tr w14:paraId="6D7CE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306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63667C0">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部门名称</w:t>
            </w:r>
          </w:p>
        </w:tc>
        <w:tc>
          <w:tcPr>
            <w:tcW w:w="749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BD35E12">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松潘县公共就业和人才交流服务中心</w:t>
            </w:r>
          </w:p>
        </w:tc>
      </w:tr>
      <w:tr w14:paraId="476F6E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79E5D3">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年度部门整体支出预算</w:t>
            </w:r>
          </w:p>
        </w:tc>
        <w:tc>
          <w:tcPr>
            <w:tcW w:w="1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680738">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资金总额</w:t>
            </w:r>
          </w:p>
        </w:tc>
        <w:tc>
          <w:tcPr>
            <w:tcW w:w="34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45B63D">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财政拨款</w:t>
            </w:r>
          </w:p>
        </w:tc>
        <w:tc>
          <w:tcPr>
            <w:tcW w:w="40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11DA83E">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其他资金</w:t>
            </w:r>
          </w:p>
        </w:tc>
      </w:tr>
      <w:tr w14:paraId="6051FA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8C847B">
            <w:pPr>
              <w:jc w:val="center"/>
              <w:rPr>
                <w:rFonts w:hint="default" w:ascii="Times New Roman" w:hAnsi="Times New Roman" w:eastAsia="宋体" w:cs="Times New Roman"/>
                <w:i w:val="0"/>
                <w:color w:val="000000"/>
                <w:sz w:val="24"/>
                <w:szCs w:val="24"/>
                <w:u w:val="none"/>
              </w:rPr>
            </w:pPr>
          </w:p>
        </w:tc>
        <w:tc>
          <w:tcPr>
            <w:tcW w:w="1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56708A">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1009.12 </w:t>
            </w:r>
          </w:p>
        </w:tc>
        <w:tc>
          <w:tcPr>
            <w:tcW w:w="349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94B9E3">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1009.12 </w:t>
            </w:r>
          </w:p>
        </w:tc>
        <w:tc>
          <w:tcPr>
            <w:tcW w:w="400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8FD9BA4">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 xml:space="preserve">0.00 </w:t>
            </w:r>
          </w:p>
        </w:tc>
      </w:tr>
      <w:tr w14:paraId="62A331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9DDDE">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年度总体目标</w:t>
            </w:r>
          </w:p>
        </w:tc>
        <w:tc>
          <w:tcPr>
            <w:tcW w:w="900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27D0A72">
            <w:pPr>
              <w:keepNext w:val="0"/>
              <w:keepLines w:val="0"/>
              <w:widowControl/>
              <w:suppressLineNumbers w:val="0"/>
              <w:jc w:val="left"/>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保障松潘县公共就业和人才交流服务中心在职人员</w:t>
            </w:r>
            <w:r>
              <w:rPr>
                <w:rFonts w:hint="default" w:ascii="Times New Roman" w:hAnsi="Times New Roman" w:eastAsia="宋体" w:cs="Times New Roman"/>
                <w:i w:val="0"/>
                <w:iCs w:val="0"/>
                <w:color w:val="000000"/>
                <w:kern w:val="0"/>
                <w:sz w:val="24"/>
                <w:szCs w:val="24"/>
                <w:u w:val="none"/>
                <w:lang w:val="en-US" w:eastAsia="zh-CN" w:bidi="ar"/>
              </w:rPr>
              <w:t>11</w:t>
            </w:r>
            <w:r>
              <w:rPr>
                <w:rFonts w:hint="eastAsia" w:ascii="宋体" w:hAnsi="宋体" w:eastAsia="宋体" w:cs="宋体"/>
                <w:i w:val="0"/>
                <w:iCs w:val="0"/>
                <w:color w:val="000000"/>
                <w:kern w:val="0"/>
                <w:sz w:val="24"/>
                <w:szCs w:val="24"/>
                <w:u w:val="none"/>
                <w:lang w:val="en-US" w:eastAsia="zh-CN" w:bidi="ar"/>
              </w:rPr>
              <w:t>人的正常办公、生活秩序。</w:t>
            </w:r>
          </w:p>
        </w:tc>
      </w:tr>
      <w:tr w14:paraId="5278AE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277EF16">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年度主要任务</w:t>
            </w:r>
          </w:p>
        </w:tc>
        <w:tc>
          <w:tcPr>
            <w:tcW w:w="1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909111">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任务名称</w:t>
            </w:r>
          </w:p>
        </w:tc>
        <w:tc>
          <w:tcPr>
            <w:tcW w:w="749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33D4220">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主要内容</w:t>
            </w:r>
          </w:p>
        </w:tc>
      </w:tr>
      <w:tr w14:paraId="2BF6E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5E757E">
            <w:pPr>
              <w:jc w:val="center"/>
              <w:rPr>
                <w:rFonts w:hint="default" w:ascii="Times New Roman" w:hAnsi="Times New Roman" w:eastAsia="宋体" w:cs="Times New Roman"/>
                <w:i w:val="0"/>
                <w:color w:val="000000"/>
                <w:sz w:val="24"/>
                <w:szCs w:val="24"/>
                <w:u w:val="none"/>
              </w:rPr>
            </w:pPr>
          </w:p>
        </w:tc>
        <w:tc>
          <w:tcPr>
            <w:tcW w:w="1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9C3AE2">
            <w:pPr>
              <w:keepNext w:val="0"/>
              <w:keepLines w:val="0"/>
              <w:widowControl/>
              <w:suppressLineNumbers w:val="0"/>
              <w:jc w:val="left"/>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保障松潘县人力资源和社会保障局工作运行</w:t>
            </w:r>
          </w:p>
        </w:tc>
        <w:tc>
          <w:tcPr>
            <w:tcW w:w="749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9BB1FEF">
            <w:pPr>
              <w:keepNext w:val="0"/>
              <w:keepLines w:val="0"/>
              <w:widowControl/>
              <w:suppressLineNumbers w:val="0"/>
              <w:jc w:val="left"/>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要负责落实各项就业再就业优惠政策，收集、整理、储存、发布就业再就业信息，统计就业再就业相关数据，为政府和相关部门决策提供依据。开展省内外劳务协作工作。完成县委、县政府和上级主管部门交办的其他工作任务。</w:t>
            </w:r>
          </w:p>
        </w:tc>
      </w:tr>
      <w:tr w14:paraId="3E47BF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33BC1D">
            <w:pPr>
              <w:jc w:val="center"/>
              <w:rPr>
                <w:rFonts w:hint="default" w:ascii="Times New Roman" w:hAnsi="Times New Roman" w:eastAsia="宋体" w:cs="Times New Roman"/>
                <w:i w:val="0"/>
                <w:color w:val="000000"/>
                <w:sz w:val="24"/>
                <w:szCs w:val="24"/>
                <w:u w:val="none"/>
              </w:rPr>
            </w:pPr>
          </w:p>
        </w:tc>
        <w:tc>
          <w:tcPr>
            <w:tcW w:w="1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FC370A">
            <w:pPr>
              <w:keepNext w:val="0"/>
              <w:keepLines w:val="0"/>
              <w:widowControl/>
              <w:suppressLineNumbers w:val="0"/>
              <w:jc w:val="left"/>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保障就业创业工作经费</w:t>
            </w:r>
          </w:p>
        </w:tc>
        <w:tc>
          <w:tcPr>
            <w:tcW w:w="749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5468A6A">
            <w:pPr>
              <w:keepNext w:val="0"/>
              <w:keepLines w:val="0"/>
              <w:widowControl/>
              <w:suppressLineNumbers w:val="0"/>
              <w:jc w:val="left"/>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负责贯彻落实中央、省、州、县有关就业创业的各项政策、法律法规，组织协调落实就业创业各项优惠政策，开展全县就业创业服务工作。</w:t>
            </w:r>
          </w:p>
        </w:tc>
      </w:tr>
      <w:tr w14:paraId="016EF4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9E5003">
            <w:pPr>
              <w:jc w:val="center"/>
              <w:rPr>
                <w:rFonts w:hint="default" w:ascii="Times New Roman" w:hAnsi="Times New Roman" w:eastAsia="宋体" w:cs="Times New Roman"/>
                <w:i w:val="0"/>
                <w:color w:val="000000"/>
                <w:sz w:val="24"/>
                <w:szCs w:val="24"/>
                <w:u w:val="none"/>
              </w:rPr>
            </w:pPr>
          </w:p>
        </w:tc>
        <w:tc>
          <w:tcPr>
            <w:tcW w:w="1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FE76D0">
            <w:pPr>
              <w:keepNext w:val="0"/>
              <w:keepLines w:val="0"/>
              <w:widowControl/>
              <w:suppressLineNumbers w:val="0"/>
              <w:jc w:val="left"/>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保障东西部劳务协作工作经费</w:t>
            </w:r>
          </w:p>
        </w:tc>
        <w:tc>
          <w:tcPr>
            <w:tcW w:w="749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92E5C7E">
            <w:pPr>
              <w:keepNext w:val="0"/>
              <w:keepLines w:val="0"/>
              <w:widowControl/>
              <w:suppressLineNumbers w:val="0"/>
              <w:jc w:val="left"/>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为促进我县城乡劳动力实现就业，以劳务输出为切入点，采取政府组织发动，城乡劳动力广泛参与方式，切实提高转移就业率，帮助城乡劳动力实现就业增收。保障东西部劳务协作工作经费，促进就业。</w:t>
            </w:r>
          </w:p>
        </w:tc>
      </w:tr>
      <w:tr w14:paraId="136A1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4D8AD0">
            <w:pPr>
              <w:jc w:val="center"/>
              <w:rPr>
                <w:rFonts w:hint="default" w:ascii="Times New Roman" w:hAnsi="Times New Roman" w:eastAsia="宋体" w:cs="Times New Roman"/>
                <w:i w:val="0"/>
                <w:color w:val="000000"/>
                <w:sz w:val="24"/>
                <w:szCs w:val="24"/>
                <w:u w:val="none"/>
              </w:rPr>
            </w:pPr>
          </w:p>
        </w:tc>
        <w:tc>
          <w:tcPr>
            <w:tcW w:w="1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6043EC">
            <w:pPr>
              <w:keepNext w:val="0"/>
              <w:keepLines w:val="0"/>
              <w:widowControl/>
              <w:suppressLineNumbers w:val="0"/>
              <w:jc w:val="left"/>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保障农民工服务中心工作经费</w:t>
            </w:r>
          </w:p>
        </w:tc>
        <w:tc>
          <w:tcPr>
            <w:tcW w:w="749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BC18E44">
            <w:pPr>
              <w:keepNext w:val="0"/>
              <w:keepLines w:val="0"/>
              <w:widowControl/>
              <w:suppressLineNumbers w:val="0"/>
              <w:jc w:val="left"/>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保障农民工服务中心日常工作开展。落实好农民工等群体促进创业带动就业扶持政策。</w:t>
            </w:r>
          </w:p>
        </w:tc>
      </w:tr>
      <w:tr w14:paraId="0C238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E19B4A">
            <w:pPr>
              <w:jc w:val="center"/>
              <w:rPr>
                <w:rFonts w:hint="default" w:ascii="Times New Roman" w:hAnsi="Times New Roman" w:eastAsia="宋体" w:cs="Times New Roman"/>
                <w:i w:val="0"/>
                <w:color w:val="000000"/>
                <w:sz w:val="24"/>
                <w:szCs w:val="24"/>
                <w:u w:val="none"/>
              </w:rPr>
            </w:pPr>
          </w:p>
        </w:tc>
        <w:tc>
          <w:tcPr>
            <w:tcW w:w="1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C5F480">
            <w:pPr>
              <w:keepNext w:val="0"/>
              <w:keepLines w:val="0"/>
              <w:widowControl/>
              <w:suppressLineNumbers w:val="0"/>
              <w:jc w:val="left"/>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保障就业创业补助资金项目工作经费</w:t>
            </w:r>
          </w:p>
        </w:tc>
        <w:tc>
          <w:tcPr>
            <w:tcW w:w="749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14E2E46">
            <w:pPr>
              <w:keepNext w:val="0"/>
              <w:keepLines w:val="0"/>
              <w:widowControl/>
              <w:suppressLineNumbers w:val="0"/>
              <w:jc w:val="left"/>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目标1：资金按规定用于职业培训补贴、职业技能鉴定补贴、社会保险补贴、公益性岗位补贴、创业补贴、就业见习补贴、求职创业补贴、就业创业服务补助、高技能人才培养补助等支出以及经省级人民政府批准的其他支出项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目标2：确保完成年度城镇新增就业目标任务。    </w:t>
            </w:r>
          </w:p>
        </w:tc>
      </w:tr>
      <w:tr w14:paraId="66046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434FDD">
            <w:pPr>
              <w:jc w:val="center"/>
              <w:rPr>
                <w:rFonts w:hint="default" w:ascii="Times New Roman" w:hAnsi="Times New Roman" w:eastAsia="宋体" w:cs="Times New Roman"/>
                <w:i w:val="0"/>
                <w:color w:val="000000"/>
                <w:sz w:val="24"/>
                <w:szCs w:val="24"/>
                <w:u w:val="none"/>
              </w:rPr>
            </w:pPr>
          </w:p>
        </w:tc>
        <w:tc>
          <w:tcPr>
            <w:tcW w:w="150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F414F5">
            <w:pPr>
              <w:keepNext w:val="0"/>
              <w:keepLines w:val="0"/>
              <w:widowControl/>
              <w:suppressLineNumbers w:val="0"/>
              <w:jc w:val="left"/>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保障劳动人口转移就业工程工作经费</w:t>
            </w:r>
          </w:p>
        </w:tc>
        <w:tc>
          <w:tcPr>
            <w:tcW w:w="749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27A2E41">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保障大邑县对口支援工作的开展。</w:t>
            </w:r>
          </w:p>
        </w:tc>
      </w:tr>
      <w:tr w14:paraId="052E8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C773E7">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年度绩效指标</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35AEA">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一级指标</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5A163">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二级指标</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CECFE">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三级指标</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C5063">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绩效指标性质</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1E3D8">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绩效指标值</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4DCD9">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绩效度量单位</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6FB5F">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权重</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99E4E">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实际完成指标值</w:t>
            </w:r>
          </w:p>
        </w:tc>
      </w:tr>
      <w:tr w14:paraId="74C6A7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2FA0AE">
            <w:pPr>
              <w:jc w:val="center"/>
              <w:rPr>
                <w:rFonts w:hint="default" w:ascii="Times New Roman" w:hAnsi="Times New Roman" w:eastAsia="宋体" w:cs="Times New Roman"/>
                <w:i w:val="0"/>
                <w:color w:val="000000"/>
                <w:sz w:val="24"/>
                <w:szCs w:val="24"/>
                <w:u w:val="none"/>
              </w:rPr>
            </w:pPr>
          </w:p>
        </w:tc>
        <w:tc>
          <w:tcPr>
            <w:tcW w:w="7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3DE35A">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产出指标</w:t>
            </w:r>
          </w:p>
        </w:tc>
        <w:tc>
          <w:tcPr>
            <w:tcW w:w="7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C9F814">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5BB1F">
            <w:pPr>
              <w:keepNext w:val="0"/>
              <w:keepLines w:val="0"/>
              <w:widowControl/>
              <w:suppressLineNumbers w:val="0"/>
              <w:jc w:val="left"/>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职业培训目标人数</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1D982">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A6269">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980</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5667A">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24B4E">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59096">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1000</w:t>
            </w:r>
          </w:p>
        </w:tc>
      </w:tr>
      <w:tr w14:paraId="0913BF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F6A8EF">
            <w:pPr>
              <w:jc w:val="center"/>
              <w:rPr>
                <w:rFonts w:hint="default" w:ascii="Times New Roman" w:hAnsi="Times New Roman" w:eastAsia="宋体" w:cs="Times New Roman"/>
                <w:i w:val="0"/>
                <w:color w:val="000000"/>
                <w:sz w:val="24"/>
                <w:szCs w:val="24"/>
                <w:u w:val="none"/>
              </w:rPr>
            </w:pPr>
          </w:p>
        </w:tc>
        <w:tc>
          <w:tcPr>
            <w:tcW w:w="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0166E3">
            <w:pPr>
              <w:jc w:val="center"/>
              <w:rPr>
                <w:rFonts w:hint="default" w:ascii="Times New Roman" w:hAnsi="Times New Roman" w:eastAsia="宋体" w:cs="Times New Roman"/>
                <w:i w:val="0"/>
                <w:color w:val="000000"/>
                <w:sz w:val="24"/>
                <w:szCs w:val="24"/>
                <w:u w:val="none"/>
              </w:rPr>
            </w:pPr>
          </w:p>
        </w:tc>
        <w:tc>
          <w:tcPr>
            <w:tcW w:w="754" w:type="dxa"/>
            <w:vMerge w:val="continue"/>
            <w:tcBorders>
              <w:top w:val="single" w:color="000000" w:sz="4" w:space="0"/>
              <w:left w:val="single" w:color="000000" w:sz="4" w:space="0"/>
              <w:right w:val="single" w:color="000000" w:sz="4" w:space="0"/>
            </w:tcBorders>
            <w:shd w:val="clear" w:color="auto" w:fill="auto"/>
            <w:vAlign w:val="center"/>
          </w:tcPr>
          <w:p w14:paraId="6F2BF134">
            <w:pPr>
              <w:jc w:val="center"/>
              <w:rPr>
                <w:rFonts w:hint="default" w:ascii="Times New Roman" w:hAnsi="Times New Roman" w:eastAsia="宋体" w:cs="Times New Roman"/>
                <w:i w:val="0"/>
                <w:color w:val="000000"/>
                <w:sz w:val="24"/>
                <w:szCs w:val="24"/>
                <w:u w:val="none"/>
              </w:rPr>
            </w:pP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ACDD4">
            <w:pPr>
              <w:keepNext w:val="0"/>
              <w:keepLines w:val="0"/>
              <w:widowControl/>
              <w:suppressLineNumbers w:val="0"/>
              <w:jc w:val="left"/>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就业见习全年目标人数</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DD77E">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E83D7">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CB8F9">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7A0EB">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6D7E0">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20</w:t>
            </w:r>
          </w:p>
        </w:tc>
      </w:tr>
      <w:tr w14:paraId="5A9969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C18C18">
            <w:pPr>
              <w:jc w:val="center"/>
              <w:rPr>
                <w:rFonts w:hint="default" w:ascii="Times New Roman" w:hAnsi="Times New Roman" w:eastAsia="宋体" w:cs="Times New Roman"/>
                <w:i w:val="0"/>
                <w:color w:val="000000"/>
                <w:sz w:val="24"/>
                <w:szCs w:val="24"/>
                <w:u w:val="none"/>
              </w:rPr>
            </w:pPr>
          </w:p>
        </w:tc>
        <w:tc>
          <w:tcPr>
            <w:tcW w:w="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D8C3A3">
            <w:pPr>
              <w:jc w:val="center"/>
              <w:rPr>
                <w:rFonts w:hint="default" w:ascii="Times New Roman" w:hAnsi="Times New Roman" w:eastAsia="宋体" w:cs="Times New Roman"/>
                <w:i w:val="0"/>
                <w:color w:val="000000"/>
                <w:sz w:val="24"/>
                <w:szCs w:val="24"/>
                <w:u w:val="none"/>
              </w:rPr>
            </w:pPr>
          </w:p>
        </w:tc>
        <w:tc>
          <w:tcPr>
            <w:tcW w:w="754" w:type="dxa"/>
            <w:vMerge w:val="continue"/>
            <w:tcBorders>
              <w:top w:val="single" w:color="000000" w:sz="4" w:space="0"/>
              <w:left w:val="single" w:color="000000" w:sz="4" w:space="0"/>
              <w:right w:val="single" w:color="000000" w:sz="4" w:space="0"/>
            </w:tcBorders>
            <w:shd w:val="clear" w:color="auto" w:fill="auto"/>
            <w:vAlign w:val="center"/>
          </w:tcPr>
          <w:p w14:paraId="13D7F2F6">
            <w:pPr>
              <w:jc w:val="center"/>
              <w:rPr>
                <w:rFonts w:hint="default" w:ascii="Times New Roman" w:hAnsi="Times New Roman" w:eastAsia="宋体" w:cs="Times New Roman"/>
                <w:i w:val="0"/>
                <w:color w:val="000000"/>
                <w:sz w:val="24"/>
                <w:szCs w:val="24"/>
                <w:u w:val="none"/>
              </w:rPr>
            </w:pP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73B0D">
            <w:pPr>
              <w:keepNext w:val="0"/>
              <w:keepLines w:val="0"/>
              <w:widowControl/>
              <w:suppressLineNumbers w:val="0"/>
              <w:jc w:val="left"/>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提供就业岗位数量</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C648F">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FB13F">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7573C">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D8CDC">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9253A">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1000</w:t>
            </w:r>
          </w:p>
        </w:tc>
      </w:tr>
      <w:tr w14:paraId="2ABCC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C5DFC9">
            <w:pPr>
              <w:jc w:val="center"/>
              <w:rPr>
                <w:rFonts w:hint="default" w:ascii="Times New Roman" w:hAnsi="Times New Roman" w:eastAsia="宋体" w:cs="Times New Roman"/>
                <w:i w:val="0"/>
                <w:color w:val="000000"/>
                <w:sz w:val="24"/>
                <w:szCs w:val="24"/>
                <w:u w:val="none"/>
              </w:rPr>
            </w:pPr>
          </w:p>
        </w:tc>
        <w:tc>
          <w:tcPr>
            <w:tcW w:w="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5FB605">
            <w:pPr>
              <w:jc w:val="center"/>
              <w:rPr>
                <w:rFonts w:hint="default" w:ascii="Times New Roman" w:hAnsi="Times New Roman" w:eastAsia="宋体" w:cs="Times New Roman"/>
                <w:i w:val="0"/>
                <w:color w:val="000000"/>
                <w:sz w:val="24"/>
                <w:szCs w:val="24"/>
                <w:u w:val="none"/>
              </w:rPr>
            </w:pPr>
          </w:p>
        </w:tc>
        <w:tc>
          <w:tcPr>
            <w:tcW w:w="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AE215A">
            <w:pPr>
              <w:jc w:val="center"/>
              <w:rPr>
                <w:rFonts w:hint="default" w:ascii="Times New Roman" w:hAnsi="Times New Roman" w:eastAsia="宋体" w:cs="Times New Roman"/>
                <w:i w:val="0"/>
                <w:color w:val="000000"/>
                <w:sz w:val="24"/>
                <w:szCs w:val="24"/>
                <w:u w:val="none"/>
              </w:rPr>
            </w:pP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A4DC9">
            <w:pPr>
              <w:keepNext w:val="0"/>
              <w:keepLines w:val="0"/>
              <w:widowControl/>
              <w:suppressLineNumbers w:val="0"/>
              <w:jc w:val="left"/>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全年拟转移劳动力赴浙江省桐乡市务工人数</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20FDC">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3BEAC">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5FFE4">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36FC5">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CF9B7">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80</w:t>
            </w:r>
          </w:p>
        </w:tc>
      </w:tr>
      <w:tr w14:paraId="74DC5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172F15">
            <w:pPr>
              <w:jc w:val="center"/>
              <w:rPr>
                <w:rFonts w:hint="default" w:ascii="Times New Roman" w:hAnsi="Times New Roman" w:eastAsia="宋体" w:cs="Times New Roman"/>
                <w:i w:val="0"/>
                <w:color w:val="000000"/>
                <w:sz w:val="24"/>
                <w:szCs w:val="24"/>
                <w:u w:val="none"/>
              </w:rPr>
            </w:pPr>
          </w:p>
        </w:tc>
        <w:tc>
          <w:tcPr>
            <w:tcW w:w="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DEB982">
            <w:pPr>
              <w:jc w:val="center"/>
              <w:rPr>
                <w:rFonts w:hint="default" w:ascii="Times New Roman" w:hAnsi="Times New Roman" w:eastAsia="宋体" w:cs="Times New Roman"/>
                <w:i w:val="0"/>
                <w:color w:val="000000"/>
                <w:sz w:val="24"/>
                <w:szCs w:val="24"/>
                <w:u w:val="none"/>
              </w:rPr>
            </w:pPr>
          </w:p>
        </w:tc>
        <w:tc>
          <w:tcPr>
            <w:tcW w:w="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ABE3BF">
            <w:pPr>
              <w:jc w:val="center"/>
              <w:rPr>
                <w:rFonts w:hint="default" w:ascii="Times New Roman" w:hAnsi="Times New Roman" w:eastAsia="宋体" w:cs="Times New Roman"/>
                <w:i w:val="0"/>
                <w:color w:val="000000"/>
                <w:sz w:val="24"/>
                <w:szCs w:val="24"/>
                <w:u w:val="none"/>
              </w:rPr>
            </w:pP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AEFB0">
            <w:pPr>
              <w:keepNext w:val="0"/>
              <w:keepLines w:val="0"/>
              <w:widowControl/>
              <w:suppressLineNumbers w:val="0"/>
              <w:jc w:val="left"/>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为农民工提供服务次数</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F84F4">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6F687">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98</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26672">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次</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80751">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C7303">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default" w:ascii="Times New Roman" w:hAnsi="Times New Roman" w:eastAsia="宋体" w:cs="Times New Roman"/>
                <w:i w:val="0"/>
                <w:iCs w:val="0"/>
                <w:color w:val="000000"/>
                <w:kern w:val="0"/>
                <w:sz w:val="24"/>
                <w:szCs w:val="24"/>
                <w:u w:val="none"/>
                <w:lang w:val="en-US" w:eastAsia="zh-CN" w:bidi="ar"/>
              </w:rPr>
              <w:t>98</w:t>
            </w:r>
          </w:p>
        </w:tc>
      </w:tr>
      <w:tr w14:paraId="226D1E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1693FC">
            <w:pPr>
              <w:jc w:val="center"/>
              <w:rPr>
                <w:rFonts w:hint="default" w:ascii="Times New Roman" w:hAnsi="Times New Roman" w:eastAsia="宋体" w:cs="Times New Roman"/>
                <w:i w:val="0"/>
                <w:color w:val="000000"/>
                <w:sz w:val="24"/>
                <w:szCs w:val="24"/>
                <w:u w:val="none"/>
              </w:rPr>
            </w:pPr>
          </w:p>
        </w:tc>
        <w:tc>
          <w:tcPr>
            <w:tcW w:w="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05C271">
            <w:pPr>
              <w:jc w:val="center"/>
              <w:rPr>
                <w:rFonts w:hint="default" w:ascii="Times New Roman" w:hAnsi="Times New Roman" w:eastAsia="宋体" w:cs="Times New Roman"/>
                <w:i w:val="0"/>
                <w:color w:val="000000"/>
                <w:sz w:val="24"/>
                <w:szCs w:val="24"/>
                <w:u w:val="none"/>
              </w:rPr>
            </w:pPr>
          </w:p>
        </w:tc>
        <w:tc>
          <w:tcPr>
            <w:tcW w:w="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A24B01">
            <w:pPr>
              <w:jc w:val="center"/>
              <w:rPr>
                <w:rFonts w:hint="default" w:ascii="Times New Roman" w:hAnsi="Times New Roman" w:eastAsia="宋体" w:cs="Times New Roman"/>
                <w:i w:val="0"/>
                <w:color w:val="000000"/>
                <w:sz w:val="24"/>
                <w:szCs w:val="24"/>
                <w:u w:val="none"/>
              </w:rPr>
            </w:pP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AEBBD">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享受职业培训补贴人员数量</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1D9D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CBAE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1000</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C09E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人</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B66E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50E1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1465</w:t>
            </w:r>
          </w:p>
        </w:tc>
      </w:tr>
      <w:tr w14:paraId="3C2FE4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F87EF7">
            <w:pPr>
              <w:jc w:val="center"/>
              <w:rPr>
                <w:rFonts w:hint="default" w:ascii="Times New Roman" w:hAnsi="Times New Roman" w:eastAsia="宋体" w:cs="Times New Roman"/>
                <w:i w:val="0"/>
                <w:color w:val="000000"/>
                <w:sz w:val="24"/>
                <w:szCs w:val="24"/>
                <w:u w:val="none"/>
              </w:rPr>
            </w:pPr>
          </w:p>
        </w:tc>
        <w:tc>
          <w:tcPr>
            <w:tcW w:w="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4A7E8C">
            <w:pPr>
              <w:jc w:val="center"/>
              <w:rPr>
                <w:rFonts w:hint="default" w:ascii="Times New Roman" w:hAnsi="Times New Roman" w:eastAsia="宋体" w:cs="Times New Roman"/>
                <w:i w:val="0"/>
                <w:color w:val="000000"/>
                <w:sz w:val="24"/>
                <w:szCs w:val="24"/>
                <w:u w:val="none"/>
              </w:rPr>
            </w:pPr>
          </w:p>
        </w:tc>
        <w:tc>
          <w:tcPr>
            <w:tcW w:w="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EC09EE">
            <w:pPr>
              <w:jc w:val="center"/>
              <w:rPr>
                <w:rFonts w:hint="default" w:ascii="Times New Roman" w:hAnsi="Times New Roman" w:eastAsia="宋体" w:cs="Times New Roman"/>
                <w:i w:val="0"/>
                <w:color w:val="000000"/>
                <w:sz w:val="24"/>
                <w:szCs w:val="24"/>
                <w:u w:val="none"/>
              </w:rPr>
            </w:pP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14303">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转移劳动人口就业人数</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2987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B142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900</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0CDF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人</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CA02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CC3E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1000</w:t>
            </w:r>
          </w:p>
        </w:tc>
      </w:tr>
      <w:tr w14:paraId="7B2C81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41BB06">
            <w:pPr>
              <w:jc w:val="center"/>
              <w:rPr>
                <w:rFonts w:hint="default" w:ascii="Times New Roman" w:hAnsi="Times New Roman" w:eastAsia="宋体" w:cs="Times New Roman"/>
                <w:i w:val="0"/>
                <w:color w:val="000000"/>
                <w:sz w:val="24"/>
                <w:szCs w:val="24"/>
                <w:u w:val="none"/>
              </w:rPr>
            </w:pPr>
          </w:p>
        </w:tc>
        <w:tc>
          <w:tcPr>
            <w:tcW w:w="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C1B80B">
            <w:pPr>
              <w:jc w:val="center"/>
              <w:rPr>
                <w:rFonts w:hint="default" w:ascii="Times New Roman" w:hAnsi="Times New Roman" w:eastAsia="宋体" w:cs="Times New Roman"/>
                <w:i w:val="0"/>
                <w:color w:val="000000"/>
                <w:sz w:val="24"/>
                <w:szCs w:val="24"/>
                <w:u w:val="none"/>
              </w:rPr>
            </w:pPr>
          </w:p>
        </w:tc>
        <w:tc>
          <w:tcPr>
            <w:tcW w:w="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EB1700">
            <w:pPr>
              <w:jc w:val="center"/>
              <w:rPr>
                <w:rFonts w:hint="default" w:ascii="Times New Roman" w:hAnsi="Times New Roman" w:eastAsia="宋体" w:cs="Times New Roman"/>
                <w:i w:val="0"/>
                <w:color w:val="000000"/>
                <w:sz w:val="24"/>
                <w:szCs w:val="24"/>
                <w:u w:val="none"/>
              </w:rPr>
            </w:pP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3CBDF">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享受公益性岗位补贴人员数量</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E601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8654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90</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7E80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人</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05C5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24F8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102</w:t>
            </w:r>
          </w:p>
        </w:tc>
      </w:tr>
      <w:tr w14:paraId="43012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616B68">
            <w:pPr>
              <w:jc w:val="center"/>
              <w:rPr>
                <w:rFonts w:hint="default" w:ascii="Times New Roman" w:hAnsi="Times New Roman" w:eastAsia="宋体" w:cs="Times New Roman"/>
                <w:i w:val="0"/>
                <w:color w:val="000000"/>
                <w:sz w:val="24"/>
                <w:szCs w:val="24"/>
                <w:u w:val="none"/>
              </w:rPr>
            </w:pPr>
          </w:p>
        </w:tc>
        <w:tc>
          <w:tcPr>
            <w:tcW w:w="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24547C">
            <w:pPr>
              <w:jc w:val="center"/>
              <w:rPr>
                <w:rFonts w:hint="default" w:ascii="Times New Roman" w:hAnsi="Times New Roman" w:eastAsia="宋体" w:cs="Times New Roman"/>
                <w:i w:val="0"/>
                <w:color w:val="000000"/>
                <w:sz w:val="24"/>
                <w:szCs w:val="24"/>
                <w:u w:val="none"/>
              </w:rPr>
            </w:pPr>
          </w:p>
        </w:tc>
        <w:tc>
          <w:tcPr>
            <w:tcW w:w="7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68795A">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C97CE">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本年度工作完成合格率</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23E1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3E42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95</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1FE1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D3FF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FEBB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95</w:t>
            </w:r>
          </w:p>
        </w:tc>
      </w:tr>
      <w:tr w14:paraId="57954A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9085B9">
            <w:pPr>
              <w:jc w:val="center"/>
              <w:rPr>
                <w:rFonts w:hint="default" w:ascii="Times New Roman" w:hAnsi="Times New Roman" w:eastAsia="宋体" w:cs="Times New Roman"/>
                <w:i w:val="0"/>
                <w:color w:val="000000"/>
                <w:sz w:val="24"/>
                <w:szCs w:val="24"/>
                <w:u w:val="none"/>
              </w:rPr>
            </w:pPr>
          </w:p>
        </w:tc>
        <w:tc>
          <w:tcPr>
            <w:tcW w:w="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0C825F">
            <w:pPr>
              <w:jc w:val="center"/>
              <w:rPr>
                <w:rFonts w:hint="default" w:ascii="Times New Roman" w:hAnsi="Times New Roman" w:eastAsia="宋体" w:cs="Times New Roman"/>
                <w:i w:val="0"/>
                <w:color w:val="000000"/>
                <w:sz w:val="24"/>
                <w:szCs w:val="24"/>
                <w:u w:val="none"/>
              </w:rPr>
            </w:pPr>
          </w:p>
        </w:tc>
        <w:tc>
          <w:tcPr>
            <w:tcW w:w="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D2255A">
            <w:pPr>
              <w:jc w:val="center"/>
              <w:rPr>
                <w:rFonts w:hint="default" w:ascii="Times New Roman" w:hAnsi="Times New Roman" w:eastAsia="宋体" w:cs="Times New Roman"/>
                <w:i w:val="0"/>
                <w:color w:val="000000"/>
                <w:sz w:val="24"/>
                <w:szCs w:val="24"/>
                <w:u w:val="none"/>
              </w:rPr>
            </w:pP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EE4AE">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就业工作完成合格率</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9994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DF75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95</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71AD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10C1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336B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95</w:t>
            </w:r>
          </w:p>
        </w:tc>
      </w:tr>
      <w:tr w14:paraId="297D8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698C5F">
            <w:pPr>
              <w:jc w:val="center"/>
              <w:rPr>
                <w:rFonts w:hint="default" w:ascii="Times New Roman" w:hAnsi="Times New Roman" w:eastAsia="宋体" w:cs="Times New Roman"/>
                <w:i w:val="0"/>
                <w:color w:val="000000"/>
                <w:sz w:val="24"/>
                <w:szCs w:val="24"/>
                <w:u w:val="none"/>
              </w:rPr>
            </w:pPr>
          </w:p>
        </w:tc>
        <w:tc>
          <w:tcPr>
            <w:tcW w:w="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9977EF">
            <w:pPr>
              <w:jc w:val="center"/>
              <w:rPr>
                <w:rFonts w:hint="default" w:ascii="Times New Roman" w:hAnsi="Times New Roman" w:eastAsia="宋体" w:cs="Times New Roman"/>
                <w:i w:val="0"/>
                <w:color w:val="000000"/>
                <w:sz w:val="24"/>
                <w:szCs w:val="24"/>
                <w:u w:val="none"/>
              </w:rPr>
            </w:pPr>
          </w:p>
        </w:tc>
        <w:tc>
          <w:tcPr>
            <w:tcW w:w="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C2D704">
            <w:pPr>
              <w:jc w:val="center"/>
              <w:rPr>
                <w:rFonts w:hint="default" w:ascii="Times New Roman" w:hAnsi="Times New Roman" w:eastAsia="宋体" w:cs="Times New Roman"/>
                <w:i w:val="0"/>
                <w:color w:val="000000"/>
                <w:sz w:val="24"/>
                <w:szCs w:val="24"/>
                <w:u w:val="none"/>
              </w:rPr>
            </w:pP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61842">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对口帮扶工作完成合格率</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3E3F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F430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95</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EEB7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5205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A9C5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95</w:t>
            </w:r>
          </w:p>
        </w:tc>
      </w:tr>
      <w:tr w14:paraId="5A3E73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70F647">
            <w:pPr>
              <w:jc w:val="center"/>
              <w:rPr>
                <w:rFonts w:hint="default" w:ascii="Times New Roman" w:hAnsi="Times New Roman" w:eastAsia="宋体" w:cs="Times New Roman"/>
                <w:i w:val="0"/>
                <w:color w:val="000000"/>
                <w:sz w:val="24"/>
                <w:szCs w:val="24"/>
                <w:u w:val="none"/>
              </w:rPr>
            </w:pPr>
          </w:p>
        </w:tc>
        <w:tc>
          <w:tcPr>
            <w:tcW w:w="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754EBC">
            <w:pPr>
              <w:jc w:val="center"/>
              <w:rPr>
                <w:rFonts w:hint="default" w:ascii="Times New Roman" w:hAnsi="Times New Roman" w:eastAsia="宋体" w:cs="Times New Roman"/>
                <w:i w:val="0"/>
                <w:color w:val="000000"/>
                <w:sz w:val="24"/>
                <w:szCs w:val="24"/>
                <w:u w:val="none"/>
              </w:rPr>
            </w:pPr>
          </w:p>
        </w:tc>
        <w:tc>
          <w:tcPr>
            <w:tcW w:w="7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90FF5A">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5B98F">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项目完成及时率</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D0A1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2925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95</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21D6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F26A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21F1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99</w:t>
            </w:r>
          </w:p>
        </w:tc>
      </w:tr>
      <w:tr w14:paraId="685FDD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B6A931">
            <w:pPr>
              <w:jc w:val="center"/>
              <w:rPr>
                <w:rFonts w:hint="default" w:ascii="Times New Roman" w:hAnsi="Times New Roman" w:eastAsia="宋体" w:cs="Times New Roman"/>
                <w:i w:val="0"/>
                <w:color w:val="000000"/>
                <w:sz w:val="24"/>
                <w:szCs w:val="24"/>
                <w:u w:val="none"/>
              </w:rPr>
            </w:pPr>
          </w:p>
        </w:tc>
        <w:tc>
          <w:tcPr>
            <w:tcW w:w="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8B5F67">
            <w:pPr>
              <w:jc w:val="center"/>
              <w:rPr>
                <w:rFonts w:hint="default" w:ascii="Times New Roman" w:hAnsi="Times New Roman" w:eastAsia="宋体" w:cs="Times New Roman"/>
                <w:i w:val="0"/>
                <w:color w:val="000000"/>
                <w:sz w:val="24"/>
                <w:szCs w:val="24"/>
                <w:u w:val="none"/>
              </w:rPr>
            </w:pPr>
          </w:p>
        </w:tc>
        <w:tc>
          <w:tcPr>
            <w:tcW w:w="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B64610">
            <w:pPr>
              <w:jc w:val="center"/>
              <w:rPr>
                <w:rFonts w:hint="default" w:ascii="Times New Roman" w:hAnsi="Times New Roman" w:eastAsia="宋体" w:cs="Times New Roman"/>
                <w:i w:val="0"/>
                <w:color w:val="000000"/>
                <w:sz w:val="24"/>
                <w:szCs w:val="24"/>
                <w:u w:val="none"/>
              </w:rPr>
            </w:pP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86A5F">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补贴资金在规定时间内支付到位率</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317E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2663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98</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D12F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3485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F610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98</w:t>
            </w:r>
          </w:p>
        </w:tc>
      </w:tr>
      <w:tr w14:paraId="453B63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81D5AC">
            <w:pPr>
              <w:jc w:val="center"/>
              <w:rPr>
                <w:rFonts w:hint="default" w:ascii="Times New Roman" w:hAnsi="Times New Roman" w:eastAsia="宋体" w:cs="Times New Roman"/>
                <w:i w:val="0"/>
                <w:color w:val="000000"/>
                <w:sz w:val="24"/>
                <w:szCs w:val="24"/>
                <w:u w:val="none"/>
              </w:rPr>
            </w:pPr>
          </w:p>
        </w:tc>
        <w:tc>
          <w:tcPr>
            <w:tcW w:w="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9DC4C0">
            <w:pPr>
              <w:jc w:val="center"/>
              <w:rPr>
                <w:rFonts w:hint="default" w:ascii="Times New Roman" w:hAnsi="Times New Roman" w:eastAsia="宋体" w:cs="Times New Roman"/>
                <w:i w:val="0"/>
                <w:color w:val="000000"/>
                <w:sz w:val="24"/>
                <w:szCs w:val="24"/>
                <w:u w:val="none"/>
              </w:rPr>
            </w:pPr>
          </w:p>
        </w:tc>
        <w:tc>
          <w:tcPr>
            <w:tcW w:w="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226119">
            <w:pPr>
              <w:jc w:val="center"/>
              <w:rPr>
                <w:rFonts w:hint="default" w:ascii="Times New Roman" w:hAnsi="Times New Roman" w:eastAsia="宋体" w:cs="Times New Roman"/>
                <w:i w:val="0"/>
                <w:color w:val="000000"/>
                <w:sz w:val="24"/>
                <w:szCs w:val="24"/>
                <w:u w:val="none"/>
              </w:rPr>
            </w:pP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A9D73">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帮扶工作及时率</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0957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B53B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95</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C671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4C2B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8233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98</w:t>
            </w:r>
          </w:p>
        </w:tc>
      </w:tr>
      <w:tr w14:paraId="690E4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DA7993">
            <w:pPr>
              <w:jc w:val="center"/>
              <w:rPr>
                <w:rFonts w:hint="default" w:ascii="Times New Roman" w:hAnsi="Times New Roman" w:eastAsia="宋体" w:cs="Times New Roman"/>
                <w:i w:val="0"/>
                <w:color w:val="000000"/>
                <w:sz w:val="24"/>
                <w:szCs w:val="24"/>
                <w:u w:val="none"/>
              </w:rPr>
            </w:pPr>
          </w:p>
        </w:tc>
        <w:tc>
          <w:tcPr>
            <w:tcW w:w="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3073D3">
            <w:pPr>
              <w:jc w:val="center"/>
              <w:rPr>
                <w:rFonts w:hint="default" w:ascii="Times New Roman" w:hAnsi="Times New Roman" w:eastAsia="宋体" w:cs="Times New Roman"/>
                <w:i w:val="0"/>
                <w:color w:val="000000"/>
                <w:sz w:val="24"/>
                <w:szCs w:val="24"/>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480A0">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E7632">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成本控制有效性总支出不超预算成本</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7B21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EAF1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 xml:space="preserve">1023.58 </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C7E9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万元</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CD8D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10</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7DEA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 xml:space="preserve">1009.12 </w:t>
            </w:r>
          </w:p>
        </w:tc>
      </w:tr>
      <w:tr w14:paraId="79D7CC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49FEED">
            <w:pPr>
              <w:jc w:val="center"/>
              <w:rPr>
                <w:rFonts w:hint="default" w:ascii="Times New Roman" w:hAnsi="Times New Roman" w:eastAsia="宋体" w:cs="Times New Roman"/>
                <w:i w:val="0"/>
                <w:color w:val="000000"/>
                <w:sz w:val="24"/>
                <w:szCs w:val="24"/>
                <w:u w:val="none"/>
              </w:rPr>
            </w:pPr>
          </w:p>
        </w:tc>
        <w:tc>
          <w:tcPr>
            <w:tcW w:w="7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BE62C6">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效益指标</w:t>
            </w:r>
          </w:p>
        </w:tc>
        <w:tc>
          <w:tcPr>
            <w:tcW w:w="7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ED7E3B">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社会效益指标</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41C49">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零就业家庭帮扶率</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C373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7375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98</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BCA9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E832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A09A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98</w:t>
            </w:r>
          </w:p>
        </w:tc>
      </w:tr>
      <w:tr w14:paraId="212553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8C01F2">
            <w:pPr>
              <w:jc w:val="center"/>
              <w:rPr>
                <w:rFonts w:hint="default" w:ascii="Times New Roman" w:hAnsi="Times New Roman" w:eastAsia="宋体" w:cs="Times New Roman"/>
                <w:i w:val="0"/>
                <w:color w:val="000000"/>
                <w:sz w:val="24"/>
                <w:szCs w:val="24"/>
                <w:u w:val="none"/>
              </w:rPr>
            </w:pPr>
          </w:p>
        </w:tc>
        <w:tc>
          <w:tcPr>
            <w:tcW w:w="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CE9F46">
            <w:pPr>
              <w:jc w:val="center"/>
              <w:rPr>
                <w:rFonts w:hint="default" w:ascii="Times New Roman" w:hAnsi="Times New Roman" w:eastAsia="宋体" w:cs="Times New Roman"/>
                <w:i w:val="0"/>
                <w:color w:val="000000"/>
                <w:sz w:val="24"/>
                <w:szCs w:val="24"/>
                <w:u w:val="none"/>
              </w:rPr>
            </w:pPr>
          </w:p>
        </w:tc>
        <w:tc>
          <w:tcPr>
            <w:tcW w:w="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46A6C3">
            <w:pPr>
              <w:jc w:val="center"/>
              <w:rPr>
                <w:rFonts w:hint="default" w:ascii="Times New Roman" w:hAnsi="Times New Roman" w:eastAsia="宋体" w:cs="Times New Roman"/>
                <w:i w:val="0"/>
                <w:color w:val="000000"/>
                <w:sz w:val="24"/>
                <w:szCs w:val="24"/>
                <w:u w:val="none"/>
              </w:rPr>
            </w:pP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4AC76">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提升工作人员幸福感、满足感：定性</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2A74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D41B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提升</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F80A6">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定性</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890A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DC3A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提升</w:t>
            </w:r>
          </w:p>
        </w:tc>
      </w:tr>
      <w:tr w14:paraId="7C042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E10A9A">
            <w:pPr>
              <w:jc w:val="center"/>
              <w:rPr>
                <w:rFonts w:hint="default" w:ascii="Times New Roman" w:hAnsi="Times New Roman" w:eastAsia="宋体" w:cs="Times New Roman"/>
                <w:i w:val="0"/>
                <w:color w:val="000000"/>
                <w:sz w:val="24"/>
                <w:szCs w:val="24"/>
                <w:u w:val="none"/>
              </w:rPr>
            </w:pPr>
          </w:p>
        </w:tc>
        <w:tc>
          <w:tcPr>
            <w:tcW w:w="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5B3CBB">
            <w:pPr>
              <w:jc w:val="center"/>
              <w:rPr>
                <w:rFonts w:hint="default" w:ascii="Times New Roman" w:hAnsi="Times New Roman" w:eastAsia="宋体" w:cs="Times New Roman"/>
                <w:i w:val="0"/>
                <w:color w:val="000000"/>
                <w:sz w:val="24"/>
                <w:szCs w:val="24"/>
                <w:u w:val="none"/>
              </w:rPr>
            </w:pPr>
          </w:p>
        </w:tc>
        <w:tc>
          <w:tcPr>
            <w:tcW w:w="7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102F65">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可持续影响</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指标</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15956">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政策影响率</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0DF14">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9F5B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95</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68BA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D17E5">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8747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95</w:t>
            </w:r>
          </w:p>
        </w:tc>
      </w:tr>
      <w:tr w14:paraId="2B4CC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DE3EDD">
            <w:pPr>
              <w:jc w:val="center"/>
              <w:rPr>
                <w:rFonts w:hint="default" w:ascii="Times New Roman" w:hAnsi="Times New Roman" w:eastAsia="宋体" w:cs="Times New Roman"/>
                <w:i w:val="0"/>
                <w:color w:val="000000"/>
                <w:sz w:val="24"/>
                <w:szCs w:val="24"/>
                <w:u w:val="none"/>
              </w:rPr>
            </w:pPr>
          </w:p>
        </w:tc>
        <w:tc>
          <w:tcPr>
            <w:tcW w:w="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816BF4">
            <w:pPr>
              <w:jc w:val="center"/>
              <w:rPr>
                <w:rFonts w:hint="default" w:ascii="Times New Roman" w:hAnsi="Times New Roman" w:eastAsia="宋体" w:cs="Times New Roman"/>
                <w:i w:val="0"/>
                <w:color w:val="000000"/>
                <w:sz w:val="24"/>
                <w:szCs w:val="24"/>
                <w:u w:val="none"/>
              </w:rPr>
            </w:pPr>
          </w:p>
        </w:tc>
        <w:tc>
          <w:tcPr>
            <w:tcW w:w="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C8D7E1">
            <w:pPr>
              <w:jc w:val="center"/>
              <w:rPr>
                <w:rFonts w:hint="default" w:ascii="Times New Roman" w:hAnsi="Times New Roman" w:eastAsia="宋体" w:cs="Times New Roman"/>
                <w:i w:val="0"/>
                <w:color w:val="000000"/>
                <w:sz w:val="24"/>
                <w:szCs w:val="24"/>
                <w:u w:val="none"/>
              </w:rPr>
            </w:pP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0819D">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政策影响率</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A06B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2B82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95</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E0AC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8532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F314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95</w:t>
            </w:r>
          </w:p>
        </w:tc>
      </w:tr>
      <w:tr w14:paraId="39525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180C68">
            <w:pPr>
              <w:jc w:val="center"/>
              <w:rPr>
                <w:rFonts w:hint="default" w:ascii="Times New Roman" w:hAnsi="Times New Roman" w:eastAsia="宋体" w:cs="Times New Roman"/>
                <w:i w:val="0"/>
                <w:color w:val="000000"/>
                <w:sz w:val="24"/>
                <w:szCs w:val="24"/>
                <w:u w:val="none"/>
              </w:rPr>
            </w:pPr>
          </w:p>
        </w:tc>
        <w:tc>
          <w:tcPr>
            <w:tcW w:w="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F0B30E">
            <w:pPr>
              <w:jc w:val="center"/>
              <w:rPr>
                <w:rFonts w:hint="default" w:ascii="Times New Roman" w:hAnsi="Times New Roman" w:eastAsia="宋体" w:cs="Times New Roman"/>
                <w:i w:val="0"/>
                <w:color w:val="000000"/>
                <w:sz w:val="24"/>
                <w:szCs w:val="24"/>
                <w:u w:val="none"/>
              </w:rPr>
            </w:pPr>
          </w:p>
        </w:tc>
        <w:tc>
          <w:tcPr>
            <w:tcW w:w="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DC0C65">
            <w:pPr>
              <w:jc w:val="center"/>
              <w:rPr>
                <w:rFonts w:hint="default" w:ascii="Times New Roman" w:hAnsi="Times New Roman" w:eastAsia="宋体" w:cs="Times New Roman"/>
                <w:i w:val="0"/>
                <w:color w:val="000000"/>
                <w:sz w:val="24"/>
                <w:szCs w:val="24"/>
                <w:u w:val="none"/>
              </w:rPr>
            </w:pP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EDACB">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帮扶工作政策知晓率</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B392E">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7DA6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90</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9E871">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9715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A1A1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95</w:t>
            </w:r>
          </w:p>
        </w:tc>
      </w:tr>
      <w:tr w14:paraId="683C4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6C3652">
            <w:pPr>
              <w:jc w:val="center"/>
              <w:rPr>
                <w:rFonts w:hint="default" w:ascii="Times New Roman" w:hAnsi="Times New Roman" w:eastAsia="宋体" w:cs="Times New Roman"/>
                <w:i w:val="0"/>
                <w:color w:val="000000"/>
                <w:sz w:val="24"/>
                <w:szCs w:val="24"/>
                <w:u w:val="none"/>
              </w:rPr>
            </w:pPr>
          </w:p>
        </w:tc>
        <w:tc>
          <w:tcPr>
            <w:tcW w:w="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C4D167">
            <w:pPr>
              <w:jc w:val="center"/>
              <w:rPr>
                <w:rFonts w:hint="default" w:ascii="Times New Roman" w:hAnsi="Times New Roman" w:eastAsia="宋体" w:cs="Times New Roman"/>
                <w:i w:val="0"/>
                <w:color w:val="000000"/>
                <w:sz w:val="24"/>
                <w:szCs w:val="24"/>
                <w:u w:val="none"/>
              </w:rPr>
            </w:pPr>
          </w:p>
        </w:tc>
        <w:tc>
          <w:tcPr>
            <w:tcW w:w="7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FE38C0">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经济效益</w:t>
            </w:r>
            <w:r>
              <w:rPr>
                <w:rFonts w:hint="default" w:ascii="Times New Roman" w:hAnsi="Times New Roman" w:eastAsia="宋体" w:cs="Times New Roman"/>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指标</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1E640">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年末高校毕业生总体就业率</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5371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E166F">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98</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6DD4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9D21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4BC7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98</w:t>
            </w:r>
          </w:p>
        </w:tc>
      </w:tr>
      <w:tr w14:paraId="4F150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EE8613">
            <w:pPr>
              <w:jc w:val="center"/>
              <w:rPr>
                <w:rFonts w:hint="default" w:ascii="Times New Roman" w:hAnsi="Times New Roman" w:eastAsia="宋体" w:cs="Times New Roman"/>
                <w:i w:val="0"/>
                <w:color w:val="000000"/>
                <w:sz w:val="24"/>
                <w:szCs w:val="24"/>
                <w:u w:val="none"/>
              </w:rPr>
            </w:pPr>
          </w:p>
        </w:tc>
        <w:tc>
          <w:tcPr>
            <w:tcW w:w="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A882AB">
            <w:pPr>
              <w:jc w:val="center"/>
              <w:rPr>
                <w:rFonts w:hint="default" w:ascii="Times New Roman" w:hAnsi="Times New Roman" w:eastAsia="宋体" w:cs="Times New Roman"/>
                <w:i w:val="0"/>
                <w:color w:val="000000"/>
                <w:sz w:val="24"/>
                <w:szCs w:val="24"/>
                <w:u w:val="none"/>
              </w:rPr>
            </w:pPr>
          </w:p>
        </w:tc>
        <w:tc>
          <w:tcPr>
            <w:tcW w:w="7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B7994C">
            <w:pPr>
              <w:jc w:val="center"/>
              <w:rPr>
                <w:rFonts w:hint="default" w:ascii="Times New Roman" w:hAnsi="Times New Roman" w:eastAsia="宋体" w:cs="Times New Roman"/>
                <w:i w:val="0"/>
                <w:color w:val="000000"/>
                <w:sz w:val="24"/>
                <w:szCs w:val="24"/>
                <w:u w:val="none"/>
              </w:rPr>
            </w:pP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678D6">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年末城镇调查失业率</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52B97">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9118C">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5.5</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C454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86ED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5</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5961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3.8</w:t>
            </w:r>
          </w:p>
        </w:tc>
      </w:tr>
      <w:tr w14:paraId="4161F0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BE3903">
            <w:pPr>
              <w:jc w:val="center"/>
              <w:rPr>
                <w:rFonts w:hint="default" w:ascii="Times New Roman" w:hAnsi="Times New Roman" w:eastAsia="宋体" w:cs="Times New Roman"/>
                <w:i w:val="0"/>
                <w:color w:val="000000"/>
                <w:sz w:val="24"/>
                <w:szCs w:val="24"/>
                <w:u w:val="none"/>
              </w:rPr>
            </w:pP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AFBA2">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4F4C7">
            <w:pPr>
              <w:keepNext w:val="0"/>
              <w:keepLines w:val="0"/>
              <w:widowControl/>
              <w:suppressLineNumbers w:val="0"/>
              <w:jc w:val="center"/>
              <w:textAlignment w:val="center"/>
              <w:rPr>
                <w:rFonts w:hint="default" w:ascii="Times New Roman" w:hAnsi="Times New Roman" w:eastAsia="宋体" w:cs="Times New Roman"/>
                <w:i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27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A9175">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服务对象满意度</w:t>
            </w:r>
          </w:p>
        </w:tc>
        <w:tc>
          <w:tcPr>
            <w:tcW w:w="7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C554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8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BC5E9">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95</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C0E9D">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469CA">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20</w:t>
            </w:r>
          </w:p>
        </w:tc>
        <w:tc>
          <w:tcPr>
            <w:tcW w:w="15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6CF5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i w:val="0"/>
                <w:iCs w:val="0"/>
                <w:color w:val="000000"/>
                <w:kern w:val="0"/>
                <w:sz w:val="24"/>
                <w:szCs w:val="24"/>
                <w:u w:val="none"/>
                <w:lang w:val="en-US" w:eastAsia="zh-CN" w:bidi="ar"/>
              </w:rPr>
              <w:t>高</w:t>
            </w:r>
          </w:p>
        </w:tc>
      </w:tr>
    </w:tbl>
    <w:p w14:paraId="6B3B1C35">
      <w:pPr>
        <w:pStyle w:val="10"/>
        <w:ind w:left="0" w:leftChars="0" w:firstLine="0" w:firstLineChars="0"/>
        <w:rPr>
          <w:rFonts w:hint="default" w:ascii="Times New Roman" w:hAnsi="Times New Roman" w:eastAsia="黑体" w:cs="Times New Roman"/>
          <w:sz w:val="24"/>
          <w:szCs w:val="24"/>
          <w:highlight w:val="none"/>
          <w:lang w:val="en-US" w:eastAsia="zh-CN"/>
        </w:rPr>
      </w:pPr>
    </w:p>
    <w:sectPr>
      <w:headerReference r:id="rId3" w:type="default"/>
      <w:footerReference r:id="rId4" w:type="default"/>
      <w:pgSz w:w="11906" w:h="16838"/>
      <w:pgMar w:top="2098" w:right="1474" w:bottom="1984" w:left="1587" w:header="851" w:footer="992"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华文中宋"/>
    <w:panose1 w:val="00000000000000000000"/>
    <w:charset w:val="00"/>
    <w:family w:val="roman"/>
    <w:pitch w:val="default"/>
    <w:sig w:usb0="00000000" w:usb1="00000000" w:usb2="00000000" w:usb3="00000000" w:csb0="00000000" w:csb1="00000000"/>
  </w:font>
  <w:font w:name="Wingdings 2">
    <w:panose1 w:val="05020102010507070707"/>
    <w:charset w:val="00"/>
    <w:family w:val="auto"/>
    <w:pitch w:val="default"/>
    <w:sig w:usb0="00000000" w:usb1="00000000" w:usb2="00000000" w:usb3="00000000" w:csb0="80000000"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955960">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E3D730">
                          <w:pPr>
                            <w:pStyle w:val="7"/>
                            <w:ind w:right="451" w:rightChars="141"/>
                            <w:jc w:val="right"/>
                            <w:rPr>
                              <w:rFonts w:hint="eastAsia"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3 -</w:t>
                          </w:r>
                          <w:r>
                            <w:rPr>
                              <w:rFonts w:ascii="宋体" w:hAnsi="宋体"/>
                              <w:sz w:val="28"/>
                              <w:szCs w:val="28"/>
                            </w:rPr>
                            <w:fldChar w:fldCharType="end"/>
                          </w:r>
                        </w:p>
                        <w:p w14:paraId="5595483F"/>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4E3D730">
                    <w:pPr>
                      <w:pStyle w:val="7"/>
                      <w:ind w:right="451" w:rightChars="141"/>
                      <w:jc w:val="right"/>
                      <w:rPr>
                        <w:rFonts w:hint="eastAsia"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3 -</w:t>
                    </w:r>
                    <w:r>
                      <w:rPr>
                        <w:rFonts w:ascii="宋体" w:hAnsi="宋体"/>
                        <w:sz w:val="28"/>
                        <w:szCs w:val="28"/>
                      </w:rPr>
                      <w:fldChar w:fldCharType="end"/>
                    </w:r>
                  </w:p>
                  <w:p w14:paraId="5595483F"/>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10600D">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C389D1"/>
    <w:multiLevelType w:val="singleLevel"/>
    <w:tmpl w:val="45C389D1"/>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zMDFjNDRiNDI1ZjdjOWYyNTYzY2ViNmU5OWEwMmQifQ=="/>
  </w:docVars>
  <w:rsids>
    <w:rsidRoot w:val="00EC0174"/>
    <w:rsid w:val="00006E4D"/>
    <w:rsid w:val="00021652"/>
    <w:rsid w:val="00030311"/>
    <w:rsid w:val="00030782"/>
    <w:rsid w:val="00030B66"/>
    <w:rsid w:val="0006102A"/>
    <w:rsid w:val="00065B0F"/>
    <w:rsid w:val="00065E7E"/>
    <w:rsid w:val="000820BB"/>
    <w:rsid w:val="0008241B"/>
    <w:rsid w:val="00092280"/>
    <w:rsid w:val="00097FAE"/>
    <w:rsid w:val="000A3233"/>
    <w:rsid w:val="000A7CE3"/>
    <w:rsid w:val="000B04D6"/>
    <w:rsid w:val="000B15CE"/>
    <w:rsid w:val="000C40C6"/>
    <w:rsid w:val="000C79C1"/>
    <w:rsid w:val="000D208A"/>
    <w:rsid w:val="000E037E"/>
    <w:rsid w:val="000F659A"/>
    <w:rsid w:val="000F77B0"/>
    <w:rsid w:val="0010235D"/>
    <w:rsid w:val="00103A47"/>
    <w:rsid w:val="00106D4D"/>
    <w:rsid w:val="001119A2"/>
    <w:rsid w:val="001221D6"/>
    <w:rsid w:val="0012510A"/>
    <w:rsid w:val="00125F67"/>
    <w:rsid w:val="001261AE"/>
    <w:rsid w:val="001348A4"/>
    <w:rsid w:val="0014117C"/>
    <w:rsid w:val="00146FE8"/>
    <w:rsid w:val="0014767B"/>
    <w:rsid w:val="00147AED"/>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E1104"/>
    <w:rsid w:val="002E3FDD"/>
    <w:rsid w:val="00300EF4"/>
    <w:rsid w:val="00301353"/>
    <w:rsid w:val="00305FF6"/>
    <w:rsid w:val="00307568"/>
    <w:rsid w:val="00311506"/>
    <w:rsid w:val="00316ADB"/>
    <w:rsid w:val="00317623"/>
    <w:rsid w:val="00335F67"/>
    <w:rsid w:val="003361E9"/>
    <w:rsid w:val="00350A65"/>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E752F"/>
    <w:rsid w:val="004F1E37"/>
    <w:rsid w:val="00515198"/>
    <w:rsid w:val="00521C44"/>
    <w:rsid w:val="005274E1"/>
    <w:rsid w:val="00531DDF"/>
    <w:rsid w:val="00535FA6"/>
    <w:rsid w:val="00542AB7"/>
    <w:rsid w:val="0055358D"/>
    <w:rsid w:val="005540C8"/>
    <w:rsid w:val="00555809"/>
    <w:rsid w:val="00562165"/>
    <w:rsid w:val="005756AF"/>
    <w:rsid w:val="00575A4A"/>
    <w:rsid w:val="00591B6F"/>
    <w:rsid w:val="005A1DAF"/>
    <w:rsid w:val="005C17C8"/>
    <w:rsid w:val="005C2098"/>
    <w:rsid w:val="005C2E6C"/>
    <w:rsid w:val="005D0CCF"/>
    <w:rsid w:val="005D1C01"/>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732A1"/>
    <w:rsid w:val="00774C4A"/>
    <w:rsid w:val="00782BBB"/>
    <w:rsid w:val="007A0690"/>
    <w:rsid w:val="007A078F"/>
    <w:rsid w:val="007B34D4"/>
    <w:rsid w:val="007C0633"/>
    <w:rsid w:val="007D086C"/>
    <w:rsid w:val="007F1BE1"/>
    <w:rsid w:val="007F707F"/>
    <w:rsid w:val="007F794C"/>
    <w:rsid w:val="007F7AC9"/>
    <w:rsid w:val="00803B42"/>
    <w:rsid w:val="008073EF"/>
    <w:rsid w:val="0081095C"/>
    <w:rsid w:val="00810C41"/>
    <w:rsid w:val="008212FF"/>
    <w:rsid w:val="0082593B"/>
    <w:rsid w:val="00827537"/>
    <w:rsid w:val="008468EA"/>
    <w:rsid w:val="00867140"/>
    <w:rsid w:val="00881134"/>
    <w:rsid w:val="008904F0"/>
    <w:rsid w:val="008B2F27"/>
    <w:rsid w:val="008B4A72"/>
    <w:rsid w:val="008B585E"/>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E0305"/>
    <w:rsid w:val="00BF15F0"/>
    <w:rsid w:val="00BF7DF9"/>
    <w:rsid w:val="00C03559"/>
    <w:rsid w:val="00C05395"/>
    <w:rsid w:val="00C22AD7"/>
    <w:rsid w:val="00C272C1"/>
    <w:rsid w:val="00C32A68"/>
    <w:rsid w:val="00C34282"/>
    <w:rsid w:val="00C35350"/>
    <w:rsid w:val="00C3564B"/>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55B5"/>
    <w:rsid w:val="00D43DC3"/>
    <w:rsid w:val="00D51791"/>
    <w:rsid w:val="00D5281E"/>
    <w:rsid w:val="00D6531B"/>
    <w:rsid w:val="00D6612D"/>
    <w:rsid w:val="00D71AD9"/>
    <w:rsid w:val="00D73C02"/>
    <w:rsid w:val="00D872ED"/>
    <w:rsid w:val="00D913C6"/>
    <w:rsid w:val="00DA0236"/>
    <w:rsid w:val="00DA5D51"/>
    <w:rsid w:val="00DA5E29"/>
    <w:rsid w:val="00DA61CA"/>
    <w:rsid w:val="00DB66BB"/>
    <w:rsid w:val="00DB73AF"/>
    <w:rsid w:val="00DC2865"/>
    <w:rsid w:val="00DD0894"/>
    <w:rsid w:val="00DE1888"/>
    <w:rsid w:val="00DF1250"/>
    <w:rsid w:val="00DF6EF7"/>
    <w:rsid w:val="00E05454"/>
    <w:rsid w:val="00E074C3"/>
    <w:rsid w:val="00E23329"/>
    <w:rsid w:val="00E24D6D"/>
    <w:rsid w:val="00E341B2"/>
    <w:rsid w:val="00E42633"/>
    <w:rsid w:val="00E5699E"/>
    <w:rsid w:val="00E570E1"/>
    <w:rsid w:val="00E72773"/>
    <w:rsid w:val="00E76739"/>
    <w:rsid w:val="00E81946"/>
    <w:rsid w:val="00E82BB7"/>
    <w:rsid w:val="00E86D13"/>
    <w:rsid w:val="00E936C2"/>
    <w:rsid w:val="00E95346"/>
    <w:rsid w:val="00EA0CEF"/>
    <w:rsid w:val="00EA2E2A"/>
    <w:rsid w:val="00EB79D2"/>
    <w:rsid w:val="00EC0174"/>
    <w:rsid w:val="00ED3EEB"/>
    <w:rsid w:val="00ED5749"/>
    <w:rsid w:val="00ED5FA3"/>
    <w:rsid w:val="00ED68C4"/>
    <w:rsid w:val="00ED6A4E"/>
    <w:rsid w:val="00ED72EA"/>
    <w:rsid w:val="00EE3A4F"/>
    <w:rsid w:val="00EE3F60"/>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22922B0"/>
    <w:rsid w:val="040274BB"/>
    <w:rsid w:val="07526815"/>
    <w:rsid w:val="08BD20E2"/>
    <w:rsid w:val="0DC31556"/>
    <w:rsid w:val="1A3D6143"/>
    <w:rsid w:val="1B087F38"/>
    <w:rsid w:val="1C013801"/>
    <w:rsid w:val="1D866DED"/>
    <w:rsid w:val="1DFD8D3B"/>
    <w:rsid w:val="1F641904"/>
    <w:rsid w:val="1F9803AC"/>
    <w:rsid w:val="1F9F20EA"/>
    <w:rsid w:val="1FB79DC9"/>
    <w:rsid w:val="1FBFC3F2"/>
    <w:rsid w:val="1FFFE033"/>
    <w:rsid w:val="263151E3"/>
    <w:rsid w:val="276E53F9"/>
    <w:rsid w:val="27F352A6"/>
    <w:rsid w:val="2D527252"/>
    <w:rsid w:val="2DCB7F6A"/>
    <w:rsid w:val="2DDC1740"/>
    <w:rsid w:val="2EAE55F2"/>
    <w:rsid w:val="2EDF4302"/>
    <w:rsid w:val="2EFE1A04"/>
    <w:rsid w:val="31D66820"/>
    <w:rsid w:val="35BBF80F"/>
    <w:rsid w:val="36450768"/>
    <w:rsid w:val="3AEA4709"/>
    <w:rsid w:val="3B736F08"/>
    <w:rsid w:val="3BE3D531"/>
    <w:rsid w:val="3D431A40"/>
    <w:rsid w:val="3EEA044C"/>
    <w:rsid w:val="3EFF42CA"/>
    <w:rsid w:val="3F6FCA38"/>
    <w:rsid w:val="3FD5AF3D"/>
    <w:rsid w:val="3FFED8BE"/>
    <w:rsid w:val="3FFF43BB"/>
    <w:rsid w:val="41CE268F"/>
    <w:rsid w:val="421E43D8"/>
    <w:rsid w:val="433DCF8E"/>
    <w:rsid w:val="459F2503"/>
    <w:rsid w:val="45FF973D"/>
    <w:rsid w:val="47550EBA"/>
    <w:rsid w:val="480B0BF8"/>
    <w:rsid w:val="49F60338"/>
    <w:rsid w:val="4BF7E09D"/>
    <w:rsid w:val="4DCA78B7"/>
    <w:rsid w:val="4FFFFC3E"/>
    <w:rsid w:val="53BB74FC"/>
    <w:rsid w:val="55FDDF92"/>
    <w:rsid w:val="55FFBC03"/>
    <w:rsid w:val="56CDA72E"/>
    <w:rsid w:val="576F5916"/>
    <w:rsid w:val="577FDAE2"/>
    <w:rsid w:val="57FBE2C7"/>
    <w:rsid w:val="5B335734"/>
    <w:rsid w:val="5B7F322F"/>
    <w:rsid w:val="5BCAB023"/>
    <w:rsid w:val="5DDA9B94"/>
    <w:rsid w:val="5EAB810D"/>
    <w:rsid w:val="5EFF9DA6"/>
    <w:rsid w:val="5F7751B9"/>
    <w:rsid w:val="5F9F7232"/>
    <w:rsid w:val="5F9F9588"/>
    <w:rsid w:val="5FBD32D2"/>
    <w:rsid w:val="5FD450B0"/>
    <w:rsid w:val="5FEF60CD"/>
    <w:rsid w:val="5FFB203D"/>
    <w:rsid w:val="5FFB8CF9"/>
    <w:rsid w:val="631E24FD"/>
    <w:rsid w:val="63DBAF21"/>
    <w:rsid w:val="63E17ED1"/>
    <w:rsid w:val="65BD378B"/>
    <w:rsid w:val="6636451A"/>
    <w:rsid w:val="66B25BC3"/>
    <w:rsid w:val="67DE80AA"/>
    <w:rsid w:val="68CC02FE"/>
    <w:rsid w:val="697E3B47"/>
    <w:rsid w:val="69BF132E"/>
    <w:rsid w:val="6AFE184A"/>
    <w:rsid w:val="6BFEE5F3"/>
    <w:rsid w:val="6CAFF34E"/>
    <w:rsid w:val="6CFFCF4F"/>
    <w:rsid w:val="6DFFF8B6"/>
    <w:rsid w:val="6E9FE641"/>
    <w:rsid w:val="6EEDE807"/>
    <w:rsid w:val="6EEE4BE4"/>
    <w:rsid w:val="6EF65E9C"/>
    <w:rsid w:val="6F3D9197"/>
    <w:rsid w:val="6FAB3EC4"/>
    <w:rsid w:val="6FB6AF41"/>
    <w:rsid w:val="6FD894C8"/>
    <w:rsid w:val="6FE36A9E"/>
    <w:rsid w:val="6FEFB2D1"/>
    <w:rsid w:val="6FFF97E6"/>
    <w:rsid w:val="71397E03"/>
    <w:rsid w:val="71FB5B08"/>
    <w:rsid w:val="737B78B2"/>
    <w:rsid w:val="73FB87D9"/>
    <w:rsid w:val="75A153E9"/>
    <w:rsid w:val="75C872B9"/>
    <w:rsid w:val="75EF0FBA"/>
    <w:rsid w:val="7607C293"/>
    <w:rsid w:val="76C9109B"/>
    <w:rsid w:val="76DFA4E8"/>
    <w:rsid w:val="778720BD"/>
    <w:rsid w:val="77A7D615"/>
    <w:rsid w:val="77FF366A"/>
    <w:rsid w:val="77FF8C96"/>
    <w:rsid w:val="77FFA8F9"/>
    <w:rsid w:val="786C6182"/>
    <w:rsid w:val="7976604B"/>
    <w:rsid w:val="79F3BC78"/>
    <w:rsid w:val="7A5B6CAA"/>
    <w:rsid w:val="7A9314AC"/>
    <w:rsid w:val="7B4F6850"/>
    <w:rsid w:val="7BABD5C4"/>
    <w:rsid w:val="7BB12055"/>
    <w:rsid w:val="7BBFADBA"/>
    <w:rsid w:val="7BFF492D"/>
    <w:rsid w:val="7C2D4B10"/>
    <w:rsid w:val="7C631402"/>
    <w:rsid w:val="7C978C63"/>
    <w:rsid w:val="7CA35AD0"/>
    <w:rsid w:val="7CDF8BC3"/>
    <w:rsid w:val="7CEB72A5"/>
    <w:rsid w:val="7D18750B"/>
    <w:rsid w:val="7DDFDC39"/>
    <w:rsid w:val="7E140770"/>
    <w:rsid w:val="7E5D92FB"/>
    <w:rsid w:val="7EF51D64"/>
    <w:rsid w:val="7EFFF488"/>
    <w:rsid w:val="7F574612"/>
    <w:rsid w:val="7F7F4920"/>
    <w:rsid w:val="7FB7C299"/>
    <w:rsid w:val="7FBFFB92"/>
    <w:rsid w:val="7FD76ACB"/>
    <w:rsid w:val="7FD89DA2"/>
    <w:rsid w:val="7FDBD805"/>
    <w:rsid w:val="7FDEC14D"/>
    <w:rsid w:val="7FDF8B76"/>
    <w:rsid w:val="7FDFE693"/>
    <w:rsid w:val="7FEFB5DD"/>
    <w:rsid w:val="7FEFBBD9"/>
    <w:rsid w:val="7FFD6A57"/>
    <w:rsid w:val="7FFDA7EC"/>
    <w:rsid w:val="7FFDEA1E"/>
    <w:rsid w:val="7FFEC1F6"/>
    <w:rsid w:val="7FFF2F52"/>
    <w:rsid w:val="8F7B4EC8"/>
    <w:rsid w:val="8FBD4480"/>
    <w:rsid w:val="8FF7AE96"/>
    <w:rsid w:val="955F5184"/>
    <w:rsid w:val="9F6311D7"/>
    <w:rsid w:val="9FF54399"/>
    <w:rsid w:val="A46D76C1"/>
    <w:rsid w:val="A7FF43C2"/>
    <w:rsid w:val="ABF66286"/>
    <w:rsid w:val="AD9E3F04"/>
    <w:rsid w:val="ADA70464"/>
    <w:rsid w:val="AFE97CD3"/>
    <w:rsid w:val="B1BF5C63"/>
    <w:rsid w:val="B1FF3A18"/>
    <w:rsid w:val="B3CDF284"/>
    <w:rsid w:val="B3E8107B"/>
    <w:rsid w:val="B5F66F24"/>
    <w:rsid w:val="B7F5200A"/>
    <w:rsid w:val="BABDA1AA"/>
    <w:rsid w:val="BB1B4BF1"/>
    <w:rsid w:val="BBE5FE68"/>
    <w:rsid w:val="BBFEB9C1"/>
    <w:rsid w:val="BDF7406A"/>
    <w:rsid w:val="BE6FD8DB"/>
    <w:rsid w:val="BEEF57C2"/>
    <w:rsid w:val="BF6D5596"/>
    <w:rsid w:val="BFBEBB2C"/>
    <w:rsid w:val="BFC68935"/>
    <w:rsid w:val="BFDD0F1D"/>
    <w:rsid w:val="BFDDD096"/>
    <w:rsid w:val="C5B3F496"/>
    <w:rsid w:val="C96F3E49"/>
    <w:rsid w:val="CBBF14F3"/>
    <w:rsid w:val="CBE5DCF2"/>
    <w:rsid w:val="CCFCC735"/>
    <w:rsid w:val="CEEB8A74"/>
    <w:rsid w:val="D37FB642"/>
    <w:rsid w:val="D7F99798"/>
    <w:rsid w:val="D7FF400C"/>
    <w:rsid w:val="DBED1CD4"/>
    <w:rsid w:val="DBFBB328"/>
    <w:rsid w:val="DDD7453A"/>
    <w:rsid w:val="DE3E1FD7"/>
    <w:rsid w:val="DFBE1B79"/>
    <w:rsid w:val="DFCF1FEC"/>
    <w:rsid w:val="DFE75A3D"/>
    <w:rsid w:val="DFED2117"/>
    <w:rsid w:val="DFEF594B"/>
    <w:rsid w:val="DFF3F960"/>
    <w:rsid w:val="DFFE0D61"/>
    <w:rsid w:val="E35C4B3C"/>
    <w:rsid w:val="E3A781CA"/>
    <w:rsid w:val="E5DFAB50"/>
    <w:rsid w:val="E6FC647F"/>
    <w:rsid w:val="EBFBC8F1"/>
    <w:rsid w:val="EBFDF757"/>
    <w:rsid w:val="ED758B5D"/>
    <w:rsid w:val="ED76A08D"/>
    <w:rsid w:val="EDBDD81F"/>
    <w:rsid w:val="EDFDB542"/>
    <w:rsid w:val="EF0FCF96"/>
    <w:rsid w:val="EF95E20F"/>
    <w:rsid w:val="EFAF7DFF"/>
    <w:rsid w:val="EFAFB283"/>
    <w:rsid w:val="EFBDA38B"/>
    <w:rsid w:val="EFEE9A76"/>
    <w:rsid w:val="F1BF6FBC"/>
    <w:rsid w:val="F1F9A9B5"/>
    <w:rsid w:val="F3779FC2"/>
    <w:rsid w:val="F3D5C239"/>
    <w:rsid w:val="F3F37DF4"/>
    <w:rsid w:val="F3F96DE6"/>
    <w:rsid w:val="F3FBC54A"/>
    <w:rsid w:val="F47BB68A"/>
    <w:rsid w:val="F47F523E"/>
    <w:rsid w:val="F69FD6B0"/>
    <w:rsid w:val="F7E7F921"/>
    <w:rsid w:val="F7F7AC6A"/>
    <w:rsid w:val="F7FD93B9"/>
    <w:rsid w:val="FABF64A5"/>
    <w:rsid w:val="FABF7411"/>
    <w:rsid w:val="FBA53981"/>
    <w:rsid w:val="FBE4457E"/>
    <w:rsid w:val="FBFC558A"/>
    <w:rsid w:val="FBFF71AC"/>
    <w:rsid w:val="FBFFEA2B"/>
    <w:rsid w:val="FCCB27AA"/>
    <w:rsid w:val="FCFF8F4B"/>
    <w:rsid w:val="FD9595AD"/>
    <w:rsid w:val="FDF9DD9A"/>
    <w:rsid w:val="FDFF2821"/>
    <w:rsid w:val="FDFFA696"/>
    <w:rsid w:val="FE7FB02B"/>
    <w:rsid w:val="FEBD0232"/>
    <w:rsid w:val="FED5A77F"/>
    <w:rsid w:val="FEDFD193"/>
    <w:rsid w:val="FEE7097E"/>
    <w:rsid w:val="FEEF8230"/>
    <w:rsid w:val="FEF1F1BE"/>
    <w:rsid w:val="FEF99316"/>
    <w:rsid w:val="FEFB20CB"/>
    <w:rsid w:val="FEFD95B3"/>
    <w:rsid w:val="FEFE4E93"/>
    <w:rsid w:val="FEFFA483"/>
    <w:rsid w:val="FF29B32D"/>
    <w:rsid w:val="FF2E6944"/>
    <w:rsid w:val="FF5F9D52"/>
    <w:rsid w:val="FF7A0B6A"/>
    <w:rsid w:val="FF7B6DC2"/>
    <w:rsid w:val="FF7FFF75"/>
    <w:rsid w:val="FF921F59"/>
    <w:rsid w:val="FFBB1E09"/>
    <w:rsid w:val="FFBB6A0C"/>
    <w:rsid w:val="FFBD894B"/>
    <w:rsid w:val="FFBF33B3"/>
    <w:rsid w:val="FFD09362"/>
    <w:rsid w:val="FFD1DA08"/>
    <w:rsid w:val="FFD7DEDD"/>
    <w:rsid w:val="FFDE369F"/>
    <w:rsid w:val="FFEF98C9"/>
    <w:rsid w:val="FFEFCE62"/>
    <w:rsid w:val="FFF973B0"/>
    <w:rsid w:val="FFFB4F05"/>
    <w:rsid w:val="FFFEC8F5"/>
    <w:rsid w:val="FFFEF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spacing w:before="156" w:beforeLines="50" w:line="360" w:lineRule="auto"/>
      <w:ind w:firstLine="480" w:firstLineChars="200"/>
    </w:pPr>
    <w:rPr>
      <w:rFonts w:eastAsia="仿宋"/>
      <w:sz w:val="24"/>
      <w:szCs w:val="23"/>
      <w:lang w:eastAsia="ar-SA"/>
    </w:rPr>
  </w:style>
  <w:style w:type="paragraph" w:styleId="3">
    <w:name w:val="Document Map"/>
    <w:basedOn w:val="1"/>
    <w:link w:val="18"/>
    <w:qFormat/>
    <w:uiPriority w:val="0"/>
    <w:rPr>
      <w:rFonts w:ascii="宋体" w:eastAsia="宋体"/>
      <w:sz w:val="18"/>
      <w:szCs w:val="18"/>
    </w:rPr>
  </w:style>
  <w:style w:type="paragraph" w:styleId="4">
    <w:name w:val="Body Text"/>
    <w:basedOn w:val="1"/>
    <w:next w:val="1"/>
    <w:qFormat/>
    <w:uiPriority w:val="0"/>
    <w:pPr>
      <w:spacing w:after="120"/>
    </w:pPr>
  </w:style>
  <w:style w:type="paragraph" w:styleId="5">
    <w:name w:val="Body Text Indent"/>
    <w:basedOn w:val="1"/>
    <w:qFormat/>
    <w:uiPriority w:val="0"/>
    <w:pPr>
      <w:spacing w:after="120"/>
      <w:ind w:leftChars="200"/>
    </w:pPr>
    <w:rPr>
      <w:rFonts w:ascii="仿宋_GB2312"/>
      <w:szCs w:val="32"/>
    </w:rPr>
  </w:style>
  <w:style w:type="paragraph" w:styleId="6">
    <w:name w:val="Balloon Text"/>
    <w:basedOn w:val="1"/>
    <w:semiHidden/>
    <w:qFormat/>
    <w:uiPriority w:val="0"/>
    <w:rPr>
      <w:sz w:val="18"/>
      <w:szCs w:val="18"/>
    </w:rPr>
  </w:style>
  <w:style w:type="paragraph" w:styleId="7">
    <w:name w:val="footer"/>
    <w:basedOn w:val="1"/>
    <w:link w:val="20"/>
    <w:qFormat/>
    <w:uiPriority w:val="99"/>
    <w:pPr>
      <w:tabs>
        <w:tab w:val="center" w:pos="4153"/>
        <w:tab w:val="right" w:pos="8306"/>
      </w:tabs>
      <w:snapToGrid w:val="0"/>
      <w:jc w:val="left"/>
    </w:pPr>
    <w:rPr>
      <w:rFonts w:eastAsia="宋体"/>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rFonts w:eastAsia="宋体"/>
      <w:sz w:val="18"/>
      <w:szCs w:val="18"/>
    </w:rPr>
  </w:style>
  <w:style w:type="paragraph" w:styleId="9">
    <w:name w:val="toc 1"/>
    <w:basedOn w:val="1"/>
    <w:next w:val="1"/>
    <w:qFormat/>
    <w:uiPriority w:val="0"/>
  </w:style>
  <w:style w:type="paragraph" w:styleId="10">
    <w:name w:val="Body Text First Indent 2"/>
    <w:basedOn w:val="5"/>
    <w:unhideWhenUsed/>
    <w:qFormat/>
    <w:uiPriority w:val="99"/>
    <w:pPr>
      <w:ind w:firstLine="420" w:firstLineChars="2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page number"/>
    <w:basedOn w:val="13"/>
    <w:qFormat/>
    <w:uiPriority w:val="0"/>
  </w:style>
  <w:style w:type="paragraph" w:customStyle="1" w:styleId="15">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paragraph" w:customStyle="1" w:styleId="16">
    <w:name w:val="四号正文"/>
    <w:basedOn w:val="1"/>
    <w:link w:val="17"/>
    <w:qFormat/>
    <w:uiPriority w:val="0"/>
    <w:pPr>
      <w:spacing w:line="360" w:lineRule="auto"/>
    </w:pPr>
    <w:rPr>
      <w:rFonts w:ascii="??" w:hAnsi="??" w:eastAsia="宋体" w:cs="宋体"/>
      <w:color w:val="000000"/>
      <w:kern w:val="0"/>
      <w:sz w:val="28"/>
      <w:szCs w:val="21"/>
    </w:rPr>
  </w:style>
  <w:style w:type="character" w:customStyle="1" w:styleId="17">
    <w:name w:val="四号正文 Char"/>
    <w:basedOn w:val="13"/>
    <w:link w:val="16"/>
    <w:qFormat/>
    <w:uiPriority w:val="0"/>
    <w:rPr>
      <w:rFonts w:ascii="??" w:hAnsi="??" w:eastAsia="宋体" w:cs="宋体"/>
      <w:color w:val="000000"/>
      <w:sz w:val="28"/>
      <w:szCs w:val="21"/>
      <w:lang w:val="en-US" w:eastAsia="zh-CN" w:bidi="ar-SA"/>
    </w:rPr>
  </w:style>
  <w:style w:type="character" w:customStyle="1" w:styleId="18">
    <w:name w:val="文档结构图 Char"/>
    <w:basedOn w:val="13"/>
    <w:link w:val="3"/>
    <w:qFormat/>
    <w:uiPriority w:val="0"/>
    <w:rPr>
      <w:rFonts w:ascii="宋体"/>
      <w:kern w:val="2"/>
      <w:sz w:val="18"/>
      <w:szCs w:val="18"/>
    </w:rPr>
  </w:style>
  <w:style w:type="paragraph" w:customStyle="1" w:styleId="19">
    <w:name w:val="a"/>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20">
    <w:name w:val="页脚 Char"/>
    <w:basedOn w:val="13"/>
    <w:link w:val="7"/>
    <w:qFormat/>
    <w:uiPriority w:val="99"/>
    <w:rPr>
      <w:kern w:val="2"/>
      <w:sz w:val="18"/>
      <w:szCs w:val="18"/>
    </w:rPr>
  </w:style>
  <w:style w:type="character" w:customStyle="1" w:styleId="21">
    <w:name w:val="font31"/>
    <w:basedOn w:val="13"/>
    <w:qFormat/>
    <w:uiPriority w:val="0"/>
    <w:rPr>
      <w:rFonts w:hint="eastAsia" w:ascii="宋体" w:hAnsi="宋体" w:eastAsia="宋体" w:cs="宋体"/>
      <w:color w:val="000000"/>
      <w:sz w:val="24"/>
      <w:szCs w:val="24"/>
      <w:u w:val="none"/>
    </w:rPr>
  </w:style>
  <w:style w:type="character" w:customStyle="1" w:styleId="22">
    <w:name w:val="font51"/>
    <w:basedOn w:val="13"/>
    <w:qFormat/>
    <w:uiPriority w:val="0"/>
    <w:rPr>
      <w:rFonts w:hint="default" w:ascii="Wingdings 2" w:hAnsi="Wingdings 2" w:eastAsia="Wingdings 2" w:cs="Wingdings 2"/>
      <w:color w:val="000000"/>
      <w:sz w:val="18"/>
      <w:szCs w:val="18"/>
      <w:u w:val="none"/>
    </w:rPr>
  </w:style>
  <w:style w:type="character" w:customStyle="1" w:styleId="23">
    <w:name w:val="font01"/>
    <w:basedOn w:val="13"/>
    <w:qFormat/>
    <w:uiPriority w:val="0"/>
    <w:rPr>
      <w:rFonts w:ascii="宋体" w:hAnsi="宋体" w:eastAsia="宋体" w:cs="宋体"/>
      <w:color w:val="000000"/>
      <w:sz w:val="18"/>
      <w:szCs w:val="18"/>
      <w:u w:val="none"/>
    </w:rPr>
  </w:style>
  <w:style w:type="character" w:customStyle="1" w:styleId="24">
    <w:name w:val="font41"/>
    <w:basedOn w:val="13"/>
    <w:qFormat/>
    <w:uiPriority w:val="0"/>
    <w:rPr>
      <w:rFonts w:ascii="宋体" w:hAnsi="宋体" w:eastAsia="宋体" w:cs="宋体"/>
      <w:color w:val="000000"/>
      <w:sz w:val="18"/>
      <w:szCs w:val="18"/>
      <w:u w:val="none"/>
    </w:rPr>
  </w:style>
  <w:style w:type="character" w:customStyle="1" w:styleId="25">
    <w:name w:val="font71"/>
    <w:basedOn w:val="13"/>
    <w:qFormat/>
    <w:uiPriority w:val="0"/>
    <w:rPr>
      <w:rFonts w:hint="default" w:ascii="Times New Roman" w:hAnsi="Times New Roman" w:cs="Times New Roman"/>
      <w:color w:val="000000"/>
      <w:sz w:val="28"/>
      <w:szCs w:val="28"/>
      <w:u w:val="none"/>
    </w:rPr>
  </w:style>
  <w:style w:type="character" w:customStyle="1" w:styleId="26">
    <w:name w:val="font21"/>
    <w:basedOn w:val="13"/>
    <w:qFormat/>
    <w:uiPriority w:val="0"/>
    <w:rPr>
      <w:rFonts w:hint="eastAsia" w:ascii="宋体" w:hAnsi="宋体" w:eastAsia="宋体" w:cs="宋体"/>
      <w:color w:val="000000"/>
      <w:sz w:val="28"/>
      <w:szCs w:val="28"/>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PSZX</Company>
  <Pages>15</Pages>
  <Words>6222</Words>
  <Characters>6627</Characters>
  <Lines>2</Lines>
  <Paragraphs>1</Paragraphs>
  <TotalTime>1</TotalTime>
  <ScaleCrop>false</ScaleCrop>
  <LinksUpToDate>false</LinksUpToDate>
  <CharactersWithSpaces>6636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2019-05-28T19:06:00Z</dcterms:created>
  <dc:creator>陈萍</dc:creator>
  <cp:lastModifiedBy>奕夕^_^</cp:lastModifiedBy>
  <cp:lastPrinted>2016-02-15T08:25:00Z</cp:lastPrinted>
  <dcterms:modified xsi:type="dcterms:W3CDTF">2024-09-19T03:13:57Z</dcterms:modified>
  <dc:title>区域性就业培训基地建设项目</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A51A36801428E9B041879466C62AECE8</vt:lpwstr>
  </property>
</Properties>
</file>