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A05326">
      <w:pPr>
        <w:keepNext w:val="0"/>
        <w:keepLines w:val="0"/>
        <w:pageBreakBefore w:val="0"/>
        <w:kinsoku/>
        <w:wordWrap/>
        <w:overflowPunct/>
        <w:topLinePunct w:val="0"/>
        <w:autoSpaceDE/>
        <w:autoSpaceDN/>
        <w:bidi w:val="0"/>
        <w:spacing w:line="576" w:lineRule="exact"/>
        <w:contextualSpacing/>
        <w:textAlignment w:val="auto"/>
        <w:outlineLvl w:val="9"/>
        <w:rPr>
          <w:rFonts w:hint="default" w:ascii="Times New Roman" w:hAnsi="Times New Roman" w:eastAsia="宋体" w:cs="Times New Roman"/>
          <w:b/>
          <w:sz w:val="44"/>
          <w:szCs w:val="44"/>
          <w:highlight w:val="none"/>
          <w:shd w:val="clear" w:color="auto" w:fill="FFFFFF"/>
        </w:rPr>
      </w:pPr>
      <w:r>
        <w:rPr>
          <w:rFonts w:hint="default" w:ascii="Times New Roman" w:hAnsi="Times New Roman" w:eastAsia="黑体" w:cs="Times New Roman"/>
          <w:szCs w:val="32"/>
          <w:highlight w:val="none"/>
          <w:lang w:val="zh-CN"/>
        </w:rPr>
        <w:t>附件</w:t>
      </w:r>
    </w:p>
    <w:p w14:paraId="1F86BB37">
      <w:pPr>
        <w:keepNext w:val="0"/>
        <w:keepLines w:val="0"/>
        <w:pageBreakBefore w:val="0"/>
        <w:widowControl/>
        <w:kinsoku/>
        <w:wordWrap/>
        <w:overflowPunct/>
        <w:topLinePunct w:val="0"/>
        <w:autoSpaceDE/>
        <w:autoSpaceDN/>
        <w:bidi w:val="0"/>
        <w:spacing w:line="576" w:lineRule="exact"/>
        <w:contextualSpacing/>
        <w:jc w:val="center"/>
        <w:textAlignment w:val="auto"/>
        <w:outlineLvl w:val="9"/>
        <w:rPr>
          <w:rFonts w:hint="default" w:ascii="Times New Roman" w:hAnsi="Times New Roman" w:eastAsia="方正小标宋简体" w:cs="Times New Roman"/>
          <w:b w:val="0"/>
          <w:bCs/>
          <w:sz w:val="44"/>
          <w:szCs w:val="44"/>
          <w:highlight w:val="none"/>
          <w:shd w:val="clear" w:color="auto" w:fill="FFFFFF"/>
          <w:lang w:eastAsia="zh-CN"/>
        </w:rPr>
      </w:pPr>
      <w:r>
        <w:rPr>
          <w:rFonts w:hint="default" w:ascii="Times New Roman" w:hAnsi="Times New Roman" w:eastAsia="方正小标宋简体" w:cs="Times New Roman"/>
          <w:b w:val="0"/>
          <w:bCs/>
          <w:sz w:val="44"/>
          <w:szCs w:val="44"/>
          <w:highlight w:val="none"/>
          <w:shd w:val="clear" w:color="auto" w:fill="FFFFFF"/>
          <w:lang w:eastAsia="zh-CN"/>
        </w:rPr>
        <w:t>松潘县人力资源和社会保障局</w:t>
      </w:r>
    </w:p>
    <w:p w14:paraId="36EAA309">
      <w:pPr>
        <w:keepNext w:val="0"/>
        <w:keepLines w:val="0"/>
        <w:pageBreakBefore w:val="0"/>
        <w:widowControl/>
        <w:kinsoku/>
        <w:wordWrap/>
        <w:overflowPunct/>
        <w:topLinePunct w:val="0"/>
        <w:autoSpaceDE/>
        <w:autoSpaceDN/>
        <w:bidi w:val="0"/>
        <w:spacing w:line="576" w:lineRule="exact"/>
        <w:contextualSpacing/>
        <w:jc w:val="center"/>
        <w:textAlignment w:val="auto"/>
        <w:outlineLvl w:val="9"/>
        <w:rPr>
          <w:rFonts w:hint="default" w:ascii="Times New Roman" w:hAnsi="Times New Roman" w:cs="Times New Roman"/>
        </w:rPr>
      </w:pPr>
      <w:r>
        <w:rPr>
          <w:rFonts w:hint="default" w:ascii="Times New Roman" w:hAnsi="Times New Roman" w:eastAsia="方正小标宋简体" w:cs="Times New Roman"/>
          <w:b w:val="0"/>
          <w:bCs/>
          <w:sz w:val="44"/>
          <w:szCs w:val="44"/>
          <w:highlight w:val="none"/>
          <w:shd w:val="clear" w:color="auto" w:fill="FFFFFF"/>
          <w:lang w:val="en-US" w:eastAsia="zh-CN"/>
        </w:rPr>
        <w:t>2023年</w:t>
      </w:r>
      <w:r>
        <w:rPr>
          <w:rFonts w:hint="default" w:ascii="Times New Roman" w:hAnsi="Times New Roman" w:eastAsia="方正小标宋简体" w:cs="Times New Roman"/>
          <w:b w:val="0"/>
          <w:bCs/>
          <w:sz w:val="44"/>
          <w:szCs w:val="44"/>
          <w:highlight w:val="none"/>
          <w:shd w:val="clear" w:color="auto" w:fill="FFFFFF"/>
        </w:rPr>
        <w:t>部门</w:t>
      </w:r>
      <w:r>
        <w:rPr>
          <w:rFonts w:hint="default" w:ascii="Times New Roman" w:hAnsi="Times New Roman" w:eastAsia="方正小标宋简体" w:cs="Times New Roman"/>
          <w:b w:val="0"/>
          <w:bCs/>
          <w:sz w:val="44"/>
          <w:szCs w:val="44"/>
          <w:highlight w:val="none"/>
          <w:shd w:val="clear" w:color="auto" w:fill="FFFFFF"/>
          <w:lang w:eastAsia="zh-CN"/>
        </w:rPr>
        <w:t>预算</w:t>
      </w:r>
      <w:r>
        <w:rPr>
          <w:rFonts w:hint="default" w:ascii="Times New Roman" w:hAnsi="Times New Roman" w:eastAsia="方正小标宋简体" w:cs="Times New Roman"/>
          <w:b w:val="0"/>
          <w:bCs/>
          <w:sz w:val="44"/>
          <w:szCs w:val="44"/>
          <w:highlight w:val="none"/>
          <w:shd w:val="clear" w:color="auto" w:fill="FFFFFF"/>
        </w:rPr>
        <w:t>绩效</w:t>
      </w:r>
      <w:r>
        <w:rPr>
          <w:rFonts w:hint="default" w:ascii="Times New Roman" w:hAnsi="Times New Roman" w:eastAsia="方正小标宋简体" w:cs="Times New Roman"/>
          <w:b w:val="0"/>
          <w:bCs/>
          <w:sz w:val="44"/>
          <w:szCs w:val="44"/>
          <w:highlight w:val="none"/>
          <w:shd w:val="clear" w:color="auto" w:fill="FFFFFF"/>
          <w:lang w:eastAsia="zh-CN"/>
        </w:rPr>
        <w:t>评价</w:t>
      </w:r>
      <w:r>
        <w:rPr>
          <w:rFonts w:hint="default" w:ascii="Times New Roman" w:hAnsi="Times New Roman" w:eastAsia="方正小标宋简体" w:cs="Times New Roman"/>
          <w:b w:val="0"/>
          <w:bCs/>
          <w:sz w:val="44"/>
          <w:szCs w:val="44"/>
          <w:highlight w:val="none"/>
          <w:shd w:val="clear" w:color="auto" w:fill="FFFFFF"/>
        </w:rPr>
        <w:t>报告</w:t>
      </w:r>
    </w:p>
    <w:p w14:paraId="632EEAA5">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firstLine="640" w:firstLineChars="200"/>
        <w:contextualSpacing/>
        <w:jc w:val="left"/>
        <w:textAlignment w:val="auto"/>
        <w:outlineLvl w:val="9"/>
        <w:rPr>
          <w:rFonts w:hint="default" w:ascii="Times New Roman" w:hAnsi="Times New Roman" w:cs="Times New Roman"/>
          <w:szCs w:val="32"/>
        </w:rPr>
      </w:pPr>
      <w:r>
        <w:rPr>
          <w:rFonts w:hint="default" w:ascii="Times New Roman" w:hAnsi="Times New Roman" w:eastAsia="黑体" w:cs="Times New Roman"/>
          <w:color w:val="000000"/>
          <w:kern w:val="0"/>
          <w:szCs w:val="32"/>
          <w:highlight w:val="none"/>
          <w:shd w:val="clear" w:color="auto" w:fill="FFFFFF"/>
          <w:lang w:val="zh-CN"/>
        </w:rPr>
        <w:t>一、单位基本情况</w:t>
      </w:r>
    </w:p>
    <w:p w14:paraId="28783D88">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default" w:ascii="Times New Roman" w:hAnsi="Times New Roman" w:eastAsia="楷体_GB2312" w:cs="Times New Roman"/>
          <w:b/>
          <w:bCs/>
          <w:color w:val="000000"/>
          <w:kern w:val="0"/>
          <w:szCs w:val="32"/>
          <w:highlight w:val="none"/>
          <w:shd w:val="clear" w:color="auto" w:fill="FFFFFF"/>
          <w:lang w:val="zh-CN"/>
        </w:rPr>
      </w:pPr>
      <w:r>
        <w:rPr>
          <w:rFonts w:hint="default" w:ascii="Times New Roman" w:hAnsi="Times New Roman" w:eastAsia="楷体_GB2312" w:cs="Times New Roman"/>
          <w:b/>
          <w:bCs/>
          <w:color w:val="000000"/>
          <w:kern w:val="0"/>
          <w:szCs w:val="32"/>
          <w:highlight w:val="none"/>
          <w:shd w:val="clear" w:color="auto" w:fill="FFFFFF"/>
          <w:lang w:val="zh-CN"/>
        </w:rPr>
        <w:t>（一）机构组成。</w:t>
      </w:r>
    </w:p>
    <w:p w14:paraId="65AE6A59">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val="0"/>
          <w:bCs/>
          <w:color w:val="000000"/>
          <w:sz w:val="32"/>
          <w:szCs w:val="32"/>
          <w:lang w:eastAsia="zh-CN"/>
        </w:rPr>
      </w:pPr>
      <w:r>
        <w:rPr>
          <w:rFonts w:hint="eastAsia" w:ascii="仿宋_GB2312" w:hAnsi="仿宋_GB2312" w:eastAsia="仿宋_GB2312" w:cs="仿宋_GB2312"/>
          <w:b/>
          <w:bCs w:val="0"/>
          <w:color w:val="000000"/>
          <w:sz w:val="32"/>
          <w:szCs w:val="32"/>
        </w:rPr>
        <w:t>办公室。</w:t>
      </w:r>
      <w:r>
        <w:rPr>
          <w:rFonts w:hint="eastAsia" w:ascii="仿宋_GB2312" w:hAnsi="仿宋_GB2312" w:eastAsia="仿宋_GB2312" w:cs="仿宋_GB2312"/>
          <w:b w:val="0"/>
          <w:bCs/>
          <w:color w:val="000000"/>
          <w:sz w:val="32"/>
          <w:szCs w:val="32"/>
        </w:rPr>
        <w:t>负责文电、会务、文秘、机要、绩效管理、精神文明、民族团结、保密、安全以及政务公开、应急管理、督查督办、机关运转、国有资产实物管理、后勤保障、节能减排等工作</w:t>
      </w:r>
      <w:r>
        <w:rPr>
          <w:rFonts w:hint="eastAsia" w:ascii="仿宋_GB2312" w:hAnsi="仿宋_GB2312" w:eastAsia="仿宋_GB2312" w:cs="仿宋_GB2312"/>
          <w:b w:val="0"/>
          <w:bCs/>
          <w:color w:val="000000"/>
          <w:sz w:val="32"/>
          <w:szCs w:val="32"/>
          <w:lang w:eastAsia="zh-CN"/>
        </w:rPr>
        <w:t>；</w:t>
      </w:r>
      <w:r>
        <w:rPr>
          <w:rFonts w:hint="eastAsia" w:ascii="仿宋_GB2312" w:hAnsi="仿宋_GB2312" w:eastAsia="仿宋_GB2312" w:cs="仿宋_GB2312"/>
          <w:b w:val="0"/>
          <w:bCs/>
          <w:color w:val="000000"/>
          <w:sz w:val="32"/>
          <w:szCs w:val="32"/>
        </w:rPr>
        <w:t>负责承担综合性文稿起草</w:t>
      </w:r>
      <w:r>
        <w:rPr>
          <w:rFonts w:hint="eastAsia" w:ascii="仿宋_GB2312" w:hAnsi="仿宋_GB2312" w:eastAsia="仿宋_GB2312" w:cs="仿宋_GB2312"/>
          <w:b w:val="0"/>
          <w:bCs/>
          <w:color w:val="000000"/>
          <w:sz w:val="32"/>
          <w:szCs w:val="32"/>
          <w:lang w:eastAsia="zh-CN"/>
        </w:rPr>
        <w:t>；</w:t>
      </w:r>
      <w:r>
        <w:rPr>
          <w:rFonts w:hint="eastAsia" w:ascii="仿宋_GB2312" w:hAnsi="仿宋_GB2312" w:eastAsia="仿宋_GB2312" w:cs="仿宋_GB2312"/>
          <w:b w:val="0"/>
          <w:bCs/>
          <w:color w:val="000000"/>
          <w:sz w:val="32"/>
          <w:szCs w:val="32"/>
        </w:rPr>
        <w:t>承担单位史志、年鉴、大事记编纂等工作。贯彻执行《会计法》《预算法》及相关财务管理制度，负责机关财务核算和管理工作，负责国有资产、单位基建财务管理工作。</w:t>
      </w:r>
    </w:p>
    <w:p w14:paraId="4735FBDE">
      <w:pPr>
        <w:keepNext w:val="0"/>
        <w:keepLines w:val="0"/>
        <w:pageBreakBefore w:val="0"/>
        <w:kinsoku/>
        <w:wordWrap/>
        <w:overflowPunct/>
        <w:topLinePunct w:val="0"/>
        <w:autoSpaceDE/>
        <w:autoSpaceDN/>
        <w:bidi w:val="0"/>
        <w:adjustRightInd/>
        <w:snapToGrid/>
        <w:spacing w:line="576" w:lineRule="exact"/>
        <w:ind w:firstLine="643" w:firstLineChars="200"/>
        <w:jc w:val="both"/>
        <w:textAlignment w:val="auto"/>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bCs w:val="0"/>
          <w:color w:val="000000"/>
          <w:sz w:val="32"/>
          <w:szCs w:val="32"/>
          <w:lang w:eastAsia="zh-CN"/>
        </w:rPr>
        <w:t>劳动关系</w:t>
      </w:r>
      <w:r>
        <w:rPr>
          <w:rFonts w:hint="eastAsia" w:ascii="仿宋_GB2312" w:hAnsi="仿宋_GB2312" w:eastAsia="仿宋_GB2312" w:cs="仿宋_GB2312"/>
          <w:b/>
          <w:bCs w:val="0"/>
          <w:color w:val="000000"/>
          <w:sz w:val="32"/>
          <w:szCs w:val="32"/>
        </w:rPr>
        <w:t>股</w:t>
      </w:r>
      <w:r>
        <w:rPr>
          <w:rFonts w:hint="eastAsia" w:ascii="仿宋_GB2312" w:hAnsi="仿宋_GB2312" w:eastAsia="仿宋_GB2312" w:cs="仿宋_GB2312"/>
          <w:b/>
          <w:bCs w:val="0"/>
          <w:color w:val="000000"/>
          <w:sz w:val="32"/>
          <w:szCs w:val="32"/>
          <w:lang w:eastAsia="zh-CN"/>
        </w:rPr>
        <w:t>。</w:t>
      </w:r>
      <w:r>
        <w:rPr>
          <w:rFonts w:hint="eastAsia" w:ascii="仿宋_GB2312" w:hAnsi="仿宋_GB2312" w:eastAsia="仿宋_GB2312" w:cs="仿宋_GB2312"/>
          <w:b w:val="0"/>
          <w:bCs/>
          <w:color w:val="000000"/>
          <w:sz w:val="32"/>
          <w:szCs w:val="32"/>
        </w:rPr>
        <w:t>组织开展人力资源和社会保障政策的综合性研究。组织起草人力资源和社会保障</w:t>
      </w:r>
      <w:r>
        <w:rPr>
          <w:rFonts w:hint="eastAsia" w:ascii="仿宋_GB2312" w:hAnsi="仿宋_GB2312" w:eastAsia="仿宋_GB2312" w:cs="仿宋_GB2312"/>
          <w:b w:val="0"/>
          <w:bCs/>
          <w:color w:val="000000"/>
          <w:sz w:val="32"/>
          <w:szCs w:val="32"/>
          <w:lang w:eastAsia="zh-CN"/>
        </w:rPr>
        <w:t>规章</w:t>
      </w:r>
      <w:r>
        <w:rPr>
          <w:rFonts w:hint="eastAsia" w:ascii="仿宋_GB2312" w:hAnsi="仿宋_GB2312" w:eastAsia="仿宋_GB2312" w:cs="仿宋_GB2312"/>
          <w:b w:val="0"/>
          <w:bCs/>
          <w:color w:val="000000"/>
          <w:sz w:val="32"/>
          <w:szCs w:val="32"/>
        </w:rPr>
        <w:t>草案</w:t>
      </w:r>
      <w:r>
        <w:rPr>
          <w:rFonts w:hint="eastAsia" w:ascii="仿宋_GB2312" w:hAnsi="仿宋_GB2312" w:eastAsia="仿宋_GB2312" w:cs="仿宋_GB2312"/>
          <w:b w:val="0"/>
          <w:bCs/>
          <w:color w:val="000000"/>
          <w:sz w:val="32"/>
          <w:szCs w:val="32"/>
          <w:lang w:eastAsia="zh-CN"/>
        </w:rPr>
        <w:t>，</w:t>
      </w:r>
      <w:r>
        <w:rPr>
          <w:rFonts w:hint="eastAsia" w:ascii="仿宋_GB2312" w:hAnsi="仿宋_GB2312" w:eastAsia="仿宋_GB2312" w:cs="仿宋_GB2312"/>
          <w:b w:val="0"/>
          <w:bCs/>
          <w:color w:val="000000"/>
          <w:sz w:val="32"/>
          <w:szCs w:val="32"/>
        </w:rPr>
        <w:t>承担有关重大决策事项、规范性文件、重大行政执法的合法性审查工作，负责单位法治建设、依法行政工作，承担相关行政执法监督</w:t>
      </w:r>
      <w:r>
        <w:rPr>
          <w:rFonts w:hint="eastAsia" w:ascii="仿宋_GB2312" w:hAnsi="仿宋_GB2312" w:eastAsia="仿宋_GB2312" w:cs="仿宋_GB2312"/>
          <w:b w:val="0"/>
          <w:bCs/>
          <w:color w:val="000000"/>
          <w:sz w:val="32"/>
          <w:szCs w:val="32"/>
          <w:lang w:eastAsia="zh-CN"/>
        </w:rPr>
        <w:t>、</w:t>
      </w:r>
      <w:r>
        <w:rPr>
          <w:rFonts w:hint="eastAsia" w:ascii="仿宋_GB2312" w:hAnsi="仿宋_GB2312" w:eastAsia="仿宋_GB2312" w:cs="仿宋_GB2312"/>
          <w:b w:val="0"/>
          <w:bCs/>
          <w:color w:val="000000"/>
          <w:sz w:val="32"/>
          <w:szCs w:val="32"/>
        </w:rPr>
        <w:t>行政复议、行政诉讼等工作</w:t>
      </w:r>
      <w:r>
        <w:rPr>
          <w:rFonts w:hint="eastAsia" w:ascii="仿宋_GB2312" w:hAnsi="仿宋_GB2312" w:eastAsia="仿宋_GB2312" w:cs="仿宋_GB2312"/>
          <w:b w:val="0"/>
          <w:bCs/>
          <w:color w:val="000000"/>
          <w:sz w:val="32"/>
          <w:szCs w:val="32"/>
          <w:lang w:eastAsia="zh-CN"/>
        </w:rPr>
        <w:t>；</w:t>
      </w:r>
      <w:r>
        <w:rPr>
          <w:rFonts w:hint="eastAsia" w:ascii="仿宋_GB2312" w:hAnsi="仿宋_GB2312" w:eastAsia="仿宋_GB2312" w:cs="仿宋_GB2312"/>
          <w:b w:val="0"/>
          <w:bCs/>
          <w:color w:val="000000"/>
          <w:sz w:val="32"/>
          <w:szCs w:val="32"/>
        </w:rPr>
        <w:t>牵头协调推进本系统“放管服”改革，承担审批服务便民化有关工作，集中承担</w:t>
      </w:r>
      <w:r>
        <w:rPr>
          <w:rFonts w:hint="eastAsia" w:ascii="仿宋_GB2312" w:hAnsi="仿宋_GB2312" w:eastAsia="仿宋_GB2312" w:cs="仿宋_GB2312"/>
          <w:b w:val="0"/>
          <w:bCs/>
          <w:color w:val="000000"/>
          <w:sz w:val="32"/>
          <w:szCs w:val="32"/>
          <w:lang w:eastAsia="zh-CN"/>
        </w:rPr>
        <w:t>县</w:t>
      </w:r>
      <w:r>
        <w:rPr>
          <w:rFonts w:hint="eastAsia" w:ascii="仿宋_GB2312" w:hAnsi="仿宋_GB2312" w:eastAsia="仿宋_GB2312" w:cs="仿宋_GB2312"/>
          <w:b w:val="0"/>
          <w:bCs/>
          <w:color w:val="000000"/>
          <w:sz w:val="32"/>
          <w:szCs w:val="32"/>
        </w:rPr>
        <w:t>级有关审批服务事项的受理、审批等工作，推进纳入一体化政务服务平台</w:t>
      </w:r>
      <w:r>
        <w:rPr>
          <w:rFonts w:hint="eastAsia" w:ascii="仿宋_GB2312" w:hAnsi="仿宋_GB2312" w:eastAsia="仿宋_GB2312" w:cs="仿宋_GB2312"/>
          <w:b w:val="0"/>
          <w:bCs/>
          <w:color w:val="000000"/>
          <w:sz w:val="32"/>
          <w:szCs w:val="32"/>
          <w:lang w:eastAsia="zh-CN"/>
        </w:rPr>
        <w:t>；</w:t>
      </w:r>
      <w:r>
        <w:rPr>
          <w:rFonts w:hint="eastAsia" w:ascii="仿宋_GB2312" w:hAnsi="仿宋_GB2312" w:eastAsia="仿宋_GB2312" w:cs="仿宋_GB2312"/>
          <w:b w:val="0"/>
          <w:bCs/>
          <w:color w:val="000000"/>
          <w:sz w:val="32"/>
          <w:szCs w:val="32"/>
        </w:rPr>
        <w:t>牵头组织人大代表建议、政协委员提案办理工作。</w:t>
      </w:r>
    </w:p>
    <w:p w14:paraId="5BB6A055">
      <w:pPr>
        <w:keepNext w:val="0"/>
        <w:keepLines w:val="0"/>
        <w:pageBreakBefore w:val="0"/>
        <w:widowControl/>
        <w:numPr>
          <w:ilvl w:val="0"/>
          <w:numId w:val="0"/>
        </w:numPr>
        <w:suppressLineNumbers w:val="0"/>
        <w:kinsoku/>
        <w:wordWrap/>
        <w:overflowPunct/>
        <w:topLinePunct w:val="0"/>
        <w:autoSpaceDE/>
        <w:autoSpaceDN/>
        <w:bidi w:val="0"/>
        <w:adjustRightInd/>
        <w:snapToGrid/>
        <w:spacing w:line="576" w:lineRule="exact"/>
        <w:ind w:firstLine="643" w:firstLineChars="200"/>
        <w:jc w:val="both"/>
        <w:textAlignment w:val="auto"/>
        <w:rPr>
          <w:rFonts w:hint="eastAsia" w:ascii="仿宋_GB2312" w:hAnsi="仿宋_GB2312" w:eastAsia="仿宋_GB2312" w:cs="仿宋_GB2312"/>
          <w:b w:val="0"/>
          <w:bCs/>
          <w:color w:val="000000"/>
          <w:sz w:val="32"/>
          <w:szCs w:val="32"/>
          <w:lang w:val="en-US" w:eastAsia="zh-CN"/>
        </w:rPr>
      </w:pPr>
      <w:r>
        <w:rPr>
          <w:rFonts w:hint="eastAsia" w:ascii="仿宋_GB2312" w:hAnsi="仿宋_GB2312" w:eastAsia="仿宋_GB2312" w:cs="仿宋_GB2312"/>
          <w:b/>
          <w:bCs/>
          <w:color w:val="000000"/>
          <w:kern w:val="0"/>
          <w:sz w:val="32"/>
          <w:szCs w:val="32"/>
          <w:lang w:val="en-US" w:eastAsia="zh-CN" w:bidi="ar"/>
        </w:rPr>
        <w:t>社会保险股。</w:t>
      </w:r>
      <w:r>
        <w:rPr>
          <w:rFonts w:hint="eastAsia" w:ascii="仿宋_GB2312" w:hAnsi="仿宋_GB2312" w:eastAsia="仿宋_GB2312" w:cs="仿宋_GB2312"/>
          <w:b w:val="0"/>
          <w:bCs/>
          <w:color w:val="000000"/>
          <w:sz w:val="32"/>
          <w:szCs w:val="32"/>
          <w:lang w:val="en-US" w:eastAsia="zh-CN"/>
        </w:rPr>
        <w:t>拟订人力资源和社会保障事业发展、信息化建设发展规划和年度计划并组织实施；会同有关部门编制相关社会保险基金预决算草案，贯彻落实相关社会保障资金</w:t>
      </w:r>
      <w:r>
        <w:rPr>
          <w:rFonts w:hint="eastAsia" w:ascii="仿宋_GB2312" w:hAnsi="仿宋_GB2312" w:cs="仿宋_GB2312"/>
          <w:b w:val="0"/>
          <w:bCs/>
          <w:color w:val="000000"/>
          <w:sz w:val="32"/>
          <w:szCs w:val="32"/>
          <w:lang w:val="en-US" w:eastAsia="zh-CN"/>
        </w:rPr>
        <w:t>（</w:t>
      </w:r>
      <w:bookmarkStart w:id="1" w:name="_GoBack"/>
      <w:bookmarkEnd w:id="1"/>
      <w:r>
        <w:rPr>
          <w:rFonts w:hint="eastAsia" w:ascii="仿宋_GB2312" w:hAnsi="仿宋_GB2312" w:eastAsia="仿宋_GB2312" w:cs="仿宋_GB2312"/>
          <w:b w:val="0"/>
          <w:bCs/>
          <w:color w:val="000000"/>
          <w:sz w:val="32"/>
          <w:szCs w:val="32"/>
          <w:lang w:val="en-US" w:eastAsia="zh-CN"/>
        </w:rPr>
        <w:t>基金</w:t>
      </w:r>
      <w:r>
        <w:rPr>
          <w:rFonts w:hint="eastAsia" w:ascii="仿宋_GB2312" w:hAnsi="仿宋_GB2312" w:cs="仿宋_GB2312"/>
          <w:b w:val="0"/>
          <w:bCs/>
          <w:color w:val="000000"/>
          <w:sz w:val="32"/>
          <w:szCs w:val="32"/>
          <w:lang w:val="en-US" w:eastAsia="zh-CN"/>
        </w:rPr>
        <w:t>）</w:t>
      </w:r>
      <w:r>
        <w:rPr>
          <w:rFonts w:hint="eastAsia" w:ascii="仿宋_GB2312" w:hAnsi="仿宋_GB2312" w:eastAsia="仿宋_GB2312" w:cs="仿宋_GB2312"/>
          <w:b w:val="0"/>
          <w:bCs/>
          <w:color w:val="000000"/>
          <w:sz w:val="32"/>
          <w:szCs w:val="32"/>
          <w:lang w:val="en-US" w:eastAsia="zh-CN"/>
        </w:rPr>
        <w:t>财务管理制度，承担人力资</w:t>
      </w:r>
      <w:r>
        <w:rPr>
          <w:rFonts w:hint="eastAsia" w:ascii="仿宋_GB2312" w:hAnsi="仿宋_GB2312" w:cs="仿宋_GB2312"/>
          <w:b w:val="0"/>
          <w:bCs/>
          <w:color w:val="000000"/>
          <w:sz w:val="32"/>
          <w:szCs w:val="32"/>
          <w:lang w:val="en-US" w:eastAsia="zh-CN"/>
        </w:rPr>
        <w:t>源和</w:t>
      </w:r>
      <w:r>
        <w:rPr>
          <w:rFonts w:hint="eastAsia" w:ascii="仿宋_GB2312" w:hAnsi="仿宋_GB2312" w:eastAsia="仿宋_GB2312" w:cs="仿宋_GB2312"/>
          <w:b w:val="0"/>
          <w:bCs/>
          <w:color w:val="000000"/>
          <w:sz w:val="32"/>
          <w:szCs w:val="32"/>
          <w:lang w:val="en-US" w:eastAsia="zh-CN"/>
        </w:rPr>
        <w:t>社会保障统计管理工作。</w:t>
      </w:r>
    </w:p>
    <w:p w14:paraId="4CB34314">
      <w:pPr>
        <w:keepNext w:val="0"/>
        <w:keepLines w:val="0"/>
        <w:pageBreakBefore w:val="0"/>
        <w:widowControl/>
        <w:numPr>
          <w:ilvl w:val="0"/>
          <w:numId w:val="0"/>
        </w:numPr>
        <w:suppressLineNumbers w:val="0"/>
        <w:kinsoku/>
        <w:wordWrap/>
        <w:overflowPunct/>
        <w:topLinePunct w:val="0"/>
        <w:autoSpaceDE/>
        <w:autoSpaceDN/>
        <w:bidi w:val="0"/>
        <w:adjustRightInd/>
        <w:snapToGrid/>
        <w:spacing w:line="576" w:lineRule="exact"/>
        <w:ind w:firstLine="643" w:firstLineChars="200"/>
        <w:jc w:val="both"/>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b/>
          <w:bCs/>
          <w:color w:val="000000"/>
          <w:kern w:val="0"/>
          <w:sz w:val="32"/>
          <w:szCs w:val="32"/>
          <w:lang w:val="en-US" w:eastAsia="zh-CN" w:bidi="ar"/>
        </w:rPr>
        <w:t>事业单位管理股。</w:t>
      </w:r>
      <w:r>
        <w:rPr>
          <w:rFonts w:hint="eastAsia" w:ascii="仿宋_GB2312" w:hAnsi="仿宋_GB2312" w:eastAsia="仿宋_GB2312" w:cs="仿宋_GB2312"/>
          <w:color w:val="000000"/>
          <w:kern w:val="0"/>
          <w:sz w:val="32"/>
          <w:szCs w:val="32"/>
          <w:lang w:val="en-US" w:eastAsia="zh-CN" w:bidi="ar"/>
        </w:rPr>
        <w:t>组织推进深化职称制度改革，负责专业技术人员管理和继续教育，贯彻落实职业资格制度，承担高层次专业技术人才规划和培养工作，综合管理专业技术职称、专家工作；负责专业技术人员继续教育规定执行情况监督检查；负责各类专业技术人员资格</w:t>
      </w:r>
      <w:r>
        <w:rPr>
          <w:rFonts w:hint="eastAsia" w:ascii="仿宋_GB2312" w:hAnsi="仿宋_GB2312" w:cs="仿宋_GB2312"/>
          <w:color w:val="000000"/>
          <w:kern w:val="0"/>
          <w:sz w:val="32"/>
          <w:szCs w:val="32"/>
          <w:lang w:val="en-US" w:eastAsia="zh-CN" w:bidi="ar"/>
        </w:rPr>
        <w:t>（</w:t>
      </w:r>
      <w:r>
        <w:rPr>
          <w:rFonts w:hint="eastAsia" w:ascii="仿宋_GB2312" w:hAnsi="仿宋_GB2312" w:eastAsia="仿宋_GB2312" w:cs="仿宋_GB2312"/>
          <w:color w:val="000000"/>
          <w:kern w:val="0"/>
          <w:sz w:val="32"/>
          <w:szCs w:val="32"/>
          <w:lang w:val="en-US" w:eastAsia="zh-CN" w:bidi="ar"/>
        </w:rPr>
        <w:t>水平</w:t>
      </w:r>
      <w:r>
        <w:rPr>
          <w:rFonts w:hint="eastAsia" w:ascii="仿宋_GB2312" w:hAnsi="仿宋_GB2312" w:cs="仿宋_GB2312"/>
          <w:color w:val="000000"/>
          <w:kern w:val="0"/>
          <w:sz w:val="32"/>
          <w:szCs w:val="32"/>
          <w:lang w:val="en-US" w:eastAsia="zh-CN" w:bidi="ar"/>
        </w:rPr>
        <w:t>）</w:t>
      </w:r>
      <w:r>
        <w:rPr>
          <w:rFonts w:hint="eastAsia" w:ascii="仿宋_GB2312" w:hAnsi="仿宋_GB2312" w:eastAsia="仿宋_GB2312" w:cs="仿宋_GB2312"/>
          <w:color w:val="000000"/>
          <w:kern w:val="0"/>
          <w:sz w:val="32"/>
          <w:szCs w:val="32"/>
          <w:lang w:val="en-US" w:eastAsia="zh-CN" w:bidi="ar"/>
        </w:rPr>
        <w:t>考试的管理及资格证书的核准、审验工作。承接四川省专家服务中心的相关业务工作，服务全县专业技术人员。</w:t>
      </w:r>
    </w:p>
    <w:p w14:paraId="55FE1658">
      <w:pPr>
        <w:keepNext w:val="0"/>
        <w:keepLines w:val="0"/>
        <w:pageBreakBefore w:val="0"/>
        <w:widowControl/>
        <w:numPr>
          <w:ilvl w:val="0"/>
          <w:numId w:val="0"/>
        </w:numPr>
        <w:suppressLineNumbers w:val="0"/>
        <w:kinsoku/>
        <w:wordWrap/>
        <w:overflowPunct/>
        <w:topLinePunct w:val="0"/>
        <w:autoSpaceDE/>
        <w:autoSpaceDN/>
        <w:bidi w:val="0"/>
        <w:adjustRightInd/>
        <w:snapToGrid/>
        <w:spacing w:line="576" w:lineRule="exact"/>
        <w:ind w:firstLine="643" w:firstLineChars="200"/>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b/>
          <w:bCs/>
          <w:color w:val="000000"/>
          <w:kern w:val="0"/>
          <w:sz w:val="32"/>
          <w:szCs w:val="32"/>
          <w:lang w:val="en-US" w:eastAsia="zh-CN" w:bidi="ar"/>
        </w:rPr>
        <w:t>工资福利股。</w:t>
      </w:r>
      <w:r>
        <w:rPr>
          <w:rFonts w:hint="eastAsia" w:ascii="仿宋_GB2312" w:hAnsi="仿宋_GB2312" w:eastAsia="仿宋_GB2312" w:cs="仿宋_GB2312"/>
          <w:color w:val="000000"/>
          <w:kern w:val="0"/>
          <w:sz w:val="32"/>
          <w:szCs w:val="32"/>
          <w:lang w:val="en-US" w:eastAsia="zh-CN" w:bidi="ar"/>
        </w:rPr>
        <w:t>组织实施事业单位工作人员和机关工勤人员的工资收入分配、福利、工龄计算、退休、退职政策以及离休费待遇政策；负责县属事业单位的工资基金管理工作，承担县属事业单位工作人员的工资总额管理；负责事业单位工作人员艰苦边远地区津贴、岗位津贴、高海拔折算工龄补贴工作；负责事业单位工资统计与综合分析工作。</w:t>
      </w:r>
    </w:p>
    <w:p w14:paraId="3DFC0B8B">
      <w:pPr>
        <w:keepNext w:val="0"/>
        <w:keepLines w:val="0"/>
        <w:pageBreakBefore w:val="0"/>
        <w:kinsoku/>
        <w:wordWrap/>
        <w:overflowPunct/>
        <w:topLinePunct w:val="0"/>
        <w:autoSpaceDE/>
        <w:autoSpaceDN/>
        <w:bidi w:val="0"/>
        <w:adjustRightInd/>
        <w:spacing w:line="576" w:lineRule="exact"/>
        <w:ind w:firstLine="643" w:firstLineChars="200"/>
        <w:textAlignment w:val="auto"/>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b/>
          <w:bCs/>
          <w:color w:val="000000"/>
          <w:kern w:val="0"/>
          <w:sz w:val="32"/>
          <w:szCs w:val="32"/>
          <w:lang w:val="en-US" w:eastAsia="zh-CN" w:bidi="ar"/>
        </w:rPr>
        <w:t>机关党委。</w:t>
      </w:r>
      <w:r>
        <w:rPr>
          <w:rFonts w:hint="eastAsia" w:ascii="仿宋_GB2312" w:hAnsi="仿宋_GB2312" w:eastAsia="仿宋_GB2312" w:cs="仿宋_GB2312"/>
          <w:color w:val="000000"/>
          <w:kern w:val="0"/>
          <w:sz w:val="32"/>
          <w:szCs w:val="32"/>
          <w:lang w:val="en-US" w:eastAsia="zh-CN" w:bidi="ar"/>
        </w:rPr>
        <w:t>负责机关和所属事业单位党的建设、群团工作和意识形态工作。机关党委办事机构由县人力资源和社会保障局党组按照县委规定设置。</w:t>
      </w:r>
    </w:p>
    <w:p w14:paraId="0E170891">
      <w:pPr>
        <w:keepNext w:val="0"/>
        <w:keepLines w:val="0"/>
        <w:pageBreakBefore w:val="0"/>
        <w:numPr>
          <w:ilvl w:val="0"/>
          <w:numId w:val="1"/>
        </w:numPr>
        <w:kinsoku/>
        <w:wordWrap/>
        <w:overflowPunct/>
        <w:topLinePunct w:val="0"/>
        <w:autoSpaceDE/>
        <w:autoSpaceDN/>
        <w:bidi w:val="0"/>
        <w:adjustRightInd/>
        <w:snapToGrid/>
        <w:spacing w:line="576" w:lineRule="exact"/>
        <w:ind w:firstLine="643" w:firstLineChars="200"/>
        <w:textAlignment w:val="auto"/>
        <w:rPr>
          <w:rFonts w:hint="default" w:ascii="Times New Roman" w:hAnsi="Times New Roman" w:eastAsia="仿宋_GB2312" w:cs="Times New Roman"/>
          <w:kern w:val="0"/>
          <w:sz w:val="32"/>
          <w:szCs w:val="32"/>
          <w:lang w:val="en-US" w:eastAsia="zh-CN" w:bidi="ar"/>
        </w:rPr>
      </w:pPr>
      <w:r>
        <w:rPr>
          <w:rFonts w:hint="default" w:ascii="Times New Roman" w:hAnsi="Times New Roman" w:eastAsia="楷体_GB2312" w:cs="Times New Roman"/>
          <w:b/>
          <w:bCs/>
          <w:color w:val="000000"/>
          <w:kern w:val="0"/>
          <w:szCs w:val="32"/>
          <w:highlight w:val="none"/>
          <w:shd w:val="clear" w:color="auto" w:fill="FFFFFF"/>
          <w:lang w:val="zh-CN"/>
        </w:rPr>
        <w:t>机构职能。</w:t>
      </w:r>
    </w:p>
    <w:p w14:paraId="317E97DE">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default" w:ascii="Times New Roman" w:hAnsi="Times New Roman" w:eastAsia="仿宋_GB2312" w:cs="Times New Roman"/>
          <w:color w:val="000000"/>
          <w:kern w:val="0"/>
          <w:sz w:val="32"/>
          <w:szCs w:val="32"/>
          <w:lang w:val="en-US" w:eastAsia="zh-CN" w:bidi="ar"/>
        </w:rPr>
      </w:pPr>
      <w:r>
        <w:rPr>
          <w:rFonts w:hint="default" w:ascii="Times New Roman" w:hAnsi="Times New Roman" w:eastAsia="仿宋_GB2312" w:cs="Times New Roman"/>
          <w:color w:val="000000"/>
          <w:kern w:val="0"/>
          <w:sz w:val="32"/>
          <w:szCs w:val="32"/>
          <w:lang w:val="en-US" w:eastAsia="zh-CN" w:bidi="ar"/>
        </w:rPr>
        <w:t>1.贯彻执行国家、省、州人力资源和社会保障工作的相关</w:t>
      </w:r>
      <w:r>
        <w:rPr>
          <w:rFonts w:hint="eastAsia" w:cs="Times New Roman"/>
          <w:color w:val="000000"/>
          <w:kern w:val="0"/>
          <w:sz w:val="32"/>
          <w:szCs w:val="32"/>
          <w:lang w:val="en-US" w:eastAsia="zh-CN" w:bidi="ar"/>
        </w:rPr>
        <w:t>法律法规</w:t>
      </w:r>
      <w:r>
        <w:rPr>
          <w:rFonts w:hint="default" w:ascii="Times New Roman" w:hAnsi="Times New Roman" w:eastAsia="仿宋_GB2312" w:cs="Times New Roman"/>
          <w:color w:val="000000"/>
          <w:kern w:val="0"/>
          <w:sz w:val="32"/>
          <w:szCs w:val="32"/>
          <w:lang w:val="en-US" w:eastAsia="zh-CN" w:bidi="ar"/>
        </w:rPr>
        <w:t>和政策，起草全县人力资源和社会保障规范性文件草案，拟订全县人力资源和社会保障事业发展规划、政策并组织实施和监督检查。</w:t>
      </w:r>
    </w:p>
    <w:p w14:paraId="5821FC72">
      <w:pPr>
        <w:keepNext w:val="0"/>
        <w:keepLines w:val="0"/>
        <w:pageBreakBefore w:val="0"/>
        <w:widowControl/>
        <w:numPr>
          <w:ilvl w:val="0"/>
          <w:numId w:val="0"/>
        </w:numPr>
        <w:suppressLineNumbers w:val="0"/>
        <w:kinsoku/>
        <w:wordWrap/>
        <w:overflowPunct/>
        <w:topLinePunct w:val="0"/>
        <w:autoSpaceDE/>
        <w:autoSpaceDN/>
        <w:bidi w:val="0"/>
        <w:adjustRightInd/>
        <w:snapToGrid/>
        <w:spacing w:line="576" w:lineRule="exact"/>
        <w:ind w:firstLine="640" w:firstLineChars="200"/>
        <w:jc w:val="left"/>
        <w:textAlignment w:val="auto"/>
        <w:rPr>
          <w:rFonts w:hint="default" w:ascii="Times New Roman" w:hAnsi="Times New Roman" w:eastAsia="仿宋_GB2312" w:cs="Times New Roman"/>
          <w:kern w:val="0"/>
          <w:sz w:val="32"/>
          <w:szCs w:val="32"/>
          <w:lang w:val="en-US" w:eastAsia="zh-CN" w:bidi="ar"/>
        </w:rPr>
      </w:pPr>
      <w:r>
        <w:rPr>
          <w:rFonts w:hint="default" w:ascii="Times New Roman" w:hAnsi="Times New Roman" w:cs="Times New Roman"/>
          <w:kern w:val="0"/>
          <w:sz w:val="32"/>
          <w:szCs w:val="32"/>
          <w:lang w:val="en-US" w:eastAsia="zh-CN" w:bidi="ar"/>
        </w:rPr>
        <w:t>2.</w:t>
      </w:r>
      <w:r>
        <w:rPr>
          <w:rFonts w:hint="default" w:ascii="Times New Roman" w:hAnsi="Times New Roman" w:eastAsia="仿宋_GB2312" w:cs="Times New Roman"/>
          <w:kern w:val="0"/>
          <w:sz w:val="32"/>
          <w:szCs w:val="32"/>
          <w:lang w:val="en-US" w:eastAsia="zh-CN" w:bidi="ar"/>
        </w:rPr>
        <w:t>组织实施人力资源市场发展规划和人力资源流动政策，管理人力资源和社会保障公共服务机构，建立全县统一规范的人力资源市场，促进人力资源合理流动、有效配置。</w:t>
      </w:r>
    </w:p>
    <w:p w14:paraId="3ED2BA05">
      <w:pPr>
        <w:keepNext w:val="0"/>
        <w:keepLines w:val="0"/>
        <w:pageBreakBefore w:val="0"/>
        <w:widowControl/>
        <w:numPr>
          <w:ilvl w:val="0"/>
          <w:numId w:val="0"/>
        </w:numPr>
        <w:suppressLineNumbers w:val="0"/>
        <w:kinsoku/>
        <w:wordWrap/>
        <w:overflowPunct/>
        <w:topLinePunct w:val="0"/>
        <w:autoSpaceDE/>
        <w:autoSpaceDN/>
        <w:bidi w:val="0"/>
        <w:adjustRightInd/>
        <w:snapToGrid/>
        <w:spacing w:line="576" w:lineRule="exact"/>
        <w:ind w:firstLine="640" w:firstLineChars="200"/>
        <w:jc w:val="left"/>
        <w:textAlignment w:val="auto"/>
        <w:rPr>
          <w:rFonts w:hint="default" w:ascii="Times New Roman" w:hAnsi="Times New Roman" w:eastAsia="仿宋_GB2312" w:cs="Times New Roman"/>
          <w:color w:val="000000"/>
          <w:kern w:val="0"/>
          <w:sz w:val="32"/>
          <w:szCs w:val="32"/>
          <w:lang w:val="en-US" w:eastAsia="zh-CN" w:bidi="ar"/>
        </w:rPr>
      </w:pPr>
      <w:r>
        <w:rPr>
          <w:rFonts w:hint="default" w:ascii="Times New Roman" w:hAnsi="Times New Roman" w:cs="Times New Roman"/>
          <w:sz w:val="32"/>
          <w:szCs w:val="32"/>
          <w:lang w:val="en-US" w:eastAsia="zh-CN"/>
        </w:rPr>
        <w:t>3.</w:t>
      </w:r>
      <w:r>
        <w:rPr>
          <w:rFonts w:hint="default" w:ascii="Times New Roman" w:hAnsi="Times New Roman" w:eastAsia="仿宋_GB2312" w:cs="Times New Roman"/>
          <w:color w:val="000000"/>
          <w:kern w:val="0"/>
          <w:sz w:val="32"/>
          <w:szCs w:val="32"/>
          <w:lang w:val="en-US" w:eastAsia="zh-CN" w:bidi="ar"/>
        </w:rPr>
        <w:t>负责就业促进工作，组织实施统筹城乡就业发展规划和政策，完善公共就业服务体系；统筹建立面向城乡劳动者的职业技能培训制度，组织落实创业、就业援助制度；组织实施高校毕业生就业政策。</w:t>
      </w:r>
    </w:p>
    <w:p w14:paraId="4FE86FA8">
      <w:pPr>
        <w:keepNext w:val="0"/>
        <w:keepLines w:val="0"/>
        <w:pageBreakBefore w:val="0"/>
        <w:widowControl/>
        <w:numPr>
          <w:ilvl w:val="0"/>
          <w:numId w:val="0"/>
        </w:numPr>
        <w:suppressLineNumbers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仿宋_GB2312" w:cs="Times New Roman"/>
          <w:color w:val="000000"/>
          <w:kern w:val="0"/>
          <w:sz w:val="32"/>
          <w:szCs w:val="32"/>
          <w:lang w:val="en-US" w:eastAsia="zh-CN" w:bidi="ar"/>
        </w:rPr>
      </w:pPr>
      <w:r>
        <w:rPr>
          <w:rFonts w:hint="default" w:ascii="Times New Roman" w:hAnsi="Times New Roman" w:cs="Times New Roman"/>
          <w:color w:val="000000"/>
          <w:kern w:val="0"/>
          <w:sz w:val="32"/>
          <w:szCs w:val="32"/>
          <w:lang w:val="en-US" w:eastAsia="zh-CN" w:bidi="ar"/>
        </w:rPr>
        <w:t>4.</w:t>
      </w:r>
      <w:r>
        <w:rPr>
          <w:rFonts w:hint="default" w:ascii="Times New Roman" w:hAnsi="Times New Roman" w:eastAsia="仿宋_GB2312" w:cs="Times New Roman"/>
          <w:color w:val="000000"/>
          <w:kern w:val="0"/>
          <w:sz w:val="32"/>
          <w:szCs w:val="32"/>
          <w:lang w:val="en-US" w:eastAsia="zh-CN" w:bidi="ar"/>
        </w:rPr>
        <w:t>推进建立覆盖城乡的多层次社会保障体系。组织实施养老、失业、工伤等社会保险及其补充保险政策和标准。贯彻落实全国统一的养老、失业、工伤保险关系转续办法；贯彻落实养老、失业、工伤等社会保险及其补充保险基金管理和监督办法；编制相关社会保险基金预决算草案。会同有关部门实施全民参保计划并参与建立全国统一的社会保险公共服务平台。拟订全县人力资源和社会保障信息化建设总体规划、年度计划，制定相关制度、标准和规范并组织实施。指导、督促企业参加工伤保险。</w:t>
      </w:r>
    </w:p>
    <w:p w14:paraId="30E16338">
      <w:pPr>
        <w:keepNext w:val="0"/>
        <w:keepLines w:val="0"/>
        <w:pageBreakBefore w:val="0"/>
        <w:widowControl/>
        <w:numPr>
          <w:ilvl w:val="0"/>
          <w:numId w:val="0"/>
        </w:numPr>
        <w:suppressLineNumbers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仿宋_GB2312" w:cs="Times New Roman"/>
          <w:color w:val="000000"/>
          <w:kern w:val="0"/>
          <w:sz w:val="32"/>
          <w:szCs w:val="32"/>
          <w:lang w:val="en-US" w:eastAsia="zh-CN" w:bidi="ar"/>
        </w:rPr>
      </w:pPr>
      <w:r>
        <w:rPr>
          <w:rFonts w:hint="default" w:ascii="Times New Roman" w:hAnsi="Times New Roman" w:cs="Times New Roman"/>
          <w:color w:val="000000"/>
          <w:kern w:val="0"/>
          <w:sz w:val="32"/>
          <w:szCs w:val="32"/>
          <w:lang w:val="en-US" w:eastAsia="zh-CN" w:bidi="ar"/>
        </w:rPr>
        <w:t>5.</w:t>
      </w:r>
      <w:r>
        <w:rPr>
          <w:rFonts w:hint="default" w:ascii="Times New Roman" w:hAnsi="Times New Roman" w:eastAsia="仿宋_GB2312" w:cs="Times New Roman"/>
          <w:color w:val="000000"/>
          <w:kern w:val="0"/>
          <w:sz w:val="32"/>
          <w:szCs w:val="32"/>
          <w:lang w:val="en-US" w:eastAsia="zh-CN" w:bidi="ar"/>
        </w:rPr>
        <w:t>负责就业、失业和相关社会保险基金预测预警和信息引导，拟订应对预案，实施预防、调节和控制，保持就业形势稳定和相关社会保险基金总体收支平衡。</w:t>
      </w:r>
    </w:p>
    <w:p w14:paraId="7BC32C4B">
      <w:pPr>
        <w:keepNext w:val="0"/>
        <w:keepLines w:val="0"/>
        <w:pageBreakBefore w:val="0"/>
        <w:widowControl/>
        <w:numPr>
          <w:ilvl w:val="0"/>
          <w:numId w:val="0"/>
        </w:numPr>
        <w:suppressLineNumbers w:val="0"/>
        <w:kinsoku/>
        <w:wordWrap/>
        <w:overflowPunct/>
        <w:topLinePunct w:val="0"/>
        <w:autoSpaceDE/>
        <w:autoSpaceDN/>
        <w:bidi w:val="0"/>
        <w:adjustRightInd/>
        <w:snapToGrid/>
        <w:spacing w:line="576" w:lineRule="exact"/>
        <w:ind w:firstLine="640" w:firstLineChars="200"/>
        <w:jc w:val="left"/>
        <w:textAlignment w:val="auto"/>
        <w:rPr>
          <w:rFonts w:hint="default" w:ascii="Times New Roman" w:hAnsi="Times New Roman" w:eastAsia="仿宋_GB2312" w:cs="Times New Roman"/>
          <w:color w:val="000000"/>
          <w:kern w:val="0"/>
          <w:sz w:val="32"/>
          <w:szCs w:val="32"/>
          <w:lang w:val="en-US" w:eastAsia="zh-CN" w:bidi="ar"/>
        </w:rPr>
      </w:pPr>
      <w:r>
        <w:rPr>
          <w:rFonts w:hint="default" w:ascii="Times New Roman" w:hAnsi="Times New Roman" w:cs="Times New Roman"/>
          <w:color w:val="000000"/>
          <w:kern w:val="0"/>
          <w:sz w:val="32"/>
          <w:szCs w:val="32"/>
          <w:lang w:val="en-US" w:eastAsia="zh-CN" w:bidi="ar"/>
        </w:rPr>
        <w:t>6.</w:t>
      </w:r>
      <w:r>
        <w:rPr>
          <w:rFonts w:hint="default" w:ascii="Times New Roman" w:hAnsi="Times New Roman" w:eastAsia="仿宋_GB2312" w:cs="Times New Roman"/>
          <w:color w:val="000000"/>
          <w:kern w:val="0"/>
          <w:sz w:val="32"/>
          <w:szCs w:val="32"/>
          <w:lang w:val="en-US" w:eastAsia="zh-CN" w:bidi="ar"/>
        </w:rPr>
        <w:t>组织实施劳动人事争议调解仲裁制度和劳动关系政策，完善劳动关系协商协调机制，贯彻职工工作时间、休息休假和假期制度，落实消除非法使用童工政策和女工、未成年工特殊劳动保护政策。依法督促用人单位在劳动用工、合同签订与履约时，载明劳动保护、劳动条件和职业危害防护等条款。组织实施劳动保障监察，协调劳动者维权工作，依法查处重大案件。</w:t>
      </w:r>
    </w:p>
    <w:p w14:paraId="61D8F46B">
      <w:pPr>
        <w:keepNext w:val="0"/>
        <w:keepLines w:val="0"/>
        <w:pageBreakBefore w:val="0"/>
        <w:widowControl/>
        <w:numPr>
          <w:ilvl w:val="0"/>
          <w:numId w:val="0"/>
        </w:numPr>
        <w:suppressLineNumbers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仿宋_GB2312" w:cs="Times New Roman"/>
          <w:color w:val="000000"/>
          <w:kern w:val="0"/>
          <w:sz w:val="32"/>
          <w:szCs w:val="32"/>
          <w:lang w:val="en-US" w:eastAsia="zh-CN" w:bidi="ar"/>
        </w:rPr>
      </w:pPr>
      <w:r>
        <w:rPr>
          <w:rFonts w:hint="default" w:ascii="Times New Roman" w:hAnsi="Times New Roman" w:cs="Times New Roman"/>
          <w:color w:val="000000"/>
          <w:kern w:val="0"/>
          <w:sz w:val="32"/>
          <w:szCs w:val="32"/>
          <w:lang w:val="en-US" w:eastAsia="zh-CN" w:bidi="ar"/>
        </w:rPr>
        <w:t>7.</w:t>
      </w:r>
      <w:r>
        <w:rPr>
          <w:rFonts w:hint="default" w:ascii="Times New Roman" w:hAnsi="Times New Roman" w:eastAsia="仿宋_GB2312" w:cs="Times New Roman"/>
          <w:color w:val="000000"/>
          <w:kern w:val="0"/>
          <w:sz w:val="32"/>
          <w:szCs w:val="32"/>
          <w:lang w:val="en-US" w:eastAsia="zh-CN" w:bidi="ar"/>
        </w:rPr>
        <w:t>牵头推进深化职称制度改革，组织实施专业技术人员管理、继续教育和博士后管理等政策，负责高层次专业技术人才选拔和培养工作，贯彻落实吸引留学人员来县</w:t>
      </w:r>
      <w:r>
        <w:rPr>
          <w:rFonts w:hint="eastAsia" w:cs="Times New Roman"/>
          <w:color w:val="000000"/>
          <w:kern w:val="0"/>
          <w:sz w:val="32"/>
          <w:szCs w:val="32"/>
          <w:lang w:val="en-US" w:eastAsia="zh-CN" w:bidi="ar"/>
        </w:rPr>
        <w:t>（</w:t>
      </w:r>
      <w:r>
        <w:rPr>
          <w:rFonts w:hint="default" w:ascii="Times New Roman" w:hAnsi="Times New Roman" w:eastAsia="仿宋_GB2312" w:cs="Times New Roman"/>
          <w:color w:val="000000"/>
          <w:kern w:val="0"/>
          <w:sz w:val="32"/>
          <w:szCs w:val="32"/>
          <w:lang w:val="en-US" w:eastAsia="zh-CN" w:bidi="ar"/>
        </w:rPr>
        <w:t>回县</w:t>
      </w:r>
      <w:r>
        <w:rPr>
          <w:rFonts w:hint="eastAsia" w:cs="Times New Roman"/>
          <w:color w:val="000000"/>
          <w:kern w:val="0"/>
          <w:sz w:val="32"/>
          <w:szCs w:val="32"/>
          <w:lang w:val="en-US" w:eastAsia="zh-CN" w:bidi="ar"/>
        </w:rPr>
        <w:t>）</w:t>
      </w:r>
      <w:r>
        <w:rPr>
          <w:rFonts w:hint="default" w:ascii="Times New Roman" w:hAnsi="Times New Roman" w:eastAsia="仿宋_GB2312" w:cs="Times New Roman"/>
          <w:color w:val="000000"/>
          <w:kern w:val="0"/>
          <w:sz w:val="32"/>
          <w:szCs w:val="32"/>
          <w:lang w:val="en-US" w:eastAsia="zh-CN" w:bidi="ar"/>
        </w:rPr>
        <w:t>工作或定居政策。组织拟订技能人才培养、评价、使用和激励制度。贯彻落实职业资格制度，健全职业技能多元化评价政策。指导、监督各级各类技工学校、民办职业培训机构按国家和省、州、县有关规定履行安全管理责任。</w:t>
      </w:r>
    </w:p>
    <w:p w14:paraId="77800B93">
      <w:pPr>
        <w:keepNext w:val="0"/>
        <w:keepLines w:val="0"/>
        <w:pageBreakBefore w:val="0"/>
        <w:widowControl/>
        <w:numPr>
          <w:ilvl w:val="0"/>
          <w:numId w:val="0"/>
        </w:numPr>
        <w:suppressLineNumbers w:val="0"/>
        <w:kinsoku/>
        <w:wordWrap/>
        <w:overflowPunct/>
        <w:topLinePunct w:val="0"/>
        <w:autoSpaceDE/>
        <w:autoSpaceDN/>
        <w:bidi w:val="0"/>
        <w:adjustRightInd/>
        <w:snapToGrid/>
        <w:spacing w:line="576" w:lineRule="exact"/>
        <w:ind w:firstLine="640"/>
        <w:jc w:val="left"/>
        <w:textAlignment w:val="auto"/>
        <w:rPr>
          <w:rFonts w:hint="default" w:ascii="Times New Roman" w:hAnsi="Times New Roman" w:eastAsia="仿宋_GB2312" w:cs="Times New Roman"/>
          <w:color w:val="000000"/>
          <w:kern w:val="0"/>
          <w:sz w:val="32"/>
          <w:szCs w:val="32"/>
          <w:lang w:val="en-US" w:eastAsia="zh-CN" w:bidi="ar"/>
        </w:rPr>
      </w:pPr>
      <w:r>
        <w:rPr>
          <w:rFonts w:hint="default" w:ascii="Times New Roman" w:hAnsi="Times New Roman" w:cs="Times New Roman"/>
          <w:color w:val="000000"/>
          <w:kern w:val="0"/>
          <w:sz w:val="32"/>
          <w:szCs w:val="32"/>
          <w:lang w:val="en-US" w:eastAsia="zh-CN" w:bidi="ar"/>
        </w:rPr>
        <w:t>8.</w:t>
      </w:r>
      <w:r>
        <w:rPr>
          <w:rFonts w:hint="default" w:ascii="Times New Roman" w:hAnsi="Times New Roman" w:eastAsia="仿宋_GB2312" w:cs="Times New Roman"/>
          <w:color w:val="000000"/>
          <w:kern w:val="0"/>
          <w:sz w:val="32"/>
          <w:szCs w:val="32"/>
          <w:lang w:val="en-US" w:eastAsia="zh-CN" w:bidi="ar"/>
        </w:rPr>
        <w:t xml:space="preserve">会同有关部门负责事业单位人事制度改革，按照管理权限负责规范事业单位岗位设置、公开招聘、聘用合同等人事综合管理工作，落实规范事业单位工作人员和机关工勤人员管理政策，将安全生产及生态环境保护责任履行情况作为事业单位工作人员奖惩、考核的重要内容。   </w:t>
      </w:r>
    </w:p>
    <w:p w14:paraId="67878709">
      <w:pPr>
        <w:keepNext w:val="0"/>
        <w:keepLines w:val="0"/>
        <w:pageBreakBefore w:val="0"/>
        <w:widowControl/>
        <w:numPr>
          <w:ilvl w:val="0"/>
          <w:numId w:val="0"/>
        </w:numPr>
        <w:suppressLineNumbers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仿宋_GB2312" w:cs="Times New Roman"/>
          <w:color w:val="000000"/>
          <w:kern w:val="0"/>
          <w:sz w:val="32"/>
          <w:szCs w:val="32"/>
          <w:lang w:val="en-US" w:eastAsia="zh-CN" w:bidi="ar"/>
        </w:rPr>
      </w:pPr>
      <w:r>
        <w:rPr>
          <w:rFonts w:hint="default" w:ascii="Times New Roman" w:hAnsi="Times New Roman" w:cs="Times New Roman"/>
          <w:color w:val="000000"/>
          <w:kern w:val="0"/>
          <w:sz w:val="32"/>
          <w:szCs w:val="32"/>
          <w:lang w:val="en-US" w:eastAsia="zh-CN" w:bidi="ar"/>
        </w:rPr>
        <w:t>9.</w:t>
      </w:r>
      <w:r>
        <w:rPr>
          <w:rFonts w:hint="default" w:ascii="Times New Roman" w:hAnsi="Times New Roman" w:eastAsia="仿宋_GB2312" w:cs="Times New Roman"/>
          <w:color w:val="000000"/>
          <w:kern w:val="0"/>
          <w:sz w:val="32"/>
          <w:szCs w:val="32"/>
          <w:lang w:val="en-US" w:eastAsia="zh-CN" w:bidi="ar"/>
        </w:rPr>
        <w:t>组织实施国家表彰奖励制度，综合管理政府表彰奖励工作，承担评比达标表彰等工作，根据授权承办以县委、县政府名义开展的表彰奖励活动。承办提请县人大常委会和县政府决定的人事任免事项。</w:t>
      </w:r>
    </w:p>
    <w:p w14:paraId="3DEB0A46">
      <w:pPr>
        <w:keepNext w:val="0"/>
        <w:keepLines w:val="0"/>
        <w:pageBreakBefore w:val="0"/>
        <w:widowControl/>
        <w:numPr>
          <w:ilvl w:val="0"/>
          <w:numId w:val="0"/>
        </w:numPr>
        <w:suppressLineNumbers w:val="0"/>
        <w:kinsoku/>
        <w:wordWrap/>
        <w:overflowPunct/>
        <w:topLinePunct w:val="0"/>
        <w:autoSpaceDE/>
        <w:autoSpaceDN/>
        <w:bidi w:val="0"/>
        <w:adjustRightInd/>
        <w:snapToGrid/>
        <w:spacing w:line="576" w:lineRule="exact"/>
        <w:ind w:firstLine="640" w:firstLineChars="200"/>
        <w:jc w:val="left"/>
        <w:textAlignment w:val="auto"/>
        <w:rPr>
          <w:rFonts w:hint="default" w:ascii="Times New Roman" w:hAnsi="Times New Roman" w:eastAsia="仿宋_GB2312" w:cs="Times New Roman"/>
          <w:color w:val="000000"/>
          <w:kern w:val="0"/>
          <w:sz w:val="32"/>
          <w:szCs w:val="32"/>
          <w:lang w:val="en-US" w:eastAsia="zh-CN" w:bidi="ar"/>
        </w:rPr>
      </w:pPr>
      <w:r>
        <w:rPr>
          <w:rFonts w:hint="default" w:ascii="Times New Roman" w:hAnsi="Times New Roman" w:cs="Times New Roman"/>
          <w:color w:val="000000"/>
          <w:kern w:val="0"/>
          <w:sz w:val="32"/>
          <w:szCs w:val="32"/>
          <w:lang w:val="en-US" w:eastAsia="zh-CN" w:bidi="ar"/>
        </w:rPr>
        <w:t>10.</w:t>
      </w:r>
      <w:r>
        <w:rPr>
          <w:rFonts w:hint="default" w:ascii="Times New Roman" w:hAnsi="Times New Roman" w:eastAsia="仿宋_GB2312" w:cs="Times New Roman"/>
          <w:color w:val="000000"/>
          <w:kern w:val="0"/>
          <w:sz w:val="32"/>
          <w:szCs w:val="32"/>
          <w:lang w:val="en-US" w:eastAsia="zh-CN" w:bidi="ar"/>
        </w:rPr>
        <w:t>组织实施事业单位人员工资收入分配政策，建立企事业单位人员工资决定、正常增长和支付保障机制。组织实施企事业单位人员福利和离退休政策。</w:t>
      </w:r>
    </w:p>
    <w:p w14:paraId="66B4032E">
      <w:pPr>
        <w:keepNext w:val="0"/>
        <w:keepLines w:val="0"/>
        <w:pageBreakBefore w:val="0"/>
        <w:widowControl/>
        <w:numPr>
          <w:ilvl w:val="0"/>
          <w:numId w:val="0"/>
        </w:numPr>
        <w:suppressLineNumbers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仿宋_GB2312" w:cs="Times New Roman"/>
          <w:color w:val="000000"/>
          <w:kern w:val="0"/>
          <w:sz w:val="32"/>
          <w:szCs w:val="32"/>
          <w:lang w:val="en-US" w:eastAsia="zh-CN" w:bidi="ar"/>
        </w:rPr>
      </w:pPr>
      <w:r>
        <w:rPr>
          <w:rFonts w:hint="default" w:ascii="Times New Roman" w:hAnsi="Times New Roman" w:eastAsia="仿宋_GB2312" w:cs="Times New Roman"/>
          <w:color w:val="000000"/>
          <w:kern w:val="0"/>
          <w:sz w:val="32"/>
          <w:szCs w:val="32"/>
          <w:lang w:val="en-US" w:eastAsia="zh-CN" w:bidi="ar"/>
        </w:rPr>
        <w:t>11.会同相关部门组织实施农民工工作的综合性政策和规划，推动相关政策落实，协调解决重点难点问题，维护农民工合法权益。负责将安全生产纳入农民工技能培训内容。</w:t>
      </w:r>
    </w:p>
    <w:p w14:paraId="54F3F05B">
      <w:pPr>
        <w:keepNext w:val="0"/>
        <w:keepLines w:val="0"/>
        <w:pageBreakBefore w:val="0"/>
        <w:widowControl/>
        <w:numPr>
          <w:ilvl w:val="0"/>
          <w:numId w:val="0"/>
        </w:numPr>
        <w:suppressLineNumbers w:val="0"/>
        <w:kinsoku/>
        <w:wordWrap/>
        <w:overflowPunct/>
        <w:topLinePunct w:val="0"/>
        <w:autoSpaceDE/>
        <w:autoSpaceDN/>
        <w:bidi w:val="0"/>
        <w:adjustRightInd/>
        <w:snapToGrid/>
        <w:spacing w:line="576" w:lineRule="exact"/>
        <w:ind w:firstLine="640" w:firstLineChars="200"/>
        <w:jc w:val="left"/>
        <w:textAlignment w:val="auto"/>
        <w:rPr>
          <w:rFonts w:hint="default" w:ascii="Times New Roman" w:hAnsi="Times New Roman" w:eastAsia="仿宋_GB2312" w:cs="Times New Roman"/>
          <w:color w:val="000000"/>
          <w:kern w:val="0"/>
          <w:sz w:val="32"/>
          <w:szCs w:val="32"/>
          <w:lang w:val="en-US" w:eastAsia="zh-CN" w:bidi="ar"/>
        </w:rPr>
      </w:pPr>
      <w:r>
        <w:rPr>
          <w:rFonts w:hint="default" w:ascii="Times New Roman" w:hAnsi="Times New Roman" w:cs="Times New Roman"/>
          <w:color w:val="000000"/>
          <w:kern w:val="0"/>
          <w:sz w:val="32"/>
          <w:szCs w:val="32"/>
          <w:lang w:val="en-US" w:eastAsia="zh-CN" w:bidi="ar"/>
        </w:rPr>
        <w:t>12.</w:t>
      </w:r>
      <w:r>
        <w:rPr>
          <w:rFonts w:hint="default" w:ascii="Times New Roman" w:hAnsi="Times New Roman" w:eastAsia="仿宋_GB2312" w:cs="Times New Roman"/>
          <w:color w:val="000000"/>
          <w:kern w:val="0"/>
          <w:sz w:val="32"/>
          <w:szCs w:val="32"/>
          <w:lang w:val="en-US" w:eastAsia="zh-CN" w:bidi="ar"/>
        </w:rPr>
        <w:t>负责人力资源和社会保障领域内的对外交流与合作。</w:t>
      </w:r>
    </w:p>
    <w:p w14:paraId="36C9774D">
      <w:pPr>
        <w:keepNext w:val="0"/>
        <w:keepLines w:val="0"/>
        <w:pageBreakBefore w:val="0"/>
        <w:widowControl/>
        <w:numPr>
          <w:ilvl w:val="0"/>
          <w:numId w:val="0"/>
        </w:numPr>
        <w:suppressLineNumbers w:val="0"/>
        <w:kinsoku/>
        <w:wordWrap/>
        <w:overflowPunct/>
        <w:topLinePunct w:val="0"/>
        <w:autoSpaceDE/>
        <w:autoSpaceDN/>
        <w:bidi w:val="0"/>
        <w:adjustRightInd/>
        <w:snapToGrid/>
        <w:spacing w:line="576" w:lineRule="exact"/>
        <w:ind w:firstLine="640" w:firstLineChars="200"/>
        <w:jc w:val="left"/>
        <w:textAlignment w:val="auto"/>
        <w:rPr>
          <w:rFonts w:hint="default" w:ascii="Times New Roman" w:hAnsi="Times New Roman" w:eastAsia="仿宋_GB2312" w:cs="Times New Roman"/>
          <w:color w:val="000000"/>
          <w:kern w:val="0"/>
          <w:sz w:val="32"/>
          <w:szCs w:val="32"/>
          <w:lang w:val="en-US" w:eastAsia="zh-CN" w:bidi="ar"/>
        </w:rPr>
      </w:pPr>
      <w:r>
        <w:rPr>
          <w:rFonts w:hint="default" w:ascii="Times New Roman" w:hAnsi="Times New Roman" w:eastAsia="仿宋_GB2312" w:cs="Times New Roman"/>
          <w:color w:val="000000"/>
          <w:kern w:val="0"/>
          <w:sz w:val="32"/>
          <w:szCs w:val="32"/>
          <w:lang w:val="en-US" w:eastAsia="zh-CN" w:bidi="ar"/>
        </w:rPr>
        <w:t>13.承担职责范围内的安全生产和职业健康、生态环境保护、审批服务便民化等工作。</w:t>
      </w:r>
    </w:p>
    <w:p w14:paraId="6F3EF62C">
      <w:pPr>
        <w:keepNext w:val="0"/>
        <w:keepLines w:val="0"/>
        <w:pageBreakBefore w:val="0"/>
        <w:widowControl/>
        <w:numPr>
          <w:ilvl w:val="0"/>
          <w:numId w:val="0"/>
        </w:numPr>
        <w:suppressLineNumbers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仿宋_GB2312" w:cs="Times New Roman"/>
          <w:color w:val="000000"/>
          <w:kern w:val="0"/>
          <w:sz w:val="32"/>
          <w:szCs w:val="32"/>
          <w:lang w:val="en-US" w:eastAsia="zh-CN" w:bidi="ar"/>
        </w:rPr>
      </w:pPr>
      <w:r>
        <w:rPr>
          <w:rFonts w:hint="default" w:ascii="Times New Roman" w:hAnsi="Times New Roman" w:eastAsia="仿宋_GB2312" w:cs="Times New Roman"/>
          <w:color w:val="000000"/>
          <w:kern w:val="0"/>
          <w:sz w:val="32"/>
          <w:szCs w:val="32"/>
          <w:lang w:val="en-US" w:eastAsia="zh-CN" w:bidi="ar"/>
        </w:rPr>
        <w:t>1</w:t>
      </w:r>
      <w:r>
        <w:rPr>
          <w:rFonts w:hint="eastAsia" w:cs="Times New Roman"/>
          <w:color w:val="000000"/>
          <w:kern w:val="0"/>
          <w:sz w:val="32"/>
          <w:szCs w:val="32"/>
          <w:lang w:val="en-US" w:eastAsia="zh-CN" w:bidi="ar"/>
        </w:rPr>
        <w:t>4</w:t>
      </w:r>
      <w:r>
        <w:rPr>
          <w:rFonts w:hint="default" w:ascii="Times New Roman" w:hAnsi="Times New Roman" w:eastAsia="仿宋_GB2312" w:cs="Times New Roman"/>
          <w:color w:val="000000"/>
          <w:kern w:val="0"/>
          <w:sz w:val="32"/>
          <w:szCs w:val="32"/>
          <w:lang w:val="en-US" w:eastAsia="zh-CN" w:bidi="ar"/>
        </w:rPr>
        <w:t>.职能转变。深入推进简政放权、放管结合、优化服务改革，进一步减少行政审批事项，规范和优化对外办理事项，减少职业资格许可和认定等审批事项，实行职业资格目录清单管理，加强事中事后监管，创新就业和社会保障等公共服务方式，加强信息共享，提高公共服务水平。</w:t>
      </w:r>
    </w:p>
    <w:p w14:paraId="4542208E">
      <w:pPr>
        <w:keepNext w:val="0"/>
        <w:keepLines w:val="0"/>
        <w:pageBreakBefore w:val="0"/>
        <w:widowControl/>
        <w:numPr>
          <w:ilvl w:val="0"/>
          <w:numId w:val="0"/>
        </w:numPr>
        <w:suppressLineNumbers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仿宋_GB2312" w:cs="Times New Roman"/>
          <w:color w:val="000000"/>
          <w:kern w:val="0"/>
          <w:sz w:val="32"/>
          <w:szCs w:val="32"/>
          <w:lang w:val="en-US" w:eastAsia="zh-CN" w:bidi="ar"/>
        </w:rPr>
      </w:pPr>
      <w:r>
        <w:rPr>
          <w:rFonts w:hint="default" w:ascii="Times New Roman" w:hAnsi="Times New Roman" w:cs="Times New Roman"/>
          <w:color w:val="000000"/>
          <w:kern w:val="0"/>
          <w:sz w:val="32"/>
          <w:szCs w:val="32"/>
          <w:lang w:val="en-US" w:eastAsia="zh-CN" w:bidi="ar"/>
        </w:rPr>
        <w:t>1</w:t>
      </w:r>
      <w:r>
        <w:rPr>
          <w:rFonts w:hint="eastAsia" w:cs="Times New Roman"/>
          <w:color w:val="000000"/>
          <w:kern w:val="0"/>
          <w:sz w:val="32"/>
          <w:szCs w:val="32"/>
          <w:lang w:val="en-US" w:eastAsia="zh-CN" w:bidi="ar"/>
        </w:rPr>
        <w:t>5</w:t>
      </w:r>
      <w:r>
        <w:rPr>
          <w:rFonts w:hint="default" w:ascii="Times New Roman" w:hAnsi="Times New Roman" w:cs="Times New Roman"/>
          <w:color w:val="000000"/>
          <w:kern w:val="0"/>
          <w:sz w:val="32"/>
          <w:szCs w:val="32"/>
          <w:lang w:val="en-US" w:eastAsia="zh-CN" w:bidi="ar"/>
        </w:rPr>
        <w:t>.</w:t>
      </w:r>
      <w:r>
        <w:rPr>
          <w:rFonts w:hint="default" w:ascii="Times New Roman" w:hAnsi="Times New Roman" w:eastAsia="仿宋_GB2312" w:cs="Times New Roman"/>
          <w:color w:val="000000"/>
          <w:kern w:val="0"/>
          <w:sz w:val="32"/>
          <w:szCs w:val="32"/>
          <w:lang w:val="en-US" w:eastAsia="zh-CN" w:bidi="ar"/>
        </w:rPr>
        <w:t>有关职责分工。与县教育局的有关职责分工。高校毕业生就业政策由县人力资源社会保障局牵头，会同县教育局等部门拟订。高校毕业生离校前的就业指导和服务工作，由县教育局负责；高校毕业生离校后的就业指导和服务工作，由县人力资源社会保障局负责。</w:t>
      </w:r>
    </w:p>
    <w:p w14:paraId="5DE9174D">
      <w:pPr>
        <w:keepNext w:val="0"/>
        <w:keepLines w:val="0"/>
        <w:pageBreakBefore w:val="0"/>
        <w:widowControl/>
        <w:numPr>
          <w:ilvl w:val="0"/>
          <w:numId w:val="0"/>
        </w:numPr>
        <w:suppressLineNumbers w:val="0"/>
        <w:kinsoku/>
        <w:wordWrap/>
        <w:overflowPunct/>
        <w:topLinePunct w:val="0"/>
        <w:autoSpaceDE/>
        <w:autoSpaceDN/>
        <w:bidi w:val="0"/>
        <w:adjustRightInd/>
        <w:snapToGrid/>
        <w:spacing w:line="576" w:lineRule="exact"/>
        <w:ind w:firstLine="640" w:firstLineChars="200"/>
        <w:jc w:val="left"/>
        <w:textAlignment w:val="auto"/>
        <w:rPr>
          <w:rFonts w:hint="default"/>
          <w:lang w:val="zh-CN"/>
        </w:rPr>
      </w:pPr>
      <w:r>
        <w:rPr>
          <w:rFonts w:hint="default" w:ascii="Times New Roman" w:hAnsi="Times New Roman" w:cs="Times New Roman"/>
          <w:color w:val="000000"/>
          <w:kern w:val="0"/>
          <w:sz w:val="32"/>
          <w:szCs w:val="32"/>
          <w:lang w:val="en-US" w:eastAsia="zh-CN" w:bidi="ar"/>
        </w:rPr>
        <w:t>1</w:t>
      </w:r>
      <w:r>
        <w:rPr>
          <w:rFonts w:hint="eastAsia" w:cs="Times New Roman"/>
          <w:color w:val="000000"/>
          <w:kern w:val="0"/>
          <w:sz w:val="32"/>
          <w:szCs w:val="32"/>
          <w:lang w:val="en-US" w:eastAsia="zh-CN" w:bidi="ar"/>
        </w:rPr>
        <w:t>6</w:t>
      </w:r>
      <w:r>
        <w:rPr>
          <w:rFonts w:hint="default" w:ascii="Times New Roman" w:hAnsi="Times New Roman" w:cs="Times New Roman"/>
          <w:color w:val="000000"/>
          <w:kern w:val="0"/>
          <w:sz w:val="32"/>
          <w:szCs w:val="32"/>
          <w:lang w:val="en-US" w:eastAsia="zh-CN" w:bidi="ar"/>
        </w:rPr>
        <w:t>.</w:t>
      </w:r>
      <w:r>
        <w:rPr>
          <w:rFonts w:hint="default" w:ascii="Times New Roman" w:hAnsi="Times New Roman" w:eastAsia="仿宋_GB2312" w:cs="Times New Roman"/>
          <w:color w:val="000000"/>
          <w:kern w:val="0"/>
          <w:sz w:val="32"/>
          <w:szCs w:val="32"/>
          <w:lang w:val="en-US" w:eastAsia="zh-CN" w:bidi="ar"/>
        </w:rPr>
        <w:t>完成县委、县政府交办的其他任务。</w:t>
      </w:r>
    </w:p>
    <w:p w14:paraId="7E53EF8E">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default" w:ascii="Times New Roman" w:hAnsi="Times New Roman" w:eastAsia="楷体_GB2312" w:cs="Times New Roman"/>
          <w:b/>
          <w:bCs/>
          <w:color w:val="000000"/>
          <w:kern w:val="0"/>
          <w:szCs w:val="32"/>
          <w:highlight w:val="none"/>
          <w:shd w:val="clear" w:color="auto" w:fill="FFFFFF"/>
          <w:lang w:val="zh-CN"/>
        </w:rPr>
      </w:pPr>
      <w:r>
        <w:rPr>
          <w:rFonts w:hint="default" w:ascii="Times New Roman" w:hAnsi="Times New Roman" w:eastAsia="楷体_GB2312" w:cs="Times New Roman"/>
          <w:b/>
          <w:bCs/>
          <w:color w:val="000000"/>
          <w:kern w:val="0"/>
          <w:szCs w:val="32"/>
          <w:highlight w:val="none"/>
          <w:shd w:val="clear" w:color="auto" w:fill="FFFFFF"/>
          <w:lang w:val="zh-CN"/>
        </w:rPr>
        <w:t>（三）人员概况。</w:t>
      </w:r>
    </w:p>
    <w:p w14:paraId="5896296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Cs w:val="32"/>
          <w:lang w:val="en-US" w:eastAsia="zh-CN"/>
        </w:rPr>
      </w:pPr>
      <w:r>
        <w:rPr>
          <w:rFonts w:hint="default" w:ascii="Times New Roman" w:hAnsi="Times New Roman" w:cs="Times New Roman"/>
          <w:szCs w:val="32"/>
        </w:rPr>
        <w:t>松潘县人力资源和社会保障局属一级预算单位，独立编制机构数1个，独立核算机构数1个。截至202</w:t>
      </w:r>
      <w:r>
        <w:rPr>
          <w:rFonts w:hint="default" w:ascii="Times New Roman" w:hAnsi="Times New Roman" w:cs="Times New Roman"/>
          <w:szCs w:val="32"/>
          <w:lang w:val="en-US" w:eastAsia="zh-CN"/>
        </w:rPr>
        <w:t>3</w:t>
      </w:r>
      <w:r>
        <w:rPr>
          <w:rFonts w:hint="default" w:ascii="Times New Roman" w:hAnsi="Times New Roman" w:cs="Times New Roman"/>
          <w:szCs w:val="32"/>
        </w:rPr>
        <w:t>年末，</w:t>
      </w:r>
      <w:r>
        <w:rPr>
          <w:rFonts w:hint="default" w:ascii="Times New Roman" w:hAnsi="Times New Roman" w:cs="Times New Roman"/>
          <w:szCs w:val="32"/>
          <w:lang w:eastAsia="zh-CN"/>
        </w:rPr>
        <w:t>松潘县人力资源和社会保障局在职实有人数</w:t>
      </w:r>
      <w:r>
        <w:rPr>
          <w:rFonts w:hint="default" w:ascii="Times New Roman" w:hAnsi="Times New Roman" w:cs="Times New Roman"/>
          <w:szCs w:val="32"/>
          <w:lang w:val="en-US" w:eastAsia="zh-CN"/>
        </w:rPr>
        <w:t>22人，其中行政人员8人、参公人员3人、机关工勤人员2人、事业人员9人。</w:t>
      </w:r>
    </w:p>
    <w:p w14:paraId="3AD25F25">
      <w:pPr>
        <w:keepNext w:val="0"/>
        <w:keepLines w:val="0"/>
        <w:pageBreakBefore w:val="0"/>
        <w:widowControl/>
        <w:kinsoku/>
        <w:wordWrap/>
        <w:overflowPunct/>
        <w:topLinePunct w:val="0"/>
        <w:autoSpaceDE/>
        <w:autoSpaceDN/>
        <w:bidi w:val="0"/>
        <w:adjustRightInd w:val="0"/>
        <w:snapToGrid w:val="0"/>
        <w:spacing w:line="576" w:lineRule="exact"/>
        <w:ind w:firstLine="640" w:firstLineChars="200"/>
        <w:contextualSpacing/>
        <w:jc w:val="left"/>
        <w:textAlignment w:val="auto"/>
        <w:outlineLvl w:val="9"/>
        <w:rPr>
          <w:rFonts w:hint="default" w:ascii="Times New Roman" w:hAnsi="Times New Roman" w:eastAsia="黑体" w:cs="Times New Roman"/>
          <w:color w:val="000000"/>
          <w:kern w:val="0"/>
          <w:szCs w:val="32"/>
          <w:highlight w:val="none"/>
          <w:shd w:val="clear" w:color="auto" w:fill="FFFFFF"/>
        </w:rPr>
      </w:pPr>
      <w:r>
        <w:rPr>
          <w:rFonts w:hint="default" w:ascii="Times New Roman" w:hAnsi="Times New Roman" w:eastAsia="黑体" w:cs="Times New Roman"/>
          <w:color w:val="000000"/>
          <w:kern w:val="0"/>
          <w:szCs w:val="32"/>
          <w:highlight w:val="none"/>
          <w:shd w:val="clear" w:color="auto" w:fill="FFFFFF"/>
        </w:rPr>
        <w:t>二、</w:t>
      </w:r>
      <w:r>
        <w:rPr>
          <w:rFonts w:hint="default" w:ascii="Times New Roman" w:hAnsi="Times New Roman" w:eastAsia="黑体" w:cs="Times New Roman"/>
          <w:color w:val="000000"/>
          <w:kern w:val="0"/>
          <w:szCs w:val="32"/>
          <w:highlight w:val="none"/>
          <w:shd w:val="clear" w:color="auto" w:fill="FFFFFF"/>
          <w:lang w:eastAsia="zh-CN"/>
        </w:rPr>
        <w:t>部门</w:t>
      </w:r>
      <w:r>
        <w:rPr>
          <w:rFonts w:hint="default" w:ascii="Times New Roman" w:hAnsi="Times New Roman" w:eastAsia="黑体" w:cs="Times New Roman"/>
          <w:color w:val="000000"/>
          <w:kern w:val="0"/>
          <w:szCs w:val="32"/>
          <w:highlight w:val="none"/>
          <w:shd w:val="clear" w:color="auto" w:fill="FFFFFF"/>
        </w:rPr>
        <w:t>资金收支情况</w:t>
      </w:r>
    </w:p>
    <w:p w14:paraId="6BB59B95">
      <w:pPr>
        <w:keepNext w:val="0"/>
        <w:keepLines w:val="0"/>
        <w:pageBreakBefore w:val="0"/>
        <w:kinsoku/>
        <w:wordWrap/>
        <w:overflowPunct/>
        <w:topLinePunct w:val="0"/>
        <w:autoSpaceDE/>
        <w:autoSpaceDN/>
        <w:bidi w:val="0"/>
        <w:spacing w:line="576" w:lineRule="exact"/>
        <w:ind w:firstLine="803" w:firstLineChars="250"/>
        <w:textAlignment w:val="auto"/>
        <w:rPr>
          <w:rFonts w:hint="default" w:ascii="Times New Roman" w:hAnsi="Times New Roman" w:eastAsia="楷体_GB2312" w:cs="Times New Roman"/>
          <w:b/>
          <w:bCs/>
          <w:color w:val="000000"/>
          <w:kern w:val="0"/>
          <w:szCs w:val="32"/>
          <w:highlight w:val="none"/>
          <w:shd w:val="clear" w:color="auto" w:fill="FFFFFF"/>
          <w:lang w:val="zh-CN"/>
        </w:rPr>
      </w:pPr>
      <w:r>
        <w:rPr>
          <w:rFonts w:hint="default" w:ascii="Times New Roman" w:hAnsi="Times New Roman" w:eastAsia="楷体_GB2312" w:cs="Times New Roman"/>
          <w:b/>
          <w:bCs/>
          <w:color w:val="000000"/>
          <w:kern w:val="0"/>
          <w:szCs w:val="32"/>
          <w:highlight w:val="none"/>
          <w:shd w:val="clear" w:color="auto" w:fill="FFFFFF"/>
          <w:lang w:val="zh-CN"/>
        </w:rPr>
        <w:t>（一）收入情况。</w:t>
      </w:r>
    </w:p>
    <w:p w14:paraId="16A95596">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cs="Times New Roman"/>
          <w:szCs w:val="32"/>
          <w:lang w:val="en-US" w:eastAsia="zh-CN"/>
        </w:rPr>
      </w:pPr>
      <w:r>
        <w:rPr>
          <w:rFonts w:hint="default" w:ascii="Times New Roman" w:hAnsi="Times New Roman" w:cs="Times New Roman"/>
          <w:szCs w:val="32"/>
          <w:lang w:val="en-US" w:eastAsia="zh-CN"/>
        </w:rPr>
        <w:t>松潘县人力资源和社会保障局2023年年初预算445.55万元，决算报表收入2064.38万元。</w:t>
      </w:r>
    </w:p>
    <w:p w14:paraId="5751842E">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cs="Times New Roman"/>
          <w:szCs w:val="32"/>
          <w:lang w:val="en-US" w:eastAsia="zh-CN"/>
        </w:rPr>
      </w:pPr>
      <w:r>
        <w:rPr>
          <w:rFonts w:hint="default" w:ascii="Times New Roman" w:hAnsi="Times New Roman" w:cs="Times New Roman"/>
          <w:szCs w:val="32"/>
          <w:lang w:val="en-US" w:eastAsia="zh-CN"/>
        </w:rPr>
        <w:t>基本支出是用于保障县人力资源和社会保障局行政机构的正常运转的日常支出，包括基本工资、津贴补贴、基本养老保险、医疗保险等人员经费以及办公费、印刷费、水电费等日常公用经费。</w:t>
      </w:r>
    </w:p>
    <w:p w14:paraId="6B2FE279">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cs="Times New Roman"/>
          <w:szCs w:val="32"/>
          <w:lang w:val="en-US" w:eastAsia="zh-CN"/>
        </w:rPr>
      </w:pPr>
      <w:r>
        <w:rPr>
          <w:rFonts w:hint="default" w:ascii="Times New Roman" w:hAnsi="Times New Roman" w:cs="Times New Roman"/>
          <w:szCs w:val="32"/>
          <w:lang w:val="en-US" w:eastAsia="zh-CN"/>
        </w:rPr>
        <w:t>2023年基本支出收入数509.46万元</w:t>
      </w:r>
      <w:r>
        <w:rPr>
          <w:rFonts w:hint="eastAsia" w:cs="Times New Roman"/>
          <w:szCs w:val="32"/>
          <w:lang w:val="en-US" w:eastAsia="zh-CN"/>
        </w:rPr>
        <w:t>，</w:t>
      </w:r>
      <w:r>
        <w:rPr>
          <w:rFonts w:hint="default" w:ascii="Times New Roman" w:hAnsi="Times New Roman" w:cs="Times New Roman"/>
          <w:szCs w:val="32"/>
          <w:lang w:val="en-US" w:eastAsia="zh-CN"/>
        </w:rPr>
        <w:t>其中</w:t>
      </w:r>
      <w:r>
        <w:rPr>
          <w:rFonts w:hint="eastAsia" w:cs="Times New Roman"/>
          <w:szCs w:val="32"/>
          <w:lang w:val="en-US" w:eastAsia="zh-CN"/>
        </w:rPr>
        <w:t>：</w:t>
      </w:r>
      <w:r>
        <w:rPr>
          <w:rFonts w:hint="default" w:ascii="Times New Roman" w:hAnsi="Times New Roman" w:cs="Times New Roman"/>
          <w:szCs w:val="32"/>
          <w:lang w:val="en-US" w:eastAsia="zh-CN"/>
        </w:rPr>
        <w:t>行政运行246.67万元</w:t>
      </w:r>
      <w:r>
        <w:rPr>
          <w:rFonts w:hint="eastAsia" w:cs="Times New Roman"/>
          <w:szCs w:val="32"/>
          <w:lang w:val="en-US" w:eastAsia="zh-CN"/>
        </w:rPr>
        <w:t>，</w:t>
      </w:r>
      <w:r>
        <w:rPr>
          <w:rFonts w:hint="default" w:ascii="Times New Roman" w:hAnsi="Times New Roman" w:cs="Times New Roman"/>
          <w:szCs w:val="32"/>
          <w:lang w:val="en-US" w:eastAsia="zh-CN"/>
        </w:rPr>
        <w:t>事业运行134.57万元，机关事业单位基本养老保险缴费支出44.84万元</w:t>
      </w:r>
      <w:r>
        <w:rPr>
          <w:rFonts w:hint="eastAsia" w:cs="Times New Roman"/>
          <w:szCs w:val="32"/>
          <w:lang w:val="en-US" w:eastAsia="zh-CN"/>
        </w:rPr>
        <w:t>，</w:t>
      </w:r>
      <w:r>
        <w:rPr>
          <w:rFonts w:hint="default" w:ascii="Times New Roman" w:hAnsi="Times New Roman" w:cs="Times New Roman"/>
          <w:szCs w:val="32"/>
          <w:lang w:val="en-US" w:eastAsia="zh-CN"/>
        </w:rPr>
        <w:t>机关事业单位职业年金缴费支出22.42万元，行政单位医疗12.1万元</w:t>
      </w:r>
      <w:r>
        <w:rPr>
          <w:rFonts w:hint="eastAsia" w:cs="Times New Roman"/>
          <w:szCs w:val="32"/>
          <w:lang w:val="en-US" w:eastAsia="zh-CN"/>
        </w:rPr>
        <w:t>，</w:t>
      </w:r>
      <w:r>
        <w:rPr>
          <w:rFonts w:hint="default" w:ascii="Times New Roman" w:hAnsi="Times New Roman" w:cs="Times New Roman"/>
          <w:szCs w:val="32"/>
          <w:lang w:val="en-US" w:eastAsia="zh-CN"/>
        </w:rPr>
        <w:t>事业单位医疗7.32万元</w:t>
      </w:r>
      <w:r>
        <w:rPr>
          <w:rFonts w:hint="eastAsia" w:cs="Times New Roman"/>
          <w:szCs w:val="32"/>
          <w:lang w:val="en-US" w:eastAsia="zh-CN"/>
        </w:rPr>
        <w:t>，</w:t>
      </w:r>
      <w:r>
        <w:rPr>
          <w:rFonts w:hint="default" w:ascii="Times New Roman" w:hAnsi="Times New Roman" w:cs="Times New Roman"/>
          <w:szCs w:val="32"/>
          <w:lang w:val="en-US" w:eastAsia="zh-CN"/>
        </w:rPr>
        <w:t>公务员医疗补助5.75万元，其他行政事业单位医疗支出1.95万元，住房公积金33.84万元。年初基本支出结转5万元，其中行政运行5万元。</w:t>
      </w:r>
    </w:p>
    <w:p w14:paraId="0E90F123">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cs="Times New Roman"/>
          <w:szCs w:val="32"/>
          <w:lang w:val="en-US" w:eastAsia="zh-CN"/>
        </w:rPr>
      </w:pPr>
      <w:r>
        <w:rPr>
          <w:rFonts w:hint="default" w:ascii="Times New Roman" w:hAnsi="Times New Roman" w:cs="Times New Roman"/>
          <w:szCs w:val="32"/>
          <w:lang w:val="en-US" w:eastAsia="zh-CN"/>
        </w:rPr>
        <w:t>项目支出是用于保障县人力资源和社会保障局行政机构为完成特定的行政工作任务或事业发展目标，用于专项业务工作的经费支出。</w:t>
      </w:r>
    </w:p>
    <w:p w14:paraId="5D41DB44">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cs="Times New Roman"/>
          <w:szCs w:val="32"/>
          <w:lang w:val="en-US" w:eastAsia="zh-CN"/>
        </w:rPr>
      </w:pPr>
      <w:r>
        <w:rPr>
          <w:rFonts w:hint="default" w:ascii="Times New Roman" w:hAnsi="Times New Roman" w:cs="Times New Roman"/>
          <w:szCs w:val="32"/>
          <w:lang w:val="en-US" w:eastAsia="zh-CN"/>
        </w:rPr>
        <w:t>2023年项目支出收入数1183.44万元，其中</w:t>
      </w:r>
      <w:r>
        <w:rPr>
          <w:rFonts w:hint="eastAsia" w:cs="Times New Roman"/>
          <w:szCs w:val="32"/>
          <w:lang w:val="en-US" w:eastAsia="zh-CN"/>
        </w:rPr>
        <w:t>：</w:t>
      </w:r>
      <w:r>
        <w:rPr>
          <w:rFonts w:hint="default" w:ascii="Times New Roman" w:hAnsi="Times New Roman" w:cs="Times New Roman"/>
          <w:szCs w:val="32"/>
          <w:lang w:val="en-US" w:eastAsia="zh-CN"/>
        </w:rPr>
        <w:t>行政事业单位编外用工工资1143.11万元，在职干部学历提升奖补36.33万元</w:t>
      </w:r>
      <w:r>
        <w:rPr>
          <w:rFonts w:hint="eastAsia" w:cs="Times New Roman"/>
          <w:szCs w:val="32"/>
          <w:lang w:val="en-US" w:eastAsia="zh-CN"/>
        </w:rPr>
        <w:t>，</w:t>
      </w:r>
      <w:r>
        <w:rPr>
          <w:rFonts w:hint="default" w:ascii="Times New Roman" w:hAnsi="Times New Roman" w:cs="Times New Roman"/>
          <w:szCs w:val="32"/>
          <w:lang w:val="en-US" w:eastAsia="zh-CN"/>
        </w:rPr>
        <w:t>省级社保公共服务能力建设4万元。年初项目支出结转和结余366.48万元，其中：行政事业单位编外用工工资312.39万元，社会保障和就业服务大厅工作经费20万元，人事考务费3.38万元，档案信息化管理工作经费10万，乡镇社保网络服务平台6万元，律师代理费1.8万元，松潘县人社局一楼政务大厅供暖设备改造质保金0.59万元</w:t>
      </w:r>
      <w:r>
        <w:rPr>
          <w:rFonts w:hint="eastAsia" w:cs="Times New Roman"/>
          <w:szCs w:val="32"/>
          <w:lang w:val="en-US" w:eastAsia="zh-CN"/>
        </w:rPr>
        <w:t>，</w:t>
      </w:r>
      <w:r>
        <w:rPr>
          <w:rFonts w:hint="default" w:ascii="Times New Roman" w:hAnsi="Times New Roman" w:cs="Times New Roman"/>
          <w:szCs w:val="32"/>
          <w:lang w:val="en-US" w:eastAsia="zh-CN"/>
        </w:rPr>
        <w:t>人社局会议室维修维护经费12.32万元。</w:t>
      </w:r>
    </w:p>
    <w:p w14:paraId="4F775170">
      <w:pPr>
        <w:keepNext w:val="0"/>
        <w:keepLines w:val="0"/>
        <w:pageBreakBefore w:val="0"/>
        <w:widowControl/>
        <w:numPr>
          <w:ilvl w:val="0"/>
          <w:numId w:val="2"/>
        </w:numPr>
        <w:kinsoku/>
        <w:wordWrap/>
        <w:overflowPunct/>
        <w:topLinePunct w:val="0"/>
        <w:autoSpaceDE/>
        <w:autoSpaceDN/>
        <w:bidi w:val="0"/>
        <w:adjustRightInd w:val="0"/>
        <w:snapToGrid w:val="0"/>
        <w:spacing w:line="576" w:lineRule="exact"/>
        <w:ind w:left="0" w:leftChars="0" w:firstLine="643" w:firstLineChars="200"/>
        <w:contextualSpacing/>
        <w:jc w:val="left"/>
        <w:textAlignment w:val="auto"/>
        <w:outlineLvl w:val="9"/>
        <w:rPr>
          <w:rFonts w:hint="default" w:ascii="Times New Roman" w:hAnsi="Times New Roman" w:cs="Times New Roman"/>
          <w:szCs w:val="32"/>
          <w:lang w:val="en-US" w:eastAsia="zh-CN"/>
        </w:rPr>
      </w:pPr>
      <w:r>
        <w:rPr>
          <w:rFonts w:hint="default" w:ascii="Times New Roman" w:hAnsi="Times New Roman" w:eastAsia="楷体_GB2312" w:cs="Times New Roman"/>
          <w:b/>
          <w:bCs/>
          <w:color w:val="000000"/>
          <w:kern w:val="0"/>
          <w:szCs w:val="32"/>
          <w:highlight w:val="none"/>
          <w:shd w:val="clear" w:color="auto" w:fill="FFFFFF"/>
          <w:lang w:val="zh-CN"/>
        </w:rPr>
        <w:t>支出情况。</w:t>
      </w:r>
    </w:p>
    <w:p w14:paraId="4B71E2A3">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cs="Times New Roman"/>
          <w:szCs w:val="32"/>
          <w:lang w:val="en-US" w:eastAsia="zh-CN"/>
        </w:rPr>
      </w:pPr>
      <w:r>
        <w:rPr>
          <w:rFonts w:hint="default" w:ascii="Times New Roman" w:hAnsi="Times New Roman" w:cs="Times New Roman"/>
          <w:szCs w:val="32"/>
          <w:lang w:val="en-US" w:eastAsia="zh-CN"/>
        </w:rPr>
        <w:t>松潘县人力资源和社会保障局2023年年初预算支出445.55万元，决算报表支出2064.38万元，其中：基本支出514.46万元，占24.92%；项目支出1549.92万元，占75.08%。</w:t>
      </w:r>
    </w:p>
    <w:p w14:paraId="75C14A4C">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cs="Times New Roman"/>
          <w:szCs w:val="32"/>
          <w:lang w:val="en-US" w:eastAsia="zh-CN"/>
        </w:rPr>
      </w:pPr>
      <w:r>
        <w:rPr>
          <w:rFonts w:hint="default" w:ascii="Times New Roman" w:hAnsi="Times New Roman" w:cs="Times New Roman"/>
          <w:szCs w:val="32"/>
          <w:lang w:val="en-US" w:eastAsia="zh-CN"/>
        </w:rPr>
        <w:t>2023年行政运行支出数为251.67万元，完成预算100%。事业运行支出数为134.57万元，完成预算100%，机关事业单位基本养老保险缴费</w:t>
      </w:r>
      <w:r>
        <w:rPr>
          <w:rFonts w:hint="eastAsia" w:cs="Times New Roman"/>
          <w:szCs w:val="32"/>
          <w:lang w:val="en-US" w:eastAsia="zh-CN"/>
        </w:rPr>
        <w:t>支出</w:t>
      </w:r>
      <w:r>
        <w:rPr>
          <w:rFonts w:hint="default" w:ascii="Times New Roman" w:hAnsi="Times New Roman" w:cs="Times New Roman"/>
          <w:szCs w:val="32"/>
          <w:lang w:val="en-US" w:eastAsia="zh-CN"/>
        </w:rPr>
        <w:t>数为44.84万元</w:t>
      </w:r>
      <w:r>
        <w:rPr>
          <w:rFonts w:hint="eastAsia" w:cs="Times New Roman"/>
          <w:szCs w:val="32"/>
          <w:lang w:val="en-US" w:eastAsia="zh-CN"/>
        </w:rPr>
        <w:t>，</w:t>
      </w:r>
      <w:r>
        <w:rPr>
          <w:rFonts w:hint="default" w:ascii="Times New Roman" w:hAnsi="Times New Roman" w:cs="Times New Roman"/>
          <w:szCs w:val="32"/>
          <w:lang w:val="en-US" w:eastAsia="zh-CN"/>
        </w:rPr>
        <w:t>完成预算100%，机关事业单位职业年金支出数为22.42万元</w:t>
      </w:r>
      <w:r>
        <w:rPr>
          <w:rFonts w:hint="eastAsia" w:cs="Times New Roman"/>
          <w:szCs w:val="32"/>
          <w:lang w:val="en-US" w:eastAsia="zh-CN"/>
        </w:rPr>
        <w:t>，</w:t>
      </w:r>
      <w:r>
        <w:rPr>
          <w:rFonts w:hint="default" w:ascii="Times New Roman" w:hAnsi="Times New Roman" w:cs="Times New Roman"/>
          <w:szCs w:val="32"/>
          <w:lang w:val="en-US" w:eastAsia="zh-CN"/>
        </w:rPr>
        <w:t xml:space="preserve">完成预算100%，行政事业单位医疗支出数为27.12万元，完成预算100%。住房公积金2023年决算数为33.84万元，完成预算100%。 </w:t>
      </w:r>
    </w:p>
    <w:p w14:paraId="415FBB10">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cs="Times New Roman"/>
          <w:szCs w:val="32"/>
          <w:lang w:val="en-US" w:eastAsia="zh-CN"/>
        </w:rPr>
      </w:pPr>
      <w:r>
        <w:rPr>
          <w:rFonts w:hint="default" w:ascii="Times New Roman" w:hAnsi="Times New Roman" w:cs="Times New Roman"/>
          <w:szCs w:val="32"/>
          <w:lang w:val="en-US" w:eastAsia="zh-CN"/>
        </w:rPr>
        <w:t>2023年项目支出数1549.92万元，其中</w:t>
      </w:r>
      <w:r>
        <w:rPr>
          <w:rFonts w:hint="eastAsia" w:cs="Times New Roman"/>
          <w:szCs w:val="32"/>
          <w:lang w:val="en-US" w:eastAsia="zh-CN"/>
        </w:rPr>
        <w:t>：</w:t>
      </w:r>
      <w:r>
        <w:rPr>
          <w:rFonts w:hint="default" w:ascii="Times New Roman" w:hAnsi="Times New Roman" w:cs="Times New Roman"/>
          <w:szCs w:val="32"/>
          <w:lang w:val="en-US" w:eastAsia="zh-CN"/>
        </w:rPr>
        <w:t>社会保障和就业服务大厅工作经费20万元，行政事业单位编外用工工资1455.5万元，乡镇社保网络服务平台6万元，省级社保公共服务能力建设4万元，律师代理费1.8万元，人事考务费3.38万元，档案信息化管理工作经费10万，在职干部学历提升奖补36.33万元，松潘县人社局一楼政务大厅供暖设备改造质保金0.59万元，人社局会议室维修维护经费12.32万元。</w:t>
      </w:r>
    </w:p>
    <w:p w14:paraId="0EFB0FC2">
      <w:pPr>
        <w:keepNext w:val="0"/>
        <w:keepLines w:val="0"/>
        <w:pageBreakBefore w:val="0"/>
        <w:widowControl/>
        <w:numPr>
          <w:ilvl w:val="0"/>
          <w:numId w:val="2"/>
        </w:numPr>
        <w:kinsoku/>
        <w:wordWrap/>
        <w:overflowPunct/>
        <w:topLinePunct w:val="0"/>
        <w:autoSpaceDE/>
        <w:autoSpaceDN/>
        <w:bidi w:val="0"/>
        <w:adjustRightInd w:val="0"/>
        <w:snapToGrid w:val="0"/>
        <w:spacing w:line="576" w:lineRule="exact"/>
        <w:ind w:left="0" w:leftChars="0" w:firstLine="643" w:firstLineChars="200"/>
        <w:contextualSpacing/>
        <w:jc w:val="left"/>
        <w:textAlignment w:val="auto"/>
        <w:outlineLvl w:val="9"/>
        <w:rPr>
          <w:rFonts w:hint="default" w:ascii="Times New Roman" w:hAnsi="Times New Roman" w:eastAsia="仿宋_GB2312" w:cs="Times New Roman"/>
          <w:b/>
          <w:szCs w:val="32"/>
          <w:lang w:eastAsia="zh-CN"/>
        </w:rPr>
      </w:pPr>
      <w:r>
        <w:rPr>
          <w:rFonts w:hint="default" w:ascii="Times New Roman" w:hAnsi="Times New Roman" w:eastAsia="仿宋_GB2312" w:cs="Times New Roman"/>
          <w:b/>
          <w:szCs w:val="32"/>
        </w:rPr>
        <w:t>结余分配和结转结余情况</w:t>
      </w:r>
      <w:r>
        <w:rPr>
          <w:rFonts w:hint="default" w:ascii="Times New Roman" w:hAnsi="Times New Roman" w:eastAsia="仿宋_GB2312" w:cs="Times New Roman"/>
          <w:b/>
          <w:szCs w:val="32"/>
          <w:lang w:eastAsia="zh-CN"/>
        </w:rPr>
        <w:t>。</w:t>
      </w:r>
    </w:p>
    <w:p w14:paraId="6EA7F114">
      <w:pPr>
        <w:pStyle w:val="6"/>
        <w:keepNext w:val="0"/>
        <w:keepLines w:val="0"/>
        <w:pageBreakBefore w:val="0"/>
        <w:numPr>
          <w:ilvl w:val="0"/>
          <w:numId w:val="0"/>
        </w:numPr>
        <w:kinsoku/>
        <w:wordWrap/>
        <w:overflowPunct/>
        <w:topLinePunct w:val="0"/>
        <w:autoSpaceDE/>
        <w:autoSpaceDN/>
        <w:bidi w:val="0"/>
        <w:spacing w:after="0" w:line="576" w:lineRule="exact"/>
        <w:ind w:firstLine="640" w:firstLineChars="200"/>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zh-CN" w:eastAsia="zh-CN" w:bidi="ar-SA"/>
        </w:rPr>
        <w:t>松潘县人力资源和社会保障局</w:t>
      </w:r>
      <w:r>
        <w:rPr>
          <w:rFonts w:hint="default" w:ascii="Times New Roman" w:hAnsi="Times New Roman" w:eastAsia="仿宋_GB2312" w:cs="Times New Roman"/>
          <w:kern w:val="2"/>
          <w:sz w:val="32"/>
          <w:szCs w:val="32"/>
          <w:lang w:val="en-US" w:eastAsia="zh-CN" w:bidi="ar-SA"/>
        </w:rPr>
        <w:t>2023年决算报表结转结余0。</w:t>
      </w:r>
    </w:p>
    <w:p w14:paraId="4EAFEC5D">
      <w:pPr>
        <w:keepNext w:val="0"/>
        <w:keepLines w:val="0"/>
        <w:pageBreakBefore w:val="0"/>
        <w:widowControl/>
        <w:kinsoku/>
        <w:wordWrap/>
        <w:overflowPunct/>
        <w:topLinePunct w:val="0"/>
        <w:autoSpaceDE/>
        <w:autoSpaceDN/>
        <w:bidi w:val="0"/>
        <w:adjustRightInd w:val="0"/>
        <w:snapToGrid w:val="0"/>
        <w:spacing w:line="576" w:lineRule="exact"/>
        <w:ind w:firstLine="640" w:firstLineChars="200"/>
        <w:contextualSpacing/>
        <w:jc w:val="left"/>
        <w:textAlignment w:val="auto"/>
        <w:outlineLvl w:val="9"/>
        <w:rPr>
          <w:rFonts w:hint="default" w:ascii="Times New Roman" w:hAnsi="Times New Roman" w:eastAsia="黑体" w:cs="Times New Roman"/>
          <w:color w:val="000000" w:themeColor="text1"/>
          <w:kern w:val="0"/>
          <w:szCs w:val="32"/>
          <w:highlight w:val="none"/>
          <w:shd w:val="clear" w:color="auto" w:fill="FFFFFF"/>
          <w14:textFill>
            <w14:solidFill>
              <w14:schemeClr w14:val="tx1"/>
            </w14:solidFill>
          </w14:textFill>
        </w:rPr>
      </w:pPr>
      <w:r>
        <w:rPr>
          <w:rFonts w:hint="default" w:ascii="Times New Roman" w:hAnsi="Times New Roman" w:eastAsia="黑体" w:cs="Times New Roman"/>
          <w:color w:val="000000"/>
          <w:kern w:val="0"/>
          <w:szCs w:val="32"/>
          <w:highlight w:val="none"/>
          <w:shd w:val="clear" w:color="auto" w:fill="FFFFFF"/>
        </w:rPr>
        <w:t>三、</w:t>
      </w:r>
      <w:r>
        <w:rPr>
          <w:rFonts w:hint="default" w:ascii="Times New Roman" w:hAnsi="Times New Roman" w:eastAsia="黑体" w:cs="Times New Roman"/>
          <w:color w:val="000000"/>
          <w:kern w:val="0"/>
          <w:szCs w:val="32"/>
          <w:highlight w:val="none"/>
          <w:u w:val="none"/>
          <w:shd w:val="clear" w:color="auto" w:fill="FFFFFF"/>
        </w:rPr>
        <w:t>部门</w:t>
      </w:r>
      <w:r>
        <w:rPr>
          <w:rFonts w:hint="default" w:ascii="Times New Roman" w:hAnsi="Times New Roman" w:eastAsia="黑体" w:cs="Times New Roman"/>
          <w:color w:val="000000"/>
          <w:kern w:val="0"/>
          <w:szCs w:val="32"/>
          <w:highlight w:val="none"/>
          <w:u w:val="none"/>
          <w:shd w:val="clear" w:color="auto" w:fill="FFFFFF"/>
          <w:lang w:eastAsia="zh-CN"/>
        </w:rPr>
        <w:t>预算</w:t>
      </w:r>
      <w:r>
        <w:rPr>
          <w:rFonts w:hint="default" w:ascii="Times New Roman" w:hAnsi="Times New Roman" w:eastAsia="黑体" w:cs="Times New Roman"/>
          <w:color w:val="000000"/>
          <w:kern w:val="0"/>
          <w:szCs w:val="32"/>
          <w:highlight w:val="none"/>
          <w:u w:val="none"/>
          <w:shd w:val="clear" w:color="auto" w:fill="FFFFFF"/>
        </w:rPr>
        <w:t>绩效</w:t>
      </w:r>
      <w:r>
        <w:rPr>
          <w:rFonts w:hint="default" w:ascii="Times New Roman" w:hAnsi="Times New Roman" w:eastAsia="黑体" w:cs="Times New Roman"/>
          <w:color w:val="000000"/>
          <w:kern w:val="0"/>
          <w:szCs w:val="32"/>
          <w:highlight w:val="none"/>
          <w:u w:val="none"/>
          <w:shd w:val="clear" w:color="auto" w:fill="FFFFFF"/>
          <w:lang w:eastAsia="zh-CN"/>
        </w:rPr>
        <w:t>分析</w:t>
      </w:r>
    </w:p>
    <w:p w14:paraId="512FE11F">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3" w:firstLineChars="200"/>
        <w:contextualSpacing/>
        <w:jc w:val="left"/>
        <w:textAlignment w:val="auto"/>
        <w:outlineLvl w:val="9"/>
        <w:rPr>
          <w:rFonts w:hint="default" w:ascii="Times New Roman" w:hAnsi="Times New Roman" w:eastAsia="楷体_GB2312" w:cs="Times New Roman"/>
          <w:b/>
          <w:bCs/>
          <w:color w:val="000000"/>
          <w:kern w:val="0"/>
          <w:szCs w:val="32"/>
          <w:highlight w:val="none"/>
          <w:shd w:val="clear" w:color="auto" w:fill="FFFFFF"/>
          <w:lang w:val="zh-CN"/>
        </w:rPr>
      </w:pPr>
      <w:r>
        <w:rPr>
          <w:rFonts w:hint="default" w:ascii="Times New Roman" w:hAnsi="Times New Roman" w:eastAsia="楷体_GB2312" w:cs="Times New Roman"/>
          <w:b/>
          <w:bCs/>
          <w:color w:val="000000"/>
          <w:kern w:val="0"/>
          <w:szCs w:val="32"/>
          <w:highlight w:val="none"/>
          <w:shd w:val="clear" w:color="auto" w:fill="FFFFFF"/>
          <w:lang w:val="zh-CN"/>
        </w:rPr>
        <w:t>（一）部门预算总体绩效分析。</w:t>
      </w:r>
    </w:p>
    <w:p w14:paraId="2CC693CA">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default" w:ascii="Times New Roman" w:hAnsi="Times New Roman" w:eastAsia="仿宋_GB2312" w:cs="Times New Roman"/>
          <w:kern w:val="2"/>
          <w:sz w:val="32"/>
          <w:szCs w:val="32"/>
          <w:lang w:val="zh-CN" w:eastAsia="zh-CN" w:bidi="ar-SA"/>
        </w:rPr>
      </w:pPr>
      <w:r>
        <w:rPr>
          <w:rFonts w:hint="default" w:ascii="Times New Roman" w:hAnsi="Times New Roman" w:eastAsia="仿宋_GB2312" w:cs="Times New Roman"/>
          <w:kern w:val="2"/>
          <w:sz w:val="32"/>
          <w:szCs w:val="32"/>
          <w:lang w:val="zh-CN" w:eastAsia="zh-CN" w:bidi="ar-SA"/>
        </w:rPr>
        <w:t>我单位每</w:t>
      </w:r>
      <w:r>
        <w:rPr>
          <w:rFonts w:hint="eastAsia" w:cs="Times New Roman"/>
          <w:kern w:val="2"/>
          <w:sz w:val="32"/>
          <w:szCs w:val="32"/>
          <w:lang w:val="zh-CN" w:eastAsia="zh-CN" w:bidi="ar-SA"/>
        </w:rPr>
        <w:t>年</w:t>
      </w:r>
      <w:r>
        <w:rPr>
          <w:rFonts w:hint="default" w:ascii="Times New Roman" w:hAnsi="Times New Roman" w:eastAsia="仿宋_GB2312" w:cs="Times New Roman"/>
          <w:kern w:val="2"/>
          <w:sz w:val="32"/>
          <w:szCs w:val="32"/>
          <w:lang w:val="zh-CN" w:eastAsia="zh-CN" w:bidi="ar-SA"/>
        </w:rPr>
        <w:t>按照上年度决算数据，按照“收支平衡、留有结余”的原则，依照“二上</w:t>
      </w:r>
      <w:r>
        <w:rPr>
          <w:rFonts w:hint="eastAsia" w:cs="Times New Roman"/>
          <w:kern w:val="2"/>
          <w:sz w:val="32"/>
          <w:szCs w:val="32"/>
          <w:lang w:val="zh-CN" w:eastAsia="zh-CN" w:bidi="ar-SA"/>
        </w:rPr>
        <w:t>”“</w:t>
      </w:r>
      <w:r>
        <w:rPr>
          <w:rFonts w:hint="default" w:ascii="Times New Roman" w:hAnsi="Times New Roman" w:eastAsia="仿宋_GB2312" w:cs="Times New Roman"/>
          <w:kern w:val="2"/>
          <w:sz w:val="32"/>
          <w:szCs w:val="32"/>
          <w:lang w:val="zh-CN" w:eastAsia="zh-CN" w:bidi="ar-SA"/>
        </w:rPr>
        <w:t>二下”的程序，合理编制单位经费预算。对每年度支出、收入进行绩效目标填报，对所有专项预算都进行了提前的细化并严格按照细化目标执行，所有的结余结转资金严格按照用途进行管理并支出。</w:t>
      </w:r>
    </w:p>
    <w:p w14:paraId="1F421C3A">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3" w:firstLineChars="200"/>
        <w:contextualSpacing/>
        <w:jc w:val="left"/>
        <w:textAlignment w:val="auto"/>
        <w:outlineLvl w:val="9"/>
        <w:rPr>
          <w:rFonts w:hint="default" w:ascii="Times New Roman" w:hAnsi="Times New Roman" w:eastAsia="仿宋_GB2312" w:cs="Times New Roman"/>
          <w:kern w:val="2"/>
          <w:sz w:val="32"/>
          <w:szCs w:val="32"/>
          <w:lang w:val="en-US" w:eastAsia="zh-CN" w:bidi="ar-SA"/>
        </w:rPr>
      </w:pPr>
      <w:r>
        <w:rPr>
          <w:rFonts w:hint="eastAsia" w:ascii="仿宋_GB2312" w:hAnsi="仿宋_GB2312" w:eastAsia="仿宋_GB2312" w:cs="仿宋_GB2312"/>
          <w:b/>
          <w:bCs/>
          <w:color w:val="000000"/>
          <w:kern w:val="0"/>
          <w:szCs w:val="32"/>
          <w:highlight w:val="none"/>
          <w:shd w:val="clear" w:color="auto" w:fill="FFFFFF"/>
          <w:lang w:val="en-US" w:eastAsia="zh-CN"/>
        </w:rPr>
        <w:t>1.</w:t>
      </w:r>
      <w:r>
        <w:rPr>
          <w:rFonts w:hint="eastAsia" w:ascii="仿宋_GB2312" w:hAnsi="仿宋_GB2312" w:eastAsia="仿宋_GB2312" w:cs="仿宋_GB2312"/>
          <w:b/>
          <w:bCs/>
          <w:color w:val="000000"/>
          <w:kern w:val="0"/>
          <w:szCs w:val="32"/>
          <w:highlight w:val="none"/>
          <w:shd w:val="clear" w:color="auto" w:fill="FFFFFF"/>
          <w:lang w:val="zh-CN" w:eastAsia="zh-CN"/>
        </w:rPr>
        <w:t>履职效能。</w:t>
      </w:r>
      <w:r>
        <w:rPr>
          <w:rFonts w:hint="default" w:ascii="Times New Roman" w:hAnsi="Times New Roman" w:eastAsia="仿宋_GB2312" w:cs="Times New Roman"/>
          <w:kern w:val="2"/>
          <w:sz w:val="32"/>
          <w:szCs w:val="32"/>
          <w:lang w:val="zh-CN" w:eastAsia="zh-CN" w:bidi="ar-SA"/>
        </w:rPr>
        <w:t>松潘县人力资源和社会保障局预算安排主要用于执行人社局总体运行工作，宣传政策方针以及完成上级交办的其他任务等；加强事业、工勤人员档案管理工作，提高档案管理水平、有效保护和利用档案，为全县各项工作服务；负责专业技术人员管理和继续教育；负责事业人员招聘、调配工作。</w:t>
      </w:r>
    </w:p>
    <w:p w14:paraId="0389F70C">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3" w:firstLineChars="200"/>
        <w:contextualSpacing/>
        <w:jc w:val="left"/>
        <w:textAlignment w:val="auto"/>
        <w:outlineLvl w:val="9"/>
        <w:rPr>
          <w:rFonts w:hint="default" w:ascii="Times New Roman" w:hAnsi="Times New Roman" w:eastAsia="仿宋_GB2312" w:cs="Times New Roman"/>
          <w:kern w:val="2"/>
          <w:sz w:val="32"/>
          <w:szCs w:val="32"/>
          <w:lang w:val="zh-CN" w:eastAsia="zh-CN" w:bidi="ar-SA"/>
        </w:rPr>
      </w:pPr>
      <w:r>
        <w:rPr>
          <w:rFonts w:hint="default" w:ascii="仿宋_GB2312" w:hAnsi="仿宋_GB2312" w:eastAsia="仿宋_GB2312" w:cs="仿宋_GB2312"/>
          <w:b/>
          <w:bCs/>
          <w:color w:val="000000"/>
          <w:kern w:val="0"/>
          <w:szCs w:val="32"/>
          <w:highlight w:val="none"/>
          <w:shd w:val="clear" w:color="auto" w:fill="FFFFFF"/>
          <w:lang w:val="en-US" w:eastAsia="zh-CN"/>
        </w:rPr>
        <w:t>2.</w:t>
      </w:r>
      <w:r>
        <w:rPr>
          <w:rFonts w:hint="default" w:ascii="仿宋_GB2312" w:hAnsi="仿宋_GB2312" w:eastAsia="仿宋_GB2312" w:cs="仿宋_GB2312"/>
          <w:b/>
          <w:bCs/>
          <w:color w:val="000000"/>
          <w:kern w:val="0"/>
          <w:szCs w:val="32"/>
          <w:highlight w:val="none"/>
          <w:shd w:val="clear" w:color="auto" w:fill="FFFFFF"/>
          <w:lang w:val="zh-CN" w:eastAsia="zh-CN"/>
        </w:rPr>
        <w:t>预算管理。</w:t>
      </w:r>
      <w:r>
        <w:rPr>
          <w:rFonts w:hint="default" w:ascii="Times New Roman" w:hAnsi="Times New Roman" w:eastAsia="仿宋_GB2312" w:cs="Times New Roman"/>
          <w:kern w:val="2"/>
          <w:sz w:val="32"/>
          <w:szCs w:val="32"/>
          <w:lang w:val="zh-CN" w:eastAsia="zh-CN" w:bidi="ar-SA"/>
        </w:rPr>
        <w:t>按照预算管理有关规定，目前部门预算的编制实行综合预算制度，即全部收入和支出都反映在预算中。本部门预算编制是由部门财务严格按照《预算法》的规定和财政部门预算股的要求，在</w:t>
      </w:r>
      <w:r>
        <w:rPr>
          <w:rFonts w:hint="eastAsia" w:cs="Times New Roman"/>
          <w:kern w:val="2"/>
          <w:sz w:val="32"/>
          <w:szCs w:val="32"/>
          <w:lang w:val="zh-CN" w:eastAsia="zh-CN" w:bidi="ar-SA"/>
        </w:rPr>
        <w:t>既</w:t>
      </w:r>
      <w:r>
        <w:rPr>
          <w:rFonts w:hint="default" w:ascii="Times New Roman" w:hAnsi="Times New Roman" w:eastAsia="仿宋_GB2312" w:cs="Times New Roman"/>
          <w:kern w:val="2"/>
          <w:sz w:val="32"/>
          <w:szCs w:val="32"/>
          <w:lang w:val="zh-CN" w:eastAsia="zh-CN" w:bidi="ar-SA"/>
        </w:rPr>
        <w:t>能保证本部门日常业务工作顺利开展的需要，又不浪费资金的前提下，合理编制出本部门的年度预算。</w:t>
      </w:r>
    </w:p>
    <w:p w14:paraId="0BD4EBB2">
      <w:pPr>
        <w:keepNext w:val="0"/>
        <w:keepLines w:val="0"/>
        <w:pageBreakBefore w:val="0"/>
        <w:numPr>
          <w:ilvl w:val="0"/>
          <w:numId w:val="0"/>
        </w:numPr>
        <w:kinsoku/>
        <w:wordWrap/>
        <w:overflowPunct/>
        <w:topLinePunct w:val="0"/>
        <w:autoSpaceDE/>
        <w:autoSpaceDN/>
        <w:bidi w:val="0"/>
        <w:spacing w:line="576" w:lineRule="exact"/>
        <w:ind w:firstLine="643" w:firstLineChars="200"/>
        <w:textAlignment w:val="auto"/>
        <w:rPr>
          <w:rFonts w:hint="default" w:ascii="Times New Roman" w:hAnsi="Times New Roman" w:eastAsia="仿宋_GB2312" w:cs="Times New Roman"/>
          <w:kern w:val="2"/>
          <w:sz w:val="32"/>
          <w:szCs w:val="32"/>
          <w:lang w:val="zh-CN" w:eastAsia="zh-CN" w:bidi="ar-SA"/>
        </w:rPr>
      </w:pPr>
      <w:r>
        <w:rPr>
          <w:rFonts w:hint="default" w:ascii="仿宋_GB2312" w:hAnsi="仿宋_GB2312" w:eastAsia="仿宋_GB2312" w:cs="仿宋_GB2312"/>
          <w:b/>
          <w:bCs/>
          <w:color w:val="000000"/>
          <w:kern w:val="0"/>
          <w:szCs w:val="32"/>
          <w:highlight w:val="none"/>
          <w:shd w:val="clear" w:color="auto" w:fill="FFFFFF"/>
          <w:lang w:val="en-US" w:eastAsia="zh-CN"/>
        </w:rPr>
        <w:t>3.</w:t>
      </w:r>
      <w:r>
        <w:rPr>
          <w:rFonts w:hint="default" w:ascii="仿宋_GB2312" w:hAnsi="仿宋_GB2312" w:eastAsia="仿宋_GB2312" w:cs="仿宋_GB2312"/>
          <w:b/>
          <w:bCs/>
          <w:color w:val="000000"/>
          <w:kern w:val="0"/>
          <w:szCs w:val="32"/>
          <w:highlight w:val="none"/>
          <w:shd w:val="clear" w:color="auto" w:fill="FFFFFF"/>
          <w:lang w:val="zh-CN" w:eastAsia="zh-CN"/>
        </w:rPr>
        <w:t>财务管理。</w:t>
      </w:r>
      <w:r>
        <w:rPr>
          <w:rFonts w:hint="default" w:ascii="Times New Roman" w:hAnsi="Times New Roman" w:eastAsia="仿宋_GB2312" w:cs="Times New Roman"/>
          <w:sz w:val="32"/>
          <w:szCs w:val="32"/>
        </w:rPr>
        <w:t>完</w:t>
      </w:r>
      <w:r>
        <w:rPr>
          <w:rFonts w:hint="default" w:ascii="Times New Roman" w:hAnsi="Times New Roman" w:eastAsia="仿宋_GB2312" w:cs="Times New Roman"/>
          <w:kern w:val="2"/>
          <w:sz w:val="32"/>
          <w:szCs w:val="32"/>
          <w:lang w:val="zh-CN" w:eastAsia="zh-CN" w:bidi="ar-SA"/>
        </w:rPr>
        <w:t>善和健全了各类规章制度和内控制度，严格按</w:t>
      </w:r>
      <w:r>
        <w:rPr>
          <w:rFonts w:hint="default" w:ascii="Times New Roman" w:hAnsi="Times New Roman" w:cs="Times New Roman"/>
          <w:kern w:val="2"/>
          <w:sz w:val="32"/>
          <w:szCs w:val="32"/>
          <w:lang w:val="zh-CN" w:eastAsia="zh-CN" w:bidi="ar-SA"/>
        </w:rPr>
        <w:t>照</w:t>
      </w:r>
      <w:r>
        <w:rPr>
          <w:rFonts w:hint="default" w:ascii="Times New Roman" w:hAnsi="Times New Roman" w:eastAsia="仿宋_GB2312" w:cs="Times New Roman"/>
          <w:kern w:val="2"/>
          <w:sz w:val="32"/>
          <w:szCs w:val="32"/>
          <w:lang w:val="zh-CN" w:eastAsia="zh-CN" w:bidi="ar-SA"/>
        </w:rPr>
        <w:t>财政部门监管要求规范预算执行</w:t>
      </w:r>
      <w:r>
        <w:rPr>
          <w:rFonts w:hint="default" w:ascii="Times New Roman" w:hAnsi="Times New Roman" w:cs="Times New Roman"/>
          <w:kern w:val="2"/>
          <w:sz w:val="32"/>
          <w:szCs w:val="32"/>
          <w:lang w:val="zh-CN" w:eastAsia="zh-CN" w:bidi="ar-SA"/>
        </w:rPr>
        <w:t>，</w:t>
      </w:r>
      <w:r>
        <w:rPr>
          <w:rFonts w:hint="default" w:ascii="Times New Roman" w:hAnsi="Times New Roman" w:eastAsia="仿宋_GB2312" w:cs="Times New Roman"/>
          <w:kern w:val="2"/>
          <w:sz w:val="32"/>
          <w:szCs w:val="32"/>
          <w:lang w:val="zh-CN" w:eastAsia="zh-CN" w:bidi="ar-SA"/>
        </w:rPr>
        <w:t>规范财政资金支付管理，逐月逐笔核对银行存款收支明细信息，确保账户资金明确</w:t>
      </w:r>
      <w:r>
        <w:rPr>
          <w:rFonts w:hint="eastAsia" w:cs="Times New Roman"/>
          <w:kern w:val="2"/>
          <w:sz w:val="32"/>
          <w:szCs w:val="32"/>
          <w:lang w:val="zh-CN" w:eastAsia="zh-CN" w:bidi="ar-SA"/>
        </w:rPr>
        <w:t>清晰</w:t>
      </w:r>
      <w:r>
        <w:rPr>
          <w:rFonts w:hint="default" w:ascii="Times New Roman" w:hAnsi="Times New Roman" w:eastAsia="仿宋_GB2312" w:cs="Times New Roman"/>
          <w:kern w:val="2"/>
          <w:sz w:val="32"/>
          <w:szCs w:val="32"/>
          <w:lang w:val="zh-CN" w:eastAsia="zh-CN" w:bidi="ar-SA"/>
        </w:rPr>
        <w:t>；完善会计管理制度，建立岗位分离制度，同时按规定建立会计账册、设置会计科目，依法依规进行会计核算，确保会计信息合法性、真实性和完整性，做到账证、账账、账表和账实相符；同时加强内控</w:t>
      </w:r>
      <w:r>
        <w:rPr>
          <w:rFonts w:hint="eastAsia" w:cs="Times New Roman"/>
          <w:kern w:val="2"/>
          <w:sz w:val="32"/>
          <w:szCs w:val="32"/>
          <w:lang w:val="zh-CN" w:eastAsia="zh-CN" w:bidi="ar-SA"/>
        </w:rPr>
        <w:t>管</w:t>
      </w:r>
      <w:r>
        <w:rPr>
          <w:rFonts w:hint="default" w:ascii="Times New Roman" w:hAnsi="Times New Roman" w:eastAsia="仿宋_GB2312" w:cs="Times New Roman"/>
          <w:kern w:val="2"/>
          <w:sz w:val="32"/>
          <w:szCs w:val="32"/>
          <w:lang w:val="zh-CN" w:eastAsia="zh-CN" w:bidi="ar-SA"/>
        </w:rPr>
        <w:t>理，开展内控自我评价工作</w:t>
      </w:r>
      <w:r>
        <w:rPr>
          <w:rFonts w:hint="eastAsia" w:cs="Times New Roman"/>
          <w:kern w:val="2"/>
          <w:sz w:val="32"/>
          <w:szCs w:val="32"/>
          <w:lang w:val="en-US" w:eastAsia="zh-CN" w:bidi="ar-SA"/>
        </w:rPr>
        <w:t>。</w:t>
      </w:r>
      <w:r>
        <w:rPr>
          <w:rFonts w:hint="default" w:ascii="Times New Roman" w:hAnsi="Times New Roman" w:eastAsia="仿宋_GB2312" w:cs="Times New Roman"/>
          <w:kern w:val="2"/>
          <w:sz w:val="32"/>
          <w:szCs w:val="32"/>
          <w:lang w:val="zh-CN" w:eastAsia="zh-CN" w:bidi="ar-SA"/>
        </w:rPr>
        <w:t>同时加大账户和存量资金的清理，决算</w:t>
      </w:r>
      <w:r>
        <w:rPr>
          <w:rFonts w:hint="eastAsia" w:cs="Times New Roman"/>
          <w:kern w:val="2"/>
          <w:sz w:val="32"/>
          <w:szCs w:val="32"/>
          <w:lang w:val="zh-CN" w:eastAsia="zh-CN" w:bidi="ar-SA"/>
        </w:rPr>
        <w:t>管理</w:t>
      </w:r>
      <w:r>
        <w:rPr>
          <w:rFonts w:hint="default" w:ascii="Times New Roman" w:hAnsi="Times New Roman" w:eastAsia="仿宋_GB2312" w:cs="Times New Roman"/>
          <w:kern w:val="2"/>
          <w:sz w:val="32"/>
          <w:szCs w:val="32"/>
          <w:lang w:val="zh-CN" w:eastAsia="zh-CN" w:bidi="ar-SA"/>
        </w:rPr>
        <w:t>部门决算编制要求将单位所有收支和结余结转情况进行全面</w:t>
      </w:r>
      <w:r>
        <w:rPr>
          <w:rFonts w:hint="eastAsia" w:cs="Times New Roman"/>
          <w:kern w:val="2"/>
          <w:sz w:val="32"/>
          <w:szCs w:val="32"/>
          <w:lang w:val="zh-CN" w:eastAsia="zh-CN" w:bidi="ar-SA"/>
        </w:rPr>
        <w:t>反映</w:t>
      </w:r>
      <w:r>
        <w:rPr>
          <w:rFonts w:hint="default" w:ascii="Times New Roman" w:hAnsi="Times New Roman" w:eastAsia="仿宋_GB2312" w:cs="Times New Roman"/>
          <w:kern w:val="2"/>
          <w:sz w:val="32"/>
          <w:szCs w:val="32"/>
          <w:lang w:val="zh-CN" w:eastAsia="zh-CN" w:bidi="ar-SA"/>
        </w:rPr>
        <w:t>。</w:t>
      </w:r>
    </w:p>
    <w:p w14:paraId="632DFD2B">
      <w:pPr>
        <w:keepNext w:val="0"/>
        <w:keepLines w:val="0"/>
        <w:pageBreakBefore w:val="0"/>
        <w:numPr>
          <w:ilvl w:val="0"/>
          <w:numId w:val="0"/>
        </w:numPr>
        <w:kinsoku/>
        <w:wordWrap/>
        <w:overflowPunct/>
        <w:topLinePunct w:val="0"/>
        <w:autoSpaceDE/>
        <w:autoSpaceDN/>
        <w:bidi w:val="0"/>
        <w:spacing w:line="576" w:lineRule="exact"/>
        <w:ind w:firstLine="643" w:firstLineChars="200"/>
        <w:textAlignment w:val="auto"/>
        <w:rPr>
          <w:rFonts w:hint="default" w:ascii="Times New Roman" w:hAnsi="Times New Roman" w:eastAsia="仿宋_GB2312" w:cs="Times New Roman"/>
          <w:kern w:val="2"/>
          <w:sz w:val="32"/>
          <w:szCs w:val="32"/>
          <w:lang w:val="zh-CN" w:eastAsia="zh-CN" w:bidi="ar-SA"/>
        </w:rPr>
      </w:pPr>
      <w:r>
        <w:rPr>
          <w:rFonts w:hint="default" w:ascii="仿宋_GB2312" w:hAnsi="仿宋_GB2312" w:eastAsia="仿宋_GB2312" w:cs="仿宋_GB2312"/>
          <w:b/>
          <w:bCs/>
          <w:color w:val="000000"/>
          <w:kern w:val="0"/>
          <w:szCs w:val="32"/>
          <w:highlight w:val="none"/>
          <w:shd w:val="clear" w:color="auto" w:fill="FFFFFF"/>
          <w:lang w:val="en-US" w:eastAsia="zh-CN"/>
        </w:rPr>
        <w:t>4.</w:t>
      </w:r>
      <w:r>
        <w:rPr>
          <w:rFonts w:hint="default" w:ascii="仿宋_GB2312" w:hAnsi="仿宋_GB2312" w:eastAsia="仿宋_GB2312" w:cs="仿宋_GB2312"/>
          <w:b/>
          <w:bCs/>
          <w:color w:val="000000"/>
          <w:kern w:val="0"/>
          <w:szCs w:val="32"/>
          <w:highlight w:val="none"/>
          <w:shd w:val="clear" w:color="auto" w:fill="FFFFFF"/>
          <w:lang w:val="zh-CN" w:eastAsia="zh-CN"/>
        </w:rPr>
        <w:t>资产管理。</w:t>
      </w:r>
      <w:r>
        <w:rPr>
          <w:rFonts w:hint="default" w:ascii="Times New Roman" w:hAnsi="Times New Roman" w:eastAsia="仿宋_GB2312" w:cs="Times New Roman"/>
          <w:kern w:val="2"/>
          <w:sz w:val="32"/>
          <w:szCs w:val="32"/>
          <w:lang w:val="zh-CN" w:eastAsia="zh-CN" w:bidi="ar-SA"/>
        </w:rPr>
        <w:t>2023年度，我</w:t>
      </w:r>
      <w:r>
        <w:rPr>
          <w:rFonts w:hint="default" w:ascii="Times New Roman" w:hAnsi="Times New Roman" w:cs="Times New Roman"/>
          <w:kern w:val="2"/>
          <w:sz w:val="32"/>
          <w:szCs w:val="32"/>
          <w:lang w:val="zh-CN" w:eastAsia="zh-CN" w:bidi="ar-SA"/>
        </w:rPr>
        <w:t>单位固定资产</w:t>
      </w:r>
      <w:r>
        <w:rPr>
          <w:rFonts w:hint="default" w:ascii="Times New Roman" w:hAnsi="Times New Roman" w:eastAsia="仿宋_GB2312" w:cs="Times New Roman"/>
          <w:kern w:val="2"/>
          <w:sz w:val="32"/>
          <w:szCs w:val="32"/>
          <w:lang w:val="zh-CN" w:eastAsia="zh-CN" w:bidi="ar-SA"/>
        </w:rPr>
        <w:t>是</w:t>
      </w:r>
      <w:r>
        <w:rPr>
          <w:rFonts w:hint="default" w:ascii="Times New Roman" w:hAnsi="Times New Roman" w:cs="Times New Roman"/>
          <w:kern w:val="2"/>
          <w:sz w:val="32"/>
          <w:szCs w:val="32"/>
          <w:lang w:val="en-US" w:eastAsia="zh-CN" w:bidi="ar-SA"/>
        </w:rPr>
        <w:t>501.66万元，无形资产16.79万元</w:t>
      </w:r>
      <w:r>
        <w:rPr>
          <w:rFonts w:hint="default" w:ascii="Times New Roman" w:hAnsi="Times New Roman" w:eastAsia="仿宋_GB2312" w:cs="Times New Roman"/>
          <w:kern w:val="2"/>
          <w:sz w:val="32"/>
          <w:szCs w:val="32"/>
          <w:lang w:val="zh-CN" w:eastAsia="zh-CN" w:bidi="ar-SA"/>
        </w:rPr>
        <w:t>，比</w:t>
      </w:r>
      <w:r>
        <w:rPr>
          <w:rFonts w:hint="default" w:ascii="Times New Roman" w:hAnsi="Times New Roman" w:eastAsia="仿宋_GB2312" w:cs="Times New Roman"/>
          <w:kern w:val="2"/>
          <w:sz w:val="32"/>
          <w:szCs w:val="32"/>
          <w:lang w:val="en-US" w:eastAsia="zh-CN" w:bidi="ar-SA"/>
        </w:rPr>
        <w:t>2022年资产</w:t>
      </w:r>
      <w:r>
        <w:rPr>
          <w:rFonts w:hint="default" w:ascii="Times New Roman" w:hAnsi="Times New Roman" w:cs="Times New Roman"/>
          <w:kern w:val="2"/>
          <w:sz w:val="32"/>
          <w:szCs w:val="32"/>
          <w:lang w:val="en-US" w:eastAsia="zh-CN" w:bidi="ar-SA"/>
        </w:rPr>
        <w:t>总额600.16万</w:t>
      </w:r>
      <w:r>
        <w:rPr>
          <w:rFonts w:hint="default" w:ascii="Times New Roman" w:hAnsi="Times New Roman" w:eastAsia="仿宋_GB2312" w:cs="Times New Roman"/>
          <w:kern w:val="2"/>
          <w:sz w:val="32"/>
          <w:szCs w:val="32"/>
          <w:lang w:val="en-US" w:eastAsia="zh-CN" w:bidi="ar-SA"/>
        </w:rPr>
        <w:t>元减少</w:t>
      </w:r>
      <w:r>
        <w:rPr>
          <w:rFonts w:hint="default" w:ascii="Times New Roman" w:hAnsi="Times New Roman" w:cs="Times New Roman"/>
          <w:kern w:val="2"/>
          <w:sz w:val="32"/>
          <w:szCs w:val="32"/>
          <w:lang w:val="en-US" w:eastAsia="zh-CN" w:bidi="ar-SA"/>
        </w:rPr>
        <w:t>98.5万</w:t>
      </w:r>
      <w:r>
        <w:rPr>
          <w:rFonts w:hint="default" w:ascii="Times New Roman" w:hAnsi="Times New Roman" w:eastAsia="仿宋_GB2312" w:cs="Times New Roman"/>
          <w:kern w:val="2"/>
          <w:sz w:val="32"/>
          <w:szCs w:val="32"/>
          <w:lang w:val="en-US" w:eastAsia="zh-CN" w:bidi="ar-SA"/>
        </w:rPr>
        <w:t>元，原因是2023年11月县财政局对我单位</w:t>
      </w:r>
      <w:r>
        <w:rPr>
          <w:rFonts w:hint="default" w:ascii="Times New Roman" w:hAnsi="Times New Roman" w:cs="Times New Roman"/>
          <w:kern w:val="2"/>
          <w:sz w:val="32"/>
          <w:szCs w:val="32"/>
          <w:lang w:val="en-US" w:eastAsia="zh-CN" w:bidi="ar-SA"/>
        </w:rPr>
        <w:t>盘亏</w:t>
      </w:r>
      <w:r>
        <w:rPr>
          <w:rFonts w:hint="default" w:ascii="Times New Roman" w:hAnsi="Times New Roman" w:eastAsia="仿宋_GB2312" w:cs="Times New Roman"/>
          <w:kern w:val="2"/>
          <w:sz w:val="32"/>
          <w:szCs w:val="32"/>
          <w:lang w:val="en-US" w:eastAsia="zh-CN" w:bidi="ar-SA"/>
        </w:rPr>
        <w:t>资产进行了核销</w:t>
      </w:r>
      <w:r>
        <w:rPr>
          <w:rFonts w:hint="default" w:ascii="Times New Roman" w:hAnsi="Times New Roman" w:cs="Times New Roman"/>
          <w:kern w:val="2"/>
          <w:sz w:val="32"/>
          <w:szCs w:val="32"/>
          <w:lang w:val="en-US" w:eastAsia="zh-CN" w:bidi="ar-SA"/>
        </w:rPr>
        <w:t>。</w:t>
      </w:r>
      <w:r>
        <w:rPr>
          <w:rFonts w:hint="default" w:ascii="Times New Roman" w:hAnsi="Times New Roman" w:eastAsia="仿宋_GB2312" w:cs="Times New Roman"/>
          <w:kern w:val="2"/>
          <w:sz w:val="32"/>
          <w:szCs w:val="32"/>
          <w:lang w:val="zh-CN" w:eastAsia="zh-CN" w:bidi="ar-SA"/>
        </w:rPr>
        <w:t>我单位认真贯彻落实《行政事业性国有资产管理条例》，建立健全资产管理制度，合理配备并节约、有效使用资产提高资产使用效率，保障资产的安全和完整。管理和使用中坚持物尽其用原则，坚持统一政策、统一领导、分级管理、职责到人的原则。对资产管理进行指导和监督，对纳入政府采购范围的资产进行统一购置。通过资产管理软件严格管理资产卡片，包括卡片的增加、删除、查询、打印、汇总等。正确、全面、及时地记录资产的增加、减少、使用等状况，保护资产安全完整。真实地反映和监督资产的增减变动和实际状况，建立健全了资产账簿体系。</w:t>
      </w:r>
    </w:p>
    <w:p w14:paraId="15F1A1E0">
      <w:pPr>
        <w:keepNext w:val="0"/>
        <w:keepLines w:val="0"/>
        <w:pageBreakBefore w:val="0"/>
        <w:numPr>
          <w:ilvl w:val="0"/>
          <w:numId w:val="0"/>
        </w:numPr>
        <w:kinsoku/>
        <w:wordWrap/>
        <w:overflowPunct/>
        <w:topLinePunct w:val="0"/>
        <w:autoSpaceDE/>
        <w:autoSpaceDN/>
        <w:bidi w:val="0"/>
        <w:spacing w:line="576" w:lineRule="exact"/>
        <w:ind w:firstLine="643" w:firstLineChars="200"/>
        <w:textAlignment w:val="auto"/>
        <w:rPr>
          <w:rFonts w:hint="default" w:ascii="Times New Roman" w:hAnsi="Times New Roman" w:eastAsia="仿宋_GB2312" w:cs="Times New Roman"/>
          <w:kern w:val="2"/>
          <w:sz w:val="32"/>
          <w:szCs w:val="32"/>
          <w:lang w:val="zh-CN" w:eastAsia="zh-CN" w:bidi="ar-SA"/>
        </w:rPr>
      </w:pPr>
      <w:r>
        <w:rPr>
          <w:rFonts w:hint="eastAsia" w:ascii="仿宋_GB2312" w:hAnsi="仿宋_GB2312" w:eastAsia="仿宋_GB2312" w:cs="仿宋_GB2312"/>
          <w:b/>
          <w:bCs/>
          <w:color w:val="000000"/>
          <w:kern w:val="0"/>
          <w:szCs w:val="32"/>
          <w:highlight w:val="none"/>
          <w:shd w:val="clear" w:color="auto" w:fill="FFFFFF"/>
          <w:lang w:val="en-US" w:eastAsia="zh-CN"/>
        </w:rPr>
        <w:t>5.</w:t>
      </w:r>
      <w:r>
        <w:rPr>
          <w:rFonts w:hint="eastAsia" w:ascii="仿宋_GB2312" w:hAnsi="仿宋_GB2312" w:eastAsia="仿宋_GB2312" w:cs="仿宋_GB2312"/>
          <w:b/>
          <w:bCs/>
          <w:color w:val="000000"/>
          <w:kern w:val="0"/>
          <w:szCs w:val="32"/>
          <w:highlight w:val="none"/>
          <w:shd w:val="clear" w:color="auto" w:fill="FFFFFF"/>
          <w:lang w:val="zh-CN"/>
        </w:rPr>
        <w:t>采购管理。</w:t>
      </w:r>
      <w:r>
        <w:rPr>
          <w:rFonts w:hint="default" w:ascii="Times New Roman" w:hAnsi="Times New Roman" w:eastAsia="仿宋_GB2312" w:cs="Times New Roman"/>
          <w:kern w:val="2"/>
          <w:sz w:val="32"/>
          <w:szCs w:val="32"/>
          <w:lang w:val="zh-CN" w:eastAsia="zh-CN" w:bidi="ar-SA"/>
        </w:rPr>
        <w:t>本单位编制政府采购预算、落实政府采购政策、委托采购代理机构、确定采购需求、确定政府采购方式、委派监督人员和采购人代表、确定中标</w:t>
      </w:r>
      <w:r>
        <w:rPr>
          <w:rFonts w:hint="eastAsia" w:cs="Times New Roman"/>
          <w:kern w:val="2"/>
          <w:sz w:val="32"/>
          <w:szCs w:val="32"/>
          <w:lang w:val="zh-CN" w:eastAsia="zh-CN" w:bidi="ar-SA"/>
        </w:rPr>
        <w:t>，</w:t>
      </w:r>
      <w:r>
        <w:rPr>
          <w:rFonts w:hint="default" w:ascii="Times New Roman" w:hAnsi="Times New Roman" w:eastAsia="仿宋_GB2312" w:cs="Times New Roman"/>
          <w:kern w:val="2"/>
          <w:sz w:val="32"/>
          <w:szCs w:val="32"/>
          <w:lang w:val="zh-CN" w:eastAsia="zh-CN" w:bidi="ar-SA"/>
        </w:rPr>
        <w:t>成交供应商、合同签订</w:t>
      </w:r>
      <w:r>
        <w:rPr>
          <w:rFonts w:hint="eastAsia" w:cs="Times New Roman"/>
          <w:kern w:val="2"/>
          <w:sz w:val="32"/>
          <w:szCs w:val="32"/>
          <w:lang w:val="zh-CN" w:eastAsia="zh-CN" w:bidi="ar-SA"/>
        </w:rPr>
        <w:t>，</w:t>
      </w:r>
      <w:r>
        <w:rPr>
          <w:rFonts w:hint="default" w:ascii="Times New Roman" w:hAnsi="Times New Roman" w:eastAsia="仿宋_GB2312" w:cs="Times New Roman"/>
          <w:kern w:val="2"/>
          <w:sz w:val="32"/>
          <w:szCs w:val="32"/>
          <w:lang w:val="zh-CN" w:eastAsia="zh-CN" w:bidi="ar-SA"/>
        </w:rPr>
        <w:t>公告</w:t>
      </w:r>
      <w:r>
        <w:rPr>
          <w:rFonts w:hint="eastAsia" w:cs="Times New Roman"/>
          <w:kern w:val="2"/>
          <w:sz w:val="32"/>
          <w:szCs w:val="32"/>
          <w:lang w:val="zh-CN" w:eastAsia="zh-CN" w:bidi="ar-SA"/>
        </w:rPr>
        <w:t>，</w:t>
      </w:r>
      <w:r>
        <w:rPr>
          <w:rFonts w:hint="default" w:ascii="Times New Roman" w:hAnsi="Times New Roman" w:eastAsia="仿宋_GB2312" w:cs="Times New Roman"/>
          <w:kern w:val="2"/>
          <w:sz w:val="32"/>
          <w:szCs w:val="32"/>
          <w:lang w:val="zh-CN" w:eastAsia="zh-CN" w:bidi="ar-SA"/>
        </w:rPr>
        <w:t>备案</w:t>
      </w:r>
      <w:r>
        <w:rPr>
          <w:rFonts w:hint="eastAsia" w:cs="Times New Roman"/>
          <w:kern w:val="2"/>
          <w:sz w:val="32"/>
          <w:szCs w:val="32"/>
          <w:lang w:val="zh-CN" w:eastAsia="zh-CN" w:bidi="ar-SA"/>
        </w:rPr>
        <w:t>，</w:t>
      </w:r>
      <w:r>
        <w:rPr>
          <w:rFonts w:hint="default" w:ascii="Times New Roman" w:hAnsi="Times New Roman" w:eastAsia="仿宋_GB2312" w:cs="Times New Roman"/>
          <w:kern w:val="2"/>
          <w:sz w:val="32"/>
          <w:szCs w:val="32"/>
          <w:lang w:val="zh-CN" w:eastAsia="zh-CN" w:bidi="ar-SA"/>
        </w:rPr>
        <w:t>变更</w:t>
      </w:r>
      <w:r>
        <w:rPr>
          <w:rFonts w:hint="eastAsia" w:cs="Times New Roman"/>
          <w:kern w:val="2"/>
          <w:sz w:val="32"/>
          <w:szCs w:val="32"/>
          <w:lang w:val="zh-CN" w:eastAsia="zh-CN" w:bidi="ar-SA"/>
        </w:rPr>
        <w:t>，</w:t>
      </w:r>
      <w:r>
        <w:rPr>
          <w:rFonts w:hint="default" w:ascii="Times New Roman" w:hAnsi="Times New Roman" w:eastAsia="仿宋_GB2312" w:cs="Times New Roman"/>
          <w:kern w:val="2"/>
          <w:sz w:val="32"/>
          <w:szCs w:val="32"/>
          <w:lang w:val="zh-CN" w:eastAsia="zh-CN" w:bidi="ar-SA"/>
        </w:rPr>
        <w:t>中止</w:t>
      </w:r>
      <w:r>
        <w:rPr>
          <w:rFonts w:hint="eastAsia" w:cs="Times New Roman"/>
          <w:kern w:val="2"/>
          <w:sz w:val="32"/>
          <w:szCs w:val="32"/>
          <w:lang w:val="zh-CN" w:eastAsia="zh-CN" w:bidi="ar-SA"/>
        </w:rPr>
        <w:t>，</w:t>
      </w:r>
      <w:r>
        <w:rPr>
          <w:rFonts w:hint="default" w:ascii="Times New Roman" w:hAnsi="Times New Roman" w:eastAsia="仿宋_GB2312" w:cs="Times New Roman"/>
          <w:kern w:val="2"/>
          <w:sz w:val="32"/>
          <w:szCs w:val="32"/>
          <w:lang w:val="zh-CN" w:eastAsia="zh-CN" w:bidi="ar-SA"/>
        </w:rPr>
        <w:t>终止、履约验收和资金支付、采购信息公开、管理等采购人主要责任清单均有制度可依。单位采购内部控制制度健全</w:t>
      </w:r>
      <w:r>
        <w:rPr>
          <w:rFonts w:hint="eastAsia" w:cs="Times New Roman"/>
          <w:kern w:val="2"/>
          <w:sz w:val="32"/>
          <w:szCs w:val="32"/>
          <w:lang w:val="zh-CN" w:eastAsia="zh-CN" w:bidi="ar-SA"/>
        </w:rPr>
        <w:t>，</w:t>
      </w:r>
      <w:r>
        <w:rPr>
          <w:rFonts w:hint="default" w:ascii="Times New Roman" w:hAnsi="Times New Roman" w:eastAsia="仿宋_GB2312" w:cs="Times New Roman"/>
          <w:kern w:val="2"/>
          <w:sz w:val="32"/>
          <w:szCs w:val="32"/>
          <w:lang w:val="zh-CN" w:eastAsia="zh-CN" w:bidi="ar-SA"/>
        </w:rPr>
        <w:t>采购程序均按要求进行</w:t>
      </w:r>
      <w:r>
        <w:rPr>
          <w:rFonts w:hint="eastAsia" w:cs="Times New Roman"/>
          <w:kern w:val="2"/>
          <w:sz w:val="32"/>
          <w:szCs w:val="32"/>
          <w:lang w:val="zh-CN" w:eastAsia="zh-CN" w:bidi="ar-SA"/>
        </w:rPr>
        <w:t>，</w:t>
      </w:r>
      <w:r>
        <w:rPr>
          <w:rFonts w:hint="default" w:ascii="Times New Roman" w:hAnsi="Times New Roman" w:eastAsia="仿宋_GB2312" w:cs="Times New Roman"/>
          <w:kern w:val="2"/>
          <w:sz w:val="32"/>
          <w:szCs w:val="32"/>
          <w:lang w:val="zh-CN" w:eastAsia="zh-CN" w:bidi="ar-SA"/>
        </w:rPr>
        <w:t>合同签订、公告、备案等均按采购法要求时限完成</w:t>
      </w:r>
      <w:r>
        <w:rPr>
          <w:rFonts w:hint="eastAsia" w:cs="Times New Roman"/>
          <w:kern w:val="2"/>
          <w:sz w:val="32"/>
          <w:szCs w:val="32"/>
          <w:lang w:val="zh-CN" w:eastAsia="zh-CN" w:bidi="ar-SA"/>
        </w:rPr>
        <w:t>，</w:t>
      </w:r>
      <w:r>
        <w:rPr>
          <w:rFonts w:hint="default" w:ascii="Times New Roman" w:hAnsi="Times New Roman" w:eastAsia="仿宋_GB2312" w:cs="Times New Roman"/>
          <w:kern w:val="2"/>
          <w:sz w:val="32"/>
          <w:szCs w:val="32"/>
          <w:lang w:val="zh-CN" w:eastAsia="zh-CN" w:bidi="ar-SA"/>
        </w:rPr>
        <w:t>采购项目按要求编目入库</w:t>
      </w:r>
      <w:r>
        <w:rPr>
          <w:rFonts w:hint="eastAsia" w:cs="Times New Roman"/>
          <w:kern w:val="2"/>
          <w:sz w:val="32"/>
          <w:szCs w:val="32"/>
          <w:lang w:val="zh-CN" w:eastAsia="zh-CN" w:bidi="ar-SA"/>
        </w:rPr>
        <w:t>，</w:t>
      </w:r>
      <w:r>
        <w:rPr>
          <w:rFonts w:hint="default" w:ascii="Times New Roman" w:hAnsi="Times New Roman" w:eastAsia="仿宋_GB2312" w:cs="Times New Roman"/>
          <w:kern w:val="2"/>
          <w:sz w:val="32"/>
          <w:szCs w:val="32"/>
          <w:lang w:val="zh-CN" w:eastAsia="zh-CN" w:bidi="ar-SA"/>
        </w:rPr>
        <w:t>管理规范。</w:t>
      </w:r>
    </w:p>
    <w:p w14:paraId="7FE80267">
      <w:pPr>
        <w:keepNext w:val="0"/>
        <w:keepLines w:val="0"/>
        <w:pageBreakBefore w:val="0"/>
        <w:widowControl/>
        <w:kinsoku/>
        <w:wordWrap/>
        <w:overflowPunct/>
        <w:topLinePunct w:val="0"/>
        <w:autoSpaceDE/>
        <w:autoSpaceDN/>
        <w:bidi w:val="0"/>
        <w:adjustRightInd w:val="0"/>
        <w:snapToGrid w:val="0"/>
        <w:spacing w:line="576" w:lineRule="exact"/>
        <w:ind w:firstLine="643" w:firstLineChars="200"/>
        <w:contextualSpacing/>
        <w:jc w:val="left"/>
        <w:textAlignment w:val="auto"/>
        <w:outlineLvl w:val="9"/>
        <w:rPr>
          <w:rFonts w:hint="default" w:ascii="Times New Roman" w:hAnsi="Times New Roman" w:cs="Times New Roman"/>
          <w:color w:val="000000"/>
          <w:kern w:val="0"/>
          <w:szCs w:val="32"/>
          <w:highlight w:val="none"/>
          <w:shd w:val="clear" w:color="auto" w:fill="FFFFFF"/>
          <w:lang w:val="en-US" w:eastAsia="zh-CN"/>
        </w:rPr>
      </w:pPr>
      <w:r>
        <w:rPr>
          <w:rFonts w:hint="default" w:ascii="Times New Roman" w:hAnsi="Times New Roman" w:eastAsia="楷体_GB2312" w:cs="Times New Roman"/>
          <w:b/>
          <w:bCs/>
          <w:color w:val="000000"/>
          <w:kern w:val="0"/>
          <w:szCs w:val="32"/>
          <w:highlight w:val="none"/>
          <w:shd w:val="clear" w:color="auto" w:fill="FFFFFF"/>
          <w:lang w:val="zh-CN"/>
        </w:rPr>
        <w:t>（二）部门预算项目绩效分析。</w:t>
      </w:r>
    </w:p>
    <w:p w14:paraId="415DE13B">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cs="Times New Roman"/>
          <w:color w:val="000000"/>
          <w:kern w:val="0"/>
          <w:szCs w:val="32"/>
          <w:highlight w:val="none"/>
          <w:shd w:val="clear" w:color="auto" w:fill="FFFFFF"/>
          <w:lang w:val="zh-CN" w:eastAsia="zh-CN"/>
        </w:rPr>
      </w:pPr>
      <w:r>
        <w:rPr>
          <w:rFonts w:hint="default" w:ascii="Times New Roman" w:hAnsi="Times New Roman" w:cs="Times New Roman"/>
          <w:color w:val="000000"/>
          <w:kern w:val="0"/>
          <w:szCs w:val="32"/>
          <w:highlight w:val="none"/>
          <w:shd w:val="clear" w:color="auto" w:fill="FFFFFF"/>
          <w:lang w:val="en-US" w:eastAsia="zh-CN"/>
        </w:rPr>
        <w:t>常年项目绩效分析。</w:t>
      </w:r>
      <w:r>
        <w:rPr>
          <w:rFonts w:hint="default" w:ascii="Times New Roman" w:hAnsi="Times New Roman" w:cs="Times New Roman"/>
          <w:color w:val="000000"/>
          <w:kern w:val="0"/>
          <w:szCs w:val="32"/>
          <w:highlight w:val="none"/>
          <w:shd w:val="clear" w:color="auto" w:fill="FFFFFF"/>
          <w:lang w:val="zh-CN" w:eastAsia="zh-CN"/>
        </w:rPr>
        <w:t>该类项目总数</w:t>
      </w:r>
      <w:r>
        <w:rPr>
          <w:rFonts w:hint="default" w:ascii="Times New Roman" w:hAnsi="Times New Roman" w:cs="Times New Roman"/>
          <w:color w:val="000000"/>
          <w:kern w:val="0"/>
          <w:szCs w:val="32"/>
          <w:highlight w:val="none"/>
          <w:shd w:val="clear" w:color="auto" w:fill="FFFFFF"/>
          <w:lang w:val="en-US" w:eastAsia="zh-CN"/>
        </w:rPr>
        <w:t>8</w:t>
      </w:r>
      <w:r>
        <w:rPr>
          <w:rFonts w:hint="default" w:ascii="Times New Roman" w:hAnsi="Times New Roman" w:cs="Times New Roman"/>
          <w:color w:val="000000"/>
          <w:kern w:val="0"/>
          <w:szCs w:val="32"/>
          <w:highlight w:val="none"/>
          <w:shd w:val="clear" w:color="auto" w:fill="FFFFFF"/>
          <w:lang w:val="zh-CN" w:eastAsia="zh-CN"/>
        </w:rPr>
        <w:t>个，涉及预算总金额</w:t>
      </w:r>
      <w:r>
        <w:rPr>
          <w:rFonts w:hint="default" w:ascii="Times New Roman" w:hAnsi="Times New Roman" w:cs="Times New Roman"/>
          <w:color w:val="000000"/>
          <w:kern w:val="0"/>
          <w:szCs w:val="32"/>
          <w:highlight w:val="none"/>
          <w:shd w:val="clear" w:color="auto" w:fill="FFFFFF"/>
          <w:lang w:val="en-US" w:eastAsia="zh-CN"/>
        </w:rPr>
        <w:t>1537.01</w:t>
      </w:r>
      <w:r>
        <w:rPr>
          <w:rFonts w:hint="default" w:ascii="Times New Roman" w:hAnsi="Times New Roman" w:cs="Times New Roman"/>
          <w:color w:val="000000"/>
          <w:kern w:val="0"/>
          <w:szCs w:val="32"/>
          <w:highlight w:val="none"/>
          <w:shd w:val="clear" w:color="auto" w:fill="FFFFFF"/>
          <w:lang w:val="zh-CN" w:eastAsia="zh-CN"/>
        </w:rPr>
        <w:t>万元，</w:t>
      </w:r>
      <w:r>
        <w:rPr>
          <w:rFonts w:hint="default" w:ascii="Times New Roman" w:hAnsi="Times New Roman" w:cs="Times New Roman"/>
          <w:szCs w:val="32"/>
          <w:lang w:val="en-US" w:eastAsia="zh-CN"/>
        </w:rPr>
        <w:t>其中</w:t>
      </w:r>
      <w:r>
        <w:rPr>
          <w:rFonts w:hint="eastAsia" w:cs="Times New Roman"/>
          <w:szCs w:val="32"/>
          <w:lang w:val="en-US" w:eastAsia="zh-CN"/>
        </w:rPr>
        <w:t>：</w:t>
      </w:r>
      <w:r>
        <w:rPr>
          <w:rFonts w:hint="default" w:ascii="Times New Roman" w:hAnsi="Times New Roman" w:cs="Times New Roman"/>
          <w:szCs w:val="32"/>
          <w:lang w:val="en-US" w:eastAsia="zh-CN"/>
        </w:rPr>
        <w:t>社会保障和就业服务大厅工作经费20万元，行政事业单位编外用工工资1455.5万元，乡镇社保网络服务平台6万元，省级社保公共服务能力建设4万元，律师代理费1.8万元，人事考务费3.38万元，档案信息化管理工作经费10万，在职干部学历提升奖补36.33万元。</w:t>
      </w:r>
      <w:r>
        <w:rPr>
          <w:rFonts w:hint="default" w:ascii="Times New Roman" w:hAnsi="Times New Roman" w:cs="Times New Roman"/>
          <w:color w:val="000000"/>
          <w:kern w:val="0"/>
          <w:szCs w:val="32"/>
          <w:highlight w:val="none"/>
          <w:shd w:val="clear" w:color="auto" w:fill="FFFFFF"/>
          <w:lang w:val="zh-CN"/>
        </w:rPr>
        <w:t>1</w:t>
      </w:r>
      <w:r>
        <w:rPr>
          <w:rFonts w:hint="eastAsia" w:cs="Times New Roman"/>
          <w:color w:val="000000"/>
          <w:kern w:val="0"/>
          <w:szCs w:val="32"/>
          <w:highlight w:val="none"/>
          <w:shd w:val="clear" w:color="auto" w:fill="FFFFFF"/>
          <w:lang w:val="zh-CN" w:eastAsia="zh-CN"/>
        </w:rPr>
        <w:t>—</w:t>
      </w:r>
      <w:r>
        <w:rPr>
          <w:rFonts w:hint="default" w:ascii="Times New Roman" w:hAnsi="Times New Roman" w:cs="Times New Roman"/>
          <w:color w:val="000000"/>
          <w:kern w:val="0"/>
          <w:szCs w:val="32"/>
          <w:highlight w:val="none"/>
          <w:shd w:val="clear" w:color="auto" w:fill="FFFFFF"/>
          <w:lang w:val="zh-CN"/>
        </w:rPr>
        <w:t>1</w:t>
      </w:r>
      <w:r>
        <w:rPr>
          <w:rFonts w:hint="default" w:ascii="Times New Roman" w:hAnsi="Times New Roman" w:cs="Times New Roman"/>
          <w:color w:val="000000"/>
          <w:kern w:val="0"/>
          <w:szCs w:val="32"/>
          <w:highlight w:val="none"/>
          <w:shd w:val="clear" w:color="auto" w:fill="FFFFFF"/>
          <w:lang w:val="en-US" w:eastAsia="zh-CN"/>
        </w:rPr>
        <w:t>2</w:t>
      </w:r>
      <w:r>
        <w:rPr>
          <w:rFonts w:hint="default" w:ascii="Times New Roman" w:hAnsi="Times New Roman" w:cs="Times New Roman"/>
          <w:color w:val="000000"/>
          <w:kern w:val="0"/>
          <w:szCs w:val="32"/>
          <w:highlight w:val="none"/>
          <w:shd w:val="clear" w:color="auto" w:fill="FFFFFF"/>
          <w:lang w:val="zh-CN"/>
        </w:rPr>
        <w:t>月预算执行总体进度为</w:t>
      </w:r>
      <w:r>
        <w:rPr>
          <w:rFonts w:hint="default" w:ascii="Times New Roman" w:hAnsi="Times New Roman" w:cs="Times New Roman"/>
          <w:color w:val="000000"/>
          <w:kern w:val="0"/>
          <w:szCs w:val="32"/>
          <w:highlight w:val="none"/>
          <w:shd w:val="clear" w:color="auto" w:fill="FFFFFF"/>
          <w:lang w:val="en-US" w:eastAsia="zh-CN"/>
        </w:rPr>
        <w:t>100</w:t>
      </w:r>
      <w:r>
        <w:rPr>
          <w:rFonts w:hint="default" w:ascii="Times New Roman" w:hAnsi="Times New Roman" w:cs="Times New Roman"/>
          <w:color w:val="000000"/>
          <w:kern w:val="0"/>
          <w:szCs w:val="32"/>
          <w:highlight w:val="none"/>
          <w:shd w:val="clear" w:color="auto" w:fill="FFFFFF"/>
          <w:lang w:val="zh-CN"/>
        </w:rPr>
        <w:t>%，其中：</w:t>
      </w:r>
      <w:r>
        <w:rPr>
          <w:rFonts w:hint="default" w:ascii="Times New Roman" w:hAnsi="Times New Roman" w:cs="Times New Roman"/>
          <w:color w:val="000000"/>
          <w:kern w:val="0"/>
          <w:szCs w:val="32"/>
          <w:highlight w:val="none"/>
          <w:shd w:val="clear" w:color="auto" w:fill="FFFFFF"/>
          <w:lang w:val="zh-CN" w:eastAsia="zh-CN"/>
        </w:rPr>
        <w:t>预算结余率大于</w:t>
      </w:r>
      <w:r>
        <w:rPr>
          <w:rFonts w:hint="default" w:ascii="Times New Roman" w:hAnsi="Times New Roman" w:cs="Times New Roman"/>
          <w:color w:val="000000"/>
          <w:kern w:val="0"/>
          <w:szCs w:val="32"/>
          <w:highlight w:val="none"/>
          <w:shd w:val="clear" w:color="auto" w:fill="FFFFFF"/>
          <w:lang w:val="en-US" w:eastAsia="zh-CN"/>
        </w:rPr>
        <w:t>10%</w:t>
      </w:r>
      <w:r>
        <w:rPr>
          <w:rFonts w:hint="default" w:ascii="Times New Roman" w:hAnsi="Times New Roman" w:cs="Times New Roman"/>
          <w:color w:val="000000"/>
          <w:kern w:val="0"/>
          <w:szCs w:val="32"/>
          <w:highlight w:val="none"/>
          <w:shd w:val="clear" w:color="auto" w:fill="FFFFFF"/>
          <w:lang w:val="zh-CN" w:eastAsia="zh-CN"/>
        </w:rPr>
        <w:t>的项目共计</w:t>
      </w:r>
      <w:r>
        <w:rPr>
          <w:rFonts w:hint="default" w:ascii="Times New Roman" w:hAnsi="Times New Roman" w:cs="Times New Roman"/>
          <w:color w:val="000000"/>
          <w:kern w:val="0"/>
          <w:szCs w:val="32"/>
          <w:highlight w:val="none"/>
          <w:shd w:val="clear" w:color="auto" w:fill="FFFFFF"/>
          <w:lang w:val="en-US" w:eastAsia="zh-CN"/>
        </w:rPr>
        <w:t>0</w:t>
      </w:r>
      <w:r>
        <w:rPr>
          <w:rFonts w:hint="default" w:ascii="Times New Roman" w:hAnsi="Times New Roman" w:cs="Times New Roman"/>
          <w:color w:val="000000"/>
          <w:kern w:val="0"/>
          <w:szCs w:val="32"/>
          <w:highlight w:val="none"/>
          <w:shd w:val="clear" w:color="auto" w:fill="FFFFFF"/>
          <w:lang w:val="zh-CN" w:eastAsia="zh-CN"/>
        </w:rPr>
        <w:t>个。</w:t>
      </w:r>
    </w:p>
    <w:p w14:paraId="53C5E2A6">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cs="Times New Roman"/>
          <w:color w:val="000000"/>
          <w:kern w:val="0"/>
          <w:szCs w:val="32"/>
          <w:highlight w:val="none"/>
          <w:shd w:val="clear" w:color="auto" w:fill="FFFFFF"/>
          <w:lang w:val="zh-CN" w:eastAsia="zh-CN"/>
        </w:rPr>
      </w:pPr>
      <w:r>
        <w:rPr>
          <w:rFonts w:hint="default" w:ascii="Times New Roman" w:hAnsi="Times New Roman" w:cs="Times New Roman"/>
          <w:color w:val="000000"/>
          <w:kern w:val="0"/>
          <w:szCs w:val="32"/>
          <w:highlight w:val="none"/>
          <w:shd w:val="clear" w:color="auto" w:fill="FFFFFF"/>
          <w:lang w:val="en-US" w:eastAsia="zh-CN"/>
        </w:rPr>
        <w:t>阶段（一次性）项目绩效分析。</w:t>
      </w:r>
      <w:r>
        <w:rPr>
          <w:rFonts w:hint="default" w:ascii="Times New Roman" w:hAnsi="Times New Roman" w:cs="Times New Roman"/>
          <w:color w:val="000000"/>
          <w:kern w:val="0"/>
          <w:szCs w:val="32"/>
          <w:highlight w:val="none"/>
          <w:shd w:val="clear" w:color="auto" w:fill="FFFFFF"/>
          <w:lang w:val="zh-CN" w:eastAsia="zh-CN"/>
        </w:rPr>
        <w:t>该类项目总数</w:t>
      </w:r>
      <w:r>
        <w:rPr>
          <w:rFonts w:hint="default" w:ascii="Times New Roman" w:hAnsi="Times New Roman" w:cs="Times New Roman"/>
          <w:color w:val="000000"/>
          <w:kern w:val="0"/>
          <w:szCs w:val="32"/>
          <w:highlight w:val="none"/>
          <w:shd w:val="clear" w:color="auto" w:fill="FFFFFF"/>
          <w:lang w:val="en-US" w:eastAsia="zh-CN"/>
        </w:rPr>
        <w:t>2</w:t>
      </w:r>
      <w:r>
        <w:rPr>
          <w:rFonts w:hint="default" w:ascii="Times New Roman" w:hAnsi="Times New Roman" w:cs="Times New Roman"/>
          <w:color w:val="000000"/>
          <w:kern w:val="0"/>
          <w:szCs w:val="32"/>
          <w:highlight w:val="none"/>
          <w:shd w:val="clear" w:color="auto" w:fill="FFFFFF"/>
          <w:lang w:val="zh-CN" w:eastAsia="zh-CN"/>
        </w:rPr>
        <w:t>个，涉及预算总金额</w:t>
      </w:r>
      <w:r>
        <w:rPr>
          <w:rFonts w:hint="default" w:ascii="Times New Roman" w:hAnsi="Times New Roman" w:cs="Times New Roman"/>
          <w:color w:val="000000"/>
          <w:kern w:val="0"/>
          <w:szCs w:val="32"/>
          <w:highlight w:val="none"/>
          <w:shd w:val="clear" w:color="auto" w:fill="FFFFFF"/>
          <w:lang w:val="en-US" w:eastAsia="zh-CN"/>
        </w:rPr>
        <w:t>12.91</w:t>
      </w:r>
      <w:r>
        <w:rPr>
          <w:rFonts w:hint="default" w:ascii="Times New Roman" w:hAnsi="Times New Roman" w:cs="Times New Roman"/>
          <w:color w:val="000000"/>
          <w:kern w:val="0"/>
          <w:szCs w:val="32"/>
          <w:highlight w:val="none"/>
          <w:shd w:val="clear" w:color="auto" w:fill="FFFFFF"/>
          <w:lang w:val="zh-CN" w:eastAsia="zh-CN"/>
        </w:rPr>
        <w:t>万元，其中：</w:t>
      </w:r>
      <w:r>
        <w:rPr>
          <w:rFonts w:hint="default" w:ascii="Times New Roman" w:hAnsi="Times New Roman" w:cs="Times New Roman"/>
          <w:szCs w:val="32"/>
          <w:lang w:val="en-US" w:eastAsia="zh-CN"/>
        </w:rPr>
        <w:t>松潘县人社局一楼政务大厅供暖设备改造质保金0.59万元</w:t>
      </w:r>
      <w:r>
        <w:rPr>
          <w:rFonts w:hint="eastAsia" w:cs="Times New Roman"/>
          <w:szCs w:val="32"/>
          <w:lang w:val="en-US" w:eastAsia="zh-CN"/>
        </w:rPr>
        <w:t>，</w:t>
      </w:r>
      <w:r>
        <w:rPr>
          <w:rFonts w:hint="default" w:ascii="Times New Roman" w:hAnsi="Times New Roman" w:cs="Times New Roman"/>
          <w:szCs w:val="32"/>
          <w:lang w:val="en-US" w:eastAsia="zh-CN"/>
        </w:rPr>
        <w:t>人社局会议室维修维护经费12.32万元。</w:t>
      </w:r>
      <w:r>
        <w:rPr>
          <w:rFonts w:hint="default" w:ascii="Times New Roman" w:hAnsi="Times New Roman" w:cs="Times New Roman"/>
          <w:color w:val="000000"/>
          <w:kern w:val="0"/>
          <w:szCs w:val="32"/>
          <w:highlight w:val="none"/>
          <w:shd w:val="clear" w:color="auto" w:fill="FFFFFF"/>
          <w:lang w:val="zh-CN"/>
        </w:rPr>
        <w:t>1</w:t>
      </w:r>
      <w:r>
        <w:rPr>
          <w:rFonts w:hint="eastAsia" w:cs="Times New Roman"/>
          <w:color w:val="000000"/>
          <w:kern w:val="0"/>
          <w:szCs w:val="32"/>
          <w:highlight w:val="none"/>
          <w:shd w:val="clear" w:color="auto" w:fill="FFFFFF"/>
          <w:lang w:val="zh-CN" w:eastAsia="zh-CN"/>
        </w:rPr>
        <w:t>—</w:t>
      </w:r>
      <w:r>
        <w:rPr>
          <w:rFonts w:hint="default" w:ascii="Times New Roman" w:hAnsi="Times New Roman" w:cs="Times New Roman"/>
          <w:color w:val="000000"/>
          <w:kern w:val="0"/>
          <w:szCs w:val="32"/>
          <w:highlight w:val="none"/>
          <w:shd w:val="clear" w:color="auto" w:fill="FFFFFF"/>
          <w:lang w:val="zh-CN"/>
        </w:rPr>
        <w:t>1</w:t>
      </w:r>
      <w:r>
        <w:rPr>
          <w:rFonts w:hint="default" w:ascii="Times New Roman" w:hAnsi="Times New Roman" w:cs="Times New Roman"/>
          <w:color w:val="000000"/>
          <w:kern w:val="0"/>
          <w:szCs w:val="32"/>
          <w:highlight w:val="none"/>
          <w:shd w:val="clear" w:color="auto" w:fill="FFFFFF"/>
          <w:lang w:val="en-US" w:eastAsia="zh-CN"/>
        </w:rPr>
        <w:t>2</w:t>
      </w:r>
      <w:r>
        <w:rPr>
          <w:rFonts w:hint="default" w:ascii="Times New Roman" w:hAnsi="Times New Roman" w:cs="Times New Roman"/>
          <w:color w:val="000000"/>
          <w:kern w:val="0"/>
          <w:szCs w:val="32"/>
          <w:highlight w:val="none"/>
          <w:shd w:val="clear" w:color="auto" w:fill="FFFFFF"/>
          <w:lang w:val="zh-CN"/>
        </w:rPr>
        <w:t>月预算执行总体进度为</w:t>
      </w:r>
      <w:r>
        <w:rPr>
          <w:rFonts w:hint="default" w:ascii="Times New Roman" w:hAnsi="Times New Roman" w:cs="Times New Roman"/>
          <w:color w:val="000000"/>
          <w:kern w:val="0"/>
          <w:szCs w:val="32"/>
          <w:highlight w:val="none"/>
          <w:shd w:val="clear" w:color="auto" w:fill="FFFFFF"/>
          <w:lang w:val="en-US" w:eastAsia="zh-CN"/>
        </w:rPr>
        <w:t>100</w:t>
      </w:r>
      <w:r>
        <w:rPr>
          <w:rFonts w:hint="default" w:ascii="Times New Roman" w:hAnsi="Times New Roman" w:cs="Times New Roman"/>
          <w:color w:val="000000"/>
          <w:kern w:val="0"/>
          <w:szCs w:val="32"/>
          <w:highlight w:val="none"/>
          <w:shd w:val="clear" w:color="auto" w:fill="FFFFFF"/>
          <w:lang w:val="zh-CN"/>
        </w:rPr>
        <w:t>%，其中：</w:t>
      </w:r>
      <w:r>
        <w:rPr>
          <w:rFonts w:hint="default" w:ascii="Times New Roman" w:hAnsi="Times New Roman" w:cs="Times New Roman"/>
          <w:color w:val="000000"/>
          <w:kern w:val="0"/>
          <w:szCs w:val="32"/>
          <w:highlight w:val="none"/>
          <w:shd w:val="clear" w:color="auto" w:fill="FFFFFF"/>
          <w:lang w:val="zh-CN" w:eastAsia="zh-CN"/>
        </w:rPr>
        <w:t>预算结余率大于</w:t>
      </w:r>
      <w:r>
        <w:rPr>
          <w:rFonts w:hint="default" w:ascii="Times New Roman" w:hAnsi="Times New Roman" w:cs="Times New Roman"/>
          <w:color w:val="000000"/>
          <w:kern w:val="0"/>
          <w:szCs w:val="32"/>
          <w:highlight w:val="none"/>
          <w:shd w:val="clear" w:color="auto" w:fill="FFFFFF"/>
          <w:lang w:val="en-US" w:eastAsia="zh-CN"/>
        </w:rPr>
        <w:t>10%</w:t>
      </w:r>
      <w:r>
        <w:rPr>
          <w:rFonts w:hint="default" w:ascii="Times New Roman" w:hAnsi="Times New Roman" w:cs="Times New Roman"/>
          <w:color w:val="000000"/>
          <w:kern w:val="0"/>
          <w:szCs w:val="32"/>
          <w:highlight w:val="none"/>
          <w:shd w:val="clear" w:color="auto" w:fill="FFFFFF"/>
          <w:lang w:val="zh-CN" w:eastAsia="zh-CN"/>
        </w:rPr>
        <w:t>的项目共计</w:t>
      </w:r>
      <w:r>
        <w:rPr>
          <w:rFonts w:hint="default" w:ascii="Times New Roman" w:hAnsi="Times New Roman" w:cs="Times New Roman"/>
          <w:color w:val="000000"/>
          <w:kern w:val="0"/>
          <w:szCs w:val="32"/>
          <w:highlight w:val="none"/>
          <w:shd w:val="clear" w:color="auto" w:fill="FFFFFF"/>
          <w:lang w:val="en-US" w:eastAsia="zh-CN"/>
        </w:rPr>
        <w:t>0</w:t>
      </w:r>
      <w:r>
        <w:rPr>
          <w:rFonts w:hint="default" w:ascii="Times New Roman" w:hAnsi="Times New Roman" w:cs="Times New Roman"/>
          <w:color w:val="000000"/>
          <w:kern w:val="0"/>
          <w:szCs w:val="32"/>
          <w:highlight w:val="none"/>
          <w:shd w:val="clear" w:color="auto" w:fill="FFFFFF"/>
          <w:lang w:val="zh-CN" w:eastAsia="zh-CN"/>
        </w:rPr>
        <w:t>个。</w:t>
      </w:r>
    </w:p>
    <w:p w14:paraId="224957D8">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3" w:firstLineChars="200"/>
        <w:contextualSpacing/>
        <w:jc w:val="left"/>
        <w:textAlignment w:val="auto"/>
        <w:outlineLvl w:val="9"/>
        <w:rPr>
          <w:rFonts w:hint="default" w:ascii="Times New Roman" w:hAnsi="Times New Roman" w:cs="Times New Roman"/>
          <w:color w:val="000000"/>
          <w:kern w:val="0"/>
          <w:szCs w:val="32"/>
          <w:highlight w:val="none"/>
          <w:shd w:val="clear" w:color="auto" w:fill="FFFFFF"/>
          <w:lang w:val="zh-CN" w:eastAsia="zh-CN"/>
        </w:rPr>
      </w:pPr>
      <w:r>
        <w:rPr>
          <w:rFonts w:hint="eastAsia" w:ascii="仿宋_GB2312" w:hAnsi="仿宋_GB2312" w:eastAsia="仿宋_GB2312" w:cs="仿宋_GB2312"/>
          <w:b/>
          <w:bCs/>
          <w:color w:val="000000"/>
          <w:kern w:val="0"/>
          <w:szCs w:val="32"/>
          <w:highlight w:val="none"/>
          <w:shd w:val="clear" w:color="auto" w:fill="FFFFFF"/>
          <w:lang w:val="en-US" w:eastAsia="zh-CN"/>
        </w:rPr>
        <w:t>1.</w:t>
      </w:r>
      <w:r>
        <w:rPr>
          <w:rFonts w:hint="eastAsia" w:ascii="仿宋_GB2312" w:hAnsi="仿宋_GB2312" w:eastAsia="仿宋_GB2312" w:cs="仿宋_GB2312"/>
          <w:b/>
          <w:bCs/>
          <w:color w:val="000000"/>
          <w:kern w:val="0"/>
          <w:szCs w:val="32"/>
          <w:highlight w:val="none"/>
          <w:shd w:val="clear" w:color="auto" w:fill="FFFFFF"/>
          <w:lang w:val="zh-CN"/>
        </w:rPr>
        <w:t>项目决策。</w:t>
      </w:r>
      <w:r>
        <w:rPr>
          <w:rFonts w:hint="default" w:ascii="Times New Roman" w:hAnsi="Times New Roman" w:cs="Times New Roman"/>
          <w:color w:val="000000"/>
          <w:kern w:val="0"/>
          <w:szCs w:val="32"/>
          <w:highlight w:val="none"/>
          <w:shd w:val="clear" w:color="auto" w:fill="FFFFFF"/>
          <w:lang w:val="zh-CN" w:eastAsia="zh-CN"/>
        </w:rPr>
        <w:t>按照决策程序，对项目投入经济性的评估是在项目事前绩效评估、预算测算的基础上，按照厉行节约的要求，结合项目</w:t>
      </w:r>
      <w:r>
        <w:rPr>
          <w:rFonts w:hint="default" w:ascii="Times New Roman" w:hAnsi="Times New Roman" w:cs="Times New Roman"/>
          <w:color w:val="000000"/>
          <w:kern w:val="0"/>
          <w:szCs w:val="32"/>
          <w:highlight w:val="none"/>
          <w:shd w:val="clear" w:color="auto" w:fill="FFFFFF"/>
          <w:lang w:val="en-US" w:eastAsia="zh-CN"/>
        </w:rPr>
        <w:t>2022</w:t>
      </w:r>
      <w:r>
        <w:rPr>
          <w:rFonts w:hint="default" w:ascii="Times New Roman" w:hAnsi="Times New Roman" w:cs="Times New Roman"/>
          <w:color w:val="000000"/>
          <w:kern w:val="0"/>
          <w:szCs w:val="32"/>
          <w:highlight w:val="none"/>
          <w:shd w:val="clear" w:color="auto" w:fill="FFFFFF"/>
          <w:lang w:val="zh-CN" w:eastAsia="zh-CN"/>
        </w:rPr>
        <w:t>年开支情况以及</w:t>
      </w:r>
      <w:r>
        <w:rPr>
          <w:rFonts w:hint="default" w:ascii="Times New Roman" w:hAnsi="Times New Roman" w:cs="Times New Roman"/>
          <w:color w:val="000000"/>
          <w:kern w:val="0"/>
          <w:szCs w:val="32"/>
          <w:highlight w:val="none"/>
          <w:shd w:val="clear" w:color="auto" w:fill="FFFFFF"/>
          <w:lang w:val="en-US" w:eastAsia="zh-CN"/>
        </w:rPr>
        <w:t>2023</w:t>
      </w:r>
      <w:r>
        <w:rPr>
          <w:rFonts w:hint="default" w:ascii="Times New Roman" w:hAnsi="Times New Roman" w:cs="Times New Roman"/>
          <w:color w:val="000000"/>
          <w:kern w:val="0"/>
          <w:szCs w:val="32"/>
          <w:highlight w:val="none"/>
          <w:shd w:val="clear" w:color="auto" w:fill="FFFFFF"/>
          <w:lang w:val="zh-CN" w:eastAsia="zh-CN"/>
        </w:rPr>
        <w:t>年实际需求</w:t>
      </w:r>
      <w:r>
        <w:rPr>
          <w:rFonts w:hint="eastAsia" w:cs="Times New Roman"/>
          <w:color w:val="000000"/>
          <w:kern w:val="0"/>
          <w:szCs w:val="32"/>
          <w:highlight w:val="none"/>
          <w:shd w:val="clear" w:color="auto" w:fill="FFFFFF"/>
          <w:lang w:val="zh-CN" w:eastAsia="zh-CN"/>
        </w:rPr>
        <w:t>、</w:t>
      </w:r>
      <w:r>
        <w:rPr>
          <w:rFonts w:hint="default" w:ascii="Times New Roman" w:hAnsi="Times New Roman" w:cs="Times New Roman"/>
          <w:color w:val="000000"/>
          <w:kern w:val="0"/>
          <w:szCs w:val="32"/>
          <w:highlight w:val="none"/>
          <w:shd w:val="clear" w:color="auto" w:fill="FFFFFF"/>
          <w:lang w:val="zh-CN" w:eastAsia="zh-CN"/>
        </w:rPr>
        <w:t>相关费用标准及市场价格水平，重点对数量是否合理、投入是否经济、预算测算是否准确、测算过程是否详细、测算依据是否充分等方面进行了评估。评估认为，项目任务数量基本合理、预算测算过程较为详细、测算依据基本充分、有一定的经济性。项目的实施按照流程进入项目入库。</w:t>
      </w:r>
    </w:p>
    <w:p w14:paraId="06621249">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3" w:firstLineChars="200"/>
        <w:contextualSpacing/>
        <w:jc w:val="left"/>
        <w:textAlignment w:val="auto"/>
        <w:outlineLvl w:val="9"/>
        <w:rPr>
          <w:rFonts w:hint="default" w:ascii="Times New Roman" w:hAnsi="Times New Roman" w:cs="Times New Roman"/>
          <w:color w:val="000000"/>
          <w:kern w:val="0"/>
          <w:szCs w:val="32"/>
          <w:highlight w:val="none"/>
          <w:shd w:val="clear" w:color="auto" w:fill="FFFFFF"/>
          <w:lang w:val="zh-CN"/>
        </w:rPr>
      </w:pPr>
      <w:r>
        <w:rPr>
          <w:rFonts w:hint="eastAsia" w:ascii="仿宋_GB2312" w:hAnsi="仿宋_GB2312" w:eastAsia="仿宋_GB2312" w:cs="仿宋_GB2312"/>
          <w:b/>
          <w:bCs/>
          <w:color w:val="000000"/>
          <w:kern w:val="0"/>
          <w:szCs w:val="32"/>
          <w:highlight w:val="none"/>
          <w:shd w:val="clear" w:color="auto" w:fill="FFFFFF"/>
          <w:lang w:val="en-US" w:eastAsia="zh-CN"/>
        </w:rPr>
        <w:t>2.项目执行</w:t>
      </w:r>
      <w:r>
        <w:rPr>
          <w:rFonts w:hint="eastAsia" w:ascii="仿宋_GB2312" w:hAnsi="仿宋_GB2312" w:eastAsia="仿宋_GB2312" w:cs="仿宋_GB2312"/>
          <w:b/>
          <w:bCs/>
          <w:color w:val="000000"/>
          <w:kern w:val="0"/>
          <w:szCs w:val="32"/>
          <w:highlight w:val="none"/>
          <w:shd w:val="clear" w:color="auto" w:fill="FFFFFF"/>
          <w:lang w:val="zh-CN"/>
        </w:rPr>
        <w:t>。</w:t>
      </w:r>
      <w:r>
        <w:rPr>
          <w:rFonts w:hint="default" w:ascii="Times New Roman" w:hAnsi="Times New Roman" w:cs="Times New Roman"/>
          <w:color w:val="000000"/>
          <w:kern w:val="0"/>
          <w:szCs w:val="32"/>
          <w:highlight w:val="none"/>
          <w:shd w:val="clear" w:color="auto" w:fill="FFFFFF"/>
          <w:lang w:val="zh-CN"/>
        </w:rPr>
        <w:t>项目立项必要性和依据充分，绩效目标明确，具备实施条件，具有公共性，符合财政资金支持方向，预期产出和效果能满足人社工作需要，绩效目标设置按照实际情况，设置了一、二、三级指标，绩效目标和绩效指标量化可考核，相匹配，全面完整，契合政策，与部门的长期规划目标、年度工作目标相一致，产出和效果相关联，各项绩效指标值的设定依据和参考标准，满意度指标预测均按要求设置。</w:t>
      </w:r>
    </w:p>
    <w:p w14:paraId="150FD58B">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3" w:firstLineChars="200"/>
        <w:contextualSpacing/>
        <w:jc w:val="both"/>
        <w:textAlignment w:val="auto"/>
        <w:outlineLvl w:val="9"/>
        <w:rPr>
          <w:rFonts w:hint="default" w:ascii="Times New Roman" w:hAnsi="Times New Roman" w:cs="Times New Roman"/>
          <w:color w:val="000000"/>
          <w:kern w:val="0"/>
          <w:szCs w:val="32"/>
          <w:highlight w:val="none"/>
          <w:shd w:val="clear" w:color="auto" w:fill="FFFFFF"/>
          <w:lang w:val="zh-CN"/>
        </w:rPr>
      </w:pPr>
      <w:r>
        <w:rPr>
          <w:rFonts w:hint="eastAsia" w:ascii="仿宋_GB2312" w:hAnsi="仿宋_GB2312" w:eastAsia="仿宋_GB2312" w:cs="仿宋_GB2312"/>
          <w:b/>
          <w:bCs/>
          <w:color w:val="000000"/>
          <w:kern w:val="0"/>
          <w:szCs w:val="32"/>
          <w:highlight w:val="none"/>
          <w:shd w:val="clear" w:color="auto" w:fill="FFFFFF"/>
          <w:lang w:val="en-US" w:eastAsia="zh-CN"/>
        </w:rPr>
        <w:t>3.</w:t>
      </w:r>
      <w:r>
        <w:rPr>
          <w:rFonts w:hint="eastAsia" w:ascii="仿宋_GB2312" w:hAnsi="仿宋_GB2312" w:eastAsia="仿宋_GB2312" w:cs="仿宋_GB2312"/>
          <w:b/>
          <w:bCs/>
          <w:color w:val="000000"/>
          <w:kern w:val="0"/>
          <w:szCs w:val="32"/>
          <w:highlight w:val="none"/>
          <w:shd w:val="clear" w:color="auto" w:fill="FFFFFF"/>
          <w:lang w:val="zh-CN"/>
        </w:rPr>
        <w:t>目标实现。</w:t>
      </w:r>
      <w:r>
        <w:rPr>
          <w:rFonts w:hint="default" w:ascii="Times New Roman" w:hAnsi="Times New Roman" w:cs="Times New Roman"/>
          <w:color w:val="000000"/>
          <w:kern w:val="0"/>
          <w:szCs w:val="32"/>
          <w:highlight w:val="none"/>
          <w:shd w:val="clear" w:color="auto" w:fill="FFFFFF"/>
          <w:lang w:val="zh-CN"/>
        </w:rPr>
        <w:t>项目的实施推进了我单位业务工作的正常开展。项目决策正确，管理规范，绩效完成率非常好。其制定实施方案或计划，组织机构健全，职责分工明确，有具体的实施时间，有明确的工作程序，基础设施条件能够有效保障，资金能足额保证，具有相应的质量检查、验收等必要的控制措施或手段，有针对突发事件或未知风险的应急措施。</w:t>
      </w:r>
    </w:p>
    <w:p w14:paraId="32103907">
      <w:pPr>
        <w:keepNext w:val="0"/>
        <w:keepLines w:val="0"/>
        <w:pageBreakBefore w:val="0"/>
        <w:widowControl/>
        <w:kinsoku/>
        <w:wordWrap/>
        <w:overflowPunct/>
        <w:topLinePunct w:val="0"/>
        <w:autoSpaceDE/>
        <w:autoSpaceDN/>
        <w:bidi w:val="0"/>
        <w:adjustRightInd w:val="0"/>
        <w:snapToGrid w:val="0"/>
        <w:spacing w:line="576" w:lineRule="exact"/>
        <w:ind w:firstLine="643" w:firstLineChars="200"/>
        <w:contextualSpacing/>
        <w:jc w:val="left"/>
        <w:textAlignment w:val="auto"/>
        <w:outlineLvl w:val="9"/>
        <w:rPr>
          <w:rFonts w:hint="default" w:ascii="Times New Roman" w:hAnsi="Times New Roman" w:cs="Times New Roman"/>
          <w:color w:val="000000"/>
          <w:kern w:val="0"/>
          <w:szCs w:val="32"/>
          <w:highlight w:val="none"/>
          <w:shd w:val="clear" w:color="auto" w:fill="FFFFFF"/>
          <w:lang w:val="en-US" w:eastAsia="zh-CN"/>
        </w:rPr>
      </w:pPr>
      <w:r>
        <w:rPr>
          <w:rFonts w:hint="default" w:ascii="Times New Roman" w:hAnsi="Times New Roman" w:eastAsia="楷体_GB2312" w:cs="Times New Roman"/>
          <w:b/>
          <w:bCs/>
          <w:color w:val="000000"/>
          <w:kern w:val="0"/>
          <w:szCs w:val="32"/>
          <w:highlight w:val="none"/>
          <w:shd w:val="clear" w:color="auto" w:fill="FFFFFF"/>
          <w:lang w:val="zh-CN"/>
        </w:rPr>
        <w:t>（三）</w:t>
      </w:r>
      <w:r>
        <w:rPr>
          <w:rFonts w:hint="default" w:ascii="Times New Roman" w:hAnsi="Times New Roman" w:eastAsia="楷体_GB2312" w:cs="Times New Roman"/>
          <w:b/>
          <w:bCs/>
          <w:color w:val="000000"/>
          <w:kern w:val="0"/>
          <w:szCs w:val="32"/>
          <w:highlight w:val="none"/>
          <w:shd w:val="clear" w:color="auto" w:fill="FFFFFF"/>
          <w:lang w:val="zh-CN" w:eastAsia="zh-CN"/>
        </w:rPr>
        <w:t>重点领域</w:t>
      </w:r>
      <w:r>
        <w:rPr>
          <w:rFonts w:hint="default" w:ascii="Times New Roman" w:hAnsi="Times New Roman" w:eastAsia="楷体_GB2312" w:cs="Times New Roman"/>
          <w:b/>
          <w:bCs/>
          <w:color w:val="000000"/>
          <w:kern w:val="0"/>
          <w:szCs w:val="32"/>
          <w:highlight w:val="none"/>
          <w:shd w:val="clear" w:color="auto" w:fill="FFFFFF"/>
          <w:lang w:val="zh-CN"/>
        </w:rPr>
        <w:t>绩效分析</w:t>
      </w:r>
      <w:r>
        <w:rPr>
          <w:rFonts w:hint="default" w:ascii="Times New Roman" w:hAnsi="Times New Roman" w:eastAsia="楷体_GB2312" w:cs="Times New Roman"/>
          <w:b/>
          <w:bCs/>
          <w:color w:val="000000"/>
          <w:kern w:val="0"/>
          <w:szCs w:val="32"/>
          <w:highlight w:val="none"/>
          <w:shd w:val="clear" w:color="auto" w:fill="FFFFFF"/>
          <w:lang w:val="zh-CN" w:eastAsia="zh-CN"/>
        </w:rPr>
        <w:t>。</w:t>
      </w:r>
      <w:r>
        <w:rPr>
          <w:rFonts w:hint="default" w:ascii="Times New Roman" w:hAnsi="Times New Roman" w:cs="Times New Roman"/>
          <w:sz w:val="32"/>
          <w:szCs w:val="32"/>
          <w:highlight w:val="none"/>
          <w:u w:val="none"/>
          <w:lang w:eastAsia="zh-CN"/>
        </w:rPr>
        <w:t>无</w:t>
      </w:r>
    </w:p>
    <w:p w14:paraId="23165659">
      <w:pPr>
        <w:keepNext w:val="0"/>
        <w:keepLines w:val="0"/>
        <w:pageBreakBefore w:val="0"/>
        <w:widowControl w:val="0"/>
        <w:kinsoku/>
        <w:wordWrap/>
        <w:overflowPunct/>
        <w:topLinePunct w:val="0"/>
        <w:autoSpaceDE/>
        <w:autoSpaceDN/>
        <w:bidi w:val="0"/>
        <w:snapToGrid w:val="0"/>
        <w:spacing w:line="576" w:lineRule="exact"/>
        <w:ind w:firstLine="643" w:firstLineChars="200"/>
        <w:textAlignment w:val="auto"/>
        <w:rPr>
          <w:rFonts w:hint="default" w:ascii="Times New Roman" w:hAnsi="Times New Roman" w:eastAsia="仿宋_GB2312" w:cs="Times New Roman"/>
          <w:b/>
          <w:bCs w:val="0"/>
          <w:szCs w:val="32"/>
        </w:rPr>
      </w:pPr>
      <w:r>
        <w:rPr>
          <w:rFonts w:hint="default" w:ascii="Times New Roman" w:hAnsi="Times New Roman" w:eastAsia="楷体_GB2312" w:cs="Times New Roman"/>
          <w:b/>
          <w:bCs/>
          <w:szCs w:val="32"/>
          <w:lang w:val="zh-CN"/>
        </w:rPr>
        <w:t>（四）绩效结果应用情况。</w:t>
      </w:r>
      <w:r>
        <w:rPr>
          <w:rFonts w:hint="default" w:ascii="Times New Roman" w:hAnsi="Times New Roman" w:cs="Times New Roman"/>
          <w:color w:val="000000"/>
          <w:kern w:val="0"/>
          <w:szCs w:val="32"/>
          <w:highlight w:val="none"/>
          <w:shd w:val="clear" w:color="auto" w:fill="FFFFFF"/>
          <w:lang w:val="zh-CN" w:eastAsia="zh-CN"/>
        </w:rPr>
        <w:t>部门自评质量、绩效目标等报告按时按质予以完成并及时向社会公布，并针对自评表中查找出的问题，给予针对性</w:t>
      </w:r>
      <w:r>
        <w:rPr>
          <w:rFonts w:hint="eastAsia" w:cs="Times New Roman"/>
          <w:color w:val="000000"/>
          <w:kern w:val="0"/>
          <w:szCs w:val="32"/>
          <w:highlight w:val="none"/>
          <w:shd w:val="clear" w:color="auto" w:fill="FFFFFF"/>
          <w:lang w:val="zh-CN" w:eastAsia="zh-CN"/>
        </w:rPr>
        <w:t>地</w:t>
      </w:r>
      <w:r>
        <w:rPr>
          <w:rFonts w:hint="default" w:ascii="Times New Roman" w:hAnsi="Times New Roman" w:cs="Times New Roman"/>
          <w:color w:val="000000"/>
          <w:kern w:val="0"/>
          <w:szCs w:val="32"/>
          <w:highlight w:val="none"/>
          <w:shd w:val="clear" w:color="auto" w:fill="FFFFFF"/>
          <w:lang w:val="zh-CN" w:eastAsia="zh-CN"/>
        </w:rPr>
        <w:t>整改。</w:t>
      </w:r>
    </w:p>
    <w:p w14:paraId="1C1BF607">
      <w:pPr>
        <w:keepNext w:val="0"/>
        <w:keepLines w:val="0"/>
        <w:pageBreakBefore w:val="0"/>
        <w:widowControl/>
        <w:kinsoku/>
        <w:wordWrap/>
        <w:overflowPunct/>
        <w:topLinePunct w:val="0"/>
        <w:autoSpaceDE/>
        <w:autoSpaceDN/>
        <w:bidi w:val="0"/>
        <w:adjustRightInd w:val="0"/>
        <w:snapToGrid w:val="0"/>
        <w:spacing w:line="576" w:lineRule="exact"/>
        <w:ind w:firstLine="640" w:firstLineChars="200"/>
        <w:contextualSpacing/>
        <w:jc w:val="left"/>
        <w:textAlignment w:val="auto"/>
        <w:outlineLvl w:val="9"/>
        <w:rPr>
          <w:rFonts w:hint="default" w:ascii="Times New Roman" w:hAnsi="Times New Roman" w:eastAsia="黑体" w:cs="Times New Roman"/>
          <w:color w:val="000000"/>
          <w:kern w:val="0"/>
          <w:szCs w:val="32"/>
          <w:highlight w:val="none"/>
          <w:shd w:val="clear" w:color="auto" w:fill="FFFFFF"/>
        </w:rPr>
      </w:pPr>
      <w:r>
        <w:rPr>
          <w:rFonts w:hint="default" w:ascii="Times New Roman" w:hAnsi="Times New Roman" w:eastAsia="黑体" w:cs="Times New Roman"/>
          <w:color w:val="000000"/>
          <w:kern w:val="0"/>
          <w:szCs w:val="32"/>
          <w:highlight w:val="none"/>
          <w:shd w:val="clear" w:color="auto" w:fill="FFFFFF"/>
          <w:lang w:eastAsia="zh-CN"/>
        </w:rPr>
        <w:t>四、</w:t>
      </w:r>
      <w:r>
        <w:rPr>
          <w:rFonts w:hint="default" w:ascii="Times New Roman" w:hAnsi="Times New Roman" w:eastAsia="黑体" w:cs="Times New Roman"/>
          <w:color w:val="000000"/>
          <w:kern w:val="0"/>
          <w:szCs w:val="32"/>
          <w:highlight w:val="none"/>
          <w:shd w:val="clear" w:color="auto" w:fill="FFFFFF"/>
        </w:rPr>
        <w:t>评价结论及建议</w:t>
      </w:r>
    </w:p>
    <w:p w14:paraId="5D3BCAC1">
      <w:pPr>
        <w:keepNext w:val="0"/>
        <w:keepLines w:val="0"/>
        <w:pageBreakBefore w:val="0"/>
        <w:widowControl/>
        <w:kinsoku/>
        <w:wordWrap/>
        <w:overflowPunct/>
        <w:topLinePunct w:val="0"/>
        <w:autoSpaceDE/>
        <w:autoSpaceDN/>
        <w:bidi w:val="0"/>
        <w:spacing w:line="576" w:lineRule="exact"/>
        <w:ind w:firstLine="643" w:firstLineChars="200"/>
        <w:textAlignment w:val="auto"/>
        <w:rPr>
          <w:rFonts w:hint="default" w:ascii="Times New Roman" w:hAnsi="Times New Roman" w:cs="Times New Roman"/>
          <w:color w:val="000000"/>
          <w:kern w:val="0"/>
          <w:szCs w:val="32"/>
          <w:highlight w:val="none"/>
          <w:shd w:val="clear" w:color="auto" w:fill="FFFFFF"/>
          <w:lang w:val="zh-CN" w:eastAsia="zh-CN"/>
        </w:rPr>
      </w:pPr>
      <w:r>
        <w:rPr>
          <w:rFonts w:hint="default" w:ascii="Times New Roman" w:hAnsi="Times New Roman" w:eastAsia="楷体_GB2312" w:cs="Times New Roman"/>
          <w:b/>
          <w:bCs/>
          <w:color w:val="000000"/>
          <w:kern w:val="0"/>
          <w:szCs w:val="32"/>
          <w:highlight w:val="none"/>
          <w:shd w:val="clear" w:color="auto" w:fill="FFFFFF"/>
          <w:lang w:val="zh-CN"/>
        </w:rPr>
        <w:t>（一）评价结论。</w:t>
      </w:r>
      <w:r>
        <w:rPr>
          <w:rFonts w:hint="default" w:ascii="Times New Roman" w:hAnsi="Times New Roman" w:cs="Times New Roman"/>
          <w:color w:val="000000"/>
          <w:kern w:val="0"/>
          <w:szCs w:val="32"/>
          <w:highlight w:val="none"/>
          <w:shd w:val="clear" w:color="auto" w:fill="FFFFFF"/>
          <w:lang w:val="en-US" w:eastAsia="zh-CN"/>
        </w:rPr>
        <w:t>2023年</w:t>
      </w:r>
      <w:r>
        <w:rPr>
          <w:rFonts w:hint="default" w:ascii="Times New Roman" w:hAnsi="Times New Roman" w:cs="Times New Roman"/>
          <w:color w:val="000000"/>
          <w:kern w:val="0"/>
          <w:szCs w:val="32"/>
          <w:highlight w:val="none"/>
          <w:shd w:val="clear" w:color="auto" w:fill="FFFFFF"/>
          <w:lang w:val="zh-CN" w:eastAsia="zh-CN"/>
        </w:rPr>
        <w:t>我单位预算执行整体情况正常，按照各项工作有序开展的进度，财政资金收支情况同时也按进度执行，有个别需要进一步加大力度开展。</w:t>
      </w:r>
    </w:p>
    <w:p w14:paraId="67A5D25B">
      <w:pPr>
        <w:keepNext w:val="0"/>
        <w:keepLines w:val="0"/>
        <w:pageBreakBefore w:val="0"/>
        <w:widowControl/>
        <w:kinsoku/>
        <w:wordWrap/>
        <w:overflowPunct/>
        <w:topLinePunct w:val="0"/>
        <w:autoSpaceDE/>
        <w:autoSpaceDN/>
        <w:bidi w:val="0"/>
        <w:spacing w:line="576" w:lineRule="exact"/>
        <w:ind w:firstLine="643" w:firstLineChars="200"/>
        <w:textAlignment w:val="auto"/>
        <w:rPr>
          <w:rFonts w:hint="default" w:ascii="Times New Roman" w:hAnsi="Times New Roman" w:eastAsia="楷体_GB2312" w:cs="Times New Roman"/>
          <w:b/>
          <w:bCs/>
          <w:color w:val="000000"/>
          <w:kern w:val="0"/>
          <w:szCs w:val="32"/>
          <w:highlight w:val="none"/>
          <w:shd w:val="clear" w:color="auto" w:fill="FFFFFF"/>
          <w:lang w:val="zh-CN"/>
        </w:rPr>
      </w:pPr>
      <w:r>
        <w:rPr>
          <w:rFonts w:hint="default" w:ascii="Times New Roman" w:hAnsi="Times New Roman" w:eastAsia="楷体_GB2312" w:cs="Times New Roman"/>
          <w:b/>
          <w:bCs/>
          <w:color w:val="000000"/>
          <w:kern w:val="0"/>
          <w:szCs w:val="32"/>
          <w:highlight w:val="none"/>
          <w:shd w:val="clear" w:color="auto" w:fill="FFFFFF"/>
          <w:lang w:val="zh-CN"/>
        </w:rPr>
        <w:t>（二）存在问题。</w:t>
      </w:r>
    </w:p>
    <w:p w14:paraId="7AFBDC27">
      <w:pPr>
        <w:keepNext w:val="0"/>
        <w:keepLines w:val="0"/>
        <w:pageBreakBefore w:val="0"/>
        <w:widowControl/>
        <w:kinsoku/>
        <w:wordWrap/>
        <w:overflowPunct/>
        <w:topLinePunct w:val="0"/>
        <w:autoSpaceDE/>
        <w:autoSpaceDN/>
        <w:bidi w:val="0"/>
        <w:spacing w:line="576" w:lineRule="exact"/>
        <w:ind w:firstLine="643" w:firstLineChars="200"/>
        <w:textAlignment w:val="auto"/>
        <w:rPr>
          <w:rFonts w:hint="default" w:ascii="Times New Roman" w:hAnsi="Times New Roman" w:cs="Times New Roman"/>
          <w:color w:val="000000"/>
          <w:kern w:val="0"/>
          <w:szCs w:val="32"/>
          <w:highlight w:val="none"/>
          <w:shd w:val="clear" w:color="auto" w:fill="FFFFFF"/>
          <w:lang w:val="zh-CN" w:eastAsia="zh-CN"/>
        </w:rPr>
      </w:pPr>
      <w:r>
        <w:rPr>
          <w:rFonts w:hint="default" w:ascii="Times New Roman" w:hAnsi="Times New Roman" w:cs="Times New Roman"/>
          <w:b/>
          <w:bCs/>
          <w:color w:val="000000"/>
          <w:kern w:val="0"/>
          <w:szCs w:val="32"/>
          <w:highlight w:val="none"/>
          <w:shd w:val="clear" w:color="auto" w:fill="FFFFFF"/>
          <w:lang w:val="zh-CN" w:eastAsia="zh-CN"/>
        </w:rPr>
        <w:t>1</w:t>
      </w:r>
      <w:r>
        <w:rPr>
          <w:rFonts w:hint="eastAsia" w:ascii="Times New Roman" w:hAnsi="Times New Roman" w:cs="Times New Roman"/>
          <w:b/>
          <w:bCs/>
          <w:color w:val="000000"/>
          <w:kern w:val="0"/>
          <w:szCs w:val="32"/>
          <w:highlight w:val="none"/>
          <w:shd w:val="clear" w:color="auto" w:fill="FFFFFF"/>
          <w:lang w:val="zh-CN" w:eastAsia="zh-CN"/>
        </w:rPr>
        <w:t>.</w:t>
      </w:r>
      <w:r>
        <w:rPr>
          <w:rFonts w:hint="default" w:ascii="Times New Roman" w:hAnsi="Times New Roman" w:cs="Times New Roman"/>
          <w:b/>
          <w:bCs/>
          <w:color w:val="000000"/>
          <w:kern w:val="0"/>
          <w:szCs w:val="32"/>
          <w:highlight w:val="none"/>
          <w:shd w:val="clear" w:color="auto" w:fill="FFFFFF"/>
          <w:lang w:val="zh-CN" w:eastAsia="zh-CN"/>
        </w:rPr>
        <w:t>资产管理不规范。</w:t>
      </w:r>
      <w:r>
        <w:rPr>
          <w:rFonts w:hint="default" w:ascii="Times New Roman" w:hAnsi="Times New Roman" w:cs="Times New Roman"/>
          <w:color w:val="000000"/>
          <w:kern w:val="0"/>
          <w:szCs w:val="32"/>
          <w:highlight w:val="none"/>
          <w:shd w:val="clear" w:color="auto" w:fill="FFFFFF"/>
          <w:lang w:val="zh-CN" w:eastAsia="zh-CN"/>
        </w:rPr>
        <w:t>单位人员流动大，造成资产管理不到位。</w:t>
      </w:r>
    </w:p>
    <w:p w14:paraId="5B22092E">
      <w:pPr>
        <w:keepNext w:val="0"/>
        <w:keepLines w:val="0"/>
        <w:pageBreakBefore w:val="0"/>
        <w:widowControl/>
        <w:kinsoku/>
        <w:wordWrap/>
        <w:overflowPunct/>
        <w:topLinePunct w:val="0"/>
        <w:autoSpaceDE/>
        <w:autoSpaceDN/>
        <w:bidi w:val="0"/>
        <w:spacing w:line="576" w:lineRule="exact"/>
        <w:ind w:firstLine="643" w:firstLineChars="200"/>
        <w:textAlignment w:val="auto"/>
        <w:rPr>
          <w:rFonts w:hint="default" w:ascii="Times New Roman" w:hAnsi="Times New Roman" w:cs="Times New Roman"/>
          <w:color w:val="000000"/>
          <w:kern w:val="0"/>
          <w:szCs w:val="32"/>
          <w:highlight w:val="none"/>
          <w:shd w:val="clear" w:color="auto" w:fill="FFFFFF"/>
          <w:lang w:val="zh-CN" w:eastAsia="zh-CN"/>
        </w:rPr>
      </w:pPr>
      <w:r>
        <w:rPr>
          <w:rFonts w:hint="default" w:ascii="Times New Roman" w:hAnsi="Times New Roman" w:cs="Times New Roman"/>
          <w:b/>
          <w:bCs/>
          <w:color w:val="000000"/>
          <w:kern w:val="0"/>
          <w:szCs w:val="32"/>
          <w:highlight w:val="none"/>
          <w:shd w:val="clear" w:color="auto" w:fill="FFFFFF"/>
          <w:lang w:val="en-US" w:eastAsia="zh-CN"/>
        </w:rPr>
        <w:t>2</w:t>
      </w:r>
      <w:r>
        <w:rPr>
          <w:rFonts w:hint="eastAsia" w:ascii="Times New Roman" w:hAnsi="Times New Roman" w:cs="Times New Roman"/>
          <w:b/>
          <w:bCs/>
          <w:color w:val="000000"/>
          <w:kern w:val="0"/>
          <w:szCs w:val="32"/>
          <w:highlight w:val="none"/>
          <w:shd w:val="clear" w:color="auto" w:fill="FFFFFF"/>
          <w:lang w:val="zh-CN" w:eastAsia="zh-CN"/>
        </w:rPr>
        <w:t>.</w:t>
      </w:r>
      <w:r>
        <w:rPr>
          <w:rFonts w:hint="default" w:ascii="Times New Roman" w:hAnsi="Times New Roman" w:cs="Times New Roman"/>
          <w:b/>
          <w:bCs/>
          <w:color w:val="000000"/>
          <w:kern w:val="0"/>
          <w:szCs w:val="32"/>
          <w:highlight w:val="none"/>
          <w:shd w:val="clear" w:color="auto" w:fill="FFFFFF"/>
          <w:lang w:val="zh-CN" w:eastAsia="zh-CN"/>
        </w:rPr>
        <w:t>部分项目预算约束性不够。</w:t>
      </w:r>
      <w:r>
        <w:rPr>
          <w:rFonts w:hint="default" w:ascii="Times New Roman" w:hAnsi="Times New Roman" w:cs="Times New Roman"/>
          <w:color w:val="000000"/>
          <w:kern w:val="0"/>
          <w:szCs w:val="32"/>
          <w:highlight w:val="none"/>
          <w:shd w:val="clear" w:color="auto" w:fill="FFFFFF"/>
          <w:lang w:val="zh-CN" w:eastAsia="zh-CN"/>
        </w:rPr>
        <w:t>预算编制不够扎实，在预算执行过程中调整变动较大，客观存在实际支出与年初预算发生偏差。</w:t>
      </w:r>
    </w:p>
    <w:p w14:paraId="1E95CAAB">
      <w:pPr>
        <w:keepNext w:val="0"/>
        <w:keepLines w:val="0"/>
        <w:pageBreakBefore w:val="0"/>
        <w:widowControl/>
        <w:kinsoku/>
        <w:wordWrap/>
        <w:overflowPunct/>
        <w:topLinePunct w:val="0"/>
        <w:autoSpaceDE/>
        <w:autoSpaceDN/>
        <w:bidi w:val="0"/>
        <w:adjustRightInd w:val="0"/>
        <w:snapToGrid w:val="0"/>
        <w:spacing w:line="576" w:lineRule="exact"/>
        <w:ind w:firstLine="643" w:firstLineChars="200"/>
        <w:contextualSpacing/>
        <w:jc w:val="left"/>
        <w:textAlignment w:val="auto"/>
        <w:outlineLvl w:val="9"/>
        <w:rPr>
          <w:rFonts w:hint="default" w:ascii="Times New Roman" w:hAnsi="Times New Roman" w:eastAsia="楷体_GB2312" w:cs="Times New Roman"/>
          <w:b/>
          <w:bCs/>
          <w:color w:val="000000"/>
          <w:kern w:val="0"/>
          <w:szCs w:val="32"/>
          <w:highlight w:val="none"/>
          <w:shd w:val="clear" w:color="auto" w:fill="FFFFFF"/>
          <w:lang w:val="zh-CN" w:eastAsia="zh-CN"/>
        </w:rPr>
      </w:pPr>
      <w:r>
        <w:rPr>
          <w:rFonts w:hint="default" w:ascii="Times New Roman" w:hAnsi="Times New Roman" w:eastAsia="楷体_GB2312" w:cs="Times New Roman"/>
          <w:b/>
          <w:bCs/>
          <w:color w:val="000000"/>
          <w:kern w:val="0"/>
          <w:szCs w:val="32"/>
          <w:highlight w:val="none"/>
          <w:shd w:val="clear" w:color="auto" w:fill="FFFFFF"/>
          <w:lang w:val="zh-CN" w:eastAsia="zh-CN"/>
        </w:rPr>
        <w:t>（三）改进建议。</w:t>
      </w:r>
      <w:bookmarkStart w:id="0" w:name="_Hlk110546638"/>
    </w:p>
    <w:p w14:paraId="09B0D862">
      <w:pPr>
        <w:keepNext w:val="0"/>
        <w:keepLines w:val="0"/>
        <w:pageBreakBefore w:val="0"/>
        <w:widowControl/>
        <w:kinsoku/>
        <w:wordWrap/>
        <w:overflowPunct/>
        <w:topLinePunct w:val="0"/>
        <w:autoSpaceDE/>
        <w:autoSpaceDN/>
        <w:bidi w:val="0"/>
        <w:spacing w:line="576" w:lineRule="exact"/>
        <w:ind w:firstLine="640" w:firstLineChars="200"/>
        <w:textAlignment w:val="auto"/>
        <w:rPr>
          <w:rFonts w:hint="default" w:ascii="Times New Roman" w:hAnsi="Times New Roman" w:cs="Times New Roman"/>
          <w:color w:val="000000"/>
          <w:kern w:val="0"/>
          <w:szCs w:val="32"/>
          <w:highlight w:val="none"/>
          <w:shd w:val="clear" w:color="auto" w:fill="FFFFFF"/>
          <w:lang w:val="zh-CN" w:eastAsia="zh-CN"/>
        </w:rPr>
      </w:pPr>
      <w:r>
        <w:rPr>
          <w:rFonts w:hint="default" w:ascii="Times New Roman" w:hAnsi="Times New Roman" w:cs="Times New Roman"/>
          <w:color w:val="000000"/>
          <w:kern w:val="0"/>
          <w:szCs w:val="32"/>
          <w:highlight w:val="none"/>
          <w:shd w:val="clear" w:color="auto" w:fill="FFFFFF"/>
          <w:lang w:val="en-US" w:eastAsia="zh-CN"/>
        </w:rPr>
        <w:t>1.</w:t>
      </w:r>
      <w:r>
        <w:rPr>
          <w:rFonts w:hint="default" w:ascii="Times New Roman" w:hAnsi="Times New Roman" w:cs="Times New Roman"/>
          <w:color w:val="000000"/>
          <w:kern w:val="0"/>
          <w:szCs w:val="32"/>
          <w:highlight w:val="none"/>
          <w:shd w:val="clear" w:color="auto" w:fill="FFFFFF"/>
          <w:lang w:val="zh-CN" w:eastAsia="zh-CN"/>
        </w:rPr>
        <w:t>建议财政部门能组织各单位财务人员进行业务培训，不断提升各单位财务人员的业务素质和职业道德。</w:t>
      </w:r>
    </w:p>
    <w:p w14:paraId="7EBD3E4B">
      <w:pPr>
        <w:pStyle w:val="2"/>
        <w:keepNext w:val="0"/>
        <w:keepLines w:val="0"/>
        <w:pageBreakBefore w:val="0"/>
        <w:kinsoku/>
        <w:wordWrap/>
        <w:overflowPunct/>
        <w:topLinePunct w:val="0"/>
        <w:autoSpaceDE/>
        <w:autoSpaceDN/>
        <w:bidi w:val="0"/>
        <w:spacing w:after="0" w:line="576" w:lineRule="exact"/>
        <w:ind w:left="0" w:leftChars="0" w:firstLine="640" w:firstLineChars="200"/>
        <w:textAlignment w:val="auto"/>
        <w:rPr>
          <w:rFonts w:hint="default" w:ascii="Times New Roman" w:hAnsi="Times New Roman" w:cs="Times New Roman"/>
          <w:lang w:val="en-US" w:eastAsia="zh-CN"/>
        </w:rPr>
      </w:pPr>
      <w:r>
        <w:rPr>
          <w:rFonts w:hint="default" w:ascii="Times New Roman" w:hAnsi="Times New Roman" w:cs="Times New Roman"/>
          <w:color w:val="000000"/>
          <w:kern w:val="0"/>
          <w:szCs w:val="32"/>
          <w:highlight w:val="none"/>
          <w:shd w:val="clear" w:color="auto" w:fill="FFFFFF"/>
          <w:lang w:val="en-US" w:eastAsia="zh-CN"/>
        </w:rPr>
        <w:t>2.积极争取财政支持，力争年初预算安排足额到位。增强预算的刚性约束，严格做到“无预算不支出”，强化预算对执行的控制。</w:t>
      </w:r>
    </w:p>
    <w:bookmarkEnd w:id="0"/>
    <w:p w14:paraId="3315A055">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cs="Times New Roman"/>
          <w:color w:val="000000"/>
          <w:kern w:val="0"/>
          <w:szCs w:val="32"/>
          <w:highlight w:val="none"/>
          <w:shd w:val="clear" w:color="auto" w:fill="FFFFFF"/>
          <w:lang w:val="en-US" w:eastAsia="zh-CN"/>
        </w:rPr>
      </w:pPr>
    </w:p>
    <w:p w14:paraId="0C34B270">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kern w:val="2"/>
          <w:sz w:val="32"/>
          <w:szCs w:val="24"/>
          <w:highlight w:val="none"/>
          <w:lang w:val="en-US" w:eastAsia="zh-CN" w:bidi="ar-SA"/>
        </w:rPr>
      </w:pPr>
      <w:r>
        <w:rPr>
          <w:rFonts w:hint="default" w:ascii="Times New Roman" w:hAnsi="Times New Roman" w:cs="Times New Roman"/>
          <w:color w:val="000000"/>
          <w:kern w:val="0"/>
          <w:szCs w:val="32"/>
          <w:highlight w:val="none"/>
          <w:shd w:val="clear" w:color="auto" w:fill="FFFFFF"/>
          <w:lang w:val="en-US" w:eastAsia="zh-CN"/>
        </w:rPr>
        <w:t>附表：部门整体支出绩效目标完成情况自评表</w:t>
      </w:r>
      <w:r>
        <w:rPr>
          <w:rFonts w:hint="default" w:ascii="Times New Roman" w:hAnsi="Times New Roman" w:cs="Times New Roman"/>
          <w:color w:val="000000"/>
          <w:kern w:val="0"/>
          <w:szCs w:val="32"/>
          <w:highlight w:val="none"/>
          <w:shd w:val="clear" w:color="auto" w:fill="FFFFFF"/>
          <w:lang w:val="en-US" w:eastAsia="zh-CN"/>
        </w:rPr>
        <w:br w:type="page"/>
      </w:r>
      <w:r>
        <w:rPr>
          <w:rFonts w:hint="default" w:ascii="Times New Roman" w:hAnsi="Times New Roman" w:eastAsia="黑体" w:cs="Times New Roman"/>
          <w:kern w:val="2"/>
          <w:sz w:val="32"/>
          <w:szCs w:val="24"/>
          <w:highlight w:val="none"/>
          <w:lang w:val="en-US" w:eastAsia="zh-CN" w:bidi="ar-SA"/>
        </w:rPr>
        <w:t>附表</w:t>
      </w:r>
    </w:p>
    <w:tbl>
      <w:tblPr>
        <w:tblStyle w:val="12"/>
        <w:tblW w:w="105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309"/>
        <w:gridCol w:w="1347"/>
        <w:gridCol w:w="1273"/>
        <w:gridCol w:w="1595"/>
        <w:gridCol w:w="649"/>
        <w:gridCol w:w="1"/>
        <w:gridCol w:w="1289"/>
        <w:gridCol w:w="1058"/>
        <w:gridCol w:w="926"/>
        <w:gridCol w:w="1113"/>
      </w:tblGrid>
      <w:tr w14:paraId="027FE0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62" w:hRule="exact"/>
          <w:jc w:val="center"/>
        </w:trPr>
        <w:tc>
          <w:tcPr>
            <w:tcW w:w="10560" w:type="dxa"/>
            <w:gridSpan w:val="10"/>
            <w:shd w:val="clear" w:color="auto" w:fill="auto"/>
            <w:vAlign w:val="center"/>
          </w:tcPr>
          <w:p w14:paraId="54080317">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outlineLvl w:val="9"/>
              <w:rPr>
                <w:rFonts w:hint="default" w:ascii="Times New Roman" w:hAnsi="Times New Roman" w:eastAsia="黑体" w:cs="Times New Roman"/>
                <w:i w:val="0"/>
                <w:color w:val="000000"/>
                <w:sz w:val="28"/>
                <w:szCs w:val="28"/>
                <w:u w:val="none"/>
              </w:rPr>
            </w:pPr>
            <w:r>
              <w:rPr>
                <w:rFonts w:hint="default" w:ascii="Times New Roman" w:hAnsi="Times New Roman" w:eastAsia="方正小标宋简体" w:cs="Times New Roman"/>
                <w:i w:val="0"/>
                <w:color w:val="000000"/>
                <w:kern w:val="0"/>
                <w:sz w:val="44"/>
                <w:szCs w:val="44"/>
                <w:u w:val="none"/>
                <w:lang w:val="en-US" w:eastAsia="zh-CN" w:bidi="ar"/>
              </w:rPr>
              <w:t>部门整体支出绩效目标完成情况自评表</w:t>
            </w:r>
          </w:p>
        </w:tc>
      </w:tr>
      <w:tr w14:paraId="71F789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0560" w:type="dxa"/>
            <w:gridSpan w:val="10"/>
            <w:shd w:val="clear" w:color="auto" w:fill="auto"/>
            <w:vAlign w:val="center"/>
          </w:tcPr>
          <w:p w14:paraId="32993EA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8"/>
                <w:szCs w:val="28"/>
                <w:u w:val="none"/>
              </w:rPr>
            </w:pPr>
            <w:r>
              <w:rPr>
                <w:rFonts w:hint="default" w:ascii="Times New Roman" w:hAnsi="Times New Roman" w:eastAsia="宋体" w:cs="Times New Roman"/>
                <w:i w:val="0"/>
                <w:color w:val="000000"/>
                <w:kern w:val="0"/>
                <w:sz w:val="28"/>
                <w:szCs w:val="28"/>
                <w:u w:val="none"/>
                <w:lang w:val="en-US" w:eastAsia="zh-CN" w:bidi="ar"/>
              </w:rPr>
              <w:t>（2023年度）</w:t>
            </w:r>
          </w:p>
        </w:tc>
      </w:tr>
      <w:tr w14:paraId="6AD761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0560" w:type="dxa"/>
            <w:gridSpan w:val="10"/>
            <w:tcBorders>
              <w:bottom w:val="single" w:color="000000" w:sz="4" w:space="0"/>
            </w:tcBorders>
            <w:shd w:val="clear" w:color="auto" w:fill="auto"/>
            <w:vAlign w:val="center"/>
          </w:tcPr>
          <w:p w14:paraId="6CDD7A77">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center"/>
              <w:outlineLvl w:val="9"/>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单位：万元</w:t>
            </w:r>
          </w:p>
        </w:tc>
      </w:tr>
      <w:tr w14:paraId="40D1D7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3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8AB63D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部门名称</w:t>
            </w:r>
          </w:p>
        </w:tc>
        <w:tc>
          <w:tcPr>
            <w:tcW w:w="663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3A36C2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松潘县人力资源和社会保障局</w:t>
            </w:r>
          </w:p>
        </w:tc>
      </w:tr>
      <w:tr w14:paraId="426800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3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4CC69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年度部门整体支出预算</w:t>
            </w:r>
          </w:p>
        </w:tc>
        <w:tc>
          <w:tcPr>
            <w:tcW w:w="2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A202F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资金总额</w:t>
            </w:r>
          </w:p>
        </w:tc>
        <w:tc>
          <w:tcPr>
            <w:tcW w:w="22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3F154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财政拨款</w:t>
            </w: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C28E57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其他资金</w:t>
            </w:r>
          </w:p>
        </w:tc>
      </w:tr>
      <w:tr w14:paraId="654A5C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7DE407">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24"/>
                <w:szCs w:val="24"/>
                <w:u w:val="none"/>
              </w:rPr>
            </w:pPr>
          </w:p>
        </w:tc>
        <w:tc>
          <w:tcPr>
            <w:tcW w:w="2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EC2C3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lang w:val="en-US"/>
              </w:rPr>
            </w:pPr>
            <w:r>
              <w:rPr>
                <w:rFonts w:hint="default" w:ascii="Times New Roman" w:hAnsi="Times New Roman" w:eastAsia="宋体" w:cs="Times New Roman"/>
                <w:i w:val="0"/>
                <w:color w:val="000000"/>
                <w:kern w:val="0"/>
                <w:sz w:val="24"/>
                <w:szCs w:val="24"/>
                <w:u w:val="none"/>
                <w:lang w:val="en-US" w:eastAsia="zh-CN" w:bidi="ar"/>
              </w:rPr>
              <w:t>2064.38</w:t>
            </w:r>
          </w:p>
        </w:tc>
        <w:tc>
          <w:tcPr>
            <w:tcW w:w="22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6A3CC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lang w:val="en-US"/>
              </w:rPr>
            </w:pPr>
            <w:r>
              <w:rPr>
                <w:rFonts w:hint="default" w:ascii="Times New Roman" w:hAnsi="Times New Roman" w:eastAsia="宋体" w:cs="Times New Roman"/>
                <w:i w:val="0"/>
                <w:color w:val="000000"/>
                <w:kern w:val="0"/>
                <w:sz w:val="24"/>
                <w:szCs w:val="24"/>
                <w:u w:val="none"/>
                <w:lang w:val="en-US" w:eastAsia="zh-CN" w:bidi="ar"/>
              </w:rPr>
              <w:t>2064.38</w:t>
            </w: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933E29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0</w:t>
            </w:r>
          </w:p>
        </w:tc>
      </w:tr>
      <w:tr w14:paraId="12EAFC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1EDD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年度总体</w:t>
            </w:r>
          </w:p>
          <w:p w14:paraId="47CD4B8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目标</w:t>
            </w:r>
          </w:p>
        </w:tc>
        <w:tc>
          <w:tcPr>
            <w:tcW w:w="925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46877F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宋体" w:cs="Times New Roman"/>
                <w:i w:val="0"/>
                <w:color w:val="000000"/>
                <w:sz w:val="24"/>
                <w:szCs w:val="24"/>
                <w:u w:val="none"/>
                <w:lang w:eastAsia="zh-CN"/>
              </w:rPr>
            </w:pPr>
            <w:r>
              <w:rPr>
                <w:rFonts w:hint="default" w:ascii="Times New Roman" w:hAnsi="Times New Roman" w:eastAsia="宋体" w:cs="Times New Roman"/>
                <w:i w:val="0"/>
                <w:color w:val="000000"/>
                <w:sz w:val="24"/>
                <w:szCs w:val="24"/>
                <w:u w:val="none"/>
                <w:lang w:eastAsia="zh-CN"/>
              </w:rPr>
              <w:t>执行人社局总体运行工作，宣传政策方针以及完成上级交办的其他任务等。</w:t>
            </w:r>
          </w:p>
        </w:tc>
      </w:tr>
      <w:tr w14:paraId="14B7BA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3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4B3D1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年度主要</w:t>
            </w:r>
          </w:p>
          <w:p w14:paraId="747C2DD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任务</w:t>
            </w:r>
          </w:p>
        </w:tc>
        <w:tc>
          <w:tcPr>
            <w:tcW w:w="2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8F7D2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任务名称</w:t>
            </w:r>
          </w:p>
        </w:tc>
        <w:tc>
          <w:tcPr>
            <w:tcW w:w="663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5CB2AE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主要内容</w:t>
            </w:r>
          </w:p>
        </w:tc>
      </w:tr>
      <w:tr w14:paraId="641F5B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4B3BDE">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24"/>
                <w:szCs w:val="24"/>
                <w:u w:val="none"/>
              </w:rPr>
            </w:pPr>
          </w:p>
        </w:tc>
        <w:tc>
          <w:tcPr>
            <w:tcW w:w="2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44536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宋体" w:cs="Times New Roman"/>
                <w:i w:val="0"/>
                <w:color w:val="000000"/>
                <w:sz w:val="24"/>
                <w:szCs w:val="24"/>
                <w:u w:val="none"/>
                <w:lang w:eastAsia="zh-CN"/>
              </w:rPr>
            </w:pPr>
            <w:r>
              <w:rPr>
                <w:rFonts w:hint="default" w:ascii="Times New Roman" w:hAnsi="Times New Roman" w:eastAsia="宋体" w:cs="Times New Roman"/>
                <w:i w:val="0"/>
                <w:color w:val="000000"/>
                <w:sz w:val="24"/>
                <w:szCs w:val="24"/>
                <w:u w:val="none"/>
                <w:lang w:eastAsia="zh-CN"/>
              </w:rPr>
              <w:t>保障人社系统人员经费和办公正常运转</w:t>
            </w:r>
          </w:p>
        </w:tc>
        <w:tc>
          <w:tcPr>
            <w:tcW w:w="663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168C50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工资福利支出、办公经费、对个人和家庭补助</w:t>
            </w:r>
          </w:p>
        </w:tc>
      </w:tr>
      <w:tr w14:paraId="094E18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0010EC">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24"/>
                <w:szCs w:val="24"/>
                <w:u w:val="none"/>
              </w:rPr>
            </w:pPr>
          </w:p>
        </w:tc>
        <w:tc>
          <w:tcPr>
            <w:tcW w:w="2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D6196D">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lang w:eastAsia="zh-CN"/>
              </w:rPr>
            </w:pPr>
            <w:r>
              <w:rPr>
                <w:rFonts w:hint="default" w:ascii="Times New Roman" w:hAnsi="Times New Roman" w:eastAsia="宋体" w:cs="Times New Roman"/>
                <w:i w:val="0"/>
                <w:color w:val="000000"/>
                <w:sz w:val="24"/>
                <w:szCs w:val="24"/>
                <w:u w:val="none"/>
                <w:lang w:eastAsia="zh-CN"/>
              </w:rPr>
              <w:t>加强人才队伍建设工作</w:t>
            </w:r>
          </w:p>
        </w:tc>
        <w:tc>
          <w:tcPr>
            <w:tcW w:w="663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9CF04AE">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lang w:eastAsia="zh-CN"/>
              </w:rPr>
            </w:pPr>
            <w:r>
              <w:rPr>
                <w:rFonts w:hint="default" w:ascii="Times New Roman" w:hAnsi="Times New Roman" w:eastAsia="宋体" w:cs="Times New Roman"/>
                <w:i w:val="0"/>
                <w:color w:val="000000"/>
                <w:sz w:val="24"/>
                <w:szCs w:val="24"/>
                <w:u w:val="none"/>
                <w:lang w:eastAsia="zh-CN"/>
              </w:rPr>
              <w:t>做好全县事业单位工作人员笔试、面试工作，提高政府机关等部门工作效率。</w:t>
            </w:r>
          </w:p>
        </w:tc>
      </w:tr>
      <w:tr w14:paraId="13C76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309" w:type="dxa"/>
            <w:vMerge w:val="restart"/>
            <w:tcBorders>
              <w:top w:val="single" w:color="000000" w:sz="4" w:space="0"/>
              <w:left w:val="single" w:color="auto" w:sz="4" w:space="0"/>
              <w:bottom w:val="single" w:color="000000" w:sz="4" w:space="0"/>
              <w:right w:val="single" w:color="000000" w:sz="4" w:space="0"/>
            </w:tcBorders>
            <w:shd w:val="clear" w:color="auto" w:fill="auto"/>
            <w:vAlign w:val="center"/>
          </w:tcPr>
          <w:p w14:paraId="47A03FB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年度绩效</w:t>
            </w:r>
          </w:p>
          <w:p w14:paraId="0C5D06A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指标</w:t>
            </w:r>
          </w:p>
        </w:tc>
        <w:tc>
          <w:tcPr>
            <w:tcW w:w="13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8B83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一级指标</w:t>
            </w: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F856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二级指标</w:t>
            </w:r>
          </w:p>
        </w:tc>
        <w:tc>
          <w:tcPr>
            <w:tcW w:w="1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E193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三级指标</w:t>
            </w:r>
          </w:p>
        </w:tc>
        <w:tc>
          <w:tcPr>
            <w:tcW w:w="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AD242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绩效指标</w:t>
            </w:r>
          </w:p>
          <w:p w14:paraId="1E08163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性质</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EBD0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绩效指标值</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291D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绩效度量单位</w:t>
            </w:r>
          </w:p>
        </w:tc>
        <w:tc>
          <w:tcPr>
            <w:tcW w:w="926" w:type="dxa"/>
            <w:tcBorders>
              <w:top w:val="single" w:color="000000" w:sz="4" w:space="0"/>
              <w:left w:val="single" w:color="000000" w:sz="4" w:space="0"/>
              <w:bottom w:val="single" w:color="000000" w:sz="4" w:space="0"/>
            </w:tcBorders>
            <w:shd w:val="clear" w:color="auto" w:fill="auto"/>
            <w:vAlign w:val="center"/>
          </w:tcPr>
          <w:p w14:paraId="332A320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权重</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44ED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实际完成</w:t>
            </w:r>
          </w:p>
          <w:p w14:paraId="151AEED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指标值</w:t>
            </w:r>
          </w:p>
        </w:tc>
      </w:tr>
      <w:tr w14:paraId="0129B1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309"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5B98DC3C">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24"/>
                <w:szCs w:val="24"/>
                <w:u w:val="none"/>
              </w:rPr>
            </w:pPr>
          </w:p>
        </w:tc>
        <w:tc>
          <w:tcPr>
            <w:tcW w:w="1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6DA13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产出指标</w:t>
            </w: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27B2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数量指标</w:t>
            </w:r>
          </w:p>
        </w:tc>
        <w:tc>
          <w:tcPr>
            <w:tcW w:w="1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E21E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根据省州招聘计划完成人员招聘</w:t>
            </w:r>
          </w:p>
        </w:tc>
        <w:tc>
          <w:tcPr>
            <w:tcW w:w="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B44C8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定性</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1920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Times New Roman" w:hAnsi="Times New Roman" w:eastAsia="宋体" w:cs="Times New Roman"/>
                <w:i w:val="0"/>
                <w:color w:val="000000"/>
                <w:sz w:val="24"/>
                <w:szCs w:val="24"/>
                <w:u w:val="none"/>
                <w:lang w:val="en-US" w:eastAsia="zh-CN"/>
              </w:rPr>
            </w:pPr>
            <w:r>
              <w:rPr>
                <w:rFonts w:hint="default" w:ascii="Times New Roman" w:hAnsi="Times New Roman" w:eastAsia="宋体" w:cs="Times New Roman"/>
                <w:i w:val="0"/>
                <w:color w:val="000000"/>
                <w:sz w:val="24"/>
                <w:szCs w:val="24"/>
                <w:u w:val="none"/>
                <w:lang w:eastAsia="zh-CN"/>
              </w:rPr>
              <w:t>开展</w:t>
            </w:r>
            <w:r>
              <w:rPr>
                <w:rFonts w:hint="default" w:ascii="Times New Roman" w:hAnsi="Times New Roman" w:eastAsia="宋体" w:cs="Times New Roman"/>
                <w:i w:val="0"/>
                <w:color w:val="000000"/>
                <w:sz w:val="24"/>
                <w:szCs w:val="24"/>
                <w:u w:val="none"/>
                <w:lang w:val="en-US" w:eastAsia="zh-CN"/>
              </w:rPr>
              <w:t>2次事业单位考试</w:t>
            </w:r>
            <w:r>
              <w:rPr>
                <w:rFonts w:hint="eastAsia" w:eastAsia="宋体" w:cs="Times New Roman"/>
                <w:i w:val="0"/>
                <w:color w:val="000000"/>
                <w:sz w:val="24"/>
                <w:szCs w:val="24"/>
                <w:u w:val="none"/>
                <w:lang w:val="en-US" w:eastAsia="zh-CN"/>
              </w:rPr>
              <w:t>、1次职称评审工作</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F111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次</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D42A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宋体" w:cs="Times New Roman"/>
                <w:i w:val="0"/>
                <w:color w:val="000000"/>
                <w:sz w:val="24"/>
                <w:szCs w:val="24"/>
                <w:u w:val="none"/>
              </w:rPr>
            </w:pPr>
            <w:r>
              <w:rPr>
                <w:rFonts w:hint="eastAsia" w:eastAsia="宋体" w:cs="Times New Roman"/>
                <w:i w:val="0"/>
                <w:color w:val="000000"/>
                <w:kern w:val="0"/>
                <w:sz w:val="24"/>
                <w:szCs w:val="24"/>
                <w:u w:val="none"/>
                <w:lang w:val="en-US" w:eastAsia="zh-CN" w:bidi="ar"/>
              </w:rPr>
              <w:t>10</w:t>
            </w:r>
            <w:r>
              <w:rPr>
                <w:rFonts w:hint="default" w:ascii="Times New Roman" w:hAnsi="Times New Roman" w:eastAsia="宋体" w:cs="Times New Roman"/>
                <w:i w:val="0"/>
                <w:color w:val="000000"/>
                <w:kern w:val="0"/>
                <w:sz w:val="24"/>
                <w:szCs w:val="24"/>
                <w:u w:val="none"/>
                <w:lang w:val="en-US" w:eastAsia="zh-CN" w:bidi="ar"/>
              </w:rPr>
              <w:t>%</w:t>
            </w:r>
          </w:p>
        </w:tc>
        <w:tc>
          <w:tcPr>
            <w:tcW w:w="1113" w:type="dxa"/>
            <w:tcBorders>
              <w:left w:val="single" w:color="000000" w:sz="4" w:space="0"/>
              <w:bottom w:val="single" w:color="000000" w:sz="4" w:space="0"/>
              <w:right w:val="single" w:color="000000" w:sz="4" w:space="0"/>
            </w:tcBorders>
            <w:shd w:val="clear" w:color="auto" w:fill="auto"/>
            <w:vAlign w:val="center"/>
          </w:tcPr>
          <w:p w14:paraId="33A58AB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宋体" w:cs="Times New Roman"/>
                <w:i w:val="0"/>
                <w:color w:val="000000"/>
                <w:sz w:val="24"/>
                <w:szCs w:val="24"/>
                <w:u w:val="none"/>
                <w:lang w:val="en-US"/>
              </w:rPr>
            </w:pPr>
            <w:r>
              <w:rPr>
                <w:rFonts w:hint="default" w:ascii="Times New Roman" w:hAnsi="Times New Roman" w:eastAsia="宋体" w:cs="Times New Roman"/>
                <w:i w:val="0"/>
                <w:color w:val="000000"/>
                <w:kern w:val="0"/>
                <w:sz w:val="24"/>
                <w:szCs w:val="24"/>
                <w:u w:val="none"/>
                <w:lang w:val="en-US" w:eastAsia="zh-CN" w:bidi="ar"/>
              </w:rPr>
              <w:t>100%</w:t>
            </w:r>
          </w:p>
        </w:tc>
      </w:tr>
      <w:tr w14:paraId="722D7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30" w:hRule="atLeast"/>
          <w:jc w:val="center"/>
        </w:trPr>
        <w:tc>
          <w:tcPr>
            <w:tcW w:w="1309"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404DAEBB">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24"/>
                <w:szCs w:val="24"/>
                <w:u w:val="none"/>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12DE93">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24"/>
                <w:szCs w:val="24"/>
                <w:u w:val="none"/>
              </w:rPr>
            </w:pP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3EB9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质量指标</w:t>
            </w:r>
          </w:p>
        </w:tc>
        <w:tc>
          <w:tcPr>
            <w:tcW w:w="1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DE8D7">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lang w:eastAsia="zh-CN"/>
              </w:rPr>
            </w:pPr>
            <w:r>
              <w:rPr>
                <w:rFonts w:hint="default" w:ascii="Times New Roman" w:hAnsi="Times New Roman" w:eastAsia="宋体" w:cs="Times New Roman"/>
                <w:i w:val="0"/>
                <w:color w:val="000000"/>
                <w:sz w:val="24"/>
                <w:szCs w:val="24"/>
                <w:u w:val="none"/>
                <w:lang w:eastAsia="zh-CN"/>
              </w:rPr>
              <w:t>加强</w:t>
            </w:r>
            <w:r>
              <w:rPr>
                <w:rFonts w:hint="eastAsia" w:eastAsia="宋体" w:cs="Times New Roman"/>
                <w:i w:val="0"/>
                <w:color w:val="000000"/>
                <w:sz w:val="24"/>
                <w:szCs w:val="24"/>
                <w:u w:val="none"/>
                <w:lang w:eastAsia="zh-CN"/>
              </w:rPr>
              <w:t>人才队伍建设</w:t>
            </w:r>
            <w:r>
              <w:rPr>
                <w:rFonts w:hint="default" w:ascii="Times New Roman" w:hAnsi="Times New Roman" w:eastAsia="宋体" w:cs="Times New Roman"/>
                <w:i w:val="0"/>
                <w:color w:val="000000"/>
                <w:sz w:val="24"/>
                <w:szCs w:val="24"/>
                <w:u w:val="none"/>
                <w:lang w:eastAsia="zh-CN"/>
              </w:rPr>
              <w:t>工作质量</w:t>
            </w:r>
          </w:p>
        </w:tc>
        <w:tc>
          <w:tcPr>
            <w:tcW w:w="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1E4DAD">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lang w:eastAsia="zh-CN"/>
              </w:rPr>
            </w:pPr>
            <w:r>
              <w:rPr>
                <w:rFonts w:hint="default" w:ascii="Times New Roman" w:hAnsi="Times New Roman" w:eastAsia="宋体" w:cs="Times New Roman"/>
                <w:i w:val="0"/>
                <w:color w:val="000000"/>
                <w:sz w:val="24"/>
                <w:szCs w:val="24"/>
                <w:u w:val="none"/>
                <w:lang w:eastAsia="zh-CN"/>
              </w:rPr>
              <w:t>定性</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87F31">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lang w:eastAsia="zh-CN"/>
              </w:rPr>
            </w:pPr>
            <w:r>
              <w:rPr>
                <w:rFonts w:ascii="宋体" w:hAnsi="宋体" w:eastAsia="宋体" w:cs="宋体"/>
                <w:sz w:val="24"/>
                <w:szCs w:val="24"/>
              </w:rPr>
              <w:t>依法依程序和省州要求开展人才招聘工作和职称评审</w:t>
            </w:r>
            <w:r>
              <w:rPr>
                <w:rFonts w:hint="eastAsia" w:ascii="宋体" w:hAnsi="宋体" w:eastAsia="宋体" w:cs="宋体"/>
                <w:sz w:val="24"/>
                <w:szCs w:val="24"/>
                <w:lang w:eastAsia="zh-CN"/>
              </w:rPr>
              <w:t>工作</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76F57">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lang w:val="en-US" w:eastAsia="zh-CN"/>
              </w:rPr>
            </w:pPr>
            <w:r>
              <w:rPr>
                <w:rFonts w:hint="default" w:ascii="Times New Roman" w:hAnsi="Times New Roman" w:eastAsia="宋体" w:cs="Times New Roman"/>
                <w:i w:val="0"/>
                <w:color w:val="000000"/>
                <w:sz w:val="24"/>
                <w:szCs w:val="24"/>
                <w:u w:val="none"/>
                <w:lang w:val="en-US" w:eastAsia="zh-CN"/>
              </w:rPr>
              <w:t>%</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22918">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10</w:t>
            </w:r>
            <w:r>
              <w:rPr>
                <w:rFonts w:hint="default" w:ascii="Times New Roman" w:hAnsi="Times New Roman" w:eastAsia="宋体" w:cs="Times New Roman"/>
                <w:i w:val="0"/>
                <w:color w:val="000000"/>
                <w:sz w:val="24"/>
                <w:szCs w:val="24"/>
                <w:u w:val="none"/>
                <w:lang w:val="en-US" w:eastAsia="zh-CN"/>
              </w:rPr>
              <w:t>%</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C27EC">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lang w:val="en-US" w:eastAsia="zh-CN"/>
              </w:rPr>
            </w:pPr>
            <w:r>
              <w:rPr>
                <w:rFonts w:hint="default" w:ascii="Times New Roman" w:hAnsi="Times New Roman" w:eastAsia="宋体" w:cs="Times New Roman"/>
                <w:i w:val="0"/>
                <w:color w:val="000000"/>
                <w:sz w:val="24"/>
                <w:szCs w:val="24"/>
                <w:u w:val="none"/>
                <w:lang w:val="en-US" w:eastAsia="zh-CN"/>
              </w:rPr>
              <w:t>100%</w:t>
            </w:r>
          </w:p>
        </w:tc>
      </w:tr>
      <w:tr w14:paraId="282D3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97" w:hRule="atLeast"/>
          <w:jc w:val="center"/>
        </w:trPr>
        <w:tc>
          <w:tcPr>
            <w:tcW w:w="1309" w:type="dxa"/>
            <w:vMerge w:val="continue"/>
            <w:tcBorders>
              <w:top w:val="single" w:color="000000" w:sz="4" w:space="0"/>
              <w:left w:val="single" w:color="auto" w:sz="4" w:space="0"/>
              <w:bottom w:val="single" w:color="auto" w:sz="4" w:space="0"/>
              <w:right w:val="single" w:color="000000" w:sz="4" w:space="0"/>
            </w:tcBorders>
            <w:shd w:val="clear" w:color="auto" w:fill="auto"/>
            <w:vAlign w:val="center"/>
          </w:tcPr>
          <w:p w14:paraId="2AEBC857">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24"/>
                <w:szCs w:val="24"/>
                <w:u w:val="none"/>
              </w:rPr>
            </w:pPr>
          </w:p>
        </w:tc>
        <w:tc>
          <w:tcPr>
            <w:tcW w:w="1347"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20C67109">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24"/>
                <w:szCs w:val="24"/>
                <w:u w:val="none"/>
              </w:rPr>
            </w:pPr>
          </w:p>
        </w:tc>
        <w:tc>
          <w:tcPr>
            <w:tcW w:w="1273" w:type="dxa"/>
            <w:tcBorders>
              <w:top w:val="single" w:color="000000" w:sz="4" w:space="0"/>
              <w:left w:val="single" w:color="000000" w:sz="4" w:space="0"/>
              <w:bottom w:val="single" w:color="auto" w:sz="4" w:space="0"/>
              <w:right w:val="single" w:color="000000" w:sz="4" w:space="0"/>
            </w:tcBorders>
            <w:shd w:val="clear" w:color="auto" w:fill="auto"/>
            <w:vAlign w:val="center"/>
          </w:tcPr>
          <w:p w14:paraId="75C810D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时效指标</w:t>
            </w:r>
          </w:p>
        </w:tc>
        <w:tc>
          <w:tcPr>
            <w:tcW w:w="1595" w:type="dxa"/>
            <w:tcBorders>
              <w:top w:val="single" w:color="000000" w:sz="4" w:space="0"/>
              <w:left w:val="single" w:color="000000" w:sz="4" w:space="0"/>
              <w:bottom w:val="single" w:color="auto" w:sz="4" w:space="0"/>
              <w:right w:val="single" w:color="000000" w:sz="4" w:space="0"/>
            </w:tcBorders>
            <w:shd w:val="clear" w:color="auto" w:fill="auto"/>
            <w:vAlign w:val="center"/>
          </w:tcPr>
          <w:p w14:paraId="0BA50408">
            <w:pPr>
              <w:keepNext w:val="0"/>
              <w:keepLines w:val="0"/>
              <w:widowControl/>
              <w:suppressLineNumbers w:val="0"/>
              <w:jc w:val="left"/>
            </w:pPr>
            <w:r>
              <w:rPr>
                <w:rFonts w:ascii="宋体" w:hAnsi="宋体" w:eastAsia="宋体" w:cs="宋体"/>
                <w:kern w:val="0"/>
                <w:sz w:val="24"/>
                <w:szCs w:val="24"/>
                <w:lang w:val="en-US" w:eastAsia="zh-CN" w:bidi="ar"/>
              </w:rPr>
              <w:t>人员和工作经费、项目经费支出时效，人事人才，社会保险，就业创业，劳动关系服务及时性</w:t>
            </w:r>
          </w:p>
          <w:p w14:paraId="60505EEA">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lang w:eastAsia="zh-CN"/>
              </w:rPr>
            </w:pPr>
          </w:p>
        </w:tc>
        <w:tc>
          <w:tcPr>
            <w:tcW w:w="650"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14:paraId="317737B4">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lang w:eastAsia="zh-CN"/>
              </w:rPr>
            </w:pPr>
            <w:r>
              <w:rPr>
                <w:rFonts w:hint="default" w:ascii="Times New Roman" w:hAnsi="Times New Roman" w:eastAsia="宋体" w:cs="Times New Roman"/>
                <w:i w:val="0"/>
                <w:color w:val="000000"/>
                <w:sz w:val="24"/>
                <w:szCs w:val="24"/>
                <w:u w:val="none"/>
                <w:lang w:eastAsia="zh-CN"/>
              </w:rPr>
              <w:t>定性</w:t>
            </w:r>
          </w:p>
        </w:tc>
        <w:tc>
          <w:tcPr>
            <w:tcW w:w="1289" w:type="dxa"/>
            <w:tcBorders>
              <w:top w:val="single" w:color="000000" w:sz="4" w:space="0"/>
              <w:left w:val="single" w:color="000000" w:sz="4" w:space="0"/>
              <w:bottom w:val="single" w:color="auto" w:sz="4" w:space="0"/>
              <w:right w:val="single" w:color="000000" w:sz="4" w:space="0"/>
            </w:tcBorders>
            <w:shd w:val="clear" w:color="auto" w:fill="auto"/>
            <w:vAlign w:val="center"/>
          </w:tcPr>
          <w:p w14:paraId="4F173F7A">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lang w:val="en-US" w:eastAsia="zh-CN"/>
              </w:rPr>
            </w:pPr>
            <w:r>
              <w:rPr>
                <w:rFonts w:hint="default" w:ascii="Times New Roman" w:hAnsi="Times New Roman" w:eastAsia="宋体" w:cs="Times New Roman"/>
                <w:i w:val="0"/>
                <w:color w:val="000000"/>
                <w:sz w:val="24"/>
                <w:szCs w:val="24"/>
                <w:u w:val="none"/>
                <w:lang w:val="en-US" w:eastAsia="zh-CN"/>
              </w:rPr>
              <w:t>2023年12月底前</w:t>
            </w:r>
          </w:p>
        </w:tc>
        <w:tc>
          <w:tcPr>
            <w:tcW w:w="1058" w:type="dxa"/>
            <w:tcBorders>
              <w:top w:val="single" w:color="000000" w:sz="4" w:space="0"/>
              <w:left w:val="single" w:color="000000" w:sz="4" w:space="0"/>
              <w:bottom w:val="single" w:color="auto" w:sz="4" w:space="0"/>
              <w:right w:val="single" w:color="000000" w:sz="4" w:space="0"/>
            </w:tcBorders>
            <w:shd w:val="clear" w:color="auto" w:fill="auto"/>
            <w:vAlign w:val="center"/>
          </w:tcPr>
          <w:p w14:paraId="73386CD9">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lang w:eastAsia="zh-CN"/>
              </w:rPr>
            </w:pPr>
            <w:r>
              <w:rPr>
                <w:rFonts w:hint="default" w:ascii="Times New Roman" w:hAnsi="Times New Roman" w:eastAsia="宋体" w:cs="Times New Roman"/>
                <w:i w:val="0"/>
                <w:color w:val="000000"/>
                <w:sz w:val="24"/>
                <w:szCs w:val="24"/>
                <w:u w:val="none"/>
                <w:lang w:eastAsia="zh-CN"/>
              </w:rPr>
              <w:t>年</w:t>
            </w:r>
          </w:p>
        </w:tc>
        <w:tc>
          <w:tcPr>
            <w:tcW w:w="926" w:type="dxa"/>
            <w:tcBorders>
              <w:top w:val="single" w:color="000000" w:sz="4" w:space="0"/>
              <w:left w:val="single" w:color="000000" w:sz="4" w:space="0"/>
              <w:bottom w:val="single" w:color="auto" w:sz="4" w:space="0"/>
              <w:right w:val="single" w:color="000000" w:sz="4" w:space="0"/>
            </w:tcBorders>
            <w:shd w:val="clear" w:color="auto" w:fill="auto"/>
            <w:vAlign w:val="center"/>
          </w:tcPr>
          <w:p w14:paraId="63BFF553">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1</w:t>
            </w:r>
            <w:r>
              <w:rPr>
                <w:rFonts w:hint="default" w:ascii="Times New Roman" w:hAnsi="Times New Roman" w:eastAsia="宋体" w:cs="Times New Roman"/>
                <w:i w:val="0"/>
                <w:color w:val="000000"/>
                <w:sz w:val="24"/>
                <w:szCs w:val="24"/>
                <w:u w:val="none"/>
                <w:lang w:val="en-US" w:eastAsia="zh-CN"/>
              </w:rPr>
              <w:t>0%</w:t>
            </w:r>
          </w:p>
        </w:tc>
        <w:tc>
          <w:tcPr>
            <w:tcW w:w="1113" w:type="dxa"/>
            <w:tcBorders>
              <w:top w:val="single" w:color="000000" w:sz="4" w:space="0"/>
              <w:left w:val="single" w:color="000000" w:sz="4" w:space="0"/>
              <w:bottom w:val="single" w:color="auto" w:sz="4" w:space="0"/>
              <w:right w:val="single" w:color="000000" w:sz="4" w:space="0"/>
            </w:tcBorders>
            <w:shd w:val="clear" w:color="auto" w:fill="auto"/>
            <w:vAlign w:val="center"/>
          </w:tcPr>
          <w:p w14:paraId="1B17A83C">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lang w:val="en-US" w:eastAsia="zh-CN"/>
              </w:rPr>
            </w:pPr>
            <w:r>
              <w:rPr>
                <w:rFonts w:hint="default" w:ascii="Times New Roman" w:hAnsi="Times New Roman" w:eastAsia="宋体" w:cs="Times New Roman"/>
                <w:i w:val="0"/>
                <w:color w:val="000000"/>
                <w:sz w:val="24"/>
                <w:szCs w:val="24"/>
                <w:u w:val="none"/>
                <w:lang w:val="en-US" w:eastAsia="zh-CN"/>
              </w:rPr>
              <w:t>100%</w:t>
            </w:r>
          </w:p>
        </w:tc>
      </w:tr>
      <w:tr w14:paraId="31CE33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309"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73AD26FF">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24"/>
                <w:szCs w:val="24"/>
                <w:u w:val="none"/>
              </w:rPr>
            </w:pPr>
          </w:p>
        </w:tc>
        <w:tc>
          <w:tcPr>
            <w:tcW w:w="1347" w:type="dxa"/>
            <w:vMerge w:val="restart"/>
            <w:tcBorders>
              <w:top w:val="single" w:color="auto" w:sz="4" w:space="0"/>
              <w:left w:val="single" w:color="000000" w:sz="4" w:space="0"/>
              <w:right w:val="single" w:color="000000" w:sz="4" w:space="0"/>
            </w:tcBorders>
            <w:shd w:val="clear" w:color="auto" w:fill="auto"/>
            <w:vAlign w:val="center"/>
          </w:tcPr>
          <w:p w14:paraId="410300E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效益指标</w:t>
            </w:r>
          </w:p>
          <w:p w14:paraId="660F572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p>
        </w:tc>
        <w:tc>
          <w:tcPr>
            <w:tcW w:w="1273" w:type="dxa"/>
            <w:tcBorders>
              <w:top w:val="single" w:color="auto" w:sz="4" w:space="0"/>
              <w:left w:val="single" w:color="000000" w:sz="4" w:space="0"/>
              <w:bottom w:val="single" w:color="auto" w:sz="4" w:space="0"/>
              <w:right w:val="single" w:color="000000" w:sz="4" w:space="0"/>
            </w:tcBorders>
            <w:shd w:val="clear" w:color="auto" w:fill="auto"/>
            <w:vAlign w:val="center"/>
          </w:tcPr>
          <w:p w14:paraId="254F245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kern w:val="0"/>
                <w:sz w:val="24"/>
                <w:szCs w:val="24"/>
                <w:u w:val="none"/>
                <w:lang w:val="en-US" w:eastAsia="zh-CN" w:bidi="ar"/>
              </w:rPr>
            </w:pPr>
            <w:r>
              <w:rPr>
                <w:rFonts w:hint="eastAsia" w:eastAsia="宋体" w:cs="Times New Roman"/>
                <w:i w:val="0"/>
                <w:color w:val="000000"/>
                <w:kern w:val="0"/>
                <w:sz w:val="24"/>
                <w:szCs w:val="24"/>
                <w:u w:val="none"/>
                <w:lang w:val="en-US" w:eastAsia="zh-CN" w:bidi="ar"/>
              </w:rPr>
              <w:t>经济</w:t>
            </w:r>
            <w:r>
              <w:rPr>
                <w:rFonts w:hint="default" w:ascii="Times New Roman" w:hAnsi="Times New Roman" w:eastAsia="宋体" w:cs="Times New Roman"/>
                <w:i w:val="0"/>
                <w:color w:val="000000"/>
                <w:kern w:val="0"/>
                <w:sz w:val="24"/>
                <w:szCs w:val="24"/>
                <w:u w:val="none"/>
                <w:lang w:val="en-US" w:eastAsia="zh-CN" w:bidi="ar"/>
              </w:rPr>
              <w:t>效益</w:t>
            </w:r>
          </w:p>
          <w:p w14:paraId="49E036C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指标</w:t>
            </w:r>
          </w:p>
        </w:tc>
        <w:tc>
          <w:tcPr>
            <w:tcW w:w="1595" w:type="dxa"/>
            <w:tcBorders>
              <w:top w:val="single" w:color="auto" w:sz="4" w:space="0"/>
              <w:left w:val="single" w:color="000000" w:sz="4" w:space="0"/>
              <w:bottom w:val="single" w:color="auto" w:sz="4" w:space="0"/>
              <w:right w:val="single" w:color="000000" w:sz="4" w:space="0"/>
            </w:tcBorders>
            <w:shd w:val="clear" w:color="auto" w:fill="auto"/>
            <w:vAlign w:val="center"/>
          </w:tcPr>
          <w:p w14:paraId="359E36CA">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lang w:eastAsia="zh-CN"/>
              </w:rPr>
            </w:pPr>
            <w:r>
              <w:rPr>
                <w:rFonts w:hint="default" w:ascii="Times New Roman" w:hAnsi="Times New Roman" w:eastAsia="宋体" w:cs="Times New Roman"/>
                <w:i w:val="0"/>
                <w:color w:val="000000"/>
                <w:sz w:val="24"/>
                <w:szCs w:val="24"/>
                <w:u w:val="none"/>
                <w:lang w:eastAsia="zh-CN"/>
              </w:rPr>
              <w:t>保障职工工资福利待遇以及工资正常运转</w:t>
            </w:r>
          </w:p>
        </w:tc>
        <w:tc>
          <w:tcPr>
            <w:tcW w:w="650" w:type="dxa"/>
            <w:gridSpan w:val="2"/>
            <w:tcBorders>
              <w:top w:val="single" w:color="auto" w:sz="4" w:space="0"/>
              <w:left w:val="single" w:color="000000" w:sz="4" w:space="0"/>
              <w:bottom w:val="single" w:color="auto" w:sz="4" w:space="0"/>
              <w:right w:val="single" w:color="000000" w:sz="4" w:space="0"/>
            </w:tcBorders>
            <w:shd w:val="clear" w:color="auto" w:fill="auto"/>
            <w:vAlign w:val="center"/>
          </w:tcPr>
          <w:p w14:paraId="63340AB3">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lang w:eastAsia="zh-CN"/>
              </w:rPr>
            </w:pPr>
            <w:r>
              <w:rPr>
                <w:rFonts w:hint="default" w:ascii="Times New Roman" w:hAnsi="Times New Roman" w:eastAsia="宋体" w:cs="Times New Roman"/>
                <w:i w:val="0"/>
                <w:color w:val="000000"/>
                <w:sz w:val="24"/>
                <w:szCs w:val="24"/>
                <w:u w:val="none"/>
                <w:lang w:eastAsia="zh-CN"/>
              </w:rPr>
              <w:t>≥</w:t>
            </w:r>
          </w:p>
        </w:tc>
        <w:tc>
          <w:tcPr>
            <w:tcW w:w="1289" w:type="dxa"/>
            <w:tcBorders>
              <w:top w:val="single" w:color="auto" w:sz="4" w:space="0"/>
              <w:left w:val="single" w:color="000000" w:sz="4" w:space="0"/>
              <w:bottom w:val="single" w:color="auto" w:sz="4" w:space="0"/>
              <w:right w:val="single" w:color="000000" w:sz="4" w:space="0"/>
            </w:tcBorders>
            <w:shd w:val="clear" w:color="auto" w:fill="auto"/>
            <w:vAlign w:val="center"/>
          </w:tcPr>
          <w:p w14:paraId="1DA56680">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lang w:val="en-US" w:eastAsia="zh-CN"/>
              </w:rPr>
            </w:pPr>
            <w:r>
              <w:rPr>
                <w:rFonts w:hint="default" w:ascii="Times New Roman" w:hAnsi="Times New Roman" w:eastAsia="宋体" w:cs="Times New Roman"/>
                <w:i w:val="0"/>
                <w:color w:val="000000"/>
                <w:sz w:val="24"/>
                <w:szCs w:val="24"/>
                <w:u w:val="none"/>
                <w:lang w:val="en-US" w:eastAsia="zh-CN"/>
              </w:rPr>
              <w:t>100</w:t>
            </w:r>
          </w:p>
        </w:tc>
        <w:tc>
          <w:tcPr>
            <w:tcW w:w="1058" w:type="dxa"/>
            <w:tcBorders>
              <w:top w:val="single" w:color="auto" w:sz="4" w:space="0"/>
              <w:left w:val="single" w:color="000000" w:sz="4" w:space="0"/>
              <w:bottom w:val="single" w:color="auto" w:sz="4" w:space="0"/>
              <w:right w:val="single" w:color="000000" w:sz="4" w:space="0"/>
            </w:tcBorders>
            <w:shd w:val="clear" w:color="auto" w:fill="auto"/>
            <w:vAlign w:val="center"/>
          </w:tcPr>
          <w:p w14:paraId="0C280FC3">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lang w:val="en-US" w:eastAsia="zh-CN"/>
              </w:rPr>
            </w:pPr>
            <w:r>
              <w:rPr>
                <w:rFonts w:hint="default" w:ascii="Times New Roman" w:hAnsi="Times New Roman" w:eastAsia="宋体" w:cs="Times New Roman"/>
                <w:i w:val="0"/>
                <w:color w:val="000000"/>
                <w:sz w:val="24"/>
                <w:szCs w:val="24"/>
                <w:u w:val="none"/>
                <w:lang w:val="en-US" w:eastAsia="zh-CN"/>
              </w:rPr>
              <w:t>%</w:t>
            </w:r>
          </w:p>
        </w:tc>
        <w:tc>
          <w:tcPr>
            <w:tcW w:w="926" w:type="dxa"/>
            <w:tcBorders>
              <w:top w:val="single" w:color="auto" w:sz="4" w:space="0"/>
              <w:left w:val="single" w:color="000000" w:sz="4" w:space="0"/>
              <w:bottom w:val="single" w:color="auto" w:sz="4" w:space="0"/>
              <w:right w:val="single" w:color="000000" w:sz="4" w:space="0"/>
            </w:tcBorders>
            <w:shd w:val="clear" w:color="auto" w:fill="auto"/>
            <w:vAlign w:val="center"/>
          </w:tcPr>
          <w:p w14:paraId="5B491C18">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lang w:val="en-US" w:eastAsia="zh-CN"/>
              </w:rPr>
            </w:pPr>
            <w:r>
              <w:rPr>
                <w:rFonts w:hint="default" w:ascii="Times New Roman" w:hAnsi="Times New Roman" w:eastAsia="宋体" w:cs="Times New Roman"/>
                <w:i w:val="0"/>
                <w:color w:val="000000"/>
                <w:sz w:val="24"/>
                <w:szCs w:val="24"/>
                <w:u w:val="none"/>
                <w:lang w:val="en-US" w:eastAsia="zh-CN"/>
              </w:rPr>
              <w:t>20%</w:t>
            </w:r>
          </w:p>
        </w:tc>
        <w:tc>
          <w:tcPr>
            <w:tcW w:w="1113" w:type="dxa"/>
            <w:tcBorders>
              <w:top w:val="single" w:color="auto" w:sz="4" w:space="0"/>
              <w:left w:val="single" w:color="000000" w:sz="4" w:space="0"/>
              <w:bottom w:val="single" w:color="auto" w:sz="4" w:space="0"/>
              <w:right w:val="single" w:color="auto" w:sz="4" w:space="0"/>
            </w:tcBorders>
            <w:shd w:val="clear" w:color="auto" w:fill="auto"/>
            <w:vAlign w:val="center"/>
          </w:tcPr>
          <w:p w14:paraId="3F3BAB32">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lang w:val="en-US" w:eastAsia="zh-CN"/>
              </w:rPr>
            </w:pPr>
            <w:r>
              <w:rPr>
                <w:rFonts w:hint="default" w:ascii="Times New Roman" w:hAnsi="Times New Roman" w:eastAsia="宋体" w:cs="Times New Roman"/>
                <w:i w:val="0"/>
                <w:color w:val="000000"/>
                <w:sz w:val="24"/>
                <w:szCs w:val="24"/>
                <w:u w:val="none"/>
                <w:lang w:val="en-US" w:eastAsia="zh-CN"/>
              </w:rPr>
              <w:t>100%</w:t>
            </w:r>
          </w:p>
        </w:tc>
      </w:tr>
      <w:tr w14:paraId="4E065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309"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20E5B686">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24"/>
                <w:szCs w:val="24"/>
                <w:u w:val="none"/>
              </w:rPr>
            </w:pPr>
          </w:p>
        </w:tc>
        <w:tc>
          <w:tcPr>
            <w:tcW w:w="1347" w:type="dxa"/>
            <w:vMerge w:val="continue"/>
            <w:tcBorders>
              <w:left w:val="single" w:color="000000" w:sz="4" w:space="0"/>
              <w:bottom w:val="single" w:color="000000" w:sz="4" w:space="0"/>
              <w:right w:val="single" w:color="000000" w:sz="4" w:space="0"/>
            </w:tcBorders>
            <w:shd w:val="clear" w:color="auto" w:fill="auto"/>
            <w:vAlign w:val="center"/>
          </w:tcPr>
          <w:p w14:paraId="608A378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p>
        </w:tc>
        <w:tc>
          <w:tcPr>
            <w:tcW w:w="1273" w:type="dxa"/>
            <w:tcBorders>
              <w:top w:val="single" w:color="auto" w:sz="4" w:space="0"/>
              <w:left w:val="single" w:color="000000" w:sz="4" w:space="0"/>
              <w:bottom w:val="single" w:color="000000" w:sz="4" w:space="0"/>
              <w:right w:val="single" w:color="000000" w:sz="4" w:space="0"/>
            </w:tcBorders>
            <w:shd w:val="clear" w:color="auto" w:fill="auto"/>
            <w:vAlign w:val="center"/>
          </w:tcPr>
          <w:p w14:paraId="53736A9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eastAsia" w:eastAsia="宋体" w:cs="Times New Roman"/>
                <w:i w:val="0"/>
                <w:color w:val="000000"/>
                <w:kern w:val="0"/>
                <w:sz w:val="24"/>
                <w:szCs w:val="24"/>
                <w:u w:val="none"/>
                <w:lang w:val="en-US" w:eastAsia="zh-CN" w:bidi="ar"/>
              </w:rPr>
              <w:t>社会效益</w:t>
            </w:r>
            <w:r>
              <w:rPr>
                <w:rFonts w:hint="default" w:ascii="Times New Roman" w:hAnsi="Times New Roman" w:eastAsia="宋体" w:cs="Times New Roman"/>
                <w:i w:val="0"/>
                <w:color w:val="000000"/>
                <w:kern w:val="0"/>
                <w:sz w:val="24"/>
                <w:szCs w:val="24"/>
                <w:u w:val="none"/>
                <w:lang w:val="en-US" w:eastAsia="zh-CN" w:bidi="ar"/>
              </w:rPr>
              <w:t>指标</w:t>
            </w:r>
          </w:p>
        </w:tc>
        <w:tc>
          <w:tcPr>
            <w:tcW w:w="1595" w:type="dxa"/>
            <w:tcBorders>
              <w:top w:val="single" w:color="auto" w:sz="4" w:space="0"/>
              <w:left w:val="single" w:color="000000" w:sz="4" w:space="0"/>
              <w:bottom w:val="single" w:color="000000" w:sz="4" w:space="0"/>
              <w:right w:val="single" w:color="000000" w:sz="4" w:space="0"/>
            </w:tcBorders>
            <w:shd w:val="clear" w:color="auto" w:fill="auto"/>
            <w:vAlign w:val="center"/>
          </w:tcPr>
          <w:p w14:paraId="1B965ACF">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lang w:eastAsia="zh-CN"/>
              </w:rPr>
            </w:pPr>
            <w:r>
              <w:rPr>
                <w:rFonts w:ascii="宋体" w:hAnsi="宋体" w:eastAsia="宋体" w:cs="宋体"/>
                <w:sz w:val="24"/>
                <w:szCs w:val="24"/>
              </w:rPr>
              <w:t>提高人才队伍水平</w:t>
            </w:r>
          </w:p>
        </w:tc>
        <w:tc>
          <w:tcPr>
            <w:tcW w:w="650"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3CA6977C">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rPr>
            </w:pPr>
            <w:r>
              <w:rPr>
                <w:rFonts w:hint="eastAsia" w:eastAsia="宋体" w:cs="Times New Roman"/>
                <w:i w:val="0"/>
                <w:color w:val="000000"/>
                <w:sz w:val="24"/>
                <w:szCs w:val="24"/>
                <w:u w:val="none"/>
                <w:lang w:eastAsia="zh-CN"/>
              </w:rPr>
              <w:t>定性</w:t>
            </w:r>
          </w:p>
        </w:tc>
        <w:tc>
          <w:tcPr>
            <w:tcW w:w="1289" w:type="dxa"/>
            <w:tcBorders>
              <w:top w:val="single" w:color="auto" w:sz="4" w:space="0"/>
              <w:left w:val="single" w:color="000000" w:sz="4" w:space="0"/>
              <w:bottom w:val="single" w:color="000000" w:sz="4" w:space="0"/>
              <w:right w:val="single" w:color="000000" w:sz="4" w:space="0"/>
            </w:tcBorders>
            <w:shd w:val="clear" w:color="auto" w:fill="auto"/>
            <w:vAlign w:val="center"/>
          </w:tcPr>
          <w:p w14:paraId="0B6F1DAE">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lang w:val="en-US" w:eastAsia="zh-CN"/>
              </w:rPr>
            </w:pPr>
            <w:r>
              <w:rPr>
                <w:rFonts w:ascii="宋体" w:hAnsi="宋体" w:eastAsia="宋体" w:cs="宋体"/>
                <w:sz w:val="24"/>
                <w:szCs w:val="24"/>
              </w:rPr>
              <w:t>贯彻落实人才政策和各项人才服务工作</w:t>
            </w:r>
          </w:p>
        </w:tc>
        <w:tc>
          <w:tcPr>
            <w:tcW w:w="1058" w:type="dxa"/>
            <w:tcBorders>
              <w:top w:val="single" w:color="auto" w:sz="4" w:space="0"/>
              <w:left w:val="single" w:color="000000" w:sz="4" w:space="0"/>
              <w:bottom w:val="single" w:color="000000" w:sz="4" w:space="0"/>
              <w:right w:val="single" w:color="000000" w:sz="4" w:space="0"/>
            </w:tcBorders>
            <w:shd w:val="clear" w:color="auto" w:fill="auto"/>
            <w:vAlign w:val="center"/>
          </w:tcPr>
          <w:p w14:paraId="14AB308B">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lang w:val="en-US" w:eastAsia="zh-CN"/>
              </w:rPr>
            </w:pPr>
            <w:r>
              <w:rPr>
                <w:rFonts w:hint="default" w:ascii="Times New Roman" w:hAnsi="Times New Roman" w:eastAsia="宋体" w:cs="Times New Roman"/>
                <w:i w:val="0"/>
                <w:color w:val="000000"/>
                <w:sz w:val="24"/>
                <w:szCs w:val="24"/>
                <w:u w:val="none"/>
                <w:lang w:val="en-US" w:eastAsia="zh-CN"/>
              </w:rPr>
              <w:t>%</w:t>
            </w:r>
          </w:p>
        </w:tc>
        <w:tc>
          <w:tcPr>
            <w:tcW w:w="926" w:type="dxa"/>
            <w:tcBorders>
              <w:top w:val="single" w:color="auto" w:sz="4" w:space="0"/>
              <w:left w:val="single" w:color="000000" w:sz="4" w:space="0"/>
              <w:bottom w:val="single" w:color="000000" w:sz="4" w:space="0"/>
              <w:right w:val="single" w:color="000000" w:sz="4" w:space="0"/>
            </w:tcBorders>
            <w:shd w:val="clear" w:color="auto" w:fill="auto"/>
            <w:vAlign w:val="center"/>
          </w:tcPr>
          <w:p w14:paraId="6B4E1F3A">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lang w:val="en-US" w:eastAsia="zh-CN"/>
              </w:rPr>
            </w:pPr>
            <w:r>
              <w:rPr>
                <w:rFonts w:hint="default" w:ascii="Times New Roman" w:hAnsi="Times New Roman" w:eastAsia="宋体" w:cs="Times New Roman"/>
                <w:i w:val="0"/>
                <w:color w:val="000000"/>
                <w:sz w:val="24"/>
                <w:szCs w:val="24"/>
                <w:u w:val="none"/>
                <w:lang w:val="en-US" w:eastAsia="zh-CN"/>
              </w:rPr>
              <w:t>10%</w:t>
            </w:r>
          </w:p>
        </w:tc>
        <w:tc>
          <w:tcPr>
            <w:tcW w:w="1113" w:type="dxa"/>
            <w:tcBorders>
              <w:top w:val="single" w:color="auto" w:sz="4" w:space="0"/>
              <w:left w:val="single" w:color="000000" w:sz="4" w:space="0"/>
              <w:bottom w:val="single" w:color="000000" w:sz="4" w:space="0"/>
              <w:right w:val="single" w:color="000000" w:sz="4" w:space="0"/>
            </w:tcBorders>
            <w:shd w:val="clear" w:color="auto" w:fill="auto"/>
            <w:vAlign w:val="center"/>
          </w:tcPr>
          <w:p w14:paraId="164599C5">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lang w:val="en-US" w:eastAsia="zh-CN"/>
              </w:rPr>
            </w:pPr>
            <w:r>
              <w:rPr>
                <w:rFonts w:hint="default" w:ascii="Times New Roman" w:hAnsi="Times New Roman" w:eastAsia="宋体" w:cs="Times New Roman"/>
                <w:i w:val="0"/>
                <w:color w:val="000000"/>
                <w:sz w:val="24"/>
                <w:szCs w:val="24"/>
                <w:u w:val="none"/>
                <w:lang w:val="en-US" w:eastAsia="zh-CN"/>
              </w:rPr>
              <w:t>100%</w:t>
            </w:r>
          </w:p>
        </w:tc>
      </w:tr>
      <w:tr w14:paraId="0C8739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93A3A">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24"/>
                <w:szCs w:val="24"/>
                <w:u w:val="none"/>
              </w:rPr>
            </w:pPr>
          </w:p>
        </w:tc>
        <w:tc>
          <w:tcPr>
            <w:tcW w:w="13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0BB1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满意度指标</w:t>
            </w: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FCCD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满意度指标</w:t>
            </w:r>
          </w:p>
        </w:tc>
        <w:tc>
          <w:tcPr>
            <w:tcW w:w="1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13F91">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lang w:eastAsia="zh-CN"/>
              </w:rPr>
            </w:pPr>
            <w:r>
              <w:rPr>
                <w:rFonts w:hint="default" w:ascii="Times New Roman" w:hAnsi="Times New Roman" w:eastAsia="宋体" w:cs="Times New Roman"/>
                <w:i w:val="0"/>
                <w:color w:val="000000"/>
                <w:sz w:val="24"/>
                <w:szCs w:val="24"/>
                <w:u w:val="none"/>
                <w:lang w:eastAsia="zh-CN"/>
              </w:rPr>
              <w:t>受益对象满意度</w:t>
            </w:r>
          </w:p>
        </w:tc>
        <w:tc>
          <w:tcPr>
            <w:tcW w:w="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663363">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lang w:eastAsia="zh-CN"/>
              </w:rPr>
            </w:pPr>
            <w:r>
              <w:rPr>
                <w:rFonts w:hint="default" w:ascii="Times New Roman" w:hAnsi="Times New Roman" w:eastAsia="宋体" w:cs="Times New Roman"/>
                <w:i w:val="0"/>
                <w:color w:val="000000"/>
                <w:sz w:val="24"/>
                <w:szCs w:val="24"/>
                <w:u w:val="none"/>
                <w:lang w:eastAsia="zh-CN"/>
              </w:rPr>
              <w:t>≥</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21A0C">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lang w:val="en-US" w:eastAsia="zh-CN"/>
              </w:rPr>
            </w:pPr>
            <w:r>
              <w:rPr>
                <w:rFonts w:hint="default" w:ascii="Times New Roman" w:hAnsi="Times New Roman" w:eastAsia="宋体" w:cs="Times New Roman"/>
                <w:i w:val="0"/>
                <w:color w:val="000000"/>
                <w:sz w:val="24"/>
                <w:szCs w:val="24"/>
                <w:u w:val="none"/>
                <w:lang w:val="en-US" w:eastAsia="zh-CN"/>
              </w:rPr>
              <w:t>100</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2E5E1">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lang w:val="en-US" w:eastAsia="zh-CN"/>
              </w:rPr>
            </w:pPr>
            <w:r>
              <w:rPr>
                <w:rFonts w:hint="default" w:ascii="Times New Roman" w:hAnsi="Times New Roman" w:eastAsia="宋体" w:cs="Times New Roman"/>
                <w:i w:val="0"/>
                <w:color w:val="000000"/>
                <w:sz w:val="24"/>
                <w:szCs w:val="24"/>
                <w:u w:val="none"/>
                <w:lang w:val="en-US" w:eastAsia="zh-CN"/>
              </w:rPr>
              <w:t>%</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5C278">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lang w:val="en-US" w:eastAsia="zh-CN"/>
              </w:rPr>
            </w:pPr>
            <w:r>
              <w:rPr>
                <w:rFonts w:hint="default" w:ascii="Times New Roman" w:hAnsi="Times New Roman" w:eastAsia="宋体" w:cs="Times New Roman"/>
                <w:i w:val="0"/>
                <w:color w:val="000000"/>
                <w:sz w:val="24"/>
                <w:szCs w:val="24"/>
                <w:u w:val="none"/>
                <w:lang w:val="en-US" w:eastAsia="zh-CN"/>
              </w:rPr>
              <w:t>10%</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D1C9A">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lang w:val="en-US" w:eastAsia="zh-CN"/>
              </w:rPr>
            </w:pPr>
            <w:r>
              <w:rPr>
                <w:rFonts w:hint="default" w:ascii="Times New Roman" w:hAnsi="Times New Roman" w:eastAsia="宋体" w:cs="Times New Roman"/>
                <w:i w:val="0"/>
                <w:color w:val="000000"/>
                <w:sz w:val="24"/>
                <w:szCs w:val="24"/>
                <w:u w:val="none"/>
                <w:lang w:val="en-US" w:eastAsia="zh-CN"/>
              </w:rPr>
              <w:t>100%</w:t>
            </w:r>
          </w:p>
        </w:tc>
      </w:tr>
      <w:tr w14:paraId="6BB2C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0B7DC">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24"/>
                <w:szCs w:val="24"/>
                <w:u w:val="none"/>
              </w:rPr>
            </w:pPr>
          </w:p>
        </w:tc>
        <w:tc>
          <w:tcPr>
            <w:tcW w:w="13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5AB8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kern w:val="0"/>
                <w:sz w:val="24"/>
                <w:szCs w:val="24"/>
                <w:u w:val="none"/>
                <w:lang w:val="en-US" w:eastAsia="zh-CN" w:bidi="ar"/>
              </w:rPr>
            </w:pPr>
            <w:r>
              <w:rPr>
                <w:rFonts w:hint="eastAsia" w:eastAsia="宋体" w:cs="Times New Roman"/>
                <w:i w:val="0"/>
                <w:color w:val="000000"/>
                <w:kern w:val="0"/>
                <w:sz w:val="24"/>
                <w:szCs w:val="24"/>
                <w:u w:val="none"/>
                <w:lang w:val="en-US" w:eastAsia="zh-CN" w:bidi="ar"/>
              </w:rPr>
              <w:t>成本指标</w:t>
            </w: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24EA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kern w:val="0"/>
                <w:sz w:val="24"/>
                <w:szCs w:val="24"/>
                <w:u w:val="none"/>
                <w:lang w:val="en-US" w:eastAsia="zh-CN" w:bidi="ar"/>
              </w:rPr>
            </w:pPr>
            <w:r>
              <w:rPr>
                <w:rFonts w:hint="eastAsia" w:eastAsia="宋体" w:cs="Times New Roman"/>
                <w:i w:val="0"/>
                <w:color w:val="000000"/>
                <w:kern w:val="0"/>
                <w:sz w:val="24"/>
                <w:szCs w:val="24"/>
                <w:u w:val="none"/>
                <w:lang w:val="en-US" w:eastAsia="zh-CN" w:bidi="ar"/>
              </w:rPr>
              <w:t>经济成本指标</w:t>
            </w:r>
          </w:p>
        </w:tc>
        <w:tc>
          <w:tcPr>
            <w:tcW w:w="1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397C4">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lang w:eastAsia="zh-CN"/>
              </w:rPr>
            </w:pPr>
            <w:r>
              <w:rPr>
                <w:rFonts w:ascii="宋体" w:hAnsi="宋体" w:eastAsia="宋体" w:cs="宋体"/>
                <w:sz w:val="24"/>
                <w:szCs w:val="24"/>
              </w:rPr>
              <w:t>人才</w:t>
            </w:r>
            <w:r>
              <w:rPr>
                <w:rFonts w:hint="eastAsia" w:ascii="宋体" w:hAnsi="宋体" w:eastAsia="宋体" w:cs="宋体"/>
                <w:sz w:val="24"/>
                <w:szCs w:val="24"/>
                <w:lang w:eastAsia="zh-CN"/>
              </w:rPr>
              <w:t>工作</w:t>
            </w:r>
            <w:r>
              <w:rPr>
                <w:rFonts w:ascii="宋体" w:hAnsi="宋体" w:eastAsia="宋体" w:cs="宋体"/>
                <w:sz w:val="24"/>
                <w:szCs w:val="24"/>
              </w:rPr>
              <w:t>经费</w:t>
            </w:r>
          </w:p>
        </w:tc>
        <w:tc>
          <w:tcPr>
            <w:tcW w:w="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7CBF10">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lang w:eastAsia="zh-CN"/>
              </w:rPr>
            </w:pPr>
            <w:r>
              <w:rPr>
                <w:rFonts w:hint="eastAsia" w:eastAsia="宋体" w:cs="Times New Roman"/>
                <w:i w:val="0"/>
                <w:color w:val="000000"/>
                <w:sz w:val="24"/>
                <w:szCs w:val="24"/>
                <w:u w:val="none"/>
                <w:lang w:eastAsia="zh-CN"/>
              </w:rPr>
              <w:t>定性</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C8764">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控制在预算内</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CC4F4">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lang w:val="en-US" w:eastAsia="zh-CN"/>
              </w:rPr>
            </w:pPr>
            <w:r>
              <w:rPr>
                <w:rFonts w:hint="default" w:ascii="Times New Roman" w:hAnsi="Times New Roman" w:eastAsia="宋体" w:cs="Times New Roman"/>
                <w:i w:val="0"/>
                <w:color w:val="000000"/>
                <w:sz w:val="24"/>
                <w:szCs w:val="24"/>
                <w:u w:val="none"/>
                <w:lang w:val="en-US" w:eastAsia="zh-CN"/>
              </w:rPr>
              <w:t>%</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C0D73">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lang w:val="en-US" w:eastAsia="zh-CN"/>
              </w:rPr>
            </w:pPr>
            <w:r>
              <w:rPr>
                <w:rFonts w:hint="default" w:ascii="Times New Roman" w:hAnsi="Times New Roman" w:eastAsia="宋体" w:cs="Times New Roman"/>
                <w:i w:val="0"/>
                <w:color w:val="000000"/>
                <w:sz w:val="24"/>
                <w:szCs w:val="24"/>
                <w:u w:val="none"/>
                <w:lang w:val="en-US" w:eastAsia="zh-CN"/>
              </w:rPr>
              <w:t>20%</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117F8">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lang w:val="en-US" w:eastAsia="zh-CN"/>
              </w:rPr>
            </w:pPr>
            <w:r>
              <w:rPr>
                <w:rFonts w:hint="default" w:ascii="Times New Roman" w:hAnsi="Times New Roman" w:eastAsia="宋体" w:cs="Times New Roman"/>
                <w:i w:val="0"/>
                <w:color w:val="000000"/>
                <w:sz w:val="24"/>
                <w:szCs w:val="24"/>
                <w:u w:val="none"/>
                <w:lang w:val="en-US" w:eastAsia="zh-CN"/>
              </w:rPr>
              <w:t>100%</w:t>
            </w:r>
          </w:p>
        </w:tc>
      </w:tr>
    </w:tbl>
    <w:p w14:paraId="56993A2F">
      <w:pPr>
        <w:pStyle w:val="2"/>
        <w:ind w:left="0" w:leftChars="0" w:firstLine="0" w:firstLineChars="0"/>
        <w:rPr>
          <w:rFonts w:hint="default" w:ascii="Times New Roman" w:hAnsi="Times New Roman" w:eastAsia="黑体" w:cs="Times New Roman"/>
          <w:sz w:val="24"/>
          <w:szCs w:val="24"/>
          <w:highlight w:val="none"/>
          <w:lang w:val="en-US" w:eastAsia="zh-CN"/>
        </w:rPr>
      </w:pPr>
    </w:p>
    <w:sectPr>
      <w:headerReference r:id="rId3" w:type="default"/>
      <w:footerReference r:id="rId4" w:type="default"/>
      <w:pgSz w:w="11906" w:h="16838"/>
      <w:pgMar w:top="2098" w:right="1474" w:bottom="1984" w:left="1587" w:header="851" w:footer="1474" w:gutter="0"/>
      <w:pgNumType w:fmt="decimal"/>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Segoe Print"/>
    <w:panose1 w:val="00000000000000000000"/>
    <w:charset w:val="00"/>
    <w:family w:val="roman"/>
    <w:pitch w:val="default"/>
    <w:sig w:usb0="00000000" w:usb1="00000000" w:usb2="00000000" w:usb3="00000000" w:csb0="00000000" w:csb1="00000000"/>
  </w:font>
  <w:font w:name="Wingdings 2">
    <w:panose1 w:val="05020102010507070707"/>
    <w:charset w:val="00"/>
    <w:family w:val="auto"/>
    <w:pitch w:val="default"/>
    <w:sig w:usb0="00000000" w:usb1="00000000" w:usb2="00000000" w:usb3="00000000" w:csb0="80000000"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1E4202">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0F6D83">
                          <w:pPr>
                            <w:pStyle w:val="8"/>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- 1 -</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70F6D83">
                    <w:pPr>
                      <w:pStyle w:val="8"/>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- 1 -</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5ACF6E">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F429C5"/>
    <w:multiLevelType w:val="singleLevel"/>
    <w:tmpl w:val="B0F429C5"/>
    <w:lvl w:ilvl="0" w:tentative="0">
      <w:start w:val="2"/>
      <w:numFmt w:val="chineseCounting"/>
      <w:suff w:val="nothing"/>
      <w:lvlText w:val="（%1）"/>
      <w:lvlJc w:val="left"/>
      <w:rPr>
        <w:rFonts w:hint="eastAsia" w:ascii="楷体_GB2312" w:hAnsi="楷体_GB2312" w:eastAsia="楷体_GB2312" w:cs="楷体_GB2312"/>
        <w:b/>
        <w:bCs/>
        <w:sz w:val="32"/>
        <w:szCs w:val="32"/>
      </w:rPr>
    </w:lvl>
  </w:abstractNum>
  <w:abstractNum w:abstractNumId="1">
    <w:nsid w:val="525FB4CC"/>
    <w:multiLevelType w:val="singleLevel"/>
    <w:tmpl w:val="525FB4CC"/>
    <w:lvl w:ilvl="0" w:tentative="0">
      <w:start w:val="2"/>
      <w:numFmt w:val="chineseCounting"/>
      <w:suff w:val="nothing"/>
      <w:lvlText w:val="（%1）"/>
      <w:lvlJc w:val="left"/>
      <w:rPr>
        <w:rFonts w:hint="eastAsia" w:ascii="楷体_GB2312" w:hAnsi="楷体_GB2312" w:eastAsia="楷体_GB2312" w:cs="楷体_GB2312"/>
        <w:b/>
        <w:bCs/>
        <w:sz w:val="32"/>
        <w:szCs w:val="32"/>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60"/>
  <w:drawingGridVerticalSpacing w:val="43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MzMDFjNDRiNDI1ZjdjOWYyNTYzY2ViNmU5OWEwMmQifQ=="/>
  </w:docVars>
  <w:rsids>
    <w:rsidRoot w:val="00EC0174"/>
    <w:rsid w:val="00006E4D"/>
    <w:rsid w:val="00021652"/>
    <w:rsid w:val="00030311"/>
    <w:rsid w:val="00030782"/>
    <w:rsid w:val="00030B66"/>
    <w:rsid w:val="0006102A"/>
    <w:rsid w:val="00065B0F"/>
    <w:rsid w:val="00065E7E"/>
    <w:rsid w:val="000820BB"/>
    <w:rsid w:val="0008241B"/>
    <w:rsid w:val="00092280"/>
    <w:rsid w:val="00097FAE"/>
    <w:rsid w:val="000A3233"/>
    <w:rsid w:val="000A7CE3"/>
    <w:rsid w:val="000B04D6"/>
    <w:rsid w:val="000B15CE"/>
    <w:rsid w:val="000C40C6"/>
    <w:rsid w:val="000C79C1"/>
    <w:rsid w:val="000D208A"/>
    <w:rsid w:val="000E037E"/>
    <w:rsid w:val="000F659A"/>
    <w:rsid w:val="000F77B0"/>
    <w:rsid w:val="0010235D"/>
    <w:rsid w:val="00103A47"/>
    <w:rsid w:val="00106D4D"/>
    <w:rsid w:val="001119A2"/>
    <w:rsid w:val="001221D6"/>
    <w:rsid w:val="0012510A"/>
    <w:rsid w:val="00125F67"/>
    <w:rsid w:val="001261AE"/>
    <w:rsid w:val="001348A4"/>
    <w:rsid w:val="0014117C"/>
    <w:rsid w:val="00146FE8"/>
    <w:rsid w:val="0014767B"/>
    <w:rsid w:val="00147AED"/>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E1104"/>
    <w:rsid w:val="002E3FDD"/>
    <w:rsid w:val="00300EF4"/>
    <w:rsid w:val="00301353"/>
    <w:rsid w:val="00305FF6"/>
    <w:rsid w:val="00307568"/>
    <w:rsid w:val="00311506"/>
    <w:rsid w:val="00316ADB"/>
    <w:rsid w:val="00317623"/>
    <w:rsid w:val="00335F67"/>
    <w:rsid w:val="003361E9"/>
    <w:rsid w:val="00350A65"/>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E752F"/>
    <w:rsid w:val="004F1E37"/>
    <w:rsid w:val="00515198"/>
    <w:rsid w:val="00521C44"/>
    <w:rsid w:val="005274E1"/>
    <w:rsid w:val="00531DDF"/>
    <w:rsid w:val="00535FA6"/>
    <w:rsid w:val="00542AB7"/>
    <w:rsid w:val="0055358D"/>
    <w:rsid w:val="005540C8"/>
    <w:rsid w:val="00555809"/>
    <w:rsid w:val="00562165"/>
    <w:rsid w:val="005756AF"/>
    <w:rsid w:val="00575A4A"/>
    <w:rsid w:val="00591B6F"/>
    <w:rsid w:val="005A1DAF"/>
    <w:rsid w:val="005C17C8"/>
    <w:rsid w:val="005C2098"/>
    <w:rsid w:val="005C2E6C"/>
    <w:rsid w:val="005D0CCF"/>
    <w:rsid w:val="005D1C01"/>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732A1"/>
    <w:rsid w:val="00774C4A"/>
    <w:rsid w:val="00782BBB"/>
    <w:rsid w:val="007A0690"/>
    <w:rsid w:val="007A078F"/>
    <w:rsid w:val="007B34D4"/>
    <w:rsid w:val="007C0633"/>
    <w:rsid w:val="007D086C"/>
    <w:rsid w:val="007F1BE1"/>
    <w:rsid w:val="007F707F"/>
    <w:rsid w:val="007F794C"/>
    <w:rsid w:val="007F7AC9"/>
    <w:rsid w:val="00803B42"/>
    <w:rsid w:val="008073EF"/>
    <w:rsid w:val="0081095C"/>
    <w:rsid w:val="00810C41"/>
    <w:rsid w:val="008212FF"/>
    <w:rsid w:val="0082593B"/>
    <w:rsid w:val="00827537"/>
    <w:rsid w:val="008468EA"/>
    <w:rsid w:val="00867140"/>
    <w:rsid w:val="00881134"/>
    <w:rsid w:val="008904F0"/>
    <w:rsid w:val="008B2F27"/>
    <w:rsid w:val="008B4A72"/>
    <w:rsid w:val="008B585E"/>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E0305"/>
    <w:rsid w:val="00BF15F0"/>
    <w:rsid w:val="00BF7DF9"/>
    <w:rsid w:val="00C03559"/>
    <w:rsid w:val="00C05395"/>
    <w:rsid w:val="00C22AD7"/>
    <w:rsid w:val="00C272C1"/>
    <w:rsid w:val="00C32A68"/>
    <w:rsid w:val="00C34282"/>
    <w:rsid w:val="00C35350"/>
    <w:rsid w:val="00C3564B"/>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D3536"/>
    <w:rsid w:val="00CF5275"/>
    <w:rsid w:val="00CF6136"/>
    <w:rsid w:val="00D0023D"/>
    <w:rsid w:val="00D006C6"/>
    <w:rsid w:val="00D14A65"/>
    <w:rsid w:val="00D162B9"/>
    <w:rsid w:val="00D251E2"/>
    <w:rsid w:val="00D254F4"/>
    <w:rsid w:val="00D263A7"/>
    <w:rsid w:val="00D26B5D"/>
    <w:rsid w:val="00D33159"/>
    <w:rsid w:val="00D33A19"/>
    <w:rsid w:val="00D355B5"/>
    <w:rsid w:val="00D43DC3"/>
    <w:rsid w:val="00D51791"/>
    <w:rsid w:val="00D5281E"/>
    <w:rsid w:val="00D6531B"/>
    <w:rsid w:val="00D6612D"/>
    <w:rsid w:val="00D71AD9"/>
    <w:rsid w:val="00D73C02"/>
    <w:rsid w:val="00D872ED"/>
    <w:rsid w:val="00D913C6"/>
    <w:rsid w:val="00DA0236"/>
    <w:rsid w:val="00DA5D51"/>
    <w:rsid w:val="00DA5E29"/>
    <w:rsid w:val="00DA61CA"/>
    <w:rsid w:val="00DB66BB"/>
    <w:rsid w:val="00DB73AF"/>
    <w:rsid w:val="00DC2865"/>
    <w:rsid w:val="00DD0894"/>
    <w:rsid w:val="00DE1888"/>
    <w:rsid w:val="00DF1250"/>
    <w:rsid w:val="00DF6EF7"/>
    <w:rsid w:val="00E05454"/>
    <w:rsid w:val="00E074C3"/>
    <w:rsid w:val="00E23329"/>
    <w:rsid w:val="00E24D6D"/>
    <w:rsid w:val="00E341B2"/>
    <w:rsid w:val="00E42633"/>
    <w:rsid w:val="00E5699E"/>
    <w:rsid w:val="00E570E1"/>
    <w:rsid w:val="00E72773"/>
    <w:rsid w:val="00E76739"/>
    <w:rsid w:val="00E81946"/>
    <w:rsid w:val="00E82BB7"/>
    <w:rsid w:val="00E86D13"/>
    <w:rsid w:val="00E936C2"/>
    <w:rsid w:val="00E95346"/>
    <w:rsid w:val="00EA0CEF"/>
    <w:rsid w:val="00EA2E2A"/>
    <w:rsid w:val="00EB79D2"/>
    <w:rsid w:val="00EC0174"/>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27C16B8"/>
    <w:rsid w:val="02DE7C7D"/>
    <w:rsid w:val="030F6088"/>
    <w:rsid w:val="035717DD"/>
    <w:rsid w:val="037E6D6A"/>
    <w:rsid w:val="05257DE5"/>
    <w:rsid w:val="056D52E8"/>
    <w:rsid w:val="05747C5D"/>
    <w:rsid w:val="059960DD"/>
    <w:rsid w:val="05F96B7B"/>
    <w:rsid w:val="06B56F46"/>
    <w:rsid w:val="06F7755F"/>
    <w:rsid w:val="07F03142"/>
    <w:rsid w:val="0842480A"/>
    <w:rsid w:val="08607386"/>
    <w:rsid w:val="09150170"/>
    <w:rsid w:val="099C43EE"/>
    <w:rsid w:val="0A4800D1"/>
    <w:rsid w:val="0A546A76"/>
    <w:rsid w:val="0B7F5D75"/>
    <w:rsid w:val="0BD065D0"/>
    <w:rsid w:val="0BEB340A"/>
    <w:rsid w:val="0C1E10EA"/>
    <w:rsid w:val="0C4F5747"/>
    <w:rsid w:val="0C8D626F"/>
    <w:rsid w:val="0CAC0DEC"/>
    <w:rsid w:val="0D374B59"/>
    <w:rsid w:val="0D8F0AE7"/>
    <w:rsid w:val="0DC31556"/>
    <w:rsid w:val="0DD601F8"/>
    <w:rsid w:val="0E1529C0"/>
    <w:rsid w:val="0EF90B7F"/>
    <w:rsid w:val="0F1005D3"/>
    <w:rsid w:val="0FF3288D"/>
    <w:rsid w:val="100D394F"/>
    <w:rsid w:val="10352EA6"/>
    <w:rsid w:val="10E74B9D"/>
    <w:rsid w:val="10FA3245"/>
    <w:rsid w:val="111D4066"/>
    <w:rsid w:val="11671785"/>
    <w:rsid w:val="119F0F1F"/>
    <w:rsid w:val="11A05C56"/>
    <w:rsid w:val="11A93B4C"/>
    <w:rsid w:val="138715E7"/>
    <w:rsid w:val="14A95C11"/>
    <w:rsid w:val="14F848B7"/>
    <w:rsid w:val="16210154"/>
    <w:rsid w:val="16377978"/>
    <w:rsid w:val="16D52CED"/>
    <w:rsid w:val="17771FF6"/>
    <w:rsid w:val="17D80D56"/>
    <w:rsid w:val="18697B91"/>
    <w:rsid w:val="18B27AC0"/>
    <w:rsid w:val="18FC27B3"/>
    <w:rsid w:val="19202945"/>
    <w:rsid w:val="19F618F8"/>
    <w:rsid w:val="1A3D6143"/>
    <w:rsid w:val="1A4110EC"/>
    <w:rsid w:val="1ABF7F3C"/>
    <w:rsid w:val="1BB76E65"/>
    <w:rsid w:val="1C013801"/>
    <w:rsid w:val="1C752FA8"/>
    <w:rsid w:val="1C8A6328"/>
    <w:rsid w:val="1D6E79F7"/>
    <w:rsid w:val="1DFD8D3B"/>
    <w:rsid w:val="1E4F7829"/>
    <w:rsid w:val="1FB79DC9"/>
    <w:rsid w:val="1FBFC3F2"/>
    <w:rsid w:val="1FFFE033"/>
    <w:rsid w:val="201523AC"/>
    <w:rsid w:val="20EF0E4F"/>
    <w:rsid w:val="22482F0D"/>
    <w:rsid w:val="22B77083"/>
    <w:rsid w:val="230E7760"/>
    <w:rsid w:val="24CE594B"/>
    <w:rsid w:val="252217F3"/>
    <w:rsid w:val="25315EDA"/>
    <w:rsid w:val="26235823"/>
    <w:rsid w:val="264D430D"/>
    <w:rsid w:val="26A44D0C"/>
    <w:rsid w:val="27BF5A1F"/>
    <w:rsid w:val="27DF1C1D"/>
    <w:rsid w:val="27F352A6"/>
    <w:rsid w:val="287265EE"/>
    <w:rsid w:val="292A0F4A"/>
    <w:rsid w:val="292A6EC8"/>
    <w:rsid w:val="29A749BD"/>
    <w:rsid w:val="29C42E79"/>
    <w:rsid w:val="2A1060BE"/>
    <w:rsid w:val="2A952A67"/>
    <w:rsid w:val="2ABF1892"/>
    <w:rsid w:val="2B33475A"/>
    <w:rsid w:val="2B886128"/>
    <w:rsid w:val="2B9F3B9D"/>
    <w:rsid w:val="2C0C0B07"/>
    <w:rsid w:val="2C504E98"/>
    <w:rsid w:val="2C974875"/>
    <w:rsid w:val="2D1E6D44"/>
    <w:rsid w:val="2D450775"/>
    <w:rsid w:val="2D527252"/>
    <w:rsid w:val="2DA37249"/>
    <w:rsid w:val="2DDC1740"/>
    <w:rsid w:val="2E1E4B22"/>
    <w:rsid w:val="2E1F2D74"/>
    <w:rsid w:val="2EAE55F2"/>
    <w:rsid w:val="2EDF4302"/>
    <w:rsid w:val="2EFE1A04"/>
    <w:rsid w:val="2F350375"/>
    <w:rsid w:val="2F5E5B1E"/>
    <w:rsid w:val="306C7DC6"/>
    <w:rsid w:val="309A4933"/>
    <w:rsid w:val="30D81900"/>
    <w:rsid w:val="318A0E8E"/>
    <w:rsid w:val="31EB692B"/>
    <w:rsid w:val="32C739DA"/>
    <w:rsid w:val="3324299D"/>
    <w:rsid w:val="335A484E"/>
    <w:rsid w:val="33631954"/>
    <w:rsid w:val="33D4015C"/>
    <w:rsid w:val="346C2A8B"/>
    <w:rsid w:val="34E16FD5"/>
    <w:rsid w:val="35A41DB0"/>
    <w:rsid w:val="35BBF80F"/>
    <w:rsid w:val="35D844F2"/>
    <w:rsid w:val="35FA5E74"/>
    <w:rsid w:val="38003C16"/>
    <w:rsid w:val="3862042D"/>
    <w:rsid w:val="38CA5FD2"/>
    <w:rsid w:val="38EC419A"/>
    <w:rsid w:val="393D0552"/>
    <w:rsid w:val="39731A63"/>
    <w:rsid w:val="398E6FFF"/>
    <w:rsid w:val="3AA0348E"/>
    <w:rsid w:val="3AA80595"/>
    <w:rsid w:val="3B736F08"/>
    <w:rsid w:val="3BE3D531"/>
    <w:rsid w:val="3C7716D2"/>
    <w:rsid w:val="3C7A386B"/>
    <w:rsid w:val="3CE27FFD"/>
    <w:rsid w:val="3D431A40"/>
    <w:rsid w:val="3D474095"/>
    <w:rsid w:val="3EC435FE"/>
    <w:rsid w:val="3EFF42CA"/>
    <w:rsid w:val="3F6FCA38"/>
    <w:rsid w:val="3FD5AF3D"/>
    <w:rsid w:val="3FFED8BE"/>
    <w:rsid w:val="3FFF43BB"/>
    <w:rsid w:val="3FFF47B3"/>
    <w:rsid w:val="40055B25"/>
    <w:rsid w:val="406A17B9"/>
    <w:rsid w:val="413F4150"/>
    <w:rsid w:val="41A34811"/>
    <w:rsid w:val="41CA1806"/>
    <w:rsid w:val="41F50AB8"/>
    <w:rsid w:val="41F61C18"/>
    <w:rsid w:val="421A7A43"/>
    <w:rsid w:val="42BF022A"/>
    <w:rsid w:val="430D3832"/>
    <w:rsid w:val="433DCF8E"/>
    <w:rsid w:val="434D7F2B"/>
    <w:rsid w:val="43D877F5"/>
    <w:rsid w:val="441445A5"/>
    <w:rsid w:val="443F7874"/>
    <w:rsid w:val="44B85878"/>
    <w:rsid w:val="452B1BA6"/>
    <w:rsid w:val="45392515"/>
    <w:rsid w:val="455E3D2A"/>
    <w:rsid w:val="45FF973D"/>
    <w:rsid w:val="465D3D3B"/>
    <w:rsid w:val="46821C9A"/>
    <w:rsid w:val="47550EBA"/>
    <w:rsid w:val="47D15881"/>
    <w:rsid w:val="48315726"/>
    <w:rsid w:val="495D1C29"/>
    <w:rsid w:val="49CB1BAA"/>
    <w:rsid w:val="49D2118A"/>
    <w:rsid w:val="4A111CB3"/>
    <w:rsid w:val="4A233B0E"/>
    <w:rsid w:val="4AC26B09"/>
    <w:rsid w:val="4B5F07FC"/>
    <w:rsid w:val="4B773D97"/>
    <w:rsid w:val="4BBA1922"/>
    <w:rsid w:val="4BE331DB"/>
    <w:rsid w:val="4BF7E09D"/>
    <w:rsid w:val="4C8C69B0"/>
    <w:rsid w:val="4CD34FFD"/>
    <w:rsid w:val="4CDD5E7C"/>
    <w:rsid w:val="4CF17B79"/>
    <w:rsid w:val="4D720CBA"/>
    <w:rsid w:val="4D812CAB"/>
    <w:rsid w:val="4EA07DFC"/>
    <w:rsid w:val="4EE31744"/>
    <w:rsid w:val="4F365D17"/>
    <w:rsid w:val="4FFFFC3E"/>
    <w:rsid w:val="50811214"/>
    <w:rsid w:val="50A32F39"/>
    <w:rsid w:val="5100482F"/>
    <w:rsid w:val="516C47B4"/>
    <w:rsid w:val="51A52CE0"/>
    <w:rsid w:val="51D47CB9"/>
    <w:rsid w:val="52531A27"/>
    <w:rsid w:val="52650DED"/>
    <w:rsid w:val="526D37FE"/>
    <w:rsid w:val="527A416D"/>
    <w:rsid w:val="52C45E5C"/>
    <w:rsid w:val="52CF270B"/>
    <w:rsid w:val="52E141EC"/>
    <w:rsid w:val="532F6D06"/>
    <w:rsid w:val="53BB74FC"/>
    <w:rsid w:val="53BD07B5"/>
    <w:rsid w:val="53E45D42"/>
    <w:rsid w:val="5422686A"/>
    <w:rsid w:val="549F7EBB"/>
    <w:rsid w:val="54CC5154"/>
    <w:rsid w:val="54FE72D7"/>
    <w:rsid w:val="554A42CB"/>
    <w:rsid w:val="556709D9"/>
    <w:rsid w:val="55733821"/>
    <w:rsid w:val="55990DAE"/>
    <w:rsid w:val="55AC288F"/>
    <w:rsid w:val="55FDDF92"/>
    <w:rsid w:val="55FFBC03"/>
    <w:rsid w:val="56CDA72E"/>
    <w:rsid w:val="576F5916"/>
    <w:rsid w:val="577FDAE2"/>
    <w:rsid w:val="57FBE2C7"/>
    <w:rsid w:val="58242BB1"/>
    <w:rsid w:val="585C67EF"/>
    <w:rsid w:val="58810003"/>
    <w:rsid w:val="58DE5456"/>
    <w:rsid w:val="58FC1D80"/>
    <w:rsid w:val="598F6750"/>
    <w:rsid w:val="5A324F2F"/>
    <w:rsid w:val="5B335734"/>
    <w:rsid w:val="5B7F322F"/>
    <w:rsid w:val="5BCAB023"/>
    <w:rsid w:val="5C05719D"/>
    <w:rsid w:val="5C9F4EFC"/>
    <w:rsid w:val="5CA50038"/>
    <w:rsid w:val="5CDD5A24"/>
    <w:rsid w:val="5DD12805"/>
    <w:rsid w:val="5DDA9B94"/>
    <w:rsid w:val="5DF254FF"/>
    <w:rsid w:val="5E1F4862"/>
    <w:rsid w:val="5E3E6996"/>
    <w:rsid w:val="5EAB810D"/>
    <w:rsid w:val="5EFF9DA6"/>
    <w:rsid w:val="5F7751B9"/>
    <w:rsid w:val="5F9F7232"/>
    <w:rsid w:val="5F9F9588"/>
    <w:rsid w:val="5FBD32D2"/>
    <w:rsid w:val="5FD450B0"/>
    <w:rsid w:val="5FEF60CD"/>
    <w:rsid w:val="5FFB203D"/>
    <w:rsid w:val="5FFB8CF9"/>
    <w:rsid w:val="602A5424"/>
    <w:rsid w:val="60B405EF"/>
    <w:rsid w:val="61161505"/>
    <w:rsid w:val="618B1EF3"/>
    <w:rsid w:val="619568CD"/>
    <w:rsid w:val="61C40F61"/>
    <w:rsid w:val="61C86CA3"/>
    <w:rsid w:val="62067082"/>
    <w:rsid w:val="63584057"/>
    <w:rsid w:val="63DBAF21"/>
    <w:rsid w:val="63E15DFA"/>
    <w:rsid w:val="64151F48"/>
    <w:rsid w:val="64B21544"/>
    <w:rsid w:val="64C23E7D"/>
    <w:rsid w:val="65037FF2"/>
    <w:rsid w:val="6522491C"/>
    <w:rsid w:val="652E6448"/>
    <w:rsid w:val="65624D19"/>
    <w:rsid w:val="65A610A9"/>
    <w:rsid w:val="65F12C37"/>
    <w:rsid w:val="660E6C4E"/>
    <w:rsid w:val="66194115"/>
    <w:rsid w:val="6636451A"/>
    <w:rsid w:val="668A4527"/>
    <w:rsid w:val="66EA3218"/>
    <w:rsid w:val="67185FD7"/>
    <w:rsid w:val="67283D40"/>
    <w:rsid w:val="6795763F"/>
    <w:rsid w:val="67A07D7A"/>
    <w:rsid w:val="67DE80AA"/>
    <w:rsid w:val="685B2FF8"/>
    <w:rsid w:val="685E3EBD"/>
    <w:rsid w:val="687A681D"/>
    <w:rsid w:val="68E85E7D"/>
    <w:rsid w:val="69036813"/>
    <w:rsid w:val="696C085C"/>
    <w:rsid w:val="697E3B47"/>
    <w:rsid w:val="69BF132E"/>
    <w:rsid w:val="69DA0FBE"/>
    <w:rsid w:val="69DC3008"/>
    <w:rsid w:val="6B036F9E"/>
    <w:rsid w:val="6BC95AF1"/>
    <w:rsid w:val="6BFEE5F3"/>
    <w:rsid w:val="6CAFF34E"/>
    <w:rsid w:val="6CC462B9"/>
    <w:rsid w:val="6CFFCF4F"/>
    <w:rsid w:val="6D5B09CB"/>
    <w:rsid w:val="6D5E495F"/>
    <w:rsid w:val="6DFFF8B6"/>
    <w:rsid w:val="6E1D3ED3"/>
    <w:rsid w:val="6E3F02ED"/>
    <w:rsid w:val="6E4F6056"/>
    <w:rsid w:val="6E9FE641"/>
    <w:rsid w:val="6EEDE807"/>
    <w:rsid w:val="6EEE4BE4"/>
    <w:rsid w:val="6EF65E9C"/>
    <w:rsid w:val="6F3D9197"/>
    <w:rsid w:val="6FA67EF8"/>
    <w:rsid w:val="6FAB3EC4"/>
    <w:rsid w:val="6FB6AF41"/>
    <w:rsid w:val="6FD894C8"/>
    <w:rsid w:val="6FE36A9E"/>
    <w:rsid w:val="6FE54EC4"/>
    <w:rsid w:val="6FEFB2D1"/>
    <w:rsid w:val="6FFF97E6"/>
    <w:rsid w:val="706C2EEF"/>
    <w:rsid w:val="707B1384"/>
    <w:rsid w:val="70BC3E77"/>
    <w:rsid w:val="70FE623D"/>
    <w:rsid w:val="71397E03"/>
    <w:rsid w:val="716157E6"/>
    <w:rsid w:val="71BD61D2"/>
    <w:rsid w:val="71FB5B08"/>
    <w:rsid w:val="72247B21"/>
    <w:rsid w:val="73E55492"/>
    <w:rsid w:val="73FB87D9"/>
    <w:rsid w:val="744C3764"/>
    <w:rsid w:val="749173C8"/>
    <w:rsid w:val="753C5586"/>
    <w:rsid w:val="75B4336E"/>
    <w:rsid w:val="75EF0FBA"/>
    <w:rsid w:val="7607C293"/>
    <w:rsid w:val="76197675"/>
    <w:rsid w:val="769B452E"/>
    <w:rsid w:val="76C03F95"/>
    <w:rsid w:val="76DFA4E8"/>
    <w:rsid w:val="775D3592"/>
    <w:rsid w:val="778720BD"/>
    <w:rsid w:val="77A7D615"/>
    <w:rsid w:val="77FF366A"/>
    <w:rsid w:val="77FF8C96"/>
    <w:rsid w:val="77FFA8F9"/>
    <w:rsid w:val="788A2AAC"/>
    <w:rsid w:val="78E57671"/>
    <w:rsid w:val="79477A2A"/>
    <w:rsid w:val="7976604B"/>
    <w:rsid w:val="79AC0800"/>
    <w:rsid w:val="79F3BC78"/>
    <w:rsid w:val="7A5B6CAA"/>
    <w:rsid w:val="7A9314AC"/>
    <w:rsid w:val="7AC202DC"/>
    <w:rsid w:val="7B1D19B6"/>
    <w:rsid w:val="7B4A02D1"/>
    <w:rsid w:val="7B4F6850"/>
    <w:rsid w:val="7BABD5C4"/>
    <w:rsid w:val="7BB12055"/>
    <w:rsid w:val="7BBFADBA"/>
    <w:rsid w:val="7BFF492D"/>
    <w:rsid w:val="7C482A62"/>
    <w:rsid w:val="7C5F7DAC"/>
    <w:rsid w:val="7C631402"/>
    <w:rsid w:val="7C6632DE"/>
    <w:rsid w:val="7C7E597A"/>
    <w:rsid w:val="7C978C63"/>
    <w:rsid w:val="7CA35AD0"/>
    <w:rsid w:val="7CDF8BC3"/>
    <w:rsid w:val="7CEB72A5"/>
    <w:rsid w:val="7D18750B"/>
    <w:rsid w:val="7D3923AB"/>
    <w:rsid w:val="7DDFDC39"/>
    <w:rsid w:val="7E140770"/>
    <w:rsid w:val="7E5D92FB"/>
    <w:rsid w:val="7E6B0C8A"/>
    <w:rsid w:val="7EF51D64"/>
    <w:rsid w:val="7EFFF488"/>
    <w:rsid w:val="7F172372"/>
    <w:rsid w:val="7F574612"/>
    <w:rsid w:val="7F7F4920"/>
    <w:rsid w:val="7FB7C299"/>
    <w:rsid w:val="7FBFFB92"/>
    <w:rsid w:val="7FC7387C"/>
    <w:rsid w:val="7FD76ACB"/>
    <w:rsid w:val="7FD89DA2"/>
    <w:rsid w:val="7FDBD805"/>
    <w:rsid w:val="7FDEC14D"/>
    <w:rsid w:val="7FDF8B76"/>
    <w:rsid w:val="7FDFE693"/>
    <w:rsid w:val="7FEFB5DD"/>
    <w:rsid w:val="7FEFBBD9"/>
    <w:rsid w:val="7FFD6A57"/>
    <w:rsid w:val="7FFDA7EC"/>
    <w:rsid w:val="7FFDEA1E"/>
    <w:rsid w:val="7FFEC1F6"/>
    <w:rsid w:val="7FFF2F52"/>
    <w:rsid w:val="8F7B4EC8"/>
    <w:rsid w:val="8FBD4480"/>
    <w:rsid w:val="8FF7AE96"/>
    <w:rsid w:val="955F5184"/>
    <w:rsid w:val="9F6311D7"/>
    <w:rsid w:val="9FF54399"/>
    <w:rsid w:val="A46D76C1"/>
    <w:rsid w:val="A7FF43C2"/>
    <w:rsid w:val="ABF66286"/>
    <w:rsid w:val="AD9E3F04"/>
    <w:rsid w:val="ADA70464"/>
    <w:rsid w:val="AFE97CD3"/>
    <w:rsid w:val="B1BF5C63"/>
    <w:rsid w:val="B1FF3A18"/>
    <w:rsid w:val="B3CDF284"/>
    <w:rsid w:val="B3E8107B"/>
    <w:rsid w:val="B5F66F24"/>
    <w:rsid w:val="B7F5200A"/>
    <w:rsid w:val="BABDA1AA"/>
    <w:rsid w:val="BB1B4BF1"/>
    <w:rsid w:val="BBE5FE68"/>
    <w:rsid w:val="BBFEB9C1"/>
    <w:rsid w:val="BDF7406A"/>
    <w:rsid w:val="BE6FD8DB"/>
    <w:rsid w:val="BEEF57C2"/>
    <w:rsid w:val="BF6D5596"/>
    <w:rsid w:val="BFBEBB2C"/>
    <w:rsid w:val="BFC68935"/>
    <w:rsid w:val="BFDD0F1D"/>
    <w:rsid w:val="BFDDD096"/>
    <w:rsid w:val="C5B3F496"/>
    <w:rsid w:val="C96F3E49"/>
    <w:rsid w:val="CBBF14F3"/>
    <w:rsid w:val="CBE5DCF2"/>
    <w:rsid w:val="CCFCC735"/>
    <w:rsid w:val="CEEB8A74"/>
    <w:rsid w:val="D37FB642"/>
    <w:rsid w:val="D7F99798"/>
    <w:rsid w:val="D7FF400C"/>
    <w:rsid w:val="DBED1CD4"/>
    <w:rsid w:val="DBFBB328"/>
    <w:rsid w:val="DDD7453A"/>
    <w:rsid w:val="DE3E1FD7"/>
    <w:rsid w:val="DFBE1B79"/>
    <w:rsid w:val="DFCF1FEC"/>
    <w:rsid w:val="DFE75A3D"/>
    <w:rsid w:val="DFED2117"/>
    <w:rsid w:val="DFEF594B"/>
    <w:rsid w:val="DFF3F960"/>
    <w:rsid w:val="DFFE0D61"/>
    <w:rsid w:val="E35C4B3C"/>
    <w:rsid w:val="E3A781CA"/>
    <w:rsid w:val="E5DFAB50"/>
    <w:rsid w:val="E6FC647F"/>
    <w:rsid w:val="EBFBC8F1"/>
    <w:rsid w:val="EBFDF757"/>
    <w:rsid w:val="ED758B5D"/>
    <w:rsid w:val="ED76A08D"/>
    <w:rsid w:val="EDBDD81F"/>
    <w:rsid w:val="EDFDB542"/>
    <w:rsid w:val="EF0FCF96"/>
    <w:rsid w:val="EF95E20F"/>
    <w:rsid w:val="EFAF7DFF"/>
    <w:rsid w:val="EFAFB283"/>
    <w:rsid w:val="EFBDA38B"/>
    <w:rsid w:val="EFEE9A76"/>
    <w:rsid w:val="F1BF6FBC"/>
    <w:rsid w:val="F1F9A9B5"/>
    <w:rsid w:val="F3779FC2"/>
    <w:rsid w:val="F3D5C239"/>
    <w:rsid w:val="F3F37DF4"/>
    <w:rsid w:val="F3F96DE6"/>
    <w:rsid w:val="F3FBC54A"/>
    <w:rsid w:val="F47BB68A"/>
    <w:rsid w:val="F47F523E"/>
    <w:rsid w:val="F69FD6B0"/>
    <w:rsid w:val="F7E7F921"/>
    <w:rsid w:val="F7F7AC6A"/>
    <w:rsid w:val="F7FD93B9"/>
    <w:rsid w:val="FABF64A5"/>
    <w:rsid w:val="FABF7411"/>
    <w:rsid w:val="FBA53981"/>
    <w:rsid w:val="FBE4457E"/>
    <w:rsid w:val="FBFC558A"/>
    <w:rsid w:val="FBFF71AC"/>
    <w:rsid w:val="FBFFEA2B"/>
    <w:rsid w:val="FCCB27AA"/>
    <w:rsid w:val="FCFF8F4B"/>
    <w:rsid w:val="FD9595AD"/>
    <w:rsid w:val="FDF9DD9A"/>
    <w:rsid w:val="FDFF2821"/>
    <w:rsid w:val="FDFFA696"/>
    <w:rsid w:val="FE7FB02B"/>
    <w:rsid w:val="FEBD0232"/>
    <w:rsid w:val="FED5A77F"/>
    <w:rsid w:val="FEDFD193"/>
    <w:rsid w:val="FEE7097E"/>
    <w:rsid w:val="FEEF8230"/>
    <w:rsid w:val="FEF1F1BE"/>
    <w:rsid w:val="FEF99316"/>
    <w:rsid w:val="FEFB20CB"/>
    <w:rsid w:val="FEFD95B3"/>
    <w:rsid w:val="FEFE4E93"/>
    <w:rsid w:val="FEFFA483"/>
    <w:rsid w:val="FF29B32D"/>
    <w:rsid w:val="FF2E6944"/>
    <w:rsid w:val="FF5F9D52"/>
    <w:rsid w:val="FF7A0B6A"/>
    <w:rsid w:val="FF7B6DC2"/>
    <w:rsid w:val="FF7FFF75"/>
    <w:rsid w:val="FF921F59"/>
    <w:rsid w:val="FFBB1E09"/>
    <w:rsid w:val="FFBB6A0C"/>
    <w:rsid w:val="FFBD894B"/>
    <w:rsid w:val="FFBF33B3"/>
    <w:rsid w:val="FFD09362"/>
    <w:rsid w:val="FFD1DA08"/>
    <w:rsid w:val="FFD7DEDD"/>
    <w:rsid w:val="FFDE369F"/>
    <w:rsid w:val="FFEF98C9"/>
    <w:rsid w:val="FFEFCE62"/>
    <w:rsid w:val="FFF973B0"/>
    <w:rsid w:val="FFFB4F05"/>
    <w:rsid w:val="FFFEC8F5"/>
    <w:rsid w:val="FFFEF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qFormat/>
    <w:uiPriority w:val="0"/>
    <w:pPr>
      <w:spacing w:after="120"/>
      <w:ind w:leftChars="200"/>
    </w:pPr>
    <w:rPr>
      <w:rFonts w:ascii="仿宋_GB2312"/>
      <w:szCs w:val="32"/>
    </w:rPr>
  </w:style>
  <w:style w:type="paragraph" w:styleId="4">
    <w:name w:val="Normal Indent"/>
    <w:basedOn w:val="1"/>
    <w:next w:val="1"/>
    <w:qFormat/>
    <w:uiPriority w:val="0"/>
    <w:pPr>
      <w:spacing w:before="156" w:beforeLines="50" w:line="360" w:lineRule="auto"/>
      <w:ind w:firstLine="480" w:firstLineChars="200"/>
    </w:pPr>
    <w:rPr>
      <w:rFonts w:eastAsia="仿宋"/>
      <w:sz w:val="24"/>
      <w:szCs w:val="23"/>
      <w:lang w:eastAsia="ar-SA"/>
    </w:rPr>
  </w:style>
  <w:style w:type="paragraph" w:styleId="5">
    <w:name w:val="Document Map"/>
    <w:basedOn w:val="1"/>
    <w:link w:val="19"/>
    <w:qFormat/>
    <w:uiPriority w:val="0"/>
    <w:rPr>
      <w:rFonts w:ascii="宋体" w:eastAsia="宋体"/>
      <w:sz w:val="18"/>
      <w:szCs w:val="18"/>
    </w:rPr>
  </w:style>
  <w:style w:type="paragraph" w:styleId="6">
    <w:name w:val="Body Text"/>
    <w:basedOn w:val="1"/>
    <w:qFormat/>
    <w:uiPriority w:val="0"/>
    <w:pPr>
      <w:spacing w:after="120"/>
    </w:pPr>
  </w:style>
  <w:style w:type="paragraph" w:styleId="7">
    <w:name w:val="Balloon Text"/>
    <w:basedOn w:val="1"/>
    <w:semiHidden/>
    <w:qFormat/>
    <w:uiPriority w:val="0"/>
    <w:rPr>
      <w:sz w:val="18"/>
      <w:szCs w:val="18"/>
    </w:rPr>
  </w:style>
  <w:style w:type="paragraph" w:styleId="8">
    <w:name w:val="footer"/>
    <w:basedOn w:val="1"/>
    <w:link w:val="21"/>
    <w:qFormat/>
    <w:uiPriority w:val="99"/>
    <w:pPr>
      <w:tabs>
        <w:tab w:val="center" w:pos="4153"/>
        <w:tab w:val="right" w:pos="8306"/>
      </w:tabs>
      <w:snapToGrid w:val="0"/>
      <w:jc w:val="left"/>
    </w:pPr>
    <w:rPr>
      <w:rFonts w:eastAsia="宋体"/>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rFonts w:eastAsia="宋体"/>
      <w:sz w:val="18"/>
      <w:szCs w:val="18"/>
    </w:rPr>
  </w:style>
  <w:style w:type="paragraph" w:styleId="10">
    <w:name w:val="toc 1"/>
    <w:basedOn w:val="1"/>
    <w:next w:val="1"/>
    <w:qFormat/>
    <w:uiPriority w:val="0"/>
  </w:style>
  <w:style w:type="paragraph" w:styleId="11">
    <w:name w:val="table of figures"/>
    <w:basedOn w:val="1"/>
    <w:next w:val="1"/>
    <w:qFormat/>
    <w:uiPriority w:val="0"/>
    <w:pPr>
      <w:ind w:leftChars="200" w:hanging="200" w:hangingChars="200"/>
    </w:p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page number"/>
    <w:basedOn w:val="14"/>
    <w:qFormat/>
    <w:uiPriority w:val="0"/>
  </w:style>
  <w:style w:type="paragraph" w:customStyle="1" w:styleId="16">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paragraph" w:customStyle="1" w:styleId="17">
    <w:name w:val="四号正文"/>
    <w:basedOn w:val="1"/>
    <w:link w:val="18"/>
    <w:qFormat/>
    <w:uiPriority w:val="0"/>
    <w:pPr>
      <w:spacing w:line="360" w:lineRule="auto"/>
    </w:pPr>
    <w:rPr>
      <w:rFonts w:ascii="??" w:hAnsi="??" w:eastAsia="宋体" w:cs="宋体"/>
      <w:color w:val="000000"/>
      <w:kern w:val="0"/>
      <w:sz w:val="28"/>
      <w:szCs w:val="21"/>
    </w:rPr>
  </w:style>
  <w:style w:type="character" w:customStyle="1" w:styleId="18">
    <w:name w:val="四号正文 Char"/>
    <w:basedOn w:val="14"/>
    <w:link w:val="17"/>
    <w:qFormat/>
    <w:uiPriority w:val="0"/>
    <w:rPr>
      <w:rFonts w:ascii="??" w:hAnsi="??" w:eastAsia="宋体" w:cs="宋体"/>
      <w:color w:val="000000"/>
      <w:sz w:val="28"/>
      <w:szCs w:val="21"/>
      <w:lang w:val="en-US" w:eastAsia="zh-CN" w:bidi="ar-SA"/>
    </w:rPr>
  </w:style>
  <w:style w:type="character" w:customStyle="1" w:styleId="19">
    <w:name w:val="文档结构图 Char"/>
    <w:basedOn w:val="14"/>
    <w:link w:val="5"/>
    <w:qFormat/>
    <w:uiPriority w:val="0"/>
    <w:rPr>
      <w:rFonts w:ascii="宋体"/>
      <w:kern w:val="2"/>
      <w:sz w:val="18"/>
      <w:szCs w:val="18"/>
    </w:rPr>
  </w:style>
  <w:style w:type="paragraph" w:customStyle="1" w:styleId="20">
    <w:name w:val="a"/>
    <w:basedOn w:val="1"/>
    <w:qFormat/>
    <w:uiPriority w:val="0"/>
    <w:pPr>
      <w:widowControl/>
      <w:spacing w:before="100" w:beforeAutospacing="1" w:after="100" w:afterAutospacing="1"/>
      <w:jc w:val="left"/>
    </w:pPr>
    <w:rPr>
      <w:rFonts w:ascii="宋体" w:hAnsi="宋体" w:eastAsia="宋体" w:cs="宋体"/>
      <w:kern w:val="0"/>
      <w:sz w:val="24"/>
    </w:rPr>
  </w:style>
  <w:style w:type="character" w:customStyle="1" w:styleId="21">
    <w:name w:val="页脚 Char"/>
    <w:basedOn w:val="14"/>
    <w:link w:val="8"/>
    <w:qFormat/>
    <w:uiPriority w:val="99"/>
    <w:rPr>
      <w:kern w:val="2"/>
      <w:sz w:val="18"/>
      <w:szCs w:val="18"/>
    </w:rPr>
  </w:style>
  <w:style w:type="character" w:customStyle="1" w:styleId="22">
    <w:name w:val="font31"/>
    <w:basedOn w:val="14"/>
    <w:qFormat/>
    <w:uiPriority w:val="0"/>
    <w:rPr>
      <w:rFonts w:hint="eastAsia" w:ascii="宋体" w:hAnsi="宋体" w:eastAsia="宋体" w:cs="宋体"/>
      <w:color w:val="000000"/>
      <w:sz w:val="24"/>
      <w:szCs w:val="24"/>
      <w:u w:val="none"/>
    </w:rPr>
  </w:style>
  <w:style w:type="character" w:customStyle="1" w:styleId="23">
    <w:name w:val="font51"/>
    <w:basedOn w:val="14"/>
    <w:qFormat/>
    <w:uiPriority w:val="0"/>
    <w:rPr>
      <w:rFonts w:hint="default" w:ascii="Wingdings 2" w:hAnsi="Wingdings 2" w:eastAsia="Wingdings 2" w:cs="Wingdings 2"/>
      <w:color w:val="000000"/>
      <w:sz w:val="18"/>
      <w:szCs w:val="18"/>
      <w:u w:val="none"/>
    </w:rPr>
  </w:style>
  <w:style w:type="character" w:customStyle="1" w:styleId="24">
    <w:name w:val="font01"/>
    <w:basedOn w:val="14"/>
    <w:qFormat/>
    <w:uiPriority w:val="0"/>
    <w:rPr>
      <w:rFonts w:ascii="宋体" w:hAnsi="宋体" w:eastAsia="宋体" w:cs="宋体"/>
      <w:color w:val="000000"/>
      <w:sz w:val="18"/>
      <w:szCs w:val="18"/>
      <w:u w:val="none"/>
    </w:rPr>
  </w:style>
  <w:style w:type="character" w:customStyle="1" w:styleId="25">
    <w:name w:val="font41"/>
    <w:basedOn w:val="14"/>
    <w:qFormat/>
    <w:uiPriority w:val="0"/>
    <w:rPr>
      <w:rFonts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PSZX</Company>
  <Pages>14</Pages>
  <Words>6419</Words>
  <Characters>6819</Characters>
  <Lines>2</Lines>
  <Paragraphs>1</Paragraphs>
  <TotalTime>0</TotalTime>
  <ScaleCrop>false</ScaleCrop>
  <LinksUpToDate>false</LinksUpToDate>
  <CharactersWithSpaces>6823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2019-05-28T19:06:00Z</dcterms:created>
  <dc:creator>陈萍</dc:creator>
  <cp:lastModifiedBy>奕夕^_^</cp:lastModifiedBy>
  <cp:lastPrinted>2024-08-06T07:45:00Z</cp:lastPrinted>
  <dcterms:modified xsi:type="dcterms:W3CDTF">2024-09-19T03:13:15Z</dcterms:modified>
  <dc:title>区域性就业培训基地建设项目</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A51A36801428E9B041879466C62AECE8</vt:lpwstr>
  </property>
</Properties>
</file>