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9961E9">
      <w:pPr>
        <w:spacing w:line="600" w:lineRule="exact"/>
        <w:jc w:val="center"/>
        <w:outlineLvl w:val="0"/>
        <w:rPr>
          <w:rFonts w:ascii="方正小标宋简体" w:hAnsi="宋体" w:eastAsia="方正小标宋简体"/>
          <w:sz w:val="72"/>
          <w:szCs w:val="72"/>
        </w:rPr>
      </w:pPr>
      <w:bookmarkStart w:id="0" w:name="_Toc15377425"/>
      <w:bookmarkStart w:id="1" w:name="_Toc15396597"/>
      <w:bookmarkStart w:id="2" w:name="_Toc15378441"/>
      <w:bookmarkStart w:id="3" w:name="_Toc15396475"/>
      <w:bookmarkStart w:id="4" w:name="_Toc15377193"/>
      <w:bookmarkStart w:id="5" w:name="_Toc15306267"/>
    </w:p>
    <w:p w14:paraId="3ABB1DF4">
      <w:pPr>
        <w:pStyle w:val="2"/>
        <w:spacing w:before="93"/>
      </w:pPr>
    </w:p>
    <w:p w14:paraId="3AB24D40">
      <w:pPr>
        <w:spacing w:line="600" w:lineRule="exact"/>
        <w:jc w:val="center"/>
        <w:outlineLvl w:val="0"/>
        <w:rPr>
          <w:rFonts w:ascii="方正小标宋简体" w:hAnsi="宋体" w:eastAsia="方正小标宋简体"/>
          <w:sz w:val="72"/>
          <w:szCs w:val="72"/>
        </w:rPr>
      </w:pPr>
    </w:p>
    <w:p w14:paraId="13DB8BB0">
      <w:pPr>
        <w:spacing w:line="600" w:lineRule="exact"/>
        <w:jc w:val="center"/>
        <w:outlineLvl w:val="0"/>
        <w:rPr>
          <w:rFonts w:ascii="方正小标宋简体" w:hAnsi="宋体" w:eastAsia="方正小标宋简体"/>
          <w:sz w:val="72"/>
          <w:szCs w:val="72"/>
        </w:rPr>
      </w:pPr>
    </w:p>
    <w:p w14:paraId="1F0188B9">
      <w:pPr>
        <w:adjustRightInd w:val="0"/>
        <w:snapToGrid w:val="0"/>
        <w:spacing w:line="360" w:lineRule="auto"/>
        <w:jc w:val="center"/>
        <w:outlineLvl w:val="0"/>
        <w:rPr>
          <w:rFonts w:hint="eastAsia" w:ascii="方正小标宋简体" w:hAnsi="方正小标宋简体" w:eastAsia="方正小标宋简体" w:cs="方正小标宋简体"/>
          <w:sz w:val="52"/>
          <w:szCs w:val="52"/>
          <w:lang w:eastAsia="zh-CN"/>
        </w:rPr>
      </w:pPr>
      <w:r>
        <w:rPr>
          <w:rFonts w:hint="eastAsia" w:ascii="方正小标宋简体" w:hAnsi="方正小标宋简体" w:eastAsia="方正小标宋简体" w:cs="方正小标宋简体"/>
          <w:sz w:val="52"/>
          <w:szCs w:val="52"/>
        </w:rPr>
        <w:t>2023年度</w:t>
      </w:r>
      <w:bookmarkEnd w:id="0"/>
      <w:bookmarkEnd w:id="1"/>
      <w:bookmarkEnd w:id="2"/>
      <w:bookmarkEnd w:id="3"/>
      <w:bookmarkEnd w:id="4"/>
      <w:bookmarkStart w:id="6" w:name="_Toc15396598"/>
      <w:bookmarkStart w:id="7" w:name="_Toc15377426"/>
      <w:bookmarkStart w:id="8" w:name="_Toc15377194"/>
      <w:bookmarkStart w:id="9" w:name="_Toc15378442"/>
      <w:bookmarkStart w:id="10" w:name="_Toc15396476"/>
      <w:r>
        <w:rPr>
          <w:rFonts w:hint="eastAsia" w:ascii="方正小标宋简体" w:hAnsi="方正小标宋简体" w:eastAsia="方正小标宋简体" w:cs="方正小标宋简体"/>
          <w:sz w:val="52"/>
          <w:szCs w:val="52"/>
        </w:rPr>
        <w:t>四川省</w:t>
      </w:r>
      <w:bookmarkEnd w:id="5"/>
      <w:bookmarkStart w:id="11" w:name="_Toc15306268"/>
      <w:r>
        <w:rPr>
          <w:rFonts w:hint="eastAsia" w:ascii="方正小标宋简体" w:hAnsi="方正小标宋简体" w:eastAsia="方正小标宋简体" w:cs="方正小标宋简体"/>
          <w:sz w:val="52"/>
          <w:szCs w:val="52"/>
          <w:lang w:eastAsia="zh-CN"/>
        </w:rPr>
        <w:t>阿坝州松潘县</w:t>
      </w:r>
    </w:p>
    <w:p w14:paraId="51322C03">
      <w:pPr>
        <w:adjustRightInd w:val="0"/>
        <w:snapToGrid w:val="0"/>
        <w:spacing w:line="360" w:lineRule="auto"/>
        <w:jc w:val="center"/>
        <w:outlineLvl w:val="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lang w:eastAsia="zh-CN"/>
        </w:rPr>
        <w:t>人力资源和社会保障局</w:t>
      </w:r>
      <w:r>
        <w:rPr>
          <w:rFonts w:hint="eastAsia" w:ascii="方正小标宋简体" w:hAnsi="方正小标宋简体" w:eastAsia="方正小标宋简体" w:cs="方正小标宋简体"/>
          <w:sz w:val="52"/>
          <w:szCs w:val="52"/>
        </w:rPr>
        <w:t>部门决算</w:t>
      </w:r>
      <w:bookmarkEnd w:id="6"/>
      <w:bookmarkEnd w:id="7"/>
      <w:bookmarkEnd w:id="8"/>
      <w:bookmarkEnd w:id="9"/>
      <w:bookmarkEnd w:id="10"/>
      <w:bookmarkEnd w:id="11"/>
    </w:p>
    <w:p w14:paraId="7938951A">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293AA6E0">
      <w:pPr>
        <w:widowControl/>
        <w:jc w:val="center"/>
        <w:rPr>
          <w:rFonts w:ascii="黑体" w:hAnsi="黑体" w:eastAsia="黑体" w:cstheme="minorBidi"/>
          <w:sz w:val="28"/>
          <w:szCs w:val="28"/>
        </w:rPr>
      </w:pPr>
    </w:p>
    <w:p w14:paraId="66C8F0DB">
      <w:pPr>
        <w:pStyle w:val="11"/>
      </w:pPr>
      <w:r>
        <w:rPr>
          <w:rFonts w:hint="eastAsia"/>
        </w:rPr>
        <w:t>公开时间：202</w:t>
      </w:r>
      <w:r>
        <w:rPr>
          <w:rFonts w:hint="eastAsia"/>
          <w:lang w:val="en-US" w:eastAsia="zh-CN"/>
        </w:rPr>
        <w:t>4</w:t>
      </w:r>
      <w:r>
        <w:rPr>
          <w:rFonts w:hint="eastAsia"/>
        </w:rPr>
        <w:t>年</w:t>
      </w:r>
      <w:r>
        <w:rPr>
          <w:rFonts w:hint="eastAsia"/>
          <w:lang w:val="en-US" w:eastAsia="zh-CN"/>
        </w:rPr>
        <w:t>9</w:t>
      </w:r>
      <w:r>
        <w:rPr>
          <w:rFonts w:hint="eastAsia"/>
        </w:rPr>
        <w:t xml:space="preserve">月 </w:t>
      </w:r>
      <w:r>
        <w:rPr>
          <w:rFonts w:hint="eastAsia"/>
          <w:lang w:val="en-US" w:eastAsia="zh-CN"/>
        </w:rPr>
        <w:t>19</w:t>
      </w:r>
      <w:r>
        <w:rPr>
          <w:rFonts w:hint="eastAsia"/>
        </w:rPr>
        <w:t xml:space="preserve"> 日</w:t>
      </w:r>
    </w:p>
    <w:p w14:paraId="430AB39A"/>
    <w:p w14:paraId="4D56CE35">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58065F5E">
      <w:pPr>
        <w:pStyle w:val="13"/>
        <w:adjustRightInd w:val="0"/>
        <w:snapToGrid w:val="0"/>
        <w:spacing w:line="440" w:lineRule="exact"/>
        <w:jc w:val="left"/>
        <w:rPr>
          <w:rFonts w:ascii="仿宋" w:hAnsi="仿宋" w:eastAsia="仿宋"/>
          <w:sz w:val="24"/>
        </w:rPr>
      </w:pPr>
      <w:r>
        <w:rPr>
          <w:rFonts w:hint="eastAsia"/>
          <w:sz w:val="24"/>
        </w:rPr>
        <w:t>一、部门职责</w:t>
      </w:r>
    </w:p>
    <w:p w14:paraId="5C750CBA">
      <w:pPr>
        <w:pStyle w:val="13"/>
        <w:adjustRightInd w:val="0"/>
        <w:snapToGrid w:val="0"/>
        <w:spacing w:line="440" w:lineRule="exact"/>
        <w:jc w:val="left"/>
        <w:rPr>
          <w:rFonts w:ascii="仿宋" w:hAnsi="仿宋" w:eastAsia="仿宋" w:cstheme="minorBidi"/>
          <w:sz w:val="24"/>
        </w:rPr>
      </w:pPr>
      <w:r>
        <w:rPr>
          <w:rFonts w:hint="eastAsia"/>
          <w:sz w:val="24"/>
        </w:rPr>
        <w:t>二、机构设置</w:t>
      </w:r>
    </w:p>
    <w:p w14:paraId="35091067">
      <w:pPr>
        <w:pStyle w:val="11"/>
        <w:adjustRightInd w:val="0"/>
        <w:snapToGrid w:val="0"/>
        <w:spacing w:before="0" w:line="440" w:lineRule="exact"/>
        <w:jc w:val="left"/>
        <w:rPr>
          <w:sz w:val="24"/>
          <w:szCs w:val="24"/>
        </w:rPr>
      </w:pPr>
      <w:r>
        <w:rPr>
          <w:rFonts w:hint="eastAsia"/>
          <w:sz w:val="24"/>
        </w:rPr>
        <w:t>第二部分 2023年度部门决算情况说明</w:t>
      </w:r>
    </w:p>
    <w:p w14:paraId="6585EC6A">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210F61BA">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p>
    <w:p w14:paraId="26BAE1CC">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p>
    <w:p w14:paraId="1A62C339">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527EF8FF">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4105B34E">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08F8AE76">
      <w:pPr>
        <w:pStyle w:val="13"/>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14:paraId="69F47852">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03AB01CA">
      <w:pPr>
        <w:pStyle w:val="13"/>
        <w:adjustRightInd w:val="0"/>
        <w:snapToGrid w:val="0"/>
        <w:spacing w:line="440" w:lineRule="exact"/>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p>
    <w:p w14:paraId="55052B77">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9"/>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heme="minorEastAsia" w:hAnsiTheme="minorEastAsia" w:eastAsiaTheme="minorEastAsia" w:cstheme="minorEastAsia"/>
          <w:sz w:val="24"/>
        </w:rPr>
        <w:tab/>
      </w:r>
    </w:p>
    <w:p w14:paraId="172DCD86">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2F7CF319">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24EA6CA9">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6110D897">
      <w:pPr>
        <w:pStyle w:val="13"/>
        <w:adjustRightInd w:val="0"/>
        <w:snapToGrid w:val="0"/>
        <w:spacing w:line="440" w:lineRule="exact"/>
        <w:jc w:val="left"/>
        <w:rPr>
          <w:sz w:val="24"/>
        </w:rPr>
      </w:pPr>
      <w:r>
        <w:rPr>
          <w:rFonts w:hint="eastAsia"/>
          <w:sz w:val="24"/>
        </w:rPr>
        <w:t>一、收入支出决算总表</w:t>
      </w:r>
    </w:p>
    <w:p w14:paraId="3B38F0E8">
      <w:pPr>
        <w:pStyle w:val="13"/>
        <w:adjustRightInd w:val="0"/>
        <w:snapToGrid w:val="0"/>
        <w:spacing w:line="440" w:lineRule="exact"/>
        <w:jc w:val="left"/>
        <w:rPr>
          <w:sz w:val="24"/>
        </w:rPr>
      </w:pPr>
      <w:r>
        <w:rPr>
          <w:rFonts w:hint="eastAsia"/>
          <w:sz w:val="24"/>
        </w:rPr>
        <w:t>二、收入决算表</w:t>
      </w:r>
    </w:p>
    <w:p w14:paraId="2A9F6F2C">
      <w:pPr>
        <w:pStyle w:val="13"/>
        <w:adjustRightInd w:val="0"/>
        <w:snapToGrid w:val="0"/>
        <w:spacing w:line="440" w:lineRule="exact"/>
        <w:jc w:val="left"/>
        <w:rPr>
          <w:sz w:val="24"/>
        </w:rPr>
      </w:pPr>
      <w:r>
        <w:rPr>
          <w:rFonts w:hint="eastAsia"/>
          <w:sz w:val="24"/>
        </w:rPr>
        <w:t>三、支出决算表</w:t>
      </w:r>
    </w:p>
    <w:p w14:paraId="5B09BDF1">
      <w:pPr>
        <w:pStyle w:val="13"/>
        <w:adjustRightInd w:val="0"/>
        <w:snapToGrid w:val="0"/>
        <w:spacing w:line="440" w:lineRule="exact"/>
        <w:jc w:val="left"/>
        <w:rPr>
          <w:sz w:val="24"/>
        </w:rPr>
      </w:pPr>
      <w:r>
        <w:rPr>
          <w:rFonts w:hint="eastAsia"/>
          <w:sz w:val="24"/>
        </w:rPr>
        <w:t>四、财政拨款收入支出决算总表</w:t>
      </w:r>
    </w:p>
    <w:p w14:paraId="545E6B2C">
      <w:pPr>
        <w:pStyle w:val="13"/>
        <w:adjustRightInd w:val="0"/>
        <w:snapToGrid w:val="0"/>
        <w:spacing w:line="440" w:lineRule="exact"/>
        <w:jc w:val="left"/>
        <w:rPr>
          <w:sz w:val="24"/>
        </w:rPr>
      </w:pPr>
      <w:r>
        <w:rPr>
          <w:rFonts w:hint="eastAsia"/>
          <w:sz w:val="24"/>
        </w:rPr>
        <w:t>五、财政拨款支出决算明细表</w:t>
      </w:r>
    </w:p>
    <w:p w14:paraId="3C7E3115">
      <w:pPr>
        <w:pStyle w:val="13"/>
        <w:adjustRightInd w:val="0"/>
        <w:snapToGrid w:val="0"/>
        <w:spacing w:line="440" w:lineRule="exact"/>
        <w:jc w:val="left"/>
        <w:rPr>
          <w:sz w:val="24"/>
        </w:rPr>
      </w:pPr>
      <w:r>
        <w:rPr>
          <w:rFonts w:hint="eastAsia"/>
          <w:sz w:val="24"/>
        </w:rPr>
        <w:t>六、一般公共预算财政拨款支出决算表</w:t>
      </w:r>
    </w:p>
    <w:p w14:paraId="1A42CE13">
      <w:pPr>
        <w:pStyle w:val="13"/>
        <w:adjustRightInd w:val="0"/>
        <w:snapToGrid w:val="0"/>
        <w:spacing w:line="440" w:lineRule="exact"/>
        <w:jc w:val="left"/>
        <w:rPr>
          <w:sz w:val="24"/>
        </w:rPr>
      </w:pPr>
      <w:r>
        <w:rPr>
          <w:rFonts w:hint="eastAsia"/>
          <w:sz w:val="24"/>
        </w:rPr>
        <w:t>七、一般公共预算财政拨款支出决算明细表</w:t>
      </w:r>
    </w:p>
    <w:p w14:paraId="460ACF8F">
      <w:pPr>
        <w:pStyle w:val="13"/>
        <w:adjustRightInd w:val="0"/>
        <w:snapToGrid w:val="0"/>
        <w:spacing w:line="440" w:lineRule="exact"/>
        <w:jc w:val="left"/>
        <w:rPr>
          <w:sz w:val="24"/>
        </w:rPr>
      </w:pPr>
      <w:r>
        <w:rPr>
          <w:rFonts w:hint="eastAsia"/>
          <w:sz w:val="24"/>
        </w:rPr>
        <w:t>八、一般公共预算财政拨款基本支出决算明细表</w:t>
      </w:r>
    </w:p>
    <w:p w14:paraId="79937D82">
      <w:pPr>
        <w:pStyle w:val="13"/>
        <w:adjustRightInd w:val="0"/>
        <w:snapToGrid w:val="0"/>
        <w:spacing w:line="440" w:lineRule="exact"/>
        <w:jc w:val="left"/>
        <w:rPr>
          <w:sz w:val="24"/>
        </w:rPr>
      </w:pPr>
      <w:r>
        <w:rPr>
          <w:rFonts w:hint="eastAsia"/>
          <w:sz w:val="24"/>
        </w:rPr>
        <w:t>九、一般公共预算财政拨款项目支出决算表</w:t>
      </w:r>
    </w:p>
    <w:p w14:paraId="7955A54E">
      <w:pPr>
        <w:pStyle w:val="13"/>
        <w:adjustRightInd w:val="0"/>
        <w:snapToGrid w:val="0"/>
        <w:spacing w:line="440" w:lineRule="exact"/>
        <w:jc w:val="left"/>
        <w:rPr>
          <w:sz w:val="24"/>
        </w:rPr>
      </w:pPr>
      <w:r>
        <w:rPr>
          <w:rFonts w:hint="eastAsia"/>
          <w:sz w:val="24"/>
        </w:rPr>
        <w:t>十、政府性基金预算财政拨款收入支出决算表</w:t>
      </w:r>
    </w:p>
    <w:p w14:paraId="02097E03">
      <w:pPr>
        <w:pStyle w:val="13"/>
        <w:adjustRightInd w:val="0"/>
        <w:snapToGrid w:val="0"/>
        <w:spacing w:line="440" w:lineRule="exact"/>
        <w:jc w:val="left"/>
        <w:rPr>
          <w:sz w:val="24"/>
        </w:rPr>
      </w:pPr>
      <w:r>
        <w:rPr>
          <w:rFonts w:hint="eastAsia"/>
          <w:sz w:val="24"/>
        </w:rPr>
        <w:t>十一、国有资本经营预算财政拨款收入支出决算表</w:t>
      </w:r>
    </w:p>
    <w:p w14:paraId="2A846960">
      <w:pPr>
        <w:pStyle w:val="13"/>
        <w:adjustRightInd w:val="0"/>
        <w:snapToGrid w:val="0"/>
        <w:spacing w:line="440" w:lineRule="exact"/>
        <w:jc w:val="left"/>
        <w:rPr>
          <w:sz w:val="24"/>
        </w:rPr>
      </w:pPr>
      <w:r>
        <w:rPr>
          <w:rFonts w:hint="eastAsia"/>
          <w:sz w:val="24"/>
        </w:rPr>
        <w:t>十二、国有资本经营预算财政拨款支出决算表</w:t>
      </w:r>
    </w:p>
    <w:p w14:paraId="3FE76CC8">
      <w:pPr>
        <w:pStyle w:val="13"/>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14:paraId="54F61D66">
      <w:pPr>
        <w:widowControl/>
        <w:adjustRightInd w:val="0"/>
        <w:snapToGrid w:val="0"/>
        <w:spacing w:line="440" w:lineRule="exact"/>
        <w:ind w:firstLine="1320" w:firstLineChars="550"/>
        <w:jc w:val="left"/>
        <w:rPr>
          <w:rFonts w:ascii="仿宋" w:hAnsi="仿宋" w:eastAsia="仿宋"/>
          <w:sz w:val="24"/>
        </w:rPr>
      </w:pPr>
      <w:r>
        <w:rPr>
          <w:rFonts w:hint="eastAsia" w:ascii="仿宋" w:hAnsi="仿宋" w:eastAsia="仿宋"/>
          <w:sz w:val="24"/>
          <w:lang w:eastAsia="zh-CN"/>
        </w:rPr>
        <w:t>（</w:t>
      </w:r>
      <w:r>
        <w:rPr>
          <w:rFonts w:ascii="仿宋" w:hAnsi="仿宋" w:eastAsia="仿宋"/>
          <w:sz w:val="24"/>
        </w:rPr>
        <w:t>注：</w:t>
      </w:r>
      <w:r>
        <w:rPr>
          <w:rFonts w:hint="eastAsia" w:ascii="仿宋" w:hAnsi="仿宋" w:eastAsia="仿宋"/>
          <w:sz w:val="24"/>
        </w:rPr>
        <w:t>请部门根据实际注明页码</w:t>
      </w:r>
      <w:r>
        <w:rPr>
          <w:rFonts w:hint="eastAsia" w:ascii="仿宋" w:hAnsi="仿宋" w:eastAsia="仿宋"/>
          <w:sz w:val="24"/>
          <w:lang w:eastAsia="zh-CN"/>
        </w:rPr>
        <w:t>）</w:t>
      </w:r>
    </w:p>
    <w:p w14:paraId="0CCC0F77">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302A722F">
      <w:pPr>
        <w:pStyle w:val="3"/>
        <w:jc w:val="center"/>
        <w:rPr>
          <w:rStyle w:val="20"/>
          <w:rFonts w:ascii="黑体" w:hAnsi="黑体" w:eastAsia="黑体"/>
          <w:b/>
          <w:bCs w:val="0"/>
        </w:rPr>
      </w:pPr>
      <w:r>
        <w:rPr>
          <w:rFonts w:hint="eastAsia" w:ascii="黑体" w:hAnsi="黑体" w:eastAsia="黑体"/>
          <w:b w:val="0"/>
        </w:rPr>
        <w:t xml:space="preserve">第一部分 </w:t>
      </w:r>
      <w:r>
        <w:rPr>
          <w:rStyle w:val="20"/>
          <w:rFonts w:hint="eastAsia" w:ascii="黑体" w:hAnsi="黑体" w:eastAsia="黑体"/>
          <w:b w:val="0"/>
          <w:bCs w:val="0"/>
        </w:rPr>
        <w:t>部门概况</w:t>
      </w:r>
      <w:bookmarkEnd w:id="12"/>
      <w:bookmarkEnd w:id="13"/>
    </w:p>
    <w:p w14:paraId="59C73FEB">
      <w:pPr>
        <w:widowControl/>
        <w:jc w:val="left"/>
        <w:rPr>
          <w:rFonts w:ascii="黑体" w:eastAsia="黑体"/>
          <w:sz w:val="32"/>
          <w:szCs w:val="32"/>
        </w:rPr>
      </w:pPr>
    </w:p>
    <w:p w14:paraId="447EB789">
      <w:pPr>
        <w:pStyle w:val="4"/>
        <w:numPr>
          <w:ilvl w:val="0"/>
          <w:numId w:val="1"/>
        </w:numPr>
        <w:rPr>
          <w:rFonts w:hint="eastAsia" w:ascii="黑体" w:hAnsi="黑体" w:eastAsia="黑体"/>
          <w:b w:val="0"/>
        </w:rPr>
      </w:pPr>
      <w:r>
        <w:rPr>
          <w:rFonts w:hint="eastAsia" w:ascii="黑体" w:hAnsi="黑体" w:eastAsia="黑体"/>
          <w:b w:val="0"/>
        </w:rPr>
        <w:t>部门职责</w:t>
      </w:r>
    </w:p>
    <w:p w14:paraId="1D9B5531">
      <w:pPr>
        <w:keepNext w:val="0"/>
        <w:keepLines w:val="0"/>
        <w:pageBreakBefore w:val="0"/>
        <w:widowControl w:val="0"/>
        <w:suppressLineNumbers w:val="0"/>
        <w:kinsoku/>
        <w:wordWrap/>
        <w:overflowPunct/>
        <w:topLinePunct w:val="0"/>
        <w:autoSpaceDE w:val="0"/>
        <w:autoSpaceDN/>
        <w:bidi w:val="0"/>
        <w:adjustRightInd/>
        <w:spacing w:afterAutospacing="0" w:line="560" w:lineRule="exact"/>
        <w:ind w:left="0" w:firstLine="640" w:firstLineChars="200"/>
        <w:jc w:val="both"/>
        <w:textAlignment w:val="auto"/>
        <w:rPr>
          <w:rFonts w:hint="eastAsia" w:ascii="仿宋_GB2312" w:hAnsi="宋体" w:eastAsia="仿宋_GB2312" w:cs="仿宋_GB2312"/>
          <w:kern w:val="0"/>
          <w:sz w:val="32"/>
          <w:szCs w:val="32"/>
        </w:rPr>
      </w:pPr>
      <w:r>
        <w:rPr>
          <w:rFonts w:hint="eastAsia" w:ascii="Times New Roman" w:hAnsi="Times New Roman" w:eastAsia="仿宋_GB2312" w:cs="Times New Roman"/>
          <w:kern w:val="0"/>
          <w:sz w:val="32"/>
          <w:szCs w:val="32"/>
        </w:rPr>
        <w:t xml:space="preserve"> </w:t>
      </w:r>
      <w:r>
        <w:rPr>
          <w:rFonts w:hint="eastAsia" w:eastAsia="仿宋_GB2312" w:cs="Times New Roman"/>
          <w:kern w:val="0"/>
          <w:sz w:val="32"/>
          <w:szCs w:val="32"/>
          <w:lang w:eastAsia="zh-CN"/>
        </w:rPr>
        <w:t>（</w:t>
      </w:r>
      <w:r>
        <w:rPr>
          <w:rFonts w:hint="eastAsia" w:ascii="仿宋_GB2312" w:hAnsi="宋体" w:eastAsia="仿宋_GB2312" w:cs="仿宋_GB2312"/>
          <w:kern w:val="0"/>
          <w:sz w:val="32"/>
          <w:szCs w:val="32"/>
        </w:rPr>
        <w:t>一</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rPr>
        <w:t>贯彻执</w:t>
      </w:r>
      <w:r>
        <w:rPr>
          <w:rFonts w:hint="eastAsia" w:ascii="仿宋_GB2312" w:hAnsi="Times New Roman" w:eastAsia="仿宋_GB2312" w:cs="仿宋_GB2312"/>
          <w:kern w:val="0"/>
          <w:sz w:val="32"/>
          <w:szCs w:val="32"/>
        </w:rPr>
        <w:t>行国家、省、州人力</w:t>
      </w:r>
      <w:r>
        <w:rPr>
          <w:rFonts w:hint="eastAsia" w:ascii="仿宋_GB2312" w:hAnsi="宋体" w:eastAsia="仿宋_GB2312" w:cs="仿宋_GB2312"/>
          <w:kern w:val="0"/>
          <w:sz w:val="32"/>
          <w:szCs w:val="32"/>
        </w:rPr>
        <w:t>资源和社会保障工作的相关</w:t>
      </w:r>
      <w:r>
        <w:rPr>
          <w:rFonts w:hint="eastAsia" w:ascii="仿宋_GB2312" w:hAnsi="宋体" w:eastAsia="仿宋_GB2312" w:cs="仿宋_GB2312"/>
          <w:kern w:val="0"/>
          <w:sz w:val="32"/>
          <w:szCs w:val="32"/>
          <w:lang w:eastAsia="zh-CN"/>
        </w:rPr>
        <w:t>法律法规</w:t>
      </w:r>
      <w:r>
        <w:rPr>
          <w:rFonts w:hint="eastAsia" w:ascii="仿宋_GB2312" w:hAnsi="宋体" w:eastAsia="仿宋_GB2312" w:cs="仿宋_GB2312"/>
          <w:kern w:val="0"/>
          <w:sz w:val="32"/>
          <w:szCs w:val="32"/>
        </w:rPr>
        <w:t>和政策，起草全县人力资源和社会保障规范性文件草案，拟订全县人力资源和社会保障事业发展规划、政策并组织实施和监督检查。</w:t>
      </w:r>
    </w:p>
    <w:p w14:paraId="3640207A">
      <w:pPr>
        <w:keepNext w:val="0"/>
        <w:keepLines w:val="0"/>
        <w:pageBreakBefore w:val="0"/>
        <w:widowControl/>
        <w:suppressLineNumbers w:val="0"/>
        <w:kinsoku/>
        <w:wordWrap/>
        <w:overflowPunct/>
        <w:topLinePunct w:val="0"/>
        <w:autoSpaceDE w:val="0"/>
        <w:autoSpaceDN/>
        <w:bidi w:val="0"/>
        <w:adjustRightInd/>
        <w:spacing w:afterAutospacing="0" w:line="560" w:lineRule="exact"/>
        <w:ind w:left="0" w:firstLine="640" w:firstLineChars="200"/>
        <w:jc w:val="both"/>
        <w:textAlignment w:val="auto"/>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rPr>
        <w:t>二</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rPr>
        <w:t>组织实施人力资源市场发展规划和人力资源流动政策，管理人力资源和社会保障公共服务机构，建立全县统一规范的人力资源市场，促进人力资源合理流动、有效配置。</w:t>
      </w:r>
    </w:p>
    <w:p w14:paraId="6719190F">
      <w:pPr>
        <w:keepNext w:val="0"/>
        <w:keepLines w:val="0"/>
        <w:pageBreakBefore w:val="0"/>
        <w:widowControl/>
        <w:suppressLineNumbers w:val="0"/>
        <w:kinsoku/>
        <w:wordWrap/>
        <w:overflowPunct/>
        <w:topLinePunct w:val="0"/>
        <w:autoSpaceDE w:val="0"/>
        <w:autoSpaceDN/>
        <w:bidi w:val="0"/>
        <w:adjustRightInd/>
        <w:spacing w:afterAutospacing="0" w:line="560" w:lineRule="exact"/>
        <w:ind w:left="0" w:firstLine="640" w:firstLineChars="200"/>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rPr>
        <w:t>三</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color w:val="000000"/>
          <w:kern w:val="0"/>
          <w:sz w:val="32"/>
          <w:szCs w:val="32"/>
        </w:rPr>
        <w:t>负责就业促进工作，组织实施统筹城乡就业发展规划和政策，完善公共就业服务体系；统筹建立面向城乡劳动者的职业技能培训制度，组织落实创业、就业援助制度；组织实施高校毕业生就业政策。</w:t>
      </w:r>
    </w:p>
    <w:p w14:paraId="7FD52289">
      <w:pPr>
        <w:keepNext w:val="0"/>
        <w:keepLines w:val="0"/>
        <w:pageBreakBefore w:val="0"/>
        <w:widowControl/>
        <w:suppressLineNumbers w:val="0"/>
        <w:kinsoku/>
        <w:wordWrap/>
        <w:overflowPunct/>
        <w:topLinePunct w:val="0"/>
        <w:autoSpaceDE w:val="0"/>
        <w:autoSpaceDN/>
        <w:bidi w:val="0"/>
        <w:adjustRightInd/>
        <w:spacing w:afterAutospacing="0" w:line="560" w:lineRule="exact"/>
        <w:ind w:left="0" w:firstLine="640" w:firstLineChars="200"/>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四）推进建立覆盖城乡的多层次社会保障体系。组织实施养老、失业、工伤等社会保险及其补充保险政策和标准。贯彻落实全国统一的养老、失业、工伤保险关系转续办法；贯彻落实养老、失业、工伤等社会保险及其补充保险基金管理和监督办法；编制相关社会保险基金预决算草案。会同有关部门实施全民参保计划并参与建立全国统一的社会保险公共服务平台。拟订全县人力资源和社会保障信息化建设总体规划、年度计划，制定相关制度、标准和规范并组织实施。指导、督促企业参加工伤保险。</w:t>
      </w:r>
    </w:p>
    <w:p w14:paraId="0A8AC0AC">
      <w:pPr>
        <w:keepNext w:val="0"/>
        <w:keepLines w:val="0"/>
        <w:pageBreakBefore w:val="0"/>
        <w:widowControl/>
        <w:suppressLineNumbers w:val="0"/>
        <w:kinsoku/>
        <w:wordWrap/>
        <w:overflowPunct/>
        <w:topLinePunct w:val="0"/>
        <w:autoSpaceDE w:val="0"/>
        <w:autoSpaceDN/>
        <w:bidi w:val="0"/>
        <w:adjustRightInd/>
        <w:spacing w:afterAutospacing="0" w:line="560" w:lineRule="exact"/>
        <w:ind w:left="0" w:firstLine="640" w:firstLineChars="200"/>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（五）负责就业、失业和相关社会保险基金预测预警和信息引导，拟订应对预案，实施预防、调节和控制，保持就业形势稳定和相关社会保险基金总体收支平衡。</w:t>
      </w:r>
    </w:p>
    <w:p w14:paraId="032FFE22">
      <w:pPr>
        <w:keepNext w:val="0"/>
        <w:keepLines w:val="0"/>
        <w:pageBreakBefore w:val="0"/>
        <w:widowControl/>
        <w:suppressLineNumbers w:val="0"/>
        <w:kinsoku/>
        <w:wordWrap/>
        <w:overflowPunct/>
        <w:topLinePunct w:val="0"/>
        <w:autoSpaceDE w:val="0"/>
        <w:autoSpaceDN/>
        <w:bidi w:val="0"/>
        <w:adjustRightInd/>
        <w:spacing w:afterAutospacing="0" w:line="560" w:lineRule="exact"/>
        <w:ind w:left="0" w:firstLine="640" w:firstLineChars="200"/>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六）组织实施劳动人事争议调解仲裁制度和劳动关系政策，完善劳动关系协商协调机制，贯彻职工工作时间、休息休假和假期制度，落实消除非法使用童工政策和女工、未成年工特殊劳动保护政策。依法督促用人单位在劳动用工、合同签订与履约时，载明劳动保护、劳动条件和职业危害防护等条款。组织实施劳动保障监察，协调劳动者维权工作，依法查处重大案件。</w:t>
      </w:r>
    </w:p>
    <w:p w14:paraId="58BFEB74">
      <w:pPr>
        <w:keepNext w:val="0"/>
        <w:keepLines w:val="0"/>
        <w:pageBreakBefore w:val="0"/>
        <w:widowControl/>
        <w:numPr>
          <w:ilvl w:val="0"/>
          <w:numId w:val="2"/>
        </w:numPr>
        <w:suppressLineNumbers w:val="0"/>
        <w:kinsoku/>
        <w:wordWrap/>
        <w:overflowPunct/>
        <w:topLinePunct w:val="0"/>
        <w:autoSpaceDE w:val="0"/>
        <w:autoSpaceDN/>
        <w:bidi w:val="0"/>
        <w:adjustRightInd/>
        <w:spacing w:afterAutospacing="0" w:line="560" w:lineRule="exact"/>
        <w:ind w:left="0" w:firstLine="640" w:firstLineChars="200"/>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牵头推进深化职称制度改革，组织实施专业技术人员管理、继续教育和博士后管理等政策，负责高层次专业技术人才选拔和培养工作，贯彻落实吸引留学人员来县</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回县</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工作或定居政策。组织拟订技能人才培养、评价、使用和激励制度。贯彻落实职业资格制度，健全职业技能多元化评价政策。指导、监督各级各类技工学校、民办职业培训机构按国家和省、州、县有关规定履行安全管理责任。</w:t>
      </w:r>
    </w:p>
    <w:p w14:paraId="35C9E937">
      <w:pPr>
        <w:keepNext w:val="0"/>
        <w:keepLines w:val="0"/>
        <w:pageBreakBefore w:val="0"/>
        <w:widowControl/>
        <w:suppressLineNumbers w:val="0"/>
        <w:kinsoku/>
        <w:wordWrap/>
        <w:overflowPunct/>
        <w:topLinePunct w:val="0"/>
        <w:autoSpaceDE w:val="0"/>
        <w:autoSpaceDN/>
        <w:bidi w:val="0"/>
        <w:adjustRightInd/>
        <w:spacing w:afterAutospacing="0" w:line="560" w:lineRule="exact"/>
        <w:ind w:left="0" w:firstLine="640"/>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 xml:space="preserve">（八）会同有关部门负责事业单位人事制度改革，按照管理权限负责规范事业单位岗位设置、公开招聘、聘用合同等人事综合管理工作，落实规范事业单位工作人员和机关工勤人员管理政策，将安全生产及生态环境保护责任履行情况作为事业单位工作人员奖惩、考核的重要内容。   </w:t>
      </w:r>
    </w:p>
    <w:p w14:paraId="005F85C9">
      <w:pPr>
        <w:keepNext w:val="0"/>
        <w:keepLines w:val="0"/>
        <w:pageBreakBefore w:val="0"/>
        <w:widowControl/>
        <w:suppressLineNumbers w:val="0"/>
        <w:kinsoku/>
        <w:wordWrap/>
        <w:overflowPunct/>
        <w:topLinePunct w:val="0"/>
        <w:autoSpaceDE w:val="0"/>
        <w:autoSpaceDN/>
        <w:bidi w:val="0"/>
        <w:adjustRightInd/>
        <w:spacing w:afterAutospacing="0" w:line="560" w:lineRule="exact"/>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 xml:space="preserve">    </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九</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组织实施国家表彰奖励制度，综合管理政府表彰奖励工作，承担评比达标表彰等工作，根据授权承办以县委、县政府名义开展的表彰奖励活动。承办提请县人大常委会和县政府决定的人事任免事项。</w:t>
      </w:r>
    </w:p>
    <w:p w14:paraId="67CB2776">
      <w:pPr>
        <w:keepNext w:val="0"/>
        <w:keepLines w:val="0"/>
        <w:pageBreakBefore w:val="0"/>
        <w:widowControl/>
        <w:suppressLineNumbers w:val="0"/>
        <w:kinsoku/>
        <w:wordWrap/>
        <w:overflowPunct/>
        <w:topLinePunct w:val="0"/>
        <w:autoSpaceDE w:val="0"/>
        <w:autoSpaceDN/>
        <w:bidi w:val="0"/>
        <w:adjustRightInd/>
        <w:spacing w:afterAutospacing="0" w:line="560" w:lineRule="exact"/>
        <w:ind w:left="0" w:firstLine="640" w:firstLineChars="200"/>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十</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组织实施事业单位人员工资收入分配政策，建立企事业单位人员工资决定、正常增长和支付保障机制。组织实施企事业单位人员福利和离退休政策。</w:t>
      </w:r>
    </w:p>
    <w:p w14:paraId="4C62A160">
      <w:pPr>
        <w:keepNext w:val="0"/>
        <w:keepLines w:val="0"/>
        <w:pageBreakBefore w:val="0"/>
        <w:widowControl/>
        <w:suppressLineNumbers w:val="0"/>
        <w:kinsoku/>
        <w:wordWrap/>
        <w:overflowPunct/>
        <w:topLinePunct w:val="0"/>
        <w:autoSpaceDE w:val="0"/>
        <w:autoSpaceDN/>
        <w:bidi w:val="0"/>
        <w:adjustRightInd/>
        <w:spacing w:afterAutospacing="0" w:line="560" w:lineRule="exact"/>
        <w:ind w:left="640" w:leftChars="0"/>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十一</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会同相关部门组织实施农民工工作的综合性</w:t>
      </w:r>
      <w:r>
        <w:rPr>
          <w:rFonts w:hint="eastAsia" w:ascii="仿宋_GB2312" w:hAnsi="宋体" w:eastAsia="仿宋_GB2312" w:cs="仿宋_GB2312"/>
          <w:color w:val="000000"/>
          <w:kern w:val="0"/>
          <w:sz w:val="32"/>
          <w:szCs w:val="32"/>
          <w:lang w:eastAsia="zh-CN"/>
        </w:rPr>
        <w:t>政策</w:t>
      </w:r>
    </w:p>
    <w:p w14:paraId="7AAAE158">
      <w:pPr>
        <w:keepNext w:val="0"/>
        <w:keepLines w:val="0"/>
        <w:pageBreakBefore w:val="0"/>
        <w:widowControl/>
        <w:suppressLineNumbers w:val="0"/>
        <w:kinsoku/>
        <w:wordWrap/>
        <w:overflowPunct/>
        <w:topLinePunct w:val="0"/>
        <w:autoSpaceDE w:val="0"/>
        <w:autoSpaceDN/>
        <w:bidi w:val="0"/>
        <w:adjustRightInd/>
        <w:spacing w:afterAutospacing="0" w:line="560" w:lineRule="exact"/>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策和规划，推动相关政策落实，协调解决重点难点问题，维护农民工合法权益。负责将安全生产纳入农民工技能培训内容。</w:t>
      </w:r>
    </w:p>
    <w:p w14:paraId="0B7EE226">
      <w:pPr>
        <w:keepNext w:val="0"/>
        <w:keepLines w:val="0"/>
        <w:pageBreakBefore w:val="0"/>
        <w:widowControl/>
        <w:numPr>
          <w:ilvl w:val="0"/>
          <w:numId w:val="3"/>
        </w:numPr>
        <w:suppressLineNumbers w:val="0"/>
        <w:kinsoku/>
        <w:wordWrap/>
        <w:overflowPunct/>
        <w:topLinePunct w:val="0"/>
        <w:autoSpaceDE w:val="0"/>
        <w:autoSpaceDN/>
        <w:bidi w:val="0"/>
        <w:adjustRightInd/>
        <w:spacing w:afterAutospacing="0" w:line="560" w:lineRule="exact"/>
        <w:ind w:left="640" w:leftChars="0" w:firstLine="0"/>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负责人力资源和社会保障领域内的对外交流</w:t>
      </w:r>
    </w:p>
    <w:p w14:paraId="2A9B7DF2">
      <w:pPr>
        <w:keepNext w:val="0"/>
        <w:keepLines w:val="0"/>
        <w:pageBreakBefore w:val="0"/>
        <w:widowControl/>
        <w:suppressLineNumbers w:val="0"/>
        <w:kinsoku/>
        <w:wordWrap/>
        <w:overflowPunct/>
        <w:topLinePunct w:val="0"/>
        <w:autoSpaceDE w:val="0"/>
        <w:autoSpaceDN/>
        <w:bidi w:val="0"/>
        <w:adjustRightInd/>
        <w:spacing w:afterAutospacing="0" w:line="560" w:lineRule="exact"/>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与合作。</w:t>
      </w:r>
    </w:p>
    <w:p w14:paraId="1B20F31B">
      <w:pPr>
        <w:keepNext w:val="0"/>
        <w:keepLines w:val="0"/>
        <w:pageBreakBefore w:val="0"/>
        <w:widowControl/>
        <w:numPr>
          <w:ilvl w:val="0"/>
          <w:numId w:val="3"/>
        </w:numPr>
        <w:suppressLineNumbers w:val="0"/>
        <w:kinsoku/>
        <w:wordWrap/>
        <w:overflowPunct/>
        <w:topLinePunct w:val="0"/>
        <w:autoSpaceDE w:val="0"/>
        <w:autoSpaceDN/>
        <w:bidi w:val="0"/>
        <w:adjustRightInd/>
        <w:spacing w:afterAutospacing="0" w:line="560" w:lineRule="exact"/>
        <w:ind w:left="640" w:leftChars="0" w:firstLine="0" w:firstLineChars="0"/>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承担职责范围内的安全生产和职业健康、生态</w:t>
      </w:r>
    </w:p>
    <w:p w14:paraId="0A669B8C">
      <w:pPr>
        <w:keepNext w:val="0"/>
        <w:keepLines w:val="0"/>
        <w:pageBreakBefore w:val="0"/>
        <w:widowControl/>
        <w:suppressLineNumbers w:val="0"/>
        <w:kinsoku/>
        <w:wordWrap/>
        <w:overflowPunct/>
        <w:topLinePunct w:val="0"/>
        <w:autoSpaceDE w:val="0"/>
        <w:autoSpaceDN/>
        <w:bidi w:val="0"/>
        <w:adjustRightInd/>
        <w:spacing w:afterAutospacing="0" w:line="560" w:lineRule="exact"/>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环境保护、审批服务便民化等工作。</w:t>
      </w:r>
    </w:p>
    <w:p w14:paraId="472CF913">
      <w:pPr>
        <w:keepNext w:val="0"/>
        <w:keepLines w:val="0"/>
        <w:pageBreakBefore w:val="0"/>
        <w:widowControl/>
        <w:suppressLineNumbers w:val="0"/>
        <w:kinsoku/>
        <w:wordWrap/>
        <w:overflowPunct/>
        <w:topLinePunct w:val="0"/>
        <w:autoSpaceDE w:val="0"/>
        <w:autoSpaceDN/>
        <w:bidi w:val="0"/>
        <w:adjustRightInd/>
        <w:spacing w:afterAutospacing="0" w:line="560" w:lineRule="exact"/>
        <w:ind w:left="0" w:firstLine="640" w:firstLineChars="200"/>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（十四）完成县委、县政府交办的其他任务。</w:t>
      </w:r>
    </w:p>
    <w:p w14:paraId="16F83E5E">
      <w:pPr>
        <w:keepNext w:val="0"/>
        <w:keepLines w:val="0"/>
        <w:pageBreakBefore w:val="0"/>
        <w:widowControl/>
        <w:suppressLineNumbers w:val="0"/>
        <w:kinsoku/>
        <w:wordWrap/>
        <w:overflowPunct/>
        <w:topLinePunct w:val="0"/>
        <w:autoSpaceDE w:val="0"/>
        <w:autoSpaceDN/>
        <w:bidi w:val="0"/>
        <w:adjustRightInd/>
        <w:spacing w:afterAutospacing="0" w:line="560" w:lineRule="exact"/>
        <w:ind w:left="640" w:leftChars="0"/>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（十五）职能转变。深入推进简政放权、放管结合、优</w:t>
      </w:r>
    </w:p>
    <w:p w14:paraId="2A899E47">
      <w:pPr>
        <w:keepNext w:val="0"/>
        <w:keepLines w:val="0"/>
        <w:pageBreakBefore w:val="0"/>
        <w:widowControl/>
        <w:suppressLineNumbers w:val="0"/>
        <w:kinsoku/>
        <w:wordWrap/>
        <w:overflowPunct/>
        <w:topLinePunct w:val="0"/>
        <w:autoSpaceDE w:val="0"/>
        <w:autoSpaceDN/>
        <w:bidi w:val="0"/>
        <w:adjustRightInd/>
        <w:spacing w:afterAutospacing="0" w:line="560" w:lineRule="exact"/>
        <w:jc w:val="both"/>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化服务改革，进一步减少行政审批事项，规范和优化对外办理事项，减少职业资格许可和认定等审批事项，实行职业资格目录清单管理，加强事中事后监管，创新就业和社会保障等公共服务方式，加强信息共享，提高公共服务水平。</w:t>
      </w:r>
    </w:p>
    <w:p w14:paraId="11FAB7BC">
      <w:pPr>
        <w:keepNext w:val="0"/>
        <w:keepLines w:val="0"/>
        <w:pageBreakBefore w:val="0"/>
        <w:widowControl/>
        <w:suppressLineNumbers w:val="0"/>
        <w:kinsoku/>
        <w:wordWrap/>
        <w:overflowPunct/>
        <w:topLinePunct w:val="0"/>
        <w:autoSpaceDE w:val="0"/>
        <w:autoSpaceDN/>
        <w:bidi w:val="0"/>
        <w:adjustRightInd/>
        <w:spacing w:afterAutospacing="0" w:line="560" w:lineRule="exact"/>
        <w:jc w:val="both"/>
        <w:textAlignment w:val="auto"/>
      </w:pPr>
      <w:r>
        <w:rPr>
          <w:rFonts w:hint="eastAsia" w:ascii="仿宋_GB2312" w:hAnsi="宋体" w:eastAsia="仿宋_GB2312" w:cs="仿宋_GB2312"/>
          <w:color w:val="000000"/>
          <w:kern w:val="0"/>
          <w:sz w:val="32"/>
          <w:szCs w:val="32"/>
        </w:rPr>
        <w:t xml:space="preserve">    （十六）有关职责分工。与县教育局的有关职责分工。高校毕业生就业政策由县人力资源社会保障局牵头，会同县教育局等部门拟订。高校毕业生离校前的就业指导和服务工作，由县教育局负责；高校毕业生离校后的就业指导和服务工作，由县人力资源社会保障局负责。</w:t>
      </w:r>
    </w:p>
    <w:p w14:paraId="020AEEFF">
      <w:pPr>
        <w:pStyle w:val="4"/>
        <w:rPr>
          <w:rStyle w:val="21"/>
          <w:b w:val="0"/>
          <w:bCs w:val="0"/>
        </w:rPr>
      </w:pPr>
      <w:bookmarkStart w:id="14" w:name="_Toc15396601"/>
      <w:bookmarkStart w:id="15" w:name="_Toc15377200"/>
      <w:r>
        <w:rPr>
          <w:rFonts w:hint="eastAsia" w:ascii="黑体" w:eastAsia="黑体"/>
          <w:b w:val="0"/>
        </w:rPr>
        <w:t>二、</w:t>
      </w:r>
      <w:r>
        <w:rPr>
          <w:rFonts w:hint="eastAsia" w:ascii="黑体" w:hAnsi="黑体" w:eastAsia="黑体"/>
          <w:b w:val="0"/>
        </w:rPr>
        <w:t>机</w:t>
      </w:r>
      <w:r>
        <w:rPr>
          <w:rStyle w:val="21"/>
          <w:rFonts w:hint="eastAsia" w:ascii="黑体" w:hAnsi="黑体" w:eastAsia="黑体"/>
          <w:b w:val="0"/>
          <w:bCs w:val="0"/>
        </w:rPr>
        <w:t>构设置</w:t>
      </w:r>
      <w:bookmarkEnd w:id="14"/>
      <w:bookmarkEnd w:id="15"/>
    </w:p>
    <w:p w14:paraId="0FC95815">
      <w:pPr>
        <w:ind w:firstLine="800" w:firstLineChars="250"/>
        <w:rPr>
          <w:rFonts w:ascii="仿宋" w:hAnsi="仿宋" w:eastAsia="仿宋"/>
          <w:sz w:val="32"/>
          <w:szCs w:val="32"/>
        </w:rPr>
      </w:pPr>
      <w:r>
        <w:rPr>
          <w:sz w:val="32"/>
          <w:szCs w:val="32"/>
        </w:rPr>
        <w:t>松潘县人力资源和社会保障局</w:t>
      </w:r>
      <w:r>
        <w:rPr>
          <w:rFonts w:hint="eastAsia" w:ascii="仿宋" w:hAnsi="仿宋" w:eastAsia="仿宋"/>
          <w:sz w:val="32"/>
          <w:szCs w:val="32"/>
        </w:rPr>
        <w:t>下属二级预算单位</w:t>
      </w:r>
      <w:r>
        <w:rPr>
          <w:rFonts w:hint="eastAsia" w:eastAsia="仿宋"/>
          <w:sz w:val="32"/>
          <w:szCs w:val="32"/>
          <w:lang w:val="en-US" w:eastAsia="zh-CN"/>
        </w:rPr>
        <w:t>5</w:t>
      </w:r>
      <w:r>
        <w:rPr>
          <w:rFonts w:hint="eastAsia" w:ascii="仿宋" w:hAnsi="仿宋" w:eastAsia="仿宋"/>
          <w:sz w:val="32"/>
          <w:szCs w:val="32"/>
        </w:rPr>
        <w:t>个，其中参照公务员法管理的事业单位</w:t>
      </w:r>
      <w:r>
        <w:rPr>
          <w:rFonts w:hint="eastAsia" w:ascii="仿宋" w:hAnsi="仿宋" w:eastAsia="仿宋"/>
          <w:bCs/>
          <w:sz w:val="32"/>
          <w:szCs w:val="32"/>
          <w:lang w:val="en-US" w:eastAsia="zh-CN"/>
        </w:rPr>
        <w:t>2</w:t>
      </w:r>
      <w:r>
        <w:rPr>
          <w:rFonts w:hint="eastAsia" w:ascii="仿宋" w:hAnsi="仿宋" w:eastAsia="仿宋"/>
          <w:sz w:val="32"/>
          <w:szCs w:val="32"/>
        </w:rPr>
        <w:t>个，其他事业单位</w:t>
      </w:r>
      <w:r>
        <w:rPr>
          <w:rFonts w:hint="eastAsia" w:ascii="仿宋" w:hAnsi="仿宋" w:eastAsia="仿宋"/>
          <w:sz w:val="32"/>
          <w:szCs w:val="32"/>
          <w:lang w:val="en-US" w:eastAsia="zh-CN"/>
        </w:rPr>
        <w:t>3</w:t>
      </w:r>
      <w:r>
        <w:rPr>
          <w:rFonts w:hint="eastAsia" w:ascii="仿宋" w:hAnsi="仿宋" w:eastAsia="仿宋"/>
          <w:sz w:val="32"/>
          <w:szCs w:val="32"/>
        </w:rPr>
        <w:t>个。</w:t>
      </w:r>
    </w:p>
    <w:p w14:paraId="3A1D4092">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w:t>
      </w:r>
      <w:r>
        <w:rPr>
          <w:rFonts w:ascii="Times New Roman" w:eastAsia="宋体"/>
          <w:kern w:val="2"/>
          <w:sz w:val="32"/>
          <w:szCs w:val="32"/>
        </w:rPr>
        <w:t>松潘县人力资源和社会保障局</w:t>
      </w:r>
      <w:r>
        <w:rPr>
          <w:rFonts w:hint="eastAsia" w:ascii="仿宋" w:hAnsi="仿宋" w:eastAsia="仿宋"/>
          <w:sz w:val="32"/>
          <w:szCs w:val="32"/>
        </w:rPr>
        <w:t>2023年度部门决算编制范围的二级预算单位包括：</w:t>
      </w:r>
    </w:p>
    <w:p w14:paraId="63418C24">
      <w:pPr>
        <w:pStyle w:val="2"/>
        <w:numPr>
          <w:ilvl w:val="0"/>
          <w:numId w:val="4"/>
        </w:numPr>
        <w:adjustRightInd w:val="0"/>
        <w:snapToGrid w:val="0"/>
        <w:spacing w:before="93" w:line="600" w:lineRule="exact"/>
        <w:outlineLvl w:val="2"/>
        <w:rPr>
          <w:rFonts w:ascii="仿宋" w:hAnsi="仿宋" w:eastAsia="仿宋"/>
          <w:sz w:val="32"/>
          <w:szCs w:val="32"/>
        </w:rPr>
      </w:pPr>
      <w:bookmarkStart w:id="16" w:name="_Toc15377433"/>
      <w:bookmarkStart w:id="17" w:name="_Toc15378449"/>
      <w:bookmarkStart w:id="18" w:name="_Toc15377202"/>
      <w:bookmarkStart w:id="19" w:name="_Toc15306276"/>
      <w:r>
        <w:rPr>
          <w:rFonts w:hint="eastAsia" w:ascii="仿宋" w:hAnsi="仿宋" w:eastAsia="仿宋"/>
          <w:sz w:val="32"/>
          <w:szCs w:val="32"/>
          <w:lang w:eastAsia="zh-CN"/>
        </w:rPr>
        <w:t>松潘县社会保险事务中心</w:t>
      </w:r>
      <w:bookmarkEnd w:id="16"/>
      <w:bookmarkEnd w:id="17"/>
      <w:bookmarkEnd w:id="18"/>
      <w:bookmarkEnd w:id="19"/>
    </w:p>
    <w:p w14:paraId="1258F15B">
      <w:pPr>
        <w:pStyle w:val="2"/>
        <w:numPr>
          <w:ilvl w:val="0"/>
          <w:numId w:val="4"/>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lang w:eastAsia="zh-CN"/>
        </w:rPr>
        <w:t>松潘县公共就业和人才交流服务中心</w:t>
      </w:r>
    </w:p>
    <w:p w14:paraId="038E0BF2">
      <w:pPr>
        <w:pStyle w:val="2"/>
        <w:numPr>
          <w:ilvl w:val="0"/>
          <w:numId w:val="4"/>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lang w:eastAsia="zh-CN"/>
        </w:rPr>
        <w:t>松潘县城乡居民养老保险事务中心</w:t>
      </w:r>
    </w:p>
    <w:p w14:paraId="1437B47B">
      <w:pPr>
        <w:pStyle w:val="2"/>
        <w:numPr>
          <w:ilvl w:val="0"/>
          <w:numId w:val="4"/>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lang w:eastAsia="zh-CN"/>
        </w:rPr>
        <w:t>松潘县劳动人事争议仲裁院</w:t>
      </w:r>
    </w:p>
    <w:p w14:paraId="1DE0EA34">
      <w:pPr>
        <w:pStyle w:val="2"/>
        <w:numPr>
          <w:ilvl w:val="0"/>
          <w:numId w:val="4"/>
        </w:numPr>
        <w:adjustRightInd w:val="0"/>
        <w:snapToGrid w:val="0"/>
        <w:spacing w:before="93" w:line="600" w:lineRule="exact"/>
        <w:outlineLvl w:val="2"/>
        <w:rPr>
          <w:rFonts w:ascii="仿宋" w:hAnsi="仿宋" w:eastAsia="仿宋"/>
          <w:sz w:val="32"/>
          <w:szCs w:val="32"/>
        </w:rPr>
      </w:pPr>
      <w:r>
        <w:rPr>
          <w:rFonts w:hint="eastAsia" w:ascii="仿宋" w:hAnsi="仿宋" w:eastAsia="仿宋"/>
          <w:sz w:val="32"/>
          <w:szCs w:val="32"/>
          <w:lang w:eastAsia="zh-CN"/>
        </w:rPr>
        <w:t>松潘县机关事业养老保险中心</w:t>
      </w:r>
    </w:p>
    <w:p w14:paraId="05D8E401">
      <w:pPr>
        <w:widowControl/>
        <w:jc w:val="left"/>
        <w:rPr>
          <w:rFonts w:ascii="仿宋" w:hAnsi="仿宋" w:eastAsia="仿宋"/>
          <w:kern w:val="0"/>
          <w:sz w:val="32"/>
          <w:szCs w:val="32"/>
        </w:rPr>
      </w:pPr>
      <w:r>
        <w:rPr>
          <w:rFonts w:ascii="仿宋" w:hAnsi="仿宋" w:eastAsia="仿宋"/>
          <w:sz w:val="32"/>
          <w:szCs w:val="32"/>
        </w:rPr>
        <w:br w:type="page"/>
      </w:r>
    </w:p>
    <w:p w14:paraId="25EEDF04">
      <w:pPr>
        <w:pStyle w:val="3"/>
        <w:ind w:right="440"/>
        <w:jc w:val="center"/>
        <w:rPr>
          <w:rStyle w:val="20"/>
          <w:rFonts w:ascii="黑体" w:hAnsi="黑体" w:eastAsia="黑体"/>
          <w:b w:val="0"/>
          <w:bCs/>
        </w:rPr>
      </w:pPr>
      <w:bookmarkStart w:id="20" w:name="_Toc15396602"/>
      <w:bookmarkStart w:id="21" w:name="_Toc15377204"/>
      <w:r>
        <w:rPr>
          <w:rFonts w:hint="eastAsia" w:ascii="黑体" w:hAnsi="黑体" w:eastAsia="黑体"/>
          <w:b w:val="0"/>
        </w:rPr>
        <w:t>第二部分 2023年度</w:t>
      </w:r>
      <w:r>
        <w:rPr>
          <w:rStyle w:val="20"/>
          <w:rFonts w:hint="eastAsia" w:ascii="黑体" w:hAnsi="黑体" w:eastAsia="黑体"/>
          <w:b w:val="0"/>
          <w:bCs/>
        </w:rPr>
        <w:t>部门决算情况说明</w:t>
      </w:r>
      <w:bookmarkEnd w:id="20"/>
      <w:bookmarkEnd w:id="21"/>
    </w:p>
    <w:p w14:paraId="07188F1A"/>
    <w:p w14:paraId="590D3128">
      <w:pPr>
        <w:pStyle w:val="36"/>
        <w:numPr>
          <w:ilvl w:val="0"/>
          <w:numId w:val="5"/>
        </w:numPr>
        <w:spacing w:line="600" w:lineRule="exact"/>
        <w:ind w:firstLineChars="0"/>
        <w:outlineLvl w:val="1"/>
        <w:rPr>
          <w:rStyle w:val="21"/>
          <w:rFonts w:ascii="黑体" w:hAnsi="黑体" w:eastAsia="黑体"/>
          <w:b w:val="0"/>
        </w:rPr>
      </w:pPr>
      <w:bookmarkStart w:id="22" w:name="_Toc15377205"/>
      <w:bookmarkStart w:id="23" w:name="_Toc15396603"/>
      <w:r>
        <w:rPr>
          <w:rFonts w:hint="eastAsia" w:ascii="黑体" w:hAnsi="黑体" w:eastAsia="黑体"/>
          <w:sz w:val="32"/>
          <w:szCs w:val="32"/>
        </w:rPr>
        <w:t>收</w:t>
      </w:r>
      <w:r>
        <w:rPr>
          <w:rStyle w:val="21"/>
          <w:rFonts w:hint="eastAsia" w:ascii="黑体" w:hAnsi="黑体" w:eastAsia="黑体"/>
          <w:b w:val="0"/>
        </w:rPr>
        <w:t>入支出决算总体情况说明</w:t>
      </w:r>
      <w:bookmarkEnd w:id="22"/>
      <w:bookmarkEnd w:id="23"/>
    </w:p>
    <w:p w14:paraId="268586B2">
      <w:pPr>
        <w:pStyle w:val="40"/>
        <w:keepNext w:val="0"/>
        <w:keepLines w:val="0"/>
        <w:pageBreakBefore w:val="0"/>
        <w:widowControl/>
        <w:suppressLineNumbers w:val="0"/>
        <w:kinsoku/>
        <w:wordWrap/>
        <w:overflowPunct/>
        <w:topLinePunct w:val="0"/>
        <w:autoSpaceDN/>
        <w:bidi w:val="0"/>
        <w:adjustRightInd/>
        <w:spacing w:before="0" w:beforeAutospacing="0" w:afterAutospacing="0" w:line="560" w:lineRule="exact"/>
        <w:ind w:left="0" w:firstLine="640" w:firstLineChars="200"/>
        <w:jc w:val="both"/>
        <w:textAlignment w:val="auto"/>
        <w:rPr>
          <w:rFonts w:ascii="仿宋_GB2312" w:eastAsia="仿宋_GB2312"/>
          <w:sz w:val="32"/>
          <w:szCs w:val="32"/>
        </w:rPr>
      </w:pPr>
      <w:r>
        <w:rPr>
          <w:rFonts w:hint="eastAsia" w:ascii="仿宋" w:hAnsi="仿宋" w:eastAsia="仿宋"/>
          <w:sz w:val="32"/>
          <w:szCs w:val="32"/>
        </w:rPr>
        <w:t>2023年度收、支总计均为</w:t>
      </w:r>
      <w:r>
        <w:rPr>
          <w:rFonts w:hint="eastAsia"/>
          <w:sz w:val="32"/>
          <w:szCs w:val="32"/>
        </w:rPr>
        <w:t>4037</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与2022年度相比，收、支总计各增加</w:t>
      </w:r>
      <w:r>
        <w:rPr>
          <w:rFonts w:hint="eastAsia" w:ascii="仿宋" w:hAnsi="仿宋" w:eastAsia="仿宋"/>
          <w:sz w:val="32"/>
          <w:szCs w:val="32"/>
          <w:lang w:val="en-US" w:eastAsia="zh-CN"/>
        </w:rPr>
        <w:t>1868.22</w:t>
      </w:r>
      <w:r>
        <w:rPr>
          <w:rFonts w:hint="eastAsia" w:ascii="仿宋" w:hAnsi="仿宋" w:eastAsia="仿宋"/>
          <w:sz w:val="32"/>
          <w:szCs w:val="32"/>
        </w:rPr>
        <w:t>万元，增长</w:t>
      </w:r>
      <w:r>
        <w:rPr>
          <w:rFonts w:hint="eastAsia" w:ascii="仿宋" w:hAnsi="仿宋" w:eastAsia="仿宋"/>
          <w:sz w:val="32"/>
          <w:szCs w:val="32"/>
          <w:lang w:val="en-US" w:eastAsia="zh-CN"/>
        </w:rPr>
        <w:t>86.14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2022年存量资金未做决算，2023年存量资金要求做决算；增加成兰铁路建设项目被征地农民失业保险滞纳金费用；2022年政府性基金预算为财政代列决算，2023年单位自己做决算</w:t>
      </w:r>
      <w:r>
        <w:rPr>
          <w:rFonts w:hint="eastAsia" w:ascii="仿宋" w:hAnsi="仿宋" w:eastAsia="仿宋"/>
          <w:sz w:val="32"/>
          <w:szCs w:val="32"/>
        </w:rPr>
        <w:t>。</w:t>
      </w:r>
    </w:p>
    <w:p w14:paraId="0BACA8C5">
      <w:pPr>
        <w:pStyle w:val="36"/>
        <w:numPr>
          <w:ilvl w:val="0"/>
          <w:numId w:val="5"/>
        </w:numPr>
        <w:spacing w:line="600" w:lineRule="exact"/>
        <w:ind w:firstLineChars="0"/>
        <w:outlineLvl w:val="1"/>
        <w:rPr>
          <w:rStyle w:val="21"/>
          <w:rFonts w:ascii="黑体" w:hAnsi="黑体" w:eastAsia="黑体"/>
          <w:b w:val="0"/>
        </w:rPr>
      </w:pPr>
      <w:bookmarkStart w:id="24" w:name="_Toc15377206"/>
      <w:bookmarkStart w:id="25" w:name="_Toc15396604"/>
      <w:r>
        <w:rPr>
          <w:rFonts w:hint="eastAsia" w:ascii="黑体" w:hAnsi="黑体" w:eastAsia="黑体"/>
          <w:sz w:val="32"/>
          <w:szCs w:val="32"/>
        </w:rPr>
        <w:t>收</w:t>
      </w:r>
      <w:r>
        <w:rPr>
          <w:rStyle w:val="21"/>
          <w:rFonts w:hint="eastAsia" w:ascii="黑体" w:hAnsi="黑体" w:eastAsia="黑体"/>
          <w:b w:val="0"/>
        </w:rPr>
        <w:t>入决算情况说明</w:t>
      </w:r>
      <w:bookmarkEnd w:id="24"/>
      <w:bookmarkEnd w:id="25"/>
    </w:p>
    <w:p w14:paraId="5A67EF12">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rPr>
        <w:t>2023年度本年收入合计</w:t>
      </w:r>
      <w:r>
        <w:rPr>
          <w:sz w:val="32"/>
          <w:szCs w:val="32"/>
        </w:rPr>
        <w:t>3641.76</w:t>
      </w:r>
      <w:r>
        <w:rPr>
          <w:rFonts w:hint="eastAsia" w:ascii="仿宋" w:hAnsi="仿宋" w:eastAsia="仿宋"/>
          <w:sz w:val="32"/>
          <w:szCs w:val="32"/>
        </w:rPr>
        <w:t>万元，其中：一般公共预算财政拨款收入</w:t>
      </w:r>
      <w:r>
        <w:rPr>
          <w:sz w:val="32"/>
          <w:szCs w:val="32"/>
        </w:rPr>
        <w:t>3557.32</w:t>
      </w:r>
      <w:r>
        <w:rPr>
          <w:rFonts w:hint="eastAsia" w:ascii="仿宋" w:hAnsi="仿宋" w:eastAsia="仿宋"/>
          <w:sz w:val="32"/>
          <w:szCs w:val="32"/>
        </w:rPr>
        <w:t>万元，占</w:t>
      </w:r>
      <w:r>
        <w:rPr>
          <w:sz w:val="32"/>
          <w:szCs w:val="32"/>
        </w:rPr>
        <w:t>97.68</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84.44</w:t>
      </w:r>
      <w:r>
        <w:rPr>
          <w:rFonts w:hint="eastAsia" w:ascii="仿宋" w:hAnsi="仿宋" w:eastAsia="仿宋"/>
          <w:sz w:val="32"/>
          <w:szCs w:val="32"/>
        </w:rPr>
        <w:t>万元，占</w:t>
      </w:r>
      <w:r>
        <w:rPr>
          <w:sz w:val="32"/>
          <w:szCs w:val="32"/>
        </w:rPr>
        <w:t>2.31</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3F19A05E">
      <w:pPr>
        <w:spacing w:line="600" w:lineRule="exact"/>
        <w:ind w:firstLine="643" w:firstLineChars="200"/>
        <w:outlineLvl w:val="1"/>
        <w:rPr>
          <w:rFonts w:ascii="仿宋_GB2312" w:eastAsia="仿宋_GB2312"/>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，仅罗列本部门涉及的收入。</w:t>
      </w:r>
      <w:r>
        <w:rPr>
          <w:rFonts w:ascii="仿宋" w:hAnsi="仿宋" w:eastAsia="仿宋"/>
          <w:b/>
          <w:sz w:val="32"/>
          <w:szCs w:val="32"/>
        </w:rPr>
        <w:t>）</w:t>
      </w:r>
    </w:p>
    <w:p w14:paraId="59237BD0">
      <w:pPr>
        <w:pStyle w:val="36"/>
        <w:numPr>
          <w:ilvl w:val="0"/>
          <w:numId w:val="5"/>
        </w:numPr>
        <w:spacing w:line="600" w:lineRule="exact"/>
        <w:ind w:firstLineChars="0"/>
        <w:outlineLvl w:val="1"/>
        <w:rPr>
          <w:rStyle w:val="21"/>
          <w:rFonts w:ascii="黑体" w:hAnsi="黑体" w:eastAsia="黑体"/>
          <w:b w:val="0"/>
        </w:rPr>
      </w:pPr>
      <w:bookmarkStart w:id="26" w:name="_Toc15377207"/>
      <w:bookmarkStart w:id="27" w:name="_Toc15396605"/>
      <w:r>
        <w:rPr>
          <w:rFonts w:hint="eastAsia" w:ascii="黑体" w:hAnsi="黑体" w:eastAsia="黑体"/>
          <w:sz w:val="32"/>
          <w:szCs w:val="32"/>
        </w:rPr>
        <w:t>支</w:t>
      </w:r>
      <w:r>
        <w:rPr>
          <w:rStyle w:val="21"/>
          <w:rFonts w:hint="eastAsia" w:ascii="黑体" w:hAnsi="黑体" w:eastAsia="黑体"/>
          <w:b w:val="0"/>
        </w:rPr>
        <w:t>出决算情况说明</w:t>
      </w:r>
      <w:bookmarkEnd w:id="26"/>
      <w:bookmarkEnd w:id="27"/>
    </w:p>
    <w:p w14:paraId="0BA67C44">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sz w:val="32"/>
          <w:szCs w:val="32"/>
        </w:rPr>
        <w:t>4037</w:t>
      </w:r>
      <w:r>
        <w:rPr>
          <w:rFonts w:hint="eastAsia" w:ascii="仿宋" w:hAnsi="仿宋" w:eastAsia="仿宋"/>
          <w:sz w:val="32"/>
          <w:szCs w:val="32"/>
        </w:rPr>
        <w:t>万元，其中：基本支出</w:t>
      </w:r>
      <w:r>
        <w:rPr>
          <w:sz w:val="32"/>
          <w:szCs w:val="32"/>
        </w:rPr>
        <w:t>1304.99</w:t>
      </w:r>
      <w:r>
        <w:rPr>
          <w:rFonts w:hint="eastAsia" w:ascii="仿宋" w:hAnsi="仿宋" w:eastAsia="仿宋"/>
          <w:sz w:val="32"/>
          <w:szCs w:val="32"/>
        </w:rPr>
        <w:t>万元，占</w:t>
      </w:r>
      <w:r>
        <w:rPr>
          <w:sz w:val="32"/>
          <w:szCs w:val="32"/>
        </w:rPr>
        <w:t>32.32</w:t>
      </w:r>
      <w:r>
        <w:rPr>
          <w:rFonts w:ascii="仿宋" w:hAnsi="仿宋" w:eastAsia="仿宋"/>
          <w:sz w:val="32"/>
          <w:szCs w:val="32"/>
        </w:rPr>
        <w:t>%</w:t>
      </w:r>
      <w:r>
        <w:rPr>
          <w:rFonts w:hint="eastAsia" w:ascii="仿宋" w:hAnsi="仿宋" w:eastAsia="仿宋"/>
          <w:sz w:val="32"/>
          <w:szCs w:val="32"/>
        </w:rPr>
        <w:t>；项目支出</w:t>
      </w:r>
      <w:r>
        <w:rPr>
          <w:sz w:val="32"/>
          <w:szCs w:val="32"/>
        </w:rPr>
        <w:t>2732.01</w:t>
      </w:r>
      <w:r>
        <w:rPr>
          <w:rFonts w:hint="eastAsia" w:ascii="仿宋" w:hAnsi="仿宋" w:eastAsia="仿宋"/>
          <w:sz w:val="32"/>
          <w:szCs w:val="32"/>
        </w:rPr>
        <w:t>万元，占</w:t>
      </w:r>
      <w:r>
        <w:rPr>
          <w:sz w:val="32"/>
          <w:szCs w:val="32"/>
        </w:rPr>
        <w:t>67.67</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2C7C5C32">
      <w:pPr>
        <w:spacing w:line="600" w:lineRule="exact"/>
        <w:ind w:firstLine="643" w:firstLineChars="200"/>
        <w:outlineLvl w:val="1"/>
        <w:rPr>
          <w:rFonts w:ascii="仿宋_GB2312" w:eastAsia="仿宋_GB2312"/>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表，仅罗列本部门涉及的支出。）</w:t>
      </w:r>
    </w:p>
    <w:p w14:paraId="4846AFBA">
      <w:pPr>
        <w:spacing w:line="600" w:lineRule="exact"/>
        <w:ind w:firstLine="640" w:firstLineChars="200"/>
        <w:outlineLvl w:val="1"/>
        <w:rPr>
          <w:rStyle w:val="21"/>
          <w:rFonts w:ascii="黑体" w:hAnsi="黑体" w:eastAsia="黑体"/>
          <w:b w:val="0"/>
        </w:rPr>
      </w:pPr>
      <w:bookmarkStart w:id="28" w:name="_Toc15377208"/>
      <w:bookmarkStart w:id="29" w:name="_Toc15396606"/>
      <w:r>
        <w:rPr>
          <w:rFonts w:hint="eastAsia" w:ascii="黑体" w:hAnsi="黑体" w:eastAsia="黑体"/>
          <w:sz w:val="32"/>
          <w:szCs w:val="32"/>
        </w:rPr>
        <w:t>四、财</w:t>
      </w:r>
      <w:r>
        <w:rPr>
          <w:rStyle w:val="21"/>
          <w:rFonts w:hint="eastAsia" w:ascii="黑体" w:hAnsi="黑体" w:eastAsia="黑体"/>
          <w:b w:val="0"/>
        </w:rPr>
        <w:t>政拨款收入支出决算总体情况说明</w:t>
      </w:r>
      <w:bookmarkEnd w:id="28"/>
      <w:bookmarkEnd w:id="29"/>
    </w:p>
    <w:p w14:paraId="3668081B">
      <w:pPr>
        <w:pStyle w:val="40"/>
        <w:keepNext w:val="0"/>
        <w:keepLines w:val="0"/>
        <w:pageBreakBefore w:val="0"/>
        <w:widowControl/>
        <w:suppressLineNumbers w:val="0"/>
        <w:kinsoku/>
        <w:wordWrap/>
        <w:overflowPunct/>
        <w:topLinePunct w:val="0"/>
        <w:autoSpaceDN/>
        <w:bidi w:val="0"/>
        <w:adjustRightInd/>
        <w:spacing w:before="0" w:beforeAutospacing="0" w:afterAutospacing="0" w:line="560" w:lineRule="exact"/>
        <w:ind w:left="0" w:firstLine="640" w:firstLineChars="200"/>
        <w:jc w:val="both"/>
        <w:textAlignment w:val="auto"/>
        <w:rPr>
          <w:rFonts w:ascii="仿宋" w:hAnsi="仿宋" w:eastAsia="仿宋"/>
          <w:sz w:val="32"/>
          <w:szCs w:val="32"/>
        </w:rPr>
      </w:pPr>
      <w:r>
        <w:rPr>
          <w:rFonts w:hint="eastAsia" w:ascii="仿宋" w:hAnsi="仿宋" w:eastAsia="仿宋"/>
          <w:sz w:val="32"/>
          <w:szCs w:val="32"/>
        </w:rPr>
        <w:t>2023年度财政拨款收、支总计均为</w:t>
      </w:r>
      <w:r>
        <w:rPr>
          <w:sz w:val="32"/>
          <w:szCs w:val="32"/>
        </w:rPr>
        <w:t>4037</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1868.22</w:t>
      </w:r>
      <w:r>
        <w:rPr>
          <w:rFonts w:hint="eastAsia" w:ascii="仿宋" w:hAnsi="仿宋" w:eastAsia="仿宋"/>
          <w:sz w:val="32"/>
          <w:szCs w:val="32"/>
        </w:rPr>
        <w:t>万元，增长</w:t>
      </w:r>
      <w:r>
        <w:rPr>
          <w:rFonts w:hint="eastAsia" w:ascii="仿宋" w:hAnsi="仿宋" w:eastAsia="仿宋"/>
          <w:sz w:val="32"/>
          <w:szCs w:val="32"/>
          <w:lang w:val="en-US" w:eastAsia="zh-CN"/>
        </w:rPr>
        <w:t>86.14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2022年存量资金未做决算，2023年存量资金要求做决算；增加成兰铁路建设项目被征地农民失业保险滞纳金费用；2022年政府性基金预算为财政代列决算，2023年单位自己做决算</w:t>
      </w:r>
      <w:r>
        <w:rPr>
          <w:rFonts w:hint="eastAsia" w:ascii="仿宋" w:hAnsi="仿宋" w:eastAsia="仿宋"/>
          <w:sz w:val="32"/>
          <w:szCs w:val="32"/>
        </w:rPr>
        <w:t>。</w:t>
      </w:r>
    </w:p>
    <w:p w14:paraId="1F9956C4">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17D573FD">
      <w:pPr>
        <w:spacing w:line="600" w:lineRule="exact"/>
        <w:ind w:firstLine="640" w:firstLineChars="200"/>
        <w:outlineLvl w:val="1"/>
        <w:rPr>
          <w:rStyle w:val="21"/>
          <w:rFonts w:ascii="黑体" w:hAnsi="黑体" w:eastAsia="黑体"/>
          <w:b w:val="0"/>
        </w:rPr>
      </w:pPr>
      <w:bookmarkStart w:id="30" w:name="_Toc15396607"/>
      <w:bookmarkStart w:id="31" w:name="_Toc15377209"/>
      <w:r>
        <w:rPr>
          <w:rFonts w:hint="eastAsia" w:ascii="黑体" w:hAnsi="黑体" w:eastAsia="黑体"/>
          <w:sz w:val="32"/>
          <w:szCs w:val="32"/>
        </w:rPr>
        <w:t>五、</w:t>
      </w:r>
      <w:r>
        <w:rPr>
          <w:rFonts w:hint="eastAsia" w:ascii="黑体" w:hAnsi="黑体" w:eastAsia="黑体"/>
          <w:b/>
          <w:sz w:val="32"/>
          <w:szCs w:val="32"/>
        </w:rPr>
        <w:t>一</w:t>
      </w:r>
      <w:r>
        <w:rPr>
          <w:rStyle w:val="21"/>
          <w:rFonts w:hint="eastAsia" w:ascii="黑体" w:hAnsi="黑体" w:eastAsia="黑体"/>
          <w:b w:val="0"/>
        </w:rPr>
        <w:t>般公共预算财政拨款支出决算情况说明</w:t>
      </w:r>
      <w:bookmarkEnd w:id="30"/>
      <w:bookmarkEnd w:id="31"/>
    </w:p>
    <w:p w14:paraId="0A9BF0EA">
      <w:pPr>
        <w:spacing w:line="600" w:lineRule="exact"/>
        <w:ind w:firstLine="643" w:firstLineChars="200"/>
        <w:outlineLvl w:val="2"/>
        <w:rPr>
          <w:rFonts w:ascii="仿宋" w:hAnsi="仿宋" w:eastAsia="仿宋"/>
          <w:b/>
          <w:sz w:val="32"/>
          <w:szCs w:val="32"/>
        </w:rPr>
      </w:pPr>
      <w:bookmarkStart w:id="32" w:name="_Toc15377210"/>
      <w:r>
        <w:rPr>
          <w:rFonts w:hint="eastAsia" w:ascii="仿宋" w:hAnsi="仿宋" w:eastAsia="仿宋"/>
          <w:b/>
          <w:sz w:val="32"/>
          <w:szCs w:val="32"/>
        </w:rPr>
        <w:t>（一）一般公共预算财政拨款支出决算总体情况</w:t>
      </w:r>
      <w:bookmarkEnd w:id="32"/>
    </w:p>
    <w:p w14:paraId="0479BE8C">
      <w:pPr>
        <w:pStyle w:val="40"/>
        <w:keepNext w:val="0"/>
        <w:keepLines w:val="0"/>
        <w:pageBreakBefore w:val="0"/>
        <w:widowControl/>
        <w:suppressLineNumbers w:val="0"/>
        <w:kinsoku/>
        <w:wordWrap/>
        <w:overflowPunct/>
        <w:topLinePunct w:val="0"/>
        <w:autoSpaceDN/>
        <w:bidi w:val="0"/>
        <w:adjustRightInd/>
        <w:spacing w:before="0" w:beforeAutospacing="0" w:afterAutospacing="0" w:line="560" w:lineRule="exact"/>
        <w:ind w:left="0" w:firstLine="640" w:firstLineChars="200"/>
        <w:jc w:val="both"/>
        <w:textAlignment w:val="auto"/>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3952.56</w:t>
      </w:r>
      <w:r>
        <w:rPr>
          <w:rFonts w:hint="eastAsia" w:ascii="仿宋" w:hAnsi="仿宋" w:eastAsia="仿宋"/>
          <w:sz w:val="32"/>
          <w:szCs w:val="32"/>
        </w:rPr>
        <w:t>万元，占本年支出合计的</w:t>
      </w:r>
      <w:r>
        <w:rPr>
          <w:sz w:val="32"/>
          <w:szCs w:val="32"/>
        </w:rPr>
        <w:t>97.9</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1783.78</w:t>
      </w:r>
      <w:r>
        <w:rPr>
          <w:rFonts w:hint="eastAsia" w:ascii="仿宋" w:hAnsi="仿宋" w:eastAsia="仿宋"/>
          <w:sz w:val="32"/>
          <w:szCs w:val="32"/>
        </w:rPr>
        <w:t>万元，增长</w:t>
      </w:r>
      <w:r>
        <w:rPr>
          <w:rFonts w:hint="eastAsia" w:ascii="仿宋" w:hAnsi="仿宋" w:eastAsia="仿宋"/>
          <w:sz w:val="32"/>
          <w:szCs w:val="32"/>
          <w:lang w:val="en-US" w:eastAsia="zh-CN"/>
        </w:rPr>
        <w:t>82.25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2022年存量资金未做决算，2023年存量资金要求做决算；增加成兰铁路建设项目被征地农民失业保险滞纳金费用。</w:t>
      </w:r>
    </w:p>
    <w:p w14:paraId="13E3C273">
      <w:pPr>
        <w:spacing w:line="600" w:lineRule="exact"/>
        <w:ind w:firstLine="643" w:firstLineChars="200"/>
        <w:outlineLvl w:val="2"/>
        <w:rPr>
          <w:rFonts w:ascii="仿宋" w:hAnsi="仿宋" w:eastAsia="仿宋"/>
          <w:b/>
          <w:sz w:val="32"/>
          <w:szCs w:val="32"/>
        </w:rPr>
      </w:pPr>
      <w:bookmarkStart w:id="33" w:name="_Toc15377211"/>
      <w:r>
        <w:rPr>
          <w:rFonts w:hint="eastAsia" w:ascii="仿宋" w:hAnsi="仿宋" w:eastAsia="仿宋"/>
          <w:b/>
          <w:sz w:val="32"/>
          <w:szCs w:val="32"/>
        </w:rPr>
        <w:t>（二）一般公共预算财政拨款支出决算结构情况</w:t>
      </w:r>
      <w:bookmarkEnd w:id="33"/>
    </w:p>
    <w:p w14:paraId="4F1F6265">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3952.56</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sz w:val="32"/>
          <w:szCs w:val="32"/>
          <w:lang w:val="en-US" w:eastAsia="zh-CN"/>
        </w:rPr>
        <w:t>475.56</w:t>
      </w:r>
      <w:r>
        <w:rPr>
          <w:rFonts w:hint="eastAsia" w:ascii="仿宋" w:hAnsi="仿宋" w:eastAsia="仿宋"/>
          <w:sz w:val="32"/>
          <w:szCs w:val="32"/>
        </w:rPr>
        <w:t>万元，占</w:t>
      </w:r>
      <w:r>
        <w:rPr>
          <w:rFonts w:hint="eastAsia" w:ascii="仿宋" w:hAnsi="仿宋" w:eastAsia="仿宋"/>
          <w:sz w:val="32"/>
          <w:szCs w:val="32"/>
          <w:lang w:val="en-US" w:eastAsia="zh-CN"/>
        </w:rPr>
        <w:t>12.03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3310.54</w:t>
      </w:r>
      <w:r>
        <w:rPr>
          <w:rFonts w:hint="eastAsia" w:ascii="仿宋" w:hAnsi="仿宋" w:eastAsia="仿宋"/>
          <w:sz w:val="32"/>
          <w:szCs w:val="32"/>
        </w:rPr>
        <w:t>万元，占</w:t>
      </w:r>
      <w:r>
        <w:rPr>
          <w:rFonts w:hint="eastAsia" w:ascii="仿宋" w:hAnsi="仿宋" w:eastAsia="仿宋"/>
          <w:sz w:val="32"/>
          <w:szCs w:val="32"/>
          <w:lang w:val="en-US" w:eastAsia="zh-CN"/>
        </w:rPr>
        <w:t>83.76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66.53</w:t>
      </w:r>
      <w:r>
        <w:rPr>
          <w:rFonts w:hint="eastAsia" w:ascii="仿宋" w:hAnsi="仿宋" w:eastAsia="仿宋"/>
          <w:sz w:val="32"/>
          <w:szCs w:val="32"/>
        </w:rPr>
        <w:t>万元，占</w:t>
      </w:r>
      <w:r>
        <w:rPr>
          <w:rFonts w:hint="eastAsia" w:ascii="仿宋" w:hAnsi="仿宋" w:eastAsia="仿宋"/>
          <w:sz w:val="32"/>
          <w:szCs w:val="32"/>
          <w:lang w:val="en-US" w:eastAsia="zh-CN"/>
        </w:rPr>
        <w:t>1.68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90.23</w:t>
      </w:r>
      <w:r>
        <w:rPr>
          <w:rFonts w:hint="eastAsia" w:ascii="仿宋" w:hAnsi="仿宋" w:eastAsia="仿宋"/>
          <w:sz w:val="32"/>
          <w:szCs w:val="32"/>
        </w:rPr>
        <w:t>万元，占</w:t>
      </w:r>
      <w:r>
        <w:rPr>
          <w:rFonts w:hint="eastAsia" w:ascii="仿宋" w:hAnsi="仿宋" w:eastAsia="仿宋"/>
          <w:sz w:val="32"/>
          <w:szCs w:val="32"/>
          <w:lang w:val="en-US" w:eastAsia="zh-CN"/>
        </w:rPr>
        <w:t>2.28</w:t>
      </w:r>
      <w:r>
        <w:rPr>
          <w:rFonts w:ascii="仿宋" w:hAnsi="仿宋" w:eastAsia="仿宋"/>
          <w:sz w:val="32"/>
          <w:szCs w:val="32"/>
        </w:rPr>
        <w:t>%</w:t>
      </w:r>
      <w:r>
        <w:rPr>
          <w:rFonts w:hint="eastAsia" w:ascii="仿宋" w:hAnsi="仿宋" w:eastAsia="仿宋"/>
          <w:sz w:val="32"/>
          <w:szCs w:val="32"/>
        </w:rPr>
        <w:t>。</w:t>
      </w:r>
    </w:p>
    <w:p w14:paraId="3E1CEA97">
      <w:pPr>
        <w:spacing w:line="600" w:lineRule="exact"/>
        <w:ind w:firstLine="640"/>
        <w:rPr>
          <w:rFonts w:ascii="仿宋" w:hAnsi="仿宋" w:eastAsia="仿宋"/>
          <w:sz w:val="32"/>
          <w:szCs w:val="32"/>
        </w:rPr>
      </w:pPr>
      <w:r>
        <w:rPr>
          <w:rFonts w:hint="eastAsia" w:ascii="仿宋" w:hAnsi="仿宋" w:eastAsia="仿宋"/>
          <w:b/>
          <w:sz w:val="32"/>
          <w:szCs w:val="32"/>
        </w:rPr>
        <w:t>（注：数据来源于财决01-1表，仅罗列本部门涉及的全部功能分类科目，至类级。）</w:t>
      </w:r>
    </w:p>
    <w:p w14:paraId="0E792764">
      <w:pPr>
        <w:spacing w:line="600" w:lineRule="exact"/>
        <w:ind w:firstLine="643" w:firstLineChars="200"/>
        <w:outlineLvl w:val="2"/>
        <w:rPr>
          <w:rFonts w:ascii="仿宋" w:hAnsi="仿宋" w:eastAsia="仿宋"/>
          <w:b/>
          <w:sz w:val="32"/>
          <w:szCs w:val="32"/>
        </w:rPr>
      </w:pPr>
      <w:bookmarkStart w:id="34" w:name="_Toc15377212"/>
      <w:r>
        <w:rPr>
          <w:rFonts w:hint="eastAsia" w:ascii="仿宋" w:hAnsi="仿宋" w:eastAsia="仿宋"/>
          <w:b/>
          <w:sz w:val="32"/>
          <w:szCs w:val="32"/>
        </w:rPr>
        <w:t>（三）一般公共预算财政拨款支出决算具体情况</w:t>
      </w:r>
      <w:bookmarkEnd w:id="34"/>
    </w:p>
    <w:p w14:paraId="20BD9B1A">
      <w:pPr>
        <w:spacing w:line="600" w:lineRule="exact"/>
        <w:ind w:firstLine="643" w:firstLineChars="200"/>
        <w:outlineLvl w:val="2"/>
        <w:rPr>
          <w:rFonts w:ascii="仿宋" w:hAnsi="仿宋" w:eastAsia="仿宋"/>
          <w:sz w:val="32"/>
          <w:szCs w:val="32"/>
        </w:rPr>
      </w:pPr>
      <w:bookmarkStart w:id="35" w:name="_Toc15377213"/>
      <w:bookmarkStart w:id="36" w:name="_Toc15378460"/>
      <w:bookmarkStart w:id="37" w:name="_Toc15377444"/>
      <w:r>
        <w:rPr>
          <w:rFonts w:hint="eastAsia" w:ascii="仿宋" w:hAnsi="仿宋" w:eastAsia="仿宋"/>
          <w:b/>
          <w:sz w:val="32"/>
          <w:szCs w:val="32"/>
        </w:rPr>
        <w:t>2023年度一般公共预算支出决算数为</w:t>
      </w:r>
      <w:r>
        <w:rPr>
          <w:sz w:val="32"/>
          <w:szCs w:val="32"/>
        </w:rPr>
        <w:t>3952.56</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88.46</w:t>
      </w:r>
      <w:r>
        <w:rPr>
          <w:rStyle w:val="18"/>
          <w:rFonts w:ascii="仿宋" w:hAnsi="仿宋" w:eastAsia="仿宋"/>
          <w:bCs/>
          <w:sz w:val="32"/>
          <w:szCs w:val="32"/>
        </w:rPr>
        <w:t>%</w:t>
      </w:r>
      <w:r>
        <w:rPr>
          <w:rStyle w:val="18"/>
          <w:rFonts w:hint="eastAsia" w:ascii="仿宋" w:hAnsi="仿宋" w:eastAsia="仿宋"/>
          <w:bCs/>
          <w:sz w:val="32"/>
          <w:szCs w:val="32"/>
        </w:rPr>
        <w:t>。其中：</w:t>
      </w:r>
      <w:bookmarkEnd w:id="35"/>
      <w:bookmarkEnd w:id="36"/>
      <w:bookmarkEnd w:id="37"/>
    </w:p>
    <w:p w14:paraId="504DA572">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1</w:t>
      </w:r>
      <w:r>
        <w:rPr>
          <w:rStyle w:val="18"/>
          <w:rFonts w:ascii="仿宋" w:hAnsi="仿宋" w:eastAsia="仿宋"/>
          <w:bCs/>
          <w:sz w:val="32"/>
          <w:szCs w:val="32"/>
        </w:rPr>
        <w:t>.</w:t>
      </w:r>
      <w:r>
        <w:rPr>
          <w:rStyle w:val="18"/>
          <w:rFonts w:hint="eastAsia" w:ascii="仿宋" w:hAnsi="仿宋" w:eastAsia="仿宋"/>
          <w:bCs/>
          <w:sz w:val="32"/>
          <w:szCs w:val="32"/>
        </w:rPr>
        <w:t>教育</w:t>
      </w:r>
      <w:r>
        <w:rPr>
          <w:rStyle w:val="18"/>
          <w:rFonts w:hint="eastAsia" w:ascii="仿宋" w:hAnsi="仿宋" w:eastAsia="仿宋"/>
          <w:bCs/>
          <w:sz w:val="32"/>
          <w:szCs w:val="32"/>
          <w:lang w:eastAsia="zh-CN"/>
        </w:rPr>
        <w:t>支出：</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475.56</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sz w:val="32"/>
          <w:szCs w:val="32"/>
          <w:lang w:val="en-US" w:eastAsia="zh-CN"/>
        </w:rPr>
        <w:t>2059999其他教育支出475.56万元</w:t>
      </w:r>
      <w:r>
        <w:rPr>
          <w:rStyle w:val="18"/>
          <w:rFonts w:hint="eastAsia" w:ascii="仿宋" w:hAnsi="仿宋" w:eastAsia="仿宋"/>
          <w:b w:val="0"/>
          <w:bCs/>
          <w:sz w:val="32"/>
          <w:szCs w:val="32"/>
        </w:rPr>
        <w:t>。</w:t>
      </w:r>
    </w:p>
    <w:p w14:paraId="490CE44B">
      <w:pPr>
        <w:spacing w:line="600" w:lineRule="exact"/>
        <w:ind w:firstLine="643" w:firstLineChars="200"/>
        <w:rPr>
          <w:rFonts w:hint="default" w:ascii="仿宋" w:hAnsi="仿宋" w:eastAsia="仿宋"/>
          <w:b/>
          <w:sz w:val="32"/>
          <w:szCs w:val="32"/>
          <w:lang w:val="en-US"/>
        </w:rPr>
      </w:pPr>
      <w:r>
        <w:rPr>
          <w:rStyle w:val="18"/>
          <w:rFonts w:hint="eastAsia" w:ascii="仿宋" w:hAnsi="仿宋" w:eastAsia="仿宋"/>
          <w:bCs/>
          <w:sz w:val="32"/>
          <w:szCs w:val="32"/>
          <w:lang w:val="en-US" w:eastAsia="zh-CN"/>
        </w:rPr>
        <w:t>2</w:t>
      </w:r>
      <w:r>
        <w:rPr>
          <w:rStyle w:val="18"/>
          <w:rFonts w:ascii="仿宋" w:hAnsi="仿宋" w:eastAsia="仿宋"/>
          <w:bCs/>
          <w:sz w:val="32"/>
          <w:szCs w:val="32"/>
        </w:rPr>
        <w:t>.</w:t>
      </w:r>
      <w:r>
        <w:rPr>
          <w:rStyle w:val="18"/>
          <w:rFonts w:hint="eastAsia" w:ascii="仿宋" w:hAnsi="仿宋" w:eastAsia="仿宋"/>
          <w:bCs/>
          <w:sz w:val="32"/>
          <w:szCs w:val="32"/>
        </w:rPr>
        <w:t>社会保障和就业</w:t>
      </w:r>
      <w:r>
        <w:rPr>
          <w:rStyle w:val="18"/>
          <w:rFonts w:hint="eastAsia" w:ascii="仿宋" w:hAnsi="仿宋" w:eastAsia="仿宋"/>
          <w:bCs/>
          <w:sz w:val="32"/>
          <w:szCs w:val="32"/>
          <w:lang w:eastAsia="zh-CN"/>
        </w:rPr>
        <w:t>支出：</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3310.54</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86.52</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，主要原因编外用工人员变动，项目经费使用减少。其中：</w:t>
      </w:r>
      <w:r>
        <w:rPr>
          <w:rStyle w:val="18"/>
          <w:rFonts w:hint="eastAsia" w:ascii="仿宋" w:hAnsi="仿宋" w:eastAsia="仿宋"/>
          <w:b w:val="0"/>
          <w:bCs/>
          <w:sz w:val="32"/>
          <w:szCs w:val="32"/>
          <w:lang w:val="en-US" w:eastAsia="zh-CN"/>
        </w:rPr>
        <w:t>2080101行政运行支出263.99万元，2080102一般行政管理事务支出1.8万元，2080104综合业务管理支出9万元，2080108信息化建设支出16万元，2080109社会保险经办机构支出619.95万元，2080150事业运行支出408.59万元，2080199其他人力资源和社会保障管理事务支出1020.24万元，2080505机关事业单位基本养老保险缴费支出115.28万元，2080506机关事业单位职业年金缴费支出63.25万元，2080701就业创业服务补贴支出673.11万元，2080799其他就业补助支出119.34万元。</w:t>
      </w:r>
    </w:p>
    <w:p w14:paraId="771C7DBB">
      <w:pPr>
        <w:spacing w:line="600" w:lineRule="exact"/>
        <w:ind w:firstLine="643" w:firstLineChars="200"/>
        <w:rPr>
          <w:rStyle w:val="18"/>
          <w:rFonts w:hint="eastAsia" w:ascii="仿宋" w:hAnsi="仿宋" w:eastAsia="仿宋"/>
          <w:b w:val="0"/>
          <w:bCs/>
          <w:sz w:val="32"/>
          <w:szCs w:val="32"/>
          <w:lang w:val="en-US" w:eastAsia="zh-CN"/>
        </w:rPr>
      </w:pPr>
      <w:r>
        <w:rPr>
          <w:rStyle w:val="18"/>
          <w:rFonts w:hint="eastAsia" w:ascii="仿宋" w:hAnsi="仿宋" w:eastAsia="仿宋"/>
          <w:bCs/>
          <w:sz w:val="32"/>
          <w:szCs w:val="32"/>
          <w:lang w:val="en-US" w:eastAsia="zh-CN"/>
        </w:rPr>
        <w:t>3</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lang w:eastAsia="zh-CN"/>
        </w:rPr>
        <w:t>支出：</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66.53</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。其中：</w:t>
      </w:r>
      <w:r>
        <w:rPr>
          <w:rStyle w:val="18"/>
          <w:rFonts w:hint="eastAsia" w:ascii="仿宋" w:hAnsi="仿宋" w:eastAsia="仿宋"/>
          <w:b w:val="0"/>
          <w:bCs/>
          <w:sz w:val="32"/>
          <w:szCs w:val="32"/>
          <w:lang w:val="en-US" w:eastAsia="zh-CN"/>
        </w:rPr>
        <w:t>2101101行政单位医疗支出27.55万元，2101102事业单位医疗支出22.1万元，2101103公务员医疗补助支出10.96万元，2101199其他行政事业单位医疗支出5.91万元。</w:t>
      </w:r>
    </w:p>
    <w:p w14:paraId="0C795A73">
      <w:pPr>
        <w:spacing w:line="600" w:lineRule="exact"/>
        <w:ind w:firstLine="643" w:firstLineChars="200"/>
        <w:rPr>
          <w:rStyle w:val="18"/>
          <w:rFonts w:hint="eastAsia" w:ascii="仿宋" w:hAnsi="仿宋" w:eastAsia="仿宋" w:cstheme="minorBidi"/>
          <w:b w:val="0"/>
          <w:bCs/>
          <w:sz w:val="32"/>
          <w:szCs w:val="32"/>
          <w:lang w:val="en-US" w:eastAsia="zh-CN"/>
        </w:rPr>
      </w:pPr>
      <w:r>
        <w:rPr>
          <w:rFonts w:hint="eastAsia" w:ascii="仿宋" w:hAnsi="仿宋" w:eastAsia="仿宋"/>
          <w:b/>
          <w:bCs/>
          <w:sz w:val="32"/>
          <w:szCs w:val="32"/>
          <w:lang w:val="en-US" w:eastAsia="zh-CN"/>
        </w:rPr>
        <w:t>4.住房保障支出：</w:t>
      </w:r>
      <w:r>
        <w:rPr>
          <w:rStyle w:val="18"/>
          <w:rFonts w:hint="eastAsia" w:ascii="仿宋" w:hAnsi="仿宋" w:eastAsia="仿宋" w:cstheme="minorBidi"/>
          <w:b w:val="0"/>
          <w:bCs/>
          <w:sz w:val="32"/>
          <w:szCs w:val="32"/>
          <w:lang w:val="en-US" w:eastAsia="zh-CN"/>
        </w:rPr>
        <w:t>2210201住房公积金支出决算为90.23万元，完成预算100%。</w:t>
      </w:r>
    </w:p>
    <w:p w14:paraId="64FA7415">
      <w:pPr>
        <w:pStyle w:val="14"/>
        <w:rPr>
          <w:rFonts w:ascii="仿宋" w:hAnsi="仿宋" w:eastAsia="仿宋"/>
          <w:b/>
          <w:sz w:val="32"/>
          <w:szCs w:val="32"/>
        </w:rPr>
      </w:pPr>
      <w:r>
        <w:rPr>
          <w:rFonts w:hint="eastAsia" w:ascii="仿宋" w:hAnsi="仿宋" w:eastAsia="仿宋" w:cs="Times New Roman"/>
          <w:b/>
          <w:bCs/>
          <w:kern w:val="2"/>
          <w:sz w:val="32"/>
          <w:szCs w:val="32"/>
          <w:lang w:val="en-US" w:eastAsia="zh-CN" w:bidi="ar-SA"/>
        </w:rPr>
        <w:t>5.农林水支出：</w:t>
      </w:r>
      <w:r>
        <w:rPr>
          <w:rStyle w:val="18"/>
          <w:rFonts w:hint="eastAsia" w:ascii="仿宋" w:hAnsi="仿宋" w:eastAsia="仿宋" w:cstheme="minorBidi"/>
          <w:b w:val="0"/>
          <w:bCs/>
          <w:sz w:val="32"/>
          <w:szCs w:val="32"/>
          <w:lang w:val="en-US" w:eastAsia="zh-CN"/>
        </w:rPr>
        <w:t>2130599其他巩固攻坚成果衔接乡村振兴支出决算为9.7万元，完成预算100%。</w:t>
      </w:r>
    </w:p>
    <w:p w14:paraId="6998D70C">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1-1表和财决08表，仅罗列本部门涉及的全部功能分类科目，至项级。上述“预算”口径为全年预算数。增减变动原因为决算数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和全年预算数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14:paraId="363D6C81">
      <w:pPr>
        <w:tabs>
          <w:tab w:val="right" w:pos="8306"/>
        </w:tabs>
        <w:spacing w:line="600" w:lineRule="exact"/>
        <w:ind w:firstLine="640"/>
        <w:outlineLvl w:val="1"/>
        <w:rPr>
          <w:rStyle w:val="21"/>
        </w:rPr>
      </w:pPr>
      <w:bookmarkStart w:id="38" w:name="_Toc15396608"/>
      <w:bookmarkStart w:id="39"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1"/>
          <w:rFonts w:hint="eastAsia" w:ascii="黑体" w:hAnsi="黑体" w:eastAsia="黑体"/>
          <w:b w:val="0"/>
        </w:rPr>
        <w:t>般公共预算财政拨款基本支出决算情况说明</w:t>
      </w:r>
      <w:bookmarkEnd w:id="38"/>
      <w:bookmarkEnd w:id="39"/>
      <w:r>
        <w:rPr>
          <w:rStyle w:val="21"/>
          <w:rFonts w:ascii="黑体" w:hAnsi="黑体" w:eastAsia="黑体"/>
          <w:b w:val="0"/>
        </w:rPr>
        <w:tab/>
      </w:r>
    </w:p>
    <w:p w14:paraId="06071E88">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1304.99</w:t>
      </w:r>
      <w:r>
        <w:rPr>
          <w:rFonts w:hint="eastAsia" w:ascii="仿宋" w:hAnsi="仿宋" w:eastAsia="仿宋"/>
          <w:sz w:val="32"/>
          <w:szCs w:val="32"/>
        </w:rPr>
        <w:t>万元，其中：</w:t>
      </w:r>
    </w:p>
    <w:p w14:paraId="1277206C">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sz w:val="32"/>
          <w:szCs w:val="32"/>
        </w:rPr>
        <w:t>1228.39</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2E545F09">
      <w:pPr>
        <w:spacing w:line="600" w:lineRule="exact"/>
        <w:ind w:firstLine="645"/>
        <w:rPr>
          <w:rFonts w:ascii="仿宋" w:hAnsi="仿宋" w:eastAsia="仿宋"/>
          <w:sz w:val="32"/>
          <w:szCs w:val="32"/>
        </w:rPr>
      </w:pPr>
      <w:r>
        <w:rPr>
          <w:rFonts w:hint="eastAsia" w:ascii="仿宋" w:hAnsi="仿宋" w:eastAsia="仿宋"/>
          <w:sz w:val="32"/>
          <w:szCs w:val="32"/>
        </w:rPr>
        <w:t>公用经费</w:t>
      </w:r>
      <w:r>
        <w:rPr>
          <w:sz w:val="32"/>
          <w:szCs w:val="32"/>
        </w:rPr>
        <w:t>76.6</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73D003A">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p>
    <w:p w14:paraId="4F357686">
      <w:pPr>
        <w:spacing w:line="600" w:lineRule="exact"/>
        <w:ind w:firstLine="640"/>
        <w:outlineLvl w:val="1"/>
        <w:rPr>
          <w:rStyle w:val="21"/>
          <w:rFonts w:ascii="黑体" w:hAnsi="黑体" w:eastAsia="黑体"/>
          <w:b w:val="0"/>
        </w:rPr>
      </w:pPr>
      <w:bookmarkStart w:id="40" w:name="_Toc15396609"/>
      <w:bookmarkStart w:id="41" w:name="_Toc15377215"/>
      <w:r>
        <w:rPr>
          <w:rFonts w:hint="eastAsia" w:ascii="黑体" w:eastAsia="黑体"/>
          <w:sz w:val="32"/>
          <w:szCs w:val="32"/>
        </w:rPr>
        <w:t>七、</w:t>
      </w:r>
      <w:r>
        <w:rPr>
          <w:rStyle w:val="21"/>
          <w:rFonts w:hint="eastAsia" w:ascii="黑体" w:hAnsi="黑体" w:eastAsia="黑体"/>
          <w:b w:val="0"/>
        </w:rPr>
        <w:t>财政拨款</w:t>
      </w:r>
      <w:r>
        <w:rPr>
          <w:rStyle w:val="21"/>
          <w:rFonts w:hint="eastAsia" w:ascii="黑体" w:hAnsi="黑体" w:eastAsia="黑体"/>
        </w:rPr>
        <w:t>“</w:t>
      </w:r>
      <w:r>
        <w:rPr>
          <w:rStyle w:val="21"/>
          <w:rFonts w:hint="eastAsia" w:ascii="黑体" w:hAnsi="黑体" w:eastAsia="黑体"/>
          <w:b w:val="0"/>
        </w:rPr>
        <w:t>三公”经费支出决算情况说明</w:t>
      </w:r>
      <w:bookmarkEnd w:id="40"/>
      <w:bookmarkEnd w:id="41"/>
    </w:p>
    <w:p w14:paraId="029FDBD3">
      <w:pPr>
        <w:spacing w:line="600" w:lineRule="exact"/>
        <w:ind w:firstLine="640"/>
        <w:outlineLvl w:val="2"/>
        <w:rPr>
          <w:rFonts w:ascii="仿宋" w:hAnsi="仿宋" w:eastAsia="仿宋"/>
          <w:b/>
          <w:sz w:val="32"/>
          <w:szCs w:val="32"/>
        </w:rPr>
      </w:pPr>
      <w:bookmarkStart w:id="42" w:name="_Toc15377216"/>
      <w:r>
        <w:rPr>
          <w:rFonts w:hint="eastAsia" w:ascii="仿宋" w:hAnsi="仿宋" w:eastAsia="仿宋"/>
          <w:b/>
          <w:sz w:val="32"/>
          <w:szCs w:val="32"/>
        </w:rPr>
        <w:t>（一）“三公”经费财政拨款支出决算总体情况说明</w:t>
      </w:r>
      <w:bookmarkEnd w:id="42"/>
    </w:p>
    <w:p w14:paraId="7D65B3C9">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sz w:val="32"/>
          <w:szCs w:val="32"/>
        </w:rPr>
        <w:t>9.88</w:t>
      </w:r>
      <w:r>
        <w:rPr>
          <w:rFonts w:hint="eastAsia" w:ascii="仿宋" w:hAnsi="仿宋" w:eastAsia="仿宋"/>
          <w:sz w:val="32"/>
          <w:szCs w:val="32"/>
        </w:rPr>
        <w:t>万元，完成预算</w:t>
      </w:r>
      <w:r>
        <w:rPr>
          <w:sz w:val="32"/>
          <w:szCs w:val="32"/>
        </w:rPr>
        <w:t>100</w:t>
      </w:r>
      <w:r>
        <w:rPr>
          <w:rFonts w:ascii="仿宋" w:hAnsi="仿宋" w:eastAsia="仿宋"/>
          <w:sz w:val="32"/>
          <w:szCs w:val="32"/>
        </w:rPr>
        <w:t>%</w:t>
      </w:r>
      <w:r>
        <w:rPr>
          <w:rFonts w:hint="eastAsia" w:ascii="仿宋" w:hAnsi="仿宋" w:eastAsia="仿宋"/>
          <w:sz w:val="32"/>
          <w:szCs w:val="32"/>
        </w:rPr>
        <w:t>，较上年度减少</w:t>
      </w:r>
      <w:r>
        <w:rPr>
          <w:rFonts w:hint="eastAsia" w:ascii="仿宋" w:hAnsi="仿宋" w:eastAsia="仿宋"/>
          <w:sz w:val="32"/>
          <w:szCs w:val="32"/>
          <w:lang w:val="en-US" w:eastAsia="zh-CN"/>
        </w:rPr>
        <w:t>1.21</w:t>
      </w:r>
      <w:r>
        <w:rPr>
          <w:rFonts w:hint="eastAsia" w:ascii="仿宋" w:hAnsi="仿宋" w:eastAsia="仿宋"/>
          <w:sz w:val="32"/>
          <w:szCs w:val="32"/>
        </w:rPr>
        <w:t>万元，下降</w:t>
      </w:r>
      <w:r>
        <w:rPr>
          <w:rFonts w:hint="eastAsia" w:ascii="仿宋" w:hAnsi="仿宋" w:eastAsia="仿宋"/>
          <w:sz w:val="32"/>
          <w:szCs w:val="32"/>
          <w:lang w:val="en-US" w:eastAsia="zh-CN"/>
        </w:rPr>
        <w:t>13.96</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主要原因是</w:t>
      </w:r>
      <w:r>
        <w:rPr>
          <w:rFonts w:hint="eastAsia" w:ascii="仿宋" w:hAnsi="仿宋" w:eastAsia="仿宋"/>
          <w:sz w:val="32"/>
          <w:szCs w:val="32"/>
          <w:lang w:eastAsia="zh-CN"/>
        </w:rPr>
        <w:t>节约开支，经费缩减</w:t>
      </w:r>
      <w:r>
        <w:rPr>
          <w:rFonts w:hint="eastAsia" w:ascii="仿宋" w:hAnsi="仿宋" w:eastAsia="仿宋"/>
          <w:sz w:val="32"/>
          <w:szCs w:val="32"/>
        </w:rPr>
        <w:t>。</w:t>
      </w:r>
    </w:p>
    <w:p w14:paraId="35C8E764">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14:paraId="02E86C96">
      <w:pPr>
        <w:spacing w:line="600" w:lineRule="exact"/>
        <w:ind w:firstLine="640"/>
        <w:outlineLvl w:val="2"/>
        <w:rPr>
          <w:rFonts w:ascii="仿宋" w:hAnsi="仿宋" w:eastAsia="仿宋"/>
          <w:b/>
          <w:sz w:val="32"/>
          <w:szCs w:val="32"/>
        </w:rPr>
      </w:pPr>
      <w:bookmarkStart w:id="43" w:name="_Toc15377217"/>
      <w:r>
        <w:rPr>
          <w:rFonts w:hint="eastAsia" w:ascii="仿宋" w:hAnsi="仿宋" w:eastAsia="仿宋"/>
          <w:b/>
          <w:sz w:val="32"/>
          <w:szCs w:val="32"/>
        </w:rPr>
        <w:t>（二）“三公”经费财政拨款支出决算具体情况说明</w:t>
      </w:r>
      <w:bookmarkEnd w:id="43"/>
    </w:p>
    <w:p w14:paraId="7C06B949">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9.88</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；公务接待费支出决算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。具体情况如下：</w:t>
      </w:r>
    </w:p>
    <w:p w14:paraId="46F2C3C6">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6C804DBF">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9.88</w:t>
      </w:r>
      <w:r>
        <w:rPr>
          <w:rFonts w:hint="eastAsia" w:ascii="仿宋_GB2312" w:eastAsia="仿宋_GB2312"/>
          <w:sz w:val="32"/>
          <w:szCs w:val="32"/>
        </w:rPr>
        <w:t>万元</w:t>
      </w:r>
      <w:r>
        <w:rPr>
          <w:rFonts w:hint="eastAsia" w:ascii="仿宋_GB2312" w:eastAsia="仿宋_GB2312"/>
          <w:sz w:val="32"/>
          <w:szCs w:val="32"/>
          <w:lang w:eastAsia="zh-CN"/>
        </w:rPr>
        <w:t>，</w:t>
      </w:r>
      <w:r>
        <w:rPr>
          <w:rStyle w:val="18"/>
          <w:rFonts w:hint="eastAsia" w:ascii="仿宋" w:hAnsi="仿宋" w:eastAsia="仿宋"/>
          <w:b w:val="0"/>
          <w:bCs/>
          <w:sz w:val="32"/>
          <w:szCs w:val="32"/>
        </w:rPr>
        <w:t>完成预算</w:t>
      </w:r>
      <w:r>
        <w:rPr>
          <w:sz w:val="32"/>
          <w:szCs w:val="32"/>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公务用车购置及运行维护费支出决算比2022年度增减少</w:t>
      </w:r>
      <w:r>
        <w:rPr>
          <w:rFonts w:hint="eastAsia" w:ascii="仿宋_GB2312" w:eastAsia="仿宋_GB2312"/>
          <w:sz w:val="32"/>
          <w:szCs w:val="32"/>
          <w:lang w:val="en-US" w:eastAsia="zh-CN"/>
        </w:rPr>
        <w:t>1.21</w:t>
      </w:r>
      <w:r>
        <w:rPr>
          <w:rFonts w:hint="eastAsia" w:ascii="仿宋_GB2312" w:eastAsia="仿宋_GB2312"/>
          <w:sz w:val="32"/>
          <w:szCs w:val="32"/>
        </w:rPr>
        <w:t>万元，下降</w:t>
      </w:r>
      <w:r>
        <w:rPr>
          <w:rFonts w:hint="eastAsia" w:ascii="仿宋_GB2312" w:eastAsia="仿宋_GB2312"/>
          <w:sz w:val="32"/>
          <w:szCs w:val="32"/>
          <w:lang w:val="en-US" w:eastAsia="zh-CN"/>
        </w:rPr>
        <w:t>13.96</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节约开支，经费缩减</w:t>
      </w:r>
      <w:r>
        <w:rPr>
          <w:rFonts w:hint="eastAsia" w:ascii="仿宋_GB2312" w:eastAsia="仿宋_GB2312"/>
          <w:sz w:val="32"/>
          <w:szCs w:val="32"/>
        </w:rPr>
        <w:t>。</w:t>
      </w:r>
    </w:p>
    <w:p w14:paraId="71AB67ED">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3</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辆、越野车</w:t>
      </w:r>
      <w:r>
        <w:rPr>
          <w:rFonts w:hint="eastAsia" w:ascii="仿宋_GB2312" w:eastAsia="仿宋_GB2312"/>
          <w:sz w:val="32"/>
          <w:szCs w:val="32"/>
          <w:lang w:val="en-US" w:eastAsia="zh-CN"/>
        </w:rPr>
        <w:t>2</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03CF948C">
      <w:pPr>
        <w:spacing w:line="600" w:lineRule="exact"/>
        <w:ind w:firstLine="640"/>
        <w:rPr>
          <w:rFonts w:hint="default" w:ascii="Times New Roman" w:hAnsi="Times New Roman" w:eastAsia="仿宋_GB2312" w:cs="Times New Roman"/>
          <w:kern w:val="0"/>
          <w:sz w:val="32"/>
          <w:szCs w:val="32"/>
          <w:shd w:val="clear" w:fill="FFFFFF"/>
        </w:rPr>
      </w:pPr>
      <w:r>
        <w:rPr>
          <w:rFonts w:hint="eastAsia" w:ascii="仿宋_GB2312" w:eastAsia="仿宋_GB2312"/>
          <w:b/>
          <w:sz w:val="32"/>
          <w:szCs w:val="32"/>
        </w:rPr>
        <w:t>公务用车运行维护费支出</w:t>
      </w:r>
      <w:r>
        <w:rPr>
          <w:sz w:val="32"/>
          <w:szCs w:val="32"/>
        </w:rPr>
        <w:t>9.88</w:t>
      </w:r>
      <w:r>
        <w:rPr>
          <w:rFonts w:hint="eastAsia" w:ascii="仿宋_GB2312" w:eastAsia="仿宋_GB2312"/>
          <w:sz w:val="32"/>
          <w:szCs w:val="32"/>
        </w:rPr>
        <w:t>万元。主要用于</w:t>
      </w:r>
      <w:r>
        <w:rPr>
          <w:rFonts w:hint="default" w:ascii="Times New Roman" w:hAnsi="Times New Roman" w:eastAsia="仿宋_GB2312" w:cs="Times New Roman"/>
          <w:kern w:val="0"/>
          <w:sz w:val="32"/>
          <w:szCs w:val="32"/>
          <w:shd w:val="clear" w:fill="FFFFFF"/>
        </w:rPr>
        <w:t>下乡、出差等所需的公务用车燃料费、维修费、过路过桥费、保险费等支出。</w:t>
      </w:r>
    </w:p>
    <w:p w14:paraId="29CDC09E">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sz w:val="32"/>
          <w:szCs w:val="32"/>
        </w:rPr>
        <w:t>0%</w:t>
      </w:r>
      <w:r>
        <w:rPr>
          <w:rStyle w:val="18"/>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w:t>
      </w:r>
    </w:p>
    <w:p w14:paraId="40D0B5CA">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0</w:t>
      </w:r>
      <w:r>
        <w:rPr>
          <w:rFonts w:hint="eastAsia" w:ascii="仿宋_GB2312" w:eastAsia="仿宋_GB2312"/>
          <w:sz w:val="32"/>
          <w:szCs w:val="32"/>
        </w:rPr>
        <w:t>万元，国内公务接待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67FD71AB">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4" w:name="_Toc15396610"/>
      <w:bookmarkStart w:id="45" w:name="_Toc15377218"/>
    </w:p>
    <w:p w14:paraId="205B659D">
      <w:pPr>
        <w:spacing w:line="600" w:lineRule="exact"/>
        <w:ind w:firstLine="640"/>
        <w:outlineLvl w:val="1"/>
        <w:rPr>
          <w:rStyle w:val="21"/>
          <w:rFonts w:ascii="黑体" w:hAnsi="黑体" w:eastAsia="黑体"/>
        </w:rPr>
      </w:pPr>
      <w:r>
        <w:rPr>
          <w:rFonts w:hint="eastAsia" w:ascii="黑体" w:eastAsia="黑体"/>
          <w:sz w:val="32"/>
          <w:szCs w:val="32"/>
        </w:rPr>
        <w:t>八、</w:t>
      </w:r>
      <w:r>
        <w:rPr>
          <w:rStyle w:val="21"/>
          <w:rFonts w:hint="eastAsia" w:ascii="黑体" w:hAnsi="黑体" w:eastAsia="黑体"/>
          <w:b w:val="0"/>
        </w:rPr>
        <w:t>政府性基金预算支出决算情况说明</w:t>
      </w:r>
      <w:bookmarkEnd w:id="44"/>
      <w:bookmarkEnd w:id="45"/>
    </w:p>
    <w:p w14:paraId="0CEA1C4D">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84.44</w:t>
      </w:r>
      <w:r>
        <w:rPr>
          <w:rFonts w:hint="eastAsia" w:ascii="仿宋_GB2312" w:eastAsia="仿宋_GB2312"/>
          <w:sz w:val="32"/>
          <w:szCs w:val="32"/>
        </w:rPr>
        <w:t>万元。</w:t>
      </w:r>
    </w:p>
    <w:p w14:paraId="75650E99">
      <w:pPr>
        <w:numPr>
          <w:ilvl w:val="0"/>
          <w:numId w:val="6"/>
        </w:numPr>
        <w:spacing w:line="600" w:lineRule="exact"/>
        <w:ind w:firstLine="640"/>
        <w:outlineLvl w:val="1"/>
        <w:rPr>
          <w:rStyle w:val="21"/>
          <w:rFonts w:ascii="黑体" w:hAnsi="黑体" w:eastAsia="黑体"/>
          <w:b w:val="0"/>
        </w:rPr>
      </w:pPr>
      <w:bookmarkStart w:id="46" w:name="_Toc15377219"/>
      <w:bookmarkStart w:id="47" w:name="_Toc15396611"/>
      <w:r>
        <w:rPr>
          <w:rStyle w:val="21"/>
          <w:rFonts w:hint="eastAsia" w:ascii="黑体" w:hAnsi="黑体" w:eastAsia="黑体"/>
          <w:b w:val="0"/>
        </w:rPr>
        <w:t>国有资本经营预算支出决算情况说明</w:t>
      </w:r>
      <w:bookmarkEnd w:id="46"/>
      <w:bookmarkEnd w:id="47"/>
    </w:p>
    <w:p w14:paraId="4C190763">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14:paraId="5B469DC3">
      <w:pPr>
        <w:numPr>
          <w:ilvl w:val="0"/>
          <w:numId w:val="6"/>
        </w:numPr>
        <w:spacing w:line="600" w:lineRule="exact"/>
        <w:ind w:firstLine="640"/>
        <w:outlineLvl w:val="1"/>
        <w:rPr>
          <w:rStyle w:val="21"/>
          <w:rFonts w:ascii="黑体" w:hAnsi="黑体" w:eastAsia="黑体"/>
          <w:b w:val="0"/>
        </w:rPr>
      </w:pPr>
      <w:bookmarkStart w:id="48" w:name="_Toc15377221"/>
      <w:bookmarkStart w:id="49" w:name="_Toc15396612"/>
      <w:r>
        <w:rPr>
          <w:rStyle w:val="21"/>
          <w:rFonts w:hint="eastAsia" w:ascii="黑体" w:hAnsi="黑体" w:eastAsia="黑体"/>
          <w:b w:val="0"/>
        </w:rPr>
        <w:t>其他重要事项的情况说明</w:t>
      </w:r>
      <w:bookmarkEnd w:id="48"/>
      <w:bookmarkEnd w:id="49"/>
    </w:p>
    <w:p w14:paraId="3541799C">
      <w:pPr>
        <w:spacing w:line="600" w:lineRule="exact"/>
        <w:ind w:firstLine="643" w:firstLineChars="200"/>
        <w:outlineLvl w:val="2"/>
        <w:rPr>
          <w:rFonts w:ascii="仿宋" w:hAnsi="仿宋" w:eastAsia="仿宋"/>
          <w:sz w:val="32"/>
          <w:szCs w:val="32"/>
        </w:rPr>
      </w:pPr>
      <w:bookmarkStart w:id="50" w:name="_Toc15377222"/>
      <w:r>
        <w:rPr>
          <w:rFonts w:hint="eastAsia" w:ascii="仿宋" w:hAnsi="仿宋" w:eastAsia="仿宋"/>
          <w:b/>
          <w:sz w:val="32"/>
          <w:szCs w:val="32"/>
        </w:rPr>
        <w:t>（一）机关运行经费支出情况</w:t>
      </w:r>
      <w:bookmarkEnd w:id="50"/>
    </w:p>
    <w:p w14:paraId="008B356F">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松潘县人力资源和社会保障局</w:t>
      </w:r>
      <w:r>
        <w:rPr>
          <w:rFonts w:hint="eastAsia" w:ascii="仿宋_GB2312" w:eastAsia="仿宋_GB2312"/>
          <w:sz w:val="32"/>
          <w:szCs w:val="32"/>
        </w:rPr>
        <w:t>机关运行经费支出</w:t>
      </w:r>
      <w:r>
        <w:rPr>
          <w:sz w:val="32"/>
          <w:szCs w:val="32"/>
        </w:rPr>
        <w:t>52.89</w:t>
      </w:r>
      <w:r>
        <w:rPr>
          <w:rFonts w:hint="eastAsia" w:ascii="仿宋_GB2312" w:eastAsia="仿宋_GB2312"/>
          <w:sz w:val="32"/>
          <w:szCs w:val="32"/>
        </w:rPr>
        <w:t>万元，比2022年度增加</w:t>
      </w:r>
      <w:r>
        <w:rPr>
          <w:rFonts w:hint="eastAsia" w:ascii="仿宋_GB2312" w:eastAsia="仿宋_GB2312"/>
          <w:sz w:val="32"/>
          <w:szCs w:val="32"/>
          <w:lang w:val="en-US" w:eastAsia="zh-CN"/>
        </w:rPr>
        <w:t>20.51</w:t>
      </w:r>
      <w:r>
        <w:rPr>
          <w:rFonts w:hint="eastAsia" w:ascii="仿宋_GB2312" w:eastAsia="仿宋_GB2312"/>
          <w:sz w:val="32"/>
          <w:szCs w:val="32"/>
        </w:rPr>
        <w:t>万元，增长</w:t>
      </w:r>
      <w:r>
        <w:rPr>
          <w:rFonts w:hint="eastAsia" w:ascii="仿宋_GB2312" w:eastAsia="仿宋_GB2312"/>
          <w:sz w:val="32"/>
          <w:szCs w:val="32"/>
          <w:lang w:val="en-US" w:eastAsia="zh-CN"/>
        </w:rPr>
        <w:t>63.34</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主要原因是</w:t>
      </w:r>
      <w:r>
        <w:rPr>
          <w:rFonts w:hint="eastAsia" w:ascii="仿宋_GB2312" w:eastAsia="仿宋_GB2312"/>
          <w:sz w:val="32"/>
          <w:szCs w:val="32"/>
          <w:lang w:val="en-US" w:eastAsia="zh-CN"/>
        </w:rPr>
        <w:t>2023年进行了人社局会议室维修维护，导致机关运行经费增加。</w:t>
      </w:r>
    </w:p>
    <w:p w14:paraId="4794E4DA">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618E506C">
      <w:pPr>
        <w:autoSpaceDE w:val="0"/>
        <w:autoSpaceDN w:val="0"/>
        <w:adjustRightInd w:val="0"/>
        <w:spacing w:line="600" w:lineRule="exact"/>
        <w:ind w:firstLine="643" w:firstLineChars="200"/>
        <w:jc w:val="left"/>
        <w:outlineLvl w:val="2"/>
        <w:rPr>
          <w:rFonts w:ascii="仿宋" w:hAnsi="仿宋" w:eastAsia="仿宋"/>
          <w:b/>
          <w:sz w:val="32"/>
          <w:szCs w:val="32"/>
        </w:rPr>
      </w:pPr>
      <w:bookmarkStart w:id="51" w:name="_Toc15377223"/>
      <w:r>
        <w:rPr>
          <w:rFonts w:hint="eastAsia" w:ascii="仿宋" w:hAnsi="仿宋" w:eastAsia="仿宋"/>
          <w:b/>
          <w:sz w:val="32"/>
          <w:szCs w:val="32"/>
        </w:rPr>
        <w:t>（二）政府采购支出情况</w:t>
      </w:r>
      <w:bookmarkEnd w:id="51"/>
    </w:p>
    <w:p w14:paraId="63239495">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松潘县人力资源和社会保障局</w:t>
      </w:r>
      <w:r>
        <w:rPr>
          <w:rFonts w:hint="eastAsia" w:ascii="仿宋_GB2312" w:eastAsia="仿宋_GB2312"/>
          <w:sz w:val="32"/>
          <w:szCs w:val="32"/>
        </w:rPr>
        <w:t>政府采购支出总额</w:t>
      </w:r>
      <w:r>
        <w:rPr>
          <w:sz w:val="32"/>
          <w:szCs w:val="32"/>
        </w:rPr>
        <w:t>0</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万元。授予中小企业合同金额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w:t>
      </w:r>
    </w:p>
    <w:p w14:paraId="5AEBA8D0">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2F823E00">
      <w:pPr>
        <w:autoSpaceDE w:val="0"/>
        <w:autoSpaceDN w:val="0"/>
        <w:adjustRightInd w:val="0"/>
        <w:spacing w:line="600" w:lineRule="exact"/>
        <w:ind w:firstLine="643" w:firstLineChars="200"/>
        <w:jc w:val="left"/>
        <w:outlineLvl w:val="2"/>
        <w:rPr>
          <w:rFonts w:ascii="仿宋" w:hAnsi="仿宋" w:eastAsia="仿宋"/>
          <w:b/>
          <w:sz w:val="32"/>
          <w:szCs w:val="32"/>
        </w:rPr>
      </w:pPr>
      <w:bookmarkStart w:id="52" w:name="_Toc15377224"/>
      <w:r>
        <w:rPr>
          <w:rFonts w:hint="eastAsia" w:ascii="仿宋" w:hAnsi="仿宋" w:eastAsia="仿宋"/>
          <w:b/>
          <w:sz w:val="32"/>
          <w:szCs w:val="32"/>
        </w:rPr>
        <w:t>（三）国有资产占有使用情况</w:t>
      </w:r>
      <w:bookmarkEnd w:id="52"/>
    </w:p>
    <w:p w14:paraId="2D701ECD">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松潘县人力资源和社会保障局</w:t>
      </w:r>
      <w:r>
        <w:rPr>
          <w:rFonts w:hint="eastAsia" w:ascii="仿宋_GB2312" w:eastAsia="仿宋_GB2312"/>
          <w:sz w:val="32"/>
          <w:szCs w:val="32"/>
        </w:rPr>
        <w:t>共有车辆</w:t>
      </w:r>
      <w:r>
        <w:rPr>
          <w:rFonts w:ascii="仿宋_GB2312" w:eastAsia="仿宋_GB2312"/>
          <w:sz w:val="32"/>
          <w:szCs w:val="32"/>
        </w:rPr>
        <w:t>3</w:t>
      </w:r>
      <w:r>
        <w:rPr>
          <w:rFonts w:hint="eastAsia" w:ascii="仿宋_GB2312" w:eastAsia="仿宋_GB2312"/>
          <w:sz w:val="32"/>
          <w:szCs w:val="32"/>
        </w:rPr>
        <w:t>辆，其中：其他用车</w:t>
      </w:r>
      <w:r>
        <w:rPr>
          <w:rFonts w:hint="eastAsia" w:ascii="仿宋_GB2312" w:eastAsia="仿宋_GB2312"/>
          <w:sz w:val="32"/>
          <w:szCs w:val="32"/>
          <w:lang w:val="en-US" w:eastAsia="zh-CN"/>
        </w:rPr>
        <w:t>3</w:t>
      </w:r>
      <w:r>
        <w:rPr>
          <w:rFonts w:hint="eastAsia" w:ascii="仿宋_GB2312" w:eastAsia="仿宋_GB2312"/>
          <w:sz w:val="32"/>
          <w:szCs w:val="32"/>
        </w:rPr>
        <w:t>辆，其他用车主要是用于</w:t>
      </w:r>
      <w:r>
        <w:rPr>
          <w:rFonts w:hint="default" w:ascii="Times New Roman" w:hAnsi="Times New Roman" w:eastAsia="仿宋_GB2312" w:cs="Times New Roman"/>
          <w:kern w:val="0"/>
          <w:sz w:val="32"/>
          <w:szCs w:val="32"/>
          <w:shd w:val="clear" w:fill="FFFFFF"/>
        </w:rPr>
        <w:t>单位办公出差下乡</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14:paraId="20D9FE9B">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14:paraId="1B45E84F">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5F3EB02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根据预算绩效管理要求，本部门在2023年度预算编制阶段，组织对</w:t>
      </w:r>
      <w:r>
        <w:rPr>
          <w:rFonts w:hint="default" w:ascii="仿宋_GB2312" w:hAnsi="Times New Roman" w:eastAsia="仿宋_GB2312" w:cs="Times New Roman"/>
          <w:sz w:val="32"/>
          <w:szCs w:val="32"/>
          <w:lang w:val="en-US" w:eastAsia="zh-CN"/>
        </w:rPr>
        <w:t>社会保障和就业服务大厅工作经费，行政事业单位编外用工工资，乡镇社保网络服务平台，省级社保公共服务能力建设，律师代理费，人事考务费，档案信息化管理工作经费，在职干部学历提升奖补，松潘县人社局一楼政务大厅供暖设备改造质保金，人社局会议室维修维护经费</w:t>
      </w:r>
      <w:r>
        <w:rPr>
          <w:rFonts w:hint="eastAsia" w:ascii="仿宋_GB2312" w:eastAsia="仿宋_GB2312" w:cs="Times New Roman"/>
          <w:sz w:val="32"/>
          <w:szCs w:val="32"/>
          <w:lang w:val="en-US" w:eastAsia="zh-CN"/>
        </w:rPr>
        <w:t>，就业创业工作经费，东西部劳务协作工作经费，农民工服务中心工作经费，劳动人口转移就业工程，就业创业补助资金项目，省级财政社保公共服务能力建设资金（社保局），社保工作经费，财政补差退休人员工资，改制企业离退休人员非统项目补贴，春节慰问金，关于财政清算格让足机保待遇资金，关于成兰铁路建设项目被征地农民失业保险滞纳金费用，城乡居保工作经费，被征地农民出口补贴</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个项目开展绩效监控。</w:t>
      </w:r>
    </w:p>
    <w:p w14:paraId="7B32785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组织对2023年度一般公共预算、政府性基金预算、国有资本经营预算、社会保险基金预算以及资本资产、债券资金等全面开展绩效自评，形成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lang w:val="en-US" w:eastAsia="zh-CN"/>
        </w:rPr>
        <w:t>5个</w:t>
      </w:r>
      <w:r>
        <w:rPr>
          <w:rFonts w:hint="eastAsia" w:ascii="仿宋_GB2312" w:hAnsi="仿宋_GB2312" w:eastAsia="仿宋_GB2312" w:cs="仿宋_GB2312"/>
          <w:sz w:val="32"/>
          <w:szCs w:val="32"/>
        </w:rPr>
        <w:t>部门整体（含部门预算项目）绩效自评报告、</w:t>
      </w:r>
      <w:r>
        <w:rPr>
          <w:rFonts w:hint="eastAsia" w:ascii="仿宋_GB2312" w:hAnsi="仿宋_GB2312" w:eastAsia="仿宋_GB2312" w:cs="仿宋_GB2312"/>
          <w:sz w:val="32"/>
          <w:szCs w:val="32"/>
          <w:lang w:val="en-US" w:eastAsia="zh-CN"/>
        </w:rPr>
        <w:t>3个</w:t>
      </w:r>
      <w:r>
        <w:rPr>
          <w:rFonts w:hint="eastAsia" w:ascii="仿宋_GB2312" w:hAnsi="仿宋_GB2312" w:eastAsia="仿宋_GB2312" w:cs="仿宋_GB2312"/>
          <w:sz w:val="32"/>
          <w:szCs w:val="32"/>
        </w:rPr>
        <w:t>专项预算项目绩效自评报告，其中，</w:t>
      </w:r>
      <w:r>
        <w:rPr>
          <w:rFonts w:hint="eastAsia" w:ascii="仿宋_GB2312" w:hAnsi="仿宋_GB2312" w:eastAsia="仿宋_GB2312" w:cs="仿宋_GB2312"/>
          <w:sz w:val="32"/>
          <w:szCs w:val="32"/>
          <w:lang w:eastAsia="zh-CN"/>
        </w:rPr>
        <w:t>松潘县人力资源和社会保障局</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省级财政社保公共服务能力建设资金</w:t>
      </w:r>
      <w:r>
        <w:rPr>
          <w:rFonts w:hint="eastAsia" w:ascii="仿宋_GB2312" w:hAnsi="仿宋_GB2312" w:eastAsia="仿宋_GB2312" w:cs="仿宋_GB2312"/>
          <w:sz w:val="32"/>
          <w:szCs w:val="32"/>
        </w:rPr>
        <w:t>专项预算项目绩效自评得分为</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就业创业补助项目资金</w:t>
      </w:r>
      <w:r>
        <w:rPr>
          <w:rFonts w:hint="eastAsia" w:ascii="仿宋_GB2312" w:hAnsi="仿宋_GB2312" w:eastAsia="仿宋_GB2312" w:cs="仿宋_GB2312"/>
          <w:sz w:val="32"/>
          <w:szCs w:val="32"/>
        </w:rPr>
        <w:t>专项预算项目绩效自评得分为</w:t>
      </w:r>
      <w:r>
        <w:rPr>
          <w:rFonts w:hint="eastAsia" w:ascii="仿宋_GB2312" w:hAnsi="仿宋_GB2312" w:eastAsia="仿宋_GB2312" w:cs="仿宋_GB2312"/>
          <w:sz w:val="32"/>
          <w:szCs w:val="32"/>
          <w:lang w:val="en-US" w:eastAsia="zh-CN"/>
        </w:rPr>
        <w:t>99.93</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绩效自评报告详见附件。</w:t>
      </w:r>
    </w:p>
    <w:p w14:paraId="0F0B13BC">
      <w:pPr>
        <w:pStyle w:val="3"/>
        <w:jc w:val="center"/>
      </w:pPr>
      <w:r>
        <w:rPr>
          <w:rFonts w:hint="eastAsia"/>
        </w:rPr>
        <w:t>第三部分 名词解释</w:t>
      </w:r>
    </w:p>
    <w:p w14:paraId="1C6F0CA8"/>
    <w:p w14:paraId="02B57D59">
      <w:pPr>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14:paraId="16149DF2">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 xml:space="preserve">.年初结转和结余：指以前年度尚未完成、结转到本年按有关规定继续使用的资金。 </w:t>
      </w:r>
    </w:p>
    <w:p w14:paraId="1CDFD75E">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.年末结转和结余：指单位按有关规定结转到下年或以后年度继续使用的资金。</w:t>
      </w:r>
    </w:p>
    <w:p w14:paraId="72E2388A">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教育（类）</w:t>
      </w:r>
      <w:r>
        <w:rPr>
          <w:rFonts w:hint="eastAsia" w:ascii="仿宋_GB2312" w:eastAsia="仿宋_GB2312"/>
          <w:sz w:val="32"/>
          <w:szCs w:val="32"/>
          <w:lang w:val="en-US" w:eastAsia="zh-CN"/>
        </w:rPr>
        <w:t>205</w:t>
      </w:r>
      <w:r>
        <w:rPr>
          <w:rFonts w:hint="eastAsia" w:ascii="仿宋_GB2312" w:eastAsia="仿宋_GB2312"/>
          <w:sz w:val="32"/>
          <w:szCs w:val="32"/>
        </w:rPr>
        <w:t>（款）</w:t>
      </w:r>
      <w:r>
        <w:rPr>
          <w:rFonts w:hint="eastAsia" w:ascii="仿宋_GB2312" w:eastAsia="仿宋_GB2312"/>
          <w:sz w:val="32"/>
          <w:szCs w:val="32"/>
          <w:lang w:val="en-US" w:eastAsia="zh-CN"/>
        </w:rPr>
        <w:t>99</w:t>
      </w:r>
      <w:r>
        <w:rPr>
          <w:rFonts w:hint="eastAsia" w:ascii="仿宋_GB2312" w:eastAsia="仿宋_GB2312"/>
          <w:sz w:val="32"/>
          <w:szCs w:val="32"/>
        </w:rPr>
        <w:t>（项）</w:t>
      </w:r>
      <w:r>
        <w:rPr>
          <w:rFonts w:hint="eastAsia" w:ascii="仿宋_GB2312" w:eastAsia="仿宋_GB2312"/>
          <w:sz w:val="32"/>
          <w:szCs w:val="32"/>
          <w:lang w:val="en-US" w:eastAsia="zh-CN"/>
        </w:rPr>
        <w:t>99</w:t>
      </w:r>
      <w:r>
        <w:rPr>
          <w:rFonts w:hint="eastAsia" w:ascii="仿宋_GB2312" w:eastAsia="仿宋_GB2312"/>
          <w:sz w:val="32"/>
          <w:szCs w:val="32"/>
        </w:rPr>
        <w:t>：指</w:t>
      </w:r>
      <w:r>
        <w:rPr>
          <w:rFonts w:hint="eastAsia" w:ascii="仿宋_GB2312" w:eastAsia="仿宋_GB2312"/>
          <w:sz w:val="32"/>
          <w:szCs w:val="32"/>
          <w:lang w:eastAsia="zh-CN"/>
        </w:rPr>
        <w:t>其他教育支出</w:t>
      </w:r>
      <w:r>
        <w:rPr>
          <w:rFonts w:hint="eastAsia" w:ascii="仿宋_GB2312" w:eastAsia="仿宋_GB2312"/>
          <w:sz w:val="32"/>
          <w:szCs w:val="32"/>
        </w:rPr>
        <w:t>。</w:t>
      </w:r>
    </w:p>
    <w:p w14:paraId="5FBE2EB1">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社会保障和就业（类）</w:t>
      </w:r>
      <w:r>
        <w:rPr>
          <w:rFonts w:hint="eastAsia" w:ascii="仿宋_GB2312" w:eastAsia="仿宋_GB2312"/>
          <w:sz w:val="32"/>
          <w:szCs w:val="32"/>
          <w:lang w:val="en-US" w:eastAsia="zh-CN"/>
        </w:rPr>
        <w:t>208</w:t>
      </w:r>
      <w:r>
        <w:rPr>
          <w:rFonts w:hint="eastAsia" w:ascii="仿宋_GB2312" w:eastAsia="仿宋_GB2312"/>
          <w:sz w:val="32"/>
          <w:szCs w:val="32"/>
        </w:rPr>
        <w:t>（款）</w:t>
      </w:r>
      <w:r>
        <w:rPr>
          <w:rFonts w:hint="eastAsia" w:ascii="仿宋_GB2312" w:eastAsia="仿宋_GB2312"/>
          <w:sz w:val="32"/>
          <w:szCs w:val="32"/>
          <w:lang w:val="en-US" w:eastAsia="zh-CN"/>
        </w:rPr>
        <w:t>01</w:t>
      </w:r>
      <w:r>
        <w:rPr>
          <w:rFonts w:hint="eastAsia" w:ascii="仿宋_GB2312" w:eastAsia="仿宋_GB2312"/>
          <w:sz w:val="32"/>
          <w:szCs w:val="32"/>
        </w:rPr>
        <w:t>（项）</w:t>
      </w:r>
      <w:r>
        <w:rPr>
          <w:rFonts w:hint="eastAsia" w:ascii="仿宋_GB2312" w:eastAsia="仿宋_GB2312"/>
          <w:sz w:val="32"/>
          <w:szCs w:val="32"/>
          <w:lang w:val="en-US" w:eastAsia="zh-CN"/>
        </w:rPr>
        <w:t>01</w:t>
      </w:r>
      <w:r>
        <w:rPr>
          <w:rFonts w:hint="eastAsia" w:ascii="仿宋_GB2312" w:eastAsia="仿宋_GB2312"/>
          <w:sz w:val="32"/>
          <w:szCs w:val="32"/>
        </w:rPr>
        <w:t>指</w:t>
      </w:r>
      <w:r>
        <w:rPr>
          <w:rFonts w:hint="eastAsia" w:ascii="仿宋_GB2312" w:eastAsia="仿宋_GB2312"/>
          <w:sz w:val="32"/>
          <w:szCs w:val="32"/>
          <w:lang w:eastAsia="zh-CN"/>
        </w:rPr>
        <w:t>行政运行，</w:t>
      </w:r>
      <w:r>
        <w:rPr>
          <w:rFonts w:hint="eastAsia" w:ascii="仿宋_GB2312" w:eastAsia="仿宋_GB2312"/>
          <w:sz w:val="32"/>
          <w:szCs w:val="32"/>
        </w:rPr>
        <w:t>（类）</w:t>
      </w:r>
      <w:r>
        <w:rPr>
          <w:rStyle w:val="18"/>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8"/>
          <w:rFonts w:hint="eastAsia" w:ascii="仿宋" w:hAnsi="仿宋" w:eastAsia="仿宋"/>
          <w:b w:val="0"/>
          <w:bCs/>
          <w:sz w:val="32"/>
          <w:szCs w:val="32"/>
          <w:lang w:val="en-US" w:eastAsia="zh-CN"/>
        </w:rPr>
        <w:t>01</w:t>
      </w:r>
      <w:r>
        <w:rPr>
          <w:rFonts w:hint="eastAsia" w:ascii="仿宋_GB2312" w:eastAsia="仿宋_GB2312"/>
          <w:sz w:val="32"/>
          <w:szCs w:val="32"/>
        </w:rPr>
        <w:t>（项）</w:t>
      </w:r>
      <w:r>
        <w:rPr>
          <w:rStyle w:val="18"/>
          <w:rFonts w:hint="eastAsia" w:ascii="仿宋" w:hAnsi="仿宋" w:eastAsia="仿宋"/>
          <w:b w:val="0"/>
          <w:bCs/>
          <w:sz w:val="32"/>
          <w:szCs w:val="32"/>
          <w:lang w:val="en-US" w:eastAsia="zh-CN"/>
        </w:rPr>
        <w:t>02一般行政管理事务支出，</w:t>
      </w:r>
      <w:r>
        <w:rPr>
          <w:rFonts w:hint="eastAsia" w:ascii="仿宋_GB2312" w:eastAsia="仿宋_GB2312"/>
          <w:sz w:val="32"/>
          <w:szCs w:val="32"/>
        </w:rPr>
        <w:t>（类）</w:t>
      </w:r>
      <w:r>
        <w:rPr>
          <w:rStyle w:val="18"/>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8"/>
          <w:rFonts w:hint="eastAsia" w:ascii="仿宋" w:hAnsi="仿宋" w:eastAsia="仿宋"/>
          <w:b w:val="0"/>
          <w:bCs/>
          <w:sz w:val="32"/>
          <w:szCs w:val="32"/>
          <w:lang w:val="en-US" w:eastAsia="zh-CN"/>
        </w:rPr>
        <w:t>01</w:t>
      </w:r>
      <w:r>
        <w:rPr>
          <w:rFonts w:hint="eastAsia" w:ascii="仿宋_GB2312" w:eastAsia="仿宋_GB2312"/>
          <w:sz w:val="32"/>
          <w:szCs w:val="32"/>
        </w:rPr>
        <w:t>（项）</w:t>
      </w:r>
      <w:r>
        <w:rPr>
          <w:rStyle w:val="18"/>
          <w:rFonts w:hint="eastAsia" w:ascii="仿宋" w:hAnsi="仿宋" w:eastAsia="仿宋"/>
          <w:b w:val="0"/>
          <w:bCs/>
          <w:sz w:val="32"/>
          <w:szCs w:val="32"/>
          <w:lang w:val="en-US" w:eastAsia="zh-CN"/>
        </w:rPr>
        <w:t>04综合业务管理支出，</w:t>
      </w:r>
      <w:r>
        <w:rPr>
          <w:rFonts w:hint="eastAsia" w:ascii="仿宋_GB2312" w:eastAsia="仿宋_GB2312"/>
          <w:sz w:val="32"/>
          <w:szCs w:val="32"/>
        </w:rPr>
        <w:t>（类）</w:t>
      </w:r>
      <w:r>
        <w:rPr>
          <w:rStyle w:val="18"/>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8"/>
          <w:rFonts w:hint="eastAsia" w:ascii="仿宋" w:hAnsi="仿宋" w:eastAsia="仿宋"/>
          <w:b w:val="0"/>
          <w:bCs/>
          <w:sz w:val="32"/>
          <w:szCs w:val="32"/>
          <w:lang w:val="en-US" w:eastAsia="zh-CN"/>
        </w:rPr>
        <w:t>01</w:t>
      </w:r>
      <w:r>
        <w:rPr>
          <w:rFonts w:hint="eastAsia" w:ascii="仿宋_GB2312" w:eastAsia="仿宋_GB2312"/>
          <w:sz w:val="32"/>
          <w:szCs w:val="32"/>
        </w:rPr>
        <w:t>（项）</w:t>
      </w:r>
      <w:r>
        <w:rPr>
          <w:rStyle w:val="18"/>
          <w:rFonts w:hint="eastAsia" w:ascii="仿宋" w:hAnsi="仿宋" w:eastAsia="仿宋"/>
          <w:b w:val="0"/>
          <w:bCs/>
          <w:sz w:val="32"/>
          <w:szCs w:val="32"/>
          <w:lang w:val="en-US" w:eastAsia="zh-CN"/>
        </w:rPr>
        <w:t>08信息化建设支出，</w:t>
      </w:r>
      <w:r>
        <w:rPr>
          <w:rFonts w:hint="eastAsia" w:ascii="仿宋_GB2312" w:eastAsia="仿宋_GB2312"/>
          <w:sz w:val="32"/>
          <w:szCs w:val="32"/>
        </w:rPr>
        <w:t>（类）</w:t>
      </w:r>
      <w:r>
        <w:rPr>
          <w:rStyle w:val="18"/>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8"/>
          <w:rFonts w:hint="eastAsia" w:ascii="仿宋" w:hAnsi="仿宋" w:eastAsia="仿宋"/>
          <w:b w:val="0"/>
          <w:bCs/>
          <w:sz w:val="32"/>
          <w:szCs w:val="32"/>
          <w:lang w:val="en-US" w:eastAsia="zh-CN"/>
        </w:rPr>
        <w:t>01</w:t>
      </w:r>
      <w:r>
        <w:rPr>
          <w:rFonts w:hint="eastAsia" w:ascii="仿宋_GB2312" w:eastAsia="仿宋_GB2312"/>
          <w:sz w:val="32"/>
          <w:szCs w:val="32"/>
        </w:rPr>
        <w:t>（项）</w:t>
      </w:r>
      <w:r>
        <w:rPr>
          <w:rStyle w:val="18"/>
          <w:rFonts w:hint="eastAsia" w:ascii="仿宋" w:hAnsi="仿宋" w:eastAsia="仿宋"/>
          <w:b w:val="0"/>
          <w:bCs/>
          <w:sz w:val="32"/>
          <w:szCs w:val="32"/>
          <w:lang w:val="en-US" w:eastAsia="zh-CN"/>
        </w:rPr>
        <w:t>09社会保险经办机构支出，</w:t>
      </w:r>
      <w:r>
        <w:rPr>
          <w:rFonts w:hint="eastAsia" w:ascii="仿宋_GB2312" w:eastAsia="仿宋_GB2312"/>
          <w:sz w:val="32"/>
          <w:szCs w:val="32"/>
        </w:rPr>
        <w:t>（类）</w:t>
      </w:r>
      <w:r>
        <w:rPr>
          <w:rStyle w:val="18"/>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8"/>
          <w:rFonts w:hint="eastAsia" w:ascii="仿宋" w:hAnsi="仿宋" w:eastAsia="仿宋"/>
          <w:b w:val="0"/>
          <w:bCs/>
          <w:sz w:val="32"/>
          <w:szCs w:val="32"/>
          <w:lang w:val="en-US" w:eastAsia="zh-CN"/>
        </w:rPr>
        <w:t>01</w:t>
      </w:r>
      <w:r>
        <w:rPr>
          <w:rFonts w:hint="eastAsia" w:ascii="仿宋_GB2312" w:eastAsia="仿宋_GB2312"/>
          <w:sz w:val="32"/>
          <w:szCs w:val="32"/>
        </w:rPr>
        <w:t>（项）</w:t>
      </w:r>
      <w:r>
        <w:rPr>
          <w:rStyle w:val="18"/>
          <w:rFonts w:hint="eastAsia" w:ascii="仿宋" w:hAnsi="仿宋" w:eastAsia="仿宋"/>
          <w:b w:val="0"/>
          <w:bCs/>
          <w:sz w:val="32"/>
          <w:szCs w:val="32"/>
          <w:lang w:val="en-US" w:eastAsia="zh-CN"/>
        </w:rPr>
        <w:t>50事业运行，</w:t>
      </w:r>
      <w:r>
        <w:rPr>
          <w:rFonts w:hint="eastAsia" w:ascii="仿宋_GB2312" w:eastAsia="仿宋_GB2312"/>
          <w:sz w:val="32"/>
          <w:szCs w:val="32"/>
        </w:rPr>
        <w:t>（类）</w:t>
      </w:r>
      <w:r>
        <w:rPr>
          <w:rStyle w:val="18"/>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8"/>
          <w:rFonts w:hint="eastAsia" w:ascii="仿宋" w:hAnsi="仿宋" w:eastAsia="仿宋"/>
          <w:b w:val="0"/>
          <w:bCs/>
          <w:sz w:val="32"/>
          <w:szCs w:val="32"/>
          <w:lang w:val="en-US" w:eastAsia="zh-CN"/>
        </w:rPr>
        <w:t>01</w:t>
      </w:r>
      <w:r>
        <w:rPr>
          <w:rFonts w:hint="eastAsia" w:ascii="仿宋_GB2312" w:eastAsia="仿宋_GB2312"/>
          <w:sz w:val="32"/>
          <w:szCs w:val="32"/>
        </w:rPr>
        <w:t>（项）</w:t>
      </w:r>
      <w:r>
        <w:rPr>
          <w:rStyle w:val="18"/>
          <w:rFonts w:hint="eastAsia" w:ascii="仿宋" w:hAnsi="仿宋" w:eastAsia="仿宋"/>
          <w:b w:val="0"/>
          <w:bCs/>
          <w:sz w:val="32"/>
          <w:szCs w:val="32"/>
          <w:lang w:val="en-US" w:eastAsia="zh-CN"/>
        </w:rPr>
        <w:t>99其他人力资源和社会保障管理事务支出，</w:t>
      </w:r>
      <w:r>
        <w:rPr>
          <w:rFonts w:hint="eastAsia" w:ascii="仿宋_GB2312" w:eastAsia="仿宋_GB2312"/>
          <w:sz w:val="32"/>
          <w:szCs w:val="32"/>
        </w:rPr>
        <w:t>（类）</w:t>
      </w:r>
      <w:r>
        <w:rPr>
          <w:rStyle w:val="18"/>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8"/>
          <w:rFonts w:hint="eastAsia" w:ascii="仿宋" w:hAnsi="仿宋" w:eastAsia="仿宋"/>
          <w:b w:val="0"/>
          <w:bCs/>
          <w:sz w:val="32"/>
          <w:szCs w:val="32"/>
          <w:lang w:val="en-US" w:eastAsia="zh-CN"/>
        </w:rPr>
        <w:t>05</w:t>
      </w:r>
      <w:r>
        <w:rPr>
          <w:rFonts w:hint="eastAsia" w:ascii="仿宋_GB2312" w:eastAsia="仿宋_GB2312"/>
          <w:sz w:val="32"/>
          <w:szCs w:val="32"/>
        </w:rPr>
        <w:t>（项）</w:t>
      </w:r>
      <w:r>
        <w:rPr>
          <w:rStyle w:val="18"/>
          <w:rFonts w:hint="eastAsia" w:ascii="仿宋" w:hAnsi="仿宋" w:eastAsia="仿宋"/>
          <w:b w:val="0"/>
          <w:bCs/>
          <w:sz w:val="32"/>
          <w:szCs w:val="32"/>
          <w:lang w:val="en-US" w:eastAsia="zh-CN"/>
        </w:rPr>
        <w:t>05机关事业单位基本养老保险缴费支出，</w:t>
      </w:r>
      <w:r>
        <w:rPr>
          <w:rFonts w:hint="eastAsia" w:ascii="仿宋_GB2312" w:eastAsia="仿宋_GB2312"/>
          <w:sz w:val="32"/>
          <w:szCs w:val="32"/>
        </w:rPr>
        <w:t>（类）</w:t>
      </w:r>
      <w:r>
        <w:rPr>
          <w:rStyle w:val="18"/>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8"/>
          <w:rFonts w:hint="eastAsia" w:ascii="仿宋" w:hAnsi="仿宋" w:eastAsia="仿宋"/>
          <w:b w:val="0"/>
          <w:bCs/>
          <w:sz w:val="32"/>
          <w:szCs w:val="32"/>
          <w:lang w:val="en-US" w:eastAsia="zh-CN"/>
        </w:rPr>
        <w:t>05</w:t>
      </w:r>
      <w:r>
        <w:rPr>
          <w:rFonts w:hint="eastAsia" w:ascii="仿宋_GB2312" w:eastAsia="仿宋_GB2312"/>
          <w:sz w:val="32"/>
          <w:szCs w:val="32"/>
        </w:rPr>
        <w:t>（项）</w:t>
      </w:r>
      <w:r>
        <w:rPr>
          <w:rStyle w:val="18"/>
          <w:rFonts w:hint="eastAsia" w:ascii="仿宋" w:hAnsi="仿宋" w:eastAsia="仿宋"/>
          <w:b w:val="0"/>
          <w:bCs/>
          <w:sz w:val="32"/>
          <w:szCs w:val="32"/>
          <w:lang w:val="en-US" w:eastAsia="zh-CN"/>
        </w:rPr>
        <w:t>06机关事业单位职业年金缴费支出，</w:t>
      </w:r>
      <w:r>
        <w:rPr>
          <w:rFonts w:hint="eastAsia" w:ascii="仿宋_GB2312" w:eastAsia="仿宋_GB2312"/>
          <w:sz w:val="32"/>
          <w:szCs w:val="32"/>
        </w:rPr>
        <w:t>（类）</w:t>
      </w:r>
      <w:r>
        <w:rPr>
          <w:rStyle w:val="18"/>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8"/>
          <w:rFonts w:hint="eastAsia" w:ascii="仿宋" w:hAnsi="仿宋" w:eastAsia="仿宋"/>
          <w:b w:val="0"/>
          <w:bCs/>
          <w:sz w:val="32"/>
          <w:szCs w:val="32"/>
          <w:lang w:val="en-US" w:eastAsia="zh-CN"/>
        </w:rPr>
        <w:t>07</w:t>
      </w:r>
      <w:r>
        <w:rPr>
          <w:rFonts w:hint="eastAsia" w:ascii="仿宋_GB2312" w:eastAsia="仿宋_GB2312"/>
          <w:sz w:val="32"/>
          <w:szCs w:val="32"/>
        </w:rPr>
        <w:t>（项）</w:t>
      </w:r>
      <w:r>
        <w:rPr>
          <w:rFonts w:hint="eastAsia" w:ascii="仿宋_GB2312" w:eastAsia="仿宋_GB2312"/>
          <w:sz w:val="32"/>
          <w:szCs w:val="32"/>
          <w:lang w:val="en-US" w:eastAsia="zh-CN"/>
        </w:rPr>
        <w:t>01</w:t>
      </w:r>
      <w:r>
        <w:rPr>
          <w:rStyle w:val="18"/>
          <w:rFonts w:hint="eastAsia" w:ascii="仿宋" w:hAnsi="仿宋" w:eastAsia="仿宋"/>
          <w:b w:val="0"/>
          <w:bCs/>
          <w:sz w:val="32"/>
          <w:szCs w:val="32"/>
          <w:lang w:val="en-US" w:eastAsia="zh-CN"/>
        </w:rPr>
        <w:t>就业创业服务补贴，</w:t>
      </w:r>
      <w:r>
        <w:rPr>
          <w:rFonts w:hint="eastAsia" w:ascii="仿宋_GB2312" w:eastAsia="仿宋_GB2312"/>
          <w:sz w:val="32"/>
          <w:szCs w:val="32"/>
        </w:rPr>
        <w:t>（类）</w:t>
      </w:r>
      <w:r>
        <w:rPr>
          <w:rStyle w:val="18"/>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8"/>
          <w:rFonts w:hint="eastAsia" w:ascii="仿宋" w:hAnsi="仿宋" w:eastAsia="仿宋"/>
          <w:b w:val="0"/>
          <w:bCs/>
          <w:sz w:val="32"/>
          <w:szCs w:val="32"/>
          <w:lang w:val="en-US" w:eastAsia="zh-CN"/>
        </w:rPr>
        <w:t>07</w:t>
      </w:r>
      <w:r>
        <w:rPr>
          <w:rFonts w:hint="eastAsia" w:ascii="仿宋_GB2312" w:eastAsia="仿宋_GB2312"/>
          <w:sz w:val="32"/>
          <w:szCs w:val="32"/>
        </w:rPr>
        <w:t>（项）</w:t>
      </w:r>
      <w:r>
        <w:rPr>
          <w:rFonts w:hint="eastAsia" w:ascii="仿宋_GB2312" w:eastAsia="仿宋_GB2312"/>
          <w:sz w:val="32"/>
          <w:szCs w:val="32"/>
          <w:lang w:val="en-US" w:eastAsia="zh-CN"/>
        </w:rPr>
        <w:t>99其他就业补助支出。</w:t>
      </w:r>
    </w:p>
    <w:p w14:paraId="4D795578">
      <w:pPr>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卫生健康（类）</w:t>
      </w:r>
      <w:r>
        <w:rPr>
          <w:rFonts w:hint="eastAsia" w:ascii="仿宋_GB2312" w:eastAsia="仿宋_GB2312"/>
          <w:sz w:val="32"/>
          <w:szCs w:val="32"/>
          <w:lang w:val="en-US" w:eastAsia="zh-CN"/>
        </w:rPr>
        <w:t>210</w:t>
      </w:r>
      <w:r>
        <w:rPr>
          <w:rFonts w:hint="eastAsia" w:ascii="仿宋_GB2312" w:eastAsia="仿宋_GB2312"/>
          <w:sz w:val="32"/>
          <w:szCs w:val="32"/>
        </w:rPr>
        <w:t>（款）</w:t>
      </w:r>
      <w:r>
        <w:rPr>
          <w:rFonts w:hint="eastAsia" w:ascii="仿宋_GB2312" w:eastAsia="仿宋_GB2312"/>
          <w:sz w:val="32"/>
          <w:szCs w:val="32"/>
          <w:lang w:val="en-US" w:eastAsia="zh-CN"/>
        </w:rPr>
        <w:t>11</w:t>
      </w:r>
      <w:r>
        <w:rPr>
          <w:rFonts w:hint="eastAsia" w:ascii="仿宋_GB2312" w:eastAsia="仿宋_GB2312"/>
          <w:sz w:val="32"/>
          <w:szCs w:val="32"/>
        </w:rPr>
        <w:t>（项）</w:t>
      </w:r>
      <w:r>
        <w:rPr>
          <w:rFonts w:hint="eastAsia" w:ascii="仿宋_GB2312" w:eastAsia="仿宋_GB2312"/>
          <w:sz w:val="32"/>
          <w:szCs w:val="32"/>
          <w:lang w:val="en-US" w:eastAsia="zh-CN"/>
        </w:rPr>
        <w:t>01</w:t>
      </w:r>
      <w:r>
        <w:rPr>
          <w:rFonts w:hint="eastAsia" w:ascii="仿宋_GB2312" w:eastAsia="仿宋_GB2312"/>
          <w:sz w:val="32"/>
          <w:szCs w:val="32"/>
        </w:rPr>
        <w:t>：指</w:t>
      </w:r>
      <w:r>
        <w:rPr>
          <w:rFonts w:hint="eastAsia" w:ascii="仿宋_GB2312" w:eastAsia="仿宋_GB2312"/>
          <w:sz w:val="32"/>
          <w:szCs w:val="32"/>
          <w:lang w:eastAsia="zh-CN"/>
        </w:rPr>
        <w:t>行政单位医疗，</w:t>
      </w:r>
      <w:r>
        <w:rPr>
          <w:rFonts w:hint="eastAsia" w:ascii="仿宋_GB2312" w:eastAsia="仿宋_GB2312"/>
          <w:sz w:val="32"/>
          <w:szCs w:val="32"/>
        </w:rPr>
        <w:t>（类）</w:t>
      </w:r>
      <w:r>
        <w:rPr>
          <w:rFonts w:hint="eastAsia" w:ascii="仿宋_GB2312" w:eastAsia="仿宋_GB2312"/>
          <w:sz w:val="32"/>
          <w:szCs w:val="32"/>
          <w:lang w:val="en-US" w:eastAsia="zh-CN"/>
        </w:rPr>
        <w:t>210</w:t>
      </w:r>
      <w:r>
        <w:rPr>
          <w:rFonts w:hint="eastAsia" w:ascii="仿宋_GB2312" w:eastAsia="仿宋_GB2312"/>
          <w:sz w:val="32"/>
          <w:szCs w:val="32"/>
        </w:rPr>
        <w:t>（款）</w:t>
      </w:r>
      <w:r>
        <w:rPr>
          <w:rFonts w:hint="eastAsia" w:ascii="仿宋_GB2312" w:eastAsia="仿宋_GB2312"/>
          <w:sz w:val="32"/>
          <w:szCs w:val="32"/>
          <w:lang w:val="en-US" w:eastAsia="zh-CN"/>
        </w:rPr>
        <w:t>11</w:t>
      </w:r>
      <w:r>
        <w:rPr>
          <w:rFonts w:hint="eastAsia" w:ascii="仿宋_GB2312" w:eastAsia="仿宋_GB2312"/>
          <w:sz w:val="32"/>
          <w:szCs w:val="32"/>
        </w:rPr>
        <w:t>（项）</w:t>
      </w:r>
      <w:r>
        <w:rPr>
          <w:rFonts w:hint="eastAsia" w:ascii="仿宋_GB2312" w:eastAsia="仿宋_GB2312"/>
          <w:sz w:val="32"/>
          <w:szCs w:val="32"/>
          <w:lang w:val="en-US" w:eastAsia="zh-CN"/>
        </w:rPr>
        <w:t>03指公务员医疗补助。</w:t>
      </w:r>
    </w:p>
    <w:p w14:paraId="4CB48C75">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住房保障（类）</w:t>
      </w:r>
      <w:r>
        <w:rPr>
          <w:rFonts w:hint="eastAsia" w:ascii="仿宋_GB2312" w:eastAsia="仿宋_GB2312"/>
          <w:sz w:val="32"/>
          <w:szCs w:val="32"/>
          <w:lang w:val="en-US" w:eastAsia="zh-CN"/>
        </w:rPr>
        <w:t>221</w:t>
      </w:r>
      <w:r>
        <w:rPr>
          <w:rFonts w:hint="eastAsia" w:ascii="仿宋_GB2312" w:eastAsia="仿宋_GB2312"/>
          <w:sz w:val="32"/>
          <w:szCs w:val="32"/>
        </w:rPr>
        <w:t>（款）</w:t>
      </w:r>
      <w:r>
        <w:rPr>
          <w:rFonts w:hint="eastAsia" w:ascii="仿宋_GB2312" w:eastAsia="仿宋_GB2312"/>
          <w:sz w:val="32"/>
          <w:szCs w:val="32"/>
          <w:lang w:val="en-US" w:eastAsia="zh-CN"/>
        </w:rPr>
        <w:t>02</w:t>
      </w:r>
      <w:r>
        <w:rPr>
          <w:rFonts w:hint="eastAsia" w:ascii="仿宋_GB2312" w:eastAsia="仿宋_GB2312"/>
          <w:sz w:val="32"/>
          <w:szCs w:val="32"/>
        </w:rPr>
        <w:t>（项）</w:t>
      </w:r>
      <w:r>
        <w:rPr>
          <w:rFonts w:hint="eastAsia" w:ascii="仿宋_GB2312" w:eastAsia="仿宋_GB2312"/>
          <w:sz w:val="32"/>
          <w:szCs w:val="32"/>
          <w:lang w:val="en-US" w:eastAsia="zh-CN"/>
        </w:rPr>
        <w:t>01</w:t>
      </w:r>
      <w:r>
        <w:rPr>
          <w:rFonts w:hint="eastAsia" w:ascii="仿宋_GB2312" w:eastAsia="仿宋_GB2312"/>
          <w:sz w:val="32"/>
          <w:szCs w:val="32"/>
        </w:rPr>
        <w:t>：指</w:t>
      </w:r>
      <w:r>
        <w:rPr>
          <w:rFonts w:hint="eastAsia" w:ascii="仿宋_GB2312" w:eastAsia="仿宋_GB2312"/>
          <w:sz w:val="32"/>
          <w:szCs w:val="32"/>
          <w:lang w:eastAsia="zh-CN"/>
        </w:rPr>
        <w:t>住房公积金</w:t>
      </w:r>
      <w:r>
        <w:rPr>
          <w:rFonts w:hint="eastAsia" w:ascii="仿宋_GB2312" w:eastAsia="仿宋_GB2312"/>
          <w:sz w:val="32"/>
          <w:szCs w:val="32"/>
        </w:rPr>
        <w:t>。</w:t>
      </w:r>
    </w:p>
    <w:p w14:paraId="1DA69D09">
      <w:pPr>
        <w:pStyle w:val="14"/>
        <w:ind w:left="0" w:leftChars="0" w:firstLine="640" w:firstLineChars="200"/>
        <w:rPr>
          <w:rFonts w:hint="default" w:eastAsia="仿宋_GB2312"/>
          <w:lang w:val="en-US" w:eastAsia="zh-CN"/>
        </w:rPr>
      </w:pPr>
      <w:r>
        <w:rPr>
          <w:rFonts w:hint="eastAsia" w:eastAsia="仿宋_GB2312"/>
          <w:sz w:val="32"/>
          <w:szCs w:val="32"/>
          <w:lang w:val="en-US" w:eastAsia="zh-CN"/>
        </w:rPr>
        <w:t>8.农林水</w:t>
      </w:r>
      <w:r>
        <w:rPr>
          <w:rFonts w:hint="eastAsia" w:ascii="仿宋_GB2312" w:eastAsia="仿宋_GB2312"/>
          <w:sz w:val="32"/>
          <w:szCs w:val="32"/>
        </w:rPr>
        <w:t>（类）</w:t>
      </w:r>
      <w:r>
        <w:rPr>
          <w:rFonts w:hint="eastAsia" w:eastAsia="仿宋_GB2312"/>
          <w:sz w:val="32"/>
          <w:szCs w:val="32"/>
          <w:lang w:val="en-US" w:eastAsia="zh-CN"/>
        </w:rPr>
        <w:t>213</w:t>
      </w:r>
      <w:r>
        <w:rPr>
          <w:rFonts w:hint="eastAsia" w:ascii="仿宋_GB2312" w:eastAsia="仿宋_GB2312"/>
          <w:sz w:val="32"/>
          <w:szCs w:val="32"/>
        </w:rPr>
        <w:t>（款）</w:t>
      </w:r>
      <w:r>
        <w:rPr>
          <w:rFonts w:hint="eastAsia" w:eastAsia="仿宋_GB2312"/>
          <w:sz w:val="32"/>
          <w:szCs w:val="32"/>
          <w:lang w:val="en-US" w:eastAsia="zh-CN"/>
        </w:rPr>
        <w:t>05</w:t>
      </w:r>
      <w:r>
        <w:rPr>
          <w:rFonts w:hint="eastAsia" w:ascii="仿宋_GB2312" w:eastAsia="仿宋_GB2312"/>
          <w:sz w:val="32"/>
          <w:szCs w:val="32"/>
        </w:rPr>
        <w:t>（项）</w:t>
      </w:r>
      <w:r>
        <w:rPr>
          <w:rFonts w:hint="eastAsia" w:eastAsia="仿宋_GB2312"/>
          <w:sz w:val="32"/>
          <w:szCs w:val="32"/>
          <w:lang w:val="en-US" w:eastAsia="zh-CN"/>
        </w:rPr>
        <w:t>99：指</w:t>
      </w:r>
      <w:r>
        <w:rPr>
          <w:rStyle w:val="18"/>
          <w:rFonts w:hint="eastAsia" w:ascii="仿宋" w:hAnsi="仿宋" w:eastAsia="仿宋" w:cstheme="minorBidi"/>
          <w:b w:val="0"/>
          <w:bCs/>
          <w:sz w:val="32"/>
          <w:szCs w:val="32"/>
          <w:lang w:val="en-US" w:eastAsia="zh-CN"/>
        </w:rPr>
        <w:t>其他巩固攻坚成果衔接乡村振兴支出。</w:t>
      </w:r>
    </w:p>
    <w:p w14:paraId="278A9CCC">
      <w:pPr>
        <w:ind w:firstLine="643" w:firstLineChars="200"/>
        <w:rPr>
          <w:rFonts w:ascii="仿宋" w:hAnsi="仿宋" w:eastAsia="仿宋"/>
          <w:b/>
          <w:sz w:val="32"/>
          <w:szCs w:val="32"/>
        </w:rPr>
      </w:pPr>
      <w:r>
        <w:rPr>
          <w:rFonts w:hint="eastAsia" w:ascii="仿宋" w:hAnsi="仿宋" w:eastAsia="仿宋"/>
          <w:b/>
          <w:sz w:val="32"/>
          <w:szCs w:val="32"/>
        </w:rPr>
        <w:t>（解释本部门决算报表中涉及的全部功能分类科目至项级，不涉及的科目请自行删除。请参照《2023年政府收支分类科目》增减内容。）</w:t>
      </w:r>
    </w:p>
    <w:p w14:paraId="5B38F3D8">
      <w:pPr>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.基本支出：指为保障机构正常运转、完成日常工作任务而发生的人员支出和公用支出。</w:t>
      </w:r>
    </w:p>
    <w:p w14:paraId="50DA3469">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 xml:space="preserve">.项目支出：指在基本支出之外为完成特定行政任务和事业发展目标所发生的支出。 </w:t>
      </w:r>
    </w:p>
    <w:p w14:paraId="656E045E">
      <w:pPr>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813E82B">
      <w:pPr>
        <w:ind w:firstLine="640" w:firstLineChars="200"/>
      </w:pPr>
      <w:r>
        <w:rPr>
          <w:rFonts w:hint="eastAsia" w:ascii="仿宋_GB2312" w:eastAsia="仿宋_GB2312"/>
          <w:sz w:val="32"/>
          <w:szCs w:val="32"/>
          <w:lang w:val="en-US" w:eastAsia="zh-CN"/>
        </w:rPr>
        <w:t>12</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560CC6B">
      <w:pPr>
        <w:ind w:firstLine="643" w:firstLineChars="200"/>
        <w:rPr>
          <w:rFonts w:ascii="仿宋" w:hAnsi="仿宋" w:eastAsia="仿宋"/>
          <w:b/>
          <w:sz w:val="32"/>
          <w:szCs w:val="32"/>
        </w:rPr>
      </w:pPr>
      <w:r>
        <w:rPr>
          <w:rFonts w:hint="eastAsia" w:ascii="仿宋" w:hAnsi="仿宋" w:eastAsia="仿宋"/>
          <w:b/>
          <w:sz w:val="32"/>
          <w:szCs w:val="32"/>
        </w:rPr>
        <w:t>（名词解释部分请根据各部门实际列支情况罗列，并根据本部门职责职能增减名词解释内容。）</w:t>
      </w:r>
      <w:r>
        <w:rPr>
          <w:rFonts w:ascii="仿宋" w:hAnsi="仿宋" w:eastAsia="仿宋"/>
          <w:b/>
          <w:sz w:val="32"/>
          <w:szCs w:val="32"/>
        </w:rPr>
        <w:br w:type="page"/>
      </w:r>
    </w:p>
    <w:p w14:paraId="0A25B031">
      <w:pPr>
        <w:pStyle w:val="3"/>
        <w:jc w:val="center"/>
        <w:rPr>
          <w:rFonts w:ascii="黑体" w:hAnsi="黑体" w:eastAsia="黑体"/>
          <w:b w:val="0"/>
        </w:rPr>
      </w:pPr>
      <w:r>
        <w:rPr>
          <w:rFonts w:hint="eastAsia" w:ascii="黑体" w:hAnsi="黑体" w:eastAsia="黑体"/>
          <w:b w:val="0"/>
        </w:rPr>
        <w:t>第四部分 附件</w:t>
      </w:r>
    </w:p>
    <w:p w14:paraId="08D3A440"/>
    <w:p w14:paraId="7AE8951F">
      <w:pPr>
        <w:rPr>
          <w:rFonts w:ascii="黑体" w:hAnsi="黑体" w:eastAsia="黑体"/>
          <w:sz w:val="32"/>
          <w:szCs w:val="32"/>
        </w:rPr>
      </w:pPr>
      <w:r>
        <w:rPr>
          <w:rFonts w:hint="eastAsia" w:ascii="黑体" w:hAnsi="黑体" w:eastAsia="黑体"/>
          <w:sz w:val="32"/>
          <w:szCs w:val="32"/>
        </w:rPr>
        <w:t>附件1</w:t>
      </w:r>
    </w:p>
    <w:p w14:paraId="6E50F523">
      <w:pPr>
        <w:keepNext w:val="0"/>
        <w:keepLines w:val="0"/>
        <w:pageBreakBefore w:val="0"/>
        <w:widowControl/>
        <w:kinsoku/>
        <w:wordWrap/>
        <w:overflowPunct/>
        <w:topLinePunct w:val="0"/>
        <w:autoSpaceDE/>
        <w:autoSpaceDN/>
        <w:bidi w:val="0"/>
        <w:spacing w:line="576"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lang w:eastAsia="zh-CN"/>
        </w:rPr>
      </w:pPr>
      <w:r>
        <w:rPr>
          <w:rFonts w:hint="default" w:ascii="Times New Roman" w:hAnsi="Times New Roman" w:eastAsia="方正小标宋简体" w:cs="Times New Roman"/>
          <w:b w:val="0"/>
          <w:bCs/>
          <w:sz w:val="44"/>
          <w:szCs w:val="44"/>
          <w:highlight w:val="none"/>
          <w:shd w:val="clear" w:color="auto" w:fill="FFFFFF"/>
          <w:lang w:eastAsia="zh-CN"/>
        </w:rPr>
        <w:t>松潘县人力资源和社会保障局</w:t>
      </w:r>
    </w:p>
    <w:p w14:paraId="469109FA">
      <w:pPr>
        <w:keepNext w:val="0"/>
        <w:keepLines w:val="0"/>
        <w:pageBreakBefore w:val="0"/>
        <w:widowControl/>
        <w:kinsoku/>
        <w:wordWrap/>
        <w:overflowPunct/>
        <w:topLinePunct w:val="0"/>
        <w:autoSpaceDE/>
        <w:autoSpaceDN/>
        <w:bidi w:val="0"/>
        <w:spacing w:line="576" w:lineRule="exact"/>
        <w:contextualSpacing/>
        <w:jc w:val="center"/>
        <w:textAlignment w:val="auto"/>
        <w:outlineLvl w:val="9"/>
        <w:rPr>
          <w:rFonts w:hint="default" w:ascii="Times New Roman" w:hAnsi="Times New Roman" w:cs="Times New Roman"/>
        </w:rPr>
      </w:pPr>
      <w:r>
        <w:rPr>
          <w:rFonts w:hint="default" w:ascii="Times New Roman" w:hAnsi="Times New Roman" w:eastAsia="方正小标宋简体" w:cs="Times New Roman"/>
          <w:b w:val="0"/>
          <w:bCs/>
          <w:sz w:val="44"/>
          <w:szCs w:val="44"/>
          <w:highlight w:val="none"/>
          <w:shd w:val="clear" w:color="auto" w:fill="FFFFFF"/>
          <w:lang w:val="en-US" w:eastAsia="zh-CN"/>
        </w:rPr>
        <w:t>2023年</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default"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11097DE0">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highlight w:val="none"/>
          <w:shd w:val="clear" w:color="auto" w:fill="FFFFFF"/>
          <w:lang w:val="zh-CN"/>
        </w:rPr>
        <w:t>一、单位基本情况</w:t>
      </w:r>
    </w:p>
    <w:p w14:paraId="58088B5F">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（一）机构组成</w:t>
      </w:r>
    </w:p>
    <w:p w14:paraId="5E42CE1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bCs w:val="0"/>
          <w:color w:val="000000"/>
          <w:sz w:val="32"/>
          <w:szCs w:val="32"/>
        </w:rPr>
        <w:t>办公室。</w:t>
      </w:r>
      <w:r>
        <w:rPr>
          <w:rFonts w:hint="eastAsia" w:ascii="仿宋_GB2312" w:hAnsi="仿宋_GB2312" w:eastAsia="仿宋_GB2312" w:cs="仿宋_GB2312"/>
          <w:b w:val="0"/>
          <w:bCs/>
          <w:color w:val="000000"/>
          <w:sz w:val="32"/>
          <w:szCs w:val="32"/>
        </w:rPr>
        <w:t>负责文电、会务、文秘、机要、绩效管理、精神文明、民族团结、保密、安全以及政务公开、应急管理、督查督办、机关运转、国有资产实物管理、后勤保障、节能减排等工作</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负责承担综合性文稿起草</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承担单位史志、年鉴、大事记编纂等工作。贯彻执行《会计法》《预算法》及相关财务管理制度，负责机关财务核算和管理工作，负责国有资产、单位基建财务管理工作。</w:t>
      </w:r>
    </w:p>
    <w:p w14:paraId="40964977">
      <w:pPr>
        <w:keepNext w:val="0"/>
        <w:keepLines w:val="0"/>
        <w:pageBreakBefore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bCs w:val="0"/>
          <w:color w:val="000000"/>
          <w:sz w:val="32"/>
          <w:szCs w:val="32"/>
          <w:lang w:eastAsia="zh-CN"/>
        </w:rPr>
        <w:t>劳动关系</w:t>
      </w:r>
      <w:r>
        <w:rPr>
          <w:rFonts w:hint="eastAsia" w:ascii="仿宋_GB2312" w:hAnsi="仿宋_GB2312" w:eastAsia="仿宋_GB2312" w:cs="仿宋_GB2312"/>
          <w:b/>
          <w:bCs w:val="0"/>
          <w:color w:val="000000"/>
          <w:sz w:val="32"/>
          <w:szCs w:val="32"/>
        </w:rPr>
        <w:t>股</w:t>
      </w:r>
      <w:r>
        <w:rPr>
          <w:rFonts w:hint="eastAsia" w:ascii="仿宋_GB2312" w:hAnsi="仿宋_GB2312" w:eastAsia="仿宋_GB2312" w:cs="仿宋_GB2312"/>
          <w:b/>
          <w:bCs w:val="0"/>
          <w:color w:val="000000"/>
          <w:sz w:val="32"/>
          <w:szCs w:val="32"/>
          <w:lang w:eastAsia="zh-CN"/>
        </w:rPr>
        <w:t>。</w:t>
      </w:r>
      <w:r>
        <w:rPr>
          <w:rFonts w:hint="eastAsia" w:ascii="仿宋_GB2312" w:hAnsi="仿宋_GB2312" w:eastAsia="仿宋_GB2312" w:cs="仿宋_GB2312"/>
          <w:b w:val="0"/>
          <w:bCs/>
          <w:color w:val="000000"/>
          <w:sz w:val="32"/>
          <w:szCs w:val="32"/>
        </w:rPr>
        <w:t>组织开展人力资源和社会保障政策的综合性研究。组织起草人力资源和社会保障</w:t>
      </w:r>
      <w:r>
        <w:rPr>
          <w:rFonts w:hint="eastAsia" w:ascii="仿宋_GB2312" w:hAnsi="仿宋_GB2312" w:eastAsia="仿宋_GB2312" w:cs="仿宋_GB2312"/>
          <w:b w:val="0"/>
          <w:bCs/>
          <w:color w:val="000000"/>
          <w:sz w:val="32"/>
          <w:szCs w:val="32"/>
          <w:lang w:eastAsia="zh-CN"/>
        </w:rPr>
        <w:t>规章</w:t>
      </w:r>
      <w:r>
        <w:rPr>
          <w:rFonts w:hint="eastAsia" w:ascii="仿宋_GB2312" w:hAnsi="仿宋_GB2312" w:eastAsia="仿宋_GB2312" w:cs="仿宋_GB2312"/>
          <w:b w:val="0"/>
          <w:bCs/>
          <w:color w:val="000000"/>
          <w:sz w:val="32"/>
          <w:szCs w:val="32"/>
        </w:rPr>
        <w:t>草案</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承担有关重大决策事项、规范性文件、重大行政执法的合法性审查工作，负责单位法治建设、依法行政工作，承担相关行政执法监督</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行政复议、行政诉讼等工作</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牵头协调推进本系统“放管服”改革，承担审批服务便民化有关工作，集中承担</w:t>
      </w:r>
      <w:r>
        <w:rPr>
          <w:rFonts w:hint="eastAsia" w:ascii="仿宋_GB2312" w:hAnsi="仿宋_GB2312" w:eastAsia="仿宋_GB2312" w:cs="仿宋_GB2312"/>
          <w:b w:val="0"/>
          <w:bCs/>
          <w:color w:val="000000"/>
          <w:sz w:val="32"/>
          <w:szCs w:val="32"/>
          <w:lang w:eastAsia="zh-CN"/>
        </w:rPr>
        <w:t>县</w:t>
      </w:r>
      <w:r>
        <w:rPr>
          <w:rFonts w:hint="eastAsia" w:ascii="仿宋_GB2312" w:hAnsi="仿宋_GB2312" w:eastAsia="仿宋_GB2312" w:cs="仿宋_GB2312"/>
          <w:b w:val="0"/>
          <w:bCs/>
          <w:color w:val="000000"/>
          <w:sz w:val="32"/>
          <w:szCs w:val="32"/>
        </w:rPr>
        <w:t>级有关审批服务事项的受理、审批等工作，推进纳入一体化政务服务平台</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牵头组织人大代表建议、政协委员提案办理工作。</w:t>
      </w:r>
    </w:p>
    <w:p w14:paraId="4406857C">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bCs/>
          <w:color w:val="000000"/>
          <w:kern w:val="0"/>
          <w:sz w:val="32"/>
          <w:szCs w:val="32"/>
          <w:lang w:val="en-US" w:eastAsia="zh-CN" w:bidi="ar"/>
        </w:rPr>
        <w:t>社会保险股。</w:t>
      </w:r>
      <w:r>
        <w:rPr>
          <w:rFonts w:hint="eastAsia" w:ascii="仿宋_GB2312" w:hAnsi="仿宋_GB2312" w:eastAsia="仿宋_GB2312" w:cs="仿宋_GB2312"/>
          <w:b w:val="0"/>
          <w:bCs/>
          <w:color w:val="000000"/>
          <w:sz w:val="32"/>
          <w:szCs w:val="32"/>
          <w:lang w:val="en-US" w:eastAsia="zh-CN"/>
        </w:rPr>
        <w:t>拟订人力资源和社会保障事业发展、信息化建设发展规划和年度计划并组织实施；会同有关部门编制相关社会保险基金预决算草案，贯彻落实相关社会保障资金（基金）财务管理制度，承担人力资源和社会保障统计管理工作。</w:t>
      </w:r>
    </w:p>
    <w:p w14:paraId="5F5F508E">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事业单位管理股。</w:t>
      </w:r>
      <w:r>
        <w:rPr>
          <w:rFonts w:hint="eastAsia" w:ascii="仿宋_GB2312" w:hAnsi="仿宋_GB2312" w:eastAsia="仿宋_GB2312" w:cs="仿宋_GB2312"/>
          <w:color w:val="000000"/>
          <w:kern w:val="0"/>
          <w:sz w:val="32"/>
          <w:szCs w:val="32"/>
          <w:lang w:val="en-US" w:eastAsia="zh-CN" w:bidi="ar"/>
        </w:rPr>
        <w:t>组织推进深化职称制度改革，负责专业技术人员管理和继续教育，贯彻落实职业资格制度，承担高层次专业技术人才规划和培养工作，综合管理专业技术职称、专家工作；负责专业技术人员继续教育规定执行情况监督检查；负责各类专业技术人员资格（水平）考试的管理及资格证书的核准、审验工作。承接四川省专家服务中心的相关业务工作，服务全县专业技术人员。</w:t>
      </w:r>
    </w:p>
    <w:p w14:paraId="5EFE128B">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工资福利股。</w:t>
      </w:r>
      <w:r>
        <w:rPr>
          <w:rFonts w:hint="eastAsia" w:ascii="仿宋_GB2312" w:hAnsi="仿宋_GB2312" w:eastAsia="仿宋_GB2312" w:cs="仿宋_GB2312"/>
          <w:color w:val="000000"/>
          <w:kern w:val="0"/>
          <w:sz w:val="32"/>
          <w:szCs w:val="32"/>
          <w:lang w:val="en-US" w:eastAsia="zh-CN" w:bidi="ar"/>
        </w:rPr>
        <w:t>组织实施事业单位工作人员和机关工勤人员的工资收入分配、福利、工龄计算、退休、退职政策以及离休费待遇政策；负责县属事业单位的工资基金管理工作，承担县属事业单位工作人员的工资总额管理；负责事业单位工作人员艰苦边远地区津贴、岗位津贴、高海拔折算工龄补贴工作；负责事业单位工资统计与综合分析工作。</w:t>
      </w:r>
    </w:p>
    <w:p w14:paraId="2B957CB1">
      <w:pPr>
        <w:keepNext w:val="0"/>
        <w:keepLines w:val="0"/>
        <w:pageBreakBefore w:val="0"/>
        <w:kinsoku/>
        <w:wordWrap/>
        <w:overflowPunct/>
        <w:topLinePunct w:val="0"/>
        <w:autoSpaceDE/>
        <w:autoSpaceDN/>
        <w:bidi w:val="0"/>
        <w:adjustRightInd/>
        <w:spacing w:line="576" w:lineRule="exact"/>
        <w:ind w:firstLine="643" w:firstLineChars="200"/>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b/>
          <w:bCs/>
          <w:color w:val="000000"/>
          <w:kern w:val="0"/>
          <w:sz w:val="32"/>
          <w:szCs w:val="32"/>
          <w:lang w:val="en-US" w:eastAsia="zh-CN" w:bidi="ar"/>
        </w:rPr>
        <w:t>机关党委。</w:t>
      </w:r>
      <w:r>
        <w:rPr>
          <w:rFonts w:hint="eastAsia" w:ascii="仿宋_GB2312" w:hAnsi="仿宋_GB2312" w:eastAsia="仿宋_GB2312" w:cs="仿宋_GB2312"/>
          <w:color w:val="000000"/>
          <w:kern w:val="0"/>
          <w:sz w:val="32"/>
          <w:szCs w:val="32"/>
          <w:lang w:val="en-US" w:eastAsia="zh-CN" w:bidi="ar"/>
        </w:rPr>
        <w:t>负责机关和所属事业单位党的建设、群团工作和意识形态工作。机关党委办事机构由县人力资源和社会保障局党组按照县委规定设置。</w:t>
      </w:r>
    </w:p>
    <w:p w14:paraId="314DB61C">
      <w:pPr>
        <w:keepNext w:val="0"/>
        <w:keepLines w:val="0"/>
        <w:pageBreakBefore w:val="0"/>
        <w:numPr>
          <w:ilvl w:val="0"/>
          <w:numId w:val="7"/>
        </w:numPr>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机构职能。</w:t>
      </w:r>
    </w:p>
    <w:p w14:paraId="58B281F5">
      <w:pPr>
        <w:keepNext w:val="0"/>
        <w:keepLines w:val="0"/>
        <w:pageBreakBefore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1.贯彻执行国家、省、州人力资源和社会保障工作的相关</w:t>
      </w:r>
      <w:r>
        <w:rPr>
          <w:rFonts w:hint="eastAsia" w:eastAsia="仿宋_GB2312" w:cs="Times New Roman"/>
          <w:color w:val="000000"/>
          <w:kern w:val="0"/>
          <w:sz w:val="32"/>
          <w:szCs w:val="32"/>
          <w:lang w:val="en-US" w:eastAsia="zh-CN" w:bidi="ar"/>
        </w:rPr>
        <w:t>法律法规</w:t>
      </w:r>
      <w:r>
        <w:rPr>
          <w:rFonts w:hint="default" w:ascii="Times New Roman" w:hAnsi="Times New Roman" w:eastAsia="仿宋_GB2312" w:cs="Times New Roman"/>
          <w:color w:val="000000"/>
          <w:kern w:val="0"/>
          <w:sz w:val="32"/>
          <w:szCs w:val="32"/>
          <w:lang w:val="en-US" w:eastAsia="zh-CN" w:bidi="ar"/>
        </w:rPr>
        <w:t>和政策，起草全县人力资源和社会保障规范性文件草案，拟订全县人力资源和社会保障事业发展规划、政策并组织实施和监督检查。</w:t>
      </w:r>
    </w:p>
    <w:p w14:paraId="0FB1269E">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cs="Times New Roman"/>
          <w:kern w:val="0"/>
          <w:sz w:val="32"/>
          <w:szCs w:val="32"/>
          <w:lang w:val="en-US" w:eastAsia="zh-CN" w:bidi="ar"/>
        </w:rPr>
        <w:t>2.</w:t>
      </w:r>
      <w:r>
        <w:rPr>
          <w:rFonts w:hint="default" w:ascii="Times New Roman" w:hAnsi="Times New Roman" w:eastAsia="仿宋_GB2312" w:cs="Times New Roman"/>
          <w:kern w:val="0"/>
          <w:sz w:val="32"/>
          <w:szCs w:val="32"/>
          <w:lang w:val="en-US" w:eastAsia="zh-CN" w:bidi="ar"/>
        </w:rPr>
        <w:t>组织实施人力资源市场发展规划和人力资源流动政策，管理人力资源和社会保障公共服务机构，建立全县统一规范的人力资源市场，促进人力资源合理流动、有效配置。</w:t>
      </w:r>
    </w:p>
    <w:p w14:paraId="6FF4326D">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cs="Times New Roman"/>
          <w:sz w:val="32"/>
          <w:szCs w:val="32"/>
          <w:lang w:val="en-US" w:eastAsia="zh-CN"/>
        </w:rPr>
        <w:t>3.</w:t>
      </w:r>
      <w:r>
        <w:rPr>
          <w:rFonts w:hint="default" w:ascii="Times New Roman" w:hAnsi="Times New Roman" w:eastAsia="仿宋_GB2312" w:cs="Times New Roman"/>
          <w:color w:val="000000"/>
          <w:kern w:val="0"/>
          <w:sz w:val="32"/>
          <w:szCs w:val="32"/>
          <w:lang w:val="en-US" w:eastAsia="zh-CN" w:bidi="ar"/>
        </w:rPr>
        <w:t>负责就业促进工作，组织实施统筹城乡就业发展规划和政策，完善公共就业服务体系；统筹建立面向城乡劳动者的职业技能培训制度，组织落实创业、就业援助制度；组织实施高校毕业生就业政策。</w:t>
      </w:r>
    </w:p>
    <w:p w14:paraId="74505E01">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val="en-US" w:eastAsia="zh-CN" w:bidi="ar"/>
        </w:rPr>
        <w:t>推进建立覆盖城乡的多层次社会保障体系。组织实施养老、失业、工伤等社会保险及其补充保险政策和标准。贯彻落实全国统一的养老、失业、工伤保险关系转续办法；贯彻落实养老、失业、工伤等社会保险及其补充保险基金管理和监督办法；编制相关社会保险基金预决算草案。会同有关部门实施全民参保计划并参与建立全国统一的社会保险公共服务平台。拟订全县人力资源和社会保障信息化建设总体规划、年度计划，制定相关制度、标准和规范并组织实施。指导、督促企业参加工伤保险。</w:t>
      </w:r>
    </w:p>
    <w:p w14:paraId="70288998">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负责就业、失业和相关社会保险基金预测预警和信息引导，拟订应对预案，实施预防、调节和控制，保持就业形势稳定和相关社会保险基金总体收支平衡。</w:t>
      </w:r>
    </w:p>
    <w:p w14:paraId="33D738DD">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cs="Times New Roman"/>
          <w:color w:val="000000"/>
          <w:kern w:val="0"/>
          <w:sz w:val="32"/>
          <w:szCs w:val="32"/>
          <w:lang w:val="en-US" w:eastAsia="zh-CN" w:bidi="ar"/>
        </w:rPr>
        <w:t>6.</w:t>
      </w:r>
      <w:r>
        <w:rPr>
          <w:rFonts w:hint="default" w:ascii="Times New Roman" w:hAnsi="Times New Roman" w:eastAsia="仿宋_GB2312" w:cs="Times New Roman"/>
          <w:color w:val="000000"/>
          <w:kern w:val="0"/>
          <w:sz w:val="32"/>
          <w:szCs w:val="32"/>
          <w:lang w:val="en-US" w:eastAsia="zh-CN" w:bidi="ar"/>
        </w:rPr>
        <w:t>组织实施劳动人事争议调解仲裁制度和劳动关系政策，完善劳动关系协商协调机制，贯彻职工工作时间、休息休假和假期制度，落实消除非法使用童工政策和女工、未成年工特殊劳动保护政策。依法督促用人单位在劳动用工、合同签订与履约时，载明劳动保护、劳动条件和职业危害防护等条款。组织实施劳动保障监察，协调劳动者维权工作，依法查处重大案件。</w:t>
      </w:r>
    </w:p>
    <w:p w14:paraId="0FAB9B9F">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cs="Times New Roman"/>
          <w:color w:val="000000"/>
          <w:kern w:val="0"/>
          <w:sz w:val="32"/>
          <w:szCs w:val="32"/>
          <w:lang w:val="en-US" w:eastAsia="zh-CN" w:bidi="ar"/>
        </w:rPr>
        <w:t>7.</w:t>
      </w:r>
      <w:r>
        <w:rPr>
          <w:rFonts w:hint="default" w:ascii="Times New Roman" w:hAnsi="Times New Roman" w:eastAsia="仿宋_GB2312" w:cs="Times New Roman"/>
          <w:color w:val="000000"/>
          <w:kern w:val="0"/>
          <w:sz w:val="32"/>
          <w:szCs w:val="32"/>
          <w:lang w:val="en-US" w:eastAsia="zh-CN" w:bidi="ar"/>
        </w:rPr>
        <w:t>牵头推进深化职称制度改革，组织实施专业技术人员管理、继续教育和博士后管理等政策，负责高层次专业技术人才选拔和培养工作，贯彻落实吸引留学人员来县</w:t>
      </w:r>
      <w:r>
        <w:rPr>
          <w:rFonts w:hint="eastAsia"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回县</w:t>
      </w:r>
      <w:r>
        <w:rPr>
          <w:rFonts w:hint="eastAsia"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工作或定居政策。组织拟订技能人才培养、评价、使用和激励制度。贯彻落实职业资格制度，健全职业技能多元化评价政策。指导、监督各级各类技工学校、民办职业培训机构按国家和省、州、县有关规定履行安全管理责任。</w:t>
      </w:r>
    </w:p>
    <w:p w14:paraId="08DAEA8C">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cs="Times New Roman"/>
          <w:color w:val="000000"/>
          <w:kern w:val="0"/>
          <w:sz w:val="32"/>
          <w:szCs w:val="32"/>
          <w:lang w:val="en-US" w:eastAsia="zh-CN" w:bidi="ar"/>
        </w:rPr>
        <w:t>8.</w:t>
      </w:r>
      <w:r>
        <w:rPr>
          <w:rFonts w:hint="default" w:ascii="Times New Roman" w:hAnsi="Times New Roman" w:eastAsia="仿宋_GB2312" w:cs="Times New Roman"/>
          <w:color w:val="000000"/>
          <w:kern w:val="0"/>
          <w:sz w:val="32"/>
          <w:szCs w:val="32"/>
          <w:lang w:val="en-US" w:eastAsia="zh-CN" w:bidi="ar"/>
        </w:rPr>
        <w:t xml:space="preserve">会同有关部门负责事业单位人事制度改革，按照管理权限负责规范事业单位岗位设置、公开招聘、聘用合同等人事综合管理工作，落实规范事业单位工作人员和机关工勤人员管理政策，将安全生产及生态环境保护责任履行情况作为事业单位工作人员奖惩、考核的重要内容。   </w:t>
      </w:r>
    </w:p>
    <w:p w14:paraId="051CB40F">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cs="Times New Roman"/>
          <w:color w:val="000000"/>
          <w:kern w:val="0"/>
          <w:sz w:val="32"/>
          <w:szCs w:val="32"/>
          <w:lang w:val="en-US" w:eastAsia="zh-CN" w:bidi="ar"/>
        </w:rPr>
        <w:t>9.</w:t>
      </w:r>
      <w:r>
        <w:rPr>
          <w:rFonts w:hint="default" w:ascii="Times New Roman" w:hAnsi="Times New Roman" w:eastAsia="仿宋_GB2312" w:cs="Times New Roman"/>
          <w:color w:val="000000"/>
          <w:kern w:val="0"/>
          <w:sz w:val="32"/>
          <w:szCs w:val="32"/>
          <w:lang w:val="en-US" w:eastAsia="zh-CN" w:bidi="ar"/>
        </w:rPr>
        <w:t>组织实施国家表彰奖励制度，综合管理政府表彰奖励工作，承担评比达标表彰等工作，根据授权承办以县委、县政府名义开展的表彰奖励活动。承办提请县人大常委会和县政府决定的人事任免事项。</w:t>
      </w:r>
    </w:p>
    <w:p w14:paraId="7F1D92F9">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cs="Times New Roman"/>
          <w:color w:val="000000"/>
          <w:kern w:val="0"/>
          <w:sz w:val="32"/>
          <w:szCs w:val="32"/>
          <w:lang w:val="en-US" w:eastAsia="zh-CN" w:bidi="ar"/>
        </w:rPr>
        <w:t>10.</w:t>
      </w:r>
      <w:r>
        <w:rPr>
          <w:rFonts w:hint="default" w:ascii="Times New Roman" w:hAnsi="Times New Roman" w:eastAsia="仿宋_GB2312" w:cs="Times New Roman"/>
          <w:color w:val="000000"/>
          <w:kern w:val="0"/>
          <w:sz w:val="32"/>
          <w:szCs w:val="32"/>
          <w:lang w:val="en-US" w:eastAsia="zh-CN" w:bidi="ar"/>
        </w:rPr>
        <w:t>组织实施事业单位人员工资收入分配政策，建立企事业单位人员工资决定、正常增长和支付保障机制。组织实施企事业单位人员福利和离退休政策。</w:t>
      </w:r>
    </w:p>
    <w:p w14:paraId="25D647AB">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11.会同相关部门组织实施农民工工作的综合性政策和规划，推动相关政策落实，协调解决重点难点问题，维护农民工合法权益。负责将安全生产纳入农民工技能培训内容。</w:t>
      </w:r>
    </w:p>
    <w:p w14:paraId="61D80ADA">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cs="Times New Roman"/>
          <w:color w:val="000000"/>
          <w:kern w:val="0"/>
          <w:sz w:val="32"/>
          <w:szCs w:val="32"/>
          <w:lang w:val="en-US" w:eastAsia="zh-CN" w:bidi="ar"/>
        </w:rPr>
        <w:t>12.</w:t>
      </w:r>
      <w:r>
        <w:rPr>
          <w:rFonts w:hint="default" w:ascii="Times New Roman" w:hAnsi="Times New Roman" w:eastAsia="仿宋_GB2312" w:cs="Times New Roman"/>
          <w:color w:val="000000"/>
          <w:kern w:val="0"/>
          <w:sz w:val="32"/>
          <w:szCs w:val="32"/>
          <w:lang w:val="en-US" w:eastAsia="zh-CN" w:bidi="ar"/>
        </w:rPr>
        <w:t>负责人力资源和社会保障领域内的对外交流与合作。</w:t>
      </w:r>
    </w:p>
    <w:p w14:paraId="66FA8259">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13.承担职责范围内的安全生产和职业健康、生态环境保护、审批服务便民化等工作。</w:t>
      </w:r>
    </w:p>
    <w:p w14:paraId="1E407265">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1</w:t>
      </w:r>
      <w:r>
        <w:rPr>
          <w:rFonts w:hint="eastAsia"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val="en-US" w:eastAsia="zh-CN" w:bidi="ar"/>
        </w:rPr>
        <w:t>.职能转变。深入推进简政放权、放管结合、优化服务改革，进一步减少行政审批事项，规范和优化对外办理事项，减少职业资格许可和认定等审批事项，实行职业资格目录清单管理，加强事中事后监管，创新就业和社会保障等公共服务方式，加强信息共享，提高公共服务水平。</w:t>
      </w:r>
    </w:p>
    <w:p w14:paraId="6A67C7E6">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cs="Times New Roman"/>
          <w:color w:val="000000"/>
          <w:kern w:val="0"/>
          <w:sz w:val="32"/>
          <w:szCs w:val="32"/>
          <w:lang w:val="en-US" w:eastAsia="zh-CN" w:bidi="ar"/>
        </w:rPr>
        <w:t>1</w:t>
      </w:r>
      <w:r>
        <w:rPr>
          <w:rFonts w:hint="eastAsia" w:cs="Times New Roman"/>
          <w:color w:val="000000"/>
          <w:kern w:val="0"/>
          <w:sz w:val="32"/>
          <w:szCs w:val="32"/>
          <w:lang w:val="en-US" w:eastAsia="zh-CN" w:bidi="ar"/>
        </w:rPr>
        <w:t>5</w:t>
      </w:r>
      <w:r>
        <w:rPr>
          <w:rFonts w:hint="default" w:ascii="Times New Roman" w:hAnsi="Times New Roman"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有关职责分工。与县教育局的有关职责分工。高校毕业生就业政策由县人力资源社会保障局牵头，会同县教育局等部门拟订。高校毕业生离校前的就业指导和服务工作，由县教育局负责；高校毕业生离校后的就业指导和服务工作，由县人力资源社会保障局负责。</w:t>
      </w:r>
    </w:p>
    <w:p w14:paraId="4625D2BC">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lang w:val="zh-CN"/>
        </w:rPr>
      </w:pPr>
      <w:r>
        <w:rPr>
          <w:rFonts w:hint="default" w:ascii="Times New Roman" w:hAnsi="Times New Roman" w:cs="Times New Roman"/>
          <w:color w:val="000000"/>
          <w:kern w:val="0"/>
          <w:sz w:val="32"/>
          <w:szCs w:val="32"/>
          <w:lang w:val="en-US" w:eastAsia="zh-CN" w:bidi="ar"/>
        </w:rPr>
        <w:t>1</w:t>
      </w:r>
      <w:r>
        <w:rPr>
          <w:rFonts w:hint="eastAsia" w:cs="Times New Roman"/>
          <w:color w:val="000000"/>
          <w:kern w:val="0"/>
          <w:sz w:val="32"/>
          <w:szCs w:val="32"/>
          <w:lang w:val="en-US" w:eastAsia="zh-CN" w:bidi="ar"/>
        </w:rPr>
        <w:t>6</w:t>
      </w:r>
      <w:r>
        <w:rPr>
          <w:rFonts w:hint="default" w:ascii="Times New Roman" w:hAnsi="Times New Roman"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完成县委、县政府交办的其他任务。</w:t>
      </w:r>
    </w:p>
    <w:p w14:paraId="4D209ED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（三）人员概况。</w:t>
      </w:r>
    </w:p>
    <w:p w14:paraId="32E63970">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松潘县人力资源和社会保障局属一级预算单位，独立编制机构数1个，独立核算机构数1个。截至2023年末，松潘县人力资源和社会保障局在职实有人数22人，其中行政人员8人、参公人员3人、机关工勤人员2人、事业人员9人。</w:t>
      </w:r>
    </w:p>
    <w:p w14:paraId="256CFA41">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rPr>
        <w:t>二、</w:t>
      </w:r>
      <w:r>
        <w:rPr>
          <w:rFonts w:hint="default" w:ascii="Times New Roman" w:hAnsi="Times New Roman" w:eastAsia="黑体" w:cs="Times New Roman"/>
          <w:color w:val="000000"/>
          <w:kern w:val="0"/>
          <w:sz w:val="32"/>
          <w:szCs w:val="32"/>
          <w:highlight w:val="none"/>
          <w:shd w:val="clear" w:color="auto" w:fill="FFFFFF"/>
          <w:lang w:eastAsia="zh-CN"/>
        </w:rPr>
        <w:t>部门</w:t>
      </w:r>
      <w:r>
        <w:rPr>
          <w:rFonts w:hint="default" w:ascii="Times New Roman" w:hAnsi="Times New Roman" w:eastAsia="黑体" w:cs="Times New Roman"/>
          <w:color w:val="000000"/>
          <w:kern w:val="0"/>
          <w:sz w:val="32"/>
          <w:szCs w:val="32"/>
          <w:highlight w:val="none"/>
          <w:shd w:val="clear" w:color="auto" w:fill="FFFFFF"/>
        </w:rPr>
        <w:t>资金收支情况</w:t>
      </w:r>
    </w:p>
    <w:p w14:paraId="3569E098">
      <w:pPr>
        <w:keepNext w:val="0"/>
        <w:keepLines w:val="0"/>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（一）收入情况。</w:t>
      </w:r>
    </w:p>
    <w:p w14:paraId="5BCE5714">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松潘县人力资源和社会保障局2023年年初预算445.55万元，决算报表收入2064.38万元。</w:t>
      </w:r>
    </w:p>
    <w:p w14:paraId="7F5DE8D8">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基本支出是用于保障县人力资源和社会保障局行政机构的正常运转的日常支出，包括基本工资、津贴补贴、基本养老保险、医疗保险等人员经费以及办公费、印刷费、水电费等日常公用经费。</w:t>
      </w:r>
    </w:p>
    <w:p w14:paraId="0A1C704D">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2023年基本支出收入数509.46万元</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其中</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行政运行246.67万元</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事业运行134.57万元，机关事业单位基本养老保险缴费支出44.84万元</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机关事业单位职业年金缴费支出22.42万元，行政单位医疗12.1万元</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事业单位医疗7.32万元</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公务员医疗补助5.75万元，其他行政事业单位医疗支出1.95万元，住房公积金33.84万元。年初基本支出结转5万元，其中行政运行5万元。</w:t>
      </w:r>
    </w:p>
    <w:p w14:paraId="71D3679D">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项目支出是用于保障县人力资源和社会保障局行政机构为完成特定的行政工作任务或事业发展目标，用于专项业务工作的经费支出。</w:t>
      </w:r>
    </w:p>
    <w:p w14:paraId="2F031956">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2023年项目支出收入数1183.44万元，其中</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行政事业单位编外用工工资1143.11万元，在职干部学历提升奖补36.33万元</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省级社保公共服务能力建设4万元。年初项目支出结转和结余366.48万元，其中：行政事业单位编外用工工资312.39万元，社会保障和就业服务大厅工作经费20万元，人事考务费3.38万元，档案信息化管理工作经费10万，乡镇社保网络服务平台6万元，律师代理费1.8万元，松潘县人社局一楼政务大厅供暖设备改造质保金0.59万元</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人社局会议室维修维护经费12.32万元。</w:t>
      </w:r>
    </w:p>
    <w:p w14:paraId="3735492D">
      <w:pPr>
        <w:keepNext w:val="0"/>
        <w:keepLines w:val="0"/>
        <w:pageBreakBefore w:val="0"/>
        <w:widowControl/>
        <w:numPr>
          <w:ilvl w:val="0"/>
          <w:numId w:val="8"/>
        </w:numPr>
        <w:kinsoku/>
        <w:wordWrap/>
        <w:overflowPunct/>
        <w:topLinePunct w:val="0"/>
        <w:autoSpaceDE/>
        <w:autoSpaceDN/>
        <w:bidi w:val="0"/>
        <w:adjustRightInd w:val="0"/>
        <w:snapToGrid w:val="0"/>
        <w:spacing w:line="576" w:lineRule="exact"/>
        <w:ind w:left="0" w:leftChars="0" w:firstLine="643" w:firstLineChars="200"/>
        <w:contextualSpacing/>
        <w:jc w:val="left"/>
        <w:textAlignment w:val="auto"/>
        <w:outlineLvl w:val="9"/>
        <w:rPr>
          <w:rFonts w:hint="default" w:ascii="Times New Roman" w:hAnsi="Times New Roman"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支出情况。</w:t>
      </w:r>
    </w:p>
    <w:p w14:paraId="7684DAE0">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松潘县人力资源和社会保障局2023年年初预算支出445.55万元，决算报表支出2064.38万元，其中：基本支出514.46万元，占24.92%；项目支出1549.92万元，占75.08%。</w:t>
      </w:r>
    </w:p>
    <w:p w14:paraId="429B84BE">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2023年行政运行支出数为251.67万元，完成预算100%。事业运行支出数为134.57万元，完成预算100%，机关事业单位基本养老保险缴费</w:t>
      </w:r>
      <w:r>
        <w:rPr>
          <w:rFonts w:hint="eastAsia" w:eastAsia="仿宋_GB2312" w:cs="Times New Roman"/>
          <w:color w:val="000000"/>
          <w:kern w:val="0"/>
          <w:sz w:val="32"/>
          <w:szCs w:val="32"/>
          <w:lang w:val="en-US" w:eastAsia="zh-CN" w:bidi="ar"/>
        </w:rPr>
        <w:t>支出</w:t>
      </w:r>
      <w:r>
        <w:rPr>
          <w:rFonts w:hint="default" w:ascii="Times New Roman" w:hAnsi="Times New Roman" w:eastAsia="仿宋_GB2312" w:cs="Times New Roman"/>
          <w:color w:val="000000"/>
          <w:kern w:val="0"/>
          <w:sz w:val="32"/>
          <w:szCs w:val="32"/>
          <w:lang w:val="en-US" w:eastAsia="zh-CN" w:bidi="ar"/>
        </w:rPr>
        <w:t>数为44.84万元</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完成预算100%，机关事业单位职业年金支出数为22.42万元</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 xml:space="preserve">完成预算100%，行政事业单位医疗支出数为27.12万元，完成预算100%。住房公积金2023年决算数为33.84万元，完成预算100%。 </w:t>
      </w:r>
    </w:p>
    <w:p w14:paraId="277C27BA">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2023年项目支出数1549.92万元，其中</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社会保障和就业服务大厅工作经费20万元，行政事业单位编外用工工资1455.5万元，乡镇社保网络服务平台6万元，省级社保公共服务能力建设4万元，律师代理费1.8万元，人事考务费3.38万元，档案信息化管理工作经费10万，在职干部学历提升奖补36.33万元，松潘县人社局一楼政务大厅供暖设备改造质保金0.59万元，人社局会议室维修维护经费12.32万元。</w:t>
      </w:r>
    </w:p>
    <w:p w14:paraId="61BFA6A4">
      <w:pPr>
        <w:keepNext w:val="0"/>
        <w:keepLines w:val="0"/>
        <w:pageBreakBefore w:val="0"/>
        <w:widowControl/>
        <w:numPr>
          <w:ilvl w:val="0"/>
          <w:numId w:val="8"/>
        </w:numPr>
        <w:kinsoku/>
        <w:wordWrap/>
        <w:overflowPunct/>
        <w:topLinePunct w:val="0"/>
        <w:autoSpaceDE/>
        <w:autoSpaceDN/>
        <w:bidi w:val="0"/>
        <w:adjustRightInd w:val="0"/>
        <w:snapToGrid w:val="0"/>
        <w:spacing w:line="576" w:lineRule="exact"/>
        <w:ind w:left="0" w:leftChars="0" w:firstLine="643" w:firstLineChars="200"/>
        <w:contextualSpacing/>
        <w:jc w:val="left"/>
        <w:textAlignment w:val="auto"/>
        <w:outlineLvl w:val="9"/>
        <w:rPr>
          <w:rFonts w:hint="default" w:ascii="Times New Roman" w:hAnsi="Times New Roman" w:eastAsia="仿宋_GB2312" w:cs="Times New Roman"/>
          <w:b/>
          <w:sz w:val="32"/>
          <w:szCs w:val="32"/>
          <w:lang w:eastAsia="zh-CN"/>
        </w:rPr>
      </w:pPr>
      <w:r>
        <w:rPr>
          <w:rFonts w:hint="default" w:ascii="Times New Roman" w:hAnsi="Times New Roman" w:eastAsia="仿宋_GB2312" w:cs="Times New Roman"/>
          <w:b/>
          <w:sz w:val="32"/>
          <w:szCs w:val="32"/>
        </w:rPr>
        <w:t>结余分配和结转结余情况</w:t>
      </w:r>
      <w:r>
        <w:rPr>
          <w:rFonts w:hint="default" w:ascii="Times New Roman" w:hAnsi="Times New Roman" w:eastAsia="仿宋_GB2312" w:cs="Times New Roman"/>
          <w:b/>
          <w:sz w:val="32"/>
          <w:szCs w:val="32"/>
          <w:lang w:eastAsia="zh-CN"/>
        </w:rPr>
        <w:t>。</w:t>
      </w:r>
    </w:p>
    <w:p w14:paraId="72155DAE">
      <w:pPr>
        <w:pStyle w:val="2"/>
        <w:keepNext w:val="0"/>
        <w:keepLines w:val="0"/>
        <w:pageBreakBefore w:val="0"/>
        <w:numPr>
          <w:ilvl w:val="0"/>
          <w:numId w:val="0"/>
        </w:numPr>
        <w:kinsoku/>
        <w:wordWrap/>
        <w:overflowPunct/>
        <w:topLinePunct w:val="0"/>
        <w:autoSpaceDE/>
        <w:autoSpaceDN/>
        <w:bidi w:val="0"/>
        <w:spacing w:after="0"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zh-CN" w:eastAsia="zh-CN" w:bidi="ar"/>
        </w:rPr>
        <w:t>松潘县人力资源和社会保障局</w:t>
      </w:r>
      <w:r>
        <w:rPr>
          <w:rFonts w:hint="default" w:ascii="Times New Roman" w:hAnsi="Times New Roman" w:eastAsia="仿宋_GB2312" w:cs="Times New Roman"/>
          <w:color w:val="000000"/>
          <w:kern w:val="0"/>
          <w:sz w:val="32"/>
          <w:szCs w:val="32"/>
          <w:lang w:val="en-US" w:eastAsia="zh-CN" w:bidi="ar"/>
        </w:rPr>
        <w:t>2023年决算报表结转结余0。</w:t>
      </w:r>
    </w:p>
    <w:p w14:paraId="31FDB45C">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 w:val="32"/>
          <w:szCs w:val="32"/>
          <w:highlight w:val="none"/>
          <w:shd w:val="clear" w:color="auto" w:fill="FFFFFF"/>
        </w:rPr>
        <w:t>三、</w:t>
      </w:r>
      <w:r>
        <w:rPr>
          <w:rFonts w:hint="default" w:ascii="Times New Roman" w:hAnsi="Times New Roman" w:eastAsia="黑体" w:cs="Times New Roman"/>
          <w:color w:val="000000"/>
          <w:kern w:val="0"/>
          <w:sz w:val="32"/>
          <w:szCs w:val="32"/>
          <w:highlight w:val="none"/>
          <w:u w:val="none"/>
          <w:shd w:val="clear" w:color="auto" w:fill="FFFFFF"/>
        </w:rPr>
        <w:t>部门</w:t>
      </w:r>
      <w:r>
        <w:rPr>
          <w:rFonts w:hint="default" w:ascii="Times New Roman" w:hAnsi="Times New Roman" w:eastAsia="黑体" w:cs="Times New Roman"/>
          <w:color w:val="000000"/>
          <w:kern w:val="0"/>
          <w:sz w:val="32"/>
          <w:szCs w:val="32"/>
          <w:highlight w:val="none"/>
          <w:u w:val="none"/>
          <w:shd w:val="clear" w:color="auto" w:fill="FFFFFF"/>
          <w:lang w:eastAsia="zh-CN"/>
        </w:rPr>
        <w:t>预算</w:t>
      </w:r>
      <w:r>
        <w:rPr>
          <w:rFonts w:hint="default" w:ascii="Times New Roman" w:hAnsi="Times New Roman" w:eastAsia="黑体" w:cs="Times New Roman"/>
          <w:color w:val="000000"/>
          <w:kern w:val="0"/>
          <w:sz w:val="32"/>
          <w:szCs w:val="32"/>
          <w:highlight w:val="none"/>
          <w:u w:val="none"/>
          <w:shd w:val="clear" w:color="auto" w:fill="FFFFFF"/>
        </w:rPr>
        <w:t>绩效</w:t>
      </w:r>
      <w:r>
        <w:rPr>
          <w:rFonts w:hint="default" w:ascii="Times New Roman" w:hAnsi="Times New Roman" w:eastAsia="黑体" w:cs="Times New Roman"/>
          <w:color w:val="000000"/>
          <w:kern w:val="0"/>
          <w:sz w:val="32"/>
          <w:szCs w:val="32"/>
          <w:highlight w:val="none"/>
          <w:u w:val="none"/>
          <w:shd w:val="clear" w:color="auto" w:fill="FFFFFF"/>
          <w:lang w:eastAsia="zh-CN"/>
        </w:rPr>
        <w:t>分析</w:t>
      </w:r>
    </w:p>
    <w:p w14:paraId="3160DB6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（一）部门预算总体绩效分析。</w:t>
      </w:r>
    </w:p>
    <w:p w14:paraId="345B08F4">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我单位每</w:t>
      </w:r>
      <w:r>
        <w:rPr>
          <w:rFonts w:hint="eastAsia" w:eastAsia="仿宋_GB2312" w:cs="Times New Roman"/>
          <w:kern w:val="2"/>
          <w:sz w:val="32"/>
          <w:szCs w:val="32"/>
          <w:lang w:val="zh-CN" w:eastAsia="zh-CN" w:bidi="ar-SA"/>
        </w:rPr>
        <w:t>年</w:t>
      </w:r>
      <w:r>
        <w:rPr>
          <w:rFonts w:hint="default" w:ascii="Times New Roman" w:hAnsi="Times New Roman" w:eastAsia="仿宋_GB2312" w:cs="Times New Roman"/>
          <w:kern w:val="2"/>
          <w:sz w:val="32"/>
          <w:szCs w:val="32"/>
          <w:lang w:val="zh-CN" w:eastAsia="zh-CN" w:bidi="ar-SA"/>
        </w:rPr>
        <w:t>按照上年度决算数据，按照“收支平衡、留有结余”的原则，依照“二上</w:t>
      </w:r>
      <w:r>
        <w:rPr>
          <w:rFonts w:hint="eastAsia" w:eastAsia="仿宋_GB2312" w:cs="Times New Roman"/>
          <w:kern w:val="2"/>
          <w:sz w:val="32"/>
          <w:szCs w:val="32"/>
          <w:lang w:val="zh-CN" w:eastAsia="zh-CN" w:bidi="ar-SA"/>
        </w:rPr>
        <w:t>”“</w:t>
      </w:r>
      <w:r>
        <w:rPr>
          <w:rFonts w:hint="default" w:ascii="Times New Roman" w:hAnsi="Times New Roman" w:eastAsia="仿宋_GB2312" w:cs="Times New Roman"/>
          <w:kern w:val="2"/>
          <w:sz w:val="32"/>
          <w:szCs w:val="32"/>
          <w:lang w:val="zh-CN" w:eastAsia="zh-CN" w:bidi="ar-SA"/>
        </w:rPr>
        <w:t>二下”的程序，合理编制单位经费预算。对每年度支出、收入进行绩效目标填报，对所有专项预算都进行了提前的细化并严格按照细化目标执行，所有的结余结转资金严格按照用途进行管理并支出。</w:t>
      </w:r>
    </w:p>
    <w:p w14:paraId="3162A01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02" w:firstLineChars="200"/>
        <w:contextualSpacing/>
        <w:jc w:val="left"/>
        <w:textAlignment w:val="auto"/>
        <w:outlineLvl w:val="9"/>
        <w:rPr>
          <w:rFonts w:hint="default"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b/>
          <w:bCs/>
          <w:color w:val="000000"/>
          <w:kern w:val="0"/>
          <w:sz w:val="30"/>
          <w:szCs w:val="30"/>
          <w:highlight w:val="none"/>
          <w:shd w:val="clear" w:color="auto" w:fill="FFFFFF"/>
          <w:lang w:val="en-US" w:eastAsia="zh-CN"/>
        </w:rPr>
        <w:t>1.</w:t>
      </w:r>
      <w:r>
        <w:rPr>
          <w:rFonts w:hint="eastAsia" w:ascii="仿宋_GB2312" w:hAnsi="仿宋_GB2312" w:eastAsia="仿宋_GB2312" w:cs="仿宋_GB2312"/>
          <w:b/>
          <w:bCs/>
          <w:color w:val="000000"/>
          <w:kern w:val="0"/>
          <w:sz w:val="30"/>
          <w:szCs w:val="30"/>
          <w:highlight w:val="none"/>
          <w:shd w:val="clear" w:color="auto" w:fill="FFFFFF"/>
          <w:lang w:val="zh-CN" w:eastAsia="zh-CN"/>
        </w:rPr>
        <w:t>履职效能。</w:t>
      </w:r>
      <w:r>
        <w:rPr>
          <w:rFonts w:hint="default" w:ascii="Times New Roman" w:hAnsi="Times New Roman" w:eastAsia="仿宋_GB2312" w:cs="Times New Roman"/>
          <w:kern w:val="2"/>
          <w:sz w:val="32"/>
          <w:szCs w:val="32"/>
          <w:lang w:val="zh-CN" w:eastAsia="zh-CN" w:bidi="ar-SA"/>
        </w:rPr>
        <w:t>松潘县人力资源和社会保障局预算安排主要用于执行人社局总体运行工作，宣传政策方针以及完成上级交办的其他任务等；加强事业、工勤人员档案管理工作，提高档案管理水平、有效保护和利用档案，为全县各项工作服务；负责专业技术人员管理和继续教育；负责事业人员招聘、调配工作。</w:t>
      </w:r>
    </w:p>
    <w:p w14:paraId="1705AF5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02" w:firstLineChars="200"/>
        <w:contextualSpacing/>
        <w:jc w:val="left"/>
        <w:textAlignment w:val="auto"/>
        <w:outlineLvl w:val="9"/>
        <w:rPr>
          <w:rFonts w:hint="default" w:ascii="Times New Roman" w:hAnsi="Times New Roman" w:eastAsia="仿宋_GB2312" w:cs="Times New Roman"/>
          <w:kern w:val="2"/>
          <w:sz w:val="32"/>
          <w:szCs w:val="32"/>
          <w:lang w:val="zh-CN" w:eastAsia="zh-CN" w:bidi="ar-SA"/>
        </w:rPr>
      </w:pPr>
      <w:r>
        <w:rPr>
          <w:rFonts w:hint="default" w:ascii="仿宋_GB2312" w:hAnsi="仿宋_GB2312" w:eastAsia="仿宋_GB2312" w:cs="仿宋_GB2312"/>
          <w:b/>
          <w:bCs/>
          <w:color w:val="000000"/>
          <w:kern w:val="0"/>
          <w:sz w:val="30"/>
          <w:szCs w:val="30"/>
          <w:highlight w:val="none"/>
          <w:shd w:val="clear" w:color="auto" w:fill="FFFFFF"/>
          <w:lang w:val="en-US" w:eastAsia="zh-CN"/>
        </w:rPr>
        <w:t>2.</w:t>
      </w:r>
      <w:r>
        <w:rPr>
          <w:rFonts w:hint="default" w:ascii="仿宋_GB2312" w:hAnsi="仿宋_GB2312" w:eastAsia="仿宋_GB2312" w:cs="仿宋_GB2312"/>
          <w:b/>
          <w:bCs/>
          <w:color w:val="000000"/>
          <w:kern w:val="0"/>
          <w:sz w:val="30"/>
          <w:szCs w:val="30"/>
          <w:highlight w:val="none"/>
          <w:shd w:val="clear" w:color="auto" w:fill="FFFFFF"/>
          <w:lang w:val="zh-CN" w:eastAsia="zh-CN"/>
        </w:rPr>
        <w:t>预算管理。</w:t>
      </w:r>
      <w:r>
        <w:rPr>
          <w:rFonts w:hint="default" w:ascii="Times New Roman" w:hAnsi="Times New Roman" w:eastAsia="仿宋_GB2312" w:cs="Times New Roman"/>
          <w:kern w:val="2"/>
          <w:sz w:val="32"/>
          <w:szCs w:val="32"/>
          <w:lang w:val="zh-CN" w:eastAsia="zh-CN" w:bidi="ar-SA"/>
        </w:rPr>
        <w:t>按照预算管理有关规定，目前部门预算的编制实行综合预算制度，即全部收入和支出都反映在预算中。本部门预算编制是由部门财务严格按照《预算法》的规定和财政部门预算股的要求，在</w:t>
      </w:r>
      <w:r>
        <w:rPr>
          <w:rFonts w:hint="eastAsia" w:cs="Times New Roman"/>
          <w:kern w:val="2"/>
          <w:sz w:val="32"/>
          <w:szCs w:val="32"/>
          <w:lang w:val="zh-CN" w:eastAsia="zh-CN" w:bidi="ar-SA"/>
        </w:rPr>
        <w:t>既</w:t>
      </w:r>
      <w:r>
        <w:rPr>
          <w:rFonts w:hint="default" w:ascii="Times New Roman" w:hAnsi="Times New Roman" w:eastAsia="仿宋_GB2312" w:cs="Times New Roman"/>
          <w:kern w:val="2"/>
          <w:sz w:val="32"/>
          <w:szCs w:val="32"/>
          <w:lang w:val="zh-CN" w:eastAsia="zh-CN" w:bidi="ar-SA"/>
        </w:rPr>
        <w:t>能保证本部门日常业务工作顺利开展的需要，又不浪费资金的前提下，合理编制出本部门的年度预算。</w:t>
      </w:r>
    </w:p>
    <w:p w14:paraId="0B43410E">
      <w:pPr>
        <w:keepNext w:val="0"/>
        <w:keepLines w:val="0"/>
        <w:pageBreakBefore w:val="0"/>
        <w:numPr>
          <w:ilvl w:val="0"/>
          <w:numId w:val="0"/>
        </w:numPr>
        <w:kinsoku/>
        <w:wordWrap/>
        <w:overflowPunct/>
        <w:topLinePunct w:val="0"/>
        <w:autoSpaceDE/>
        <w:autoSpaceDN/>
        <w:bidi w:val="0"/>
        <w:spacing w:line="576" w:lineRule="exact"/>
        <w:ind w:firstLine="602" w:firstLineChars="200"/>
        <w:textAlignment w:val="auto"/>
        <w:rPr>
          <w:rFonts w:hint="default" w:ascii="Times New Roman" w:hAnsi="Times New Roman" w:eastAsia="仿宋_GB2312" w:cs="Times New Roman"/>
          <w:kern w:val="2"/>
          <w:sz w:val="32"/>
          <w:szCs w:val="32"/>
          <w:lang w:val="zh-CN" w:eastAsia="zh-CN" w:bidi="ar-SA"/>
        </w:rPr>
      </w:pPr>
      <w:r>
        <w:rPr>
          <w:rFonts w:hint="default" w:ascii="仿宋_GB2312" w:hAnsi="仿宋_GB2312" w:eastAsia="仿宋_GB2312" w:cs="仿宋_GB2312"/>
          <w:b/>
          <w:bCs/>
          <w:color w:val="000000"/>
          <w:kern w:val="0"/>
          <w:sz w:val="30"/>
          <w:szCs w:val="30"/>
          <w:highlight w:val="none"/>
          <w:shd w:val="clear" w:color="auto" w:fill="FFFFFF"/>
          <w:lang w:val="en-US" w:eastAsia="zh-CN"/>
        </w:rPr>
        <w:t>3.</w:t>
      </w:r>
      <w:r>
        <w:rPr>
          <w:rFonts w:hint="default" w:ascii="仿宋_GB2312" w:hAnsi="仿宋_GB2312" w:eastAsia="仿宋_GB2312" w:cs="仿宋_GB2312"/>
          <w:b/>
          <w:bCs/>
          <w:color w:val="000000"/>
          <w:kern w:val="0"/>
          <w:sz w:val="30"/>
          <w:szCs w:val="30"/>
          <w:highlight w:val="none"/>
          <w:shd w:val="clear" w:color="auto" w:fill="FFFFFF"/>
          <w:lang w:val="zh-CN" w:eastAsia="zh-CN"/>
        </w:rPr>
        <w:t>财务管理。</w:t>
      </w:r>
      <w:r>
        <w:rPr>
          <w:rFonts w:hint="default" w:ascii="Times New Roman" w:hAnsi="Times New Roman" w:eastAsia="仿宋_GB2312" w:cs="Times New Roman"/>
          <w:sz w:val="32"/>
          <w:szCs w:val="32"/>
        </w:rPr>
        <w:t>完</w:t>
      </w:r>
      <w:r>
        <w:rPr>
          <w:rFonts w:hint="default" w:ascii="Times New Roman" w:hAnsi="Times New Roman" w:eastAsia="仿宋_GB2312" w:cs="Times New Roman"/>
          <w:kern w:val="2"/>
          <w:sz w:val="32"/>
          <w:szCs w:val="32"/>
          <w:lang w:val="zh-CN" w:eastAsia="zh-CN" w:bidi="ar-SA"/>
        </w:rPr>
        <w:t>善和健全了各类规章制度和内控制度，严格按</w:t>
      </w:r>
      <w:r>
        <w:rPr>
          <w:rFonts w:hint="default" w:ascii="Times New Roman" w:hAnsi="Times New Roman" w:cs="Times New Roman"/>
          <w:kern w:val="2"/>
          <w:sz w:val="32"/>
          <w:szCs w:val="32"/>
          <w:lang w:val="zh-CN" w:eastAsia="zh-CN" w:bidi="ar-SA"/>
        </w:rPr>
        <w:t>照</w:t>
      </w:r>
      <w:r>
        <w:rPr>
          <w:rFonts w:hint="default" w:ascii="Times New Roman" w:hAnsi="Times New Roman" w:eastAsia="仿宋_GB2312" w:cs="Times New Roman"/>
          <w:kern w:val="2"/>
          <w:sz w:val="32"/>
          <w:szCs w:val="32"/>
          <w:lang w:val="zh-CN" w:eastAsia="zh-CN" w:bidi="ar-SA"/>
        </w:rPr>
        <w:t>财政部门监管要求规范预算执行</w:t>
      </w:r>
      <w:r>
        <w:rPr>
          <w:rFonts w:hint="default" w:ascii="Times New Roman" w:hAnsi="Times New Roman" w:cs="Times New Roman"/>
          <w:kern w:val="2"/>
          <w:sz w:val="32"/>
          <w:szCs w:val="32"/>
          <w:lang w:val="zh-CN" w:eastAsia="zh-CN" w:bidi="ar-SA"/>
        </w:rPr>
        <w:t>，</w:t>
      </w:r>
      <w:r>
        <w:rPr>
          <w:rFonts w:hint="default" w:ascii="Times New Roman" w:hAnsi="Times New Roman" w:eastAsia="仿宋_GB2312" w:cs="Times New Roman"/>
          <w:kern w:val="2"/>
          <w:sz w:val="32"/>
          <w:szCs w:val="32"/>
          <w:lang w:val="zh-CN" w:eastAsia="zh-CN" w:bidi="ar-SA"/>
        </w:rPr>
        <w:t>规范财政资金支付管理，逐月逐笔核对银行存款收支明细信息，确保账户资金明确</w:t>
      </w:r>
      <w:r>
        <w:rPr>
          <w:rFonts w:hint="eastAsia" w:eastAsia="仿宋_GB2312" w:cs="Times New Roman"/>
          <w:kern w:val="2"/>
          <w:sz w:val="32"/>
          <w:szCs w:val="32"/>
          <w:lang w:val="zh-CN" w:eastAsia="zh-CN" w:bidi="ar-SA"/>
        </w:rPr>
        <w:t>清晰</w:t>
      </w:r>
      <w:r>
        <w:rPr>
          <w:rFonts w:hint="default" w:ascii="Times New Roman" w:hAnsi="Times New Roman" w:eastAsia="仿宋_GB2312" w:cs="Times New Roman"/>
          <w:kern w:val="2"/>
          <w:sz w:val="32"/>
          <w:szCs w:val="32"/>
          <w:lang w:val="zh-CN" w:eastAsia="zh-CN" w:bidi="ar-SA"/>
        </w:rPr>
        <w:t>；完善会计管理制度，建立岗位分离制度，同时按规定建立会计账册、设置会计科目，依法依规进行会计核算，确保会计信息合法性、真实性和完整性，做到账证、账账、账表和账实相符；同时加强内控</w:t>
      </w:r>
      <w:r>
        <w:rPr>
          <w:rFonts w:hint="eastAsia" w:cs="Times New Roman"/>
          <w:kern w:val="2"/>
          <w:sz w:val="32"/>
          <w:szCs w:val="32"/>
          <w:lang w:val="zh-CN" w:eastAsia="zh-CN" w:bidi="ar-SA"/>
        </w:rPr>
        <w:t>管</w:t>
      </w:r>
      <w:r>
        <w:rPr>
          <w:rFonts w:hint="default" w:ascii="Times New Roman" w:hAnsi="Times New Roman" w:eastAsia="仿宋_GB2312" w:cs="Times New Roman"/>
          <w:kern w:val="2"/>
          <w:sz w:val="32"/>
          <w:szCs w:val="32"/>
          <w:lang w:val="zh-CN" w:eastAsia="zh-CN" w:bidi="ar-SA"/>
        </w:rPr>
        <w:t>理，开展内控自我评价工作</w:t>
      </w:r>
      <w:r>
        <w:rPr>
          <w:rFonts w:hint="eastAsia" w:cs="Times New Roman"/>
          <w:kern w:val="2"/>
          <w:sz w:val="32"/>
          <w:szCs w:val="32"/>
          <w:lang w:val="en-US" w:eastAsia="zh-CN" w:bidi="ar-SA"/>
        </w:rPr>
        <w:t>。</w:t>
      </w:r>
      <w:r>
        <w:rPr>
          <w:rFonts w:hint="default" w:ascii="Times New Roman" w:hAnsi="Times New Roman" w:eastAsia="仿宋_GB2312" w:cs="Times New Roman"/>
          <w:kern w:val="2"/>
          <w:sz w:val="32"/>
          <w:szCs w:val="32"/>
          <w:lang w:val="zh-CN" w:eastAsia="zh-CN" w:bidi="ar-SA"/>
        </w:rPr>
        <w:t>同时加大账户和存量资金的清理，决算</w:t>
      </w:r>
      <w:r>
        <w:rPr>
          <w:rFonts w:hint="eastAsia" w:eastAsia="仿宋_GB2312" w:cs="Times New Roman"/>
          <w:kern w:val="2"/>
          <w:sz w:val="32"/>
          <w:szCs w:val="32"/>
          <w:lang w:val="zh-CN" w:eastAsia="zh-CN" w:bidi="ar-SA"/>
        </w:rPr>
        <w:t>管理</w:t>
      </w:r>
      <w:r>
        <w:rPr>
          <w:rFonts w:hint="default" w:ascii="Times New Roman" w:hAnsi="Times New Roman" w:eastAsia="仿宋_GB2312" w:cs="Times New Roman"/>
          <w:kern w:val="2"/>
          <w:sz w:val="32"/>
          <w:szCs w:val="32"/>
          <w:lang w:val="zh-CN" w:eastAsia="zh-CN" w:bidi="ar-SA"/>
        </w:rPr>
        <w:t>部门决算编制要求将单位所有收支和结余结转情况进行全面</w:t>
      </w:r>
      <w:r>
        <w:rPr>
          <w:rFonts w:hint="eastAsia" w:eastAsia="仿宋_GB2312" w:cs="Times New Roman"/>
          <w:kern w:val="2"/>
          <w:sz w:val="32"/>
          <w:szCs w:val="32"/>
          <w:lang w:val="zh-CN" w:eastAsia="zh-CN" w:bidi="ar-SA"/>
        </w:rPr>
        <w:t>反映</w:t>
      </w:r>
      <w:r>
        <w:rPr>
          <w:rFonts w:hint="default" w:ascii="Times New Roman" w:hAnsi="Times New Roman" w:eastAsia="仿宋_GB2312" w:cs="Times New Roman"/>
          <w:kern w:val="2"/>
          <w:sz w:val="32"/>
          <w:szCs w:val="32"/>
          <w:lang w:val="zh-CN" w:eastAsia="zh-CN" w:bidi="ar-SA"/>
        </w:rPr>
        <w:t>。</w:t>
      </w:r>
    </w:p>
    <w:p w14:paraId="7BDCB1FA">
      <w:pPr>
        <w:keepNext w:val="0"/>
        <w:keepLines w:val="0"/>
        <w:pageBreakBefore w:val="0"/>
        <w:numPr>
          <w:ilvl w:val="0"/>
          <w:numId w:val="0"/>
        </w:numPr>
        <w:kinsoku/>
        <w:wordWrap/>
        <w:overflowPunct/>
        <w:topLinePunct w:val="0"/>
        <w:autoSpaceDE/>
        <w:autoSpaceDN/>
        <w:bidi w:val="0"/>
        <w:spacing w:line="576" w:lineRule="exact"/>
        <w:ind w:firstLine="602" w:firstLineChars="200"/>
        <w:textAlignment w:val="auto"/>
        <w:rPr>
          <w:rFonts w:hint="default" w:ascii="Times New Roman" w:hAnsi="Times New Roman" w:eastAsia="仿宋_GB2312" w:cs="Times New Roman"/>
          <w:kern w:val="2"/>
          <w:sz w:val="32"/>
          <w:szCs w:val="32"/>
          <w:lang w:val="zh-CN" w:eastAsia="zh-CN" w:bidi="ar-SA"/>
        </w:rPr>
      </w:pPr>
      <w:r>
        <w:rPr>
          <w:rFonts w:hint="default" w:ascii="仿宋_GB2312" w:hAnsi="仿宋_GB2312" w:eastAsia="仿宋_GB2312" w:cs="仿宋_GB2312"/>
          <w:b/>
          <w:bCs/>
          <w:color w:val="000000"/>
          <w:kern w:val="0"/>
          <w:sz w:val="30"/>
          <w:szCs w:val="30"/>
          <w:highlight w:val="none"/>
          <w:shd w:val="clear" w:color="auto" w:fill="FFFFFF"/>
          <w:lang w:val="en-US" w:eastAsia="zh-CN"/>
        </w:rPr>
        <w:t>4.</w:t>
      </w:r>
      <w:r>
        <w:rPr>
          <w:rFonts w:hint="default" w:ascii="仿宋_GB2312" w:hAnsi="仿宋_GB2312" w:eastAsia="仿宋_GB2312" w:cs="仿宋_GB2312"/>
          <w:b/>
          <w:bCs/>
          <w:color w:val="000000"/>
          <w:kern w:val="0"/>
          <w:sz w:val="30"/>
          <w:szCs w:val="30"/>
          <w:highlight w:val="none"/>
          <w:shd w:val="clear" w:color="auto" w:fill="FFFFFF"/>
          <w:lang w:val="zh-CN" w:eastAsia="zh-CN"/>
        </w:rPr>
        <w:t>资产管理。</w:t>
      </w:r>
      <w:r>
        <w:rPr>
          <w:rFonts w:hint="default" w:ascii="Times New Roman" w:hAnsi="Times New Roman" w:eastAsia="仿宋_GB2312" w:cs="Times New Roman"/>
          <w:kern w:val="2"/>
          <w:sz w:val="32"/>
          <w:szCs w:val="32"/>
          <w:lang w:val="zh-CN" w:eastAsia="zh-CN" w:bidi="ar-SA"/>
        </w:rPr>
        <w:t>2023年度，我</w:t>
      </w:r>
      <w:r>
        <w:rPr>
          <w:rFonts w:hint="default" w:ascii="Times New Roman" w:hAnsi="Times New Roman" w:cs="Times New Roman"/>
          <w:kern w:val="2"/>
          <w:sz w:val="32"/>
          <w:szCs w:val="32"/>
          <w:lang w:val="zh-CN" w:eastAsia="zh-CN" w:bidi="ar-SA"/>
        </w:rPr>
        <w:t>单位固定资产</w:t>
      </w:r>
      <w:r>
        <w:rPr>
          <w:rFonts w:hint="default" w:ascii="Times New Roman" w:hAnsi="Times New Roman" w:eastAsia="仿宋_GB2312" w:cs="Times New Roman"/>
          <w:kern w:val="2"/>
          <w:sz w:val="32"/>
          <w:szCs w:val="32"/>
          <w:lang w:val="zh-CN" w:eastAsia="zh-CN" w:bidi="ar-SA"/>
        </w:rPr>
        <w:t>是</w:t>
      </w:r>
      <w:r>
        <w:rPr>
          <w:rFonts w:hint="default" w:ascii="Times New Roman" w:hAnsi="Times New Roman" w:cs="Times New Roman"/>
          <w:kern w:val="2"/>
          <w:sz w:val="32"/>
          <w:szCs w:val="32"/>
          <w:lang w:val="en-US" w:eastAsia="zh-CN" w:bidi="ar-SA"/>
        </w:rPr>
        <w:t>501.66万元，无形资产16.79万元</w:t>
      </w:r>
      <w:r>
        <w:rPr>
          <w:rFonts w:hint="default" w:ascii="Times New Roman" w:hAnsi="Times New Roman" w:eastAsia="仿宋_GB2312" w:cs="Times New Roman"/>
          <w:kern w:val="2"/>
          <w:sz w:val="32"/>
          <w:szCs w:val="32"/>
          <w:lang w:val="zh-CN" w:eastAsia="zh-CN" w:bidi="ar-SA"/>
        </w:rPr>
        <w:t>，比</w:t>
      </w:r>
      <w:r>
        <w:rPr>
          <w:rFonts w:hint="default" w:ascii="Times New Roman" w:hAnsi="Times New Roman" w:eastAsia="仿宋_GB2312" w:cs="Times New Roman"/>
          <w:kern w:val="2"/>
          <w:sz w:val="32"/>
          <w:szCs w:val="32"/>
          <w:lang w:val="en-US" w:eastAsia="zh-CN" w:bidi="ar-SA"/>
        </w:rPr>
        <w:t>2022年资产</w:t>
      </w:r>
      <w:r>
        <w:rPr>
          <w:rFonts w:hint="default" w:ascii="Times New Roman" w:hAnsi="Times New Roman" w:cs="Times New Roman"/>
          <w:kern w:val="2"/>
          <w:sz w:val="32"/>
          <w:szCs w:val="32"/>
          <w:lang w:val="en-US" w:eastAsia="zh-CN" w:bidi="ar-SA"/>
        </w:rPr>
        <w:t>总额600.16万</w:t>
      </w:r>
      <w:r>
        <w:rPr>
          <w:rFonts w:hint="default" w:ascii="Times New Roman" w:hAnsi="Times New Roman" w:eastAsia="仿宋_GB2312" w:cs="Times New Roman"/>
          <w:kern w:val="2"/>
          <w:sz w:val="32"/>
          <w:szCs w:val="32"/>
          <w:lang w:val="en-US" w:eastAsia="zh-CN" w:bidi="ar-SA"/>
        </w:rPr>
        <w:t>元减少</w:t>
      </w:r>
      <w:r>
        <w:rPr>
          <w:rFonts w:hint="default" w:ascii="Times New Roman" w:hAnsi="Times New Roman" w:cs="Times New Roman"/>
          <w:kern w:val="2"/>
          <w:sz w:val="32"/>
          <w:szCs w:val="32"/>
          <w:lang w:val="en-US" w:eastAsia="zh-CN" w:bidi="ar-SA"/>
        </w:rPr>
        <w:t>98.5万</w:t>
      </w:r>
      <w:r>
        <w:rPr>
          <w:rFonts w:hint="default" w:ascii="Times New Roman" w:hAnsi="Times New Roman" w:eastAsia="仿宋_GB2312" w:cs="Times New Roman"/>
          <w:kern w:val="2"/>
          <w:sz w:val="32"/>
          <w:szCs w:val="32"/>
          <w:lang w:val="en-US" w:eastAsia="zh-CN" w:bidi="ar-SA"/>
        </w:rPr>
        <w:t>元，原因是2023年11月县财政局对我单位</w:t>
      </w:r>
      <w:r>
        <w:rPr>
          <w:rFonts w:hint="default" w:ascii="Times New Roman" w:hAnsi="Times New Roman" w:cs="Times New Roman"/>
          <w:kern w:val="2"/>
          <w:sz w:val="32"/>
          <w:szCs w:val="32"/>
          <w:lang w:val="en-US" w:eastAsia="zh-CN" w:bidi="ar-SA"/>
        </w:rPr>
        <w:t>盘亏</w:t>
      </w:r>
      <w:r>
        <w:rPr>
          <w:rFonts w:hint="default" w:ascii="Times New Roman" w:hAnsi="Times New Roman" w:eastAsia="仿宋_GB2312" w:cs="Times New Roman"/>
          <w:kern w:val="2"/>
          <w:sz w:val="32"/>
          <w:szCs w:val="32"/>
          <w:lang w:val="en-US" w:eastAsia="zh-CN" w:bidi="ar-SA"/>
        </w:rPr>
        <w:t>资产进行了核销</w:t>
      </w:r>
      <w:r>
        <w:rPr>
          <w:rFonts w:hint="default" w:ascii="Times New Roman" w:hAnsi="Times New Roman" w:cs="Times New Roman"/>
          <w:kern w:val="2"/>
          <w:sz w:val="32"/>
          <w:szCs w:val="32"/>
          <w:lang w:val="en-US" w:eastAsia="zh-CN" w:bidi="ar-SA"/>
        </w:rPr>
        <w:t>。</w:t>
      </w:r>
      <w:r>
        <w:rPr>
          <w:rFonts w:hint="default" w:ascii="Times New Roman" w:hAnsi="Times New Roman" w:eastAsia="仿宋_GB2312" w:cs="Times New Roman"/>
          <w:kern w:val="2"/>
          <w:sz w:val="32"/>
          <w:szCs w:val="32"/>
          <w:lang w:val="zh-CN" w:eastAsia="zh-CN" w:bidi="ar-SA"/>
        </w:rPr>
        <w:t>我单位认真贯彻落实《行政事业性国有资产管理条例》，建立健全资产管理制度，合理配备并节约、有效使用资产提高资产使用效率，保障资产的安全和完整。管理和使用中坚持物尽其用原则，坚持统一政策、统一领导、分级管理、职责到人的原则。对资产管理进行指导和监督，对纳入政府采购范围的资产进行统一购置。通过资产管理软件严格管理资产卡片，包括卡片的增加、删除、查询、打印、汇总等。正确、全面、及时地记录资产的增加、减少、使用等状况，保护资产安全完整。真实地反映和监督资产的增减变动和实际状况，建立健全了资产账簿体系。</w:t>
      </w:r>
    </w:p>
    <w:p w14:paraId="2A982D9F">
      <w:pPr>
        <w:keepNext w:val="0"/>
        <w:keepLines w:val="0"/>
        <w:pageBreakBefore w:val="0"/>
        <w:numPr>
          <w:ilvl w:val="0"/>
          <w:numId w:val="0"/>
        </w:numPr>
        <w:kinsoku/>
        <w:wordWrap/>
        <w:overflowPunct/>
        <w:topLinePunct w:val="0"/>
        <w:autoSpaceDE/>
        <w:autoSpaceDN/>
        <w:bidi w:val="0"/>
        <w:spacing w:line="576" w:lineRule="exact"/>
        <w:ind w:firstLine="602" w:firstLineChars="200"/>
        <w:textAlignment w:val="auto"/>
        <w:rPr>
          <w:rFonts w:hint="default" w:ascii="Times New Roman" w:hAnsi="Times New Roman" w:eastAsia="仿宋_GB2312" w:cs="Times New Roman"/>
          <w:kern w:val="2"/>
          <w:sz w:val="32"/>
          <w:szCs w:val="32"/>
          <w:lang w:val="zh-CN" w:eastAsia="zh-CN" w:bidi="ar-SA"/>
        </w:rPr>
      </w:pPr>
      <w:r>
        <w:rPr>
          <w:rFonts w:hint="eastAsia" w:ascii="仿宋_GB2312" w:hAnsi="仿宋_GB2312" w:eastAsia="仿宋_GB2312" w:cs="仿宋_GB2312"/>
          <w:b/>
          <w:bCs/>
          <w:color w:val="000000"/>
          <w:kern w:val="0"/>
          <w:sz w:val="30"/>
          <w:szCs w:val="30"/>
          <w:highlight w:val="none"/>
          <w:shd w:val="clear" w:color="auto" w:fill="FFFFFF"/>
          <w:lang w:val="en-US" w:eastAsia="zh-CN"/>
        </w:rPr>
        <w:t>5.</w:t>
      </w:r>
      <w:r>
        <w:rPr>
          <w:rFonts w:hint="eastAsia" w:ascii="仿宋_GB2312" w:hAnsi="仿宋_GB2312" w:eastAsia="仿宋_GB2312" w:cs="仿宋_GB2312"/>
          <w:b/>
          <w:bCs/>
          <w:color w:val="000000"/>
          <w:kern w:val="0"/>
          <w:sz w:val="30"/>
          <w:szCs w:val="30"/>
          <w:highlight w:val="none"/>
          <w:shd w:val="clear" w:color="auto" w:fill="FFFFFF"/>
          <w:lang w:val="zh-CN"/>
        </w:rPr>
        <w:t>采购管理。</w:t>
      </w:r>
      <w:r>
        <w:rPr>
          <w:rFonts w:hint="default" w:ascii="Times New Roman" w:hAnsi="Times New Roman" w:eastAsia="仿宋_GB2312" w:cs="Times New Roman"/>
          <w:kern w:val="2"/>
          <w:sz w:val="32"/>
          <w:szCs w:val="32"/>
          <w:lang w:val="zh-CN" w:eastAsia="zh-CN" w:bidi="ar-SA"/>
        </w:rPr>
        <w:t>本单位编制政府采购预算、落实政府采购政策、委托采购代理机构、确定采购需求、确定政府采购方式、委派监督人员和采购人代表、确定中标</w:t>
      </w:r>
      <w:r>
        <w:rPr>
          <w:rFonts w:hint="eastAsia" w:cs="Times New Roman"/>
          <w:kern w:val="2"/>
          <w:sz w:val="32"/>
          <w:szCs w:val="32"/>
          <w:lang w:val="zh-CN" w:eastAsia="zh-CN" w:bidi="ar-SA"/>
        </w:rPr>
        <w:t>，</w:t>
      </w:r>
      <w:r>
        <w:rPr>
          <w:rFonts w:hint="default" w:ascii="Times New Roman" w:hAnsi="Times New Roman" w:eastAsia="仿宋_GB2312" w:cs="Times New Roman"/>
          <w:kern w:val="2"/>
          <w:sz w:val="32"/>
          <w:szCs w:val="32"/>
          <w:lang w:val="zh-CN" w:eastAsia="zh-CN" w:bidi="ar-SA"/>
        </w:rPr>
        <w:t>成交供应商、合同签订</w:t>
      </w:r>
      <w:r>
        <w:rPr>
          <w:rFonts w:hint="eastAsia" w:cs="Times New Roman"/>
          <w:kern w:val="2"/>
          <w:sz w:val="32"/>
          <w:szCs w:val="32"/>
          <w:lang w:val="zh-CN" w:eastAsia="zh-CN" w:bidi="ar-SA"/>
        </w:rPr>
        <w:t>，</w:t>
      </w:r>
      <w:r>
        <w:rPr>
          <w:rFonts w:hint="default" w:ascii="Times New Roman" w:hAnsi="Times New Roman" w:eastAsia="仿宋_GB2312" w:cs="Times New Roman"/>
          <w:kern w:val="2"/>
          <w:sz w:val="32"/>
          <w:szCs w:val="32"/>
          <w:lang w:val="zh-CN" w:eastAsia="zh-CN" w:bidi="ar-SA"/>
        </w:rPr>
        <w:t>公告</w:t>
      </w:r>
      <w:r>
        <w:rPr>
          <w:rFonts w:hint="eastAsia" w:eastAsia="仿宋_GB2312" w:cs="Times New Roman"/>
          <w:kern w:val="2"/>
          <w:sz w:val="32"/>
          <w:szCs w:val="32"/>
          <w:lang w:val="zh-CN" w:eastAsia="zh-CN" w:bidi="ar-SA"/>
        </w:rPr>
        <w:t>，</w:t>
      </w:r>
      <w:r>
        <w:rPr>
          <w:rFonts w:hint="default" w:ascii="Times New Roman" w:hAnsi="Times New Roman" w:eastAsia="仿宋_GB2312" w:cs="Times New Roman"/>
          <w:kern w:val="2"/>
          <w:sz w:val="32"/>
          <w:szCs w:val="32"/>
          <w:lang w:val="zh-CN" w:eastAsia="zh-CN" w:bidi="ar-SA"/>
        </w:rPr>
        <w:t>备案</w:t>
      </w:r>
      <w:r>
        <w:rPr>
          <w:rFonts w:hint="eastAsia" w:cs="Times New Roman"/>
          <w:kern w:val="2"/>
          <w:sz w:val="32"/>
          <w:szCs w:val="32"/>
          <w:lang w:val="zh-CN" w:eastAsia="zh-CN" w:bidi="ar-SA"/>
        </w:rPr>
        <w:t>，</w:t>
      </w:r>
      <w:r>
        <w:rPr>
          <w:rFonts w:hint="default" w:ascii="Times New Roman" w:hAnsi="Times New Roman" w:eastAsia="仿宋_GB2312" w:cs="Times New Roman"/>
          <w:kern w:val="2"/>
          <w:sz w:val="32"/>
          <w:szCs w:val="32"/>
          <w:lang w:val="zh-CN" w:eastAsia="zh-CN" w:bidi="ar-SA"/>
        </w:rPr>
        <w:t>变更</w:t>
      </w:r>
      <w:r>
        <w:rPr>
          <w:rFonts w:hint="eastAsia" w:cs="Times New Roman"/>
          <w:kern w:val="2"/>
          <w:sz w:val="32"/>
          <w:szCs w:val="32"/>
          <w:lang w:val="zh-CN" w:eastAsia="zh-CN" w:bidi="ar-SA"/>
        </w:rPr>
        <w:t>，</w:t>
      </w:r>
      <w:r>
        <w:rPr>
          <w:rFonts w:hint="default" w:ascii="Times New Roman" w:hAnsi="Times New Roman" w:eastAsia="仿宋_GB2312" w:cs="Times New Roman"/>
          <w:kern w:val="2"/>
          <w:sz w:val="32"/>
          <w:szCs w:val="32"/>
          <w:lang w:val="zh-CN" w:eastAsia="zh-CN" w:bidi="ar-SA"/>
        </w:rPr>
        <w:t>中止</w:t>
      </w:r>
      <w:r>
        <w:rPr>
          <w:rFonts w:hint="eastAsia" w:cs="Times New Roman"/>
          <w:kern w:val="2"/>
          <w:sz w:val="32"/>
          <w:szCs w:val="32"/>
          <w:lang w:val="zh-CN" w:eastAsia="zh-CN" w:bidi="ar-SA"/>
        </w:rPr>
        <w:t>，</w:t>
      </w:r>
      <w:r>
        <w:rPr>
          <w:rFonts w:hint="default" w:ascii="Times New Roman" w:hAnsi="Times New Roman" w:eastAsia="仿宋_GB2312" w:cs="Times New Roman"/>
          <w:kern w:val="2"/>
          <w:sz w:val="32"/>
          <w:szCs w:val="32"/>
          <w:lang w:val="zh-CN" w:eastAsia="zh-CN" w:bidi="ar-SA"/>
        </w:rPr>
        <w:t>终止、履约验收和资金支付、采购信息公开、管理等采购人主要责任清单均有制度可依。单位采购内部控制制度健全</w:t>
      </w:r>
      <w:r>
        <w:rPr>
          <w:rFonts w:hint="eastAsia" w:cs="Times New Roman"/>
          <w:kern w:val="2"/>
          <w:sz w:val="32"/>
          <w:szCs w:val="32"/>
          <w:lang w:val="zh-CN" w:eastAsia="zh-CN" w:bidi="ar-SA"/>
        </w:rPr>
        <w:t>，</w:t>
      </w:r>
      <w:r>
        <w:rPr>
          <w:rFonts w:hint="default" w:ascii="Times New Roman" w:hAnsi="Times New Roman" w:eastAsia="仿宋_GB2312" w:cs="Times New Roman"/>
          <w:kern w:val="2"/>
          <w:sz w:val="32"/>
          <w:szCs w:val="32"/>
          <w:lang w:val="zh-CN" w:eastAsia="zh-CN" w:bidi="ar-SA"/>
        </w:rPr>
        <w:t>采购程序均按要求进行</w:t>
      </w:r>
      <w:r>
        <w:rPr>
          <w:rFonts w:hint="eastAsia" w:cs="Times New Roman"/>
          <w:kern w:val="2"/>
          <w:sz w:val="32"/>
          <w:szCs w:val="32"/>
          <w:lang w:val="zh-CN" w:eastAsia="zh-CN" w:bidi="ar-SA"/>
        </w:rPr>
        <w:t>，</w:t>
      </w:r>
      <w:r>
        <w:rPr>
          <w:rFonts w:hint="default" w:ascii="Times New Roman" w:hAnsi="Times New Roman" w:eastAsia="仿宋_GB2312" w:cs="Times New Roman"/>
          <w:kern w:val="2"/>
          <w:sz w:val="32"/>
          <w:szCs w:val="32"/>
          <w:lang w:val="zh-CN" w:eastAsia="zh-CN" w:bidi="ar-SA"/>
        </w:rPr>
        <w:t>合同签订、公告、备案等均按采购法要求时限完成</w:t>
      </w:r>
      <w:r>
        <w:rPr>
          <w:rFonts w:hint="eastAsia" w:cs="Times New Roman"/>
          <w:kern w:val="2"/>
          <w:sz w:val="32"/>
          <w:szCs w:val="32"/>
          <w:lang w:val="zh-CN" w:eastAsia="zh-CN" w:bidi="ar-SA"/>
        </w:rPr>
        <w:t>，</w:t>
      </w:r>
      <w:r>
        <w:rPr>
          <w:rFonts w:hint="default" w:ascii="Times New Roman" w:hAnsi="Times New Roman" w:eastAsia="仿宋_GB2312" w:cs="Times New Roman"/>
          <w:kern w:val="2"/>
          <w:sz w:val="32"/>
          <w:szCs w:val="32"/>
          <w:lang w:val="zh-CN" w:eastAsia="zh-CN" w:bidi="ar-SA"/>
        </w:rPr>
        <w:t>采购项目按要求编目入库</w:t>
      </w:r>
      <w:r>
        <w:rPr>
          <w:rFonts w:hint="eastAsia" w:cs="Times New Roman"/>
          <w:kern w:val="2"/>
          <w:sz w:val="32"/>
          <w:szCs w:val="32"/>
          <w:lang w:val="zh-CN" w:eastAsia="zh-CN" w:bidi="ar-SA"/>
        </w:rPr>
        <w:t>，</w:t>
      </w:r>
      <w:r>
        <w:rPr>
          <w:rFonts w:hint="default" w:ascii="Times New Roman" w:hAnsi="Times New Roman" w:eastAsia="仿宋_GB2312" w:cs="Times New Roman"/>
          <w:kern w:val="2"/>
          <w:sz w:val="32"/>
          <w:szCs w:val="32"/>
          <w:lang w:val="zh-CN" w:eastAsia="zh-CN" w:bidi="ar-SA"/>
        </w:rPr>
        <w:t>管理规范。</w:t>
      </w:r>
    </w:p>
    <w:p w14:paraId="339158AD">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outlineLvl w:val="9"/>
        <w:rPr>
          <w:rFonts w:hint="default" w:ascii="Times New Roman" w:hAnsi="Times New Roman" w:cs="Times New Roman"/>
          <w:color w:val="000000"/>
          <w:kern w:val="0"/>
          <w:sz w:val="32"/>
          <w:szCs w:val="32"/>
          <w:highlight w:val="none"/>
          <w:shd w:val="clear" w:color="auto" w:fill="FFFFFF"/>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4238FD5F">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常年项目绩效分析。</w:t>
      </w:r>
      <w:r>
        <w:rPr>
          <w:rFonts w:hint="default" w:ascii="Times New Roman" w:hAnsi="Times New Roman" w:eastAsia="仿宋_GB2312" w:cs="Times New Roman"/>
          <w:kern w:val="2"/>
          <w:sz w:val="32"/>
          <w:szCs w:val="32"/>
          <w:lang w:val="zh-CN" w:eastAsia="zh-CN" w:bidi="ar-SA"/>
        </w:rPr>
        <w:t>该类项目总数</w:t>
      </w:r>
      <w:r>
        <w:rPr>
          <w:rFonts w:hint="default" w:ascii="Times New Roman" w:hAnsi="Times New Roman" w:eastAsia="仿宋_GB2312" w:cs="Times New Roman"/>
          <w:kern w:val="2"/>
          <w:sz w:val="32"/>
          <w:szCs w:val="32"/>
          <w:lang w:val="en-US" w:eastAsia="zh-CN" w:bidi="ar-SA"/>
        </w:rPr>
        <w:t>8</w:t>
      </w:r>
      <w:r>
        <w:rPr>
          <w:rFonts w:hint="default" w:ascii="Times New Roman" w:hAnsi="Times New Roman" w:eastAsia="仿宋_GB2312" w:cs="Times New Roman"/>
          <w:kern w:val="2"/>
          <w:sz w:val="32"/>
          <w:szCs w:val="32"/>
          <w:lang w:val="zh-CN" w:eastAsia="zh-CN" w:bidi="ar-SA"/>
        </w:rPr>
        <w:t>个，涉及预算总金额</w:t>
      </w:r>
      <w:r>
        <w:rPr>
          <w:rFonts w:hint="default" w:ascii="Times New Roman" w:hAnsi="Times New Roman" w:eastAsia="仿宋_GB2312" w:cs="Times New Roman"/>
          <w:kern w:val="2"/>
          <w:sz w:val="32"/>
          <w:szCs w:val="32"/>
          <w:lang w:val="en-US" w:eastAsia="zh-CN" w:bidi="ar-SA"/>
        </w:rPr>
        <w:t>1537.01</w:t>
      </w:r>
      <w:r>
        <w:rPr>
          <w:rFonts w:hint="default" w:ascii="Times New Roman" w:hAnsi="Times New Roman" w:eastAsia="仿宋_GB2312" w:cs="Times New Roman"/>
          <w:kern w:val="2"/>
          <w:sz w:val="32"/>
          <w:szCs w:val="32"/>
          <w:lang w:val="zh-CN" w:eastAsia="zh-CN" w:bidi="ar-SA"/>
        </w:rPr>
        <w:t>万元，</w:t>
      </w:r>
      <w:r>
        <w:rPr>
          <w:rFonts w:hint="default" w:ascii="Times New Roman" w:hAnsi="Times New Roman" w:eastAsia="仿宋_GB2312" w:cs="Times New Roman"/>
          <w:kern w:val="2"/>
          <w:sz w:val="32"/>
          <w:szCs w:val="32"/>
          <w:lang w:val="en-US" w:eastAsia="zh-CN" w:bidi="ar-SA"/>
        </w:rPr>
        <w:t>其中</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社会保障和就业服务大厅工作经费20万元，行政事业单位编外用工工资1455.5万元，乡镇社保网络服务平台6万元，省级社保公共服务能力建设4万元，律师代理费1.8万元，人事考务费3.38万元，档案信息化管理工作经费10万，在职干部学历提升奖补36.33万元。</w:t>
      </w:r>
      <w:r>
        <w:rPr>
          <w:rFonts w:hint="default" w:ascii="Times New Roman" w:hAnsi="Times New Roman" w:eastAsia="仿宋_GB2312" w:cs="Times New Roman"/>
          <w:kern w:val="2"/>
          <w:sz w:val="32"/>
          <w:szCs w:val="32"/>
          <w:lang w:val="zh-CN" w:eastAsia="zh-CN" w:bidi="ar-SA"/>
        </w:rPr>
        <w:t>1</w:t>
      </w:r>
      <w:r>
        <w:rPr>
          <w:rFonts w:hint="eastAsia" w:ascii="Times New Roman" w:hAnsi="Times New Roman" w:eastAsia="仿宋_GB2312" w:cs="Times New Roman"/>
          <w:kern w:val="2"/>
          <w:sz w:val="32"/>
          <w:szCs w:val="32"/>
          <w:lang w:val="zh-CN" w:eastAsia="zh-CN" w:bidi="ar-SA"/>
        </w:rPr>
        <w:t>—</w:t>
      </w:r>
      <w:r>
        <w:rPr>
          <w:rFonts w:hint="default" w:ascii="Times New Roman" w:hAnsi="Times New Roman" w:eastAsia="仿宋_GB2312" w:cs="Times New Roman"/>
          <w:kern w:val="2"/>
          <w:sz w:val="32"/>
          <w:szCs w:val="32"/>
          <w:lang w:val="zh-CN" w:eastAsia="zh-CN" w:bidi="ar-SA"/>
        </w:rPr>
        <w:t>1</w:t>
      </w: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zh-CN" w:eastAsia="zh-CN" w:bidi="ar-SA"/>
        </w:rPr>
        <w:t>月预算执行总体进度为</w:t>
      </w:r>
      <w:r>
        <w:rPr>
          <w:rFonts w:hint="default" w:ascii="Times New Roman" w:hAnsi="Times New Roman" w:eastAsia="仿宋_GB2312" w:cs="Times New Roman"/>
          <w:kern w:val="2"/>
          <w:sz w:val="32"/>
          <w:szCs w:val="32"/>
          <w:lang w:val="en-US" w:eastAsia="zh-CN" w:bidi="ar-SA"/>
        </w:rPr>
        <w:t>100</w:t>
      </w:r>
      <w:r>
        <w:rPr>
          <w:rFonts w:hint="default" w:ascii="Times New Roman" w:hAnsi="Times New Roman" w:eastAsia="仿宋_GB2312" w:cs="Times New Roman"/>
          <w:kern w:val="2"/>
          <w:sz w:val="32"/>
          <w:szCs w:val="32"/>
          <w:lang w:val="zh-CN" w:eastAsia="zh-CN" w:bidi="ar-SA"/>
        </w:rPr>
        <w:t>%，其中：预算结余率大于</w:t>
      </w:r>
      <w:r>
        <w:rPr>
          <w:rFonts w:hint="default" w:ascii="Times New Roman" w:hAnsi="Times New Roman" w:eastAsia="仿宋_GB2312" w:cs="Times New Roman"/>
          <w:kern w:val="2"/>
          <w:sz w:val="32"/>
          <w:szCs w:val="32"/>
          <w:lang w:val="en-US" w:eastAsia="zh-CN" w:bidi="ar-SA"/>
        </w:rPr>
        <w:t>10%</w:t>
      </w:r>
      <w:r>
        <w:rPr>
          <w:rFonts w:hint="default" w:ascii="Times New Roman" w:hAnsi="Times New Roman" w:eastAsia="仿宋_GB2312" w:cs="Times New Roman"/>
          <w:kern w:val="2"/>
          <w:sz w:val="32"/>
          <w:szCs w:val="32"/>
          <w:lang w:val="zh-CN" w:eastAsia="zh-CN" w:bidi="ar-SA"/>
        </w:rPr>
        <w:t>的项目共计</w:t>
      </w:r>
      <w:r>
        <w:rPr>
          <w:rFonts w:hint="default" w:ascii="Times New Roman" w:hAnsi="Times New Roman" w:eastAsia="仿宋_GB2312" w:cs="Times New Roman"/>
          <w:kern w:val="2"/>
          <w:sz w:val="32"/>
          <w:szCs w:val="32"/>
          <w:lang w:val="en-US" w:eastAsia="zh-CN" w:bidi="ar-SA"/>
        </w:rPr>
        <w:t>0</w:t>
      </w:r>
      <w:r>
        <w:rPr>
          <w:rFonts w:hint="default" w:ascii="Times New Roman" w:hAnsi="Times New Roman" w:eastAsia="仿宋_GB2312" w:cs="Times New Roman"/>
          <w:kern w:val="2"/>
          <w:sz w:val="32"/>
          <w:szCs w:val="32"/>
          <w:lang w:val="zh-CN" w:eastAsia="zh-CN" w:bidi="ar-SA"/>
        </w:rPr>
        <w:t>个。</w:t>
      </w:r>
    </w:p>
    <w:p w14:paraId="59DA17B5">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阶段（一次性）项目绩效分析。</w:t>
      </w:r>
      <w:r>
        <w:rPr>
          <w:rFonts w:hint="default" w:ascii="Times New Roman" w:hAnsi="Times New Roman" w:eastAsia="仿宋_GB2312" w:cs="Times New Roman"/>
          <w:kern w:val="2"/>
          <w:sz w:val="32"/>
          <w:szCs w:val="32"/>
          <w:lang w:val="zh-CN" w:eastAsia="zh-CN" w:bidi="ar-SA"/>
        </w:rPr>
        <w:t>该类项目总数</w:t>
      </w: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zh-CN" w:eastAsia="zh-CN" w:bidi="ar-SA"/>
        </w:rPr>
        <w:t>个，涉及预算总金额</w:t>
      </w:r>
      <w:r>
        <w:rPr>
          <w:rFonts w:hint="default" w:ascii="Times New Roman" w:hAnsi="Times New Roman" w:eastAsia="仿宋_GB2312" w:cs="Times New Roman"/>
          <w:kern w:val="2"/>
          <w:sz w:val="32"/>
          <w:szCs w:val="32"/>
          <w:lang w:val="en-US" w:eastAsia="zh-CN" w:bidi="ar-SA"/>
        </w:rPr>
        <w:t>12.91</w:t>
      </w:r>
      <w:r>
        <w:rPr>
          <w:rFonts w:hint="default" w:ascii="Times New Roman" w:hAnsi="Times New Roman" w:eastAsia="仿宋_GB2312" w:cs="Times New Roman"/>
          <w:kern w:val="2"/>
          <w:sz w:val="32"/>
          <w:szCs w:val="32"/>
          <w:lang w:val="zh-CN" w:eastAsia="zh-CN" w:bidi="ar-SA"/>
        </w:rPr>
        <w:t>万元，其中：</w:t>
      </w:r>
      <w:r>
        <w:rPr>
          <w:rFonts w:hint="default" w:ascii="Times New Roman" w:hAnsi="Times New Roman" w:eastAsia="仿宋_GB2312" w:cs="Times New Roman"/>
          <w:kern w:val="2"/>
          <w:sz w:val="32"/>
          <w:szCs w:val="32"/>
          <w:lang w:val="en-US" w:eastAsia="zh-CN" w:bidi="ar-SA"/>
        </w:rPr>
        <w:t>松潘县人社局一楼政务大厅供暖设备改造质保金0.59万元</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人社局会议室维修维护经费12.32万元。</w:t>
      </w:r>
      <w:r>
        <w:rPr>
          <w:rFonts w:hint="default" w:ascii="Times New Roman" w:hAnsi="Times New Roman" w:eastAsia="仿宋_GB2312" w:cs="Times New Roman"/>
          <w:kern w:val="2"/>
          <w:sz w:val="32"/>
          <w:szCs w:val="32"/>
          <w:lang w:val="zh-CN" w:eastAsia="zh-CN" w:bidi="ar-SA"/>
        </w:rPr>
        <w:t>1</w:t>
      </w:r>
      <w:r>
        <w:rPr>
          <w:rFonts w:hint="eastAsia" w:ascii="Times New Roman" w:hAnsi="Times New Roman" w:eastAsia="仿宋_GB2312" w:cs="Times New Roman"/>
          <w:kern w:val="2"/>
          <w:sz w:val="32"/>
          <w:szCs w:val="32"/>
          <w:lang w:val="zh-CN" w:eastAsia="zh-CN" w:bidi="ar-SA"/>
        </w:rPr>
        <w:t>—</w:t>
      </w:r>
      <w:r>
        <w:rPr>
          <w:rFonts w:hint="default" w:ascii="Times New Roman" w:hAnsi="Times New Roman" w:eastAsia="仿宋_GB2312" w:cs="Times New Roman"/>
          <w:kern w:val="2"/>
          <w:sz w:val="32"/>
          <w:szCs w:val="32"/>
          <w:lang w:val="zh-CN" w:eastAsia="zh-CN" w:bidi="ar-SA"/>
        </w:rPr>
        <w:t>1</w:t>
      </w: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zh-CN" w:eastAsia="zh-CN" w:bidi="ar-SA"/>
        </w:rPr>
        <w:t>月预算执行总体进度为</w:t>
      </w:r>
      <w:r>
        <w:rPr>
          <w:rFonts w:hint="default" w:ascii="Times New Roman" w:hAnsi="Times New Roman" w:eastAsia="仿宋_GB2312" w:cs="Times New Roman"/>
          <w:kern w:val="2"/>
          <w:sz w:val="32"/>
          <w:szCs w:val="32"/>
          <w:lang w:val="en-US" w:eastAsia="zh-CN" w:bidi="ar-SA"/>
        </w:rPr>
        <w:t>100</w:t>
      </w:r>
      <w:r>
        <w:rPr>
          <w:rFonts w:hint="default" w:ascii="Times New Roman" w:hAnsi="Times New Roman" w:eastAsia="仿宋_GB2312" w:cs="Times New Roman"/>
          <w:kern w:val="2"/>
          <w:sz w:val="32"/>
          <w:szCs w:val="32"/>
          <w:lang w:val="zh-CN" w:eastAsia="zh-CN" w:bidi="ar-SA"/>
        </w:rPr>
        <w:t>%，其中：预算结余率大于</w:t>
      </w:r>
      <w:r>
        <w:rPr>
          <w:rFonts w:hint="default" w:ascii="Times New Roman" w:hAnsi="Times New Roman" w:eastAsia="仿宋_GB2312" w:cs="Times New Roman"/>
          <w:kern w:val="2"/>
          <w:sz w:val="32"/>
          <w:szCs w:val="32"/>
          <w:lang w:val="en-US" w:eastAsia="zh-CN" w:bidi="ar-SA"/>
        </w:rPr>
        <w:t>10%</w:t>
      </w:r>
      <w:r>
        <w:rPr>
          <w:rFonts w:hint="default" w:ascii="Times New Roman" w:hAnsi="Times New Roman" w:eastAsia="仿宋_GB2312" w:cs="Times New Roman"/>
          <w:kern w:val="2"/>
          <w:sz w:val="32"/>
          <w:szCs w:val="32"/>
          <w:lang w:val="zh-CN" w:eastAsia="zh-CN" w:bidi="ar-SA"/>
        </w:rPr>
        <w:t>的项目共计</w:t>
      </w:r>
      <w:r>
        <w:rPr>
          <w:rFonts w:hint="default" w:ascii="Times New Roman" w:hAnsi="Times New Roman" w:eastAsia="仿宋_GB2312" w:cs="Times New Roman"/>
          <w:kern w:val="2"/>
          <w:sz w:val="32"/>
          <w:szCs w:val="32"/>
          <w:lang w:val="en-US" w:eastAsia="zh-CN" w:bidi="ar-SA"/>
        </w:rPr>
        <w:t>0</w:t>
      </w:r>
      <w:r>
        <w:rPr>
          <w:rFonts w:hint="default" w:ascii="Times New Roman" w:hAnsi="Times New Roman" w:eastAsia="仿宋_GB2312" w:cs="Times New Roman"/>
          <w:kern w:val="2"/>
          <w:sz w:val="32"/>
          <w:szCs w:val="32"/>
          <w:lang w:val="zh-CN" w:eastAsia="zh-CN" w:bidi="ar-SA"/>
        </w:rPr>
        <w:t>个。</w:t>
      </w:r>
    </w:p>
    <w:p w14:paraId="11C606D6">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02" w:firstLineChars="200"/>
        <w:contextualSpacing/>
        <w:jc w:val="left"/>
        <w:textAlignment w:val="auto"/>
        <w:outlineLvl w:val="9"/>
        <w:rPr>
          <w:rFonts w:hint="default" w:ascii="Times New Roman" w:hAnsi="Times New Roman" w:eastAsia="仿宋_GB2312" w:cs="Times New Roman"/>
          <w:kern w:val="2"/>
          <w:sz w:val="32"/>
          <w:szCs w:val="32"/>
          <w:lang w:val="zh-CN" w:eastAsia="zh-CN" w:bidi="ar-SA"/>
        </w:rPr>
      </w:pPr>
      <w:r>
        <w:rPr>
          <w:rFonts w:hint="eastAsia" w:ascii="仿宋_GB2312" w:hAnsi="仿宋_GB2312" w:eastAsia="仿宋_GB2312" w:cs="仿宋_GB2312"/>
          <w:b/>
          <w:bCs/>
          <w:color w:val="000000"/>
          <w:kern w:val="0"/>
          <w:sz w:val="30"/>
          <w:szCs w:val="30"/>
          <w:highlight w:val="none"/>
          <w:shd w:val="clear" w:color="auto" w:fill="FFFFFF"/>
          <w:lang w:val="en-US" w:eastAsia="zh-CN"/>
        </w:rPr>
        <w:t>1.</w:t>
      </w:r>
      <w:r>
        <w:rPr>
          <w:rFonts w:hint="eastAsia" w:ascii="仿宋_GB2312" w:hAnsi="仿宋_GB2312" w:eastAsia="仿宋_GB2312" w:cs="仿宋_GB2312"/>
          <w:b/>
          <w:bCs/>
          <w:color w:val="000000"/>
          <w:kern w:val="0"/>
          <w:sz w:val="30"/>
          <w:szCs w:val="30"/>
          <w:highlight w:val="none"/>
          <w:shd w:val="clear" w:color="auto" w:fill="FFFFFF"/>
          <w:lang w:val="zh-CN"/>
        </w:rPr>
        <w:t>项目决策。</w:t>
      </w:r>
      <w:r>
        <w:rPr>
          <w:rFonts w:hint="default" w:ascii="Times New Roman" w:hAnsi="Times New Roman" w:eastAsia="仿宋_GB2312" w:cs="Times New Roman"/>
          <w:kern w:val="2"/>
          <w:sz w:val="32"/>
          <w:szCs w:val="32"/>
          <w:lang w:val="zh-CN" w:eastAsia="zh-CN" w:bidi="ar-SA"/>
        </w:rPr>
        <w:t>按照决策程序，对项目投入经济性的评估是在项目事前绩效评估、预算测算的基础上，按照厉行节约的要求，结合项目</w:t>
      </w:r>
      <w:r>
        <w:rPr>
          <w:rFonts w:hint="default" w:ascii="Times New Roman" w:hAnsi="Times New Roman" w:eastAsia="仿宋_GB2312" w:cs="Times New Roman"/>
          <w:kern w:val="2"/>
          <w:sz w:val="32"/>
          <w:szCs w:val="32"/>
          <w:lang w:val="en-US" w:eastAsia="zh-CN" w:bidi="ar-SA"/>
        </w:rPr>
        <w:t>2022</w:t>
      </w:r>
      <w:r>
        <w:rPr>
          <w:rFonts w:hint="default" w:ascii="Times New Roman" w:hAnsi="Times New Roman" w:eastAsia="仿宋_GB2312" w:cs="Times New Roman"/>
          <w:kern w:val="2"/>
          <w:sz w:val="32"/>
          <w:szCs w:val="32"/>
          <w:lang w:val="zh-CN" w:eastAsia="zh-CN" w:bidi="ar-SA"/>
        </w:rPr>
        <w:t>年开支情况以及</w:t>
      </w:r>
      <w:r>
        <w:rPr>
          <w:rFonts w:hint="default" w:ascii="Times New Roman" w:hAnsi="Times New Roman" w:eastAsia="仿宋_GB2312" w:cs="Times New Roman"/>
          <w:kern w:val="2"/>
          <w:sz w:val="32"/>
          <w:szCs w:val="32"/>
          <w:lang w:val="en-US" w:eastAsia="zh-CN" w:bidi="ar-SA"/>
        </w:rPr>
        <w:t>2023</w:t>
      </w:r>
      <w:r>
        <w:rPr>
          <w:rFonts w:hint="default" w:ascii="Times New Roman" w:hAnsi="Times New Roman" w:eastAsia="仿宋_GB2312" w:cs="Times New Roman"/>
          <w:kern w:val="2"/>
          <w:sz w:val="32"/>
          <w:szCs w:val="32"/>
          <w:lang w:val="zh-CN" w:eastAsia="zh-CN" w:bidi="ar-SA"/>
        </w:rPr>
        <w:t>年实际需求</w:t>
      </w:r>
      <w:r>
        <w:rPr>
          <w:rFonts w:hint="eastAsia" w:ascii="Times New Roman" w:hAnsi="Times New Roman" w:eastAsia="仿宋_GB2312" w:cs="Times New Roman"/>
          <w:kern w:val="2"/>
          <w:sz w:val="32"/>
          <w:szCs w:val="32"/>
          <w:lang w:val="zh-CN" w:eastAsia="zh-CN" w:bidi="ar-SA"/>
        </w:rPr>
        <w:t>、</w:t>
      </w:r>
      <w:r>
        <w:rPr>
          <w:rFonts w:hint="default" w:ascii="Times New Roman" w:hAnsi="Times New Roman" w:eastAsia="仿宋_GB2312" w:cs="Times New Roman"/>
          <w:kern w:val="2"/>
          <w:sz w:val="32"/>
          <w:szCs w:val="32"/>
          <w:lang w:val="zh-CN" w:eastAsia="zh-CN" w:bidi="ar-SA"/>
        </w:rPr>
        <w:t>相关费用标准及市场价格水平，重点对数量是否合理、投入是否经济、预算测算是否准确、测算过程是否详细、测算依据是否充分等方面进行了评估。评估认为，项目任务数量基本合理、预算测算过程较为详细、测算依据基本充分、有一定的经济性。项目的实施按照流程进入项目入库。</w:t>
      </w:r>
    </w:p>
    <w:p w14:paraId="4E0F960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02" w:firstLineChars="200"/>
        <w:contextualSpacing/>
        <w:jc w:val="left"/>
        <w:textAlignment w:val="auto"/>
        <w:outlineLvl w:val="9"/>
        <w:rPr>
          <w:rFonts w:hint="default" w:ascii="Times New Roman" w:hAnsi="Times New Roman" w:eastAsia="仿宋_GB2312" w:cs="Times New Roman"/>
          <w:kern w:val="2"/>
          <w:sz w:val="32"/>
          <w:szCs w:val="32"/>
          <w:lang w:val="zh-CN" w:eastAsia="zh-CN" w:bidi="ar-SA"/>
        </w:rPr>
      </w:pPr>
      <w:r>
        <w:rPr>
          <w:rFonts w:hint="eastAsia" w:ascii="仿宋_GB2312" w:hAnsi="仿宋_GB2312" w:eastAsia="仿宋_GB2312" w:cs="仿宋_GB2312"/>
          <w:b/>
          <w:bCs/>
          <w:color w:val="000000"/>
          <w:kern w:val="0"/>
          <w:sz w:val="30"/>
          <w:szCs w:val="30"/>
          <w:highlight w:val="none"/>
          <w:shd w:val="clear" w:color="auto" w:fill="FFFFFF"/>
          <w:lang w:val="en-US" w:eastAsia="zh-CN"/>
        </w:rPr>
        <w:t>2.项目执行</w:t>
      </w:r>
      <w:r>
        <w:rPr>
          <w:rFonts w:hint="eastAsia" w:ascii="仿宋_GB2312" w:hAnsi="仿宋_GB2312" w:eastAsia="仿宋_GB2312" w:cs="仿宋_GB2312"/>
          <w:b/>
          <w:bCs/>
          <w:color w:val="000000"/>
          <w:kern w:val="0"/>
          <w:sz w:val="30"/>
          <w:szCs w:val="30"/>
          <w:highlight w:val="none"/>
          <w:shd w:val="clear" w:color="auto" w:fill="FFFFFF"/>
          <w:lang w:val="zh-CN"/>
        </w:rPr>
        <w:t>。</w:t>
      </w:r>
      <w:r>
        <w:rPr>
          <w:rFonts w:hint="default" w:ascii="Times New Roman" w:hAnsi="Times New Roman" w:eastAsia="仿宋_GB2312" w:cs="Times New Roman"/>
          <w:kern w:val="2"/>
          <w:sz w:val="32"/>
          <w:szCs w:val="32"/>
          <w:lang w:val="zh-CN" w:eastAsia="zh-CN" w:bidi="ar-SA"/>
        </w:rPr>
        <w:t>项目立项必要性和依据充分，绩效目标明确，具备实施条件，具有公共性，符合财政资金支持方向，预期产出和效果能满足人社工作需要，绩效目标设置按照实际情况，设置了一、二、三级指标，绩效目标和绩效指标量化可考核，相匹配，全面完整，契合政策，与部门的长期规划目标、年度工作目标相一致，产出和效果相关联，各项绩效指标值的设定依据和参考标准，满意度指标预测均按要求设置。</w:t>
      </w:r>
    </w:p>
    <w:p w14:paraId="56725A9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02" w:firstLineChars="200"/>
        <w:contextualSpacing/>
        <w:jc w:val="left"/>
        <w:textAlignment w:val="auto"/>
        <w:outlineLvl w:val="9"/>
        <w:rPr>
          <w:rFonts w:hint="default" w:ascii="Times New Roman" w:hAnsi="Times New Roman" w:eastAsia="仿宋_GB2312" w:cs="Times New Roman"/>
          <w:kern w:val="2"/>
          <w:sz w:val="32"/>
          <w:szCs w:val="32"/>
          <w:lang w:val="zh-CN" w:eastAsia="zh-CN" w:bidi="ar-SA"/>
        </w:rPr>
      </w:pPr>
      <w:r>
        <w:rPr>
          <w:rFonts w:hint="eastAsia" w:ascii="仿宋_GB2312" w:hAnsi="仿宋_GB2312" w:eastAsia="仿宋_GB2312" w:cs="仿宋_GB2312"/>
          <w:b/>
          <w:bCs/>
          <w:color w:val="000000"/>
          <w:kern w:val="0"/>
          <w:sz w:val="30"/>
          <w:szCs w:val="30"/>
          <w:highlight w:val="none"/>
          <w:shd w:val="clear" w:color="auto" w:fill="FFFFFF"/>
          <w:lang w:val="en-US" w:eastAsia="zh-CN"/>
        </w:rPr>
        <w:t>3.</w:t>
      </w:r>
      <w:r>
        <w:rPr>
          <w:rFonts w:hint="eastAsia" w:ascii="仿宋_GB2312" w:hAnsi="仿宋_GB2312" w:eastAsia="仿宋_GB2312" w:cs="仿宋_GB2312"/>
          <w:b/>
          <w:bCs/>
          <w:color w:val="000000"/>
          <w:kern w:val="0"/>
          <w:sz w:val="30"/>
          <w:szCs w:val="30"/>
          <w:highlight w:val="none"/>
          <w:shd w:val="clear" w:color="auto" w:fill="FFFFFF"/>
          <w:lang w:val="zh-CN"/>
        </w:rPr>
        <w:t>目标实现。</w:t>
      </w:r>
      <w:r>
        <w:rPr>
          <w:rFonts w:hint="default" w:ascii="Times New Roman" w:hAnsi="Times New Roman" w:eastAsia="仿宋_GB2312" w:cs="Times New Roman"/>
          <w:kern w:val="2"/>
          <w:sz w:val="32"/>
          <w:szCs w:val="32"/>
          <w:lang w:val="zh-CN" w:eastAsia="zh-CN" w:bidi="ar-SA"/>
        </w:rPr>
        <w:t>项目的实施推进了我单位业务工作的正常开展。项目决策正确，管理规范，绩效完成率非常好。其制定实施方案或计划，组织机构健全，职责分工明确，有具体的实施时间，有明确的工作程序，基础设施条件能够有效保障，资金能足额保证，具有相应的质量检查、验收等必要的控制措施或手段，有针对突发事件或未知风险的应急措施。</w:t>
      </w:r>
    </w:p>
    <w:p w14:paraId="3AEEF55C">
      <w:pPr>
        <w:keepNext w:val="0"/>
        <w:keepLines w:val="0"/>
        <w:pageBreakBefore w:val="0"/>
        <w:widowControl w:val="0"/>
        <w:kinsoku/>
        <w:wordWrap/>
        <w:overflowPunct/>
        <w:topLinePunct w:val="0"/>
        <w:autoSpaceDE/>
        <w:autoSpaceDN/>
        <w:bidi w:val="0"/>
        <w:snapToGrid w:val="0"/>
        <w:spacing w:line="576" w:lineRule="exact"/>
        <w:ind w:firstLine="643" w:firstLineChars="200"/>
        <w:textAlignment w:val="auto"/>
        <w:rPr>
          <w:rFonts w:hint="default" w:ascii="Times New Roman" w:hAnsi="Times New Roman" w:eastAsia="楷体_GB2312" w:cs="Times New Roman"/>
          <w:b/>
          <w:bCs/>
          <w:sz w:val="32"/>
          <w:szCs w:val="32"/>
          <w:lang w:val="zh-CN" w:eastAsia="zh-CN"/>
        </w:rPr>
      </w:pPr>
      <w:r>
        <w:rPr>
          <w:rFonts w:hint="default" w:ascii="Times New Roman" w:hAnsi="Times New Roman" w:eastAsia="楷体_GB2312" w:cs="Times New Roman"/>
          <w:b/>
          <w:bCs/>
          <w:sz w:val="32"/>
          <w:szCs w:val="32"/>
          <w:lang w:val="zh-CN" w:eastAsia="zh-CN"/>
        </w:rPr>
        <w:t>（三）重点领域绩效分析。</w:t>
      </w:r>
    </w:p>
    <w:p w14:paraId="0C3582DC">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zh-CN" w:eastAsia="zh-CN" w:bidi="ar-SA"/>
        </w:rPr>
        <w:t>无</w:t>
      </w:r>
    </w:p>
    <w:p w14:paraId="7D63CFA8">
      <w:pPr>
        <w:keepNext w:val="0"/>
        <w:keepLines w:val="0"/>
        <w:pageBreakBefore w:val="0"/>
        <w:widowControl w:val="0"/>
        <w:kinsoku/>
        <w:wordWrap/>
        <w:overflowPunct/>
        <w:topLinePunct w:val="0"/>
        <w:autoSpaceDE/>
        <w:autoSpaceDN/>
        <w:bidi w:val="0"/>
        <w:snapToGrid w:val="0"/>
        <w:spacing w:line="576" w:lineRule="exact"/>
        <w:ind w:firstLine="643"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b/>
          <w:bCs/>
          <w:sz w:val="32"/>
          <w:szCs w:val="32"/>
          <w:lang w:val="zh-CN"/>
        </w:rPr>
        <w:t>（四）绩效结果应用情况。</w:t>
      </w:r>
      <w:r>
        <w:rPr>
          <w:rFonts w:hint="default" w:ascii="Times New Roman" w:hAnsi="Times New Roman" w:eastAsia="仿宋_GB2312" w:cs="Times New Roman"/>
          <w:kern w:val="2"/>
          <w:sz w:val="32"/>
          <w:szCs w:val="32"/>
          <w:lang w:val="zh-CN" w:eastAsia="zh-CN" w:bidi="ar-SA"/>
        </w:rPr>
        <w:t>部门自评质量、绩效目标等报告按时按质予以完成并及时向社会公布，并针对自评表中查找出的问题，给予针对性</w:t>
      </w:r>
      <w:r>
        <w:rPr>
          <w:rFonts w:hint="eastAsia" w:eastAsia="仿宋_GB2312" w:cs="Times New Roman"/>
          <w:kern w:val="2"/>
          <w:sz w:val="32"/>
          <w:szCs w:val="32"/>
          <w:lang w:val="zh-CN" w:eastAsia="zh-CN" w:bidi="ar-SA"/>
        </w:rPr>
        <w:t>地</w:t>
      </w:r>
      <w:r>
        <w:rPr>
          <w:rFonts w:hint="default" w:ascii="Times New Roman" w:hAnsi="Times New Roman" w:eastAsia="仿宋_GB2312" w:cs="Times New Roman"/>
          <w:kern w:val="2"/>
          <w:sz w:val="32"/>
          <w:szCs w:val="32"/>
          <w:lang w:val="zh-CN" w:eastAsia="zh-CN" w:bidi="ar-SA"/>
        </w:rPr>
        <w:t>整改。</w:t>
      </w:r>
    </w:p>
    <w:p w14:paraId="30D572AB">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lang w:eastAsia="zh-CN"/>
        </w:rPr>
        <w:t>四、</w:t>
      </w:r>
      <w:r>
        <w:rPr>
          <w:rFonts w:hint="default" w:ascii="Times New Roman" w:hAnsi="Times New Roman" w:eastAsia="黑体" w:cs="Times New Roman"/>
          <w:color w:val="000000"/>
          <w:kern w:val="0"/>
          <w:sz w:val="32"/>
          <w:szCs w:val="32"/>
          <w:highlight w:val="none"/>
          <w:shd w:val="clear" w:color="auto" w:fill="FFFFFF"/>
        </w:rPr>
        <w:t>评价结论及建议</w:t>
      </w:r>
    </w:p>
    <w:p w14:paraId="2F5C7B12">
      <w:pPr>
        <w:keepNext w:val="0"/>
        <w:keepLines w:val="0"/>
        <w:pageBreakBefore w:val="0"/>
        <w:widowControl/>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default" w:ascii="Times New Roman" w:hAnsi="Times New Roman" w:eastAsia="仿宋_GB2312" w:cs="Times New Roman"/>
          <w:kern w:val="2"/>
          <w:sz w:val="32"/>
          <w:szCs w:val="32"/>
          <w:lang w:val="en-US" w:eastAsia="zh-CN" w:bidi="ar-SA"/>
        </w:rPr>
        <w:t>2023年</w:t>
      </w:r>
      <w:r>
        <w:rPr>
          <w:rFonts w:hint="default" w:ascii="Times New Roman" w:hAnsi="Times New Roman" w:eastAsia="仿宋_GB2312" w:cs="Times New Roman"/>
          <w:kern w:val="2"/>
          <w:sz w:val="32"/>
          <w:szCs w:val="32"/>
          <w:lang w:val="zh-CN" w:eastAsia="zh-CN" w:bidi="ar-SA"/>
        </w:rPr>
        <w:t>我单位预算执行整体情况正常，按照各项工作有序开展的进度，财政资金收支情况同时也按进度执行，有个别需要进一步加大力度开展。</w:t>
      </w:r>
    </w:p>
    <w:p w14:paraId="5D534E64">
      <w:pPr>
        <w:keepNext w:val="0"/>
        <w:keepLines w:val="0"/>
        <w:pageBreakBefore w:val="0"/>
        <w:widowControl/>
        <w:kinsoku/>
        <w:wordWrap/>
        <w:overflowPunct/>
        <w:topLinePunct w:val="0"/>
        <w:autoSpaceDE/>
        <w:autoSpaceDN/>
        <w:bidi w:val="0"/>
        <w:spacing w:line="576"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26E7D01C">
      <w:pPr>
        <w:keepNext w:val="0"/>
        <w:keepLines w:val="0"/>
        <w:pageBreakBefore w:val="0"/>
        <w:widowControl/>
        <w:kinsoku/>
        <w:wordWrap/>
        <w:overflowPunct/>
        <w:topLinePunct w:val="0"/>
        <w:autoSpaceDE/>
        <w:autoSpaceDN/>
        <w:bidi w:val="0"/>
        <w:spacing w:line="576" w:lineRule="exact"/>
        <w:ind w:firstLine="301" w:firstLineChars="100"/>
        <w:textAlignment w:val="auto"/>
        <w:rPr>
          <w:rFonts w:hint="default" w:ascii="Times New Roman" w:hAnsi="Times New Roman" w:cs="Times New Roman"/>
          <w:color w:val="000000"/>
          <w:kern w:val="0"/>
          <w:szCs w:val="32"/>
          <w:highlight w:val="none"/>
          <w:shd w:val="clear" w:color="auto" w:fill="FFFFFF"/>
          <w:lang w:val="zh-CN" w:eastAsia="zh-CN"/>
        </w:rPr>
      </w:pPr>
      <w:r>
        <w:rPr>
          <w:rFonts w:hint="default" w:ascii="仿宋_GB2312" w:hAnsi="仿宋_GB2312" w:eastAsia="仿宋_GB2312" w:cs="仿宋_GB2312"/>
          <w:b/>
          <w:bCs/>
          <w:color w:val="000000"/>
          <w:kern w:val="0"/>
          <w:sz w:val="30"/>
          <w:szCs w:val="30"/>
          <w:highlight w:val="none"/>
          <w:shd w:val="clear" w:color="auto" w:fill="FFFFFF"/>
          <w:lang w:val="zh-CN" w:eastAsia="zh-CN"/>
        </w:rPr>
        <w:t>1</w:t>
      </w:r>
      <w:r>
        <w:rPr>
          <w:rFonts w:hint="eastAsia" w:ascii="仿宋_GB2312" w:hAnsi="仿宋_GB2312" w:eastAsia="仿宋_GB2312" w:cs="仿宋_GB2312"/>
          <w:b/>
          <w:bCs/>
          <w:color w:val="000000"/>
          <w:kern w:val="0"/>
          <w:sz w:val="30"/>
          <w:szCs w:val="30"/>
          <w:highlight w:val="none"/>
          <w:shd w:val="clear" w:color="auto" w:fill="FFFFFF"/>
          <w:lang w:val="zh-CN" w:eastAsia="zh-CN"/>
        </w:rPr>
        <w:t>.</w:t>
      </w:r>
      <w:r>
        <w:rPr>
          <w:rFonts w:hint="default" w:ascii="仿宋_GB2312" w:hAnsi="仿宋_GB2312" w:eastAsia="仿宋_GB2312" w:cs="仿宋_GB2312"/>
          <w:b/>
          <w:bCs/>
          <w:color w:val="000000"/>
          <w:kern w:val="0"/>
          <w:sz w:val="30"/>
          <w:szCs w:val="30"/>
          <w:highlight w:val="none"/>
          <w:shd w:val="clear" w:color="auto" w:fill="FFFFFF"/>
          <w:lang w:val="zh-CN" w:eastAsia="zh-CN"/>
        </w:rPr>
        <w:t>资产管理不规范。</w:t>
      </w:r>
      <w:r>
        <w:rPr>
          <w:rFonts w:hint="default" w:ascii="Times New Roman" w:hAnsi="Times New Roman" w:eastAsia="仿宋_GB2312" w:cs="Times New Roman"/>
          <w:kern w:val="2"/>
          <w:sz w:val="32"/>
          <w:szCs w:val="32"/>
          <w:lang w:val="zh-CN" w:eastAsia="zh-CN" w:bidi="ar-SA"/>
        </w:rPr>
        <w:t>单位人员流动大，造成资产管理不到位。</w:t>
      </w:r>
    </w:p>
    <w:p w14:paraId="2FADC0DD">
      <w:pPr>
        <w:keepNext w:val="0"/>
        <w:keepLines w:val="0"/>
        <w:pageBreakBefore w:val="0"/>
        <w:widowControl/>
        <w:kinsoku/>
        <w:wordWrap/>
        <w:overflowPunct/>
        <w:topLinePunct w:val="0"/>
        <w:autoSpaceDE/>
        <w:autoSpaceDN/>
        <w:bidi w:val="0"/>
        <w:spacing w:line="576" w:lineRule="exact"/>
        <w:ind w:firstLine="602" w:firstLineChars="200"/>
        <w:textAlignment w:val="auto"/>
        <w:rPr>
          <w:rFonts w:hint="default" w:ascii="Times New Roman" w:hAnsi="Times New Roman" w:eastAsia="仿宋_GB2312" w:cs="Times New Roman"/>
          <w:kern w:val="2"/>
          <w:sz w:val="32"/>
          <w:szCs w:val="32"/>
          <w:lang w:val="zh-CN" w:eastAsia="zh-CN" w:bidi="ar-SA"/>
        </w:rPr>
      </w:pPr>
      <w:r>
        <w:rPr>
          <w:rFonts w:hint="default" w:ascii="仿宋_GB2312" w:hAnsi="仿宋_GB2312" w:eastAsia="仿宋_GB2312" w:cs="仿宋_GB2312"/>
          <w:b/>
          <w:bCs/>
          <w:color w:val="000000"/>
          <w:kern w:val="0"/>
          <w:sz w:val="30"/>
          <w:szCs w:val="30"/>
          <w:highlight w:val="none"/>
          <w:shd w:val="clear" w:color="auto" w:fill="FFFFFF"/>
          <w:lang w:val="en-US" w:eastAsia="zh-CN"/>
        </w:rPr>
        <w:t>2</w:t>
      </w:r>
      <w:r>
        <w:rPr>
          <w:rFonts w:hint="eastAsia" w:ascii="仿宋_GB2312" w:hAnsi="仿宋_GB2312" w:eastAsia="仿宋_GB2312" w:cs="仿宋_GB2312"/>
          <w:b/>
          <w:bCs/>
          <w:color w:val="000000"/>
          <w:kern w:val="0"/>
          <w:sz w:val="30"/>
          <w:szCs w:val="30"/>
          <w:highlight w:val="none"/>
          <w:shd w:val="clear" w:color="auto" w:fill="FFFFFF"/>
          <w:lang w:val="zh-CN" w:eastAsia="zh-CN"/>
        </w:rPr>
        <w:t>.</w:t>
      </w:r>
      <w:r>
        <w:rPr>
          <w:rFonts w:hint="default" w:ascii="仿宋_GB2312" w:hAnsi="仿宋_GB2312" w:eastAsia="仿宋_GB2312" w:cs="仿宋_GB2312"/>
          <w:b/>
          <w:bCs/>
          <w:color w:val="000000"/>
          <w:kern w:val="0"/>
          <w:sz w:val="30"/>
          <w:szCs w:val="30"/>
          <w:highlight w:val="none"/>
          <w:shd w:val="clear" w:color="auto" w:fill="FFFFFF"/>
          <w:lang w:val="zh-CN" w:eastAsia="zh-CN"/>
        </w:rPr>
        <w:t>部分项目预算约束性不够。</w:t>
      </w:r>
      <w:r>
        <w:rPr>
          <w:rFonts w:hint="default" w:ascii="Times New Roman" w:hAnsi="Times New Roman" w:eastAsia="仿宋_GB2312" w:cs="Times New Roman"/>
          <w:kern w:val="2"/>
          <w:sz w:val="32"/>
          <w:szCs w:val="32"/>
          <w:lang w:val="zh-CN" w:eastAsia="zh-CN" w:bidi="ar-SA"/>
        </w:rPr>
        <w:t>预算编制不够扎实，在预算执行过程中调整变动较大，客观存在实际支出与年初预算发生偏差。</w:t>
      </w:r>
    </w:p>
    <w:p w14:paraId="5C5A5005">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3" w:name="_Hlk110546638"/>
    </w:p>
    <w:p w14:paraId="7F523F56">
      <w:pPr>
        <w:keepNext w:val="0"/>
        <w:keepLines w:val="0"/>
        <w:pageBreakBefore w:val="0"/>
        <w:widowControl/>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zh-CN" w:eastAsia="zh-CN" w:bidi="ar-SA"/>
        </w:rPr>
        <w:t>建议财政部门能组织各单位财务人员进行业务培训，不断提升各单位财务人员的业务素质和职业道德。</w:t>
      </w:r>
    </w:p>
    <w:p w14:paraId="2A8042B3">
      <w:pPr>
        <w:keepNext w:val="0"/>
        <w:keepLines w:val="0"/>
        <w:pageBreakBefore w:val="0"/>
        <w:widowControl/>
        <w:kinsoku/>
        <w:wordWrap/>
        <w:overflowPunct/>
        <w:topLinePunct w:val="0"/>
        <w:autoSpaceDE/>
        <w:autoSpaceDN/>
        <w:bidi w:val="0"/>
        <w:spacing w:line="576" w:lineRule="exact"/>
        <w:ind w:firstLine="640" w:firstLineChars="200"/>
        <w:textAlignment w:val="auto"/>
        <w:rPr>
          <w:rFonts w:hint="default" w:ascii="Times New Roman" w:hAnsi="Times New Roman" w:cs="Times New Roman"/>
          <w:color w:val="000000"/>
          <w:kern w:val="0"/>
          <w:szCs w:val="32"/>
          <w:highlight w:val="none"/>
          <w:shd w:val="clear" w:color="auto" w:fill="FFFFFF"/>
          <w:lang w:val="en-US" w:eastAsia="zh-CN"/>
        </w:rPr>
      </w:pPr>
      <w:r>
        <w:rPr>
          <w:rFonts w:hint="default" w:ascii="Times New Roman" w:hAnsi="Times New Roman" w:eastAsia="仿宋_GB2312" w:cs="Times New Roman"/>
          <w:kern w:val="2"/>
          <w:sz w:val="32"/>
          <w:szCs w:val="32"/>
          <w:lang w:val="en-US" w:eastAsia="zh-CN" w:bidi="ar-SA"/>
        </w:rPr>
        <w:t>2.积极争取财政支持，力争年初预算安排足额到位。增强预算的刚性约束，严格做到“无预算不支出”，强化预算对执行的控制。</w:t>
      </w:r>
      <w:bookmarkEnd w:id="53"/>
    </w:p>
    <w:p w14:paraId="17C8AEA5">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eastAsia="仿宋_GB2312" w:cs="Times New Roman"/>
          <w:kern w:val="2"/>
          <w:sz w:val="32"/>
          <w:szCs w:val="24"/>
          <w:highlight w:val="none"/>
          <w:lang w:val="en-US" w:eastAsia="zh-CN" w:bidi="ar-SA"/>
        </w:rPr>
      </w:pPr>
      <w:r>
        <w:rPr>
          <w:rFonts w:hint="default" w:ascii="Times New Roman" w:hAnsi="Times New Roman" w:eastAsia="仿宋_GB2312" w:cs="Times New Roman"/>
          <w:kern w:val="2"/>
          <w:sz w:val="32"/>
          <w:szCs w:val="32"/>
          <w:lang w:val="en-US" w:eastAsia="zh-CN" w:bidi="ar-SA"/>
        </w:rPr>
        <w:t>附表：部门整体支出绩效目标完成情况自评表</w:t>
      </w:r>
      <w:r>
        <w:rPr>
          <w:rFonts w:hint="eastAsia" w:eastAsia="仿宋_GB2312" w:cs="Times New Roman"/>
          <w:kern w:val="2"/>
          <w:sz w:val="32"/>
          <w:szCs w:val="32"/>
          <w:lang w:val="en-US" w:eastAsia="zh-CN" w:bidi="ar-SA"/>
        </w:rPr>
        <w:t>（2023年度）</w:t>
      </w:r>
      <w:r>
        <w:rPr>
          <w:rFonts w:hint="default" w:ascii="Times New Roman" w:hAnsi="Times New Roman" w:eastAsia="仿宋_GB2312" w:cs="Times New Roman"/>
          <w:kern w:val="2"/>
          <w:sz w:val="32"/>
          <w:szCs w:val="32"/>
          <w:lang w:val="en-US" w:eastAsia="zh-CN" w:bidi="ar-SA"/>
        </w:rPr>
        <w:br w:type="page"/>
      </w:r>
      <w:r>
        <w:rPr>
          <w:rFonts w:hint="default" w:ascii="Times New Roman" w:hAnsi="Times New Roman" w:eastAsia="黑体" w:cs="Times New Roman"/>
          <w:kern w:val="2"/>
          <w:sz w:val="32"/>
          <w:szCs w:val="24"/>
          <w:highlight w:val="none"/>
          <w:lang w:val="en-US" w:eastAsia="zh-CN" w:bidi="ar-SA"/>
        </w:rPr>
        <w:t>附表</w:t>
      </w:r>
    </w:p>
    <w:tbl>
      <w:tblPr>
        <w:tblStyle w:val="15"/>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9"/>
        <w:gridCol w:w="1347"/>
        <w:gridCol w:w="1273"/>
        <w:gridCol w:w="1595"/>
        <w:gridCol w:w="649"/>
        <w:gridCol w:w="1"/>
        <w:gridCol w:w="1289"/>
        <w:gridCol w:w="1058"/>
        <w:gridCol w:w="926"/>
        <w:gridCol w:w="1113"/>
      </w:tblGrid>
      <w:tr w14:paraId="31A0E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2" w:hRule="exact"/>
          <w:jc w:val="center"/>
        </w:trPr>
        <w:tc>
          <w:tcPr>
            <w:tcW w:w="10560" w:type="dxa"/>
            <w:gridSpan w:val="10"/>
            <w:shd w:val="clear" w:color="auto" w:fill="auto"/>
            <w:vAlign w:val="center"/>
          </w:tcPr>
          <w:p w14:paraId="554BC01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14:paraId="47D1A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shd w:val="clear" w:color="auto" w:fill="auto"/>
            <w:vAlign w:val="center"/>
          </w:tcPr>
          <w:p w14:paraId="1C238C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（2023年度）</w:t>
            </w:r>
          </w:p>
        </w:tc>
      </w:tr>
      <w:tr w14:paraId="3647B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10"/>
            <w:tcBorders>
              <w:bottom w:val="single" w:color="000000" w:sz="4" w:space="0"/>
            </w:tcBorders>
            <w:shd w:val="clear" w:color="auto" w:fill="auto"/>
            <w:vAlign w:val="center"/>
          </w:tcPr>
          <w:p w14:paraId="03C63AF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49BF8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4727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CF24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松潘县人力资源和社会保障局</w:t>
            </w:r>
          </w:p>
        </w:tc>
      </w:tr>
      <w:tr w14:paraId="67E97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0F3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D51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A75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17CB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2BB45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1F34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2E6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2064.38</w:t>
            </w:r>
          </w:p>
        </w:tc>
        <w:tc>
          <w:tcPr>
            <w:tcW w:w="22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CB1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2064.38</w:t>
            </w:r>
          </w:p>
        </w:tc>
        <w:tc>
          <w:tcPr>
            <w:tcW w:w="43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9BC9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14:paraId="3CE07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1E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5B6152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4B8B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i w:val="0"/>
                <w:color w:val="000000"/>
                <w:sz w:val="24"/>
                <w:szCs w:val="24"/>
                <w:u w:val="none"/>
                <w:lang w:eastAsia="zh-CN"/>
              </w:rPr>
              <w:t>执行人社局总体运行工作，宣传政策方针以及完成上级交办的其他任务等。</w:t>
            </w:r>
          </w:p>
        </w:tc>
      </w:tr>
      <w:tr w14:paraId="0078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B15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4DD326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B97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004D0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0BE8D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31F5F">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DC1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i w:val="0"/>
                <w:color w:val="000000"/>
                <w:sz w:val="24"/>
                <w:szCs w:val="24"/>
                <w:u w:val="none"/>
                <w:lang w:eastAsia="zh-CN"/>
              </w:rPr>
              <w:t>保障人社系统人员经费和办公正常运转</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4B9C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工资福利支出、办公经费、对个人和家庭补助</w:t>
            </w:r>
          </w:p>
        </w:tc>
      </w:tr>
      <w:tr w14:paraId="119C4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BF03C">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5635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i w:val="0"/>
                <w:color w:val="000000"/>
                <w:sz w:val="24"/>
                <w:szCs w:val="24"/>
                <w:u w:val="none"/>
                <w:lang w:eastAsia="zh-CN"/>
              </w:rPr>
              <w:t>加强人才队伍建设工作</w:t>
            </w:r>
          </w:p>
        </w:tc>
        <w:tc>
          <w:tcPr>
            <w:tcW w:w="66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F0A43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i w:val="0"/>
                <w:color w:val="000000"/>
                <w:sz w:val="24"/>
                <w:szCs w:val="24"/>
                <w:u w:val="none"/>
                <w:lang w:eastAsia="zh-CN"/>
              </w:rPr>
              <w:t>做好全县事业单位工作人员笔试、面试工作，提高政府机关等部门工作效率。</w:t>
            </w:r>
          </w:p>
        </w:tc>
      </w:tr>
      <w:tr w14:paraId="6F24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1BAD02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074EC7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0F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DE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0B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394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3FBC31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FC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C8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14:paraId="668B15D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F8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73F5039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70667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319FA62">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EFA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F7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00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根据省州招聘计划完成人员招聘</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A266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2A5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eastAsia"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eastAsia="zh-CN"/>
              </w:rPr>
              <w:t>开展</w:t>
            </w:r>
            <w:r>
              <w:rPr>
                <w:rFonts w:hint="default" w:ascii="Times New Roman" w:hAnsi="Times New Roman" w:eastAsia="宋体" w:cs="Times New Roman"/>
                <w:i w:val="0"/>
                <w:color w:val="000000"/>
                <w:sz w:val="24"/>
                <w:szCs w:val="24"/>
                <w:u w:val="none"/>
                <w:lang w:val="en-US" w:eastAsia="zh-CN"/>
              </w:rPr>
              <w:t>2次事业单位考试</w:t>
            </w:r>
            <w:r>
              <w:rPr>
                <w:rFonts w:hint="eastAsia" w:eastAsia="宋体" w:cs="Times New Roman"/>
                <w:i w:val="0"/>
                <w:color w:val="000000"/>
                <w:sz w:val="24"/>
                <w:szCs w:val="24"/>
                <w:u w:val="none"/>
                <w:lang w:val="en-US" w:eastAsia="zh-CN"/>
              </w:rPr>
              <w:t>、1次职称评审工作</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34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次</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9A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10</w:t>
            </w:r>
            <w:r>
              <w:rPr>
                <w:rFonts w:hint="default" w:ascii="Times New Roman" w:hAnsi="Times New Roman" w:eastAsia="宋体" w:cs="Times New Roman"/>
                <w:i w:val="0"/>
                <w:color w:val="000000"/>
                <w:kern w:val="0"/>
                <w:sz w:val="24"/>
                <w:szCs w:val="24"/>
                <w:u w:val="none"/>
                <w:lang w:val="en-US" w:eastAsia="zh-CN" w:bidi="ar"/>
              </w:rPr>
              <w:t>%</w:t>
            </w:r>
          </w:p>
        </w:tc>
        <w:tc>
          <w:tcPr>
            <w:tcW w:w="1113" w:type="dxa"/>
            <w:tcBorders>
              <w:left w:val="single" w:color="000000" w:sz="4" w:space="0"/>
              <w:bottom w:val="single" w:color="000000" w:sz="4" w:space="0"/>
              <w:right w:val="single" w:color="000000" w:sz="4" w:space="0"/>
            </w:tcBorders>
            <w:shd w:val="clear" w:color="auto" w:fill="auto"/>
            <w:vAlign w:val="center"/>
          </w:tcPr>
          <w:p w14:paraId="1328D1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100%</w:t>
            </w:r>
          </w:p>
        </w:tc>
      </w:tr>
      <w:tr w14:paraId="0E8D8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0" w:hRule="atLeast"/>
          <w:jc w:val="center"/>
        </w:trPr>
        <w:tc>
          <w:tcPr>
            <w:tcW w:w="1309"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333E13A">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0F333">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CD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096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i w:val="0"/>
                <w:color w:val="000000"/>
                <w:sz w:val="24"/>
                <w:szCs w:val="24"/>
                <w:u w:val="none"/>
                <w:lang w:eastAsia="zh-CN"/>
              </w:rPr>
              <w:t>加强</w:t>
            </w:r>
            <w:r>
              <w:rPr>
                <w:rFonts w:hint="eastAsia" w:cs="Times New Roman"/>
                <w:i w:val="0"/>
                <w:color w:val="000000"/>
                <w:sz w:val="24"/>
                <w:szCs w:val="24"/>
                <w:u w:val="none"/>
                <w:lang w:eastAsia="zh-CN"/>
              </w:rPr>
              <w:t>人才队伍建设</w:t>
            </w:r>
            <w:r>
              <w:rPr>
                <w:rFonts w:hint="default" w:ascii="Times New Roman" w:hAnsi="Times New Roman" w:eastAsia="宋体" w:cs="Times New Roman"/>
                <w:i w:val="0"/>
                <w:color w:val="000000"/>
                <w:sz w:val="24"/>
                <w:szCs w:val="24"/>
                <w:u w:val="none"/>
                <w:lang w:eastAsia="zh-CN"/>
              </w:rPr>
              <w:t>工作质量</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13DA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i w:val="0"/>
                <w:color w:val="000000"/>
                <w:sz w:val="24"/>
                <w:szCs w:val="24"/>
                <w:u w:val="none"/>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3B17">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eastAsia="zh-CN"/>
              </w:rPr>
            </w:pPr>
            <w:r>
              <w:rPr>
                <w:rFonts w:ascii="宋体" w:hAnsi="宋体" w:eastAsia="宋体" w:cs="宋体"/>
                <w:sz w:val="24"/>
                <w:szCs w:val="24"/>
              </w:rPr>
              <w:t>依法依程序和省州要求开展人才招聘工作和职称评审</w:t>
            </w:r>
            <w:r>
              <w:rPr>
                <w:rFonts w:hint="eastAsia" w:ascii="宋体" w:hAnsi="宋体" w:cs="宋体"/>
                <w:sz w:val="24"/>
                <w:szCs w:val="24"/>
                <w:lang w:eastAsia="zh-CN"/>
              </w:rPr>
              <w:t>工作</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9AB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ADFF">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10</w:t>
            </w:r>
            <w:r>
              <w:rPr>
                <w:rFonts w:hint="default" w:ascii="Times New Roman" w:hAnsi="Times New Roman" w:eastAsia="宋体" w:cs="Times New Roman"/>
                <w:i w:val="0"/>
                <w:color w:val="000000"/>
                <w:sz w:val="24"/>
                <w:szCs w:val="24"/>
                <w:u w:val="none"/>
                <w:lang w:val="en-US" w:eastAsia="zh-CN"/>
              </w:rPr>
              <w:t>%</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21D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100%</w:t>
            </w:r>
          </w:p>
        </w:tc>
      </w:tr>
      <w:tr w14:paraId="24F5E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97" w:hRule="atLeast"/>
          <w:jc w:val="center"/>
        </w:trPr>
        <w:tc>
          <w:tcPr>
            <w:tcW w:w="1309" w:type="dxa"/>
            <w:vMerge w:val="continue"/>
            <w:tcBorders>
              <w:top w:val="single" w:color="000000" w:sz="4" w:space="0"/>
              <w:left w:val="single" w:color="auto" w:sz="4" w:space="0"/>
              <w:bottom w:val="single" w:color="auto" w:sz="4" w:space="0"/>
              <w:right w:val="single" w:color="000000" w:sz="4" w:space="0"/>
            </w:tcBorders>
            <w:shd w:val="clear" w:color="auto" w:fill="auto"/>
            <w:vAlign w:val="center"/>
          </w:tcPr>
          <w:p w14:paraId="2A1E308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DE3D49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auto" w:sz="4" w:space="0"/>
              <w:right w:val="single" w:color="000000" w:sz="4" w:space="0"/>
            </w:tcBorders>
            <w:shd w:val="clear" w:color="auto" w:fill="auto"/>
            <w:vAlign w:val="center"/>
          </w:tcPr>
          <w:p w14:paraId="6648A8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595" w:type="dxa"/>
            <w:tcBorders>
              <w:top w:val="single" w:color="000000" w:sz="4" w:space="0"/>
              <w:left w:val="single" w:color="000000" w:sz="4" w:space="0"/>
              <w:bottom w:val="single" w:color="auto" w:sz="4" w:space="0"/>
              <w:right w:val="single" w:color="000000" w:sz="4" w:space="0"/>
            </w:tcBorders>
            <w:shd w:val="clear" w:color="auto" w:fill="auto"/>
            <w:vAlign w:val="center"/>
          </w:tcPr>
          <w:p w14:paraId="40DF661E">
            <w:pPr>
              <w:keepNext w:val="0"/>
              <w:keepLines w:val="0"/>
              <w:widowControl/>
              <w:suppressLineNumbers w:val="0"/>
              <w:jc w:val="left"/>
            </w:pPr>
            <w:r>
              <w:rPr>
                <w:rFonts w:ascii="宋体" w:hAnsi="宋体" w:eastAsia="宋体" w:cs="宋体"/>
                <w:kern w:val="0"/>
                <w:sz w:val="24"/>
                <w:szCs w:val="24"/>
                <w:lang w:val="en-US" w:eastAsia="zh-CN" w:bidi="ar"/>
              </w:rPr>
              <w:t>人员和工作经费、项目经费支出时效，人事人才，社会保险，就业创业，劳动关系服务及时性</w:t>
            </w:r>
          </w:p>
          <w:p w14:paraId="54BC335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eastAsia="zh-CN"/>
              </w:rPr>
            </w:pPr>
          </w:p>
        </w:tc>
        <w:tc>
          <w:tcPr>
            <w:tcW w:w="65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9C74656">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i w:val="0"/>
                <w:color w:val="000000"/>
                <w:sz w:val="24"/>
                <w:szCs w:val="24"/>
                <w:u w:val="none"/>
                <w:lang w:eastAsia="zh-CN"/>
              </w:rPr>
              <w:t>定性</w:t>
            </w:r>
          </w:p>
        </w:tc>
        <w:tc>
          <w:tcPr>
            <w:tcW w:w="1289" w:type="dxa"/>
            <w:tcBorders>
              <w:top w:val="single" w:color="000000" w:sz="4" w:space="0"/>
              <w:left w:val="single" w:color="000000" w:sz="4" w:space="0"/>
              <w:bottom w:val="single" w:color="auto" w:sz="4" w:space="0"/>
              <w:right w:val="single" w:color="000000" w:sz="4" w:space="0"/>
            </w:tcBorders>
            <w:shd w:val="clear" w:color="auto" w:fill="auto"/>
            <w:vAlign w:val="center"/>
          </w:tcPr>
          <w:p w14:paraId="4DD29F3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2023年12月底前</w:t>
            </w:r>
          </w:p>
        </w:tc>
        <w:tc>
          <w:tcPr>
            <w:tcW w:w="1058" w:type="dxa"/>
            <w:tcBorders>
              <w:top w:val="single" w:color="000000" w:sz="4" w:space="0"/>
              <w:left w:val="single" w:color="000000" w:sz="4" w:space="0"/>
              <w:bottom w:val="single" w:color="auto" w:sz="4" w:space="0"/>
              <w:right w:val="single" w:color="000000" w:sz="4" w:space="0"/>
            </w:tcBorders>
            <w:shd w:val="clear" w:color="auto" w:fill="auto"/>
            <w:vAlign w:val="center"/>
          </w:tcPr>
          <w:p w14:paraId="5B6FF2ED">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i w:val="0"/>
                <w:color w:val="000000"/>
                <w:sz w:val="24"/>
                <w:szCs w:val="24"/>
                <w:u w:val="none"/>
                <w:lang w:eastAsia="zh-CN"/>
              </w:rPr>
              <w:t>年</w:t>
            </w:r>
          </w:p>
        </w:tc>
        <w:tc>
          <w:tcPr>
            <w:tcW w:w="926" w:type="dxa"/>
            <w:tcBorders>
              <w:top w:val="single" w:color="000000" w:sz="4" w:space="0"/>
              <w:left w:val="single" w:color="000000" w:sz="4" w:space="0"/>
              <w:bottom w:val="single" w:color="auto" w:sz="4" w:space="0"/>
              <w:right w:val="single" w:color="000000" w:sz="4" w:space="0"/>
            </w:tcBorders>
            <w:shd w:val="clear" w:color="auto" w:fill="auto"/>
            <w:vAlign w:val="center"/>
          </w:tcPr>
          <w:p w14:paraId="57127A0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1</w:t>
            </w:r>
            <w:r>
              <w:rPr>
                <w:rFonts w:hint="default" w:ascii="Times New Roman" w:hAnsi="Times New Roman" w:eastAsia="宋体" w:cs="Times New Roman"/>
                <w:i w:val="0"/>
                <w:color w:val="000000"/>
                <w:sz w:val="24"/>
                <w:szCs w:val="24"/>
                <w:u w:val="none"/>
                <w:lang w:val="en-US" w:eastAsia="zh-CN"/>
              </w:rPr>
              <w:t>0%</w:t>
            </w:r>
          </w:p>
        </w:tc>
        <w:tc>
          <w:tcPr>
            <w:tcW w:w="1113" w:type="dxa"/>
            <w:tcBorders>
              <w:top w:val="single" w:color="000000" w:sz="4" w:space="0"/>
              <w:left w:val="single" w:color="000000" w:sz="4" w:space="0"/>
              <w:bottom w:val="single" w:color="auto" w:sz="4" w:space="0"/>
              <w:right w:val="single" w:color="000000" w:sz="4" w:space="0"/>
            </w:tcBorders>
            <w:shd w:val="clear" w:color="auto" w:fill="auto"/>
            <w:vAlign w:val="center"/>
          </w:tcPr>
          <w:p w14:paraId="6483B9F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100%</w:t>
            </w:r>
          </w:p>
        </w:tc>
      </w:tr>
      <w:tr w14:paraId="53D53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F78FE5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auto" w:sz="4" w:space="0"/>
              <w:left w:val="single" w:color="000000" w:sz="4" w:space="0"/>
              <w:right w:val="single" w:color="000000" w:sz="4" w:space="0"/>
            </w:tcBorders>
            <w:shd w:val="clear" w:color="auto" w:fill="auto"/>
            <w:vAlign w:val="center"/>
          </w:tcPr>
          <w:p w14:paraId="29755F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效益指标</w:t>
            </w:r>
          </w:p>
          <w:p w14:paraId="7A969A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p>
        </w:tc>
        <w:tc>
          <w:tcPr>
            <w:tcW w:w="1273" w:type="dxa"/>
            <w:tcBorders>
              <w:top w:val="single" w:color="auto" w:sz="4" w:space="0"/>
              <w:left w:val="single" w:color="000000" w:sz="4" w:space="0"/>
              <w:bottom w:val="single" w:color="auto" w:sz="4" w:space="0"/>
              <w:right w:val="single" w:color="000000" w:sz="4" w:space="0"/>
            </w:tcBorders>
            <w:shd w:val="clear" w:color="auto" w:fill="auto"/>
            <w:vAlign w:val="center"/>
          </w:tcPr>
          <w:p w14:paraId="34971AC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经济</w:t>
            </w:r>
            <w:r>
              <w:rPr>
                <w:rFonts w:hint="default" w:ascii="Times New Roman" w:hAnsi="Times New Roman" w:eastAsia="宋体" w:cs="Times New Roman"/>
                <w:i w:val="0"/>
                <w:color w:val="000000"/>
                <w:kern w:val="0"/>
                <w:sz w:val="24"/>
                <w:szCs w:val="24"/>
                <w:u w:val="none"/>
                <w:lang w:val="en-US" w:eastAsia="zh-CN" w:bidi="ar"/>
              </w:rPr>
              <w:t>效益</w:t>
            </w:r>
          </w:p>
          <w:p w14:paraId="17F3FD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595" w:type="dxa"/>
            <w:tcBorders>
              <w:top w:val="single" w:color="auto" w:sz="4" w:space="0"/>
              <w:left w:val="single" w:color="000000" w:sz="4" w:space="0"/>
              <w:bottom w:val="single" w:color="auto" w:sz="4" w:space="0"/>
              <w:right w:val="single" w:color="000000" w:sz="4" w:space="0"/>
            </w:tcBorders>
            <w:shd w:val="clear" w:color="auto" w:fill="auto"/>
            <w:vAlign w:val="center"/>
          </w:tcPr>
          <w:p w14:paraId="0695951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i w:val="0"/>
                <w:color w:val="000000"/>
                <w:sz w:val="24"/>
                <w:szCs w:val="24"/>
                <w:u w:val="none"/>
                <w:lang w:eastAsia="zh-CN"/>
              </w:rPr>
              <w:t>保障职工工资福利待遇以及工资正常运转</w:t>
            </w:r>
          </w:p>
        </w:tc>
        <w:tc>
          <w:tcPr>
            <w:tcW w:w="650"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5C9A508E">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i w:val="0"/>
                <w:color w:val="000000"/>
                <w:sz w:val="24"/>
                <w:szCs w:val="24"/>
                <w:u w:val="none"/>
                <w:lang w:eastAsia="zh-CN"/>
              </w:rPr>
              <w:t>≥</w:t>
            </w:r>
          </w:p>
        </w:tc>
        <w:tc>
          <w:tcPr>
            <w:tcW w:w="1289" w:type="dxa"/>
            <w:tcBorders>
              <w:top w:val="single" w:color="auto" w:sz="4" w:space="0"/>
              <w:left w:val="single" w:color="000000" w:sz="4" w:space="0"/>
              <w:bottom w:val="single" w:color="auto" w:sz="4" w:space="0"/>
              <w:right w:val="single" w:color="000000" w:sz="4" w:space="0"/>
            </w:tcBorders>
            <w:shd w:val="clear" w:color="auto" w:fill="auto"/>
            <w:vAlign w:val="center"/>
          </w:tcPr>
          <w:p w14:paraId="7425211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100</w:t>
            </w:r>
          </w:p>
        </w:tc>
        <w:tc>
          <w:tcPr>
            <w:tcW w:w="1058" w:type="dxa"/>
            <w:tcBorders>
              <w:top w:val="single" w:color="auto" w:sz="4" w:space="0"/>
              <w:left w:val="single" w:color="000000" w:sz="4" w:space="0"/>
              <w:bottom w:val="single" w:color="auto" w:sz="4" w:space="0"/>
              <w:right w:val="single" w:color="000000" w:sz="4" w:space="0"/>
            </w:tcBorders>
            <w:shd w:val="clear" w:color="auto" w:fill="auto"/>
            <w:vAlign w:val="center"/>
          </w:tcPr>
          <w:p w14:paraId="6A9C7000">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w:t>
            </w:r>
          </w:p>
        </w:tc>
        <w:tc>
          <w:tcPr>
            <w:tcW w:w="926" w:type="dxa"/>
            <w:tcBorders>
              <w:top w:val="single" w:color="auto" w:sz="4" w:space="0"/>
              <w:left w:val="single" w:color="000000" w:sz="4" w:space="0"/>
              <w:bottom w:val="single" w:color="auto" w:sz="4" w:space="0"/>
              <w:right w:val="single" w:color="000000" w:sz="4" w:space="0"/>
            </w:tcBorders>
            <w:shd w:val="clear" w:color="auto" w:fill="auto"/>
            <w:vAlign w:val="center"/>
          </w:tcPr>
          <w:p w14:paraId="071E596F">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20%</w:t>
            </w:r>
          </w:p>
        </w:tc>
        <w:tc>
          <w:tcPr>
            <w:tcW w:w="1113" w:type="dxa"/>
            <w:tcBorders>
              <w:top w:val="single" w:color="auto" w:sz="4" w:space="0"/>
              <w:left w:val="single" w:color="000000" w:sz="4" w:space="0"/>
              <w:bottom w:val="single" w:color="auto" w:sz="4" w:space="0"/>
              <w:right w:val="single" w:color="auto" w:sz="4" w:space="0"/>
            </w:tcBorders>
            <w:shd w:val="clear" w:color="auto" w:fill="auto"/>
            <w:vAlign w:val="center"/>
          </w:tcPr>
          <w:p w14:paraId="4C931A9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100%</w:t>
            </w:r>
          </w:p>
        </w:tc>
      </w:tr>
      <w:tr w14:paraId="4767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F01CADD">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left w:val="single" w:color="000000" w:sz="4" w:space="0"/>
              <w:bottom w:val="single" w:color="000000" w:sz="4" w:space="0"/>
              <w:right w:val="single" w:color="000000" w:sz="4" w:space="0"/>
            </w:tcBorders>
            <w:shd w:val="clear" w:color="auto" w:fill="auto"/>
            <w:vAlign w:val="center"/>
          </w:tcPr>
          <w:p w14:paraId="760487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p>
        </w:tc>
        <w:tc>
          <w:tcPr>
            <w:tcW w:w="1273" w:type="dxa"/>
            <w:tcBorders>
              <w:top w:val="single" w:color="auto" w:sz="4" w:space="0"/>
              <w:left w:val="single" w:color="000000" w:sz="4" w:space="0"/>
              <w:bottom w:val="single" w:color="000000" w:sz="4" w:space="0"/>
              <w:right w:val="single" w:color="000000" w:sz="4" w:space="0"/>
            </w:tcBorders>
            <w:shd w:val="clear" w:color="auto" w:fill="auto"/>
            <w:vAlign w:val="center"/>
          </w:tcPr>
          <w:p w14:paraId="02938C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kern w:val="0"/>
                <w:sz w:val="24"/>
                <w:szCs w:val="24"/>
                <w:u w:val="none"/>
                <w:lang w:val="en-US" w:eastAsia="zh-CN" w:bidi="ar"/>
              </w:rPr>
              <w:t>社会效益</w:t>
            </w:r>
            <w:r>
              <w:rPr>
                <w:rFonts w:hint="default" w:ascii="Times New Roman" w:hAnsi="Times New Roman" w:eastAsia="宋体" w:cs="Times New Roman"/>
                <w:i w:val="0"/>
                <w:color w:val="000000"/>
                <w:kern w:val="0"/>
                <w:sz w:val="24"/>
                <w:szCs w:val="24"/>
                <w:u w:val="none"/>
                <w:lang w:val="en-US" w:eastAsia="zh-CN" w:bidi="ar"/>
              </w:rPr>
              <w:t>指标</w:t>
            </w:r>
          </w:p>
        </w:tc>
        <w:tc>
          <w:tcPr>
            <w:tcW w:w="1595" w:type="dxa"/>
            <w:tcBorders>
              <w:top w:val="single" w:color="auto" w:sz="4" w:space="0"/>
              <w:left w:val="single" w:color="000000" w:sz="4" w:space="0"/>
              <w:bottom w:val="single" w:color="000000" w:sz="4" w:space="0"/>
              <w:right w:val="single" w:color="000000" w:sz="4" w:space="0"/>
            </w:tcBorders>
            <w:shd w:val="clear" w:color="auto" w:fill="auto"/>
            <w:vAlign w:val="center"/>
          </w:tcPr>
          <w:p w14:paraId="30CD0C1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eastAsia="zh-CN"/>
              </w:rPr>
            </w:pPr>
            <w:r>
              <w:rPr>
                <w:rFonts w:ascii="宋体" w:hAnsi="宋体" w:eastAsia="宋体" w:cs="宋体"/>
                <w:sz w:val="24"/>
                <w:szCs w:val="24"/>
              </w:rPr>
              <w:t>提高人才队伍水平</w:t>
            </w:r>
          </w:p>
        </w:tc>
        <w:tc>
          <w:tcPr>
            <w:tcW w:w="65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310F85A">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rPr>
            </w:pPr>
            <w:r>
              <w:rPr>
                <w:rFonts w:hint="eastAsia" w:eastAsia="宋体" w:cs="Times New Roman"/>
                <w:i w:val="0"/>
                <w:color w:val="000000"/>
                <w:sz w:val="24"/>
                <w:szCs w:val="24"/>
                <w:u w:val="none"/>
                <w:lang w:eastAsia="zh-CN"/>
              </w:rPr>
              <w:t>定性</w:t>
            </w:r>
          </w:p>
        </w:tc>
        <w:tc>
          <w:tcPr>
            <w:tcW w:w="1289" w:type="dxa"/>
            <w:tcBorders>
              <w:top w:val="single" w:color="auto" w:sz="4" w:space="0"/>
              <w:left w:val="single" w:color="000000" w:sz="4" w:space="0"/>
              <w:bottom w:val="single" w:color="000000" w:sz="4" w:space="0"/>
              <w:right w:val="single" w:color="000000" w:sz="4" w:space="0"/>
            </w:tcBorders>
            <w:shd w:val="clear" w:color="auto" w:fill="auto"/>
            <w:vAlign w:val="center"/>
          </w:tcPr>
          <w:p w14:paraId="59382A57">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ascii="宋体" w:hAnsi="宋体" w:eastAsia="宋体" w:cs="宋体"/>
                <w:sz w:val="24"/>
                <w:szCs w:val="24"/>
              </w:rPr>
              <w:t>贯彻落实人才政策和各项人才服务工作</w:t>
            </w:r>
          </w:p>
        </w:tc>
        <w:tc>
          <w:tcPr>
            <w:tcW w:w="1058" w:type="dxa"/>
            <w:tcBorders>
              <w:top w:val="single" w:color="auto" w:sz="4" w:space="0"/>
              <w:left w:val="single" w:color="000000" w:sz="4" w:space="0"/>
              <w:bottom w:val="single" w:color="000000" w:sz="4" w:space="0"/>
              <w:right w:val="single" w:color="000000" w:sz="4" w:space="0"/>
            </w:tcBorders>
            <w:shd w:val="clear" w:color="auto" w:fill="auto"/>
            <w:vAlign w:val="center"/>
          </w:tcPr>
          <w:p w14:paraId="610B606A">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w:t>
            </w:r>
          </w:p>
        </w:tc>
        <w:tc>
          <w:tcPr>
            <w:tcW w:w="926" w:type="dxa"/>
            <w:tcBorders>
              <w:top w:val="single" w:color="auto" w:sz="4" w:space="0"/>
              <w:left w:val="single" w:color="000000" w:sz="4" w:space="0"/>
              <w:bottom w:val="single" w:color="000000" w:sz="4" w:space="0"/>
              <w:right w:val="single" w:color="000000" w:sz="4" w:space="0"/>
            </w:tcBorders>
            <w:shd w:val="clear" w:color="auto" w:fill="auto"/>
            <w:vAlign w:val="center"/>
          </w:tcPr>
          <w:p w14:paraId="3276867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10%</w:t>
            </w:r>
          </w:p>
        </w:tc>
        <w:tc>
          <w:tcPr>
            <w:tcW w:w="1113" w:type="dxa"/>
            <w:tcBorders>
              <w:top w:val="single" w:color="auto" w:sz="4" w:space="0"/>
              <w:left w:val="single" w:color="000000" w:sz="4" w:space="0"/>
              <w:bottom w:val="single" w:color="000000" w:sz="4" w:space="0"/>
              <w:right w:val="single" w:color="000000" w:sz="4" w:space="0"/>
            </w:tcBorders>
            <w:shd w:val="clear" w:color="auto" w:fill="auto"/>
            <w:vAlign w:val="center"/>
          </w:tcPr>
          <w:p w14:paraId="2C79158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100%</w:t>
            </w:r>
          </w:p>
        </w:tc>
      </w:tr>
      <w:tr w14:paraId="551A9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E898">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96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13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386F">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i w:val="0"/>
                <w:color w:val="000000"/>
                <w:sz w:val="24"/>
                <w:szCs w:val="24"/>
                <w:u w:val="none"/>
                <w:lang w:eastAsia="zh-CN"/>
              </w:rPr>
              <w:t>受益对象满意度</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478D7">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eastAsia="zh-CN"/>
              </w:rPr>
            </w:pPr>
            <w:r>
              <w:rPr>
                <w:rFonts w:hint="default" w:ascii="Times New Roman" w:hAnsi="Times New Roman" w:eastAsia="宋体" w:cs="Times New Roman"/>
                <w:i w:val="0"/>
                <w:color w:val="000000"/>
                <w:sz w:val="24"/>
                <w:szCs w:val="24"/>
                <w:u w:val="none"/>
                <w:lang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4D01">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53B5">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CA53">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94D4">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100%</w:t>
            </w:r>
          </w:p>
        </w:tc>
      </w:tr>
      <w:tr w14:paraId="79350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4769">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83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成本指标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F7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eastAsia="宋体" w:cs="Times New Roman"/>
                <w:i w:val="0"/>
                <w:color w:val="000000"/>
                <w:kern w:val="0"/>
                <w:sz w:val="24"/>
                <w:szCs w:val="24"/>
                <w:u w:val="none"/>
                <w:lang w:val="en-US" w:eastAsia="zh-CN" w:bidi="ar"/>
              </w:rPr>
              <w:t>经济成本指标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E0C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eastAsia="zh-CN"/>
              </w:rPr>
            </w:pPr>
            <w:r>
              <w:rPr>
                <w:rFonts w:ascii="宋体" w:hAnsi="宋体" w:eastAsia="宋体" w:cs="宋体"/>
                <w:sz w:val="24"/>
                <w:szCs w:val="24"/>
              </w:rPr>
              <w:t>人才</w:t>
            </w:r>
            <w:r>
              <w:rPr>
                <w:rFonts w:hint="eastAsia" w:ascii="宋体" w:hAnsi="宋体" w:cs="宋体"/>
                <w:sz w:val="24"/>
                <w:szCs w:val="24"/>
                <w:lang w:eastAsia="zh-CN"/>
              </w:rPr>
              <w:t>工作</w:t>
            </w:r>
            <w:r>
              <w:rPr>
                <w:rFonts w:ascii="宋体" w:hAnsi="宋体" w:eastAsia="宋体" w:cs="宋体"/>
                <w:sz w:val="24"/>
                <w:szCs w:val="24"/>
              </w:rPr>
              <w:t>经费</w:t>
            </w:r>
          </w:p>
        </w:tc>
        <w:tc>
          <w:tcPr>
            <w:tcW w:w="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AFBA9">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eastAsia="zh-CN"/>
              </w:rPr>
            </w:pPr>
            <w:r>
              <w:rPr>
                <w:rFonts w:hint="eastAsia" w:eastAsia="宋体" w:cs="Times New Roman"/>
                <w:i w:val="0"/>
                <w:color w:val="000000"/>
                <w:sz w:val="24"/>
                <w:szCs w:val="24"/>
                <w:u w:val="none"/>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532B">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eastAsia" w:eastAsia="宋体" w:cs="Times New Roman"/>
                <w:i w:val="0"/>
                <w:color w:val="000000"/>
                <w:sz w:val="24"/>
                <w:szCs w:val="24"/>
                <w:u w:val="none"/>
                <w:lang w:val="en-US" w:eastAsia="zh-CN"/>
              </w:rPr>
              <w:t>控制在预算内</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265C">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F7D2">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146A">
            <w:pPr>
              <w:keepNext w:val="0"/>
              <w:keepLines w:val="0"/>
              <w:pageBreakBefore w:val="0"/>
              <w:widowControl/>
              <w:kinsoku/>
              <w:wordWrap/>
              <w:overflowPunct/>
              <w:topLinePunct w:val="0"/>
              <w:autoSpaceDE/>
              <w:autoSpaceDN/>
              <w:bidi w:val="0"/>
              <w:adjustRightInd/>
              <w:snapToGrid/>
              <w:spacing w:line="300" w:lineRule="exact"/>
              <w:jc w:val="left"/>
              <w:outlineLvl w:val="9"/>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eastAsia="宋体" w:cs="Times New Roman"/>
                <w:i w:val="0"/>
                <w:color w:val="000000"/>
                <w:sz w:val="24"/>
                <w:szCs w:val="24"/>
                <w:u w:val="none"/>
                <w:lang w:val="en-US" w:eastAsia="zh-CN"/>
              </w:rPr>
              <w:t>100%</w:t>
            </w:r>
          </w:p>
        </w:tc>
      </w:tr>
    </w:tbl>
    <w:p w14:paraId="4393B3F3">
      <w:pPr>
        <w:rPr>
          <w:rFonts w:hint="eastAsia" w:asciiTheme="minorEastAsia" w:hAnsiTheme="minorEastAsia" w:eastAsiaTheme="minorEastAsia"/>
          <w:sz w:val="32"/>
          <w:szCs w:val="32"/>
          <w:lang w:val="zh-CN"/>
        </w:rPr>
      </w:pPr>
    </w:p>
    <w:p w14:paraId="06F694E1"/>
    <w:p w14:paraId="7DAD1EF5">
      <w:pPr>
        <w:rPr>
          <w:rFonts w:ascii="黑体" w:hAnsi="黑体" w:eastAsia="黑体"/>
          <w:sz w:val="32"/>
          <w:szCs w:val="32"/>
        </w:rPr>
      </w:pPr>
      <w:r>
        <w:rPr>
          <w:rFonts w:hint="eastAsia" w:ascii="黑体" w:hAnsi="黑体" w:eastAsia="黑体"/>
          <w:sz w:val="32"/>
          <w:szCs w:val="32"/>
        </w:rPr>
        <w:t>附件2</w:t>
      </w:r>
    </w:p>
    <w:p w14:paraId="7BC66418">
      <w:pPr>
        <w:pStyle w:val="41"/>
        <w:keepNext w:val="0"/>
        <w:keepLines w:val="0"/>
        <w:pageBreakBefore w:val="0"/>
        <w:widowControl w:val="0"/>
        <w:kinsoku/>
        <w:wordWrap/>
        <w:overflowPunct/>
        <w:topLinePunct w:val="0"/>
        <w:autoSpaceDE/>
        <w:autoSpaceDN/>
        <w:bidi w:val="0"/>
        <w:spacing w:line="540"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松潘县人力资源和社会保障局</w:t>
      </w:r>
    </w:p>
    <w:p w14:paraId="414CBDCC">
      <w:pPr>
        <w:pStyle w:val="41"/>
        <w:keepNext w:val="0"/>
        <w:keepLines w:val="0"/>
        <w:pageBreakBefore w:val="0"/>
        <w:widowControl w:val="0"/>
        <w:kinsoku/>
        <w:wordWrap/>
        <w:overflowPunct/>
        <w:topLinePunct w:val="0"/>
        <w:autoSpaceDE/>
        <w:autoSpaceDN/>
        <w:bidi w:val="0"/>
        <w:spacing w:line="540" w:lineRule="exact"/>
        <w:ind w:left="0" w:leftChars="0"/>
        <w:jc w:val="center"/>
        <w:textAlignment w:val="auto"/>
        <w:rPr>
          <w:rFonts w:hint="default" w:ascii="Times New Roman" w:hAnsi="Times New Roman" w:eastAsia="方正小标宋简体" w:cs="Times New Roman"/>
          <w:color w:val="auto"/>
          <w:kern w:val="2"/>
          <w:sz w:val="44"/>
          <w:szCs w:val="44"/>
          <w:highlight w:val="none"/>
          <w:lang w:val="en-US" w:eastAsia="zh-CN"/>
        </w:rPr>
      </w:pPr>
      <w:r>
        <w:rPr>
          <w:rFonts w:hint="default" w:ascii="Times New Roman" w:hAnsi="Times New Roman" w:eastAsia="方正小标宋简体" w:cs="Times New Roman"/>
          <w:color w:val="auto"/>
          <w:kern w:val="2"/>
          <w:sz w:val="44"/>
          <w:szCs w:val="44"/>
          <w:highlight w:val="none"/>
          <w:lang w:val="en-US" w:eastAsia="zh-CN"/>
        </w:rPr>
        <w:t>2023年度专项预算项目绩效评价报告</w:t>
      </w:r>
    </w:p>
    <w:p w14:paraId="3196467A">
      <w:pPr>
        <w:pStyle w:val="41"/>
        <w:keepNext w:val="0"/>
        <w:keepLines w:val="0"/>
        <w:pageBreakBefore w:val="0"/>
        <w:widowControl w:val="0"/>
        <w:kinsoku/>
        <w:wordWrap/>
        <w:overflowPunct/>
        <w:topLinePunct w:val="0"/>
        <w:autoSpaceDE/>
        <w:autoSpaceDN/>
        <w:bidi w:val="0"/>
        <w:spacing w:line="540" w:lineRule="exact"/>
        <w:ind w:left="0" w:leftChars="0" w:firstLine="640"/>
        <w:jc w:val="center"/>
        <w:textAlignment w:val="auto"/>
        <w:rPr>
          <w:rFonts w:hint="default" w:ascii="Times New Roman" w:hAnsi="Times New Roman" w:cs="Times New Roman"/>
          <w:color w:val="auto"/>
          <w:kern w:val="2"/>
          <w:sz w:val="32"/>
          <w:szCs w:val="32"/>
          <w:highlight w:val="none"/>
        </w:rPr>
      </w:pPr>
    </w:p>
    <w:p w14:paraId="5CE374F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黑体" w:cs="Times New Roman"/>
          <w:sz w:val="32"/>
          <w:szCs w:val="32"/>
          <w:highlight w:val="none"/>
          <w:lang w:val="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val="zh-CN"/>
        </w:rPr>
        <w:t>项目概况</w:t>
      </w:r>
    </w:p>
    <w:p w14:paraId="7CD28EBC">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firstLine="643" w:firstLineChars="200"/>
        <w:contextualSpacing/>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color w:val="auto"/>
          <w:sz w:val="32"/>
          <w:szCs w:val="32"/>
          <w:highlight w:val="none"/>
          <w:u w:val="none"/>
          <w:lang w:val="zh-CN"/>
        </w:rPr>
        <w:t>（一）设立背景及基本情况。</w:t>
      </w:r>
      <w:r>
        <w:rPr>
          <w:rFonts w:hint="default" w:ascii="Times New Roman" w:hAnsi="Times New Roman" w:eastAsia="仿宋_GB2312" w:cs="Times New Roman"/>
          <w:color w:val="000000"/>
          <w:sz w:val="32"/>
          <w:szCs w:val="32"/>
          <w:lang w:val="en-US" w:eastAsia="zh-CN"/>
        </w:rPr>
        <w:t>人社公共服务能力建设工作是为进一步提升人力资源和社会保障公共服务平台服务能力和水平，努力为广大人民群众提供规范、高效、便捷的人社公共服务，全力推进群众满意的人社公共服务体系建设。根据《四川省财政厅</w:t>
      </w:r>
      <w:r>
        <w:rPr>
          <w:rFonts w:hint="eastAsia"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四川省人力资源社会保障厅关于下达2023年省级财政人社公共服务能力建设补助资金的通知》（川财社〔2023〕56号）</w:t>
      </w:r>
      <w:r>
        <w:rPr>
          <w:rFonts w:hint="eastAsia" w:ascii="Times New Roman" w:hAnsi="Times New Roman" w:eastAsia="仿宋_GB2312" w:cs="Times New Roman"/>
          <w:color w:val="000000"/>
          <w:sz w:val="32"/>
          <w:szCs w:val="32"/>
          <w:lang w:val="en-US" w:eastAsia="zh-CN"/>
        </w:rPr>
        <w:t>和《阿坝州财政局 阿坝州人力资源和社会保障局关于下达2023年省级财政人社公共服务能力建设补助资金的通知》</w:t>
      </w:r>
      <w:r>
        <w:rPr>
          <w:rFonts w:hint="default" w:ascii="Times New Roman" w:hAnsi="Times New Roman" w:eastAsia="仿宋_GB2312" w:cs="Times New Roman"/>
          <w:color w:val="000000"/>
          <w:sz w:val="32"/>
          <w:szCs w:val="32"/>
          <w:lang w:val="en-US" w:eastAsia="zh-CN"/>
        </w:rPr>
        <w:t>（阿州财社〔2023〕112号）文件精神，以此立项。</w:t>
      </w:r>
    </w:p>
    <w:p w14:paraId="2593BECB">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43" w:firstLineChars="200"/>
        <w:textAlignment w:val="auto"/>
        <w:rPr>
          <w:rFonts w:hint="default" w:ascii="Times New Roman" w:hAnsi="Times New Roman" w:cs="Times New Roman"/>
          <w:kern w:val="0"/>
          <w:sz w:val="32"/>
          <w:szCs w:val="32"/>
          <w:lang w:eastAsia="zh-CN"/>
        </w:rPr>
      </w:pPr>
      <w:r>
        <w:rPr>
          <w:rFonts w:hint="default" w:ascii="Times New Roman" w:hAnsi="Times New Roman" w:eastAsia="楷体_GB2312" w:cs="Times New Roman"/>
          <w:b/>
          <w:color w:val="auto"/>
          <w:sz w:val="32"/>
          <w:szCs w:val="32"/>
          <w:highlight w:val="none"/>
          <w:u w:val="none"/>
          <w:lang w:val="en-US" w:eastAsia="zh-CN"/>
        </w:rPr>
        <w:t>（二）实施目的及支持方向。</w:t>
      </w:r>
      <w:r>
        <w:rPr>
          <w:rFonts w:hint="default" w:ascii="Times New Roman" w:hAnsi="Times New Roman" w:eastAsia="仿宋_GB2312" w:cs="Times New Roman"/>
          <w:color w:val="000000"/>
          <w:sz w:val="32"/>
          <w:szCs w:val="32"/>
          <w:lang w:val="en-US" w:eastAsia="zh-CN"/>
        </w:rPr>
        <w:t>人社公共服务能力建设补助资金是指省级财政预算安排，用于支持人社公共服务能力建设方面的资金。一是全面建设群众满意的社会保险经办标准化建设。二是提高业务档案数字化管理以及风险防控和开展工伤事故伤害案件调查信息化建设</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三是提升保障农民工工资</w:t>
      </w:r>
      <w:r>
        <w:rPr>
          <w:rFonts w:hint="eastAsia" w:ascii="Times New Roman" w:hAnsi="Times New Roman" w:eastAsia="仿宋_GB2312" w:cs="Times New Roman"/>
          <w:color w:val="000000"/>
          <w:sz w:val="32"/>
          <w:szCs w:val="32"/>
          <w:lang w:val="en-US" w:eastAsia="zh-CN"/>
        </w:rPr>
        <w:t>支付</w:t>
      </w:r>
      <w:r>
        <w:rPr>
          <w:rFonts w:hint="default" w:ascii="Times New Roman" w:hAnsi="Times New Roman" w:eastAsia="仿宋_GB2312" w:cs="Times New Roman"/>
          <w:color w:val="000000"/>
          <w:sz w:val="32"/>
          <w:szCs w:val="32"/>
          <w:lang w:val="en-US" w:eastAsia="zh-CN"/>
        </w:rPr>
        <w:t>监管能力。四是加强经办人员能力素质提升培训。</w:t>
      </w:r>
    </w:p>
    <w:p w14:paraId="360F44DC">
      <w:pPr>
        <w:keepNext w:val="0"/>
        <w:keepLines w:val="0"/>
        <w:pageBreakBefore w:val="0"/>
        <w:numPr>
          <w:ilvl w:val="0"/>
          <w:numId w:val="0"/>
        </w:numPr>
        <w:kinsoku/>
        <w:wordWrap/>
        <w:overflowPunct/>
        <w:topLinePunct w:val="0"/>
        <w:autoSpaceDE/>
        <w:autoSpaceDN/>
        <w:bidi w:val="0"/>
        <w:adjustRightInd w:val="0"/>
        <w:snapToGrid w:val="0"/>
        <w:spacing w:line="540" w:lineRule="exact"/>
        <w:ind w:leftChars="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auto"/>
          <w:sz w:val="32"/>
          <w:szCs w:val="32"/>
          <w:highlight w:val="none"/>
          <w:u w:val="none"/>
          <w:lang w:val="en-US" w:eastAsia="zh-CN"/>
        </w:rPr>
        <w:t>（三）预算安排及分配管理</w:t>
      </w:r>
      <w:r>
        <w:rPr>
          <w:rFonts w:hint="default" w:ascii="Times New Roman" w:hAnsi="Times New Roman" w:eastAsia="楷体_GB2312" w:cs="Times New Roman"/>
          <w:b/>
          <w:color w:val="auto"/>
          <w:sz w:val="32"/>
          <w:szCs w:val="32"/>
          <w:highlight w:val="none"/>
          <w:u w:val="none"/>
          <w:lang w:val="zh-CN" w:eastAsia="zh-CN"/>
        </w:rPr>
        <w:t>。</w:t>
      </w:r>
      <w:r>
        <w:rPr>
          <w:rFonts w:hint="default" w:ascii="Times New Roman" w:hAnsi="Times New Roman" w:eastAsia="仿宋_GB2312" w:cs="Times New Roman"/>
          <w:sz w:val="32"/>
          <w:szCs w:val="32"/>
        </w:rPr>
        <w:t>检查项目申报、资金申请、资金安排、使用、预算执行情况、决算情况等相关资料及财务资料，查找存在问题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完善相关资料。</w:t>
      </w:r>
    </w:p>
    <w:p w14:paraId="1BCB852F">
      <w:pPr>
        <w:keepNext w:val="0"/>
        <w:keepLines w:val="0"/>
        <w:pageBreakBefore w:val="0"/>
        <w:numPr>
          <w:ilvl w:val="0"/>
          <w:numId w:val="0"/>
        </w:numPr>
        <w:kinsoku/>
        <w:wordWrap/>
        <w:overflowPunct/>
        <w:topLinePunct w:val="0"/>
        <w:autoSpaceDE/>
        <w:autoSpaceDN/>
        <w:bidi w:val="0"/>
        <w:spacing w:line="540" w:lineRule="exact"/>
        <w:ind w:firstLine="643" w:firstLineChars="200"/>
        <w:textAlignment w:val="auto"/>
        <w:rPr>
          <w:rFonts w:hint="default" w:ascii="Times New Roman" w:hAnsi="Times New Roman" w:eastAsia="仿宋_GB2312" w:cs="Times New Roman"/>
          <w:sz w:val="32"/>
          <w:szCs w:val="32"/>
          <w:lang w:val="zh-CN" w:eastAsia="zh-CN"/>
        </w:rPr>
      </w:pPr>
      <w:r>
        <w:rPr>
          <w:rFonts w:hint="eastAsia" w:eastAsia="楷体_GB2312" w:cs="Times New Roman"/>
          <w:b/>
          <w:color w:val="auto"/>
          <w:sz w:val="32"/>
          <w:szCs w:val="32"/>
          <w:highlight w:val="none"/>
          <w:u w:val="none"/>
          <w:lang w:val="zh-CN" w:eastAsia="zh-CN"/>
        </w:rPr>
        <w:t>（四）</w:t>
      </w:r>
      <w:r>
        <w:rPr>
          <w:rFonts w:hint="default" w:ascii="Times New Roman" w:hAnsi="Times New Roman" w:eastAsia="楷体_GB2312" w:cs="Times New Roman"/>
          <w:b/>
          <w:color w:val="auto"/>
          <w:sz w:val="32"/>
          <w:szCs w:val="32"/>
          <w:highlight w:val="none"/>
          <w:u w:val="none"/>
          <w:lang w:val="zh-CN" w:eastAsia="zh-CN"/>
        </w:rPr>
        <w:t>项目绩效目标设置。</w:t>
      </w:r>
      <w:r>
        <w:rPr>
          <w:rFonts w:hint="default" w:ascii="Times New Roman" w:hAnsi="Times New Roman" w:eastAsia="仿宋_GB2312" w:cs="Times New Roman"/>
          <w:sz w:val="32"/>
          <w:szCs w:val="32"/>
          <w:lang w:val="en-US" w:eastAsia="zh-CN"/>
        </w:rPr>
        <w:t>松潘县人社局以全面建设群众满意的人社公共服务体系为目标，以深入推进人社服务供给侧结构性改革为主线，将加强和改进人社公共服务贯穿于人社工作全过程，紧紧围绕“服务平台标准化、服务基础信息化、服务机制协同化、服务行为专业化”四大建设，建成全县统筹、标准统一、智慧融通、方便快捷的人社公共服务体系。</w:t>
      </w:r>
    </w:p>
    <w:p w14:paraId="6AAA727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评价实施</w:t>
      </w:r>
    </w:p>
    <w:p w14:paraId="3D2C9035">
      <w:pPr>
        <w:keepNext w:val="0"/>
        <w:keepLines w:val="0"/>
        <w:pageBreakBefore w:val="0"/>
        <w:kinsoku/>
        <w:wordWrap/>
        <w:overflowPunct/>
        <w:topLinePunct w:val="0"/>
        <w:autoSpaceDE/>
        <w:autoSpaceDN/>
        <w:bidi w:val="0"/>
        <w:snapToGrid w:val="0"/>
        <w:spacing w:line="54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color w:val="auto"/>
          <w:sz w:val="32"/>
          <w:szCs w:val="32"/>
          <w:highlight w:val="none"/>
          <w:u w:val="none"/>
          <w:lang w:val="zh-CN"/>
        </w:rPr>
        <w:t>（一）评价目的。</w:t>
      </w:r>
      <w:r>
        <w:rPr>
          <w:rFonts w:hint="default" w:ascii="Times New Roman" w:hAnsi="Times New Roman" w:eastAsia="仿宋_GB2312" w:cs="Times New Roman"/>
          <w:sz w:val="32"/>
          <w:szCs w:val="32"/>
        </w:rPr>
        <w:t>项目主要以社会效益为主，主要是社会满意度测评。评估内容包括预算无漏项，预算测算遵循《</w:t>
      </w:r>
      <w:r>
        <w:rPr>
          <w:rFonts w:hint="default" w:ascii="Times New Roman" w:hAnsi="Times New Roman" w:eastAsia="仿宋_GB2312" w:cs="Times New Roman"/>
          <w:sz w:val="32"/>
          <w:szCs w:val="32"/>
          <w:lang w:eastAsia="zh-CN"/>
        </w:rPr>
        <w:t>关于下达</w:t>
      </w:r>
      <w:r>
        <w:rPr>
          <w:rFonts w:hint="default" w:ascii="Times New Roman" w:hAnsi="Times New Roman" w:eastAsia="仿宋_GB2312" w:cs="Times New Roman"/>
          <w:sz w:val="32"/>
          <w:szCs w:val="32"/>
          <w:lang w:val="en-US" w:eastAsia="zh-CN"/>
        </w:rPr>
        <w:t>2023年省级财政人社公共服务能力建设补助资金的通知</w:t>
      </w:r>
      <w:r>
        <w:rPr>
          <w:rFonts w:hint="default" w:ascii="Times New Roman" w:hAnsi="Times New Roman" w:eastAsia="仿宋_GB2312" w:cs="Times New Roman"/>
          <w:sz w:val="32"/>
          <w:szCs w:val="32"/>
        </w:rPr>
        <w:t>》，健全完善项目管理制度</w:t>
      </w:r>
      <w:r>
        <w:rPr>
          <w:rFonts w:hint="eastAsia" w:cs="Times New Roman"/>
          <w:sz w:val="32"/>
          <w:szCs w:val="32"/>
          <w:lang w:eastAsia="zh-CN"/>
        </w:rPr>
        <w:t>，</w:t>
      </w:r>
      <w:r>
        <w:rPr>
          <w:rFonts w:hint="default" w:ascii="Times New Roman" w:hAnsi="Times New Roman" w:eastAsia="仿宋_GB2312" w:cs="Times New Roman"/>
          <w:sz w:val="32"/>
          <w:szCs w:val="32"/>
        </w:rPr>
        <w:t>保证项目有效实施。该项目资金来源为：</w:t>
      </w:r>
      <w:r>
        <w:rPr>
          <w:rFonts w:hint="eastAsia" w:eastAsia="仿宋_GB2312" w:cs="Times New Roman"/>
          <w:sz w:val="32"/>
          <w:szCs w:val="32"/>
          <w:lang w:eastAsia="zh-CN"/>
        </w:rPr>
        <w:t>财政拨款</w:t>
      </w:r>
      <w:r>
        <w:rPr>
          <w:rFonts w:hint="default" w:ascii="Times New Roman" w:hAnsi="Times New Roman" w:eastAsia="仿宋_GB2312" w:cs="Times New Roman"/>
          <w:sz w:val="32"/>
          <w:szCs w:val="32"/>
        </w:rPr>
        <w:t>。资金渠道的合法合规，评估内容具有公共性，属于公共财政支持范围，筹资渠道符合法律法规规定，筹资结构合理，资金来源渠道明确。</w:t>
      </w:r>
    </w:p>
    <w:p w14:paraId="09600697">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color w:val="auto"/>
          <w:sz w:val="32"/>
          <w:szCs w:val="32"/>
          <w:highlight w:val="none"/>
          <w:u w:val="none"/>
          <w:lang w:val="zh-CN"/>
        </w:rPr>
        <w:t>（二）预设问题及评价重点。</w:t>
      </w:r>
      <w:r>
        <w:rPr>
          <w:rFonts w:hint="default" w:ascii="Times New Roman" w:hAnsi="Times New Roman" w:eastAsia="仿宋_GB2312" w:cs="Times New Roman"/>
          <w:sz w:val="32"/>
          <w:szCs w:val="32"/>
          <w:lang w:val="en-US" w:eastAsia="zh-CN"/>
        </w:rPr>
        <w:t>2023年度下达人社公共服务能力建设</w:t>
      </w:r>
      <w:r>
        <w:rPr>
          <w:rFonts w:hint="default" w:ascii="Times New Roman" w:hAnsi="Times New Roman" w:eastAsia="仿宋_GB2312" w:cs="Times New Roman"/>
          <w:sz w:val="32"/>
          <w:szCs w:val="32"/>
          <w:lang w:val="zh-CN"/>
        </w:rPr>
        <w:t>项目资金</w:t>
      </w:r>
      <w:r>
        <w:rPr>
          <w:rFonts w:hint="default" w:ascii="Times New Roman" w:hAnsi="Times New Roman" w:eastAsia="仿宋_GB2312" w:cs="Times New Roman"/>
          <w:sz w:val="32"/>
          <w:szCs w:val="32"/>
          <w:lang w:val="en-US" w:eastAsia="zh-CN"/>
        </w:rPr>
        <w:t>4万元，资金下达率100%；资金截至2023年底支付4万元，支付率100%；确保了企业职工基本养老保险全国统筹、工伤保险省级统筹顺利进行，参保覆盖人数持续增长，待遇水平稳步提高，使人民群众获得感、幸福感不断增强。</w:t>
      </w:r>
    </w:p>
    <w:p w14:paraId="12793F27">
      <w:pPr>
        <w:keepNext w:val="0"/>
        <w:keepLines w:val="0"/>
        <w:pageBreakBefore w:val="0"/>
        <w:widowControl w:val="0"/>
        <w:kinsoku/>
        <w:wordWrap/>
        <w:overflowPunct/>
        <w:topLinePunct w:val="0"/>
        <w:autoSpaceDE/>
        <w:autoSpaceDN/>
        <w:bidi w:val="0"/>
        <w:spacing w:line="540" w:lineRule="exact"/>
        <w:ind w:firstLine="643"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color w:val="auto"/>
          <w:sz w:val="32"/>
          <w:szCs w:val="32"/>
          <w:highlight w:val="none"/>
          <w:u w:val="none"/>
          <w:lang w:val="zh-CN"/>
        </w:rPr>
        <w:t>（</w:t>
      </w:r>
      <w:r>
        <w:rPr>
          <w:rFonts w:hint="default"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zh-CN"/>
        </w:rPr>
        <w:t>）评价方法。</w:t>
      </w:r>
      <w:r>
        <w:rPr>
          <w:rFonts w:hint="default" w:ascii="Times New Roman" w:hAnsi="Times New Roman" w:eastAsia="仿宋_GB2312" w:cs="Times New Roman"/>
          <w:sz w:val="32"/>
          <w:szCs w:val="32"/>
        </w:rPr>
        <w:t>根据项目情况和评价重点，</w:t>
      </w:r>
      <w:r>
        <w:rPr>
          <w:rFonts w:hint="eastAsia" w:eastAsia="仿宋_GB2312" w:cs="Times New Roman"/>
          <w:sz w:val="32"/>
          <w:szCs w:val="32"/>
          <w:lang w:eastAsia="zh-CN"/>
        </w:rPr>
        <w:t>用于</w:t>
      </w:r>
      <w:r>
        <w:rPr>
          <w:rFonts w:hint="default" w:ascii="Times New Roman" w:hAnsi="Times New Roman" w:eastAsia="仿宋_GB2312" w:cs="Times New Roman"/>
          <w:sz w:val="32"/>
          <w:szCs w:val="32"/>
        </w:rPr>
        <w:t>收集相关材料和开展具体评价</w:t>
      </w:r>
      <w:r>
        <w:rPr>
          <w:rFonts w:hint="default" w:ascii="Times New Roman" w:hAnsi="Times New Roman" w:eastAsia="仿宋_GB2312" w:cs="Times New Roman"/>
          <w:sz w:val="32"/>
          <w:szCs w:val="32"/>
          <w:lang w:eastAsia="zh-CN"/>
        </w:rPr>
        <w:t>的方法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包括：</w:t>
      </w:r>
      <w:r>
        <w:rPr>
          <w:rFonts w:hint="default" w:ascii="Times New Roman" w:hAnsi="Times New Roman" w:eastAsia="仿宋_GB2312" w:cs="Times New Roman"/>
          <w:sz w:val="32"/>
          <w:szCs w:val="32"/>
        </w:rPr>
        <w:t>采用成本效益分析法、单位自评法、问卷调查法、座谈调研法等多种方法</w:t>
      </w:r>
      <w:r>
        <w:rPr>
          <w:rFonts w:hint="default" w:ascii="Times New Roman" w:hAnsi="Times New Roman" w:eastAsia="仿宋_GB2312" w:cs="Times New Roman"/>
          <w:sz w:val="32"/>
          <w:szCs w:val="32"/>
          <w:lang w:eastAsia="zh-CN"/>
        </w:rPr>
        <w:t>。</w:t>
      </w:r>
    </w:p>
    <w:p w14:paraId="1A68C3F4">
      <w:pPr>
        <w:keepNext w:val="0"/>
        <w:keepLines w:val="0"/>
        <w:pageBreakBefore w:val="0"/>
        <w:numPr>
          <w:ilvl w:val="0"/>
          <w:numId w:val="0"/>
        </w:numPr>
        <w:kinsoku/>
        <w:wordWrap/>
        <w:overflowPunct/>
        <w:topLinePunct w:val="0"/>
        <w:autoSpaceDE/>
        <w:autoSpaceDN/>
        <w:bidi w:val="0"/>
        <w:spacing w:line="540" w:lineRule="exact"/>
        <w:ind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color w:val="auto"/>
          <w:sz w:val="32"/>
          <w:szCs w:val="32"/>
          <w:highlight w:val="none"/>
          <w:u w:val="none"/>
          <w:lang w:val="zh-CN"/>
        </w:rPr>
        <w:t>（四）评价组织。</w:t>
      </w:r>
      <w:r>
        <w:rPr>
          <w:rFonts w:hint="default" w:ascii="Times New Roman" w:hAnsi="Times New Roman" w:eastAsia="仿宋_GB2312" w:cs="Times New Roman"/>
          <w:sz w:val="32"/>
          <w:szCs w:val="32"/>
        </w:rPr>
        <w:t>建立项目绩效自评领导小组：组长由人社局局长</w:t>
      </w:r>
      <w:r>
        <w:rPr>
          <w:rFonts w:hint="default" w:ascii="Times New Roman" w:hAnsi="Times New Roman" w:eastAsia="仿宋_GB2312" w:cs="Times New Roman"/>
          <w:sz w:val="32"/>
          <w:szCs w:val="32"/>
          <w:lang w:eastAsia="zh-CN"/>
        </w:rPr>
        <w:t>泽旺磋同志</w:t>
      </w:r>
      <w:r>
        <w:rPr>
          <w:rFonts w:hint="default" w:ascii="Times New Roman" w:hAnsi="Times New Roman" w:eastAsia="仿宋_GB2312" w:cs="Times New Roman"/>
          <w:sz w:val="32"/>
          <w:szCs w:val="32"/>
        </w:rPr>
        <w:t>担任、副组长由副局长徐增艳、杨明</w:t>
      </w:r>
      <w:r>
        <w:rPr>
          <w:rFonts w:hint="default" w:ascii="Times New Roman" w:hAnsi="Times New Roman" w:eastAsia="仿宋_GB2312" w:cs="Times New Roman"/>
          <w:sz w:val="32"/>
          <w:szCs w:val="32"/>
          <w:lang w:eastAsia="zh-CN"/>
        </w:rPr>
        <w:t>同志担任</w:t>
      </w:r>
      <w:r>
        <w:rPr>
          <w:rFonts w:hint="default" w:ascii="Times New Roman" w:hAnsi="Times New Roman" w:eastAsia="仿宋_GB2312" w:cs="Times New Roman"/>
          <w:sz w:val="32"/>
          <w:szCs w:val="32"/>
        </w:rPr>
        <w:t>，成员有</w:t>
      </w:r>
      <w:r>
        <w:rPr>
          <w:rFonts w:hint="default" w:ascii="Times New Roman" w:hAnsi="Times New Roman" w:eastAsia="仿宋_GB2312" w:cs="Times New Roman"/>
          <w:sz w:val="32"/>
          <w:szCs w:val="32"/>
          <w:lang w:eastAsia="zh-CN"/>
        </w:rPr>
        <w:t>李思怡、</w:t>
      </w:r>
      <w:r>
        <w:rPr>
          <w:rFonts w:hint="default" w:ascii="Times New Roman" w:hAnsi="Times New Roman" w:eastAsia="仿宋_GB2312" w:cs="Times New Roman"/>
          <w:sz w:val="32"/>
          <w:szCs w:val="32"/>
        </w:rPr>
        <w:t>秦芳、</w:t>
      </w:r>
      <w:r>
        <w:rPr>
          <w:rFonts w:hint="default" w:ascii="Times New Roman" w:hAnsi="Times New Roman" w:eastAsia="仿宋_GB2312" w:cs="Times New Roman"/>
          <w:sz w:val="32"/>
          <w:szCs w:val="32"/>
          <w:lang w:eastAsia="zh-CN"/>
        </w:rPr>
        <w:t>蒲小凤</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李学强、</w:t>
      </w:r>
      <w:r>
        <w:rPr>
          <w:rFonts w:hint="default" w:ascii="Times New Roman" w:hAnsi="Times New Roman" w:eastAsia="仿宋_GB2312" w:cs="Times New Roman"/>
          <w:sz w:val="32"/>
          <w:szCs w:val="32"/>
          <w:lang w:val="en-US" w:eastAsia="zh-CN"/>
        </w:rPr>
        <w:t>唐丹、</w:t>
      </w:r>
      <w:r>
        <w:rPr>
          <w:rFonts w:hint="default" w:ascii="Times New Roman" w:hAnsi="Times New Roman" w:eastAsia="仿宋_GB2312" w:cs="Times New Roman"/>
          <w:sz w:val="32"/>
          <w:szCs w:val="32"/>
          <w:lang w:eastAsia="zh-CN"/>
        </w:rPr>
        <w:t>廖建</w:t>
      </w:r>
      <w:r>
        <w:rPr>
          <w:rFonts w:hint="default" w:ascii="Times New Roman" w:hAnsi="Times New Roman" w:eastAsia="仿宋_GB2312" w:cs="Times New Roman"/>
          <w:sz w:val="32"/>
          <w:szCs w:val="32"/>
          <w:lang w:val="en-US" w:eastAsia="zh-CN"/>
        </w:rPr>
        <w:t>6名同志</w:t>
      </w:r>
      <w:r>
        <w:rPr>
          <w:rFonts w:hint="default" w:ascii="Times New Roman" w:hAnsi="Times New Roman" w:eastAsia="仿宋_GB2312" w:cs="Times New Roman"/>
          <w:sz w:val="32"/>
          <w:szCs w:val="32"/>
        </w:rPr>
        <w:t>。</w:t>
      </w:r>
    </w:p>
    <w:p w14:paraId="1157B737">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cs="Times New Roman"/>
          <w:color w:val="auto"/>
          <w:sz w:val="32"/>
          <w:szCs w:val="32"/>
          <w:highlight w:val="none"/>
          <w:u w:val="none"/>
          <w:lang w:val="zh-CN"/>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eastAsia="zh-CN"/>
        </w:rPr>
        <w:t>绩效分析</w:t>
      </w:r>
    </w:p>
    <w:p w14:paraId="6F0D357F">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eastAsia="zh-CN"/>
        </w:rPr>
        <w:t>（一）</w:t>
      </w:r>
      <w:r>
        <w:rPr>
          <w:rFonts w:hint="default"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color w:val="auto"/>
          <w:sz w:val="32"/>
          <w:szCs w:val="32"/>
          <w:highlight w:val="none"/>
          <w:u w:val="none"/>
          <w:lang w:val="zh-CN" w:eastAsia="zh-CN"/>
        </w:rPr>
        <w:t>绩效分析。</w:t>
      </w:r>
    </w:p>
    <w:p w14:paraId="6882A62A">
      <w:pPr>
        <w:keepNext w:val="0"/>
        <w:keepLines w:val="0"/>
        <w:pageBreakBefore w:val="0"/>
        <w:widowControl w:val="0"/>
        <w:kinsoku/>
        <w:wordWrap/>
        <w:overflowPunct/>
        <w:topLinePunct w:val="0"/>
        <w:autoSpaceDE/>
        <w:autoSpaceDN/>
        <w:bidi w:val="0"/>
        <w:adjustRightInd/>
        <w:snapToGrid/>
        <w:spacing w:line="540" w:lineRule="exact"/>
        <w:ind w:firstLine="602"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color w:val="auto"/>
          <w:sz w:val="30"/>
          <w:szCs w:val="30"/>
          <w:lang w:val="en-US" w:eastAsia="zh-CN"/>
        </w:rPr>
        <w:t>1.</w:t>
      </w:r>
      <w:r>
        <w:rPr>
          <w:rFonts w:hint="default" w:ascii="Times New Roman" w:hAnsi="Times New Roman" w:eastAsia="仿宋_GB2312" w:cs="Times New Roman"/>
          <w:b/>
          <w:bCs/>
          <w:color w:val="auto"/>
          <w:sz w:val="30"/>
          <w:szCs w:val="30"/>
          <w:lang w:eastAsia="zh-CN"/>
        </w:rPr>
        <w:t>项目决策。</w:t>
      </w:r>
      <w:r>
        <w:rPr>
          <w:rFonts w:hint="default" w:ascii="Times New Roman" w:hAnsi="Times New Roman" w:eastAsia="仿宋_GB2312" w:cs="Times New Roman"/>
          <w:sz w:val="32"/>
          <w:szCs w:val="32"/>
          <w:lang w:eastAsia="zh-CN"/>
        </w:rPr>
        <w:t>针对绩效目标的关键任务和指标，我们进行了科学的量化和分解，将整体目标分解为阶段性任务，并建立相应指标体系，以便于对项目进展进行有效监控和评估。</w:t>
      </w:r>
    </w:p>
    <w:p w14:paraId="0FEACF37">
      <w:pPr>
        <w:keepNext w:val="0"/>
        <w:keepLines w:val="0"/>
        <w:pageBreakBefore w:val="0"/>
        <w:widowControl/>
        <w:kinsoku/>
        <w:wordWrap/>
        <w:overflowPunct/>
        <w:topLinePunct w:val="0"/>
        <w:autoSpaceDE/>
        <w:autoSpaceDN/>
        <w:bidi w:val="0"/>
        <w:spacing w:line="540" w:lineRule="exact"/>
        <w:ind w:firstLine="602"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color w:val="auto"/>
          <w:sz w:val="30"/>
          <w:szCs w:val="30"/>
          <w:lang w:val="en-US" w:eastAsia="zh-CN"/>
        </w:rPr>
        <w:t>2.项目管理。</w:t>
      </w:r>
      <w:r>
        <w:rPr>
          <w:rFonts w:hint="default" w:ascii="Times New Roman" w:hAnsi="Times New Roman" w:eastAsia="仿宋_GB2312" w:cs="Times New Roman"/>
          <w:sz w:val="32"/>
          <w:szCs w:val="32"/>
          <w:lang w:val="zh-CN" w:eastAsia="zh-CN"/>
        </w:rPr>
        <w:t>项目资金按照“公开、公平、公正”原则</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实施管理、专款专用，</w:t>
      </w:r>
      <w:r>
        <w:rPr>
          <w:rFonts w:hint="default" w:ascii="Times New Roman" w:hAnsi="Times New Roman" w:eastAsia="仿宋_GB2312" w:cs="Times New Roman"/>
          <w:sz w:val="32"/>
          <w:szCs w:val="32"/>
          <w:lang w:val="en-US" w:eastAsia="zh-CN"/>
        </w:rPr>
        <w:t>没有</w:t>
      </w:r>
      <w:r>
        <w:rPr>
          <w:rFonts w:hint="default" w:ascii="Times New Roman" w:hAnsi="Times New Roman" w:eastAsia="仿宋_GB2312" w:cs="Times New Roman"/>
          <w:sz w:val="32"/>
          <w:szCs w:val="32"/>
          <w:lang w:val="zh-CN" w:eastAsia="zh-CN"/>
        </w:rPr>
        <w:t>擅自扩大支出范围，</w:t>
      </w:r>
      <w:r>
        <w:rPr>
          <w:rFonts w:hint="default" w:ascii="Times New Roman" w:hAnsi="Times New Roman" w:eastAsia="仿宋_GB2312" w:cs="Times New Roman"/>
          <w:sz w:val="32"/>
          <w:szCs w:val="32"/>
          <w:lang w:val="en-US" w:eastAsia="zh-CN"/>
        </w:rPr>
        <w:t>没有</w:t>
      </w:r>
      <w:r>
        <w:rPr>
          <w:rFonts w:hint="default" w:ascii="Times New Roman" w:hAnsi="Times New Roman" w:eastAsia="仿宋_GB2312" w:cs="Times New Roman"/>
          <w:sz w:val="32"/>
          <w:szCs w:val="32"/>
          <w:lang w:val="zh-CN" w:eastAsia="zh-CN"/>
        </w:rPr>
        <w:t>从中提取工作经费。</w:t>
      </w:r>
      <w:r>
        <w:rPr>
          <w:rFonts w:hint="default" w:ascii="Times New Roman" w:hAnsi="Times New Roman" w:eastAsia="仿宋_GB2312" w:cs="Times New Roman"/>
          <w:sz w:val="32"/>
          <w:szCs w:val="32"/>
          <w:lang w:eastAsia="zh-CN"/>
        </w:rPr>
        <w:t>会计依据收集相关财务所需材料和银行提供回单进行会计核算及账务处理。</w:t>
      </w:r>
      <w:r>
        <w:rPr>
          <w:rFonts w:hint="default" w:ascii="Times New Roman" w:hAnsi="Times New Roman" w:eastAsia="仿宋_GB2312" w:cs="Times New Roman"/>
          <w:sz w:val="32"/>
          <w:szCs w:val="32"/>
          <w:lang w:val="zh-CN" w:eastAsia="zh-CN"/>
        </w:rPr>
        <w:t>依照项目资金管理办法，严格执行财务管理制度、财务处理及时、会计核算规范等。</w:t>
      </w:r>
    </w:p>
    <w:p w14:paraId="0202690F">
      <w:pPr>
        <w:keepNext w:val="0"/>
        <w:keepLines w:val="0"/>
        <w:pageBreakBefore w:val="0"/>
        <w:numPr>
          <w:ilvl w:val="0"/>
          <w:numId w:val="0"/>
        </w:numPr>
        <w:kinsoku/>
        <w:wordWrap/>
        <w:overflowPunct/>
        <w:topLinePunct w:val="0"/>
        <w:autoSpaceDE/>
        <w:autoSpaceDN/>
        <w:bidi w:val="0"/>
        <w:adjustRightInd w:val="0"/>
        <w:snapToGrid w:val="0"/>
        <w:spacing w:line="540" w:lineRule="exact"/>
        <w:ind w:leftChars="0" w:firstLine="602" w:firstLineChars="200"/>
        <w:textAlignment w:val="auto"/>
        <w:rPr>
          <w:rFonts w:hint="default" w:ascii="Times New Roman" w:hAnsi="Times New Roman" w:eastAsia="仿宋_GB2312" w:cs="Times New Roman"/>
          <w:sz w:val="32"/>
          <w:szCs w:val="32"/>
          <w:lang w:val="zh-CN" w:eastAsia="zh-CN"/>
        </w:rPr>
      </w:pPr>
      <w:r>
        <w:rPr>
          <w:rFonts w:hint="eastAsia" w:ascii="Times New Roman" w:hAnsi="Times New Roman" w:eastAsia="仿宋_GB2312" w:cs="Times New Roman"/>
          <w:b/>
          <w:bCs/>
          <w:color w:val="auto"/>
          <w:sz w:val="30"/>
          <w:szCs w:val="30"/>
          <w:lang w:val="en-US" w:eastAsia="zh-CN"/>
        </w:rPr>
        <w:t>3.</w:t>
      </w:r>
      <w:r>
        <w:rPr>
          <w:rFonts w:hint="default" w:ascii="Times New Roman" w:hAnsi="Times New Roman" w:eastAsia="仿宋_GB2312" w:cs="Times New Roman"/>
          <w:b/>
          <w:bCs/>
          <w:color w:val="auto"/>
          <w:sz w:val="30"/>
          <w:szCs w:val="30"/>
          <w:lang w:val="en-US" w:eastAsia="zh-CN"/>
        </w:rPr>
        <w:t>项目实施。</w:t>
      </w:r>
      <w:r>
        <w:rPr>
          <w:rFonts w:hint="default" w:ascii="Times New Roman" w:hAnsi="Times New Roman" w:eastAsia="仿宋_GB2312" w:cs="Times New Roman"/>
          <w:sz w:val="32"/>
          <w:szCs w:val="32"/>
          <w:lang w:val="zh-CN" w:eastAsia="zh-CN"/>
        </w:rPr>
        <w:t>按照</w:t>
      </w:r>
      <w:r>
        <w:rPr>
          <w:rFonts w:hint="eastAsia" w:ascii="Times New Roman" w:hAnsi="Times New Roman" w:eastAsia="仿宋_GB2312" w:cs="Times New Roman"/>
          <w:sz w:val="32"/>
          <w:szCs w:val="32"/>
          <w:lang w:val="zh-CN" w:eastAsia="zh-CN"/>
        </w:rPr>
        <w:t>州级相关部门</w:t>
      </w:r>
      <w:r>
        <w:rPr>
          <w:rFonts w:hint="default" w:ascii="Times New Roman" w:hAnsi="Times New Roman" w:eastAsia="仿宋_GB2312" w:cs="Times New Roman"/>
          <w:sz w:val="32"/>
          <w:szCs w:val="32"/>
          <w:lang w:val="zh-CN" w:eastAsia="zh-CN"/>
        </w:rPr>
        <w:t>下达的年度计划，及时组织实施，在实施过程中不讲条件</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不打折扣</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不搞形式</w:t>
      </w:r>
      <w:r>
        <w:rPr>
          <w:rFonts w:hint="eastAsia"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zh-CN" w:eastAsia="zh-CN"/>
        </w:rPr>
        <w:t>不走过场，确保按时保质完成任务；严格按照国家和省资金管理办法和有关资金管理规定，对项目资金实行专</w:t>
      </w:r>
      <w:r>
        <w:rPr>
          <w:rFonts w:hint="eastAsia" w:ascii="Times New Roman" w:hAnsi="Times New Roman" w:eastAsia="仿宋_GB2312" w:cs="Times New Roman"/>
          <w:sz w:val="32"/>
          <w:szCs w:val="32"/>
          <w:lang w:val="zh-CN" w:eastAsia="zh-CN"/>
        </w:rPr>
        <w:t>账</w:t>
      </w:r>
      <w:r>
        <w:rPr>
          <w:rFonts w:hint="default" w:ascii="Times New Roman" w:hAnsi="Times New Roman" w:eastAsia="仿宋_GB2312" w:cs="Times New Roman"/>
          <w:sz w:val="32"/>
          <w:szCs w:val="32"/>
          <w:lang w:val="zh-CN" w:eastAsia="zh-CN"/>
        </w:rPr>
        <w:t>管理、专</w:t>
      </w:r>
      <w:r>
        <w:rPr>
          <w:rFonts w:hint="eastAsia" w:ascii="Times New Roman" w:hAnsi="Times New Roman" w:eastAsia="仿宋_GB2312" w:cs="Times New Roman"/>
          <w:sz w:val="32"/>
          <w:szCs w:val="32"/>
          <w:lang w:val="zh-CN" w:eastAsia="zh-CN"/>
        </w:rPr>
        <w:t>账</w:t>
      </w:r>
      <w:r>
        <w:rPr>
          <w:rFonts w:hint="default" w:ascii="Times New Roman" w:hAnsi="Times New Roman" w:eastAsia="仿宋_GB2312" w:cs="Times New Roman"/>
          <w:sz w:val="32"/>
          <w:szCs w:val="32"/>
          <w:lang w:val="zh-CN" w:eastAsia="zh-CN"/>
        </w:rPr>
        <w:t>核算、专款专用、封闭运行，努力提高资金使用效益。</w:t>
      </w:r>
      <w:r>
        <w:rPr>
          <w:rFonts w:hint="default" w:ascii="Times New Roman" w:hAnsi="Times New Roman" w:eastAsia="仿宋_GB2312" w:cs="Times New Roman"/>
          <w:sz w:val="32"/>
          <w:szCs w:val="32"/>
          <w:lang w:val="en-US" w:eastAsia="zh-CN"/>
        </w:rPr>
        <w:t>2023年下达省级财政人社公共服务能力建设补助资金4万元，主要用于工伤认定档案数字化12500元，政策宣传印刷制作费18242元，工伤调查、农民工工资支付监管、劳动仲裁业务培训差旅费9258元。</w:t>
      </w:r>
    </w:p>
    <w:p w14:paraId="184E6338">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0"/>
          <w:szCs w:val="30"/>
          <w:lang w:val="en-US" w:eastAsia="zh-CN"/>
        </w:rPr>
        <w:t>4.项目结果。</w:t>
      </w:r>
      <w:r>
        <w:rPr>
          <w:rFonts w:hint="default" w:ascii="Times New Roman" w:hAnsi="Times New Roman" w:eastAsia="仿宋_GB2312" w:cs="Times New Roman"/>
          <w:sz w:val="32"/>
          <w:szCs w:val="32"/>
          <w:lang w:val="en-US" w:eastAsia="zh-CN"/>
        </w:rPr>
        <w:t>提高了工作人员的业务能力；工伤档案完全数字化管理，提高了经济效益、办公效率，使社保工作运行总体平稳。</w:t>
      </w:r>
    </w:p>
    <w:p w14:paraId="56A2ADA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default"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color w:val="auto"/>
          <w:sz w:val="32"/>
          <w:szCs w:val="32"/>
          <w:highlight w:val="none"/>
          <w:u w:val="none"/>
          <w:lang w:val="zh-CN"/>
        </w:rPr>
        <w:t>绩效分析。</w:t>
      </w:r>
    </w:p>
    <w:p w14:paraId="29476A7A">
      <w:pPr>
        <w:keepNext w:val="0"/>
        <w:keepLines w:val="0"/>
        <w:pageBreakBefore w:val="0"/>
        <w:widowControl w:val="0"/>
        <w:kinsoku/>
        <w:wordWrap/>
        <w:overflowPunct/>
        <w:topLinePunct w:val="0"/>
        <w:autoSpaceDE/>
        <w:autoSpaceDN/>
        <w:bidi w:val="0"/>
        <w:adjustRightInd/>
        <w:snapToGrid/>
        <w:spacing w:line="540" w:lineRule="exact"/>
        <w:ind w:left="0" w:leftChars="0" w:firstLine="60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0"/>
          <w:szCs w:val="30"/>
          <w:lang w:val="zh-CN" w:eastAsia="zh-CN"/>
        </w:rPr>
        <w:t>民生保障。</w:t>
      </w:r>
      <w:r>
        <w:rPr>
          <w:rFonts w:hint="default" w:ascii="Times New Roman" w:hAnsi="Times New Roman" w:eastAsia="仿宋_GB2312" w:cs="Times New Roman"/>
          <w:sz w:val="32"/>
          <w:szCs w:val="32"/>
          <w:lang w:val="en-US" w:eastAsia="zh-CN"/>
        </w:rPr>
        <w:t>2023年度下达人社公共服务能力建设</w:t>
      </w:r>
      <w:r>
        <w:rPr>
          <w:rFonts w:hint="default" w:ascii="Times New Roman" w:hAnsi="Times New Roman" w:eastAsia="仿宋_GB2312" w:cs="Times New Roman"/>
          <w:sz w:val="32"/>
          <w:szCs w:val="32"/>
          <w:lang w:val="zh-CN" w:eastAsia="zh-CN"/>
        </w:rPr>
        <w:t>项目资金</w:t>
      </w:r>
      <w:r>
        <w:rPr>
          <w:rFonts w:hint="default" w:ascii="Times New Roman" w:hAnsi="Times New Roman" w:eastAsia="仿宋_GB2312" w:cs="Times New Roman"/>
          <w:sz w:val="32"/>
          <w:szCs w:val="32"/>
          <w:lang w:val="en-US" w:eastAsia="zh-CN"/>
        </w:rPr>
        <w:t>4万元，资金下达率100%；资金截至2023年底支付4万元，支付率100%；确保了企业职工基本养老保险全国统筹、工伤保险省级统筹顺利进行，参保覆盖人数持续增长，待遇水平稳步提高，使人民群众获得感、幸福感不断增强。</w:t>
      </w:r>
    </w:p>
    <w:p w14:paraId="484147C0">
      <w:pPr>
        <w:pStyle w:val="2"/>
        <w:keepNext w:val="0"/>
        <w:keepLines w:val="0"/>
        <w:pageBreakBefore w:val="0"/>
        <w:numPr>
          <w:ilvl w:val="0"/>
          <w:numId w:val="0"/>
        </w:numPr>
        <w:tabs>
          <w:tab w:val="left" w:pos="2160"/>
        </w:tabs>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四</w:t>
      </w:r>
      <w:r>
        <w:rPr>
          <w:rFonts w:hint="default" w:ascii="Times New Roman" w:hAnsi="Times New Roman" w:eastAsia="黑体" w:cs="Times New Roman"/>
          <w:color w:val="auto"/>
          <w:sz w:val="32"/>
          <w:szCs w:val="32"/>
          <w:highlight w:val="none"/>
          <w:u w:val="none"/>
        </w:rPr>
        <w:t>、评价结论</w:t>
      </w:r>
    </w:p>
    <w:p w14:paraId="678DAC3C">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该项目自查得分</w:t>
      </w:r>
      <w:r>
        <w:rPr>
          <w:rFonts w:hint="eastAsia" w:cs="Times New Roman"/>
          <w:sz w:val="32"/>
          <w:szCs w:val="32"/>
          <w:lang w:val="en-US" w:eastAsia="zh-CN"/>
        </w:rPr>
        <w:t>97</w:t>
      </w:r>
      <w:r>
        <w:rPr>
          <w:rFonts w:hint="default" w:ascii="Times New Roman" w:hAnsi="Times New Roman" w:eastAsia="仿宋_GB2312" w:cs="Times New Roman"/>
          <w:sz w:val="32"/>
          <w:szCs w:val="32"/>
        </w:rPr>
        <w:t>分，得分情况主要依据政策及项目实施保障制度</w:t>
      </w:r>
      <w:r>
        <w:rPr>
          <w:rFonts w:hint="eastAsia" w:cs="Times New Roman"/>
          <w:sz w:val="32"/>
          <w:szCs w:val="32"/>
          <w:lang w:eastAsia="zh-CN"/>
        </w:rPr>
        <w:t>，</w:t>
      </w:r>
      <w:r>
        <w:rPr>
          <w:rFonts w:hint="default" w:ascii="Times New Roman" w:hAnsi="Times New Roman" w:eastAsia="仿宋_GB2312" w:cs="Times New Roman"/>
          <w:sz w:val="32"/>
          <w:szCs w:val="32"/>
        </w:rPr>
        <w:t>项目预期产出和效果能满足日常工作需求。</w:t>
      </w:r>
    </w:p>
    <w:p w14:paraId="0B487F6F">
      <w:pPr>
        <w:pStyle w:val="2"/>
        <w:keepNext w:val="0"/>
        <w:keepLines w:val="0"/>
        <w:pageBreakBefore w:val="0"/>
        <w:numPr>
          <w:ilvl w:val="0"/>
          <w:numId w:val="0"/>
        </w:numPr>
        <w:tabs>
          <w:tab w:val="left" w:pos="2160"/>
        </w:tabs>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cs="Times New Roman"/>
          <w:color w:val="auto"/>
          <w:sz w:val="32"/>
          <w:szCs w:val="32"/>
          <w:highlight w:val="none"/>
          <w:u w:val="none"/>
          <w:lang w:eastAsia="zh-CN"/>
        </w:rPr>
        <w:t>五、</w:t>
      </w:r>
      <w:r>
        <w:rPr>
          <w:rFonts w:hint="default" w:ascii="Times New Roman" w:hAnsi="Times New Roman" w:eastAsia="黑体" w:cs="Times New Roman"/>
          <w:color w:val="auto"/>
          <w:sz w:val="32"/>
          <w:szCs w:val="32"/>
          <w:highlight w:val="none"/>
          <w:u w:val="none"/>
          <w:lang w:eastAsia="zh-CN"/>
        </w:rPr>
        <w:t>存在主要问题</w:t>
      </w:r>
    </w:p>
    <w:p w14:paraId="7FA710F1">
      <w:pPr>
        <w:pStyle w:val="2"/>
        <w:keepNext w:val="0"/>
        <w:keepLines w:val="0"/>
        <w:pageBreakBefore w:val="0"/>
        <w:numPr>
          <w:ilvl w:val="0"/>
          <w:numId w:val="0"/>
        </w:numPr>
        <w:tabs>
          <w:tab w:val="left" w:pos="2160"/>
        </w:tabs>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无</w:t>
      </w:r>
    </w:p>
    <w:p w14:paraId="37B3C738">
      <w:pPr>
        <w:pStyle w:val="2"/>
        <w:keepNext w:val="0"/>
        <w:keepLines w:val="0"/>
        <w:pageBreakBefore w:val="0"/>
        <w:numPr>
          <w:ilvl w:val="0"/>
          <w:numId w:val="0"/>
        </w:numPr>
        <w:tabs>
          <w:tab w:val="left" w:pos="2160"/>
        </w:tabs>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黑体" w:cs="Times New Roman"/>
          <w:color w:val="auto"/>
          <w:kern w:val="0"/>
          <w:position w:val="3"/>
          <w:sz w:val="32"/>
          <w:szCs w:val="32"/>
          <w:highlight w:val="none"/>
          <w:u w:val="none"/>
          <w:lang w:val="zh-CN" w:eastAsia="zh-CN" w:bidi="ar-SA"/>
        </w:rPr>
      </w:pPr>
      <w:r>
        <w:rPr>
          <w:rFonts w:hint="default" w:ascii="Times New Roman" w:hAnsi="Times New Roman" w:eastAsia="黑体" w:cs="Times New Roman"/>
          <w:color w:val="auto"/>
          <w:kern w:val="0"/>
          <w:position w:val="3"/>
          <w:sz w:val="32"/>
          <w:szCs w:val="32"/>
          <w:highlight w:val="none"/>
          <w:u w:val="none"/>
          <w:lang w:val="zh-CN" w:eastAsia="zh-CN" w:bidi="ar-SA"/>
        </w:rPr>
        <w:t>六、改进建议</w:t>
      </w:r>
    </w:p>
    <w:p w14:paraId="5996A2A5">
      <w:pPr>
        <w:pStyle w:val="14"/>
        <w:keepNext w:val="0"/>
        <w:keepLines w:val="0"/>
        <w:pageBreakBefore w:val="0"/>
        <w:kinsoku/>
        <w:wordWrap/>
        <w:overflowPunct/>
        <w:topLinePunct w:val="0"/>
        <w:autoSpaceDE/>
        <w:autoSpaceDN/>
        <w:bidi w:val="0"/>
        <w:spacing w:after="0" w:line="540" w:lineRule="exact"/>
        <w:ind w:left="0" w:leftChars="0" w:firstLine="602"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color w:val="auto"/>
          <w:kern w:val="2"/>
          <w:sz w:val="30"/>
          <w:szCs w:val="30"/>
          <w:lang w:val="en-US" w:eastAsia="zh-CN" w:bidi="ar-SA"/>
        </w:rPr>
        <w:t>（一）强化宣传。</w:t>
      </w:r>
      <w:r>
        <w:rPr>
          <w:rFonts w:hint="default" w:ascii="Times New Roman" w:hAnsi="Times New Roman" w:eastAsia="仿宋_GB2312" w:cs="Times New Roman"/>
          <w:kern w:val="2"/>
          <w:sz w:val="32"/>
          <w:szCs w:val="32"/>
          <w:lang w:val="en-US" w:eastAsia="zh-CN" w:bidi="ar-SA"/>
        </w:rPr>
        <w:t>进一步加大宣传力度，让广大城乡居民全面了解项目益处，提高</w:t>
      </w:r>
      <w:r>
        <w:rPr>
          <w:rFonts w:hint="eastAsia" w:ascii="Times New Roman" w:eastAsia="仿宋_GB2312" w:cs="Times New Roman"/>
          <w:kern w:val="2"/>
          <w:sz w:val="32"/>
          <w:szCs w:val="32"/>
          <w:lang w:val="en-US" w:eastAsia="zh-CN" w:bidi="ar-SA"/>
        </w:rPr>
        <w:t>群众</w:t>
      </w:r>
      <w:r>
        <w:rPr>
          <w:rFonts w:hint="default" w:ascii="Times New Roman" w:hAnsi="Times New Roman" w:eastAsia="仿宋_GB2312" w:cs="Times New Roman"/>
          <w:kern w:val="2"/>
          <w:sz w:val="32"/>
          <w:szCs w:val="32"/>
          <w:lang w:val="en-US" w:eastAsia="zh-CN" w:bidi="ar-SA"/>
        </w:rPr>
        <w:t>知晓率，鼓励群众积极参与，配合工作开展。</w:t>
      </w:r>
    </w:p>
    <w:p w14:paraId="2234B6BD">
      <w:pPr>
        <w:pStyle w:val="14"/>
        <w:keepNext w:val="0"/>
        <w:keepLines w:val="0"/>
        <w:pageBreakBefore w:val="0"/>
        <w:kinsoku/>
        <w:wordWrap/>
        <w:overflowPunct/>
        <w:topLinePunct w:val="0"/>
        <w:autoSpaceDE/>
        <w:autoSpaceDN/>
        <w:bidi w:val="0"/>
        <w:spacing w:after="0" w:line="540" w:lineRule="exact"/>
        <w:ind w:left="0" w:leftChars="0" w:firstLine="602" w:firstLineChars="200"/>
        <w:textAlignment w:val="auto"/>
        <w:rPr>
          <w:rFonts w:hint="default"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b/>
          <w:bCs/>
          <w:color w:val="auto"/>
          <w:kern w:val="2"/>
          <w:sz w:val="30"/>
          <w:szCs w:val="30"/>
          <w:lang w:val="en-US" w:eastAsia="zh-CN" w:bidi="ar-SA"/>
        </w:rPr>
        <w:t>（二）</w:t>
      </w:r>
      <w:r>
        <w:rPr>
          <w:rFonts w:hint="default" w:ascii="Times New Roman" w:hAnsi="Times New Roman" w:eastAsia="仿宋_GB2312" w:cs="Times New Roman"/>
          <w:b/>
          <w:bCs/>
          <w:color w:val="auto"/>
          <w:kern w:val="2"/>
          <w:sz w:val="30"/>
          <w:szCs w:val="30"/>
          <w:lang w:val="en-US" w:eastAsia="zh-CN" w:bidi="ar-SA"/>
        </w:rPr>
        <w:t>强化培训</w:t>
      </w:r>
      <w:r>
        <w:rPr>
          <w:rFonts w:hint="eastAsia" w:ascii="Times New Roman" w:hAnsi="Times New Roman" w:eastAsia="仿宋_GB2312" w:cs="Times New Roman"/>
          <w:b/>
          <w:bCs/>
          <w:color w:val="auto"/>
          <w:kern w:val="2"/>
          <w:sz w:val="30"/>
          <w:szCs w:val="30"/>
          <w:lang w:val="en-US" w:eastAsia="zh-CN" w:bidi="ar-SA"/>
        </w:rPr>
        <w:t>。</w:t>
      </w:r>
      <w:r>
        <w:rPr>
          <w:rFonts w:hint="default" w:ascii="Times New Roman" w:hAnsi="Times New Roman" w:eastAsia="仿宋_GB2312" w:cs="Times New Roman"/>
          <w:kern w:val="2"/>
          <w:sz w:val="32"/>
          <w:szCs w:val="32"/>
          <w:lang w:val="en-US" w:eastAsia="zh-CN" w:bidi="ar-SA"/>
        </w:rPr>
        <w:t>切实加强县、乡、村三级人社公共服务人员培训，对业务政策做到全员培训，全员知晓。</w:t>
      </w:r>
    </w:p>
    <w:p w14:paraId="76D2A2C2">
      <w:pPr>
        <w:pStyle w:val="14"/>
        <w:keepNext w:val="0"/>
        <w:keepLines w:val="0"/>
        <w:pageBreakBefore w:val="0"/>
        <w:kinsoku/>
        <w:wordWrap/>
        <w:overflowPunct/>
        <w:topLinePunct w:val="0"/>
        <w:autoSpaceDE/>
        <w:autoSpaceDN/>
        <w:bidi w:val="0"/>
        <w:spacing w:after="0" w:line="540" w:lineRule="exact"/>
        <w:ind w:left="0" w:leftChars="0" w:firstLine="640" w:firstLineChars="200"/>
        <w:textAlignment w:val="auto"/>
        <w:rPr>
          <w:rFonts w:hint="default" w:ascii="Times New Roman" w:hAnsi="Times New Roman" w:eastAsia="仿宋_GB2312" w:cs="Times New Roman"/>
          <w:kern w:val="2"/>
          <w:sz w:val="32"/>
          <w:szCs w:val="32"/>
          <w:lang w:val="en" w:eastAsia="zh-CN" w:bidi="ar-SA"/>
        </w:rPr>
      </w:pPr>
    </w:p>
    <w:p w14:paraId="116CFB76">
      <w:pPr>
        <w:pStyle w:val="14"/>
        <w:keepNext w:val="0"/>
        <w:keepLines w:val="0"/>
        <w:pageBreakBefore w:val="0"/>
        <w:kinsoku/>
        <w:wordWrap/>
        <w:overflowPunct/>
        <w:topLinePunct w:val="0"/>
        <w:autoSpaceDE/>
        <w:autoSpaceDN/>
        <w:bidi w:val="0"/>
        <w:spacing w:after="0" w:line="54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附表：1.项目资金分配涉及所有点位自评得分情况表</w:t>
      </w:r>
    </w:p>
    <w:p w14:paraId="6E9F1297">
      <w:pPr>
        <w:pStyle w:val="14"/>
        <w:keepNext w:val="0"/>
        <w:keepLines w:val="0"/>
        <w:pageBreakBefore w:val="0"/>
        <w:numPr>
          <w:ilvl w:val="0"/>
          <w:numId w:val="9"/>
        </w:numPr>
        <w:kinsoku/>
        <w:wordWrap/>
        <w:overflowPunct/>
        <w:topLinePunct w:val="0"/>
        <w:autoSpaceDE/>
        <w:autoSpaceDN/>
        <w:bidi w:val="0"/>
        <w:spacing w:after="0" w:line="540" w:lineRule="exact"/>
        <w:ind w:left="0" w:leftChars="0" w:firstLine="1600" w:firstLineChars="5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专项预算项目绩效目标完成情况自评表</w:t>
      </w:r>
    </w:p>
    <w:p w14:paraId="5819088C">
      <w:pPr>
        <w:pStyle w:val="14"/>
        <w:keepNext w:val="0"/>
        <w:keepLines w:val="0"/>
        <w:pageBreakBefore w:val="0"/>
        <w:widowControl w:val="0"/>
        <w:numPr>
          <w:ilvl w:val="0"/>
          <w:numId w:val="0"/>
        </w:numPr>
        <w:kinsoku/>
        <w:wordWrap/>
        <w:overflowPunct/>
        <w:topLinePunct w:val="0"/>
        <w:autoSpaceDE/>
        <w:autoSpaceDN/>
        <w:bidi w:val="0"/>
        <w:spacing w:after="0" w:line="540" w:lineRule="exact"/>
        <w:jc w:val="both"/>
        <w:textAlignment w:val="auto"/>
        <w:rPr>
          <w:rFonts w:hint="default" w:ascii="Times New Roman" w:hAnsi="Times New Roman" w:eastAsia="仿宋_GB2312" w:cs="Times New Roman"/>
          <w:kern w:val="2"/>
          <w:sz w:val="32"/>
          <w:szCs w:val="32"/>
          <w:lang w:val="en-US" w:eastAsia="zh-CN" w:bidi="ar-SA"/>
        </w:rPr>
      </w:pPr>
    </w:p>
    <w:p w14:paraId="2EE9D992">
      <w:pPr>
        <w:pStyle w:val="14"/>
        <w:keepNext w:val="0"/>
        <w:keepLines w:val="0"/>
        <w:pageBreakBefore w:val="0"/>
        <w:widowControl w:val="0"/>
        <w:numPr>
          <w:ilvl w:val="0"/>
          <w:numId w:val="0"/>
        </w:numPr>
        <w:kinsoku/>
        <w:wordWrap/>
        <w:overflowPunct/>
        <w:topLinePunct w:val="0"/>
        <w:autoSpaceDE/>
        <w:autoSpaceDN/>
        <w:bidi w:val="0"/>
        <w:spacing w:after="0" w:line="540" w:lineRule="exact"/>
        <w:jc w:val="both"/>
        <w:textAlignment w:val="auto"/>
        <w:rPr>
          <w:rFonts w:hint="default" w:ascii="Times New Roman" w:hAnsi="Times New Roman" w:eastAsia="仿宋_GB2312" w:cs="Times New Roman"/>
          <w:kern w:val="2"/>
          <w:sz w:val="32"/>
          <w:szCs w:val="32"/>
          <w:lang w:val="en-US" w:eastAsia="zh-CN" w:bidi="ar-SA"/>
        </w:rPr>
      </w:pPr>
    </w:p>
    <w:p w14:paraId="3882537A">
      <w:pPr>
        <w:pStyle w:val="14"/>
        <w:keepNext w:val="0"/>
        <w:keepLines w:val="0"/>
        <w:pageBreakBefore w:val="0"/>
        <w:widowControl w:val="0"/>
        <w:numPr>
          <w:ilvl w:val="0"/>
          <w:numId w:val="0"/>
        </w:numPr>
        <w:kinsoku/>
        <w:wordWrap/>
        <w:overflowPunct/>
        <w:topLinePunct w:val="0"/>
        <w:autoSpaceDE/>
        <w:autoSpaceDN/>
        <w:bidi w:val="0"/>
        <w:spacing w:after="0" w:line="540" w:lineRule="exact"/>
        <w:jc w:val="both"/>
        <w:textAlignment w:val="auto"/>
        <w:rPr>
          <w:rFonts w:hint="default" w:ascii="Times New Roman" w:hAnsi="Times New Roman" w:eastAsia="仿宋_GB2312" w:cs="Times New Roman"/>
          <w:kern w:val="2"/>
          <w:sz w:val="32"/>
          <w:szCs w:val="32"/>
          <w:lang w:val="en-US" w:eastAsia="zh-CN" w:bidi="ar-SA"/>
        </w:rPr>
      </w:pPr>
    </w:p>
    <w:p w14:paraId="1C4E80E3">
      <w:pPr>
        <w:pStyle w:val="14"/>
        <w:keepNext w:val="0"/>
        <w:keepLines w:val="0"/>
        <w:pageBreakBefore w:val="0"/>
        <w:widowControl w:val="0"/>
        <w:numPr>
          <w:ilvl w:val="0"/>
          <w:numId w:val="0"/>
        </w:numPr>
        <w:kinsoku/>
        <w:wordWrap/>
        <w:overflowPunct/>
        <w:topLinePunct w:val="0"/>
        <w:autoSpaceDE/>
        <w:autoSpaceDN/>
        <w:bidi w:val="0"/>
        <w:spacing w:after="0" w:line="540" w:lineRule="exact"/>
        <w:jc w:val="both"/>
        <w:textAlignment w:val="auto"/>
        <w:rPr>
          <w:rFonts w:hint="default" w:ascii="Times New Roman" w:hAnsi="Times New Roman" w:eastAsia="仿宋_GB2312" w:cs="Times New Roman"/>
          <w:kern w:val="2"/>
          <w:sz w:val="32"/>
          <w:szCs w:val="32"/>
          <w:lang w:val="en-US" w:eastAsia="zh-CN" w:bidi="ar-SA"/>
        </w:rPr>
      </w:pPr>
    </w:p>
    <w:p w14:paraId="7D2FCEE3">
      <w:pPr>
        <w:keepNext w:val="0"/>
        <w:keepLines w:val="0"/>
        <w:pageBreakBefore w:val="0"/>
        <w:kinsoku/>
        <w:wordWrap/>
        <w:overflowPunct/>
        <w:topLinePunct w:val="0"/>
        <w:autoSpaceDE/>
        <w:autoSpaceDN/>
        <w:bidi w:val="0"/>
        <w:adjustRightInd/>
        <w:snapToGrid w:val="0"/>
        <w:spacing w:line="578" w:lineRule="exact"/>
        <w:jc w:val="left"/>
        <w:textAlignment w:val="auto"/>
        <w:outlineLvl w:val="9"/>
        <w:rPr>
          <w:rFonts w:hint="eastAsia" w:ascii="方正小标宋_GBK" w:hAnsi="方正小标宋_GBK" w:eastAsia="方正小标宋_GBK" w:cs="方正小标宋_GBK"/>
          <w:b w:val="0"/>
          <w:bCs w:val="0"/>
          <w:color w:val="auto"/>
          <w:sz w:val="40"/>
          <w:szCs w:val="40"/>
          <w:highlight w:val="none"/>
          <w:u w:val="none"/>
          <w:lang w:val="en-US" w:eastAsia="zh-CN"/>
        </w:rPr>
      </w:pPr>
      <w:r>
        <w:rPr>
          <w:rFonts w:hint="eastAsia" w:ascii="黑体" w:hAnsi="黑体" w:eastAsia="黑体" w:cs="黑体"/>
          <w:b w:val="0"/>
          <w:bCs w:val="0"/>
          <w:color w:val="auto"/>
          <w:kern w:val="0"/>
          <w:sz w:val="32"/>
          <w:szCs w:val="32"/>
          <w:highlight w:val="none"/>
          <w:u w:val="none"/>
          <w:shd w:val="clear" w:color="auto" w:fill="FFFFFF"/>
          <w:lang w:val="zh-CN" w:eastAsia="zh-CN"/>
        </w:rPr>
        <w:t>附表</w:t>
      </w:r>
      <w:r>
        <w:rPr>
          <w:rFonts w:hint="eastAsia" w:ascii="黑体" w:hAnsi="黑体" w:eastAsia="黑体" w:cs="黑体"/>
          <w:b w:val="0"/>
          <w:bCs w:val="0"/>
          <w:color w:val="auto"/>
          <w:kern w:val="0"/>
          <w:sz w:val="32"/>
          <w:szCs w:val="32"/>
          <w:highlight w:val="none"/>
          <w:u w:val="none"/>
          <w:shd w:val="clear" w:color="auto" w:fill="FFFFFF"/>
          <w:lang w:val="en-US" w:eastAsia="zh-CN"/>
        </w:rPr>
        <w:t>1</w:t>
      </w:r>
    </w:p>
    <w:p w14:paraId="3558AEAD">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方正小标宋简体" w:hAnsi="方正小标宋简体" w:eastAsia="方正小标宋简体" w:cs="方正小标宋简体"/>
          <w:i w:val="0"/>
          <w:color w:val="000000"/>
          <w:kern w:val="0"/>
          <w:sz w:val="40"/>
          <w:szCs w:val="40"/>
          <w:u w:val="none"/>
          <w:lang w:val="en-US" w:eastAsia="zh-CN" w:bidi="ar"/>
        </w:rPr>
      </w:pPr>
      <w:r>
        <w:rPr>
          <w:rFonts w:hint="eastAsia" w:ascii="方正小标宋简体" w:hAnsi="方正小标宋简体" w:eastAsia="方正小标宋简体" w:cs="方正小标宋简体"/>
          <w:i w:val="0"/>
          <w:color w:val="000000"/>
          <w:kern w:val="0"/>
          <w:sz w:val="40"/>
          <w:szCs w:val="40"/>
          <w:u w:val="none"/>
          <w:lang w:val="en-US" w:eastAsia="zh-CN" w:bidi="ar"/>
        </w:rPr>
        <w:t>项目资金分配涉及所有点位自评得分情况表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14:paraId="3D1C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35181920">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US" w:eastAsia="zh-CN"/>
              </w:rPr>
            </w:pPr>
            <w:r>
              <w:rPr>
                <w:rFonts w:hint="eastAsia" w:ascii="黑体" w:hAnsi="黑体" w:eastAsia="黑体" w:cs="黑体"/>
                <w:b w:val="0"/>
                <w:bCs w:val="0"/>
                <w:color w:val="auto"/>
                <w:sz w:val="24"/>
                <w:szCs w:val="24"/>
                <w:highlight w:val="none"/>
                <w:u w:val="none"/>
                <w:vertAlign w:val="baseline"/>
                <w:lang w:val="en-US" w:eastAsia="zh-CN"/>
              </w:rPr>
              <w:t>序号</w:t>
            </w:r>
          </w:p>
        </w:tc>
        <w:tc>
          <w:tcPr>
            <w:tcW w:w="3843" w:type="dxa"/>
            <w:noWrap w:val="0"/>
            <w:vAlign w:val="top"/>
          </w:tcPr>
          <w:p w14:paraId="09308102">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 w:eastAsia="zh-CN"/>
              </w:rPr>
            </w:pPr>
            <w:r>
              <w:rPr>
                <w:rFonts w:hint="eastAsia" w:ascii="黑体" w:hAnsi="黑体" w:eastAsia="黑体" w:cs="黑体"/>
                <w:b w:val="0"/>
                <w:bCs w:val="0"/>
                <w:color w:val="auto"/>
                <w:sz w:val="24"/>
                <w:szCs w:val="24"/>
                <w:highlight w:val="none"/>
                <w:u w:val="none"/>
                <w:vertAlign w:val="baseline"/>
                <w:lang w:val="en-US" w:eastAsia="zh-CN"/>
              </w:rPr>
              <w:t>项目资金末端分配点位</w:t>
            </w:r>
          </w:p>
        </w:tc>
        <w:tc>
          <w:tcPr>
            <w:tcW w:w="2861" w:type="dxa"/>
            <w:noWrap w:val="0"/>
            <w:vAlign w:val="top"/>
          </w:tcPr>
          <w:p w14:paraId="05590AAB">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US" w:eastAsia="zh-CN"/>
              </w:rPr>
            </w:pPr>
            <w:r>
              <w:rPr>
                <w:rFonts w:hint="eastAsia" w:ascii="黑体" w:hAnsi="黑体" w:eastAsia="黑体" w:cs="黑体"/>
                <w:b w:val="0"/>
                <w:bCs w:val="0"/>
                <w:color w:val="auto"/>
                <w:sz w:val="24"/>
                <w:szCs w:val="24"/>
                <w:highlight w:val="none"/>
                <w:u w:val="none"/>
                <w:vertAlign w:val="baseline"/>
                <w:lang w:val="en" w:eastAsia="zh-CN"/>
              </w:rPr>
              <w:t>自评得分（百分制）</w:t>
            </w:r>
          </w:p>
        </w:tc>
        <w:tc>
          <w:tcPr>
            <w:tcW w:w="993" w:type="dxa"/>
            <w:noWrap w:val="0"/>
            <w:vAlign w:val="top"/>
          </w:tcPr>
          <w:p w14:paraId="7BC8063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b w:val="0"/>
                <w:bCs w:val="0"/>
                <w:color w:val="auto"/>
                <w:sz w:val="24"/>
                <w:szCs w:val="24"/>
                <w:highlight w:val="none"/>
                <w:u w:val="none"/>
                <w:vertAlign w:val="baseline"/>
                <w:lang w:val="en-US" w:eastAsia="zh-CN"/>
              </w:rPr>
            </w:pPr>
            <w:r>
              <w:rPr>
                <w:rFonts w:hint="eastAsia" w:ascii="黑体" w:hAnsi="黑体" w:eastAsia="黑体" w:cs="黑体"/>
                <w:b w:val="0"/>
                <w:bCs w:val="0"/>
                <w:color w:val="auto"/>
                <w:sz w:val="24"/>
                <w:szCs w:val="24"/>
                <w:highlight w:val="none"/>
                <w:u w:val="none"/>
                <w:vertAlign w:val="baseline"/>
                <w:lang w:val="en-US" w:eastAsia="zh-CN"/>
              </w:rPr>
              <w:t>备注</w:t>
            </w:r>
          </w:p>
        </w:tc>
      </w:tr>
      <w:tr w14:paraId="66D0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exact"/>
          <w:jc w:val="center"/>
        </w:trPr>
        <w:tc>
          <w:tcPr>
            <w:tcW w:w="1123" w:type="dxa"/>
            <w:noWrap w:val="0"/>
            <w:vAlign w:val="top"/>
          </w:tcPr>
          <w:p w14:paraId="06326DA1">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1</w:t>
            </w:r>
          </w:p>
        </w:tc>
        <w:tc>
          <w:tcPr>
            <w:tcW w:w="3843" w:type="dxa"/>
            <w:noWrap w:val="0"/>
            <w:vAlign w:val="top"/>
          </w:tcPr>
          <w:p w14:paraId="6AE8EAE3">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宋体" w:hAnsi="宋体" w:cs="宋体"/>
                <w:color w:val="auto"/>
                <w:sz w:val="24"/>
                <w:szCs w:val="24"/>
                <w:highlight w:val="none"/>
                <w:u w:val="none"/>
                <w:vertAlign w:val="baseline"/>
                <w:lang w:val="en-US" w:eastAsia="zh-CN"/>
              </w:rPr>
            </w:pPr>
            <w:r>
              <w:rPr>
                <w:rFonts w:hint="eastAsia" w:ascii="宋体" w:hAnsi="宋体" w:cs="宋体"/>
                <w:color w:val="auto"/>
                <w:sz w:val="24"/>
                <w:szCs w:val="24"/>
                <w:highlight w:val="none"/>
                <w:u w:val="none"/>
                <w:vertAlign w:val="baseline"/>
                <w:lang w:val="en" w:eastAsia="zh-CN"/>
              </w:rPr>
              <w:t>松潘县人力资源和社会保障局</w:t>
            </w:r>
          </w:p>
        </w:tc>
        <w:tc>
          <w:tcPr>
            <w:tcW w:w="2861" w:type="dxa"/>
            <w:noWrap w:val="0"/>
            <w:vAlign w:val="top"/>
          </w:tcPr>
          <w:p w14:paraId="0BD6F0E4">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default" w:ascii="宋体" w:hAnsi="宋体" w:cs="宋体"/>
                <w:color w:val="auto"/>
                <w:sz w:val="24"/>
                <w:szCs w:val="24"/>
                <w:highlight w:val="none"/>
                <w:u w:val="none"/>
                <w:vertAlign w:val="baseline"/>
                <w:lang w:val="en-US" w:eastAsia="zh-CN"/>
              </w:rPr>
            </w:pPr>
            <w:r>
              <w:rPr>
                <w:rFonts w:hint="eastAsia" w:ascii="宋体" w:hAnsi="宋体" w:cs="宋体"/>
                <w:color w:val="auto"/>
                <w:sz w:val="24"/>
                <w:szCs w:val="24"/>
                <w:highlight w:val="none"/>
                <w:u w:val="none"/>
                <w:vertAlign w:val="baseline"/>
                <w:lang w:val="en-US" w:eastAsia="zh-CN"/>
              </w:rPr>
              <w:t>97</w:t>
            </w:r>
          </w:p>
        </w:tc>
        <w:tc>
          <w:tcPr>
            <w:tcW w:w="993" w:type="dxa"/>
            <w:noWrap w:val="0"/>
            <w:vAlign w:val="top"/>
          </w:tcPr>
          <w:p w14:paraId="7F6F0F6C">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54C8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04C44835">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2</w:t>
            </w:r>
          </w:p>
        </w:tc>
        <w:tc>
          <w:tcPr>
            <w:tcW w:w="3843" w:type="dxa"/>
            <w:noWrap w:val="0"/>
            <w:vAlign w:val="top"/>
          </w:tcPr>
          <w:p w14:paraId="39DB86C4">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noWrap w:val="0"/>
            <w:vAlign w:val="top"/>
          </w:tcPr>
          <w:p w14:paraId="74F2C922">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noWrap w:val="0"/>
            <w:vAlign w:val="top"/>
          </w:tcPr>
          <w:p w14:paraId="4012B7A0">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3BC7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51B30E37">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3</w:t>
            </w:r>
          </w:p>
        </w:tc>
        <w:tc>
          <w:tcPr>
            <w:tcW w:w="3843" w:type="dxa"/>
            <w:noWrap w:val="0"/>
            <w:vAlign w:val="top"/>
          </w:tcPr>
          <w:p w14:paraId="45CEE737">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noWrap w:val="0"/>
            <w:vAlign w:val="top"/>
          </w:tcPr>
          <w:p w14:paraId="32B13B79">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noWrap w:val="0"/>
            <w:vAlign w:val="top"/>
          </w:tcPr>
          <w:p w14:paraId="72F8F4B4">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5D27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7AC2F85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4</w:t>
            </w:r>
          </w:p>
        </w:tc>
        <w:tc>
          <w:tcPr>
            <w:tcW w:w="3843" w:type="dxa"/>
            <w:noWrap w:val="0"/>
            <w:vAlign w:val="top"/>
          </w:tcPr>
          <w:p w14:paraId="780905B9">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noWrap w:val="0"/>
            <w:vAlign w:val="top"/>
          </w:tcPr>
          <w:p w14:paraId="7FD2EAFC">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noWrap w:val="0"/>
            <w:vAlign w:val="top"/>
          </w:tcPr>
          <w:p w14:paraId="14FD6FCF">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4137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65C3C254">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5</w:t>
            </w:r>
          </w:p>
        </w:tc>
        <w:tc>
          <w:tcPr>
            <w:tcW w:w="3843" w:type="dxa"/>
            <w:noWrap w:val="0"/>
            <w:vAlign w:val="top"/>
          </w:tcPr>
          <w:p w14:paraId="2195F9FB">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noWrap w:val="0"/>
            <w:vAlign w:val="top"/>
          </w:tcPr>
          <w:p w14:paraId="0BF35B0E">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noWrap w:val="0"/>
            <w:vAlign w:val="top"/>
          </w:tcPr>
          <w:p w14:paraId="011B5E79">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5D87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3815364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6</w:t>
            </w:r>
          </w:p>
        </w:tc>
        <w:tc>
          <w:tcPr>
            <w:tcW w:w="3843" w:type="dxa"/>
            <w:noWrap w:val="0"/>
            <w:vAlign w:val="top"/>
          </w:tcPr>
          <w:p w14:paraId="21175B3A">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noWrap w:val="0"/>
            <w:vAlign w:val="top"/>
          </w:tcPr>
          <w:p w14:paraId="09C6392A">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noWrap w:val="0"/>
            <w:vAlign w:val="top"/>
          </w:tcPr>
          <w:p w14:paraId="13B32029">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543C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1DB68EC6">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7</w:t>
            </w:r>
          </w:p>
        </w:tc>
        <w:tc>
          <w:tcPr>
            <w:tcW w:w="3843" w:type="dxa"/>
            <w:noWrap w:val="0"/>
            <w:vAlign w:val="top"/>
          </w:tcPr>
          <w:p w14:paraId="35A6006B">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noWrap w:val="0"/>
            <w:vAlign w:val="top"/>
          </w:tcPr>
          <w:p w14:paraId="56694163">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noWrap w:val="0"/>
            <w:vAlign w:val="top"/>
          </w:tcPr>
          <w:p w14:paraId="78C8E5FB">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13EA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699C867D">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8</w:t>
            </w:r>
          </w:p>
        </w:tc>
        <w:tc>
          <w:tcPr>
            <w:tcW w:w="3843" w:type="dxa"/>
            <w:noWrap w:val="0"/>
            <w:vAlign w:val="top"/>
          </w:tcPr>
          <w:p w14:paraId="4494CFF2">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noWrap w:val="0"/>
            <w:vAlign w:val="top"/>
          </w:tcPr>
          <w:p w14:paraId="59BB97E3">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noWrap w:val="0"/>
            <w:vAlign w:val="top"/>
          </w:tcPr>
          <w:p w14:paraId="00CF6B60">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r w14:paraId="21D2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noWrap w:val="0"/>
            <w:vAlign w:val="top"/>
          </w:tcPr>
          <w:p w14:paraId="7C7A3CEC">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w:t>
            </w:r>
          </w:p>
        </w:tc>
        <w:tc>
          <w:tcPr>
            <w:tcW w:w="3843" w:type="dxa"/>
            <w:noWrap w:val="0"/>
            <w:vAlign w:val="top"/>
          </w:tcPr>
          <w:p w14:paraId="29DA7D8F">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2861" w:type="dxa"/>
            <w:noWrap w:val="0"/>
            <w:vAlign w:val="top"/>
          </w:tcPr>
          <w:p w14:paraId="264B3AFF">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 w:eastAsia="zh-CN"/>
              </w:rPr>
            </w:pPr>
          </w:p>
        </w:tc>
        <w:tc>
          <w:tcPr>
            <w:tcW w:w="993" w:type="dxa"/>
            <w:noWrap w:val="0"/>
            <w:vAlign w:val="top"/>
          </w:tcPr>
          <w:p w14:paraId="06795DEB">
            <w:pPr>
              <w:keepNext w:val="0"/>
              <w:keepLines w:val="0"/>
              <w:pageBreakBefore w:val="0"/>
              <w:widowControl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cs="宋体"/>
                <w:color w:val="auto"/>
                <w:sz w:val="24"/>
                <w:szCs w:val="24"/>
                <w:highlight w:val="none"/>
                <w:u w:val="none"/>
                <w:vertAlign w:val="baseline"/>
                <w:lang w:val="en-US" w:eastAsia="zh-CN"/>
              </w:rPr>
            </w:pPr>
          </w:p>
        </w:tc>
      </w:tr>
    </w:tbl>
    <w:p w14:paraId="1D9FA91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备注：1.项目资金末端分配点位包括市（州）本级、县（市、区）、省级部门下属单位及一次性单位等。</w:t>
      </w:r>
    </w:p>
    <w:p w14:paraId="0DD0FAD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2.自评得分（百分制）从高到低划分为优、良、中、差四个档次，各个档次数量占比分别为20%、20%、55%、5%，且不同档次间得分分值应体现差异化，同档次得分分值相同的比例不超过该档次总数量的10%。</w:t>
      </w:r>
    </w:p>
    <w:p w14:paraId="6106F3FA">
      <w:pPr>
        <w:rPr>
          <w:rFonts w:hint="default" w:ascii="Times New Roman" w:hAnsi="Times New Roman" w:eastAsia="黑体" w:cs="Times New Roman"/>
          <w:kern w:val="2"/>
          <w:sz w:val="32"/>
          <w:szCs w:val="24"/>
          <w:highlight w:val="none"/>
          <w:lang w:val="en-US" w:eastAsia="zh-CN" w:bidi="ar-SA"/>
        </w:rPr>
      </w:pPr>
      <w:r>
        <w:rPr>
          <w:rFonts w:hint="eastAsia" w:ascii="Times New Roman" w:hAnsi="Times New Roman" w:eastAsia="仿宋_GB2312" w:cs="Times New Roman"/>
          <w:kern w:val="2"/>
          <w:sz w:val="32"/>
          <w:szCs w:val="24"/>
          <w:highlight w:val="none"/>
          <w:lang w:val="en-US" w:eastAsia="zh-CN" w:bidi="ar-SA"/>
        </w:rPr>
        <w:br w:type="page"/>
      </w:r>
      <w:r>
        <w:rPr>
          <w:rFonts w:hint="default" w:ascii="Times New Roman" w:hAnsi="Times New Roman" w:eastAsia="黑体" w:cs="Times New Roman"/>
          <w:kern w:val="2"/>
          <w:sz w:val="32"/>
          <w:szCs w:val="24"/>
          <w:highlight w:val="none"/>
          <w:lang w:val="en-US" w:eastAsia="zh-CN" w:bidi="ar-SA"/>
        </w:rPr>
        <w:t>附表2</w:t>
      </w:r>
    </w:p>
    <w:tbl>
      <w:tblPr>
        <w:tblStyle w:val="1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1250"/>
        <w:gridCol w:w="1377"/>
        <w:gridCol w:w="1062"/>
        <w:gridCol w:w="971"/>
        <w:gridCol w:w="1061"/>
        <w:gridCol w:w="938"/>
        <w:gridCol w:w="1841"/>
      </w:tblGrid>
      <w:tr w14:paraId="19223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9"/>
            <w:noWrap w:val="0"/>
            <w:vAlign w:val="center"/>
          </w:tcPr>
          <w:p w14:paraId="7DD97F6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i w:val="0"/>
                <w:color w:val="000000"/>
                <w:sz w:val="30"/>
                <w:szCs w:val="3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专项预算项目绩效目标完成情况自评表</w:t>
            </w:r>
          </w:p>
        </w:tc>
      </w:tr>
      <w:tr w14:paraId="0F66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360" w:type="dxa"/>
            <w:gridSpan w:val="4"/>
            <w:tcBorders>
              <w:top w:val="single" w:color="000000" w:sz="4" w:space="0"/>
              <w:left w:val="single" w:color="000000" w:sz="4" w:space="0"/>
              <w:bottom w:val="single" w:color="000000" w:sz="4" w:space="0"/>
              <w:right w:val="single" w:color="000000" w:sz="4" w:space="0"/>
            </w:tcBorders>
            <w:noWrap w:val="0"/>
            <w:vAlign w:val="center"/>
          </w:tcPr>
          <w:p w14:paraId="2E75283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项目名称</w:t>
            </w:r>
          </w:p>
        </w:tc>
        <w:tc>
          <w:tcPr>
            <w:tcW w:w="5873" w:type="dxa"/>
            <w:gridSpan w:val="5"/>
            <w:tcBorders>
              <w:top w:val="single" w:color="000000" w:sz="4" w:space="0"/>
              <w:left w:val="single" w:color="000000" w:sz="4" w:space="0"/>
              <w:bottom w:val="single" w:color="000000" w:sz="4" w:space="0"/>
              <w:right w:val="single" w:color="000000" w:sz="4" w:space="0"/>
            </w:tcBorders>
            <w:noWrap w:val="0"/>
            <w:vAlign w:val="center"/>
          </w:tcPr>
          <w:p w14:paraId="7AB8D9A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省级财政人社公共服务能力建设补助资金</w:t>
            </w:r>
          </w:p>
        </w:tc>
      </w:tr>
      <w:tr w14:paraId="4D186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360" w:type="dxa"/>
            <w:gridSpan w:val="4"/>
            <w:tcBorders>
              <w:top w:val="single" w:color="000000" w:sz="4" w:space="0"/>
              <w:left w:val="single" w:color="000000" w:sz="4" w:space="0"/>
              <w:bottom w:val="single" w:color="000000" w:sz="4" w:space="0"/>
              <w:right w:val="single" w:color="000000" w:sz="4" w:space="0"/>
            </w:tcBorders>
            <w:noWrap w:val="0"/>
            <w:vAlign w:val="center"/>
          </w:tcPr>
          <w:p w14:paraId="13D2A28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预算单位</w:t>
            </w:r>
          </w:p>
        </w:tc>
        <w:tc>
          <w:tcPr>
            <w:tcW w:w="5873" w:type="dxa"/>
            <w:gridSpan w:val="5"/>
            <w:tcBorders>
              <w:top w:val="single" w:color="000000" w:sz="4" w:space="0"/>
              <w:left w:val="single" w:color="000000" w:sz="4" w:space="0"/>
              <w:bottom w:val="single" w:color="000000" w:sz="4" w:space="0"/>
              <w:right w:val="single" w:color="000000" w:sz="4" w:space="0"/>
            </w:tcBorders>
            <w:noWrap w:val="0"/>
            <w:vAlign w:val="center"/>
          </w:tcPr>
          <w:p w14:paraId="7801BC71">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松潘县人力资源和社会保障局</w:t>
            </w:r>
          </w:p>
        </w:tc>
      </w:tr>
      <w:tr w14:paraId="6CE89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360" w:type="dxa"/>
            <w:gridSpan w:val="4"/>
            <w:tcBorders>
              <w:top w:val="single" w:color="000000" w:sz="4" w:space="0"/>
              <w:left w:val="single" w:color="000000" w:sz="4" w:space="0"/>
              <w:bottom w:val="single" w:color="000000" w:sz="4" w:space="0"/>
              <w:right w:val="single" w:color="000000" w:sz="4" w:space="0"/>
            </w:tcBorders>
            <w:noWrap w:val="0"/>
            <w:vAlign w:val="center"/>
          </w:tcPr>
          <w:p w14:paraId="0C5A0A2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项目类型</w:t>
            </w:r>
          </w:p>
        </w:tc>
        <w:tc>
          <w:tcPr>
            <w:tcW w:w="5873" w:type="dxa"/>
            <w:gridSpan w:val="5"/>
            <w:tcBorders>
              <w:top w:val="single" w:color="000000" w:sz="4" w:space="0"/>
              <w:left w:val="single" w:color="000000" w:sz="4" w:space="0"/>
              <w:bottom w:val="single" w:color="000000" w:sz="4" w:space="0"/>
              <w:right w:val="single" w:color="000000" w:sz="4" w:space="0"/>
            </w:tcBorders>
            <w:noWrap w:val="0"/>
            <w:vAlign w:val="center"/>
          </w:tcPr>
          <w:p w14:paraId="6530ECF4">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专项</w:t>
            </w:r>
          </w:p>
        </w:tc>
      </w:tr>
      <w:tr w14:paraId="0DF20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E01AB0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 概况</w:t>
            </w:r>
          </w:p>
        </w:tc>
        <w:tc>
          <w:tcPr>
            <w:tcW w:w="3708" w:type="dxa"/>
            <w:gridSpan w:val="3"/>
            <w:tcBorders>
              <w:top w:val="single" w:color="000000" w:sz="4" w:space="0"/>
              <w:left w:val="single" w:color="000000" w:sz="4" w:space="0"/>
              <w:bottom w:val="single" w:color="000000" w:sz="4" w:space="0"/>
              <w:right w:val="single" w:color="000000" w:sz="4" w:space="0"/>
            </w:tcBorders>
            <w:noWrap w:val="0"/>
            <w:vAlign w:val="center"/>
          </w:tcPr>
          <w:p w14:paraId="00C8EE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中长期规划（名称、文号，仅指</w:t>
            </w:r>
          </w:p>
          <w:p w14:paraId="30B3D07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常年项目）</w:t>
            </w:r>
          </w:p>
        </w:tc>
        <w:tc>
          <w:tcPr>
            <w:tcW w:w="5873" w:type="dxa"/>
            <w:gridSpan w:val="5"/>
            <w:tcBorders>
              <w:top w:val="single" w:color="000000" w:sz="4" w:space="0"/>
              <w:left w:val="single" w:color="000000" w:sz="4" w:space="0"/>
              <w:bottom w:val="single" w:color="000000" w:sz="4" w:space="0"/>
              <w:right w:val="single" w:color="000000" w:sz="4" w:space="0"/>
            </w:tcBorders>
            <w:noWrap w:val="0"/>
            <w:vAlign w:val="center"/>
          </w:tcPr>
          <w:p w14:paraId="1DCAF2E7">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eastAsia="zh-CN"/>
              </w:rPr>
              <w:t>《阿坝州财政局</w:t>
            </w:r>
            <w:r>
              <w:rPr>
                <w:rFonts w:hint="eastAsia" w:ascii="宋体" w:hAnsi="宋体" w:eastAsia="宋体" w:cs="宋体"/>
                <w:i w:val="0"/>
                <w:color w:val="000000"/>
                <w:sz w:val="24"/>
                <w:szCs w:val="24"/>
                <w:u w:val="none"/>
                <w:lang w:val="en-US" w:eastAsia="zh-CN"/>
              </w:rPr>
              <w:t xml:space="preserve">  阿坝州人力资源和社会保障局关于下达2023年省级</w:t>
            </w:r>
            <w:r>
              <w:rPr>
                <w:rFonts w:hint="eastAsia" w:ascii="宋体" w:hAnsi="宋体" w:eastAsia="宋体" w:cs="宋体"/>
                <w:i w:val="0"/>
                <w:color w:val="000000"/>
                <w:sz w:val="24"/>
                <w:szCs w:val="24"/>
                <w:u w:val="none"/>
                <w:lang w:eastAsia="zh-CN"/>
              </w:rPr>
              <w:t>财政人社公共服务能力建设补助资金的通知》（阿州财社〔20</w:t>
            </w:r>
            <w:r>
              <w:rPr>
                <w:rFonts w:hint="eastAsia" w:ascii="宋体" w:hAnsi="宋体" w:eastAsia="宋体" w:cs="宋体"/>
                <w:i w:val="0"/>
                <w:color w:val="000000"/>
                <w:sz w:val="24"/>
                <w:szCs w:val="24"/>
                <w:u w:val="none"/>
                <w:lang w:val="en-US" w:eastAsia="zh-CN"/>
              </w:rPr>
              <w:t>23</w:t>
            </w:r>
            <w:r>
              <w:rPr>
                <w:rFonts w:hint="eastAsia" w:ascii="宋体" w:hAnsi="宋体" w:eastAsia="宋体" w:cs="宋体"/>
                <w:i w:val="0"/>
                <w:color w:val="000000"/>
                <w:sz w:val="24"/>
                <w:szCs w:val="24"/>
                <w:u w:val="none"/>
                <w:lang w:eastAsia="zh-CN"/>
              </w:rPr>
              <w:t>〕</w:t>
            </w:r>
            <w:r>
              <w:rPr>
                <w:rFonts w:hint="eastAsia" w:ascii="宋体" w:hAnsi="宋体" w:eastAsia="宋体" w:cs="宋体"/>
                <w:i w:val="0"/>
                <w:color w:val="000000"/>
                <w:sz w:val="24"/>
                <w:szCs w:val="24"/>
                <w:u w:val="none"/>
                <w:lang w:val="en-US" w:eastAsia="zh-CN"/>
              </w:rPr>
              <w:t>112号）</w:t>
            </w:r>
          </w:p>
        </w:tc>
      </w:tr>
      <w:tr w14:paraId="08729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F169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708" w:type="dxa"/>
            <w:gridSpan w:val="3"/>
            <w:tcBorders>
              <w:top w:val="single" w:color="000000" w:sz="4" w:space="0"/>
              <w:left w:val="single" w:color="000000" w:sz="4" w:space="0"/>
              <w:bottom w:val="single" w:color="000000" w:sz="4" w:space="0"/>
              <w:right w:val="single" w:color="000000" w:sz="4" w:space="0"/>
            </w:tcBorders>
            <w:noWrap w:val="0"/>
            <w:vAlign w:val="center"/>
          </w:tcPr>
          <w:p w14:paraId="4B15D59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资金管理办法（名称、文号）</w:t>
            </w:r>
          </w:p>
        </w:tc>
        <w:tc>
          <w:tcPr>
            <w:tcW w:w="5873" w:type="dxa"/>
            <w:gridSpan w:val="5"/>
            <w:tcBorders>
              <w:top w:val="single" w:color="000000" w:sz="4" w:space="0"/>
              <w:left w:val="single" w:color="000000" w:sz="4" w:space="0"/>
              <w:bottom w:val="single" w:color="000000" w:sz="4" w:space="0"/>
              <w:right w:val="single" w:color="000000" w:sz="4" w:space="0"/>
            </w:tcBorders>
            <w:noWrap w:val="0"/>
            <w:vAlign w:val="center"/>
          </w:tcPr>
          <w:p w14:paraId="118DDBCE">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eastAsia="zh-CN"/>
              </w:rPr>
              <w:t>四川省财政厅</w:t>
            </w:r>
            <w:r>
              <w:rPr>
                <w:rFonts w:hint="eastAsia" w:ascii="宋体" w:hAnsi="宋体" w:eastAsia="宋体" w:cs="宋体"/>
                <w:i w:val="0"/>
                <w:color w:val="000000"/>
                <w:sz w:val="24"/>
                <w:szCs w:val="24"/>
                <w:u w:val="none"/>
                <w:lang w:val="en-US" w:eastAsia="zh-CN"/>
              </w:rPr>
              <w:t xml:space="preserve">  四川省人力资源和社会保障厅</w:t>
            </w:r>
            <w:r>
              <w:rPr>
                <w:rFonts w:hint="eastAsia" w:ascii="宋体" w:hAnsi="宋体" w:cs="宋体"/>
                <w:i w:val="0"/>
                <w:color w:val="000000"/>
                <w:sz w:val="24"/>
                <w:szCs w:val="24"/>
                <w:u w:val="none"/>
                <w:lang w:val="en-US" w:eastAsia="zh-CN"/>
              </w:rPr>
              <w:t>关于</w:t>
            </w:r>
            <w:r>
              <w:rPr>
                <w:rFonts w:hint="eastAsia" w:ascii="宋体" w:hAnsi="宋体" w:eastAsia="宋体" w:cs="宋体"/>
                <w:i w:val="0"/>
                <w:color w:val="000000"/>
                <w:sz w:val="24"/>
                <w:szCs w:val="24"/>
                <w:u w:val="none"/>
                <w:lang w:val="en-US" w:eastAsia="zh-CN"/>
              </w:rPr>
              <w:t>印发《四川省省级财政人社公共服务能力建设补助资金管理办法》的通知</w:t>
            </w:r>
            <w:r>
              <w:rPr>
                <w:rFonts w:hint="eastAsia" w:ascii="宋体" w:hAnsi="宋体" w:eastAsia="宋体" w:cs="宋体"/>
                <w:i w:val="0"/>
                <w:color w:val="000000"/>
                <w:sz w:val="24"/>
                <w:szCs w:val="24"/>
                <w:u w:val="none"/>
                <w:lang w:eastAsia="zh-CN"/>
              </w:rPr>
              <w:t>（川社〔20</w:t>
            </w:r>
            <w:r>
              <w:rPr>
                <w:rFonts w:hint="eastAsia" w:ascii="宋体" w:hAnsi="宋体" w:eastAsia="宋体" w:cs="宋体"/>
                <w:i w:val="0"/>
                <w:color w:val="000000"/>
                <w:sz w:val="24"/>
                <w:szCs w:val="24"/>
                <w:u w:val="none"/>
                <w:lang w:val="en-US" w:eastAsia="zh-CN"/>
              </w:rPr>
              <w:t>23</w:t>
            </w:r>
            <w:r>
              <w:rPr>
                <w:rFonts w:hint="eastAsia" w:ascii="宋体" w:hAnsi="宋体" w:eastAsia="宋体" w:cs="宋体"/>
                <w:i w:val="0"/>
                <w:color w:val="000000"/>
                <w:sz w:val="24"/>
                <w:szCs w:val="24"/>
                <w:u w:val="none"/>
                <w:lang w:eastAsia="zh-CN"/>
              </w:rPr>
              <w:t>〕</w:t>
            </w:r>
            <w:r>
              <w:rPr>
                <w:rFonts w:hint="eastAsia" w:ascii="宋体" w:hAnsi="宋体" w:eastAsia="宋体" w:cs="宋体"/>
                <w:i w:val="0"/>
                <w:color w:val="000000"/>
                <w:sz w:val="24"/>
                <w:szCs w:val="24"/>
                <w:u w:val="none"/>
                <w:lang w:val="en-US" w:eastAsia="zh-CN"/>
              </w:rPr>
              <w:t>33号）</w:t>
            </w:r>
          </w:p>
        </w:tc>
      </w:tr>
      <w:tr w14:paraId="0076B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92A36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708" w:type="dxa"/>
            <w:gridSpan w:val="3"/>
            <w:tcBorders>
              <w:top w:val="single" w:color="000000" w:sz="4" w:space="0"/>
              <w:left w:val="single" w:color="000000" w:sz="4" w:space="0"/>
              <w:bottom w:val="single" w:color="000000" w:sz="4" w:space="0"/>
              <w:right w:val="single" w:color="000000" w:sz="4" w:space="0"/>
            </w:tcBorders>
            <w:noWrap w:val="0"/>
            <w:vAlign w:val="center"/>
          </w:tcPr>
          <w:p w14:paraId="7A0312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绩效分配方式</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CBA9A0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14:paraId="6260DF0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75039C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23163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hint="default" w:ascii="Wingdings 2" w:hAnsi="Wingdings 2" w:eastAsia="Wingdings 2" w:cs="Wingdings 2"/>
                <w:i w:val="0"/>
                <w:color w:val="000000"/>
                <w:sz w:val="24"/>
                <w:szCs w:val="24"/>
                <w:u w:val="none"/>
              </w:rPr>
            </w:pPr>
            <w:r>
              <w:rPr>
                <w:rFonts w:hint="default" w:ascii="Wingdings 2" w:hAnsi="Wingdings 2" w:eastAsia="Wingdings 2" w:cs="Wingdings 2"/>
                <w:i w:val="0"/>
                <w:color w:val="000000"/>
                <w:kern w:val="0"/>
                <w:sz w:val="24"/>
                <w:szCs w:val="24"/>
                <w:u w:val="none"/>
                <w:lang w:val="en-US" w:eastAsia="zh-CN" w:bidi="ar"/>
              </w:rPr>
              <w:t>£</w:t>
            </w:r>
            <w:r>
              <w:rPr>
                <w:rFonts w:ascii="宋体" w:hAnsi="宋体" w:eastAsia="宋体" w:cs="宋体"/>
                <w:i w:val="0"/>
                <w:color w:val="000000"/>
                <w:kern w:val="0"/>
                <w:sz w:val="24"/>
                <w:szCs w:val="24"/>
                <w:u w:val="none"/>
                <w:lang w:val="en-US" w:eastAsia="zh-CN" w:bidi="ar"/>
              </w:rPr>
              <w:t>因素法与项目法相结合</w:t>
            </w:r>
          </w:p>
        </w:tc>
      </w:tr>
      <w:tr w14:paraId="7EC65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6D80E">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708" w:type="dxa"/>
            <w:gridSpan w:val="3"/>
            <w:tcBorders>
              <w:top w:val="single" w:color="000000" w:sz="4" w:space="0"/>
              <w:left w:val="single" w:color="000000" w:sz="4" w:space="0"/>
              <w:bottom w:val="single" w:color="000000" w:sz="4" w:space="0"/>
              <w:right w:val="single" w:color="000000" w:sz="4" w:space="0"/>
            </w:tcBorders>
            <w:noWrap w:val="0"/>
            <w:vAlign w:val="center"/>
          </w:tcPr>
          <w:p w14:paraId="1C661C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立项依据</w:t>
            </w:r>
          </w:p>
        </w:tc>
        <w:tc>
          <w:tcPr>
            <w:tcW w:w="5873" w:type="dxa"/>
            <w:gridSpan w:val="5"/>
            <w:tcBorders>
              <w:top w:val="single" w:color="000000" w:sz="4" w:space="0"/>
              <w:left w:val="single" w:color="000000" w:sz="4" w:space="0"/>
              <w:bottom w:val="single" w:color="000000" w:sz="4" w:space="0"/>
              <w:right w:val="single" w:color="000000" w:sz="4" w:space="0"/>
            </w:tcBorders>
            <w:noWrap w:val="0"/>
            <w:vAlign w:val="center"/>
          </w:tcPr>
          <w:p w14:paraId="731F2E26">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eastAsia="zh-CN"/>
              </w:rPr>
              <w:t>《阿坝州财政局</w:t>
            </w:r>
            <w:r>
              <w:rPr>
                <w:rFonts w:hint="eastAsia" w:ascii="宋体" w:hAnsi="宋体" w:eastAsia="宋体" w:cs="宋体"/>
                <w:i w:val="0"/>
                <w:color w:val="000000"/>
                <w:sz w:val="24"/>
                <w:szCs w:val="24"/>
                <w:u w:val="none"/>
                <w:lang w:val="en-US" w:eastAsia="zh-CN"/>
              </w:rPr>
              <w:t xml:space="preserve">  阿坝州人力资源和社会保障局关于下达2023年省级</w:t>
            </w:r>
            <w:r>
              <w:rPr>
                <w:rFonts w:hint="eastAsia" w:ascii="宋体" w:hAnsi="宋体" w:eastAsia="宋体" w:cs="宋体"/>
                <w:i w:val="0"/>
                <w:color w:val="000000"/>
                <w:sz w:val="24"/>
                <w:szCs w:val="24"/>
                <w:u w:val="none"/>
                <w:lang w:eastAsia="zh-CN"/>
              </w:rPr>
              <w:t>财政人社公共服务能力建设补助资金的通知》（阿州财社〔20</w:t>
            </w:r>
            <w:r>
              <w:rPr>
                <w:rFonts w:hint="eastAsia" w:ascii="宋体" w:hAnsi="宋体" w:eastAsia="宋体" w:cs="宋体"/>
                <w:i w:val="0"/>
                <w:color w:val="000000"/>
                <w:sz w:val="24"/>
                <w:szCs w:val="24"/>
                <w:u w:val="none"/>
                <w:lang w:val="en-US" w:eastAsia="zh-CN"/>
              </w:rPr>
              <w:t>23</w:t>
            </w:r>
            <w:r>
              <w:rPr>
                <w:rFonts w:hint="eastAsia" w:ascii="宋体" w:hAnsi="宋体" w:eastAsia="宋体" w:cs="宋体"/>
                <w:i w:val="0"/>
                <w:color w:val="000000"/>
                <w:sz w:val="24"/>
                <w:szCs w:val="24"/>
                <w:u w:val="none"/>
                <w:lang w:eastAsia="zh-CN"/>
              </w:rPr>
              <w:t>〕</w:t>
            </w:r>
            <w:r>
              <w:rPr>
                <w:rFonts w:hint="eastAsia" w:ascii="宋体" w:hAnsi="宋体" w:eastAsia="宋体" w:cs="宋体"/>
                <w:i w:val="0"/>
                <w:color w:val="000000"/>
                <w:sz w:val="24"/>
                <w:szCs w:val="24"/>
                <w:u w:val="none"/>
                <w:lang w:val="en-US" w:eastAsia="zh-CN"/>
              </w:rPr>
              <w:t>112号）</w:t>
            </w:r>
          </w:p>
        </w:tc>
      </w:tr>
      <w:tr w14:paraId="309BB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84CE3F">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708" w:type="dxa"/>
            <w:gridSpan w:val="3"/>
            <w:tcBorders>
              <w:top w:val="single" w:color="000000" w:sz="4" w:space="0"/>
              <w:left w:val="single" w:color="000000" w:sz="4" w:space="0"/>
              <w:bottom w:val="single" w:color="000000" w:sz="4" w:space="0"/>
              <w:right w:val="single" w:color="000000" w:sz="4" w:space="0"/>
            </w:tcBorders>
            <w:noWrap w:val="0"/>
            <w:vAlign w:val="center"/>
          </w:tcPr>
          <w:p w14:paraId="7EECF9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使用范围</w:t>
            </w:r>
          </w:p>
        </w:tc>
        <w:tc>
          <w:tcPr>
            <w:tcW w:w="5873" w:type="dxa"/>
            <w:gridSpan w:val="5"/>
            <w:tcBorders>
              <w:top w:val="single" w:color="000000" w:sz="4" w:space="0"/>
              <w:left w:val="single" w:color="000000" w:sz="4" w:space="0"/>
              <w:bottom w:val="single" w:color="000000" w:sz="4" w:space="0"/>
              <w:right w:val="single" w:color="000000" w:sz="4" w:space="0"/>
            </w:tcBorders>
            <w:noWrap w:val="0"/>
            <w:vAlign w:val="center"/>
          </w:tcPr>
          <w:p w14:paraId="320257E6">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6E86B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9D513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708" w:type="dxa"/>
            <w:gridSpan w:val="3"/>
            <w:tcBorders>
              <w:top w:val="single" w:color="000000" w:sz="4" w:space="0"/>
              <w:left w:val="single" w:color="000000" w:sz="4" w:space="0"/>
              <w:bottom w:val="single" w:color="000000" w:sz="4" w:space="0"/>
              <w:right w:val="single" w:color="000000" w:sz="4" w:space="0"/>
            </w:tcBorders>
            <w:noWrap w:val="0"/>
            <w:vAlign w:val="center"/>
          </w:tcPr>
          <w:p w14:paraId="5B4056C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申报（补助）条件</w:t>
            </w:r>
          </w:p>
        </w:tc>
        <w:tc>
          <w:tcPr>
            <w:tcW w:w="5873" w:type="dxa"/>
            <w:gridSpan w:val="5"/>
            <w:tcBorders>
              <w:top w:val="single" w:color="000000" w:sz="4" w:space="0"/>
              <w:left w:val="single" w:color="000000" w:sz="4" w:space="0"/>
              <w:bottom w:val="single" w:color="000000" w:sz="4" w:space="0"/>
              <w:right w:val="single" w:color="000000" w:sz="4" w:space="0"/>
            </w:tcBorders>
            <w:noWrap w:val="0"/>
            <w:vAlign w:val="center"/>
          </w:tcPr>
          <w:p w14:paraId="47416AA4">
            <w:pPr>
              <w:keepNext w:val="0"/>
              <w:keepLines w:val="0"/>
              <w:pageBreakBefore w:val="0"/>
              <w:kinsoku/>
              <w:wordWrap/>
              <w:overflowPunct/>
              <w:topLinePunct w:val="0"/>
              <w:autoSpaceDE/>
              <w:autoSpaceDN/>
              <w:bidi w:val="0"/>
              <w:adjustRightInd/>
              <w:snapToGrid/>
              <w:spacing w:line="300" w:lineRule="exact"/>
              <w:ind w:left="0" w:leftChars="0"/>
              <w:jc w:val="left"/>
              <w:rPr>
                <w:rFonts w:hint="eastAsia" w:ascii="宋体" w:hAnsi="宋体" w:eastAsia="宋体" w:cs="宋体"/>
                <w:i w:val="0"/>
                <w:color w:val="000000"/>
                <w:sz w:val="24"/>
                <w:szCs w:val="24"/>
                <w:u w:val="none"/>
              </w:rPr>
            </w:pPr>
          </w:p>
        </w:tc>
      </w:tr>
      <w:tr w14:paraId="7536C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16805">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3708" w:type="dxa"/>
            <w:gridSpan w:val="3"/>
            <w:tcBorders>
              <w:top w:val="single" w:color="000000" w:sz="4" w:space="0"/>
              <w:left w:val="single" w:color="000000" w:sz="4" w:space="0"/>
              <w:bottom w:val="single" w:color="000000" w:sz="4" w:space="0"/>
              <w:right w:val="single" w:color="000000" w:sz="4" w:space="0"/>
            </w:tcBorders>
            <w:noWrap w:val="0"/>
            <w:vAlign w:val="center"/>
          </w:tcPr>
          <w:p w14:paraId="44519A8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项目起止年限</w:t>
            </w:r>
          </w:p>
        </w:tc>
        <w:tc>
          <w:tcPr>
            <w:tcW w:w="5873" w:type="dxa"/>
            <w:gridSpan w:val="5"/>
            <w:tcBorders>
              <w:top w:val="single" w:color="000000" w:sz="4" w:space="0"/>
              <w:left w:val="single" w:color="000000" w:sz="4" w:space="0"/>
              <w:bottom w:val="single" w:color="000000" w:sz="4" w:space="0"/>
              <w:right w:val="single" w:color="000000" w:sz="4" w:space="0"/>
            </w:tcBorders>
            <w:noWrap w:val="0"/>
            <w:vAlign w:val="center"/>
          </w:tcPr>
          <w:p w14:paraId="75B609B4">
            <w:pPr>
              <w:keepNext w:val="0"/>
              <w:keepLines w:val="0"/>
              <w:pageBreakBefore w:val="0"/>
              <w:kinsoku/>
              <w:wordWrap/>
              <w:overflowPunct/>
              <w:topLinePunct w:val="0"/>
              <w:autoSpaceDE/>
              <w:autoSpaceDN/>
              <w:bidi w:val="0"/>
              <w:adjustRightInd/>
              <w:snapToGrid/>
              <w:spacing w:line="300" w:lineRule="exact"/>
              <w:ind w:left="0" w:leftChars="0"/>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2023年</w:t>
            </w:r>
          </w:p>
        </w:tc>
      </w:tr>
      <w:tr w14:paraId="1950D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CBC55A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项目资金</w:t>
            </w:r>
          </w:p>
          <w:p w14:paraId="26E341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（万元）</w:t>
            </w:r>
          </w:p>
        </w:tc>
        <w:tc>
          <w:tcPr>
            <w:tcW w:w="2627" w:type="dxa"/>
            <w:gridSpan w:val="2"/>
            <w:tcBorders>
              <w:top w:val="single" w:color="000000" w:sz="4" w:space="0"/>
              <w:left w:val="single" w:color="000000" w:sz="4" w:space="0"/>
              <w:bottom w:val="single" w:color="000000" w:sz="4" w:space="0"/>
              <w:right w:val="single" w:color="000000" w:sz="4" w:space="0"/>
            </w:tcBorders>
            <w:noWrap w:val="0"/>
            <w:vAlign w:val="center"/>
          </w:tcPr>
          <w:p w14:paraId="5FD7D76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年度资金总额：</w:t>
            </w:r>
          </w:p>
        </w:tc>
        <w:tc>
          <w:tcPr>
            <w:tcW w:w="5873" w:type="dxa"/>
            <w:gridSpan w:val="5"/>
            <w:tcBorders>
              <w:top w:val="single" w:color="000000" w:sz="4" w:space="0"/>
              <w:left w:val="single" w:color="000000" w:sz="4" w:space="0"/>
              <w:bottom w:val="single" w:color="000000" w:sz="4" w:space="0"/>
              <w:right w:val="single" w:color="000000" w:sz="4" w:space="0"/>
            </w:tcBorders>
            <w:noWrap w:val="0"/>
            <w:vAlign w:val="center"/>
          </w:tcPr>
          <w:p w14:paraId="1F3A9D9E">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4万元</w:t>
            </w:r>
          </w:p>
        </w:tc>
      </w:tr>
      <w:tr w14:paraId="2CFE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7071E4">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627" w:type="dxa"/>
            <w:gridSpan w:val="2"/>
            <w:tcBorders>
              <w:top w:val="single" w:color="000000" w:sz="4" w:space="0"/>
              <w:left w:val="single" w:color="000000" w:sz="4" w:space="0"/>
              <w:bottom w:val="single" w:color="000000" w:sz="4" w:space="0"/>
              <w:right w:val="single" w:color="000000" w:sz="4" w:space="0"/>
            </w:tcBorders>
            <w:noWrap w:val="0"/>
            <w:vAlign w:val="center"/>
          </w:tcPr>
          <w:p w14:paraId="0B5900B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ascii="宋体" w:hAnsi="宋体" w:eastAsia="宋体" w:cs="宋体"/>
                <w:i w:val="0"/>
                <w:color w:val="000000"/>
                <w:kern w:val="0"/>
                <w:sz w:val="24"/>
                <w:szCs w:val="24"/>
                <w:u w:val="none"/>
                <w:lang w:val="en-US" w:eastAsia="zh-CN" w:bidi="ar"/>
              </w:rPr>
              <w:t>其中：财政拨款</w:t>
            </w:r>
          </w:p>
        </w:tc>
        <w:tc>
          <w:tcPr>
            <w:tcW w:w="5873" w:type="dxa"/>
            <w:gridSpan w:val="5"/>
            <w:tcBorders>
              <w:top w:val="single" w:color="000000" w:sz="4" w:space="0"/>
              <w:left w:val="single" w:color="000000" w:sz="4" w:space="0"/>
              <w:bottom w:val="single" w:color="000000" w:sz="4" w:space="0"/>
              <w:right w:val="single" w:color="000000" w:sz="4" w:space="0"/>
            </w:tcBorders>
            <w:noWrap w:val="0"/>
            <w:vAlign w:val="center"/>
          </w:tcPr>
          <w:p w14:paraId="4313A8E2">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4万元</w:t>
            </w:r>
          </w:p>
        </w:tc>
      </w:tr>
      <w:tr w14:paraId="6708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BEF59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2627" w:type="dxa"/>
            <w:gridSpan w:val="2"/>
            <w:tcBorders>
              <w:top w:val="single" w:color="000000" w:sz="4" w:space="0"/>
              <w:left w:val="single" w:color="000000" w:sz="4" w:space="0"/>
              <w:bottom w:val="single" w:color="000000" w:sz="4" w:space="0"/>
              <w:right w:val="single" w:color="000000" w:sz="4" w:space="0"/>
            </w:tcBorders>
            <w:noWrap w:val="0"/>
            <w:vAlign w:val="center"/>
          </w:tcPr>
          <w:p w14:paraId="317E754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 xml:space="preserve">            其他资金</w:t>
            </w:r>
          </w:p>
        </w:tc>
        <w:tc>
          <w:tcPr>
            <w:tcW w:w="5873" w:type="dxa"/>
            <w:gridSpan w:val="5"/>
            <w:tcBorders>
              <w:top w:val="single" w:color="000000" w:sz="4" w:space="0"/>
              <w:left w:val="single" w:color="000000" w:sz="4" w:space="0"/>
              <w:bottom w:val="single" w:color="000000" w:sz="4" w:space="0"/>
              <w:right w:val="single" w:color="000000" w:sz="4" w:space="0"/>
            </w:tcBorders>
            <w:noWrap w:val="0"/>
            <w:vAlign w:val="center"/>
          </w:tcPr>
          <w:p w14:paraId="3A927DC3">
            <w:pPr>
              <w:keepNext w:val="0"/>
              <w:keepLines w:val="0"/>
              <w:pageBreakBefore w:val="0"/>
              <w:kinsoku/>
              <w:wordWrap/>
              <w:overflowPunct/>
              <w:topLinePunct w:val="0"/>
              <w:autoSpaceDE/>
              <w:autoSpaceDN/>
              <w:bidi w:val="0"/>
              <w:adjustRightInd/>
              <w:snapToGrid/>
              <w:spacing w:line="300" w:lineRule="exact"/>
              <w:ind w:left="0" w:leftChars="0"/>
              <w:jc w:val="right"/>
              <w:rPr>
                <w:rFonts w:hint="eastAsia" w:ascii="宋体" w:hAnsi="宋体" w:eastAsia="宋体" w:cs="宋体"/>
                <w:i w:val="0"/>
                <w:color w:val="000000"/>
                <w:sz w:val="24"/>
                <w:szCs w:val="24"/>
                <w:u w:val="none"/>
              </w:rPr>
            </w:pPr>
          </w:p>
        </w:tc>
      </w:tr>
      <w:tr w14:paraId="5AEA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F2040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5EB1503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年度目标</w:t>
            </w:r>
          </w:p>
        </w:tc>
      </w:tr>
      <w:tr w14:paraId="5A959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C4652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001A900D">
            <w:pPr>
              <w:keepNext w:val="0"/>
              <w:keepLines w:val="0"/>
              <w:pageBreakBefore w:val="0"/>
              <w:tabs>
                <w:tab w:val="left" w:pos="943"/>
              </w:tabs>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ab/>
            </w:r>
            <w:r>
              <w:rPr>
                <w:rFonts w:hint="eastAsia" w:ascii="宋体" w:hAnsi="宋体" w:eastAsia="宋体" w:cs="宋体"/>
                <w:i w:val="0"/>
                <w:color w:val="000000"/>
                <w:sz w:val="24"/>
                <w:szCs w:val="24"/>
                <w:u w:val="none"/>
                <w:lang w:eastAsia="zh-CN"/>
              </w:rPr>
              <w:t>确保企业职工基本养老保险、工伤保险省级统筹顺利推进，参保覆盖人数持续增长，待遇水平稳步提高，社保工作运行整体平稳。</w:t>
            </w:r>
          </w:p>
        </w:tc>
      </w:tr>
      <w:tr w14:paraId="49817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14:paraId="29A8B90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42986F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一级指标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FFAFE6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二级指标</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10F258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三级指标</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2BBAB8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10EA8B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4ED9EA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FDD26D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9C03CB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实际完成指标值</w:t>
            </w:r>
          </w:p>
        </w:tc>
      </w:tr>
      <w:tr w14:paraId="616C4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F34395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708F28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产出指标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A20F65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数量指标</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47B69E60">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资金下达率</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10878F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default" w:ascii="Arial" w:hAnsi="Arial" w:eastAsia="宋体" w:cs="Arial"/>
                <w:i w:val="0"/>
                <w:color w:val="000000"/>
                <w:sz w:val="24"/>
                <w:szCs w:val="24"/>
                <w:u w:val="none"/>
                <w:lang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2EACB0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A2020C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1BF02D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07F7BB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r>
      <w:tr w14:paraId="411BF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3A818FD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540F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F6A74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质量指标</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20A3EC4C">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养老、工伤业务提升</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28BE1BD">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default" w:ascii="Arial" w:hAnsi="Arial" w:eastAsia="宋体" w:cs="Arial"/>
                <w:i w:val="0"/>
                <w:color w:val="000000"/>
                <w:sz w:val="24"/>
                <w:szCs w:val="24"/>
                <w:u w:val="none"/>
                <w:lang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73E7671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976FBAF">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D824D1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7190CE5">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100%</w:t>
            </w:r>
          </w:p>
        </w:tc>
      </w:tr>
      <w:tr w14:paraId="6CF89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3327F7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F1A9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090C4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时效指标</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0E56059">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资金支付时效</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3894E1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05D24CC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2023年12月</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A3FB13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C5588D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51DC76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r>
      <w:tr w14:paraId="70670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2153700">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995D18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效益指标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C4E20A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生态</w:t>
            </w:r>
            <w:r>
              <w:rPr>
                <w:rFonts w:ascii="宋体" w:hAnsi="宋体" w:eastAsia="宋体" w:cs="宋体"/>
                <w:i w:val="0"/>
                <w:color w:val="000000"/>
                <w:kern w:val="0"/>
                <w:sz w:val="24"/>
                <w:szCs w:val="24"/>
                <w:u w:val="none"/>
                <w:lang w:val="en-US" w:eastAsia="zh-CN" w:bidi="ar"/>
              </w:rPr>
              <w:t>效益</w:t>
            </w:r>
          </w:p>
          <w:p w14:paraId="779A7E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69668D72">
            <w:pPr>
              <w:keepNext w:val="0"/>
              <w:keepLines w:val="0"/>
              <w:pageBreakBefore w:val="0"/>
              <w:kinsoku/>
              <w:wordWrap/>
              <w:overflowPunct/>
              <w:topLinePunct w:val="0"/>
              <w:autoSpaceDE/>
              <w:autoSpaceDN/>
              <w:bidi w:val="0"/>
              <w:adjustRightInd/>
              <w:snapToGrid/>
              <w:spacing w:line="300" w:lineRule="exact"/>
              <w:ind w:left="0" w:leftChars="0" w:firstLine="590" w:firstLine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群众获得感幸福感</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DD1B43B">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49610F7">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不断增强</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D440EC1">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DD8FD33">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D16C66C">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r>
      <w:tr w14:paraId="127E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9857A4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p>
        </w:tc>
        <w:tc>
          <w:tcPr>
            <w:tcW w:w="1081" w:type="dxa"/>
            <w:tcBorders>
              <w:top w:val="single" w:color="000000" w:sz="4" w:space="0"/>
              <w:left w:val="single" w:color="000000" w:sz="4" w:space="0"/>
              <w:right w:val="single" w:color="000000" w:sz="4" w:space="0"/>
            </w:tcBorders>
            <w:noWrap w:val="0"/>
            <w:vAlign w:val="center"/>
          </w:tcPr>
          <w:p w14:paraId="22169D0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满意度</w:t>
            </w:r>
          </w:p>
          <w:p w14:paraId="1AE18F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指标</w:t>
            </w:r>
          </w:p>
        </w:tc>
        <w:tc>
          <w:tcPr>
            <w:tcW w:w="1250" w:type="dxa"/>
            <w:tcBorders>
              <w:top w:val="single" w:color="000000" w:sz="4" w:space="0"/>
              <w:left w:val="single" w:color="000000" w:sz="4" w:space="0"/>
              <w:right w:val="single" w:color="000000" w:sz="4" w:space="0"/>
            </w:tcBorders>
            <w:noWrap w:val="0"/>
            <w:vAlign w:val="center"/>
          </w:tcPr>
          <w:p w14:paraId="35123F1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kern w:val="0"/>
                <w:sz w:val="24"/>
                <w:szCs w:val="24"/>
                <w:u w:val="none"/>
                <w:lang w:val="en-US" w:eastAsia="zh-CN" w:bidi="ar"/>
              </w:rPr>
            </w:pPr>
            <w:r>
              <w:rPr>
                <w:rFonts w:ascii="宋体" w:hAnsi="宋体" w:eastAsia="宋体" w:cs="宋体"/>
                <w:i w:val="0"/>
                <w:color w:val="000000"/>
                <w:kern w:val="0"/>
                <w:sz w:val="24"/>
                <w:szCs w:val="24"/>
                <w:u w:val="none"/>
                <w:lang w:val="en-US" w:eastAsia="zh-CN" w:bidi="ar"/>
              </w:rPr>
              <w:t>服务对象</w:t>
            </w:r>
          </w:p>
          <w:p w14:paraId="273EA07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满意度指标</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B3707A6">
            <w:pPr>
              <w:keepNext w:val="0"/>
              <w:keepLines w:val="0"/>
              <w:pageBreakBefore w:val="0"/>
              <w:kinsoku/>
              <w:wordWrap/>
              <w:overflowPunct/>
              <w:topLinePunct w:val="0"/>
              <w:autoSpaceDE/>
              <w:autoSpaceDN/>
              <w:bidi w:val="0"/>
              <w:adjustRightInd/>
              <w:snapToGrid/>
              <w:spacing w:line="300" w:lineRule="exact"/>
              <w:ind w:left="0" w:leftChars="0"/>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政风行风满意度</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7683869">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rPr>
            </w:pPr>
            <w:r>
              <w:rPr>
                <w:rFonts w:hint="default" w:ascii="Arial" w:hAnsi="Arial" w:eastAsia="宋体" w:cs="Arial"/>
                <w:i w:val="0"/>
                <w:color w:val="000000"/>
                <w:sz w:val="24"/>
                <w:szCs w:val="24"/>
                <w:u w:val="none"/>
                <w:lang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678AB0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95</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8FF52F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A0A81E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F68B34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w:t>
            </w:r>
          </w:p>
        </w:tc>
      </w:tr>
    </w:tbl>
    <w:p w14:paraId="4ADCF06B">
      <w:pPr>
        <w:pStyle w:val="14"/>
        <w:keepNext w:val="0"/>
        <w:keepLines w:val="0"/>
        <w:pageBreakBefore w:val="0"/>
        <w:kinsoku/>
        <w:wordWrap/>
        <w:overflowPunct/>
        <w:topLinePunct w:val="0"/>
        <w:autoSpaceDE/>
        <w:autoSpaceDN/>
        <w:bidi w:val="0"/>
        <w:spacing w:after="0" w:line="578" w:lineRule="exact"/>
        <w:ind w:left="0" w:leftChars="0"/>
        <w:rPr>
          <w:rFonts w:hint="default" w:ascii="黑体" w:hAnsi="黑体" w:eastAsia="黑体" w:cs="黑体"/>
          <w:sz w:val="24"/>
          <w:szCs w:val="24"/>
          <w:highlight w:val="none"/>
          <w:lang w:val="en-US" w:eastAsia="zh-CN"/>
        </w:rPr>
      </w:pPr>
    </w:p>
    <w:p w14:paraId="6A38890D">
      <w:pPr>
        <w:rPr>
          <w:rFonts w:hint="eastAsia" w:ascii="黑体" w:hAnsi="黑体" w:eastAsia="黑体"/>
        </w:rPr>
      </w:pPr>
      <w:r>
        <w:rPr>
          <w:rFonts w:hint="eastAsia" w:eastAsia="仿宋_GB2312"/>
          <w:color w:val="FF0000"/>
          <w:sz w:val="32"/>
          <w:szCs w:val="32"/>
          <w:lang w:val="zh-CN"/>
        </w:rPr>
        <w:t>（以上绩效自评报告，除涉密敏感内容外，原则上都应予以公开。）</w:t>
      </w:r>
    </w:p>
    <w:p w14:paraId="027B9819">
      <w:pPr>
        <w:pStyle w:val="3"/>
        <w:jc w:val="center"/>
        <w:rPr>
          <w:rFonts w:ascii="黑体" w:hAnsi="黑体" w:eastAsia="黑体"/>
        </w:rPr>
      </w:pPr>
      <w:r>
        <w:rPr>
          <w:rFonts w:hint="eastAsia" w:ascii="黑体" w:hAnsi="黑体" w:eastAsia="黑体"/>
        </w:rPr>
        <w:t>第五部分 附表</w:t>
      </w:r>
    </w:p>
    <w:p w14:paraId="6990A8B2">
      <w:pPr>
        <w:rPr>
          <w:rFonts w:ascii="仿宋" w:hAnsi="仿宋" w:eastAsia="仿宋"/>
          <w:sz w:val="32"/>
          <w:szCs w:val="32"/>
        </w:rPr>
      </w:pPr>
      <w:r>
        <w:rPr>
          <w:rFonts w:hint="eastAsia" w:ascii="仿宋" w:hAnsi="仿宋" w:eastAsia="仿宋"/>
          <w:sz w:val="32"/>
          <w:szCs w:val="32"/>
        </w:rPr>
        <w:t>一、收入支出决算总表</w:t>
      </w:r>
    </w:p>
    <w:p w14:paraId="26EDEDCA">
      <w:pPr>
        <w:rPr>
          <w:rFonts w:ascii="仿宋" w:hAnsi="仿宋" w:eastAsia="仿宋"/>
          <w:sz w:val="32"/>
          <w:szCs w:val="32"/>
        </w:rPr>
      </w:pPr>
      <w:r>
        <w:rPr>
          <w:rFonts w:hint="eastAsia" w:ascii="仿宋" w:hAnsi="仿宋" w:eastAsia="仿宋"/>
          <w:sz w:val="32"/>
          <w:szCs w:val="32"/>
        </w:rPr>
        <w:t>二、收入决算表</w:t>
      </w:r>
    </w:p>
    <w:p w14:paraId="51D3261B">
      <w:pPr>
        <w:rPr>
          <w:rFonts w:ascii="仿宋" w:hAnsi="仿宋" w:eastAsia="仿宋"/>
          <w:sz w:val="32"/>
          <w:szCs w:val="32"/>
        </w:rPr>
      </w:pPr>
      <w:r>
        <w:rPr>
          <w:rFonts w:hint="eastAsia" w:ascii="仿宋" w:hAnsi="仿宋" w:eastAsia="仿宋"/>
          <w:sz w:val="32"/>
          <w:szCs w:val="32"/>
        </w:rPr>
        <w:t>三、支出决算表</w:t>
      </w:r>
    </w:p>
    <w:p w14:paraId="046FDB88">
      <w:pPr>
        <w:rPr>
          <w:rFonts w:ascii="仿宋" w:hAnsi="仿宋" w:eastAsia="仿宋"/>
          <w:sz w:val="32"/>
          <w:szCs w:val="32"/>
        </w:rPr>
      </w:pPr>
      <w:r>
        <w:rPr>
          <w:rFonts w:hint="eastAsia" w:ascii="仿宋" w:hAnsi="仿宋" w:eastAsia="仿宋"/>
          <w:sz w:val="32"/>
          <w:szCs w:val="32"/>
        </w:rPr>
        <w:t>四、财政拨款收入支出决算总表</w:t>
      </w:r>
    </w:p>
    <w:p w14:paraId="1F937C24">
      <w:pPr>
        <w:rPr>
          <w:rFonts w:ascii="仿宋" w:hAnsi="仿宋" w:eastAsia="仿宋"/>
          <w:sz w:val="32"/>
          <w:szCs w:val="32"/>
        </w:rPr>
      </w:pPr>
      <w:r>
        <w:rPr>
          <w:rFonts w:hint="eastAsia" w:ascii="仿宋" w:hAnsi="仿宋" w:eastAsia="仿宋"/>
          <w:sz w:val="32"/>
          <w:szCs w:val="32"/>
        </w:rPr>
        <w:t>五、财政拨款支出决算明细表</w:t>
      </w:r>
    </w:p>
    <w:p w14:paraId="10DF3274">
      <w:pPr>
        <w:rPr>
          <w:rFonts w:ascii="仿宋" w:hAnsi="仿宋" w:eastAsia="仿宋"/>
          <w:sz w:val="32"/>
          <w:szCs w:val="32"/>
        </w:rPr>
      </w:pPr>
      <w:r>
        <w:rPr>
          <w:rFonts w:hint="eastAsia" w:ascii="仿宋" w:hAnsi="仿宋" w:eastAsia="仿宋"/>
          <w:sz w:val="32"/>
          <w:szCs w:val="32"/>
        </w:rPr>
        <w:t>六、一般公共预算财政拨款支出决算表</w:t>
      </w:r>
    </w:p>
    <w:p w14:paraId="6FAB901F">
      <w:pPr>
        <w:rPr>
          <w:rFonts w:ascii="仿宋" w:hAnsi="仿宋" w:eastAsia="仿宋"/>
          <w:sz w:val="32"/>
          <w:szCs w:val="32"/>
        </w:rPr>
      </w:pPr>
      <w:r>
        <w:rPr>
          <w:rFonts w:hint="eastAsia" w:ascii="仿宋" w:hAnsi="仿宋" w:eastAsia="仿宋"/>
          <w:sz w:val="32"/>
          <w:szCs w:val="32"/>
        </w:rPr>
        <w:t>七、一般公共预算财政拨款支出决算明细表</w:t>
      </w:r>
    </w:p>
    <w:p w14:paraId="37EA499C">
      <w:pPr>
        <w:rPr>
          <w:rFonts w:ascii="仿宋" w:hAnsi="仿宋" w:eastAsia="仿宋"/>
          <w:sz w:val="32"/>
          <w:szCs w:val="32"/>
        </w:rPr>
      </w:pPr>
      <w:r>
        <w:rPr>
          <w:rFonts w:hint="eastAsia" w:ascii="仿宋" w:hAnsi="仿宋" w:eastAsia="仿宋"/>
          <w:sz w:val="32"/>
          <w:szCs w:val="32"/>
        </w:rPr>
        <w:t>八、一般公共预算财政拨款基本支出决算表</w:t>
      </w:r>
    </w:p>
    <w:p w14:paraId="7CA11BC0">
      <w:pPr>
        <w:rPr>
          <w:rFonts w:ascii="仿宋" w:hAnsi="仿宋" w:eastAsia="仿宋"/>
          <w:sz w:val="32"/>
          <w:szCs w:val="32"/>
        </w:rPr>
      </w:pPr>
      <w:r>
        <w:rPr>
          <w:rFonts w:hint="eastAsia" w:ascii="仿宋" w:hAnsi="仿宋" w:eastAsia="仿宋"/>
          <w:sz w:val="32"/>
          <w:szCs w:val="32"/>
        </w:rPr>
        <w:t>九、一般公共预算财政拨款项目支出决算表</w:t>
      </w:r>
    </w:p>
    <w:p w14:paraId="374A62E6">
      <w:pPr>
        <w:rPr>
          <w:rFonts w:ascii="仿宋" w:hAnsi="仿宋" w:eastAsia="仿宋"/>
          <w:sz w:val="32"/>
          <w:szCs w:val="32"/>
        </w:rPr>
      </w:pPr>
      <w:r>
        <w:rPr>
          <w:rFonts w:hint="eastAsia" w:ascii="仿宋" w:hAnsi="仿宋" w:eastAsia="仿宋"/>
          <w:sz w:val="32"/>
          <w:szCs w:val="32"/>
        </w:rPr>
        <w:t>十、政府性基金预算财政拨款收入支出决算表</w:t>
      </w:r>
    </w:p>
    <w:p w14:paraId="2C01DCAE">
      <w:pPr>
        <w:rPr>
          <w:rFonts w:ascii="仿宋" w:hAnsi="仿宋" w:eastAsia="仿宋"/>
          <w:sz w:val="32"/>
          <w:szCs w:val="32"/>
        </w:rPr>
      </w:pPr>
      <w:r>
        <w:rPr>
          <w:rFonts w:hint="eastAsia" w:ascii="仿宋" w:hAnsi="仿宋" w:eastAsia="仿宋"/>
          <w:sz w:val="32"/>
          <w:szCs w:val="32"/>
        </w:rPr>
        <w:t>十一、国有资本经营预算财政拨款收入支出决算表</w:t>
      </w:r>
    </w:p>
    <w:p w14:paraId="6627BD1D">
      <w:pPr>
        <w:rPr>
          <w:rFonts w:ascii="仿宋" w:hAnsi="仿宋" w:eastAsia="仿宋"/>
          <w:sz w:val="32"/>
          <w:szCs w:val="32"/>
        </w:rPr>
      </w:pPr>
      <w:r>
        <w:rPr>
          <w:rFonts w:hint="eastAsia" w:ascii="仿宋" w:hAnsi="仿宋" w:eastAsia="仿宋"/>
          <w:sz w:val="32"/>
          <w:szCs w:val="32"/>
        </w:rPr>
        <w:t>十二、国有资本经营预算财政拨款支出决算表</w:t>
      </w:r>
    </w:p>
    <w:p w14:paraId="53A6A312">
      <w:pPr>
        <w:rPr>
          <w:rFonts w:ascii="仿宋" w:hAnsi="仿宋" w:eastAsia="仿宋"/>
          <w:sz w:val="32"/>
          <w:szCs w:val="32"/>
        </w:rPr>
      </w:pPr>
      <w:r>
        <w:rPr>
          <w:rFonts w:hint="eastAsia" w:ascii="仿宋" w:hAnsi="仿宋" w:eastAsia="仿宋"/>
          <w:sz w:val="32"/>
          <w:szCs w:val="32"/>
        </w:rPr>
        <w:t>十三、财政拨款“三公”经费支出决算表</w:t>
      </w:r>
    </w:p>
    <w:p w14:paraId="51FCC981">
      <w:pPr>
        <w:pStyle w:val="4"/>
        <w:rPr>
          <w:rFonts w:eastAsia="仿宋"/>
        </w:rPr>
      </w:pPr>
      <w:bookmarkStart w:id="54" w:name="_GoBack"/>
      <w:bookmarkEnd w:id="54"/>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
    <w:altName w:val="Times New Roman"/>
    <w:panose1 w:val="00000000000000000000"/>
    <w:charset w:val="00"/>
    <w:family w:val="roman"/>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79A22">
    <w:pPr>
      <w:pStyle w:val="9"/>
      <w:jc w:val="center"/>
    </w:pPr>
    <w:r>
      <w:fldChar w:fldCharType="begin"/>
    </w:r>
    <w:r>
      <w:instrText xml:space="preserve">PAGE   \* MERGEFORMAT</w:instrText>
    </w:r>
    <w:r>
      <w:fldChar w:fldCharType="separate"/>
    </w:r>
    <w:r>
      <w:rPr>
        <w:lang w:val="zh-CN"/>
      </w:rPr>
      <w:t>15</w:t>
    </w:r>
    <w:r>
      <w:fldChar w:fldCharType="end"/>
    </w:r>
  </w:p>
  <w:p w14:paraId="04E193B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E942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19EEC"/>
    <w:multiLevelType w:val="multilevel"/>
    <w:tmpl w:val="80C19EEC"/>
    <w:lvl w:ilvl="0" w:tentative="0">
      <w:start w:val="7"/>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B0F429C5"/>
    <w:multiLevelType w:val="singleLevel"/>
    <w:tmpl w:val="B0F429C5"/>
    <w:lvl w:ilvl="0" w:tentative="0">
      <w:start w:val="2"/>
      <w:numFmt w:val="chineseCounting"/>
      <w:suff w:val="nothing"/>
      <w:lvlText w:val="（%1）"/>
      <w:lvlJc w:val="left"/>
      <w:rPr>
        <w:rFonts w:hint="eastAsia" w:ascii="楷体_GB2312" w:hAnsi="楷体_GB2312" w:eastAsia="楷体_GB2312" w:cs="楷体_GB2312"/>
        <w:b/>
        <w:bCs/>
        <w:sz w:val="32"/>
        <w:szCs w:val="32"/>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002E2E2F"/>
    <w:multiLevelType w:val="multilevel"/>
    <w:tmpl w:val="002E2E2F"/>
    <w:lvl w:ilvl="0" w:tentative="0">
      <w:start w:val="12"/>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376106D"/>
    <w:multiLevelType w:val="singleLevel"/>
    <w:tmpl w:val="1376106D"/>
    <w:lvl w:ilvl="0" w:tentative="0">
      <w:start w:val="2"/>
      <w:numFmt w:val="decimal"/>
      <w:lvlText w:val="%1."/>
      <w:lvlJc w:val="left"/>
      <w:pPr>
        <w:tabs>
          <w:tab w:val="left" w:pos="312"/>
        </w:tabs>
      </w:pPr>
    </w:lvl>
  </w:abstractNum>
  <w:abstractNum w:abstractNumId="6">
    <w:nsid w:val="2508CEDC"/>
    <w:multiLevelType w:val="singleLevel"/>
    <w:tmpl w:val="2508CEDC"/>
    <w:lvl w:ilvl="0" w:tentative="0">
      <w:start w:val="1"/>
      <w:numFmt w:val="chineseCounting"/>
      <w:suff w:val="nothing"/>
      <w:lvlText w:val="%1、"/>
      <w:lvlJc w:val="left"/>
      <w:rPr>
        <w:rFonts w:hint="eastAsia"/>
      </w:rPr>
    </w:lvl>
  </w:abstractNum>
  <w:abstractNum w:abstractNumId="7">
    <w:nsid w:val="525FB4CC"/>
    <w:multiLevelType w:val="singleLevel"/>
    <w:tmpl w:val="525FB4CC"/>
    <w:lvl w:ilvl="0" w:tentative="0">
      <w:start w:val="2"/>
      <w:numFmt w:val="chineseCounting"/>
      <w:suff w:val="nothing"/>
      <w:lvlText w:val="（%1）"/>
      <w:lvlJc w:val="left"/>
      <w:rPr>
        <w:rFonts w:hint="eastAsia" w:ascii="楷体_GB2312" w:hAnsi="楷体_GB2312" w:eastAsia="楷体_GB2312" w:cs="楷体_GB2312"/>
        <w:b/>
        <w:bCs/>
        <w:sz w:val="32"/>
        <w:szCs w:val="32"/>
      </w:rPr>
    </w:lvl>
  </w:abstractNum>
  <w:abstractNum w:abstractNumId="8">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6"/>
  </w:num>
  <w:num w:numId="2">
    <w:abstractNumId w:val="0"/>
  </w:num>
  <w:num w:numId="3">
    <w:abstractNumId w:val="3"/>
  </w:num>
  <w:num w:numId="4">
    <w:abstractNumId w:val="8"/>
  </w:num>
  <w:num w:numId="5">
    <w:abstractNumId w:val="4"/>
  </w:num>
  <w:num w:numId="6">
    <w:abstractNumId w:val="2"/>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DFjNDRiNDI1ZjdjOWYyNTYzY2ViNmU5OWEwMmQifQ=="/>
  </w:docVars>
  <w:rsids>
    <w:rsidRoot w:val="00172A27"/>
    <w:rsid w:val="08E4264E"/>
    <w:rsid w:val="09FB33BD"/>
    <w:rsid w:val="146A79E0"/>
    <w:rsid w:val="258F5DCF"/>
    <w:rsid w:val="32A66D30"/>
    <w:rsid w:val="40B96A80"/>
    <w:rsid w:val="4B2D5366"/>
    <w:rsid w:val="4DF947AF"/>
    <w:rsid w:val="6C366168"/>
    <w:rsid w:val="723D360C"/>
    <w:rsid w:val="745B7B5D"/>
    <w:rsid w:val="782737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rPr>
  </w:style>
  <w:style w:type="paragraph" w:styleId="3">
    <w:name w:val="heading 1"/>
    <w:basedOn w:val="1"/>
    <w:next w:val="1"/>
    <w:link w:val="20"/>
    <w:uiPriority w:val="0"/>
    <w:pPr>
      <w:keepNext/>
      <w:keepLines/>
      <w:spacing w:before="340" w:beforeLines="0" w:after="330" w:afterLines="0" w:line="578" w:lineRule="auto"/>
      <w:outlineLvl w:val="0"/>
    </w:pPr>
    <w:rPr>
      <w:rFonts w:ascii="Times New Roman" w:hAnsi="Times New Roman"/>
      <w:b/>
      <w:bCs/>
      <w:kern w:val="44"/>
      <w:sz w:val="44"/>
      <w:szCs w:val="44"/>
    </w:rPr>
  </w:style>
  <w:style w:type="paragraph" w:styleId="4">
    <w:name w:val="heading 2"/>
    <w:basedOn w:val="1"/>
    <w:next w:val="1"/>
    <w:link w:val="21"/>
    <w:uiPriority w:val="0"/>
    <w:pPr>
      <w:keepNext/>
      <w:keepLines/>
      <w:spacing w:before="260" w:beforeLines="0" w:after="260" w:afterLines="0" w:line="416" w:lineRule="auto"/>
      <w:outlineLvl w:val="1"/>
    </w:pPr>
    <w:rPr>
      <w:rFonts w:ascii="Cambria" w:hAnsi="Cambria" w:eastAsia="宋体" w:cs="黑体"/>
      <w:b/>
      <w:bCs/>
      <w:kern w:val="2"/>
      <w:sz w:val="32"/>
      <w:szCs w:val="32"/>
    </w:rPr>
  </w:style>
  <w:style w:type="paragraph" w:styleId="5">
    <w:name w:val="heading 3"/>
    <w:basedOn w:val="1"/>
    <w:next w:val="1"/>
    <w:link w:val="22"/>
    <w:uiPriority w:val="0"/>
    <w:pPr>
      <w:keepNext/>
      <w:keepLines/>
      <w:spacing w:before="260" w:beforeLines="0" w:after="260" w:afterLines="0" w:line="416" w:lineRule="auto"/>
      <w:outlineLvl w:val="2"/>
    </w:pPr>
    <w:rPr>
      <w:rFonts w:ascii="Times New Roman" w:hAnsi="Times New Roman"/>
      <w:b/>
      <w:bCs/>
      <w:kern w:val="2"/>
      <w:sz w:val="32"/>
      <w:szCs w:val="32"/>
    </w:rPr>
  </w:style>
  <w:style w:type="character" w:default="1" w:styleId="17">
    <w:name w:val="Default Paragraph Fon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link w:val="23"/>
    <w:qFormat/>
    <w:uiPriority w:val="0"/>
    <w:pPr>
      <w:spacing w:before="93" w:beforeLines="30"/>
    </w:pPr>
    <w:rPr>
      <w:rFonts w:ascii="仿宋_GB2312" w:hAnsi="Times New Roman" w:eastAsia="仿宋_GB2312"/>
      <w:sz w:val="24"/>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qFormat/>
    <w:uiPriority w:val="0"/>
    <w:pPr>
      <w:tabs>
        <w:tab w:val="right" w:leader="dot" w:pos="8296"/>
      </w:tabs>
      <w:ind w:left="840" w:leftChars="400"/>
    </w:pPr>
  </w:style>
  <w:style w:type="paragraph" w:styleId="8">
    <w:name w:val="Balloon Text"/>
    <w:basedOn w:val="1"/>
    <w:link w:val="24"/>
    <w:qFormat/>
    <w:uiPriority w:val="0"/>
    <w:rPr>
      <w:rFonts w:ascii="Times New Roman" w:hAnsi="Times New Roman"/>
      <w:kern w:val="2"/>
      <w:sz w:val="18"/>
      <w:szCs w:val="18"/>
    </w:rPr>
  </w:style>
  <w:style w:type="paragraph" w:styleId="9">
    <w:name w:val="footer"/>
    <w:basedOn w:val="1"/>
    <w:link w:val="25"/>
    <w:qFormat/>
    <w:uiPriority w:val="0"/>
    <w:pPr>
      <w:tabs>
        <w:tab w:val="center" w:pos="4153"/>
        <w:tab w:val="right" w:pos="8306"/>
      </w:tabs>
      <w:snapToGrid w:val="0"/>
      <w:jc w:val="left"/>
    </w:pPr>
    <w:rPr>
      <w:sz w:val="18"/>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pPr>
      <w:tabs>
        <w:tab w:val="right" w:leader="dot" w:pos="8296"/>
      </w:tabs>
      <w:spacing w:before="93" w:beforeLines="0"/>
      <w:jc w:val="center"/>
    </w:pPr>
    <w:rPr>
      <w:rFonts w:ascii="仿宋" w:hAnsi="仿宋" w:eastAsia="仿宋"/>
      <w:sz w:val="28"/>
      <w:szCs w:val="28"/>
    </w:rPr>
  </w:style>
  <w:style w:type="paragraph" w:styleId="12">
    <w:name w:val="table of figures"/>
    <w:basedOn w:val="1"/>
    <w:next w:val="1"/>
    <w:qFormat/>
    <w:uiPriority w:val="0"/>
    <w:pPr>
      <w:ind w:leftChars="200" w:hanging="200" w:hangingChars="200"/>
    </w:pPr>
  </w:style>
  <w:style w:type="paragraph" w:styleId="13">
    <w:name w:val="toc 2"/>
    <w:basedOn w:val="1"/>
    <w:next w:val="1"/>
    <w:qFormat/>
    <w:uiPriority w:val="0"/>
    <w:pPr>
      <w:tabs>
        <w:tab w:val="right" w:leader="dot" w:pos="8296"/>
      </w:tabs>
      <w:ind w:left="420" w:leftChars="200"/>
    </w:pPr>
  </w:style>
  <w:style w:type="paragraph" w:styleId="14">
    <w:name w:val="Body Text First Indent 2"/>
    <w:basedOn w:val="6"/>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character" w:customStyle="1" w:styleId="20">
    <w:name w:val="标题 1 字符"/>
    <w:basedOn w:val="17"/>
    <w:link w:val="3"/>
    <w:qFormat/>
    <w:uiPriority w:val="0"/>
    <w:rPr>
      <w:rFonts w:ascii="Times New Roman" w:hAnsi="Times New Roman"/>
      <w:b/>
      <w:bCs/>
      <w:kern w:val="44"/>
      <w:sz w:val="44"/>
      <w:szCs w:val="44"/>
    </w:rPr>
  </w:style>
  <w:style w:type="character" w:customStyle="1" w:styleId="21">
    <w:name w:val="标题 2 字符"/>
    <w:basedOn w:val="17"/>
    <w:link w:val="4"/>
    <w:qFormat/>
    <w:uiPriority w:val="0"/>
    <w:rPr>
      <w:rFonts w:ascii="Cambria" w:hAnsi="Cambria" w:eastAsia="宋体" w:cs="黑体"/>
      <w:b/>
      <w:bCs/>
      <w:kern w:val="2"/>
      <w:sz w:val="32"/>
      <w:szCs w:val="32"/>
    </w:rPr>
  </w:style>
  <w:style w:type="character" w:customStyle="1" w:styleId="22">
    <w:name w:val="标题 3 字符"/>
    <w:basedOn w:val="17"/>
    <w:link w:val="5"/>
    <w:qFormat/>
    <w:uiPriority w:val="0"/>
    <w:rPr>
      <w:rFonts w:ascii="Times New Roman" w:hAnsi="Times New Roman"/>
      <w:b/>
      <w:bCs/>
      <w:kern w:val="2"/>
      <w:sz w:val="32"/>
      <w:szCs w:val="32"/>
    </w:rPr>
  </w:style>
  <w:style w:type="character" w:customStyle="1" w:styleId="23">
    <w:name w:val="正文文本 字符"/>
    <w:link w:val="2"/>
    <w:qFormat/>
    <w:uiPriority w:val="0"/>
    <w:rPr>
      <w:rFonts w:ascii="仿宋_GB2312" w:hAnsi="Times New Roman" w:eastAsia="仿宋_GB2312"/>
      <w:sz w:val="24"/>
    </w:rPr>
  </w:style>
  <w:style w:type="character" w:customStyle="1" w:styleId="24">
    <w:name w:val="批注框文本 字符"/>
    <w:basedOn w:val="17"/>
    <w:link w:val="8"/>
    <w:qFormat/>
    <w:uiPriority w:val="0"/>
    <w:rPr>
      <w:rFonts w:ascii="Times New Roman" w:hAnsi="Times New Roman"/>
      <w:kern w:val="2"/>
      <w:sz w:val="18"/>
      <w:szCs w:val="18"/>
    </w:rPr>
  </w:style>
  <w:style w:type="character" w:customStyle="1" w:styleId="25">
    <w:name w:val="页脚 字符"/>
    <w:link w:val="9"/>
    <w:qFormat/>
    <w:uiPriority w:val="0"/>
    <w:rPr>
      <w:sz w:val="18"/>
    </w:rPr>
  </w:style>
  <w:style w:type="character" w:customStyle="1" w:styleId="26">
    <w:name w:val="页眉 字符"/>
    <w:link w:val="10"/>
    <w:qFormat/>
    <w:uiPriority w:val="0"/>
    <w:rPr>
      <w:sz w:val="18"/>
    </w:rPr>
  </w:style>
  <w:style w:type="character" w:customStyle="1" w:styleId="27">
    <w:name w:val="Body Text Char"/>
    <w:basedOn w:val="17"/>
    <w:qFormat/>
    <w:uiPriority w:val="0"/>
    <w:rPr>
      <w:rFonts w:ascii="Times New Roman" w:hAnsi="Times New Roman"/>
      <w:szCs w:val="24"/>
    </w:rPr>
  </w:style>
  <w:style w:type="character" w:customStyle="1" w:styleId="28">
    <w:name w:val="Header Char"/>
    <w:basedOn w:val="17"/>
    <w:qFormat/>
    <w:uiPriority w:val="0"/>
    <w:rPr>
      <w:rFonts w:ascii="Times New Roman" w:hAnsi="Times New Roman"/>
      <w:sz w:val="18"/>
      <w:szCs w:val="18"/>
    </w:rPr>
  </w:style>
  <w:style w:type="character" w:customStyle="1" w:styleId="29">
    <w:name w:val="Footer Char"/>
    <w:basedOn w:val="17"/>
    <w:qFormat/>
    <w:uiPriority w:val="0"/>
    <w:rPr>
      <w:rFonts w:ascii="Times New Roman" w:hAnsi="Times New Roman"/>
      <w:sz w:val="18"/>
      <w:szCs w:val="18"/>
    </w:rPr>
  </w:style>
  <w:style w:type="character" w:customStyle="1" w:styleId="30">
    <w:name w:val="15"/>
    <w:basedOn w:val="17"/>
    <w:qFormat/>
    <w:uiPriority w:val="0"/>
    <w:rPr>
      <w:rFonts w:hint="default" w:ascii="Times New Roman" w:hAnsi="Times New Roman" w:cs="Times New Roman"/>
      <w:b/>
    </w:rPr>
  </w:style>
  <w:style w:type="paragraph" w:customStyle="1" w:styleId="31">
    <w:name w:val="TOC 标题2"/>
    <w:basedOn w:val="3"/>
    <w:next w:val="1"/>
    <w:qFormat/>
    <w:uiPriority w:val="0"/>
    <w:pPr>
      <w:widowControl/>
      <w:spacing w:before="480" w:beforeLines="0" w:after="0" w:afterLines="0" w:line="276" w:lineRule="auto"/>
      <w:jc w:val="left"/>
      <w:outlineLvl w:val="9"/>
    </w:pPr>
    <w:rPr>
      <w:rFonts w:ascii="Cambria" w:hAnsi="Cambria" w:eastAsia="宋体" w:cs="黑体"/>
      <w:color w:val="365F90"/>
      <w:kern w:val="0"/>
      <w:sz w:val="28"/>
      <w:szCs w:val="28"/>
    </w:rPr>
  </w:style>
  <w:style w:type="paragraph" w:customStyle="1" w:styleId="32">
    <w:name w:val="Body Text Indent"/>
    <w:basedOn w:val="1"/>
    <w:qFormat/>
    <w:uiPriority w:val="0"/>
    <w:pPr>
      <w:spacing w:after="120" w:afterLines="0"/>
      <w:ind w:left="200" w:leftChars="200"/>
    </w:pPr>
    <w:rPr>
      <w:rFonts w:ascii="仿宋_GB2312"/>
      <w:szCs w:val="32"/>
    </w:rPr>
  </w:style>
  <w:style w:type="paragraph" w:customStyle="1" w:styleId="33">
    <w:name w:val="Body Text First Indent 2"/>
    <w:basedOn w:val="32"/>
    <w:qFormat/>
    <w:uiPriority w:val="0"/>
    <w:pPr>
      <w:ind w:firstLine="420" w:firstLineChars="200"/>
    </w:pPr>
  </w:style>
  <w:style w:type="paragraph" w:customStyle="1" w:styleId="34">
    <w:name w:val="标题 5（有编号）（绿盟科技）"/>
    <w:next w:val="1"/>
    <w:qFormat/>
    <w:uiPriority w:val="0"/>
    <w:pPr>
      <w:keepNext/>
      <w:keepLines/>
      <w:widowControl w:val="0"/>
      <w:spacing w:before="280" w:beforeLines="0" w:after="156" w:afterLines="0" w:line="377" w:lineRule="auto"/>
      <w:outlineLvl w:val="4"/>
    </w:pPr>
    <w:rPr>
      <w:rFonts w:ascii="Arial" w:hAnsi="Arial" w:eastAsia="黑体" w:cs="Times New Roman"/>
      <w:b/>
      <w:kern w:val="2"/>
      <w:sz w:val="24"/>
      <w:szCs w:val="28"/>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List Paragraph"/>
    <w:basedOn w:val="1"/>
    <w:qFormat/>
    <w:uiPriority w:val="0"/>
    <w:pPr>
      <w:ind w:firstLine="420" w:firstLineChars="200"/>
    </w:p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Default"/>
    <w:qFormat/>
    <w:uiPriority w:val="0"/>
    <w:pPr>
      <w:widowControl w:val="0"/>
      <w:autoSpaceDE w:val="0"/>
      <w:autoSpaceDN w:val="0"/>
      <w:adjustRightInd w:val="0"/>
    </w:pPr>
    <w:rPr>
      <w:rFonts w:ascii="仿宋" w:hAnsi="Calibri" w:eastAsia="仿宋" w:cs="仿宋"/>
      <w:color w:val="000000"/>
      <w:sz w:val="24"/>
      <w:szCs w:val="24"/>
    </w:rPr>
  </w:style>
  <w:style w:type="paragraph" w:customStyle="1" w:styleId="39">
    <w:name w:val="TOC 标题1"/>
    <w:basedOn w:val="3"/>
    <w:next w:val="1"/>
    <w:qFormat/>
    <w:uiPriority w:val="0"/>
    <w:pPr>
      <w:widowControl/>
      <w:spacing w:before="480" w:beforeLines="0" w:after="0" w:afterLines="0" w:line="276" w:lineRule="auto"/>
      <w:jc w:val="left"/>
      <w:outlineLvl w:val="9"/>
    </w:pPr>
    <w:rPr>
      <w:rFonts w:ascii="Cambria" w:hAnsi="Cambria" w:eastAsia="宋体" w:cs="黑体"/>
      <w:color w:val="365F90"/>
      <w:kern w:val="0"/>
      <w:sz w:val="28"/>
      <w:szCs w:val="28"/>
    </w:rPr>
  </w:style>
  <w:style w:type="paragraph" w:customStyle="1" w:styleId="4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41">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37</Pages>
  <Words>23059</Words>
  <Characters>27189</Characters>
  <Lines>54</Lines>
  <Paragraphs>15</Paragraphs>
  <TotalTime>0</TotalTime>
  <ScaleCrop>false</ScaleCrop>
  <LinksUpToDate>false</LinksUpToDate>
  <CharactersWithSpaces>27377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奕夕^_^</cp:lastModifiedBy>
  <cp:lastPrinted>2023-08-03T02:35:00Z</cp:lastPrinted>
  <dcterms:modified xsi:type="dcterms:W3CDTF">2024-09-19T08:24:08Z</dcterms:modified>
  <dc:title>342438005@qq.com</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D8A32AB990944A658D2128B53D9A7735_13</vt:lpwstr>
  </property>
</Properties>
</file>