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7"/>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06267"/>
      <w:bookmarkStart w:id="2" w:name="_Toc15378441"/>
      <w:bookmarkStart w:id="3" w:name="_Toc15377425"/>
      <w:bookmarkStart w:id="4" w:name="_Toc15396475"/>
      <w:bookmarkStart w:id="5" w:name="_Toc15377193"/>
    </w:p>
    <w:p>
      <w:pPr>
        <w:pStyle w:val="7"/>
        <w:rPr>
          <w:rFonts w:hint="eastAsia" w:ascii="Times New Roman" w:hAnsi="Times New Roman" w:eastAsia="方正小标宋简体" w:cs="Times New Roman"/>
          <w:color w:val="auto"/>
          <w:kern w:val="2"/>
          <w:sz w:val="72"/>
          <w:szCs w:val="72"/>
          <w:highlight w:val="none"/>
          <w:lang w:val="en-US" w:eastAsia="zh-CN" w:bidi="ar-SA"/>
        </w:rPr>
      </w:pPr>
    </w:p>
    <w:p>
      <w:pPr>
        <w:pStyle w:val="7"/>
        <w:rPr>
          <w:rFonts w:hint="eastAsia" w:ascii="Times New Roman" w:hAnsi="Times New Roman" w:eastAsia="方正小标宋简体" w:cs="Times New Roman"/>
          <w:color w:val="auto"/>
          <w:kern w:val="2"/>
          <w:sz w:val="72"/>
          <w:szCs w:val="72"/>
          <w:highlight w:val="none"/>
          <w:lang w:val="en-US" w:eastAsia="zh-CN" w:bidi="ar-SA"/>
        </w:rPr>
      </w:pPr>
    </w:p>
    <w:p>
      <w:pPr>
        <w:pStyle w:val="7"/>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四川省松潘县公证处</w:t>
      </w:r>
    </w:p>
    <w:p>
      <w:pPr>
        <w:pStyle w:val="7"/>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决算公开</w:t>
      </w:r>
    </w:p>
    <w:p>
      <w:pPr>
        <w:spacing w:line="600" w:lineRule="exact"/>
        <w:jc w:val="center"/>
        <w:outlineLvl w:val="0"/>
        <w:rPr>
          <w:rFonts w:ascii="Times New Roman" w:hAnsi="Times New Roman" w:eastAsia="方正小标宋简体"/>
          <w:color w:val="auto"/>
          <w:sz w:val="72"/>
          <w:szCs w:val="72"/>
          <w:highlight w:val="none"/>
        </w:rPr>
      </w:pPr>
    </w:p>
    <w:p>
      <w:pPr>
        <w:pStyle w:val="19"/>
        <w:rPr>
          <w:rFonts w:ascii="Times New Roman" w:hAnsi="Times New Roma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numberInDash" w:start="1"/>
          <w:cols w:space="425" w:num="1"/>
          <w:titlePg/>
          <w:docGrid w:type="lines" w:linePitch="312" w:charSpace="0"/>
        </w:sectPr>
      </w:pPr>
    </w:p>
    <w:p>
      <w:pPr>
        <w:rPr>
          <w:rFonts w:ascii="Times New Roman" w:hAnsi="Times New Roman"/>
        </w:rPr>
      </w:pPr>
    </w:p>
    <w:p>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17</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2"/>
        <w:keepNext w:val="0"/>
        <w:keepLines w:val="0"/>
        <w:pageBreakBefore w:val="0"/>
        <w:widowControl w:val="0"/>
        <w:tabs>
          <w:tab w:val="right" w:leader="middleDot" w:pos="7980"/>
        </w:tabs>
        <w:kinsoku/>
        <w:wordWrap/>
        <w:overflowPunct/>
        <w:topLinePunct w:val="0"/>
        <w:autoSpaceDE/>
        <w:autoSpaceDN/>
        <w:bidi w:val="0"/>
        <w:adjustRightInd w:val="0"/>
        <w:snapToGrid w:val="0"/>
        <w:spacing w:before="0" w:line="560" w:lineRule="exact"/>
        <w:ind w:left="0" w:leftChars="0" w:right="0" w:rightChars="0"/>
        <w:jc w:val="left"/>
        <w:textAlignment w:val="auto"/>
        <w:outlineLvl w:val="9"/>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bookmarkStart w:id="61" w:name="_GoBack"/>
      <w:bookmarkEnd w:id="61"/>
      <w:r>
        <w:rPr>
          <w:rFonts w:hint="eastAsia" w:ascii="Times New Roman" w:hAnsi="Times New Roman" w:eastAsia="黑体" w:cs="黑体"/>
          <w:color w:val="auto"/>
          <w:sz w:val="32"/>
          <w:szCs w:val="32"/>
          <w:highlight w:val="none"/>
          <w:lang w:val="en-US" w:eastAsia="zh-CN"/>
        </w:rPr>
        <w:tab/>
      </w:r>
      <w:r>
        <w:rPr>
          <w:rFonts w:hint="eastAsia" w:ascii="仿宋" w:hAnsi="仿宋" w:eastAsia="仿宋" w:cs="仿宋"/>
          <w:color w:val="auto"/>
          <w:sz w:val="28"/>
          <w:szCs w:val="28"/>
          <w:highlight w:val="none"/>
          <w:lang w:val="en-US" w:eastAsia="zh-CN"/>
        </w:rPr>
        <w:t>1</w:t>
      </w:r>
    </w:p>
    <w:p>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1</w:t>
      </w:r>
    </w:p>
    <w:p>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1</w:t>
      </w:r>
    </w:p>
    <w:p>
      <w:pPr>
        <w:pStyle w:val="12"/>
        <w:keepNext w:val="0"/>
        <w:keepLines w:val="0"/>
        <w:pageBreakBefore w:val="0"/>
        <w:widowControl w:val="0"/>
        <w:tabs>
          <w:tab w:val="right" w:leader="middleDot" w:pos="7980"/>
        </w:tabs>
        <w:kinsoku/>
        <w:wordWrap/>
        <w:overflowPunct/>
        <w:topLinePunct w:val="0"/>
        <w:autoSpaceDE/>
        <w:autoSpaceDN/>
        <w:bidi w:val="0"/>
        <w:adjustRightInd w:val="0"/>
        <w:snapToGrid w:val="0"/>
        <w:spacing w:before="0" w:line="560" w:lineRule="exact"/>
        <w:ind w:left="0" w:leftChars="0" w:right="0" w:rightChars="0"/>
        <w:jc w:val="left"/>
        <w:textAlignment w:val="auto"/>
        <w:outlineLvl w:val="9"/>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1</w:t>
      </w:r>
    </w:p>
    <w:p>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1</w:t>
      </w:r>
    </w:p>
    <w:p>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2</w:t>
      </w:r>
    </w:p>
    <w:p>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2</w:t>
      </w:r>
    </w:p>
    <w:p>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2</w:t>
      </w:r>
    </w:p>
    <w:p>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2</w:t>
      </w:r>
    </w:p>
    <w:p>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3</w:t>
      </w:r>
    </w:p>
    <w:p>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4</w:t>
      </w:r>
    </w:p>
    <w:p>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4</w:t>
      </w:r>
    </w:p>
    <w:p>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 w:hAnsi="仿宋" w:eastAsia="仿宋" w:cs="仿宋"/>
          <w:color w:val="auto"/>
          <w:kern w:val="2"/>
          <w:sz w:val="28"/>
          <w:szCs w:val="28"/>
          <w:highlight w:val="none"/>
          <w:lang w:val="en-US" w:eastAsia="zh-CN" w:bidi="ar-SA"/>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4</w:t>
      </w:r>
    </w:p>
    <w:p>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4</w:t>
      </w:r>
    </w:p>
    <w:p>
      <w:pPr>
        <w:pStyle w:val="12"/>
        <w:keepNext w:val="0"/>
        <w:keepLines w:val="0"/>
        <w:pageBreakBefore w:val="0"/>
        <w:widowControl w:val="0"/>
        <w:tabs>
          <w:tab w:val="right" w:leader="middleDot" w:pos="7980"/>
        </w:tabs>
        <w:kinsoku/>
        <w:wordWrap/>
        <w:overflowPunct/>
        <w:topLinePunct w:val="0"/>
        <w:autoSpaceDE/>
        <w:autoSpaceDN/>
        <w:bidi w:val="0"/>
        <w:adjustRightInd w:val="0"/>
        <w:snapToGrid w:val="0"/>
        <w:spacing w:before="0" w:line="560" w:lineRule="exact"/>
        <w:ind w:left="0" w:leftChars="0" w:right="0" w:rightChars="0"/>
        <w:jc w:val="left"/>
        <w:textAlignment w:val="auto"/>
        <w:outlineLvl w:val="9"/>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6</w:t>
      </w:r>
    </w:p>
    <w:p>
      <w:pPr>
        <w:pStyle w:val="12"/>
        <w:keepNext w:val="0"/>
        <w:keepLines w:val="0"/>
        <w:pageBreakBefore w:val="0"/>
        <w:widowControl w:val="0"/>
        <w:tabs>
          <w:tab w:val="right" w:leader="middleDot" w:pos="7980"/>
        </w:tabs>
        <w:kinsoku/>
        <w:wordWrap/>
        <w:overflowPunct/>
        <w:topLinePunct w:val="0"/>
        <w:autoSpaceDE/>
        <w:autoSpaceDN/>
        <w:bidi w:val="0"/>
        <w:adjustRightInd w:val="0"/>
        <w:snapToGrid w:val="0"/>
        <w:spacing w:before="0" w:line="560" w:lineRule="exact"/>
        <w:ind w:left="0" w:leftChars="0" w:right="0" w:rightChars="0"/>
        <w:jc w:val="left"/>
        <w:textAlignment w:val="auto"/>
        <w:outlineLvl w:val="9"/>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w:t>
      </w:r>
      <w:r>
        <w:rPr>
          <w:rFonts w:hint="eastAsia" w:ascii="Times New Roman" w:hAnsi="Times New Roman" w:eastAsia="黑体" w:cs="黑体"/>
          <w:color w:val="auto"/>
          <w:sz w:val="32"/>
          <w:szCs w:val="32"/>
          <w:highlight w:val="none"/>
          <w:lang w:eastAsia="zh-CN"/>
        </w:rPr>
        <w:t>四</w:t>
      </w:r>
      <w:r>
        <w:rPr>
          <w:rFonts w:hint="eastAsia" w:ascii="Times New Roman" w:hAnsi="Times New Roman" w:eastAsia="黑体" w:cs="黑体"/>
          <w:color w:val="auto"/>
          <w:sz w:val="32"/>
          <w:szCs w:val="32"/>
          <w:highlight w:val="none"/>
        </w:rPr>
        <w:t>部分 附表</w:t>
      </w:r>
      <w:r>
        <w:rPr>
          <w:rFonts w:hint="eastAsia" w:ascii="Times New Roman" w:hAnsi="Times New Roman" w:eastAsia="黑体" w:cs="黑体"/>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77196"/>
      <w:bookmarkStart w:id="7" w:name="_Toc15396599"/>
      <w:r>
        <w:rPr>
          <w:rFonts w:hint="eastAsia" w:ascii="Times New Roman" w:hAnsi="Times New Roman" w:eastAsia="仿宋_GB2312" w:cs="仿宋_GB2312"/>
          <w:b/>
          <w:color w:val="auto"/>
          <w:sz w:val="32"/>
          <w:szCs w:val="32"/>
          <w:highlight w:val="none"/>
        </w:rPr>
        <w:br w:type="page"/>
      </w:r>
    </w:p>
    <w:p>
      <w:pPr>
        <w:pStyle w:val="4"/>
        <w:jc w:val="center"/>
        <w:rPr>
          <w:rFonts w:hint="eastAsia" w:ascii="Times New Roman" w:hAnsi="Times New Roman" w:eastAsia="方正小标宋简体" w:cs="方正小标宋简体"/>
          <w:b w:val="0"/>
          <w:color w:val="auto"/>
          <w:highlight w:val="none"/>
        </w:rPr>
        <w:sectPr>
          <w:footerReference r:id="rId8" w:type="first"/>
          <w:footerReference r:id="rId7" w:type="default"/>
          <w:pgSz w:w="11906" w:h="16838"/>
          <w:pgMar w:top="1440" w:right="1800" w:bottom="1440" w:left="1800" w:header="851" w:footer="992" w:gutter="0"/>
          <w:pgNumType w:fmt="numberInDash" w:start="1"/>
          <w:cols w:space="425" w:num="1"/>
          <w:titlePg/>
          <w:docGrid w:type="lines" w:linePitch="312" w:charSpace="0"/>
        </w:sectPr>
      </w:pPr>
    </w:p>
    <w:p>
      <w:pPr>
        <w:pStyle w:val="4"/>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p>
    <w:p>
      <w:pPr>
        <w:widowControl/>
        <w:jc w:val="left"/>
        <w:rPr>
          <w:rFonts w:ascii="Times New Roman" w:hAnsi="Times New Roman" w:eastAsia="黑体"/>
          <w:color w:val="auto"/>
          <w:sz w:val="32"/>
          <w:szCs w:val="32"/>
          <w:highlight w:val="none"/>
        </w:rPr>
      </w:pPr>
    </w:p>
    <w:p>
      <w:pPr>
        <w:pStyle w:val="5"/>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lang w:eastAsia="zh-CN"/>
        </w:rPr>
      </w:pPr>
      <w:r>
        <w:rPr>
          <w:rFonts w:hint="eastAsia" w:ascii="仿宋" w:hAnsi="仿宋" w:eastAsia="仿宋" w:cs="Times New Roman"/>
          <w:color w:val="auto"/>
          <w:sz w:val="32"/>
          <w:szCs w:val="32"/>
          <w:highlight w:val="none"/>
          <w:lang w:val="en-US" w:eastAsia="zh-CN"/>
        </w:rPr>
        <w:t>负责根据当事人的申请，依法证明法律行为、具有法律意义的文书和事实的真实性、合法性，以保证公民身份上、财产上的权利和合法利益及完成县委、县政府交办的其他任务。</w:t>
      </w:r>
    </w:p>
    <w:p>
      <w:pPr>
        <w:pStyle w:val="5"/>
        <w:numPr>
          <w:ilvl w:val="0"/>
          <w:numId w:val="1"/>
        </w:numPr>
        <w:rPr>
          <w:rStyle w:val="29"/>
          <w:rFonts w:hint="eastAsia" w:ascii="Times New Roman" w:hAnsi="Times New Roman" w:eastAsia="黑体"/>
          <w:b w:val="0"/>
          <w:bCs w:val="0"/>
          <w:color w:val="auto"/>
          <w:highlight w:val="none"/>
        </w:rPr>
      </w:pPr>
      <w:bookmarkStart w:id="8" w:name="_Toc15396601"/>
      <w:bookmarkStart w:id="9" w:name="_Toc15377200"/>
      <w:r>
        <w:rPr>
          <w:rFonts w:hint="eastAsia" w:ascii="Times New Roman" w:hAnsi="Times New Roman" w:eastAsia="黑体"/>
          <w:b w:val="0"/>
          <w:color w:val="auto"/>
          <w:highlight w:val="none"/>
        </w:rPr>
        <w:t>机</w:t>
      </w:r>
      <w:r>
        <w:rPr>
          <w:rStyle w:val="29"/>
          <w:rFonts w:hint="eastAsia" w:ascii="Times New Roman" w:hAnsi="Times New Roman" w:eastAsia="黑体"/>
          <w:b w:val="0"/>
          <w:bCs w:val="0"/>
          <w:color w:val="auto"/>
          <w:highlight w:val="none"/>
        </w:rPr>
        <w:t>构设置</w:t>
      </w:r>
      <w:bookmarkEnd w:id="8"/>
      <w:bookmarkEnd w:id="9"/>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textAlignment w:val="auto"/>
        <w:rPr>
          <w:rFonts w:hint="eastAsia" w:ascii="仿宋" w:hAnsi="仿宋" w:eastAsia="仿宋" w:cs="Times New Roman"/>
          <w:color w:val="auto"/>
          <w:sz w:val="32"/>
          <w:szCs w:val="32"/>
          <w:highlight w:val="none"/>
        </w:rPr>
      </w:pPr>
      <w:r>
        <w:rPr>
          <w:rFonts w:hint="eastAsia" w:ascii="Times New Roman" w:hAnsi="Times New Roman" w:eastAsia="仿宋_GB2312" w:cs="Times New Roman"/>
          <w:b/>
          <w:bCs/>
          <w:i w:val="0"/>
          <w:caps w:val="0"/>
          <w:smallCaps w:val="0"/>
          <w:color w:val="000000"/>
          <w:spacing w:val="0"/>
          <w:kern w:val="0"/>
          <w:sz w:val="32"/>
          <w:szCs w:val="32"/>
          <w:shd w:val="clear" w:color="auto" w:fill="FFFFFF"/>
          <w:lang w:val="en-US" w:eastAsia="zh-CN"/>
        </w:rPr>
        <w:t>松潘县公证处</w:t>
      </w: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w:t>
      </w:r>
      <w:r>
        <w:rPr>
          <w:rFonts w:hint="eastAsia" w:ascii="仿宋" w:hAnsi="仿宋" w:eastAsia="仿宋" w:cs="Times New Roman"/>
          <w:color w:val="auto"/>
          <w:sz w:val="32"/>
          <w:szCs w:val="32"/>
          <w:highlight w:val="none"/>
          <w:lang w:val="en-US" w:eastAsia="zh-CN"/>
        </w:rPr>
        <w:t>根据《中华人民共和国公证法》第六条规定，公证机构是依法设立，不以营利为目的，依法独立行使公证职能，承担民事责任的证明机构。公证机构根据当事人的申请，依法证明法律行为、具有法律意义的文书和事实的真实性、合法性，以保证公民身份上、财产上的权利和合法利益。</w:t>
      </w:r>
    </w:p>
    <w:p>
      <w:pPr>
        <w:numPr>
          <w:ilvl w:val="0"/>
          <w:numId w:val="0"/>
        </w:numPr>
      </w:pPr>
    </w:p>
    <w:p>
      <w:pPr>
        <w:pStyle w:val="4"/>
        <w:jc w:val="center"/>
        <w:rPr>
          <w:rFonts w:hint="eastAsia" w:ascii="Times New Roman" w:hAnsi="Times New Roman" w:eastAsia="方正小标宋简体" w:cs="方正小标宋简体"/>
          <w:b w:val="0"/>
          <w:color w:val="auto"/>
          <w:highlight w:val="none"/>
        </w:rPr>
      </w:pPr>
      <w:bookmarkStart w:id="10" w:name="_Toc15396602"/>
      <w:bookmarkStart w:id="11"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0"/>
      <w:bookmarkEnd w:id="11"/>
    </w:p>
    <w:p>
      <w:pPr>
        <w:rPr>
          <w:rFonts w:ascii="Times New Roman" w:hAnsi="Times New Roman"/>
          <w:color w:val="auto"/>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2" w:name="_Toc15396603"/>
      <w:bookmarkStart w:id="1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2"/>
      <w:bookmarkEnd w:id="13"/>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19.07</w:t>
      </w:r>
      <w:r>
        <w:rPr>
          <w:rFonts w:hint="eastAsia" w:ascii="Times New Roman" w:hAnsi="Times New Roman" w:eastAsia="仿宋_GB2312" w:cs="仿宋_GB2312"/>
          <w:color w:val="auto"/>
          <w:sz w:val="32"/>
          <w:szCs w:val="32"/>
          <w:highlight w:val="none"/>
        </w:rPr>
        <w:t>万元。</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相比，收</w:t>
      </w:r>
      <w:r>
        <w:rPr>
          <w:rFonts w:hint="eastAsia" w:ascii="仿宋" w:hAnsi="仿宋" w:eastAsia="仿宋"/>
          <w:color w:val="auto"/>
          <w:sz w:val="32"/>
          <w:szCs w:val="32"/>
          <w:highlight w:val="none"/>
          <w:lang w:val="en-US" w:eastAsia="zh-CN"/>
        </w:rPr>
        <w:t>入增加0.67</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增加3.64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本年度人员经费增加导致；支出增加0.67</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增加3.64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本年度人员经费增加导致。</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96604"/>
      <w:bookmarkStart w:id="15" w:name="_Toc15377206"/>
      <w:r>
        <w:rPr>
          <w:rFonts w:hint="eastAsia" w:ascii="Times New Roman" w:hAnsi="Times New Roman" w:eastAsia="黑体"/>
          <w:color w:val="auto"/>
          <w:sz w:val="32"/>
          <w:szCs w:val="32"/>
          <w:highlight w:val="none"/>
          <w:lang w:eastAsia="zh-CN"/>
        </w:rPr>
        <w:t>二、收入决算情况说明</w:t>
      </w:r>
      <w:bookmarkEnd w:id="14"/>
      <w:bookmarkEnd w:id="15"/>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19.07万元，其中：一般公共预算财政拨款收入19.07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6" w:name="_Toc15396605"/>
      <w:bookmarkStart w:id="17"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6"/>
      <w:bookmarkEnd w:id="17"/>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19.07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19.07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pPr>
        <w:spacing w:line="600" w:lineRule="exact"/>
        <w:ind w:firstLine="640" w:firstLineChars="200"/>
        <w:outlineLvl w:val="1"/>
        <w:rPr>
          <w:rStyle w:val="29"/>
          <w:rFonts w:ascii="Times New Roman" w:hAnsi="Times New Roman" w:eastAsia="黑体"/>
          <w:b w:val="0"/>
          <w:color w:val="auto"/>
          <w:highlight w:val="none"/>
        </w:rPr>
      </w:pPr>
      <w:bookmarkStart w:id="18" w:name="_Toc15396606"/>
      <w:bookmarkStart w:id="19"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18"/>
      <w:bookmarkEnd w:id="19"/>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19.07</w:t>
      </w:r>
      <w:r>
        <w:rPr>
          <w:rFonts w:hint="eastAsia" w:ascii="Times New Roman" w:hAnsi="Times New Roman" w:eastAsia="仿宋_GB2312" w:cs="仿宋_GB2312"/>
          <w:color w:val="auto"/>
          <w:kern w:val="2"/>
          <w:sz w:val="32"/>
          <w:szCs w:val="32"/>
          <w:highlight w:val="none"/>
          <w:lang w:val="en-US" w:eastAsia="zh-CN" w:bidi="ar-SA"/>
        </w:rPr>
        <w:t>万元。</w:t>
      </w:r>
      <w:bookmarkStart w:id="20" w:name="_Toc15396607"/>
      <w:bookmarkStart w:id="21" w:name="_Toc15377209"/>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w:t>
      </w:r>
      <w:r>
        <w:rPr>
          <w:rFonts w:hint="eastAsia" w:ascii="仿宋" w:hAnsi="仿宋" w:eastAsia="仿宋"/>
          <w:color w:val="auto"/>
          <w:sz w:val="32"/>
          <w:szCs w:val="32"/>
          <w:highlight w:val="none"/>
          <w:lang w:eastAsia="zh-CN"/>
        </w:rPr>
        <w:t>财</w:t>
      </w:r>
      <w:r>
        <w:rPr>
          <w:rFonts w:hint="eastAsia" w:ascii="仿宋" w:hAnsi="仿宋" w:eastAsia="仿宋"/>
          <w:color w:val="auto"/>
          <w:sz w:val="32"/>
          <w:szCs w:val="32"/>
          <w:highlight w:val="none"/>
        </w:rPr>
        <w:t>政拨款收</w:t>
      </w:r>
      <w:r>
        <w:rPr>
          <w:rFonts w:hint="eastAsia" w:ascii="仿宋" w:hAnsi="仿宋" w:eastAsia="仿宋"/>
          <w:color w:val="auto"/>
          <w:sz w:val="32"/>
          <w:szCs w:val="32"/>
          <w:highlight w:val="none"/>
          <w:lang w:val="en-US" w:eastAsia="zh-CN"/>
        </w:rPr>
        <w:t>入增加0.67</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增加3.64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本年度人员经费增加导致；财</w:t>
      </w:r>
      <w:r>
        <w:rPr>
          <w:rFonts w:hint="eastAsia" w:ascii="仿宋" w:hAnsi="仿宋" w:eastAsia="仿宋"/>
          <w:color w:val="auto"/>
          <w:sz w:val="32"/>
          <w:szCs w:val="32"/>
          <w:highlight w:val="none"/>
        </w:rPr>
        <w:t>政拨款</w:t>
      </w:r>
      <w:r>
        <w:rPr>
          <w:rFonts w:hint="eastAsia" w:ascii="仿宋" w:hAnsi="仿宋" w:eastAsia="仿宋"/>
          <w:color w:val="auto"/>
          <w:sz w:val="32"/>
          <w:szCs w:val="32"/>
          <w:highlight w:val="none"/>
          <w:lang w:val="en-US" w:eastAsia="zh-CN"/>
        </w:rPr>
        <w:t>支出增加0.67</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增加3.64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本年度人员经费增加导致。</w:t>
      </w:r>
    </w:p>
    <w:p>
      <w:pPr>
        <w:spacing w:line="600" w:lineRule="exact"/>
        <w:ind w:firstLine="640" w:firstLineChars="200"/>
        <w:outlineLvl w:val="1"/>
        <w:rPr>
          <w:rStyle w:val="29"/>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0"/>
      <w:bookmarkEnd w:id="21"/>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19.07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w:t>
      </w:r>
      <w:r>
        <w:rPr>
          <w:rFonts w:hint="eastAsia" w:ascii="仿宋" w:hAnsi="仿宋" w:eastAsia="仿宋"/>
          <w:color w:val="auto"/>
          <w:sz w:val="32"/>
          <w:szCs w:val="32"/>
          <w:highlight w:val="none"/>
          <w:lang w:val="en-US" w:eastAsia="zh-CN"/>
        </w:rPr>
        <w:t>增加0.67</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增加3.64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本年度人员经费增加导致。</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19.07</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仿宋" w:hAnsi="仿宋" w:eastAsia="仿宋"/>
          <w:b/>
          <w:color w:val="auto"/>
          <w:sz w:val="32"/>
          <w:szCs w:val="32"/>
          <w:highlight w:val="none"/>
          <w:lang w:val="en-US" w:eastAsia="zh-CN"/>
        </w:rPr>
        <w:t>公共安全支出</w:t>
      </w:r>
      <w:r>
        <w:rPr>
          <w:rFonts w:hint="eastAsia" w:ascii="仿宋" w:hAnsi="仿宋" w:eastAsia="仿宋"/>
          <w:color w:val="auto"/>
          <w:sz w:val="32"/>
          <w:szCs w:val="32"/>
          <w:highlight w:val="none"/>
          <w:lang w:val="en-US" w:eastAsia="zh-CN"/>
        </w:rPr>
        <w:t>13.75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72.10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2.69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14.1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1.15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1.47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8460"/>
      <w:bookmarkStart w:id="26" w:name="_Toc15377213"/>
      <w:bookmarkStart w:id="27"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19.07</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pPr>
        <w:numPr>
          <w:ilvl w:val="0"/>
          <w:numId w:val="2"/>
        </w:numPr>
        <w:tabs>
          <w:tab w:val="left" w:pos="312"/>
        </w:tabs>
        <w:spacing w:line="600" w:lineRule="exact"/>
        <w:ind w:firstLine="643" w:firstLineChars="200"/>
        <w:rPr>
          <w:rFonts w:ascii="仿宋" w:hAnsi="仿宋" w:eastAsia="仿宋"/>
          <w:b/>
          <w:color w:val="auto"/>
          <w:sz w:val="32"/>
          <w:szCs w:val="32"/>
          <w:highlight w:val="none"/>
        </w:rPr>
      </w:pPr>
      <w:bookmarkStart w:id="28" w:name="_Toc15377214"/>
      <w:bookmarkStart w:id="29" w:name="_Toc15396608"/>
      <w:r>
        <w:rPr>
          <w:rStyle w:val="16"/>
          <w:rFonts w:hint="eastAsia" w:ascii="仿宋" w:hAnsi="仿宋" w:eastAsia="仿宋"/>
          <w:b/>
          <w:bCs/>
          <w:color w:val="auto"/>
          <w:sz w:val="32"/>
          <w:szCs w:val="32"/>
          <w:highlight w:val="none"/>
          <w:lang w:val="en-US" w:eastAsia="zh-CN"/>
        </w:rPr>
        <w:t>公共安</w:t>
      </w:r>
      <w:r>
        <w:rPr>
          <w:rStyle w:val="16"/>
          <w:rFonts w:hint="eastAsia" w:ascii="仿宋" w:hAnsi="仿宋" w:eastAsia="仿宋"/>
          <w:bCs/>
          <w:color w:val="auto"/>
          <w:sz w:val="32"/>
          <w:szCs w:val="32"/>
          <w:highlight w:val="none"/>
          <w:lang w:val="en-US" w:eastAsia="zh-CN"/>
        </w:rPr>
        <w:t>全</w:t>
      </w:r>
      <w:r>
        <w:rPr>
          <w:rStyle w:val="16"/>
          <w:rFonts w:hint="eastAsia" w:ascii="仿宋" w:hAnsi="仿宋" w:eastAsia="仿宋"/>
          <w:bCs/>
          <w:color w:val="auto"/>
          <w:sz w:val="32"/>
          <w:szCs w:val="32"/>
          <w:highlight w:val="none"/>
        </w:rPr>
        <w:t>支出</w:t>
      </w:r>
      <w:r>
        <w:rPr>
          <w:rStyle w:val="16"/>
          <w:rFonts w:hint="eastAsia" w:ascii="仿宋" w:hAnsi="仿宋" w:eastAsia="仿宋"/>
          <w:bCs/>
          <w:color w:val="auto"/>
          <w:sz w:val="32"/>
          <w:szCs w:val="32"/>
          <w:highlight w:val="none"/>
          <w:lang w:eastAsia="zh-CN"/>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13.75</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w:t>
      </w:r>
      <w:r>
        <w:rPr>
          <w:rStyle w:val="16"/>
          <w:rFonts w:hint="eastAsia" w:ascii="仿宋" w:hAnsi="仿宋" w:eastAsia="仿宋"/>
          <w:b w:val="0"/>
          <w:bCs/>
          <w:color w:val="auto"/>
          <w:sz w:val="32"/>
          <w:szCs w:val="32"/>
          <w:highlight w:val="none"/>
          <w:lang w:val="en-US" w:eastAsia="zh-CN"/>
        </w:rPr>
        <w:t>其中2040650－事业运行支出13.53万元；</w:t>
      </w:r>
    </w:p>
    <w:p>
      <w:pPr>
        <w:numPr>
          <w:ilvl w:val="0"/>
          <w:numId w:val="0"/>
        </w:numPr>
        <w:tabs>
          <w:tab w:val="clear" w:pos="312"/>
        </w:tabs>
        <w:spacing w:line="600" w:lineRule="exact"/>
        <w:ind w:firstLine="643" w:firstLineChars="200"/>
        <w:rPr>
          <w:rFonts w:hint="default" w:ascii="仿宋" w:hAnsi="仿宋" w:eastAsia="仿宋"/>
          <w:b/>
          <w:color w:val="auto"/>
          <w:sz w:val="32"/>
          <w:szCs w:val="32"/>
          <w:highlight w:val="none"/>
          <w:lang w:val="en-US" w:eastAsia="zh-CN"/>
        </w:rPr>
      </w:pPr>
      <w:r>
        <w:rPr>
          <w:rStyle w:val="16"/>
          <w:rFonts w:hint="eastAsia" w:ascii="仿宋" w:hAnsi="仿宋" w:eastAsia="仿宋"/>
          <w:bCs/>
          <w:color w:val="auto"/>
          <w:sz w:val="32"/>
          <w:szCs w:val="32"/>
          <w:highlight w:val="none"/>
          <w:lang w:val="en-US" w:eastAsia="zh-CN"/>
        </w:rPr>
        <w:t>2</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社会保障和就业</w:t>
      </w:r>
      <w:r>
        <w:rPr>
          <w:rStyle w:val="16"/>
          <w:rFonts w:hint="eastAsia" w:ascii="仿宋" w:hAnsi="仿宋" w:eastAsia="仿宋"/>
          <w:bCs/>
          <w:color w:val="auto"/>
          <w:sz w:val="32"/>
          <w:szCs w:val="32"/>
          <w:highlight w:val="none"/>
          <w:lang w:val="en-US" w:eastAsia="zh-CN"/>
        </w:rPr>
        <w:t>支出：</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2.69</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w:t>
      </w:r>
      <w:r>
        <w:rPr>
          <w:rStyle w:val="16"/>
          <w:rFonts w:hint="eastAsia" w:ascii="仿宋" w:hAnsi="仿宋" w:eastAsia="仿宋"/>
          <w:b w:val="0"/>
          <w:bCs/>
          <w:color w:val="auto"/>
          <w:sz w:val="32"/>
          <w:szCs w:val="32"/>
          <w:highlight w:val="none"/>
          <w:lang w:val="en-US" w:eastAsia="zh-CN"/>
        </w:rPr>
        <w:t>其中2080505－机关事业单位基本养老保险缴费支出1.79万元；2080506－机关事业单位职业年金缴费支出0.9万元。</w:t>
      </w:r>
    </w:p>
    <w:p>
      <w:pPr>
        <w:spacing w:line="600" w:lineRule="exact"/>
        <w:ind w:firstLine="643" w:firstLineChars="200"/>
        <w:rPr>
          <w:rStyle w:val="16"/>
          <w:rFonts w:hint="default" w:ascii="仿宋" w:hAnsi="仿宋" w:eastAsia="仿宋"/>
          <w:b w:val="0"/>
          <w:bCs/>
          <w:color w:val="auto"/>
          <w:sz w:val="32"/>
          <w:szCs w:val="32"/>
          <w:highlight w:val="none"/>
          <w:lang w:val="en-US" w:eastAsia="zh-CN"/>
        </w:rPr>
      </w:pPr>
      <w:r>
        <w:rPr>
          <w:rStyle w:val="16"/>
          <w:rFonts w:hint="eastAsia" w:ascii="仿宋" w:hAnsi="仿宋" w:eastAsia="仿宋"/>
          <w:bCs/>
          <w:color w:val="auto"/>
          <w:sz w:val="32"/>
          <w:szCs w:val="32"/>
          <w:highlight w:val="none"/>
          <w:lang w:val="en-US" w:eastAsia="zh-CN"/>
        </w:rPr>
        <w:t>3</w:t>
      </w:r>
      <w:r>
        <w:rPr>
          <w:rStyle w:val="16"/>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6"/>
          <w:rFonts w:hint="eastAsia" w:ascii="仿宋" w:hAnsi="仿宋" w:eastAsia="仿宋"/>
          <w:bCs/>
          <w:color w:val="auto"/>
          <w:sz w:val="32"/>
          <w:szCs w:val="32"/>
          <w:highlight w:val="none"/>
          <w:lang w:val="en-US" w:eastAsia="zh-CN"/>
        </w:rPr>
        <w:t>支出：</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1.15</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w:t>
      </w:r>
      <w:r>
        <w:rPr>
          <w:rStyle w:val="16"/>
          <w:rFonts w:hint="eastAsia" w:ascii="仿宋" w:hAnsi="仿宋" w:eastAsia="仿宋"/>
          <w:b w:val="0"/>
          <w:bCs/>
          <w:color w:val="auto"/>
          <w:sz w:val="32"/>
          <w:szCs w:val="32"/>
          <w:highlight w:val="none"/>
          <w:lang w:val="en-US" w:eastAsia="zh-CN"/>
        </w:rPr>
        <w:t>其中2101102－事业单位医疗0.93万元；2101199－其他行政事业单位医疗支出0.22万元。</w:t>
      </w:r>
    </w:p>
    <w:p>
      <w:pPr>
        <w:spacing w:line="600" w:lineRule="exact"/>
        <w:ind w:firstLine="643" w:firstLineChars="200"/>
        <w:rPr>
          <w:rFonts w:ascii="仿宋" w:hAnsi="仿宋" w:eastAsia="仿宋"/>
          <w:b/>
          <w:color w:val="auto"/>
          <w:sz w:val="32"/>
          <w:szCs w:val="32"/>
          <w:highlight w:val="none"/>
        </w:rPr>
      </w:pPr>
      <w:r>
        <w:rPr>
          <w:rStyle w:val="16"/>
          <w:rFonts w:hint="eastAsia" w:ascii="仿宋" w:hAnsi="仿宋" w:eastAsia="仿宋"/>
          <w:bCs/>
          <w:color w:val="auto"/>
          <w:sz w:val="32"/>
          <w:szCs w:val="32"/>
          <w:highlight w:val="none"/>
          <w:lang w:val="en-US" w:eastAsia="zh-CN"/>
        </w:rPr>
        <w:t>4</w:t>
      </w:r>
      <w:r>
        <w:rPr>
          <w:rStyle w:val="16"/>
          <w:rFonts w:ascii="仿宋" w:hAnsi="仿宋" w:eastAsia="仿宋"/>
          <w:bCs/>
          <w:color w:val="auto"/>
          <w:sz w:val="32"/>
          <w:szCs w:val="32"/>
          <w:highlight w:val="none"/>
        </w:rPr>
        <w:t>.</w:t>
      </w:r>
      <w:r>
        <w:rPr>
          <w:rFonts w:hint="eastAsia" w:ascii="仿宋" w:hAnsi="仿宋" w:eastAsia="仿宋"/>
          <w:b/>
          <w:bCs/>
          <w:color w:val="auto"/>
          <w:sz w:val="32"/>
          <w:szCs w:val="32"/>
          <w:highlight w:val="none"/>
          <w:lang w:val="en-US" w:eastAsia="zh-CN"/>
        </w:rPr>
        <w:t>住房保障</w:t>
      </w:r>
      <w:r>
        <w:rPr>
          <w:rStyle w:val="16"/>
          <w:rFonts w:hint="eastAsia" w:ascii="仿宋" w:hAnsi="仿宋" w:eastAsia="仿宋"/>
          <w:bCs/>
          <w:color w:val="auto"/>
          <w:sz w:val="32"/>
          <w:szCs w:val="32"/>
          <w:highlight w:val="none"/>
          <w:lang w:val="en-US" w:eastAsia="zh-CN"/>
        </w:rPr>
        <w:t>支出：</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1.47</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val="en-US" w:eastAsia="zh-CN"/>
        </w:rPr>
        <w:t>其中2210201－住房公积金1.47万元。</w:t>
      </w:r>
    </w:p>
    <w:p>
      <w:pPr>
        <w:tabs>
          <w:tab w:val="right" w:pos="8306"/>
        </w:tabs>
        <w:spacing w:line="600" w:lineRule="exact"/>
        <w:ind w:firstLine="640"/>
        <w:outlineLvl w:val="1"/>
        <w:rPr>
          <w:rStyle w:val="29"/>
          <w:rFonts w:ascii="Times New Roman" w:hAnsi="Times New Roman"/>
          <w:color w:val="auto"/>
          <w:highlight w:val="none"/>
        </w:rPr>
      </w:pPr>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28"/>
      <w:bookmarkEnd w:id="29"/>
      <w:r>
        <w:rPr>
          <w:rStyle w:val="29"/>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19.07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18.67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0.4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9"/>
          <w:rFonts w:ascii="Times New Roman" w:hAnsi="Times New Roman" w:eastAsia="黑体"/>
          <w:b w:val="0"/>
          <w:color w:val="auto"/>
          <w:highlight w:val="none"/>
        </w:rPr>
      </w:pPr>
      <w:bookmarkStart w:id="30" w:name="_Toc15396609"/>
      <w:bookmarkStart w:id="31"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0"/>
      <w:bookmarkEnd w:id="31"/>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2024年度“三公”经费财政拨款支出决算为0万元。</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pPr>
        <w:pStyle w:val="35"/>
        <w:keepNext w:val="0"/>
        <w:keepLines w:val="0"/>
        <w:widowControl/>
        <w:suppressLineNumbers w:val="0"/>
        <w:spacing w:before="0" w:beforeAutospacing="0"/>
        <w:ind w:left="0" w:firstLine="640" w:firstLineChars="200"/>
        <w:jc w:val="left"/>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度</w:t>
      </w:r>
      <w:r>
        <w:rPr>
          <w:rFonts w:hint="eastAsia" w:ascii="仿宋" w:hAnsi="仿宋" w:eastAsia="仿宋" w:cs="Times New Roman"/>
          <w:color w:val="auto"/>
          <w:kern w:val="2"/>
          <w:sz w:val="32"/>
          <w:szCs w:val="32"/>
          <w:highlight w:val="none"/>
          <w:lang w:val="en-US" w:eastAsia="zh-CN" w:bidi="ar-SA"/>
        </w:rPr>
        <w:t>“三公”经费财政拨款支出决算为0万元。</w:t>
      </w:r>
    </w:p>
    <w:p>
      <w:pPr>
        <w:spacing w:line="600" w:lineRule="exact"/>
        <w:ind w:firstLine="640"/>
        <w:outlineLvl w:val="1"/>
        <w:rPr>
          <w:rStyle w:val="29"/>
          <w:rFonts w:ascii="Times New Roman" w:hAnsi="Times New Roman" w:eastAsia="黑体"/>
          <w:color w:val="auto"/>
          <w:highlight w:val="none"/>
        </w:rPr>
      </w:pPr>
      <w:bookmarkStart w:id="34" w:name="_Toc15396610"/>
      <w:bookmarkStart w:id="35" w:name="_Toc15377218"/>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4"/>
      <w:bookmarkEnd w:id="3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pPr>
        <w:numPr>
          <w:ilvl w:val="0"/>
          <w:numId w:val="0"/>
        </w:numPr>
        <w:tabs>
          <w:tab w:val="clear" w:pos="312"/>
        </w:tabs>
        <w:spacing w:line="600" w:lineRule="exact"/>
        <w:ind w:left="630" w:leftChars="0"/>
        <w:outlineLvl w:val="1"/>
        <w:rPr>
          <w:rStyle w:val="29"/>
          <w:rFonts w:ascii="Times New Roman" w:hAnsi="Times New Roman" w:eastAsia="黑体"/>
          <w:b w:val="0"/>
          <w:color w:val="auto"/>
          <w:highlight w:val="none"/>
        </w:rPr>
      </w:pPr>
      <w:bookmarkStart w:id="36" w:name="_Toc15396611"/>
      <w:bookmarkStart w:id="37"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6"/>
      <w:bookmarkEnd w:id="3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pPr>
        <w:numPr>
          <w:ilvl w:val="0"/>
          <w:numId w:val="3"/>
        </w:numPr>
        <w:spacing w:line="600" w:lineRule="exact"/>
        <w:ind w:left="630" w:leftChars="0"/>
        <w:outlineLvl w:val="1"/>
        <w:rPr>
          <w:rStyle w:val="29"/>
          <w:rFonts w:hint="eastAsia" w:ascii="Times New Roman" w:hAnsi="Times New Roman" w:eastAsia="黑体"/>
          <w:b w:val="0"/>
          <w:color w:val="auto"/>
          <w:highlight w:val="none"/>
        </w:rPr>
      </w:pPr>
      <w:bookmarkStart w:id="38" w:name="_Toc15396612"/>
      <w:bookmarkStart w:id="39" w:name="_Toc15377221"/>
      <w:r>
        <w:rPr>
          <w:rStyle w:val="29"/>
          <w:rFonts w:hint="eastAsia" w:ascii="Times New Roman" w:hAnsi="Times New Roman" w:eastAsia="黑体"/>
          <w:b w:val="0"/>
          <w:color w:val="auto"/>
          <w:highlight w:val="none"/>
        </w:rPr>
        <w:t>其他重要事项的情况说明</w:t>
      </w:r>
      <w:bookmarkEnd w:id="38"/>
      <w:bookmarkEnd w:id="39"/>
    </w:p>
    <w:p>
      <w:pPr>
        <w:pStyle w:val="2"/>
        <w:numPr>
          <w:ilvl w:val="0"/>
          <w:numId w:val="0"/>
        </w:numPr>
        <w:tabs>
          <w:tab w:val="clear" w:pos="312"/>
        </w:tabs>
        <w:ind w:leftChars="4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无</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pPr>
        <w:pStyle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无</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   无</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   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tabs>
          <w:tab w:val="clear" w:pos="312"/>
        </w:tabs>
        <w:spacing w:line="600" w:lineRule="exact"/>
        <w:jc w:val="center"/>
        <w:outlineLvl w:val="0"/>
        <w:rPr>
          <w:rFonts w:hint="eastAsia" w:ascii="Times New Roman" w:hAnsi="Times New Roman" w:eastAsia="黑体"/>
          <w:color w:val="auto"/>
          <w:sz w:val="44"/>
          <w:szCs w:val="44"/>
          <w:highlight w:val="none"/>
        </w:rPr>
      </w:pPr>
      <w:bookmarkStart w:id="43" w:name="_Toc15377225"/>
      <w:bookmarkStart w:id="44" w:name="_Toc15396613"/>
    </w:p>
    <w:p>
      <w:pPr>
        <w:numPr>
          <w:ilvl w:val="0"/>
          <w:numId w:val="0"/>
        </w:numPr>
        <w:tabs>
          <w:tab w:val="clear" w:pos="312"/>
        </w:tabs>
        <w:spacing w:line="600" w:lineRule="exact"/>
        <w:jc w:val="center"/>
        <w:outlineLvl w:val="0"/>
        <w:rPr>
          <w:rFonts w:hint="eastAsia" w:ascii="Times New Roman" w:hAnsi="Times New Roman" w:eastAsia="黑体"/>
          <w:color w:val="auto"/>
          <w:sz w:val="44"/>
          <w:szCs w:val="44"/>
          <w:highlight w:val="none"/>
        </w:rPr>
      </w:pPr>
    </w:p>
    <w:p>
      <w:pPr>
        <w:numPr>
          <w:ilvl w:val="0"/>
          <w:numId w:val="0"/>
        </w:numPr>
        <w:tabs>
          <w:tab w:val="clear" w:pos="312"/>
        </w:tabs>
        <w:spacing w:line="600" w:lineRule="exact"/>
        <w:jc w:val="center"/>
        <w:outlineLvl w:val="0"/>
        <w:rPr>
          <w:rFonts w:hint="eastAsia" w:ascii="Times New Roman" w:hAnsi="Times New Roman" w:eastAsia="黑体"/>
          <w:color w:val="auto"/>
          <w:sz w:val="44"/>
          <w:szCs w:val="44"/>
          <w:highlight w:val="none"/>
        </w:rPr>
      </w:pPr>
    </w:p>
    <w:p>
      <w:pPr>
        <w:numPr>
          <w:ilvl w:val="0"/>
          <w:numId w:val="0"/>
        </w:numPr>
        <w:tabs>
          <w:tab w:val="clear" w:pos="312"/>
        </w:tabs>
        <w:spacing w:line="600" w:lineRule="exact"/>
        <w:jc w:val="center"/>
        <w:outlineLvl w:val="0"/>
        <w:rPr>
          <w:rFonts w:hint="eastAsia" w:ascii="Times New Roman" w:hAnsi="Times New Roman" w:eastAsia="黑体"/>
          <w:color w:val="auto"/>
          <w:sz w:val="44"/>
          <w:szCs w:val="44"/>
          <w:highlight w:val="none"/>
        </w:rPr>
      </w:pPr>
    </w:p>
    <w:p>
      <w:pPr>
        <w:numPr>
          <w:ilvl w:val="0"/>
          <w:numId w:val="0"/>
        </w:numPr>
        <w:tabs>
          <w:tab w:val="clear" w:pos="312"/>
        </w:tabs>
        <w:spacing w:line="600" w:lineRule="exact"/>
        <w:jc w:val="center"/>
        <w:outlineLvl w:val="0"/>
        <w:rPr>
          <w:rFonts w:hint="eastAsia" w:ascii="Times New Roman" w:hAnsi="Times New Roman" w:eastAsia="黑体"/>
          <w:color w:val="auto"/>
          <w:sz w:val="44"/>
          <w:szCs w:val="44"/>
          <w:highlight w:val="none"/>
        </w:rPr>
      </w:pPr>
    </w:p>
    <w:p>
      <w:pPr>
        <w:numPr>
          <w:ilvl w:val="0"/>
          <w:numId w:val="0"/>
        </w:numPr>
        <w:tabs>
          <w:tab w:val="clear" w:pos="312"/>
        </w:tabs>
        <w:spacing w:line="600" w:lineRule="exact"/>
        <w:jc w:val="center"/>
        <w:outlineLvl w:val="0"/>
        <w:rPr>
          <w:rFonts w:hint="eastAsia" w:ascii="Times New Roman" w:hAnsi="Times New Roman" w:eastAsia="黑体"/>
          <w:color w:val="auto"/>
          <w:sz w:val="44"/>
          <w:szCs w:val="44"/>
          <w:highlight w:val="none"/>
        </w:rPr>
      </w:pPr>
    </w:p>
    <w:p>
      <w:pPr>
        <w:numPr>
          <w:ilvl w:val="0"/>
          <w:numId w:val="0"/>
        </w:numPr>
        <w:tabs>
          <w:tab w:val="clear" w:pos="312"/>
        </w:tabs>
        <w:spacing w:line="600" w:lineRule="exact"/>
        <w:jc w:val="center"/>
        <w:outlineLvl w:val="0"/>
        <w:rPr>
          <w:rFonts w:hint="eastAsia" w:ascii="Times New Roman" w:hAnsi="Times New Roman" w:eastAsia="黑体"/>
          <w:color w:val="auto"/>
          <w:sz w:val="44"/>
          <w:szCs w:val="44"/>
          <w:highlight w:val="none"/>
        </w:rPr>
      </w:pPr>
    </w:p>
    <w:p>
      <w:pPr>
        <w:numPr>
          <w:ilvl w:val="0"/>
          <w:numId w:val="0"/>
        </w:numPr>
        <w:tabs>
          <w:tab w:val="clear" w:pos="312"/>
        </w:tabs>
        <w:spacing w:line="600" w:lineRule="exact"/>
        <w:jc w:val="center"/>
        <w:outlineLvl w:val="0"/>
        <w:rPr>
          <w:rFonts w:hint="eastAsia" w:ascii="Times New Roman" w:hAnsi="Times New Roman" w:eastAsia="黑体"/>
          <w:color w:val="auto"/>
          <w:sz w:val="44"/>
          <w:szCs w:val="44"/>
          <w:highlight w:val="none"/>
        </w:rPr>
      </w:pPr>
    </w:p>
    <w:p>
      <w:pPr>
        <w:numPr>
          <w:ilvl w:val="0"/>
          <w:numId w:val="0"/>
        </w:numPr>
        <w:tabs>
          <w:tab w:val="clear" w:pos="312"/>
        </w:tabs>
        <w:spacing w:line="600" w:lineRule="exact"/>
        <w:jc w:val="center"/>
        <w:outlineLvl w:val="0"/>
        <w:rPr>
          <w:rFonts w:hint="eastAsia" w:ascii="Times New Roman" w:hAnsi="Times New Roman" w:eastAsia="黑体"/>
          <w:color w:val="auto"/>
          <w:sz w:val="44"/>
          <w:szCs w:val="44"/>
          <w:highlight w:val="none"/>
        </w:rPr>
      </w:pPr>
    </w:p>
    <w:p>
      <w:pPr>
        <w:numPr>
          <w:ilvl w:val="0"/>
          <w:numId w:val="0"/>
        </w:numPr>
        <w:tabs>
          <w:tab w:val="clear" w:pos="312"/>
        </w:tabs>
        <w:spacing w:line="600" w:lineRule="exact"/>
        <w:jc w:val="center"/>
        <w:outlineLvl w:val="0"/>
        <w:rPr>
          <w:rFonts w:hint="eastAsia" w:ascii="Times New Roman" w:hAnsi="Times New Roman" w:eastAsia="黑体"/>
          <w:color w:val="auto"/>
          <w:sz w:val="44"/>
          <w:szCs w:val="44"/>
          <w:highlight w:val="none"/>
        </w:rPr>
      </w:pPr>
    </w:p>
    <w:p>
      <w:pPr>
        <w:numPr>
          <w:ilvl w:val="0"/>
          <w:numId w:val="0"/>
        </w:numPr>
        <w:tabs>
          <w:tab w:val="clear" w:pos="312"/>
        </w:tabs>
        <w:spacing w:line="600" w:lineRule="exact"/>
        <w:jc w:val="center"/>
        <w:outlineLvl w:val="0"/>
        <w:rPr>
          <w:rFonts w:hint="eastAsia" w:ascii="Times New Roman" w:hAnsi="Times New Roman" w:eastAsia="黑体"/>
          <w:color w:val="auto"/>
          <w:sz w:val="44"/>
          <w:szCs w:val="44"/>
          <w:highlight w:val="none"/>
        </w:rPr>
      </w:pPr>
    </w:p>
    <w:p>
      <w:pPr>
        <w:numPr>
          <w:ilvl w:val="0"/>
          <w:numId w:val="0"/>
        </w:numPr>
        <w:tabs>
          <w:tab w:val="clear" w:pos="312"/>
        </w:tabs>
        <w:spacing w:line="600" w:lineRule="exact"/>
        <w:jc w:val="center"/>
        <w:outlineLvl w:val="0"/>
        <w:rPr>
          <w:rFonts w:hint="eastAsia" w:ascii="Times New Roman" w:hAnsi="Times New Roman" w:eastAsia="黑体"/>
          <w:color w:val="auto"/>
          <w:sz w:val="44"/>
          <w:szCs w:val="44"/>
          <w:highlight w:val="none"/>
        </w:rPr>
      </w:pPr>
    </w:p>
    <w:p>
      <w:pPr>
        <w:numPr>
          <w:ilvl w:val="0"/>
          <w:numId w:val="0"/>
        </w:numPr>
        <w:tabs>
          <w:tab w:val="clear" w:pos="312"/>
        </w:tabs>
        <w:spacing w:line="600" w:lineRule="exact"/>
        <w:jc w:val="center"/>
        <w:outlineLvl w:val="0"/>
        <w:rPr>
          <w:rFonts w:hint="eastAsia" w:ascii="Times New Roman" w:hAnsi="Times New Roman" w:eastAsia="黑体"/>
          <w:color w:val="auto"/>
          <w:sz w:val="44"/>
          <w:szCs w:val="44"/>
          <w:highlight w:val="none"/>
        </w:rPr>
      </w:pPr>
    </w:p>
    <w:p>
      <w:pPr>
        <w:numPr>
          <w:ilvl w:val="0"/>
          <w:numId w:val="0"/>
        </w:numPr>
        <w:tabs>
          <w:tab w:val="clear" w:pos="312"/>
        </w:tabs>
        <w:spacing w:line="600" w:lineRule="exact"/>
        <w:jc w:val="center"/>
        <w:outlineLvl w:val="0"/>
        <w:rPr>
          <w:rFonts w:hint="eastAsia" w:ascii="Times New Roman" w:hAnsi="Times New Roman" w:eastAsia="黑体"/>
          <w:color w:val="auto"/>
          <w:sz w:val="44"/>
          <w:szCs w:val="44"/>
          <w:highlight w:val="none"/>
        </w:rPr>
      </w:pPr>
    </w:p>
    <w:p>
      <w:pPr>
        <w:numPr>
          <w:ilvl w:val="0"/>
          <w:numId w:val="0"/>
        </w:numPr>
        <w:tabs>
          <w:tab w:val="clear" w:pos="312"/>
        </w:tabs>
        <w:spacing w:line="600" w:lineRule="exact"/>
        <w:jc w:val="center"/>
        <w:outlineLvl w:val="0"/>
        <w:rPr>
          <w:rFonts w:hint="eastAsia" w:ascii="Times New Roman" w:hAnsi="Times New Roman" w:eastAsia="黑体"/>
          <w:color w:val="auto"/>
          <w:sz w:val="44"/>
          <w:szCs w:val="44"/>
          <w:highlight w:val="none"/>
        </w:rPr>
      </w:pPr>
    </w:p>
    <w:p>
      <w:pPr>
        <w:numPr>
          <w:ilvl w:val="0"/>
          <w:numId w:val="0"/>
        </w:numPr>
        <w:tabs>
          <w:tab w:val="clear" w:pos="312"/>
        </w:tabs>
        <w:spacing w:line="600" w:lineRule="exact"/>
        <w:jc w:val="center"/>
        <w:outlineLvl w:val="0"/>
        <w:rPr>
          <w:rFonts w:hint="eastAsia" w:ascii="Times New Roman" w:hAnsi="Times New Roman" w:eastAsia="黑体"/>
          <w:color w:val="auto"/>
          <w:sz w:val="44"/>
          <w:szCs w:val="44"/>
          <w:highlight w:val="none"/>
        </w:rPr>
      </w:pPr>
    </w:p>
    <w:p>
      <w:pPr>
        <w:numPr>
          <w:ilvl w:val="0"/>
          <w:numId w:val="0"/>
        </w:numPr>
        <w:tabs>
          <w:tab w:val="clear" w:pos="312"/>
        </w:tabs>
        <w:spacing w:line="600" w:lineRule="exact"/>
        <w:jc w:val="center"/>
        <w:outlineLvl w:val="0"/>
        <w:rPr>
          <w:rFonts w:hint="eastAsia" w:ascii="Times New Roman" w:hAnsi="Times New Roman" w:eastAsia="黑体"/>
          <w:color w:val="auto"/>
          <w:sz w:val="44"/>
          <w:szCs w:val="44"/>
          <w:highlight w:val="none"/>
        </w:rPr>
      </w:pPr>
    </w:p>
    <w:p>
      <w:pPr>
        <w:pStyle w:val="2"/>
        <w:rPr>
          <w:rFonts w:hint="eastAsia"/>
        </w:rPr>
      </w:pPr>
    </w:p>
    <w:p>
      <w:pPr>
        <w:numPr>
          <w:ilvl w:val="0"/>
          <w:numId w:val="0"/>
        </w:numPr>
        <w:tabs>
          <w:tab w:val="clear" w:pos="312"/>
        </w:tabs>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pPr>
        <w:spacing w:line="600" w:lineRule="exact"/>
        <w:jc w:val="left"/>
        <w:rPr>
          <w:rFonts w:ascii="Times New Roman" w:hAnsi="Times New Roman"/>
          <w:b/>
          <w:color w:val="auto"/>
          <w:sz w:val="44"/>
          <w:szCs w:val="44"/>
          <w:highlight w:val="none"/>
        </w:rPr>
      </w:pPr>
    </w:p>
    <w:p>
      <w:pPr>
        <w:pStyle w:val="26"/>
        <w:spacing w:line="560" w:lineRule="exact"/>
        <w:ind w:firstLine="640" w:firstLineChars="200"/>
        <w:rPr>
          <w:rFonts w:ascii="仿宋_GB2312" w:eastAsia="仿宋_GB2312"/>
          <w:color w:val="auto"/>
          <w:sz w:val="32"/>
          <w:szCs w:val="32"/>
          <w:highlight w:val="none"/>
        </w:rPr>
      </w:pPr>
      <w:bookmarkStart w:id="45"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6"/>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6"/>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hAnsi="华文中宋" w:eastAsia="仿宋_GB2312"/>
          <w:sz w:val="32"/>
          <w:szCs w:val="32"/>
          <w:u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numPr>
          <w:ilvl w:val="0"/>
          <w:numId w:val="0"/>
        </w:numPr>
        <w:tabs>
          <w:tab w:val="clear" w:pos="312"/>
        </w:tabs>
        <w:spacing w:line="600" w:lineRule="exact"/>
        <w:ind w:firstLine="640" w:firstLineChars="200"/>
        <w:rPr>
          <w:rFonts w:hint="default" w:ascii="仿宋_GB2312" w:eastAsia="仿宋_GB2312" w:cs="Times New Roman"/>
          <w:color w:val="auto"/>
          <w:sz w:val="32"/>
          <w:szCs w:val="32"/>
          <w:highlight w:val="none"/>
          <w:lang w:val="en-US"/>
        </w:rPr>
      </w:pPr>
      <w:r>
        <w:rPr>
          <w:rFonts w:hint="eastAsia" w:ascii="仿宋_GB2312" w:eastAsia="仿宋_GB2312" w:cs="Times New Roman"/>
          <w:color w:val="auto"/>
          <w:sz w:val="32"/>
          <w:szCs w:val="32"/>
          <w:highlight w:val="none"/>
          <w:lang w:val="en-US" w:eastAsia="zh-CN"/>
        </w:rPr>
        <w:t>9</w:t>
      </w:r>
      <w:r>
        <w:rPr>
          <w:rFonts w:hint="eastAsia" w:ascii="仿宋_GB2312" w:eastAsia="仿宋_GB2312" w:cs="Times New Roman"/>
          <w:color w:val="auto"/>
          <w:sz w:val="32"/>
          <w:szCs w:val="32"/>
          <w:highlight w:val="none"/>
        </w:rPr>
        <w:t>.公共安全：指</w:t>
      </w:r>
      <w:r>
        <w:rPr>
          <w:rFonts w:hint="eastAsia" w:ascii="仿宋_GB2312" w:eastAsia="仿宋_GB2312" w:cs="Times New Roman"/>
          <w:color w:val="auto"/>
          <w:sz w:val="32"/>
          <w:szCs w:val="32"/>
          <w:highlight w:val="none"/>
          <w:lang w:val="en-US" w:eastAsia="zh-CN"/>
        </w:rPr>
        <w:t>事业运行等。</w:t>
      </w:r>
    </w:p>
    <w:p>
      <w:pPr>
        <w:ind w:firstLine="640" w:firstLineChars="200"/>
        <w:rPr>
          <w:rFonts w:hint="default" w:ascii="仿宋_GB2312"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10</w:t>
      </w:r>
      <w:r>
        <w:rPr>
          <w:rFonts w:hint="eastAsia" w:ascii="仿宋_GB2312" w:eastAsia="仿宋_GB2312" w:cs="Times New Roman"/>
          <w:color w:val="auto"/>
          <w:sz w:val="32"/>
          <w:szCs w:val="32"/>
          <w:highlight w:val="none"/>
        </w:rPr>
        <w:t>.社会保障和就业</w:t>
      </w:r>
      <w:r>
        <w:rPr>
          <w:rFonts w:hint="eastAsia" w:ascii="仿宋_GB2312" w:eastAsia="仿宋_GB2312" w:cs="Times New Roman"/>
          <w:color w:val="auto"/>
          <w:sz w:val="32"/>
          <w:szCs w:val="32"/>
          <w:highlight w:val="none"/>
          <w:lang w:eastAsia="zh-CN"/>
        </w:rPr>
        <w:t>：</w:t>
      </w:r>
      <w:r>
        <w:rPr>
          <w:rFonts w:hint="eastAsia" w:ascii="仿宋_GB2312" w:eastAsia="仿宋_GB2312" w:cs="Times New Roman"/>
          <w:color w:val="auto"/>
          <w:sz w:val="32"/>
          <w:szCs w:val="32"/>
          <w:highlight w:val="none"/>
        </w:rPr>
        <w:t>指机关事业单位</w:t>
      </w:r>
      <w:r>
        <w:rPr>
          <w:rFonts w:hint="eastAsia" w:ascii="仿宋_GB2312" w:eastAsia="仿宋_GB2312" w:cs="Times New Roman"/>
          <w:color w:val="auto"/>
          <w:sz w:val="32"/>
          <w:szCs w:val="32"/>
          <w:highlight w:val="none"/>
          <w:lang w:val="en-US" w:eastAsia="zh-CN"/>
        </w:rPr>
        <w:t>养老保险及</w:t>
      </w:r>
      <w:r>
        <w:rPr>
          <w:rFonts w:hint="eastAsia" w:ascii="仿宋_GB2312" w:eastAsia="仿宋_GB2312" w:cs="Times New Roman"/>
          <w:color w:val="auto"/>
          <w:sz w:val="32"/>
          <w:szCs w:val="32"/>
          <w:highlight w:val="none"/>
        </w:rPr>
        <w:t>职业年金。</w:t>
      </w:r>
    </w:p>
    <w:p>
      <w:pPr>
        <w:spacing w:line="600" w:lineRule="exact"/>
        <w:ind w:firstLine="640" w:firstLineChars="200"/>
        <w:rPr>
          <w:rStyle w:val="16"/>
          <w:rFonts w:hint="default" w:ascii="仿宋" w:hAnsi="仿宋" w:eastAsia="仿宋"/>
          <w:b w:val="0"/>
          <w:bCs/>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11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eastAsia="zh-CN"/>
        </w:rPr>
        <w:t>卫生健康：</w:t>
      </w:r>
      <w:r>
        <w:rPr>
          <w:rFonts w:hint="eastAsia" w:ascii="仿宋_GB2312" w:eastAsia="仿宋_GB2312" w:cs="Times New Roman"/>
          <w:color w:val="auto"/>
          <w:sz w:val="32"/>
          <w:szCs w:val="32"/>
          <w:highlight w:val="none"/>
        </w:rPr>
        <w:t>指</w:t>
      </w:r>
      <w:r>
        <w:rPr>
          <w:rStyle w:val="16"/>
          <w:rFonts w:hint="eastAsia" w:ascii="仿宋" w:hAnsi="仿宋" w:eastAsia="仿宋"/>
          <w:b w:val="0"/>
          <w:bCs/>
          <w:color w:val="auto"/>
          <w:sz w:val="32"/>
          <w:szCs w:val="32"/>
          <w:highlight w:val="none"/>
          <w:lang w:val="en-US" w:eastAsia="zh-CN"/>
        </w:rPr>
        <w:t>事业单位医疗，其他行政事业单位医疗等。</w:t>
      </w:r>
    </w:p>
    <w:p>
      <w:pPr>
        <w:ind w:firstLine="640" w:firstLineChars="200"/>
        <w:rPr>
          <w:rFonts w:hint="default" w:ascii="仿宋_GB2312"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12</w:t>
      </w:r>
      <w:r>
        <w:rPr>
          <w:rFonts w:hint="eastAsia" w:ascii="仿宋_GB2312" w:eastAsia="仿宋_GB2312" w:cs="Times New Roman"/>
          <w:color w:val="auto"/>
          <w:sz w:val="32"/>
          <w:szCs w:val="32"/>
          <w:highlight w:val="none"/>
        </w:rPr>
        <w:t>.住房保障</w:t>
      </w:r>
      <w:r>
        <w:rPr>
          <w:rFonts w:hint="eastAsia" w:ascii="仿宋_GB2312" w:eastAsia="仿宋_GB2312" w:cs="Times New Roman"/>
          <w:color w:val="auto"/>
          <w:sz w:val="32"/>
          <w:szCs w:val="32"/>
          <w:highlight w:val="none"/>
          <w:lang w:eastAsia="zh-CN"/>
        </w:rPr>
        <w:t>：</w:t>
      </w:r>
      <w:r>
        <w:rPr>
          <w:rFonts w:hint="eastAsia" w:ascii="仿宋_GB2312" w:eastAsia="仿宋_GB2312" w:cs="Times New Roman"/>
          <w:color w:val="auto"/>
          <w:sz w:val="32"/>
          <w:szCs w:val="32"/>
          <w:highlight w:val="none"/>
          <w:lang w:val="en-US" w:eastAsia="zh-CN"/>
        </w:rPr>
        <w:t>指住房公积金。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
        <w:keepNext w:val="0"/>
        <w:keepLines w:val="0"/>
        <w:pageBreakBefore w:val="0"/>
        <w:numPr>
          <w:ilvl w:val="0"/>
          <w:numId w:val="0"/>
        </w:numPr>
        <w:tabs>
          <w:tab w:val="clear" w:pos="312"/>
        </w:tabs>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黑体"/>
          <w:color w:val="auto"/>
          <w:sz w:val="44"/>
          <w:szCs w:val="44"/>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Times New Roman" w:hAnsi="Times New Roman" w:eastAsia="仿宋_GB2312" w:cs="仿宋_GB2312"/>
          <w:color w:val="auto"/>
          <w:kern w:val="2"/>
          <w:sz w:val="32"/>
          <w:szCs w:val="32"/>
          <w:highlight w:val="none"/>
          <w:lang w:val="en-US" w:eastAsia="zh-CN" w:bidi="ar-SA"/>
        </w:rPr>
        <w:br w:type="page"/>
      </w:r>
      <w:bookmarkStart w:id="46" w:name="_Toc15396614"/>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w:t>
      </w:r>
      <w:bookmarkEnd w:id="46"/>
      <w:bookmarkStart w:id="47" w:name="_Toc15396618"/>
    </w:p>
    <w:p>
      <w:pPr>
        <w:pStyle w:val="2"/>
        <w:keepNext w:val="0"/>
        <w:keepLines w:val="0"/>
        <w:pageBreakBefore w:val="0"/>
        <w:numPr>
          <w:ilvl w:val="0"/>
          <w:numId w:val="0"/>
        </w:numPr>
        <w:tabs>
          <w:tab w:val="clear" w:pos="312"/>
        </w:tabs>
        <w:kinsoku/>
        <w:wordWrap/>
        <w:overflowPunct/>
        <w:topLinePunct w:val="0"/>
        <w:autoSpaceDE/>
        <w:autoSpaceDN/>
        <w:bidi w:val="0"/>
        <w:spacing w:line="560" w:lineRule="exact"/>
        <w:ind w:firstLine="640" w:firstLineChars="200"/>
        <w:jc w:val="center"/>
        <w:textAlignment w:val="auto"/>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第四</w:t>
      </w:r>
      <w:r>
        <w:rPr>
          <w:rStyle w:val="28"/>
          <w:rFonts w:hint="eastAsia" w:ascii="Times New Roman" w:hAnsi="Times New Roman" w:eastAsia="黑体"/>
          <w:b w:val="0"/>
          <w:color w:val="auto"/>
          <w:highlight w:val="none"/>
        </w:rPr>
        <w:t>部分 附表</w:t>
      </w:r>
      <w:bookmarkEnd w:id="45"/>
      <w:bookmarkEnd w:id="47"/>
      <w:bookmarkStart w:id="48" w:name="_Toc15396619"/>
    </w:p>
    <w:p>
      <w:pPr>
        <w:pStyle w:val="14"/>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0"/>
      <w:r>
        <w:rPr>
          <w:rFonts w:hint="eastAsia" w:ascii="Times New Roman" w:hAnsi="Times New Roman" w:eastAsia="仿宋_GB2312" w:cs="仿宋_GB2312"/>
          <w:color w:val="auto"/>
          <w:sz w:val="32"/>
          <w:szCs w:val="32"/>
          <w:highlight w:val="none"/>
        </w:rPr>
        <w:t>二、收入决算表</w:t>
      </w:r>
      <w:bookmarkEnd w:id="4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1"/>
      <w:r>
        <w:rPr>
          <w:rFonts w:hint="eastAsia" w:ascii="Times New Roman" w:hAnsi="Times New Roman" w:eastAsia="仿宋_GB2312" w:cs="仿宋_GB2312"/>
          <w:color w:val="auto"/>
          <w:sz w:val="32"/>
          <w:szCs w:val="32"/>
          <w:highlight w:val="none"/>
        </w:rPr>
        <w:t>三、支出决算表</w:t>
      </w:r>
      <w:bookmarkEnd w:id="5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2"/>
      <w:r>
        <w:rPr>
          <w:rFonts w:hint="eastAsia" w:ascii="Times New Roman" w:hAnsi="Times New Roman" w:eastAsia="仿宋_GB2312" w:cs="仿宋_GB2312"/>
          <w:color w:val="auto"/>
          <w:sz w:val="32"/>
          <w:szCs w:val="32"/>
          <w:highlight w:val="none"/>
        </w:rPr>
        <w:t>四、财政拨款收入支出决算总表</w:t>
      </w:r>
      <w:bookmarkEnd w:id="51"/>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3"/>
      <w:r>
        <w:rPr>
          <w:rFonts w:hint="eastAsia" w:ascii="Times New Roman" w:hAnsi="Times New Roman" w:eastAsia="仿宋_GB2312" w:cs="仿宋_GB2312"/>
          <w:color w:val="auto"/>
          <w:sz w:val="32"/>
          <w:szCs w:val="32"/>
          <w:highlight w:val="none"/>
        </w:rPr>
        <w:t>五、财政拨款支出决算明细表</w:t>
      </w:r>
      <w:bookmarkEnd w:id="52"/>
      <w:bookmarkStart w:id="53"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3"/>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5"/>
      <w:r>
        <w:rPr>
          <w:rFonts w:hint="eastAsia" w:ascii="Times New Roman" w:hAnsi="Times New Roman" w:eastAsia="仿宋_GB2312" w:cs="仿宋_GB2312"/>
          <w:color w:val="auto"/>
          <w:sz w:val="32"/>
          <w:szCs w:val="32"/>
          <w:highlight w:val="none"/>
        </w:rPr>
        <w:t>七、一般公共预算财政拨款支出决算明细表</w:t>
      </w:r>
      <w:bookmarkEnd w:id="5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6"/>
      <w:r>
        <w:rPr>
          <w:rFonts w:hint="eastAsia" w:ascii="Times New Roman" w:hAnsi="Times New Roman" w:eastAsia="仿宋_GB2312" w:cs="仿宋_GB2312"/>
          <w:color w:val="auto"/>
          <w:sz w:val="32"/>
          <w:szCs w:val="32"/>
          <w:highlight w:val="none"/>
        </w:rPr>
        <w:t>八、一般公共预算财政拨款基本支出决算表</w:t>
      </w:r>
      <w:bookmarkEnd w:id="5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7"/>
      <w:r>
        <w:rPr>
          <w:rFonts w:hint="eastAsia" w:ascii="Times New Roman" w:hAnsi="Times New Roman" w:eastAsia="仿宋_GB2312" w:cs="仿宋_GB2312"/>
          <w:color w:val="auto"/>
          <w:sz w:val="32"/>
          <w:szCs w:val="32"/>
          <w:highlight w:val="none"/>
        </w:rPr>
        <w:t>九、一般公共预算财政拨款项目支出决算表</w:t>
      </w:r>
      <w:bookmarkEnd w:id="5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8"/>
      <w:r>
        <w:rPr>
          <w:rFonts w:hint="eastAsia" w:ascii="Times New Roman" w:hAnsi="Times New Roman" w:eastAsia="仿宋_GB2312" w:cs="仿宋_GB2312"/>
          <w:color w:val="auto"/>
          <w:sz w:val="32"/>
          <w:szCs w:val="32"/>
          <w:highlight w:val="none"/>
        </w:rPr>
        <w:t>十、</w:t>
      </w:r>
      <w:bookmarkEnd w:id="57"/>
      <w:r>
        <w:rPr>
          <w:rFonts w:hint="eastAsia" w:ascii="Times New Roman" w:hAnsi="Times New Roman" w:eastAsia="仿宋_GB2312" w:cs="仿宋_GB2312"/>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9"/>
      <w:r>
        <w:rPr>
          <w:rFonts w:hint="eastAsia" w:ascii="Times New Roman" w:hAnsi="Times New Roman" w:eastAsia="仿宋_GB2312" w:cs="仿宋_GB2312"/>
          <w:color w:val="auto"/>
          <w:sz w:val="32"/>
          <w:szCs w:val="32"/>
          <w:highlight w:val="none"/>
        </w:rPr>
        <w:t>十一、</w:t>
      </w:r>
      <w:bookmarkEnd w:id="5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30"/>
      <w:r>
        <w:rPr>
          <w:rFonts w:hint="eastAsia" w:ascii="Times New Roman" w:hAnsi="Times New Roman" w:eastAsia="仿宋_GB2312" w:cs="仿宋_GB2312"/>
          <w:color w:val="auto"/>
          <w:sz w:val="32"/>
          <w:szCs w:val="32"/>
          <w:highlight w:val="none"/>
        </w:rPr>
        <w:t>十二、</w:t>
      </w:r>
      <w:bookmarkEnd w:id="59"/>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0" w:name="_Toc15396631"/>
      <w:r>
        <w:rPr>
          <w:rFonts w:hint="eastAsia" w:ascii="Times New Roman" w:hAnsi="Times New Roman" w:eastAsia="仿宋_GB2312" w:cs="仿宋_GB2312"/>
          <w:color w:val="auto"/>
          <w:sz w:val="32"/>
          <w:szCs w:val="32"/>
          <w:highlight w:val="none"/>
        </w:rPr>
        <w:t>十三、</w:t>
      </w:r>
      <w:bookmarkEnd w:id="60"/>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10" w:type="first"/>
      <w:footerReference r:id="rId9"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roman"/>
    <w:pitch w:val="default"/>
    <w:sig w:usb0="0000028F" w:usb1="00000000" w:usb2="00000000" w:usb3="00000000" w:csb0="2000009F" w:csb1="47010000"/>
  </w:font>
  <w:font w:name="微软雅黑">
    <w:panose1 w:val="020B0503020204020204"/>
    <w:charset w:val="86"/>
    <w:family w:val="script"/>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jc w:val="cente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p>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60600105">
    <w:nsid w:val="68F0A029"/>
    <w:multiLevelType w:val="singleLevel"/>
    <w:tmpl w:val="68F0A029"/>
    <w:lvl w:ilvl="0" w:tentative="1">
      <w:start w:val="1"/>
      <w:numFmt w:val="chineseCounting"/>
      <w:suff w:val="nothing"/>
      <w:lvlText w:val="%1、"/>
      <w:lvlJc w:val="left"/>
    </w:lvl>
  </w:abstractNum>
  <w:abstractNum w:abstractNumId="3189632603">
    <w:nsid w:val="BE1DEE5B"/>
    <w:multiLevelType w:val="singleLevel"/>
    <w:tmpl w:val="BE1DEE5B"/>
    <w:lvl w:ilvl="0" w:tentative="1">
      <w:start w:val="1"/>
      <w:numFmt w:val="decimal"/>
      <w:lvlText w:val="%1."/>
      <w:lvlJc w:val="left"/>
      <w:pPr>
        <w:tabs>
          <w:tab w:val="left" w:pos="312"/>
        </w:tabs>
      </w:pPr>
    </w:lvl>
  </w:abstractNum>
  <w:abstractNum w:abstractNumId="1760601446">
    <w:nsid w:val="68F0A566"/>
    <w:multiLevelType w:val="singleLevel"/>
    <w:tmpl w:val="68F0A566"/>
    <w:lvl w:ilvl="0" w:tentative="1">
      <w:start w:val="10"/>
      <w:numFmt w:val="chineseCounting"/>
      <w:suff w:val="nothing"/>
      <w:lvlText w:val="%1、"/>
      <w:lvlJc w:val="left"/>
    </w:lvl>
  </w:abstractNum>
  <w:num w:numId="1">
    <w:abstractNumId w:val="1760600105"/>
  </w:num>
  <w:num w:numId="2">
    <w:abstractNumId w:val="3189632603"/>
  </w:num>
  <w:num w:numId="3">
    <w:abstractNumId w:val="17606014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04C"/>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6C23CB"/>
    <w:rsid w:val="25A718F0"/>
    <w:rsid w:val="25BB59F6"/>
    <w:rsid w:val="260F557C"/>
    <w:rsid w:val="26970054"/>
    <w:rsid w:val="26A84351"/>
    <w:rsid w:val="281408E2"/>
    <w:rsid w:val="29F62037"/>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2D6358"/>
    <w:rsid w:val="3AB79AF3"/>
    <w:rsid w:val="3AE834C0"/>
    <w:rsid w:val="3B7EF35A"/>
    <w:rsid w:val="3B9FDB6C"/>
    <w:rsid w:val="3BF5BC2F"/>
    <w:rsid w:val="3CEBA265"/>
    <w:rsid w:val="3D98207C"/>
    <w:rsid w:val="3DEE7CF3"/>
    <w:rsid w:val="3E740A63"/>
    <w:rsid w:val="3E78745D"/>
    <w:rsid w:val="3EE17838"/>
    <w:rsid w:val="3F55381A"/>
    <w:rsid w:val="3F7F7599"/>
    <w:rsid w:val="3FCA0CA3"/>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16D5A09"/>
    <w:rsid w:val="537E6D0A"/>
    <w:rsid w:val="53F74C96"/>
    <w:rsid w:val="55170BA8"/>
    <w:rsid w:val="553218C9"/>
    <w:rsid w:val="567E1AA5"/>
    <w:rsid w:val="56E47B74"/>
    <w:rsid w:val="57175D52"/>
    <w:rsid w:val="57BD3DD4"/>
    <w:rsid w:val="58F05470"/>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1F86A48"/>
    <w:rsid w:val="62BF3928"/>
    <w:rsid w:val="63764F28"/>
    <w:rsid w:val="63B3701E"/>
    <w:rsid w:val="647F5392"/>
    <w:rsid w:val="659F6A20"/>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0357EF"/>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0"/>
    <w:pPr>
      <w:spacing w:after="120"/>
      <w:ind w:leftChars="200"/>
    </w:pPr>
    <w:rPr>
      <w:rFonts w:ascii="仿宋_GB2312"/>
      <w:szCs w:val="32"/>
    </w:r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2"/>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5"/>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5"/>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5"/>
    <w:semiHidden/>
    <w:qFormat/>
    <w:uiPriority w:val="99"/>
    <w:rPr>
      <w:rFonts w:ascii="Times New Roman" w:hAnsi="Times New Roman"/>
      <w:szCs w:val="24"/>
    </w:rPr>
  </w:style>
  <w:style w:type="character" w:customStyle="1" w:styleId="25">
    <w:name w:val="正文文本 Char"/>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List Paragraph"/>
    <w:basedOn w:val="1"/>
    <w:qFormat/>
    <w:uiPriority w:val="34"/>
    <w:pPr>
      <w:ind w:firstLine="420" w:firstLineChars="200"/>
    </w:pPr>
  </w:style>
  <w:style w:type="character" w:customStyle="1" w:styleId="28">
    <w:name w:val="标题 1 Char"/>
    <w:basedOn w:val="15"/>
    <w:link w:val="4"/>
    <w:qFormat/>
    <w:uiPriority w:val="9"/>
    <w:rPr>
      <w:rFonts w:ascii="Times New Roman" w:hAnsi="Times New Roman"/>
      <w:b/>
      <w:bCs/>
      <w:kern w:val="44"/>
      <w:sz w:val="44"/>
      <w:szCs w:val="44"/>
    </w:rPr>
  </w:style>
  <w:style w:type="character" w:customStyle="1" w:styleId="29">
    <w:name w:val="标题 2 Char"/>
    <w:basedOn w:val="15"/>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5"/>
    <w:link w:val="9"/>
    <w:semiHidden/>
    <w:qFormat/>
    <w:uiPriority w:val="99"/>
    <w:rPr>
      <w:rFonts w:ascii="Times New Roman" w:hAnsi="Times New Roman"/>
      <w:kern w:val="2"/>
      <w:sz w:val="18"/>
      <w:szCs w:val="18"/>
    </w:rPr>
  </w:style>
  <w:style w:type="character" w:customStyle="1" w:styleId="32">
    <w:name w:val="标题 3 Char"/>
    <w:basedOn w:val="15"/>
    <w:link w:val="6"/>
    <w:qFormat/>
    <w:uiPriority w:val="9"/>
    <w:rPr>
      <w:rFonts w:ascii="Times New Roman" w:hAnsi="Times New Roman"/>
      <w:b/>
      <w:bCs/>
      <w:kern w:val="2"/>
      <w:sz w:val="32"/>
      <w:szCs w:val="32"/>
    </w:r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ScaleCrop>false</ScaleCrop>
  <LinksUpToDate>false</LinksUpToDate>
  <CharactersWithSpaces>8692</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cp:lastModifiedBy>
  <cp:lastPrinted>2025-10-16T07:51:00Z</cp:lastPrinted>
  <dcterms:modified xsi:type="dcterms:W3CDTF">2025-10-16T08:24:24Z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y fmtid="{D5CDD505-2E9C-101B-9397-08002B2CF9AE}" pid="3" name="ICV">
    <vt:lpwstr>04787F2533EB45DC91BCDE4AB213247F</vt:lpwstr>
  </property>
</Properties>
</file>