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774BB">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8441"/>
      <w:bookmarkStart w:id="3" w:name="_Toc15377193"/>
      <w:bookmarkStart w:id="4" w:name="_Toc15306267"/>
      <w:bookmarkStart w:id="5" w:name="_Toc15396597"/>
    </w:p>
    <w:p w14:paraId="49D21ECB">
      <w:pPr>
        <w:pStyle w:val="7"/>
        <w:rPr>
          <w:rFonts w:hint="eastAsia" w:ascii="Times New Roman" w:hAnsi="Times New Roman" w:eastAsia="方正小标宋简体" w:cs="Times New Roman"/>
          <w:color w:val="auto"/>
          <w:kern w:val="2"/>
          <w:sz w:val="72"/>
          <w:szCs w:val="72"/>
          <w:highlight w:val="none"/>
          <w:lang w:val="en-US" w:eastAsia="zh-CN" w:bidi="ar-SA"/>
        </w:rPr>
      </w:pPr>
    </w:p>
    <w:p w14:paraId="0C2C66ED">
      <w:pPr>
        <w:pStyle w:val="7"/>
        <w:rPr>
          <w:rFonts w:hint="eastAsia" w:ascii="Times New Roman" w:hAnsi="Times New Roman" w:eastAsia="方正小标宋简体" w:cs="Times New Roman"/>
          <w:color w:val="auto"/>
          <w:kern w:val="2"/>
          <w:sz w:val="72"/>
          <w:szCs w:val="72"/>
          <w:highlight w:val="none"/>
          <w:lang w:val="en-US" w:eastAsia="zh-CN" w:bidi="ar-SA"/>
        </w:rPr>
      </w:pPr>
    </w:p>
    <w:p w14:paraId="665C6C84">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四川省松潘县司法局</w:t>
      </w:r>
    </w:p>
    <w:p w14:paraId="5F7A18FE">
      <w:pPr>
        <w:pStyle w:val="7"/>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决算公开</w:t>
      </w:r>
    </w:p>
    <w:p w14:paraId="314E7248">
      <w:pPr>
        <w:spacing w:line="600" w:lineRule="exact"/>
        <w:jc w:val="center"/>
        <w:outlineLvl w:val="0"/>
        <w:rPr>
          <w:rFonts w:ascii="Times New Roman" w:hAnsi="Times New Roman" w:eastAsia="方正小标宋简体"/>
          <w:color w:val="auto"/>
          <w:sz w:val="72"/>
          <w:szCs w:val="72"/>
          <w:highlight w:val="none"/>
        </w:rPr>
      </w:pPr>
    </w:p>
    <w:p w14:paraId="20D2096B">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25E22E3E">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2DB0123">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9400160">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42EBF6D9">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ADDF3A4">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2AC8D1E9">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7F2A3E06">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789F1475">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1D08CE7">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24AEFDD5">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4AF721A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9FAB037">
      <w:pPr>
        <w:widowControl/>
        <w:jc w:val="center"/>
        <w:rPr>
          <w:rFonts w:ascii="Times New Roman" w:hAnsi="Times New Roman" w:eastAsia="黑体" w:cstheme="minorBidi"/>
          <w:color w:val="auto"/>
          <w:sz w:val="28"/>
          <w:szCs w:val="28"/>
          <w:highlight w:val="none"/>
        </w:rPr>
      </w:pPr>
    </w:p>
    <w:p w14:paraId="21E7651B">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日</w:t>
      </w:r>
    </w:p>
    <w:p w14:paraId="6EC79228">
      <w:pPr>
        <w:rPr>
          <w:rFonts w:ascii="Times New Roman" w:hAnsi="Times New Roman"/>
          <w:color w:val="auto"/>
          <w:highlight w:val="none"/>
        </w:rPr>
      </w:pPr>
    </w:p>
    <w:p w14:paraId="7B669361">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14:paraId="06DF6634">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w:t>
      </w:r>
    </w:p>
    <w:p w14:paraId="0AA99F6A">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2</w:t>
      </w:r>
    </w:p>
    <w:p w14:paraId="45743583">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cs="仿宋"/>
          <w:color w:val="auto"/>
          <w:kern w:val="2"/>
          <w:sz w:val="28"/>
          <w:szCs w:val="28"/>
          <w:highlight w:val="none"/>
          <w:lang w:val="en-US" w:eastAsia="zh-CN" w:bidi="ar-SA"/>
        </w:rPr>
        <w:t>7</w:t>
      </w:r>
    </w:p>
    <w:p w14:paraId="4F648D35">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7</w:t>
      </w:r>
    </w:p>
    <w:p w14:paraId="4DD2BEB9">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7</w:t>
      </w:r>
    </w:p>
    <w:p w14:paraId="14BB3192">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7</w:t>
      </w:r>
    </w:p>
    <w:p w14:paraId="3B751C70">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7</w:t>
      </w:r>
    </w:p>
    <w:p w14:paraId="6AB02DA0">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7</w:t>
      </w:r>
    </w:p>
    <w:p w14:paraId="3E65457E">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9</w:t>
      </w:r>
    </w:p>
    <w:p w14:paraId="53B16DF8">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9</w:t>
      </w:r>
    </w:p>
    <w:p w14:paraId="60668E85">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10</w:t>
      </w:r>
    </w:p>
    <w:p w14:paraId="4A3F092C">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11</w:t>
      </w:r>
    </w:p>
    <w:p w14:paraId="5C9B44FF">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11</w:t>
      </w:r>
    </w:p>
    <w:p w14:paraId="5D29D550">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12</w:t>
      </w:r>
    </w:p>
    <w:p w14:paraId="3E7450DF">
      <w:pPr>
        <w:pStyle w:val="12"/>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ind w:left="0" w:leftChars="0" w:right="0" w:rightChars="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附表</w:t>
      </w:r>
      <w:r>
        <w:rPr>
          <w:rFonts w:hint="eastAsia" w:ascii="Times New Roman" w:hAnsi="Times New Roman" w:eastAsia="黑体" w:cs="黑体"/>
          <w:color w:val="auto"/>
          <w:sz w:val="32"/>
          <w:szCs w:val="32"/>
          <w:highlight w:val="none"/>
          <w:lang w:val="en-US" w:eastAsia="zh-CN"/>
        </w:rPr>
        <w:tab/>
      </w:r>
      <w:r>
        <w:rPr>
          <w:rFonts w:hint="eastAsia" w:ascii="仿宋" w:hAnsi="仿宋" w:eastAsia="仿宋" w:cs="仿宋"/>
          <w:color w:val="auto"/>
          <w:kern w:val="2"/>
          <w:sz w:val="28"/>
          <w:szCs w:val="28"/>
          <w:highlight w:val="none"/>
          <w:lang w:val="en-US" w:eastAsia="zh-CN" w:bidi="ar-SA"/>
        </w:rPr>
        <w:t>14</w:t>
      </w:r>
    </w:p>
    <w:p w14:paraId="2EA47ADB">
      <w:pPr>
        <w:pStyle w:val="14"/>
        <w:keepNext w:val="0"/>
        <w:keepLines w:val="0"/>
        <w:pageBreakBefore w:val="0"/>
        <w:widowControl w:val="0"/>
        <w:numPr>
          <w:ilvl w:val="0"/>
          <w:numId w:val="1"/>
        </w:numPr>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收入支出决算总表</w:t>
      </w:r>
    </w:p>
    <w:p w14:paraId="07E5469F">
      <w:pPr>
        <w:pStyle w:val="14"/>
        <w:keepNext w:val="0"/>
        <w:keepLines w:val="0"/>
        <w:pageBreakBefore w:val="0"/>
        <w:widowControl w:val="0"/>
        <w:numPr>
          <w:ilvl w:val="0"/>
          <w:numId w:val="1"/>
        </w:numPr>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收入决算表</w:t>
      </w:r>
    </w:p>
    <w:p w14:paraId="0ACC2906">
      <w:pPr>
        <w:pStyle w:val="14"/>
        <w:keepNext w:val="0"/>
        <w:keepLines w:val="0"/>
        <w:pageBreakBefore w:val="0"/>
        <w:widowControl w:val="0"/>
        <w:numPr>
          <w:ilvl w:val="0"/>
          <w:numId w:val="1"/>
        </w:numPr>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支出决算表</w:t>
      </w:r>
    </w:p>
    <w:p w14:paraId="0A4E05FE">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39713181">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E787261">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C58765A">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D153FCA">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372BB33">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6C70A434">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D142C16">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3320A8F">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6594C83">
      <w:pPr>
        <w:pStyle w:val="14"/>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2DDDE4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方正小标宋简体" w:cs="方正小标宋简体"/>
          <w:b w:val="0"/>
          <w:color w:val="auto"/>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7248C8E2">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638A3575">
      <w:pPr>
        <w:widowControl/>
        <w:jc w:val="left"/>
        <w:rPr>
          <w:rFonts w:ascii="Times New Roman" w:hAnsi="Times New Roman" w:eastAsia="黑体"/>
          <w:color w:val="auto"/>
          <w:sz w:val="32"/>
          <w:szCs w:val="32"/>
          <w:highlight w:val="none"/>
        </w:rPr>
      </w:pPr>
    </w:p>
    <w:p w14:paraId="4BE68D3F">
      <w:pPr>
        <w:pStyle w:val="5"/>
        <w:numPr>
          <w:ilvl w:val="0"/>
          <w:numId w:val="2"/>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57F2BB4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（1）承担依法治县重大问题的政策研究，协调有关方面提出全面依法治县规划建议，负责有关重大决策部署督察工作。</w:t>
      </w:r>
    </w:p>
    <w:p w14:paraId="5B012364">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（2）负责县政府规范性文件、重大行政决策发布前的合法性审查；承办县政府规范性文件的报送备案工作；负责各乡（镇）人民政府和县人民政府各部门规范性文件审查工作；组织开展县政府规范性文件清理。</w:t>
      </w:r>
    </w:p>
    <w:p w14:paraId="4017F7BB">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3）指导监督县级政府各部门及各乡（镇）人民政府依法行政工作；负责综合协调、监督检查行政执法，推进严格规范公正文明执法；指导监督全县行政复议、行政应诉和行政赔偿工作，承办向县政府申请的行政复议、行政赔偿案件，代理县政府行政应诉案件；负责全县行政执法主体、人员资格审查和行政执法证、监督检查证的审核管理及人员培训工作。</w:t>
      </w:r>
    </w:p>
    <w:p w14:paraId="79A4A451">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4）承担统筹规划法治社会建设的责任。负责拟订法治宣传教育规划，组织实施普法宣传工作，组织对外法治宣传。推动人民参与和促进法治建设；指导依法治理和法治创建工作。指导调解工作；负责并开展人民监督员的选任管理工作及人民陪审员选任工作；持续推进司法所规范化建设；将安全生产、职业健康、环境保护法律法规纳入公民普法教育重要内容并会同有关部门开展宣传普及，做好职责范围内的安全生产工作。</w:t>
      </w:r>
    </w:p>
    <w:p w14:paraId="1E81F60D">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 xml:space="preserve">  </w:t>
      </w:r>
      <w:r>
        <w:rPr>
          <w:rFonts w:hint="eastAsia" w:eastAsia="仿宋_GB2312" w:cs="Times New Roman"/>
          <w:i w:val="0"/>
          <w:caps w:val="0"/>
          <w:smallCaps w:val="0"/>
          <w:color w:val="000000"/>
          <w:spacing w:val="0"/>
          <w:kern w:val="0"/>
          <w:sz w:val="32"/>
          <w:szCs w:val="32"/>
          <w:shd w:val="clear" w:color="auto" w:fill="FFFFFF"/>
          <w:lang w:val="en-US" w:eastAsia="zh-CN" w:bidi="ar-SA"/>
        </w:rPr>
        <w:t xml:space="preserve">  </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（5）指导管理社区矫正工作；指导刑满释放回归人员安置帮教工作；对社区戒毒和社区康复工作提供指导、支持和协助。</w:t>
      </w:r>
    </w:p>
    <w:p w14:paraId="096127E6">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（6）负责拟订全县公共法律服务体系建设规划并实施，统筹和布局全县法律服务资源；指导监督律师、法律援助、司法鉴定、公证和基层法律服务管理工作。</w:t>
      </w:r>
    </w:p>
    <w:p w14:paraId="51A692D5">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（7）负责本系统财务、装备、设施、场所、服装和警车管理和后勤保障工作。</w:t>
      </w:r>
    </w:p>
    <w:p w14:paraId="5727E6A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（8）规划、协调、指导法治人才队伍建设相关工作，负责全县司法行政队伍建设。</w:t>
      </w:r>
    </w:p>
    <w:p w14:paraId="16B4D639">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（9）负责本系统的行政审批工作；负责全县法律服务工作。</w:t>
      </w:r>
    </w:p>
    <w:p w14:paraId="3276F599">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contextualSpacing/>
        <w:jc w:val="left"/>
        <w:textAlignment w:val="auto"/>
        <w:outlineLvl w:val="9"/>
        <w:rPr>
          <w:rFonts w:hint="eastAsia"/>
        </w:rPr>
      </w:pP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bidi="ar-SA"/>
        </w:rPr>
        <w:t>（10）完成县委、县政府交办的其他任务。</w:t>
      </w:r>
    </w:p>
    <w:p w14:paraId="150118BD">
      <w:pPr>
        <w:numPr>
          <w:ilvl w:val="0"/>
          <w:numId w:val="0"/>
        </w:numPr>
        <w:rPr>
          <w:rFonts w:hint="eastAsia"/>
          <w:lang w:eastAsia="zh-CN"/>
        </w:rPr>
      </w:pPr>
    </w:p>
    <w:p w14:paraId="55E538F1">
      <w:pPr>
        <w:pStyle w:val="5"/>
        <w:rPr>
          <w:rStyle w:val="29"/>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7542BA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4" w:firstLineChars="300"/>
        <w:textAlignment w:val="auto"/>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pPr>
      <w:bookmarkStart w:id="10" w:name="_Toc15396602"/>
      <w:bookmarkStart w:id="11" w:name="_Toc15377204"/>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办公室。</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w:t>
      </w:r>
      <w:r>
        <w:rPr>
          <w:rFonts w:hint="default" w:ascii="Times New Roman" w:hAnsi="Times New Roman" w:eastAsia="仿宋_GB2312" w:cs="Times New Roman"/>
          <w:sz w:val="32"/>
          <w:szCs w:val="32"/>
        </w:rPr>
        <w:t>处理局机关日常政务和事务；负责本机关文电、会务、接待、机要、档案、保密、信访、绩效管理、信息宣传、政务公开、政府信息公开等工作；承担综合公文的起草审核、史志年鉴编纂等工作；指导推进全县司法行政系统科技与信息化建设工作；负责本机关网络信息安全工作；制定、编制司法行政工作中长期规划、工作计划；负责局机关重大政务活动和上级交办工作的协调、督办；承办本系统应急事件组织协调工作；负责财务、司法所预决算、国有资产、装备、服装和警车等后勤保障管理工作；负责本机关安全生产、环境保护、综治维稳等相关工作</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p>
    <w:p w14:paraId="65F158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合法性审查和行政执法协调监督股</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县政府规范性文件、重大行政决策发布前的合法性审查；承办县政府规范性文件的报送备案工作；负责各乡（镇）人民政府和县政府各部门规范性文件审查工作；组织开展县政府规范性文件清理；负责本系统规范性文件的审查、备案工作。负责行政执法人员、监督人员的资格和证件管理，推进严格规范公正文明执法；协调各乡（镇）、各部门在执法中产生的重大矛盾和争议；办理有关行政执法投诉举报案件；负责行政执法人员、监督人员的资格审查、证件管理及培训工作；承担本机关政务服务事项的清理和纳入电子政务平台工作，推进行政权力依法规范运行。监督协调全县行政复议、行政诉讼、行政赔偿工作；办理向县政府申请的行政复议案件和因之引发的行政诉讼案件；办理向县政府申请行政赔偿的案件；办理县司法局参与的行政复议案件、行政诉讼案件和向县司法局申请的行政赔偿案件。</w:t>
      </w:r>
    </w:p>
    <w:p w14:paraId="76B98E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ascii="Times New Roman" w:hAnsi="Times New Roman" w:eastAsia="仿宋_GB2312" w:cs="Times New Roman"/>
          <w:i w:val="0"/>
          <w:caps w:val="0"/>
          <w:smallCaps w:val="0"/>
          <w:color w:val="auto"/>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行政复议和应诉股。</w:t>
      </w:r>
      <w:r>
        <w:rPr>
          <w:rFonts w:hint="default" w:ascii="Times New Roman" w:hAnsi="Times New Roman" w:eastAsia="仿宋_GB2312" w:cs="Times New Roman"/>
          <w:sz w:val="32"/>
          <w:szCs w:val="32"/>
        </w:rPr>
        <w:t>承担县政府行政复议办公室日常工作，承担县政府行政复议委员会办公室日常工作；负责综合文稿、行政复议、行政诉讼、行政赔偿案件登记移送、统计分析、档案管理等工作；负责县政府行政复议、应诉法律服务购买、考核管理等工作；办理对县级部门行政行为不服的行政复议案件，以及由此引发的行政应诉案件；办理对县级部门派出机构、管理机构以及其他有关</w:t>
      </w:r>
      <w:r>
        <w:rPr>
          <w:rFonts w:hint="eastAsia" w:eastAsia="仿宋_GB2312" w:cs="Times New Roman"/>
          <w:sz w:val="32"/>
          <w:szCs w:val="32"/>
          <w:lang w:eastAsia="zh-CN"/>
        </w:rPr>
        <w:t>法律法规</w:t>
      </w:r>
      <w:r>
        <w:rPr>
          <w:rFonts w:hint="default" w:ascii="Times New Roman" w:hAnsi="Times New Roman" w:eastAsia="仿宋_GB2312" w:cs="Times New Roman"/>
          <w:sz w:val="32"/>
          <w:szCs w:val="32"/>
        </w:rPr>
        <w:t>授权的组织行政行为不服的行政复议案件以及由此引发的行政应诉案件；负责对县级部门复议与应诉指导、监督工作；负责府院联席等对外综合协调工作。负责行政复议与应诉相关制度建设；负责全县行政复议信息化、规范化建设工作，负责全国行政复议与应诉工作平台管理；承办向县政府申请的行政赔偿案件以及因之引发的行政应诉案件；代理县政府行政应诉案件。</w:t>
      </w:r>
    </w:p>
    <w:p w14:paraId="0300B0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auto"/>
          <w:spacing w:val="0"/>
          <w:kern w:val="0"/>
          <w:sz w:val="32"/>
          <w:szCs w:val="32"/>
          <w:shd w:val="clear" w:color="auto" w:fill="FFFFFF"/>
          <w:lang w:val="en-US" w:eastAsia="zh-CN"/>
        </w:rPr>
        <w:t>人民参与和促进法治股（社区矫正执法大队）。</w:t>
      </w:r>
      <w:r>
        <w:rPr>
          <w:rFonts w:hint="eastAsia" w:ascii="Times New Roman" w:hAnsi="Times New Roman" w:eastAsia="仿宋_GB2312" w:cs="Times New Roman"/>
          <w:i w:val="0"/>
          <w:caps w:val="0"/>
          <w:smallCaps w:val="0"/>
          <w:color w:val="auto"/>
          <w:spacing w:val="0"/>
          <w:kern w:val="0"/>
          <w:sz w:val="32"/>
          <w:szCs w:val="32"/>
          <w:shd w:val="clear" w:color="auto" w:fill="FFFFFF"/>
          <w:lang w:val="en-US" w:eastAsia="zh-CN"/>
        </w:rPr>
        <w:t>负责对17个司法所的管理、监督和业务指导；指导、监督、管理人民调解工作；负责司法鉴定宣传工作；拟订保障人民群</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众参与、促进、监督法治建设的制度措施；指导人民团体、群众自治组织和社会组织参与、支持法治社会建设工作；指导人民调解、行政调解和行业性专业性调解工作，加强涉及环境保护纠纷协调。负责社区矫正</w:t>
      </w:r>
      <w:r>
        <w:rPr>
          <w:rFonts w:hint="eastAsia" w:eastAsia="仿宋_GB2312" w:cs="Times New Roman"/>
          <w:i w:val="0"/>
          <w:caps w:val="0"/>
          <w:smallCaps w:val="0"/>
          <w:color w:val="000000"/>
          <w:spacing w:val="0"/>
          <w:kern w:val="0"/>
          <w:sz w:val="32"/>
          <w:szCs w:val="32"/>
          <w:shd w:val="clear" w:color="auto" w:fill="FFFFFF"/>
          <w:lang w:val="en-US" w:eastAsia="zh-CN"/>
        </w:rPr>
        <w:t>法律法规</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规章和政策的执行工作；监督管理对社区矫正对象的刑罚执行、管理教育和帮扶工作；指导社会力量和志愿者参与社区矫正工作；指导刑满释放回归人员的安置帮教工作；对社区戒毒和社区康复工作提供指导、支持和协助工作。开展人民监督员及人民陪审员选任管理工作，推进司法所规范化建设等工作。</w:t>
      </w:r>
    </w:p>
    <w:p w14:paraId="50A30E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普法与依法治理股</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拟订法治宣传教育规划并组织实施；指导监督各乡（镇）、各部门“谁执法谁普法”的普法责任制落实工作，推进全民普法，协助县政府常务会议会前学法工作；指导监督国家工作人员学法用法工作；统筹指导各乡（镇）、各部门、各行业依法治理和“三项”法治创建工作，组织对外法治宣传工作；指导社会主义法治文化建设。</w:t>
      </w:r>
    </w:p>
    <w:p w14:paraId="660482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auto"/>
          <w:spacing w:val="0"/>
          <w:kern w:val="0"/>
          <w:sz w:val="32"/>
          <w:szCs w:val="32"/>
          <w:shd w:val="clear" w:color="auto" w:fill="FFFFFF"/>
          <w:lang w:val="en-US" w:eastAsia="zh-CN"/>
        </w:rPr>
        <w:t>公共法律服务管理股</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规划、推进公共法律服务体系和平台建设工作，指导监督律师、律师事务所、基层法律服务、公证员、公证处等相关法律服务工作。贯彻落实法律援助工作的相关法律法规及政策，制定法律援助工作规划，负责法律援助工作的管理、指导和监督。</w:t>
      </w:r>
    </w:p>
    <w:p w14:paraId="7F8475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楷体_GB2312" w:hAnsi="Times New Roman" w:eastAsia="楷体_GB2312" w:cs="楷体_GB2312"/>
          <w:b/>
          <w:bCs w:val="0"/>
          <w:i w:val="0"/>
          <w:caps w:val="0"/>
          <w:smallCaps w:val="0"/>
          <w:color w:val="000000"/>
          <w:spacing w:val="0"/>
          <w:sz w:val="32"/>
          <w:szCs w:val="32"/>
          <w:shd w:val="clear" w:color="auto" w:fill="FFFFFF"/>
          <w:lang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政工室</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。负责本机关党的建设、班子队伍建设、党风廉政建设、意识形态、精神文明建设、文化建设和干部教育培训、任免、监督、表彰和退休人员管理的相关工作。</w:t>
      </w:r>
    </w:p>
    <w:p w14:paraId="074C681E">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textAlignment w:val="auto"/>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松潘县法律援助中心</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负责组织、指导、协调全县法律工作者全面履行法律援助工作义务；受理、审查和批准法律援助申请，组织、指派法律援助案件；指导、检查法律援助人员办理具体法律援助事项，确保办案质量；协助公共法律服务股开展业务培训；法律援助案件的登记、统计、卷宗审查和收集管理工作；管理并发放法律援助案件经费；法律援助办案机构信息化建设，提高工作效率；法律援助报表统计上报工作及工作信息反馈工作。</w:t>
      </w:r>
    </w:p>
    <w:p w14:paraId="735D8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pPr>
      <w:r>
        <w:rPr>
          <w:rFonts w:hint="eastAsia" w:ascii="Times New Roman" w:hAnsi="Times New Roman" w:eastAsia="仿宋_GB2312" w:cs="Times New Roman"/>
          <w:b/>
          <w:bCs/>
          <w:i w:val="0"/>
          <w:caps w:val="0"/>
          <w:smallCaps w:val="0"/>
          <w:color w:val="000000"/>
          <w:spacing w:val="0"/>
          <w:kern w:val="0"/>
          <w:sz w:val="32"/>
          <w:szCs w:val="32"/>
          <w:shd w:val="clear" w:color="auto" w:fill="FFFFFF"/>
          <w:lang w:val="en-US" w:eastAsia="zh-CN"/>
        </w:rPr>
        <w:t>松潘县社区矫正中心</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受人民法院、人民检察院、公安机关、监狱的委托，提出对适用社区矫正的评估意见</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接收社区矫正对象和社区矫正法律文书</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建立社区矫正对象执行档案</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审批社区矫正对象进入特定场所、外出、变更居住地的申请</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组织开展集中教育、心理矫正、社区服务，协调有关部门和单位落实帮扶措施</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定期督促暂予监外执行罪犯按规定进行病情复查，定期组织暂予监外执行罪犯进行病情诊断、妊娠检查和生活不能自理鉴别</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对社区矫正对象给予表扬、警告，提出给予治安管理处罚建议，提出撤销缓刑、假释、收监执行建议，提出脱管不计入矫正期</w:t>
      </w:r>
      <w:bookmarkStart w:id="60" w:name="_GoBack"/>
      <w:r>
        <w:rPr>
          <w:rFonts w:hint="eastAsia" w:eastAsia="仿宋_GB2312" w:cs="Times New Roman"/>
          <w:i w:val="0"/>
          <w:caps w:val="0"/>
          <w:smallCaps w:val="0"/>
          <w:color w:val="000000"/>
          <w:spacing w:val="0"/>
          <w:kern w:val="0"/>
          <w:sz w:val="32"/>
          <w:szCs w:val="32"/>
          <w:shd w:val="clear" w:color="auto" w:fill="FFFFFF"/>
          <w:lang w:val="en-US" w:eastAsia="zh-CN"/>
        </w:rPr>
        <w:t>限的</w:t>
      </w:r>
      <w:bookmarkEnd w:id="60"/>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建议，提出减刑建议</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对违反有关监督管理规定的社区矫正对象实施制止、惩戒、收监等措施</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组织查找或者追查漏管、脱管的社区矫正对象</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及时将人民法院裁定撤销缓刑的罪犯，送交监狱或者看守所</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解除对社区矫正对象的社区矫正</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r>
        <w:rPr>
          <w:rFonts w:hint="default" w:ascii="Times New Roman" w:hAnsi="Times New Roman" w:eastAsia="仿宋_GB2312" w:cs="Times New Roman"/>
          <w:i w:val="0"/>
          <w:caps w:val="0"/>
          <w:smallCaps w:val="0"/>
          <w:color w:val="000000"/>
          <w:spacing w:val="0"/>
          <w:kern w:val="0"/>
          <w:sz w:val="32"/>
          <w:szCs w:val="32"/>
          <w:shd w:val="clear" w:color="auto" w:fill="FFFFFF"/>
          <w:lang w:val="en-US" w:eastAsia="zh-CN"/>
        </w:rPr>
        <w:t>其他依法应当履行的职责</w:t>
      </w:r>
      <w:r>
        <w:rPr>
          <w:rFonts w:hint="eastAsia" w:ascii="Times New Roman" w:hAnsi="Times New Roman" w:eastAsia="仿宋_GB2312" w:cs="Times New Roman"/>
          <w:i w:val="0"/>
          <w:caps w:val="0"/>
          <w:smallCaps w:val="0"/>
          <w:color w:val="000000"/>
          <w:spacing w:val="0"/>
          <w:kern w:val="0"/>
          <w:sz w:val="32"/>
          <w:szCs w:val="32"/>
          <w:shd w:val="clear" w:color="auto" w:fill="FFFFFF"/>
          <w:lang w:val="en-US" w:eastAsia="zh-CN"/>
        </w:rPr>
        <w:t>。</w:t>
      </w:r>
    </w:p>
    <w:p w14:paraId="3B5AFCDE">
      <w:pPr>
        <w:pStyle w:val="4"/>
        <w:jc w:val="center"/>
        <w:rPr>
          <w:rFonts w:hint="eastAsia" w:ascii="Times New Roman" w:hAnsi="Times New Roman" w:eastAsia="方正小标宋简体" w:cs="方正小标宋简体"/>
          <w:b w:val="0"/>
          <w:color w:val="auto"/>
          <w:highlight w:val="none"/>
        </w:rPr>
      </w:pPr>
    </w:p>
    <w:p w14:paraId="7D5DD460">
      <w:pPr>
        <w:pStyle w:val="4"/>
        <w:jc w:val="center"/>
        <w:rPr>
          <w:rFonts w:hint="eastAsia" w:ascii="Times New Roman" w:hAnsi="Times New Roman" w:eastAsia="方正小标宋简体" w:cs="方正小标宋简体"/>
          <w:b w:val="0"/>
          <w:color w:val="auto"/>
          <w:highlight w:val="none"/>
        </w:rPr>
      </w:pPr>
    </w:p>
    <w:p w14:paraId="447260BA">
      <w:pPr>
        <w:pStyle w:val="4"/>
        <w:jc w:val="center"/>
        <w:rPr>
          <w:rFonts w:hint="eastAsia" w:ascii="Times New Roman" w:hAnsi="Times New Roman" w:eastAsia="方正小标宋简体" w:cs="方正小标宋简体"/>
          <w:b w:val="0"/>
          <w:color w:val="auto"/>
          <w:highlight w:val="none"/>
        </w:rPr>
      </w:pPr>
    </w:p>
    <w:p w14:paraId="7E8F8709">
      <w:pPr>
        <w:pStyle w:val="4"/>
        <w:jc w:val="center"/>
        <w:rPr>
          <w:rFonts w:hint="eastAsia" w:ascii="Times New Roman" w:hAnsi="Times New Roman" w:eastAsia="方正小标宋简体" w:cs="方正小标宋简体"/>
          <w:b w:val="0"/>
          <w:color w:val="auto"/>
          <w:highlight w:val="none"/>
        </w:rPr>
      </w:pPr>
    </w:p>
    <w:p w14:paraId="19CA3A90">
      <w:pPr>
        <w:pStyle w:val="4"/>
        <w:jc w:val="center"/>
        <w:rPr>
          <w:rFonts w:hint="eastAsia" w:ascii="Times New Roman" w:hAnsi="Times New Roman" w:eastAsia="方正小标宋简体" w:cs="方正小标宋简体"/>
          <w:b w:val="0"/>
          <w:color w:val="auto"/>
          <w:highlight w:val="none"/>
        </w:rPr>
      </w:pPr>
    </w:p>
    <w:p w14:paraId="671729C6">
      <w:pPr>
        <w:pStyle w:val="4"/>
        <w:jc w:val="center"/>
        <w:rPr>
          <w:rFonts w:hint="eastAsia" w:ascii="Times New Roman" w:hAnsi="Times New Roman" w:eastAsia="方正小标宋简体" w:cs="方正小标宋简体"/>
          <w:b w:val="0"/>
          <w:color w:val="auto"/>
          <w:highlight w:val="none"/>
        </w:rPr>
      </w:pPr>
    </w:p>
    <w:p w14:paraId="167F6292">
      <w:pPr>
        <w:pStyle w:val="4"/>
        <w:jc w:val="center"/>
        <w:rPr>
          <w:rFonts w:hint="eastAsia" w:ascii="Times New Roman" w:hAnsi="Times New Roman" w:eastAsia="方正小标宋简体" w:cs="方正小标宋简体"/>
          <w:b w:val="0"/>
          <w:color w:val="auto"/>
          <w:highlight w:val="none"/>
        </w:rPr>
      </w:pPr>
    </w:p>
    <w:p w14:paraId="57186D5A">
      <w:pPr>
        <w:pStyle w:val="4"/>
        <w:jc w:val="both"/>
        <w:rPr>
          <w:rFonts w:hint="eastAsia" w:ascii="Times New Roman" w:hAnsi="Times New Roman" w:eastAsia="方正小标宋简体" w:cs="方正小标宋简体"/>
          <w:b w:val="0"/>
          <w:color w:val="auto"/>
          <w:highlight w:val="none"/>
        </w:rPr>
      </w:pPr>
    </w:p>
    <w:p w14:paraId="266C04F7">
      <w:pPr>
        <w:rPr>
          <w:rFonts w:hint="eastAsia" w:ascii="Times New Roman" w:hAnsi="Times New Roman" w:eastAsia="方正小标宋简体" w:cs="方正小标宋简体"/>
          <w:b w:val="0"/>
          <w:color w:val="auto"/>
          <w:highlight w:val="none"/>
        </w:rPr>
      </w:pPr>
    </w:p>
    <w:p w14:paraId="57BDD056">
      <w:pPr>
        <w:pStyle w:val="2"/>
        <w:rPr>
          <w:rFonts w:hint="eastAsia"/>
        </w:rPr>
      </w:pPr>
    </w:p>
    <w:p w14:paraId="458785FA">
      <w:pPr>
        <w:pStyle w:val="4"/>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2A95FDF0">
      <w:pPr>
        <w:rPr>
          <w:rFonts w:ascii="Times New Roman" w:hAnsi="Times New Roman"/>
          <w:color w:val="auto"/>
          <w:highlight w:val="none"/>
        </w:rPr>
      </w:pPr>
    </w:p>
    <w:p w14:paraId="461D342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4DD734C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仿宋" w:hAnsi="仿宋" w:eastAsia="仿宋"/>
          <w:color w:val="auto"/>
          <w:sz w:val="32"/>
          <w:szCs w:val="32"/>
          <w:highlight w:val="none"/>
          <w:lang w:eastAsia="zh-CN"/>
        </w:rPr>
      </w:pPr>
      <w:bookmarkStart w:id="14" w:name="_Toc15377206"/>
      <w:bookmarkStart w:id="15" w:name="_Toc15396604"/>
      <w:r>
        <w:rPr>
          <w:rFonts w:hint="eastAsia"/>
          <w:lang w:val="en-US" w:eastAsia="zh-CN"/>
        </w:rPr>
        <w:t xml:space="preserve">   </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1225.77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36.08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。主要变动原因是本年度厉行节约，减少费用支出且人员减少导致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36.08万</w:t>
      </w:r>
      <w:r>
        <w:rPr>
          <w:rFonts w:hint="eastAsia" w:ascii="仿宋" w:hAnsi="仿宋" w:eastAsia="仿宋"/>
          <w:color w:val="auto"/>
          <w:sz w:val="32"/>
          <w:szCs w:val="32"/>
          <w:highlight w:val="none"/>
        </w:rPr>
        <w:t>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。主要变动原因是本年度厉行节约，减少费用支出且人员减少导致</w:t>
      </w:r>
      <w:r>
        <w:rPr>
          <w:rFonts w:hint="eastAsia" w:ascii="仿宋" w:hAnsi="仿宋" w:eastAsia="仿宋"/>
          <w:color w:val="auto"/>
          <w:sz w:val="32"/>
          <w:szCs w:val="32"/>
          <w:highlight w:val="none"/>
          <w:lang w:eastAsia="zh-CN"/>
        </w:rPr>
        <w:t>。</w:t>
      </w:r>
    </w:p>
    <w:p w14:paraId="48C2B56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6EE0E0D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1225.77万元，其中：一般公共预算财政拨款收入1225.77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243AD94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6EF5627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1225.77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1040.12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84.85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185.65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15.14</w:t>
      </w:r>
      <w:r>
        <w:rPr>
          <w:rFonts w:hint="eastAsia" w:ascii="仿宋_GB2312" w:hAnsi="仿宋_GB2312" w:eastAsia="仿宋_GB2312" w:cs="仿宋_GB2312"/>
          <w:color w:val="auto"/>
          <w:sz w:val="32"/>
          <w:szCs w:val="32"/>
          <w:highlight w:val="none"/>
          <w:lang w:eastAsia="zh-CN"/>
        </w:rPr>
        <w:t>%。</w:t>
      </w:r>
    </w:p>
    <w:p w14:paraId="22384221">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56867E9C">
      <w:pPr>
        <w:spacing w:line="600" w:lineRule="exact"/>
        <w:ind w:firstLine="640" w:firstLineChars="200"/>
        <w:rPr>
          <w:rFonts w:hint="eastAsi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1225.77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eastAsia="zh-CN"/>
        </w:rPr>
        <w:t>财</w:t>
      </w:r>
      <w:r>
        <w:rPr>
          <w:rFonts w:hint="eastAsia" w:ascii="仿宋" w:hAnsi="仿宋" w:eastAsia="仿宋"/>
          <w:color w:val="auto"/>
          <w:sz w:val="32"/>
          <w:szCs w:val="32"/>
          <w:highlight w:val="none"/>
        </w:rPr>
        <w:t>政拨款收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36.08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。主要变动原因是本年度厉行节约，减少费用支出且人员减少导致</w:t>
      </w:r>
      <w:r>
        <w:rPr>
          <w:rFonts w:hint="eastAsia" w:ascii="仿宋" w:hAnsi="仿宋" w:eastAsia="仿宋"/>
          <w:color w:val="auto"/>
          <w:sz w:val="32"/>
          <w:szCs w:val="32"/>
          <w:highlight w:val="none"/>
          <w:lang w:eastAsia="zh-CN"/>
        </w:rPr>
        <w:t>；财</w:t>
      </w:r>
      <w:r>
        <w:rPr>
          <w:rFonts w:hint="eastAsia" w:ascii="仿宋" w:hAnsi="仿宋" w:eastAsia="仿宋"/>
          <w:color w:val="auto"/>
          <w:sz w:val="32"/>
          <w:szCs w:val="32"/>
          <w:highlight w:val="none"/>
        </w:rPr>
        <w:t>政拨款</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36.08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。主要变动原因是本年度厉行节约，减少费用支出且人员减少导致</w:t>
      </w:r>
      <w:r>
        <w:rPr>
          <w:rFonts w:hint="eastAsia" w:ascii="仿宋" w:hAnsi="仿宋" w:eastAsia="仿宋"/>
          <w:color w:val="auto"/>
          <w:sz w:val="32"/>
          <w:szCs w:val="32"/>
          <w:highlight w:val="none"/>
          <w:lang w:eastAsia="zh-CN"/>
        </w:rPr>
        <w:t>。</w:t>
      </w:r>
    </w:p>
    <w:p w14:paraId="1618DD4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291A8E2">
      <w:pPr>
        <w:spacing w:line="600" w:lineRule="exact"/>
        <w:outlineLvl w:val="1"/>
        <w:rPr>
          <w:rStyle w:val="29"/>
          <w:rFonts w:ascii="Times New Roman" w:hAnsi="Times New Roman" w:eastAsia="黑体"/>
          <w:b w:val="0"/>
          <w:color w:val="auto"/>
          <w:highlight w:val="none"/>
        </w:rPr>
      </w:pPr>
      <w:bookmarkStart w:id="20" w:name="_Toc15377209"/>
      <w:bookmarkStart w:id="21" w:name="_Toc15396607"/>
      <w:r>
        <w:rPr>
          <w:rFonts w:hint="eastAsia" w:eastAsia="黑体"/>
          <w:color w:val="auto"/>
          <w:sz w:val="32"/>
          <w:szCs w:val="32"/>
          <w:highlight w:val="none"/>
          <w:lang w:val="en-US" w:eastAsia="zh-CN"/>
        </w:rPr>
        <w:t xml:space="preserve">   </w:t>
      </w: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591F781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0437CF04">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2024年度一般公共预算财政拨款支出</w:t>
      </w:r>
      <w:r>
        <w:rPr>
          <w:rFonts w:hint="eastAsia" w:ascii="仿宋" w:hAnsi="仿宋" w:eastAsia="仿宋"/>
          <w:color w:val="auto"/>
          <w:sz w:val="32"/>
          <w:szCs w:val="32"/>
          <w:highlight w:val="none"/>
          <w:lang w:eastAsia="zh-CN"/>
        </w:rPr>
        <w:t>1225.77</w:t>
      </w:r>
      <w:r>
        <w:rPr>
          <w:rFonts w:hint="eastAsia" w:ascii="仿宋" w:hAnsi="仿宋" w:eastAsia="仿宋"/>
          <w:color w:val="auto"/>
          <w:sz w:val="32"/>
          <w:szCs w:val="32"/>
          <w:highlight w:val="none"/>
          <w:lang w:val="en-US" w:eastAsia="zh-CN"/>
        </w:rPr>
        <w:t>万元，占本年支出合计的</w:t>
      </w:r>
      <w:r>
        <w:rPr>
          <w:rFonts w:hint="eastAsia" w:ascii="仿宋" w:hAnsi="仿宋" w:eastAsia="仿宋"/>
          <w:color w:val="auto"/>
          <w:sz w:val="32"/>
          <w:szCs w:val="32"/>
          <w:highlight w:val="none"/>
          <w:lang w:eastAsia="zh-CN"/>
        </w:rPr>
        <w:t>100</w:t>
      </w:r>
      <w:r>
        <w:rPr>
          <w:rFonts w:hint="eastAsia" w:ascii="仿宋" w:hAnsi="仿宋" w:eastAsia="仿宋"/>
          <w:color w:val="auto"/>
          <w:sz w:val="32"/>
          <w:szCs w:val="32"/>
          <w:highlight w:val="none"/>
          <w:lang w:val="en-US" w:eastAsia="zh-CN"/>
        </w:rPr>
        <w:t>%。</w:t>
      </w:r>
      <w:bookmarkStart w:id="23" w:name="_Toc15377211"/>
      <w:r>
        <w:rPr>
          <w:rFonts w:hint="eastAsia" w:ascii="仿宋" w:hAnsi="仿宋" w:eastAsia="仿宋"/>
          <w:color w:val="auto"/>
          <w:sz w:val="32"/>
          <w:szCs w:val="32"/>
          <w:highlight w:val="none"/>
          <w:lang w:eastAsia="zh-CN"/>
        </w:rPr>
        <w:t>与202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年度相比，一般公共预算财政拨款支出减少</w:t>
      </w:r>
      <w:r>
        <w:rPr>
          <w:rFonts w:hint="eastAsia" w:ascii="仿宋" w:hAnsi="仿宋" w:eastAsia="仿宋"/>
          <w:color w:val="auto"/>
          <w:sz w:val="32"/>
          <w:szCs w:val="32"/>
          <w:highlight w:val="none"/>
          <w:lang w:val="en-US" w:eastAsia="zh-CN"/>
        </w:rPr>
        <w:t>36.08</w:t>
      </w:r>
      <w:r>
        <w:rPr>
          <w:rFonts w:hint="eastAsia" w:ascii="仿宋" w:hAnsi="仿宋" w:eastAsia="仿宋"/>
          <w:color w:val="auto"/>
          <w:sz w:val="32"/>
          <w:szCs w:val="32"/>
          <w:highlight w:val="none"/>
          <w:lang w:eastAsia="zh-CN"/>
        </w:rPr>
        <w:t>万元，减少</w:t>
      </w:r>
      <w:r>
        <w:rPr>
          <w:rFonts w:hint="eastAsia" w:ascii="仿宋" w:hAnsi="仿宋" w:eastAsia="仿宋"/>
          <w:color w:val="auto"/>
          <w:sz w:val="32"/>
          <w:szCs w:val="32"/>
          <w:highlight w:val="none"/>
          <w:lang w:val="en-US" w:eastAsia="zh-CN"/>
        </w:rPr>
        <w:t>2.86</w:t>
      </w:r>
      <w:r>
        <w:rPr>
          <w:rFonts w:hint="eastAsia" w:ascii="仿宋" w:hAnsi="仿宋" w:eastAsia="仿宋"/>
          <w:color w:val="auto"/>
          <w:sz w:val="32"/>
          <w:szCs w:val="32"/>
          <w:highlight w:val="none"/>
          <w:lang w:eastAsia="zh-CN"/>
        </w:rPr>
        <w:t>%。主要变动原因是本年度厉行节约，减少费用支出且人员减少导致。</w:t>
      </w:r>
    </w:p>
    <w:p w14:paraId="590ACA6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7266E5C9">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2024年度一般公共预算财政拨款支出1225.77万元，主</w:t>
      </w:r>
      <w:r>
        <w:rPr>
          <w:rFonts w:hint="eastAsia" w:ascii="Times New Roman" w:hAnsi="Times New Roman" w:eastAsia="仿宋_GB2312" w:cs="仿宋_GB2312"/>
          <w:color w:val="auto"/>
          <w:kern w:val="2"/>
          <w:sz w:val="32"/>
          <w:szCs w:val="32"/>
          <w:highlight w:val="none"/>
          <w:lang w:val="en-US" w:eastAsia="zh-CN" w:bidi="ar-SA"/>
        </w:rPr>
        <w:t>要用于以下方面</w:t>
      </w:r>
      <w:r>
        <w:rPr>
          <w:rFonts w:hint="eastAsia" w:eastAsia="仿宋_GB2312" w:cs="仿宋_GB2312"/>
          <w:color w:val="auto"/>
          <w:kern w:val="2"/>
          <w:sz w:val="32"/>
          <w:szCs w:val="32"/>
          <w:highlight w:val="none"/>
          <w:lang w:val="en-US" w:eastAsia="zh-CN" w:bidi="ar-SA"/>
        </w:rPr>
        <w:t>：</w:t>
      </w:r>
      <w:bookmarkStart w:id="24" w:name="_Toc15377212"/>
      <w:r>
        <w:rPr>
          <w:rFonts w:hint="eastAsia" w:ascii="仿宋" w:hAnsi="仿宋" w:eastAsia="仿宋"/>
          <w:b/>
          <w:color w:val="auto"/>
          <w:sz w:val="32"/>
          <w:szCs w:val="32"/>
          <w:highlight w:val="none"/>
          <w:lang w:val="en-US" w:eastAsia="zh-CN"/>
        </w:rPr>
        <w:t>公共安全支出953.01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142.3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52.76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77.69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0E2D91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487E5F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1225.77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7C4FFD19">
      <w:pPr>
        <w:numPr>
          <w:ilvl w:val="0"/>
          <w:numId w:val="3"/>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
          <w:bCs/>
          <w:color w:val="auto"/>
          <w:sz w:val="32"/>
          <w:szCs w:val="32"/>
          <w:highlight w:val="none"/>
          <w:lang w:val="en-US" w:eastAsia="zh-CN"/>
        </w:rPr>
        <w:t>公共安</w:t>
      </w:r>
      <w:r>
        <w:rPr>
          <w:rStyle w:val="17"/>
          <w:rFonts w:hint="eastAsia" w:ascii="仿宋" w:hAnsi="仿宋" w:eastAsia="仿宋"/>
          <w:bCs/>
          <w:color w:val="auto"/>
          <w:sz w:val="32"/>
          <w:szCs w:val="32"/>
          <w:highlight w:val="none"/>
          <w:lang w:val="en-US" w:eastAsia="zh-CN"/>
        </w:rPr>
        <w:t>全</w:t>
      </w:r>
      <w:r>
        <w:rPr>
          <w:rStyle w:val="17"/>
          <w:rFonts w:hint="eastAsia" w:ascii="仿宋" w:hAnsi="仿宋" w:eastAsia="仿宋"/>
          <w:bCs/>
          <w:color w:val="auto"/>
          <w:sz w:val="32"/>
          <w:szCs w:val="32"/>
          <w:highlight w:val="none"/>
        </w:rPr>
        <w:t>支出</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953.01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其中2040601－行政运行支出767.36万元；2040602－一般行政管理事务支出63.05万元；2040605－普法宣传4.2万元；2040606－律师管理17.05万元；2040607－公共法律服务8.45万元；2040610－社区矫正0.2万元，2049999－其他公共安全支出92.7万元。</w:t>
      </w:r>
    </w:p>
    <w:p w14:paraId="33A0AC69">
      <w:pPr>
        <w:numPr>
          <w:ilvl w:val="0"/>
          <w:numId w:val="0"/>
        </w:numPr>
        <w:spacing w:line="600" w:lineRule="exact"/>
        <w:ind w:firstLine="643" w:firstLineChars="200"/>
        <w:rPr>
          <w:rFonts w:hint="default" w:ascii="仿宋" w:hAnsi="仿宋" w:eastAsia="仿宋"/>
          <w:b/>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支出：</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142.3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其中2080505－机关事业单位基本养老保险缴费支出85.01万元；2080506－机关事业单位职业年金缴费支出57.29万元。</w:t>
      </w:r>
    </w:p>
    <w:p w14:paraId="602E2E64">
      <w:pPr>
        <w:spacing w:line="600" w:lineRule="exact"/>
        <w:ind w:firstLine="643" w:firstLineChars="200"/>
        <w:rPr>
          <w:rStyle w:val="17"/>
          <w:rFonts w:hint="default" w:ascii="仿宋" w:hAnsi="仿宋" w:eastAsia="仿宋"/>
          <w:b w:val="0"/>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lang w:val="en-US" w:eastAsia="zh-CN"/>
        </w:rPr>
        <w:t>支出：</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52.76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w:t>
      </w:r>
      <w:r>
        <w:rPr>
          <w:rStyle w:val="17"/>
          <w:rFonts w:hint="eastAsia" w:ascii="仿宋" w:hAnsi="仿宋" w:eastAsia="仿宋"/>
          <w:b w:val="0"/>
          <w:bCs/>
          <w:color w:val="auto"/>
          <w:sz w:val="32"/>
          <w:szCs w:val="32"/>
          <w:highlight w:val="none"/>
          <w:lang w:val="en-US" w:eastAsia="zh-CN"/>
        </w:rPr>
        <w:t>其中2101101－行政单位医疗40.8万元；2101103－公务员医疗补助11.96万元。</w:t>
      </w:r>
    </w:p>
    <w:p w14:paraId="35AC31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lang w:val="en-US" w:eastAsia="zh-CN"/>
        </w:rPr>
        <w:t>住房保障</w:t>
      </w:r>
      <w:r>
        <w:rPr>
          <w:rStyle w:val="17"/>
          <w:rFonts w:hint="eastAsia" w:ascii="仿宋" w:hAnsi="仿宋" w:eastAsia="仿宋"/>
          <w:bCs/>
          <w:color w:val="auto"/>
          <w:sz w:val="32"/>
          <w:szCs w:val="32"/>
          <w:highlight w:val="none"/>
          <w:lang w:val="en-US" w:eastAsia="zh-CN"/>
        </w:rPr>
        <w:t>支出：</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77.69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其中2210201－住房公积金77.69万元。</w:t>
      </w:r>
    </w:p>
    <w:p w14:paraId="131BAA4D">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7265D4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1040.12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555F3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987.39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52.73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D68B359">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321F14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766CE5C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减少0.36万元，下降4.41%。</w:t>
      </w:r>
      <w:r>
        <w:rPr>
          <w:rFonts w:hint="eastAsia" w:ascii="仿宋" w:hAnsi="仿宋" w:eastAsia="仿宋"/>
          <w:color w:val="auto"/>
          <w:sz w:val="32"/>
          <w:szCs w:val="32"/>
          <w:highlight w:val="none"/>
        </w:rPr>
        <w:t>决算数小于预算数的主要原因是本年度厉行节约，减少费用支出</w:t>
      </w:r>
      <w:r>
        <w:rPr>
          <w:rFonts w:hint="eastAsia" w:ascii="仿宋" w:hAnsi="仿宋" w:eastAsia="仿宋"/>
          <w:color w:val="auto"/>
          <w:sz w:val="32"/>
          <w:szCs w:val="32"/>
          <w:highlight w:val="none"/>
          <w:lang w:eastAsia="zh-CN"/>
        </w:rPr>
        <w:t>。</w:t>
      </w:r>
    </w:p>
    <w:p w14:paraId="025464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397B21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7.8</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2D1E4C1B">
      <w:pPr>
        <w:numPr>
          <w:ilvl w:val="0"/>
          <w:numId w:val="4"/>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1C42C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7.8万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增减</w:t>
      </w:r>
      <w:r>
        <w:rPr>
          <w:rFonts w:hint="eastAsia" w:ascii="仿宋_GB2312" w:eastAsia="仿宋_GB2312"/>
          <w:color w:val="auto"/>
          <w:sz w:val="32"/>
          <w:szCs w:val="32"/>
          <w:highlight w:val="none"/>
          <w:lang w:val="en-US" w:eastAsia="zh-CN"/>
        </w:rPr>
        <w:t>0.36</w:t>
      </w:r>
      <w:r>
        <w:rPr>
          <w:rFonts w:hint="eastAsia" w:ascii="仿宋_GB2312" w:eastAsia="仿宋_GB2312"/>
          <w:color w:val="auto"/>
          <w:sz w:val="32"/>
          <w:szCs w:val="32"/>
          <w:highlight w:val="none"/>
        </w:rPr>
        <w:t>万元</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4904DF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7.8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开展我局开展业务工作（社区矫正、人民调解、化解矛盾纠纷等）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22F82D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w:t>
      </w:r>
      <w:r>
        <w:rPr>
          <w:rFonts w:hint="eastAsia" w:ascii="仿宋_GB2312" w:eastAsia="仿宋_GB2312"/>
          <w:b/>
          <w:color w:val="auto"/>
          <w:sz w:val="32"/>
          <w:szCs w:val="32"/>
          <w:highlight w:val="none"/>
          <w:lang w:val="en-US" w:eastAsia="zh-CN"/>
        </w:rPr>
        <w:t xml:space="preserve"> </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hAnsi="仿宋" w:eastAsia="仿宋"/>
          <w:color w:val="auto"/>
          <w:sz w:val="32"/>
          <w:szCs w:val="32"/>
          <w:highlight w:val="none"/>
        </w:rPr>
        <w:t>主要原因是本年度厉行节约，减少费用支出</w:t>
      </w:r>
      <w:r>
        <w:rPr>
          <w:rFonts w:hint="eastAsia" w:ascii="仿宋" w:hAnsi="仿宋" w:eastAsia="仿宋"/>
          <w:color w:val="auto"/>
          <w:sz w:val="32"/>
          <w:szCs w:val="32"/>
          <w:highlight w:val="none"/>
          <w:lang w:eastAsia="zh-CN"/>
        </w:rPr>
        <w:t>。</w:t>
      </w:r>
      <w:bookmarkStart w:id="34" w:name="_Toc15377218"/>
      <w:bookmarkStart w:id="35" w:name="_Toc15396610"/>
    </w:p>
    <w:p w14:paraId="4DCE83F4">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73BCE1D0">
      <w:pPr>
        <w:numPr>
          <w:ilvl w:val="0"/>
          <w:numId w:val="0"/>
        </w:numPr>
        <w:spacing w:line="600" w:lineRule="exact"/>
        <w:ind w:left="630" w:leftChars="0"/>
        <w:outlineLvl w:val="1"/>
        <w:rPr>
          <w:rFonts w:hint="eastAsia" w:ascii="仿宋_GB2312" w:eastAsia="仿宋_GB2312"/>
          <w:color w:val="auto"/>
          <w:sz w:val="32"/>
          <w:szCs w:val="32"/>
          <w:highlight w:val="none"/>
          <w:lang w:eastAsia="zh-CN"/>
        </w:rPr>
      </w:pPr>
      <w:bookmarkStart w:id="36" w:name="_Toc15377219"/>
      <w:bookmarkStart w:id="37" w:name="_Toc15396611"/>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eastAsia="zh-CN"/>
        </w:rPr>
        <w:t>。</w:t>
      </w:r>
    </w:p>
    <w:p w14:paraId="4B49597B">
      <w:pPr>
        <w:numPr>
          <w:ilvl w:val="0"/>
          <w:numId w:val="0"/>
        </w:numPr>
        <w:spacing w:line="600" w:lineRule="exact"/>
        <w:ind w:left="630" w:leftChars="0"/>
        <w:outlineLvl w:val="1"/>
        <w:rPr>
          <w:rStyle w:val="29"/>
          <w:rFonts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5A764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eastAsia="zh-CN"/>
        </w:rPr>
        <w:t>。</w:t>
      </w:r>
    </w:p>
    <w:p w14:paraId="0E9D42AE">
      <w:pPr>
        <w:numPr>
          <w:ilvl w:val="0"/>
          <w:numId w:val="5"/>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rPr>
        <w:t>其他重要事项的情况说</w:t>
      </w:r>
      <w:bookmarkEnd w:id="38"/>
      <w:bookmarkEnd w:id="39"/>
    </w:p>
    <w:p w14:paraId="2D2EE7C2">
      <w:pPr>
        <w:pStyle w:val="2"/>
        <w:numPr>
          <w:ilvl w:val="0"/>
          <w:numId w:val="0"/>
        </w:numPr>
        <w:ind w:leftChars="4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无</w:t>
      </w:r>
    </w:p>
    <w:p w14:paraId="6BF25E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010671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松潘县司法局本级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52.73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color w:val="auto"/>
          <w:sz w:val="32"/>
          <w:szCs w:val="32"/>
          <w:highlight w:val="none"/>
        </w:rPr>
        <w:t>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10.2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16.21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单位人员减少导致机关运行经费减少。</w:t>
      </w:r>
    </w:p>
    <w:p w14:paraId="03B221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7FA8AD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松潘县司法局本级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17.72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17.72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万元。主要用于采购10台彩色数码复印机，</w:t>
      </w:r>
      <w:r>
        <w:rPr>
          <w:rFonts w:hint="eastAsia" w:ascii="仿宋_GB2312" w:eastAsia="仿宋_GB2312"/>
          <w:color w:val="auto"/>
          <w:sz w:val="32"/>
          <w:szCs w:val="32"/>
          <w:highlight w:val="none"/>
          <w:lang w:val="en-US" w:eastAsia="zh-CN"/>
        </w:rPr>
        <w:t>提升全县司法行政系统业务工作处理效率与保障业务工作信息流转安全。</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17.72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17.72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3A9950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377DFE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松潘县司法局本级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w:t>
      </w:r>
      <w:r>
        <w:rPr>
          <w:rFonts w:hint="eastAsia" w:ascii="仿宋_GB2312" w:eastAsia="仿宋_GB2312"/>
          <w:color w:val="auto"/>
          <w:sz w:val="32"/>
          <w:szCs w:val="32"/>
          <w:highlight w:val="none"/>
        </w:rPr>
        <w:t>执法执勤用车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762E36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14:paraId="45EF570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F0979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9CEDA1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1A5A7BA">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6A3E7F2">
      <w:pPr>
        <w:spacing w:line="600" w:lineRule="exact"/>
        <w:jc w:val="left"/>
        <w:rPr>
          <w:rFonts w:ascii="Times New Roman" w:hAnsi="Times New Roman"/>
          <w:b/>
          <w:color w:val="auto"/>
          <w:sz w:val="44"/>
          <w:szCs w:val="44"/>
          <w:highlight w:val="none"/>
        </w:rPr>
      </w:pPr>
    </w:p>
    <w:p w14:paraId="12C4C14B">
      <w:pPr>
        <w:pStyle w:val="26"/>
        <w:spacing w:line="560" w:lineRule="exact"/>
        <w:ind w:firstLine="640" w:firstLineChars="200"/>
        <w:rPr>
          <w:rFonts w:ascii="仿宋_GB2312" w:eastAsia="仿宋_GB2312"/>
          <w:color w:val="auto"/>
          <w:sz w:val="32"/>
          <w:szCs w:val="32"/>
          <w:highlight w:val="none"/>
        </w:rPr>
      </w:pPr>
      <w:bookmarkStart w:id="4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0250C31">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19258D87">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20A94F3D">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3BB81F41">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E6C0DF4">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CDE4980">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6B787457">
      <w:pPr>
        <w:ind w:firstLine="640" w:firstLineChars="200"/>
        <w:rPr>
          <w:rFonts w:hint="eastAsia" w:ascii="仿宋_GB2312" w:eastAsia="仿宋_GB2312" w:cs="Times New Roman"/>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w:t>
      </w:r>
      <w:r>
        <w:rPr>
          <w:rFonts w:hint="eastAsia" w:ascii="仿宋_GB2312" w:eastAsia="仿宋_GB2312" w:cs="Times New Roman"/>
          <w:color w:val="auto"/>
          <w:sz w:val="32"/>
          <w:szCs w:val="32"/>
          <w:highlight w:val="none"/>
        </w:rPr>
        <w:t>续使用的资金。</w:t>
      </w:r>
    </w:p>
    <w:p w14:paraId="758D731D">
      <w:pPr>
        <w:ind w:firstLine="640" w:firstLineChars="200"/>
        <w:rPr>
          <w:rFonts w:hint="default" w:ascii="仿宋_GB2312" w:eastAsia="仿宋_GB2312" w:cs="Times New Roman"/>
          <w:color w:val="auto"/>
          <w:sz w:val="32"/>
          <w:szCs w:val="32"/>
          <w:highlight w:val="none"/>
          <w:lang w:val="en-US"/>
        </w:rPr>
      </w:pPr>
      <w:r>
        <w:rPr>
          <w:rFonts w:hint="eastAsia" w:ascii="仿宋_GB2312" w:eastAsia="仿宋_GB2312" w:cs="Times New Roman"/>
          <w:color w:val="auto"/>
          <w:sz w:val="32"/>
          <w:szCs w:val="32"/>
          <w:highlight w:val="none"/>
          <w:lang w:val="en-US" w:eastAsia="zh-CN"/>
        </w:rPr>
        <w:t>9</w:t>
      </w:r>
      <w:r>
        <w:rPr>
          <w:rFonts w:hint="eastAsia" w:ascii="仿宋_GB2312" w:eastAsia="仿宋_GB2312" w:cs="Times New Roman"/>
          <w:color w:val="auto"/>
          <w:sz w:val="32"/>
          <w:szCs w:val="32"/>
          <w:highlight w:val="none"/>
        </w:rPr>
        <w:t>.公共安全：指</w:t>
      </w:r>
      <w:r>
        <w:rPr>
          <w:rFonts w:hint="eastAsia" w:ascii="仿宋_GB2312" w:eastAsia="仿宋_GB2312" w:cs="Times New Roman"/>
          <w:color w:val="auto"/>
          <w:sz w:val="32"/>
          <w:szCs w:val="32"/>
          <w:highlight w:val="none"/>
          <w:lang w:val="en-US" w:eastAsia="zh-CN"/>
        </w:rPr>
        <w:t>行政运行，一般行政管理事务支出等。</w:t>
      </w:r>
    </w:p>
    <w:p w14:paraId="71201C88">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10</w:t>
      </w:r>
      <w:r>
        <w:rPr>
          <w:rFonts w:hint="eastAsia" w:ascii="仿宋_GB2312" w:eastAsia="仿宋_GB2312" w:cs="Times New Roman"/>
          <w:color w:val="auto"/>
          <w:sz w:val="32"/>
          <w:szCs w:val="32"/>
          <w:highlight w:val="none"/>
        </w:rPr>
        <w:t>.社会保障和就业</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指机关事业单位</w:t>
      </w:r>
      <w:r>
        <w:rPr>
          <w:rFonts w:hint="eastAsia" w:ascii="仿宋_GB2312" w:eastAsia="仿宋_GB2312" w:cs="Times New Roman"/>
          <w:color w:val="auto"/>
          <w:sz w:val="32"/>
          <w:szCs w:val="32"/>
          <w:highlight w:val="none"/>
          <w:lang w:val="en-US" w:eastAsia="zh-CN"/>
        </w:rPr>
        <w:t>养老保险及</w:t>
      </w:r>
      <w:r>
        <w:rPr>
          <w:rFonts w:hint="eastAsia" w:ascii="仿宋_GB2312" w:eastAsia="仿宋_GB2312" w:cs="Times New Roman"/>
          <w:color w:val="auto"/>
          <w:sz w:val="32"/>
          <w:szCs w:val="32"/>
          <w:highlight w:val="none"/>
        </w:rPr>
        <w:t>职业年金。</w:t>
      </w:r>
    </w:p>
    <w:p w14:paraId="72F18BCE">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卫生健康：</w:t>
      </w:r>
      <w:r>
        <w:rPr>
          <w:rFonts w:hint="eastAsia" w:ascii="仿宋_GB2312" w:eastAsia="仿宋_GB2312" w:cs="Times New Roman"/>
          <w:color w:val="auto"/>
          <w:sz w:val="32"/>
          <w:szCs w:val="32"/>
          <w:highlight w:val="none"/>
        </w:rPr>
        <w:t>指</w:t>
      </w:r>
      <w:r>
        <w:rPr>
          <w:rFonts w:hint="eastAsia" w:ascii="仿宋_GB2312" w:eastAsia="仿宋_GB2312" w:cs="Times New Roman"/>
          <w:color w:val="auto"/>
          <w:sz w:val="32"/>
          <w:szCs w:val="32"/>
          <w:highlight w:val="none"/>
          <w:lang w:val="en-US" w:eastAsia="zh-CN"/>
        </w:rPr>
        <w:t>行政单位医疗，公务员医疗补助等。</w:t>
      </w:r>
    </w:p>
    <w:p w14:paraId="7138443A">
      <w:pPr>
        <w:ind w:firstLine="640" w:firstLineChars="200"/>
        <w:rPr>
          <w:rFonts w:hint="default"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12</w:t>
      </w:r>
      <w:r>
        <w:rPr>
          <w:rFonts w:hint="eastAsia" w:ascii="仿宋_GB2312" w:eastAsia="仿宋_GB2312" w:cs="Times New Roman"/>
          <w:color w:val="auto"/>
          <w:sz w:val="32"/>
          <w:szCs w:val="32"/>
          <w:highlight w:val="none"/>
        </w:rPr>
        <w:t>.住房保障</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指住房公积金。</w:t>
      </w:r>
    </w:p>
    <w:p w14:paraId="1C5B195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5FCBB9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CC3663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45A4B83">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FADC76">
      <w:pPr>
        <w:spacing w:line="600" w:lineRule="exact"/>
        <w:jc w:val="both"/>
        <w:rPr>
          <w:rStyle w:val="28"/>
          <w:rFonts w:hint="eastAsia" w:ascii="Times New Roman" w:hAnsi="Times New Roman" w:eastAsia="黑体"/>
          <w:b w:val="0"/>
          <w:color w:val="auto"/>
          <w:highlight w:val="none"/>
          <w:lang w:eastAsia="zh-CN"/>
        </w:rPr>
      </w:pPr>
      <w:r>
        <w:rPr>
          <w:rFonts w:hint="eastAsia" w:ascii="仿宋_GB2312" w:eastAsia="仿宋_GB2312"/>
          <w:color w:val="auto"/>
          <w:sz w:val="32"/>
          <w:szCs w:val="32"/>
          <w:highlight w:val="none"/>
          <w:lang w:val="en-US" w:eastAsia="zh-CN"/>
        </w:rPr>
        <w:t xml:space="preserve">   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p>
    <w:p w14:paraId="1CB2090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02A1E34">
      <w:pPr>
        <w:widowControl/>
        <w:jc w:val="center"/>
        <w:rPr>
          <w:rFonts w:hint="eastAsia" w:ascii="Times New Roman" w:hAnsi="Times New Roman" w:eastAsia="仿宋"/>
          <w:b w:val="0"/>
          <w:color w:val="auto"/>
          <w:sz w:val="44"/>
          <w:szCs w:val="44"/>
          <w:highlight w:val="none"/>
        </w:rPr>
      </w:pPr>
      <w:bookmarkStart w:id="46" w:name="_Toc15396618"/>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sz w:val="44"/>
          <w:szCs w:val="44"/>
          <w:highlight w:val="none"/>
        </w:rPr>
        <w:t>部分 附表</w:t>
      </w:r>
      <w:bookmarkEnd w:id="45"/>
      <w:bookmarkEnd w:id="46"/>
      <w:bookmarkStart w:id="47" w:name="_Toc15396619"/>
    </w:p>
    <w:p w14:paraId="502EE2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5CE540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14:paraId="6CB322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14:paraId="6F2BA9E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14:paraId="12CFF7C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14:paraId="5271CB5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14:paraId="7459106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14:paraId="5B7955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14:paraId="06FE237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14:paraId="6E0ABD4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14:paraId="1A82C54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14:paraId="579EA8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A8E10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14:paraId="6E7CD32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14:paraId="0C5B2492">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6D1A1-F123-43C8-9B49-A079174ECC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0B8405-A857-429D-BCC8-2530D458A24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E2A50E3-BC67-4363-8E9A-EE295ED85819}"/>
  </w:font>
  <w:font w:name="仿宋">
    <w:panose1 w:val="02010609060101010101"/>
    <w:charset w:val="86"/>
    <w:family w:val="modern"/>
    <w:pitch w:val="default"/>
    <w:sig w:usb0="800002BF" w:usb1="38CF7CFA" w:usb2="00000016" w:usb3="00000000" w:csb0="00040001" w:csb1="00000000"/>
    <w:embedRegular r:id="rId4" w:fontKey="{E0D27AB3-11F6-45D4-AF64-73CB4DD0D10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EFCDFD9-7F0C-4B80-B59D-7F35CEB38789}"/>
  </w:font>
  <w:font w:name="楷体_GB2312">
    <w:panose1 w:val="02010609030101010101"/>
    <w:charset w:val="86"/>
    <w:family w:val="auto"/>
    <w:pitch w:val="default"/>
    <w:sig w:usb0="00000001" w:usb1="080E0000" w:usb2="00000000" w:usb3="00000000" w:csb0="00040000" w:csb1="00000000"/>
    <w:embedRegular r:id="rId6" w:fontKey="{FB3AD093-F94C-4495-B247-B8AC56A3B037}"/>
  </w:font>
  <w:font w:name="华文中宋">
    <w:altName w:val="宋体"/>
    <w:panose1 w:val="02010600040101010101"/>
    <w:charset w:val="86"/>
    <w:family w:val="auto"/>
    <w:pitch w:val="default"/>
    <w:sig w:usb0="00000000" w:usb1="00000000" w:usb2="00000000" w:usb3="00000000" w:csb0="0004009F" w:csb1="DFD70000"/>
    <w:embedRegular r:id="rId7" w:fontKey="{1C6B33B3-82FD-4FD4-B5E9-D49E1DE542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58CF7">
    <w:pPr>
      <w:pStyle w:val="10"/>
      <w:jc w:val="center"/>
    </w:pPr>
  </w:p>
  <w:p w14:paraId="7E651DF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D83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A820">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2F0A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6B42F0A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p w14:paraId="48D86D9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02F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FF3B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21FF3B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572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112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DEE5B"/>
    <w:multiLevelType w:val="singleLevel"/>
    <w:tmpl w:val="BE1DEE5B"/>
    <w:lvl w:ilvl="0" w:tentative="0">
      <w:start w:val="1"/>
      <w:numFmt w:val="decimal"/>
      <w:lvlText w:val="%1."/>
      <w:lvlJc w:val="left"/>
      <w:pPr>
        <w:tabs>
          <w:tab w:val="left" w:pos="312"/>
        </w:tabs>
      </w:pPr>
    </w:lvl>
  </w:abstractNum>
  <w:abstractNum w:abstractNumId="1">
    <w:nsid w:val="68F0911F"/>
    <w:multiLevelType w:val="singleLevel"/>
    <w:tmpl w:val="68F0911F"/>
    <w:lvl w:ilvl="0" w:tentative="0">
      <w:start w:val="1"/>
      <w:numFmt w:val="chineseCounting"/>
      <w:suff w:val="nothing"/>
      <w:lvlText w:val="%1、"/>
      <w:lvlJc w:val="left"/>
    </w:lvl>
  </w:abstractNum>
  <w:abstractNum w:abstractNumId="2">
    <w:nsid w:val="68F096F8"/>
    <w:multiLevelType w:val="singleLevel"/>
    <w:tmpl w:val="68F096F8"/>
    <w:lvl w:ilvl="0" w:tentative="0">
      <w:start w:val="1"/>
      <w:numFmt w:val="decimal"/>
      <w:suff w:val="nothing"/>
      <w:lvlText w:val="%1."/>
      <w:lvlJc w:val="left"/>
    </w:lvl>
  </w:abstractNum>
  <w:abstractNum w:abstractNumId="3">
    <w:nsid w:val="68F0A01D"/>
    <w:multiLevelType w:val="singleLevel"/>
    <w:tmpl w:val="68F0A01D"/>
    <w:lvl w:ilvl="0" w:tentative="0">
      <w:start w:val="10"/>
      <w:numFmt w:val="chineseCounting"/>
      <w:suff w:val="nothing"/>
      <w:lvlText w:val="%1、"/>
      <w:lvlJc w:val="left"/>
    </w:lvl>
  </w:abstractNum>
  <w:abstractNum w:abstractNumId="4">
    <w:nsid w:val="68F0A65B"/>
    <w:multiLevelType w:val="singleLevel"/>
    <w:tmpl w:val="68F0A65B"/>
    <w:lvl w:ilvl="0" w:tentative="0">
      <w:start w:val="1"/>
      <w:numFmt w:val="chineseCounting"/>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34786B"/>
    <w:rsid w:val="2C8A61B5"/>
    <w:rsid w:val="2DF04E50"/>
    <w:rsid w:val="2E586DFA"/>
    <w:rsid w:val="2F040D46"/>
    <w:rsid w:val="2F6B035B"/>
    <w:rsid w:val="2FAE5751"/>
    <w:rsid w:val="2FB1A395"/>
    <w:rsid w:val="2FD9A7D8"/>
    <w:rsid w:val="2FDBF714"/>
    <w:rsid w:val="30AB6865"/>
    <w:rsid w:val="319F7F4E"/>
    <w:rsid w:val="32BD1EF1"/>
    <w:rsid w:val="3304709D"/>
    <w:rsid w:val="33A773CB"/>
    <w:rsid w:val="34823921"/>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8126FA"/>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5F049D"/>
    <w:rsid w:val="5FBF9FF3"/>
    <w:rsid w:val="5FCD4E2C"/>
    <w:rsid w:val="5FEF394A"/>
    <w:rsid w:val="5FF67715"/>
    <w:rsid w:val="610B4E97"/>
    <w:rsid w:val="62BF3928"/>
    <w:rsid w:val="63B3701E"/>
    <w:rsid w:val="647F5392"/>
    <w:rsid w:val="65E66580"/>
    <w:rsid w:val="664B1D71"/>
    <w:rsid w:val="664B4E8E"/>
    <w:rsid w:val="67277B67"/>
    <w:rsid w:val="67AA3209"/>
    <w:rsid w:val="698D0931"/>
    <w:rsid w:val="6A3833EF"/>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D22E35"/>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B21AC"/>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1059CF"/>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6586</Words>
  <Characters>7101</Characters>
  <Lines>61</Lines>
  <Paragraphs>17</Paragraphs>
  <TotalTime>0</TotalTime>
  <ScaleCrop>false</ScaleCrop>
  <LinksUpToDate>false</LinksUpToDate>
  <CharactersWithSpaces>7152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2025-10-17T07:08:50Z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